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3D47" w14:textId="5A5F2B06" w:rsidR="00914D48" w:rsidRPr="00E94AD0" w:rsidRDefault="005665A9"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10025F3F" wp14:editId="460CB41A">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848A7D2" w:rsidR="00C02410" w:rsidRPr="00E94AD0" w:rsidRDefault="00D05E75" w:rsidP="00C02410">
      <w:pPr>
        <w:pStyle w:val="ProductNumber"/>
        <w:rPr>
          <w:lang w:val="en-GB"/>
        </w:rPr>
      </w:pPr>
      <w:r>
        <w:rPr>
          <w:lang w:val="en-GB"/>
        </w:rPr>
        <w:t>9B21B007</w:t>
      </w:r>
    </w:p>
    <w:p w14:paraId="4E057522" w14:textId="7A113CB1" w:rsidR="00D75295" w:rsidRPr="00E94AD0" w:rsidRDefault="00D75295" w:rsidP="00D75295">
      <w:pPr>
        <w:jc w:val="right"/>
        <w:rPr>
          <w:rFonts w:ascii="Arial" w:hAnsi="Arial"/>
          <w:b/>
          <w:lang w:val="en-GB"/>
        </w:rPr>
      </w:pPr>
    </w:p>
    <w:p w14:paraId="02524312" w14:textId="77777777" w:rsidR="001901C0" w:rsidRPr="00E94AD0" w:rsidRDefault="001901C0" w:rsidP="00D75295">
      <w:pPr>
        <w:jc w:val="right"/>
        <w:rPr>
          <w:rFonts w:ascii="Arial" w:hAnsi="Arial"/>
          <w:b/>
          <w:lang w:val="en-GB"/>
        </w:rPr>
      </w:pPr>
    </w:p>
    <w:p w14:paraId="2F03D26A" w14:textId="097AA848" w:rsidR="00D10C17" w:rsidRPr="00E94AD0" w:rsidRDefault="00D10C17" w:rsidP="00013360">
      <w:pPr>
        <w:pStyle w:val="CaseTitle"/>
        <w:spacing w:after="0" w:line="240" w:lineRule="auto"/>
        <w:rPr>
          <w:sz w:val="20"/>
          <w:szCs w:val="20"/>
          <w:lang w:val="en-GB"/>
        </w:rPr>
      </w:pPr>
      <w:r w:rsidRPr="00E94AD0">
        <w:rPr>
          <w:lang w:val="en-GB"/>
        </w:rPr>
        <w:t>CANOPY GROWTH CORPORATION: ACCOUNTING PROBLEMS IN THE CANNABIS INDUSTRY?</w:t>
      </w:r>
      <w:r w:rsidRPr="00E94AD0">
        <w:rPr>
          <w:rStyle w:val="EndnoteReference"/>
          <w:lang w:val="en-GB"/>
        </w:rPr>
        <w:endnoteReference w:id="1"/>
      </w:r>
    </w:p>
    <w:p w14:paraId="40ABF6FD" w14:textId="77777777" w:rsidR="00D10C17" w:rsidRPr="00E94AD0" w:rsidRDefault="00D10C17" w:rsidP="00013360">
      <w:pPr>
        <w:pStyle w:val="CaseTitle"/>
        <w:spacing w:after="0" w:line="240" w:lineRule="auto"/>
        <w:rPr>
          <w:sz w:val="20"/>
          <w:szCs w:val="20"/>
          <w:lang w:val="en-GB"/>
        </w:rPr>
      </w:pPr>
    </w:p>
    <w:p w14:paraId="202F1085" w14:textId="77777777" w:rsidR="00D10C17" w:rsidRPr="00E94AD0" w:rsidRDefault="00D10C17" w:rsidP="00013360">
      <w:pPr>
        <w:pStyle w:val="CaseTitle"/>
        <w:spacing w:after="0" w:line="240" w:lineRule="auto"/>
        <w:rPr>
          <w:sz w:val="20"/>
          <w:szCs w:val="20"/>
          <w:lang w:val="en-GB"/>
        </w:rPr>
      </w:pPr>
    </w:p>
    <w:p w14:paraId="58B0C73F" w14:textId="5258BAD4" w:rsidR="00D10C17" w:rsidRPr="00E94AD0" w:rsidRDefault="00D10C17" w:rsidP="00086B26">
      <w:pPr>
        <w:pStyle w:val="StyleCopyrightStatementAfter0ptBottomSinglesolidline1"/>
        <w:rPr>
          <w:lang w:val="en-GB"/>
        </w:rPr>
      </w:pPr>
      <w:r w:rsidRPr="00E94AD0">
        <w:rPr>
          <w:lang w:val="en-GB"/>
        </w:rPr>
        <w:t>Morgan Hart wrote this case under the supervision of Mary Gillett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D10C17" w:rsidRPr="00E94AD0" w:rsidRDefault="00D10C17" w:rsidP="00086B26">
      <w:pPr>
        <w:pStyle w:val="StyleCopyrightStatementAfter0ptBottomSinglesolidline1"/>
        <w:rPr>
          <w:lang w:val="en-GB"/>
        </w:rPr>
      </w:pPr>
    </w:p>
    <w:p w14:paraId="1EEEBFE5" w14:textId="43C8D1DF" w:rsidR="00D10C17" w:rsidRPr="00E94AD0" w:rsidRDefault="00D05E75"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D10C17" w:rsidRPr="00E94AD0" w:rsidRDefault="00D10C17" w:rsidP="00A323B0">
      <w:pPr>
        <w:pStyle w:val="StyleStyleCopyrightStatementAfter0ptBottomSinglesolid"/>
        <w:rPr>
          <w:rFonts w:cs="Arial"/>
          <w:szCs w:val="16"/>
          <w:lang w:val="en-GB"/>
        </w:rPr>
      </w:pPr>
    </w:p>
    <w:p w14:paraId="3922E14F" w14:textId="1BA674A3" w:rsidR="00D10C17" w:rsidRPr="00E94AD0" w:rsidRDefault="00D05E75"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D10C17" w:rsidRPr="00E94AD0">
        <w:rPr>
          <w:rFonts w:cs="Arial"/>
          <w:iCs w:val="0"/>
          <w:color w:val="auto"/>
          <w:szCs w:val="16"/>
          <w:lang w:val="en-GB"/>
        </w:rPr>
        <w:tab/>
        <w:t xml:space="preserve">Version: </w:t>
      </w:r>
      <w:r w:rsidR="00DA2999">
        <w:rPr>
          <w:rFonts w:cs="Arial"/>
          <w:iCs w:val="0"/>
          <w:color w:val="auto"/>
          <w:szCs w:val="16"/>
          <w:lang w:val="en-GB"/>
        </w:rPr>
        <w:t>2022-04-26</w:t>
      </w:r>
    </w:p>
    <w:p w14:paraId="0A2A54E4" w14:textId="77777777" w:rsidR="00D10C17" w:rsidRPr="00E94AD0" w:rsidRDefault="00D10C17" w:rsidP="00751E0B">
      <w:pPr>
        <w:pStyle w:val="StyleCopyrightStatementAfter0ptBottomSinglesolidline1"/>
        <w:rPr>
          <w:rFonts w:ascii="Times New Roman" w:hAnsi="Times New Roman"/>
          <w:sz w:val="20"/>
          <w:lang w:val="en-GB"/>
        </w:rPr>
      </w:pPr>
    </w:p>
    <w:p w14:paraId="2C183161" w14:textId="45E479CA" w:rsidR="00D10C17" w:rsidRPr="00E94AD0" w:rsidRDefault="00D10C17" w:rsidP="002B40FF">
      <w:pPr>
        <w:pStyle w:val="Casehead1"/>
        <w:rPr>
          <w:lang w:val="en-GB"/>
        </w:rPr>
      </w:pPr>
    </w:p>
    <w:p w14:paraId="7B74ABD4" w14:textId="7FC590CB" w:rsidR="00D10C17" w:rsidRPr="00E94AD0" w:rsidRDefault="00D10C17" w:rsidP="00D10C17">
      <w:pPr>
        <w:pStyle w:val="BodyTextMain"/>
        <w:rPr>
          <w:lang w:val="en-GB"/>
        </w:rPr>
      </w:pPr>
      <w:r w:rsidRPr="00E94AD0">
        <w:rPr>
          <w:lang w:val="en-GB"/>
        </w:rPr>
        <w:t>I</w:t>
      </w:r>
      <w:r w:rsidR="004F5154">
        <w:rPr>
          <w:lang w:val="en-GB"/>
        </w:rPr>
        <w:t>n</w:t>
      </w:r>
      <w:r w:rsidRPr="00E94AD0">
        <w:rPr>
          <w:lang w:val="en-GB"/>
        </w:rPr>
        <w:t xml:space="preserve"> November 2019</w:t>
      </w:r>
      <w:r w:rsidR="004F5154">
        <w:rPr>
          <w:lang w:val="en-GB"/>
        </w:rPr>
        <w:t xml:space="preserve">, </w:t>
      </w:r>
      <w:r w:rsidRPr="00E94AD0">
        <w:rPr>
          <w:lang w:val="en-GB"/>
        </w:rPr>
        <w:t>John Fowler hung up the phone</w:t>
      </w:r>
      <w:r w:rsidR="004F5154">
        <w:rPr>
          <w:lang w:val="en-GB"/>
        </w:rPr>
        <w:t xml:space="preserve"> after</w:t>
      </w:r>
      <w:r w:rsidRPr="00E94AD0">
        <w:rPr>
          <w:lang w:val="en-GB"/>
        </w:rPr>
        <w:t xml:space="preserve"> listening to a conference call </w:t>
      </w:r>
      <w:r w:rsidR="00E94AD0">
        <w:rPr>
          <w:lang w:val="en-GB"/>
        </w:rPr>
        <w:t>in which the</w:t>
      </w:r>
      <w:r w:rsidRPr="00E94AD0">
        <w:rPr>
          <w:lang w:val="en-GB"/>
        </w:rPr>
        <w:t xml:space="preserve"> management of Canopy Growth Corporation (Canopy) </w:t>
      </w:r>
      <w:r w:rsidR="00E94AD0">
        <w:rPr>
          <w:lang w:val="en-GB"/>
        </w:rPr>
        <w:t>was</w:t>
      </w:r>
      <w:r w:rsidRPr="00E94AD0">
        <w:rPr>
          <w:lang w:val="en-GB"/>
        </w:rPr>
        <w:t xml:space="preserve"> report</w:t>
      </w:r>
      <w:r w:rsidR="00E94AD0">
        <w:rPr>
          <w:lang w:val="en-GB"/>
        </w:rPr>
        <w:t>ing</w:t>
      </w:r>
      <w:r w:rsidRPr="00E94AD0">
        <w:rPr>
          <w:lang w:val="en-GB"/>
        </w:rPr>
        <w:t xml:space="preserve"> </w:t>
      </w:r>
      <w:r w:rsidR="00E94AD0">
        <w:rPr>
          <w:lang w:val="en-GB"/>
        </w:rPr>
        <w:t>the company’s</w:t>
      </w:r>
      <w:r w:rsidRPr="00E94AD0">
        <w:rPr>
          <w:lang w:val="en-GB"/>
        </w:rPr>
        <w:t xml:space="preserve"> financial results for </w:t>
      </w:r>
      <w:r w:rsidR="00E94AD0">
        <w:rPr>
          <w:lang w:val="en-GB"/>
        </w:rPr>
        <w:t>the</w:t>
      </w:r>
      <w:r w:rsidRPr="00E94AD0">
        <w:rPr>
          <w:lang w:val="en-GB"/>
        </w:rPr>
        <w:t xml:space="preserve"> second quarter end</w:t>
      </w:r>
      <w:r w:rsidR="00E94AD0">
        <w:rPr>
          <w:lang w:val="en-GB"/>
        </w:rPr>
        <w:t>ing</w:t>
      </w:r>
      <w:r w:rsidRPr="00E94AD0">
        <w:rPr>
          <w:lang w:val="en-GB"/>
        </w:rPr>
        <w:t xml:space="preserve"> September 30, 2019.</w:t>
      </w:r>
      <w:r w:rsidR="007C7998">
        <w:rPr>
          <w:lang w:val="en-GB"/>
        </w:rPr>
        <w:t xml:space="preserve"> </w:t>
      </w:r>
      <w:r w:rsidRPr="00E94AD0">
        <w:rPr>
          <w:lang w:val="en-GB"/>
        </w:rPr>
        <w:t xml:space="preserve">Fowler was the founder and principal of Blaise Ventures (Blaise), a full-service consulting firm dedicated to clients in the cannabis </w:t>
      </w:r>
      <w:r w:rsidR="00E94AD0">
        <w:rPr>
          <w:lang w:val="en-GB"/>
        </w:rPr>
        <w:t>industry</w:t>
      </w:r>
      <w:r w:rsidRPr="00E94AD0">
        <w:rPr>
          <w:lang w:val="en-GB"/>
        </w:rPr>
        <w:t xml:space="preserve">. He often attended </w:t>
      </w:r>
      <w:r w:rsidR="005B2C34">
        <w:rPr>
          <w:lang w:val="en-GB"/>
        </w:rPr>
        <w:t xml:space="preserve">conference </w:t>
      </w:r>
      <w:r w:rsidRPr="00E94AD0">
        <w:rPr>
          <w:lang w:val="en-GB"/>
        </w:rPr>
        <w:t xml:space="preserve">calls </w:t>
      </w:r>
      <w:r w:rsidR="005B2C34">
        <w:rPr>
          <w:lang w:val="en-GB"/>
        </w:rPr>
        <w:t>held by</w:t>
      </w:r>
      <w:r w:rsidRPr="00E94AD0">
        <w:rPr>
          <w:lang w:val="en-GB"/>
        </w:rPr>
        <w:t xml:space="preserve"> </w:t>
      </w:r>
      <w:r w:rsidR="00E94AD0">
        <w:rPr>
          <w:lang w:val="en-GB"/>
        </w:rPr>
        <w:t>major</w:t>
      </w:r>
      <w:r w:rsidRPr="00E94AD0">
        <w:rPr>
          <w:lang w:val="en-GB"/>
        </w:rPr>
        <w:t xml:space="preserve"> </w:t>
      </w:r>
      <w:r w:rsidR="005B2C34">
        <w:rPr>
          <w:lang w:val="en-GB"/>
        </w:rPr>
        <w:t>companies</w:t>
      </w:r>
      <w:r w:rsidRPr="00E94AD0">
        <w:rPr>
          <w:lang w:val="en-GB"/>
        </w:rPr>
        <w:t xml:space="preserve"> in the industry </w:t>
      </w:r>
      <w:r w:rsidR="005B2C34">
        <w:rPr>
          <w:lang w:val="en-GB"/>
        </w:rPr>
        <w:t xml:space="preserve">that </w:t>
      </w:r>
      <w:r w:rsidRPr="00E94AD0">
        <w:rPr>
          <w:lang w:val="en-GB"/>
        </w:rPr>
        <w:t xml:space="preserve">reported </w:t>
      </w:r>
      <w:r w:rsidR="005B2C34">
        <w:rPr>
          <w:lang w:val="en-GB"/>
        </w:rPr>
        <w:t xml:space="preserve">financial </w:t>
      </w:r>
      <w:r w:rsidRPr="00E94AD0">
        <w:rPr>
          <w:lang w:val="en-GB"/>
        </w:rPr>
        <w:t>results</w:t>
      </w:r>
      <w:r w:rsidR="00F83B57">
        <w:rPr>
          <w:lang w:val="en-GB"/>
        </w:rPr>
        <w:t>. Fowler felt that it helped him</w:t>
      </w:r>
      <w:r w:rsidRPr="00E94AD0">
        <w:rPr>
          <w:lang w:val="en-GB"/>
        </w:rPr>
        <w:t xml:space="preserve"> monitor the issues </w:t>
      </w:r>
      <w:r w:rsidR="00E94AD0">
        <w:rPr>
          <w:lang w:val="en-GB"/>
        </w:rPr>
        <w:t>that were having an</w:t>
      </w:r>
      <w:r w:rsidRPr="00E94AD0">
        <w:rPr>
          <w:lang w:val="en-GB"/>
        </w:rPr>
        <w:t xml:space="preserve"> impact</w:t>
      </w:r>
      <w:r w:rsidR="00E94AD0">
        <w:rPr>
          <w:lang w:val="en-GB"/>
        </w:rPr>
        <w:t xml:space="preserve"> on</w:t>
      </w:r>
      <w:r w:rsidRPr="00E94AD0">
        <w:rPr>
          <w:lang w:val="en-GB"/>
        </w:rPr>
        <w:t xml:space="preserve"> his clients and the broader market. In the past, Fowler had found that staying </w:t>
      </w:r>
      <w:r w:rsidR="00E94AD0">
        <w:rPr>
          <w:lang w:val="en-GB"/>
        </w:rPr>
        <w:t>abreast</w:t>
      </w:r>
      <w:r w:rsidRPr="00E94AD0">
        <w:rPr>
          <w:lang w:val="en-GB"/>
        </w:rPr>
        <w:t xml:space="preserve"> of these issues was critical to providing high-quality advice to his clients</w:t>
      </w:r>
      <w:r w:rsidR="00E94AD0">
        <w:rPr>
          <w:lang w:val="en-GB"/>
        </w:rPr>
        <w:t xml:space="preserve">. He </w:t>
      </w:r>
      <w:r w:rsidR="00BA5C7A">
        <w:rPr>
          <w:lang w:val="en-GB"/>
        </w:rPr>
        <w:t>had</w:t>
      </w:r>
      <w:r w:rsidRPr="00E94AD0">
        <w:rPr>
          <w:lang w:val="en-GB"/>
        </w:rPr>
        <w:t xml:space="preserve"> learned </w:t>
      </w:r>
      <w:r w:rsidR="00E94AD0">
        <w:rPr>
          <w:lang w:val="en-GB"/>
        </w:rPr>
        <w:t xml:space="preserve">a great deal </w:t>
      </w:r>
      <w:r w:rsidRPr="00E94AD0">
        <w:rPr>
          <w:lang w:val="en-GB"/>
        </w:rPr>
        <w:t xml:space="preserve">from </w:t>
      </w:r>
      <w:r w:rsidR="00BA5C7A">
        <w:rPr>
          <w:lang w:val="en-GB"/>
        </w:rPr>
        <w:t xml:space="preserve">hearing about and </w:t>
      </w:r>
      <w:r w:rsidRPr="00E94AD0">
        <w:rPr>
          <w:lang w:val="en-GB"/>
        </w:rPr>
        <w:t xml:space="preserve">understanding the challenges and successes experienced by other companies across the industry. </w:t>
      </w:r>
    </w:p>
    <w:p w14:paraId="405D1C98" w14:textId="77777777" w:rsidR="00D10C17" w:rsidRPr="00D05E75" w:rsidRDefault="00D10C17" w:rsidP="00D05E75">
      <w:pPr>
        <w:pStyle w:val="BodyTextMain"/>
        <w:rPr>
          <w:sz w:val="18"/>
        </w:rPr>
      </w:pPr>
    </w:p>
    <w:p w14:paraId="45F0E8F0" w14:textId="5274A3D5" w:rsidR="00D10C17" w:rsidRPr="00C8482F" w:rsidRDefault="00D10C17" w:rsidP="00D10C17">
      <w:pPr>
        <w:pStyle w:val="BodyTextMain"/>
        <w:rPr>
          <w:spacing w:val="-2"/>
          <w:lang w:val="en-GB"/>
        </w:rPr>
      </w:pPr>
      <w:r w:rsidRPr="00C8482F">
        <w:rPr>
          <w:spacing w:val="-2"/>
          <w:lang w:val="en-GB"/>
        </w:rPr>
        <w:t>Cannabis companies faced a wide array of complex financial reporting issues</w:t>
      </w:r>
      <w:r w:rsidR="00E94AD0" w:rsidRPr="00C8482F">
        <w:rPr>
          <w:spacing w:val="-2"/>
          <w:lang w:val="en-GB"/>
        </w:rPr>
        <w:t>.</w:t>
      </w:r>
      <w:r w:rsidRPr="00C8482F">
        <w:rPr>
          <w:spacing w:val="-2"/>
          <w:lang w:val="en-GB"/>
        </w:rPr>
        <w:t xml:space="preserve"> Fowler felt that being able to understand these issues and explain them to </w:t>
      </w:r>
      <w:r w:rsidR="00E94AD0" w:rsidRPr="00C8482F">
        <w:rPr>
          <w:spacing w:val="-2"/>
          <w:lang w:val="en-GB"/>
        </w:rPr>
        <w:t xml:space="preserve">his </w:t>
      </w:r>
      <w:r w:rsidRPr="00C8482F">
        <w:rPr>
          <w:spacing w:val="-2"/>
          <w:lang w:val="en-GB"/>
        </w:rPr>
        <w:t xml:space="preserve">clients was critical </w:t>
      </w:r>
      <w:r w:rsidR="00E94AD0" w:rsidRPr="00C8482F">
        <w:rPr>
          <w:spacing w:val="-2"/>
          <w:lang w:val="en-GB"/>
        </w:rPr>
        <w:t>for</w:t>
      </w:r>
      <w:r w:rsidRPr="00C8482F">
        <w:rPr>
          <w:spacing w:val="-2"/>
          <w:lang w:val="en-GB"/>
        </w:rPr>
        <w:t xml:space="preserve"> Blaise’s success.</w:t>
      </w:r>
      <w:r w:rsidR="00E94AD0" w:rsidRPr="00C8482F">
        <w:rPr>
          <w:spacing w:val="-2"/>
          <w:lang w:val="en-GB"/>
        </w:rPr>
        <w:t xml:space="preserve"> </w:t>
      </w:r>
      <w:r w:rsidRPr="00C8482F">
        <w:rPr>
          <w:spacing w:val="-2"/>
          <w:lang w:val="en-GB"/>
        </w:rPr>
        <w:t>Armed with Canopy’s second quarter financial statements (</w:t>
      </w:r>
      <w:r w:rsidR="00E94AD0" w:rsidRPr="00C8482F">
        <w:rPr>
          <w:spacing w:val="-2"/>
          <w:lang w:val="en-GB"/>
        </w:rPr>
        <w:t xml:space="preserve">see </w:t>
      </w:r>
      <w:r w:rsidRPr="00C8482F">
        <w:rPr>
          <w:spacing w:val="-2"/>
          <w:lang w:val="en-GB"/>
        </w:rPr>
        <w:t>Exhibit 1) and select</w:t>
      </w:r>
      <w:r w:rsidR="00E94AD0" w:rsidRPr="00C8482F">
        <w:rPr>
          <w:spacing w:val="-2"/>
          <w:lang w:val="en-GB"/>
        </w:rPr>
        <w:t>ed</w:t>
      </w:r>
      <w:r w:rsidRPr="00C8482F">
        <w:rPr>
          <w:spacing w:val="-2"/>
          <w:lang w:val="en-GB"/>
        </w:rPr>
        <w:t xml:space="preserve"> financial statement note disclosures (</w:t>
      </w:r>
      <w:r w:rsidR="00E94AD0" w:rsidRPr="00C8482F">
        <w:rPr>
          <w:spacing w:val="-2"/>
          <w:lang w:val="en-GB"/>
        </w:rPr>
        <w:t xml:space="preserve">see </w:t>
      </w:r>
      <w:r w:rsidRPr="00C8482F">
        <w:rPr>
          <w:spacing w:val="-2"/>
          <w:lang w:val="en-GB"/>
        </w:rPr>
        <w:t xml:space="preserve">Exhibit 2), </w:t>
      </w:r>
      <w:r w:rsidR="00E94AD0" w:rsidRPr="00C8482F">
        <w:rPr>
          <w:spacing w:val="-2"/>
          <w:lang w:val="en-GB"/>
        </w:rPr>
        <w:t>Fowler</w:t>
      </w:r>
      <w:r w:rsidRPr="00C8482F">
        <w:rPr>
          <w:spacing w:val="-2"/>
          <w:lang w:val="en-GB"/>
        </w:rPr>
        <w:t xml:space="preserve"> set out to analyze the issues </w:t>
      </w:r>
      <w:r w:rsidR="00E94AD0" w:rsidRPr="00C8482F">
        <w:rPr>
          <w:spacing w:val="-2"/>
          <w:lang w:val="en-GB"/>
        </w:rPr>
        <w:t xml:space="preserve">that were </w:t>
      </w:r>
      <w:r w:rsidRPr="00C8482F">
        <w:rPr>
          <w:spacing w:val="-2"/>
          <w:lang w:val="en-GB"/>
        </w:rPr>
        <w:t xml:space="preserve">present in the company’s most recent results. </w:t>
      </w:r>
    </w:p>
    <w:p w14:paraId="46252205" w14:textId="4F1EB7C7" w:rsidR="00D10C17" w:rsidRPr="00D05E75" w:rsidRDefault="00D10C17" w:rsidP="00D05E75">
      <w:pPr>
        <w:pStyle w:val="BodyTextMain"/>
        <w:rPr>
          <w:sz w:val="18"/>
        </w:rPr>
      </w:pPr>
    </w:p>
    <w:p w14:paraId="687D2ED9" w14:textId="77777777" w:rsidR="00D10C17" w:rsidRPr="00D05E75" w:rsidRDefault="00D10C17" w:rsidP="00D05E75">
      <w:pPr>
        <w:pStyle w:val="BodyTextMain"/>
        <w:rPr>
          <w:sz w:val="18"/>
        </w:rPr>
      </w:pPr>
    </w:p>
    <w:p w14:paraId="1996E3B3" w14:textId="77777777" w:rsidR="00D10C17" w:rsidRPr="00E94AD0" w:rsidRDefault="00D10C17" w:rsidP="00D10C17">
      <w:pPr>
        <w:pStyle w:val="Casehead1"/>
        <w:rPr>
          <w:lang w:val="en-GB"/>
        </w:rPr>
      </w:pPr>
      <w:r w:rsidRPr="00E94AD0">
        <w:rPr>
          <w:lang w:val="en-GB"/>
        </w:rPr>
        <w:t>THE CANNABIS INDUSTRY</w:t>
      </w:r>
    </w:p>
    <w:p w14:paraId="00AEFB50" w14:textId="77777777" w:rsidR="00D10C17" w:rsidRPr="00D05E75" w:rsidRDefault="00D10C17" w:rsidP="00D05E75">
      <w:pPr>
        <w:pStyle w:val="BodyTextMain"/>
        <w:rPr>
          <w:sz w:val="18"/>
        </w:rPr>
      </w:pPr>
    </w:p>
    <w:p w14:paraId="4CAA0140" w14:textId="257B27B4" w:rsidR="00D10C17" w:rsidRPr="00E94AD0" w:rsidRDefault="00D10C17" w:rsidP="00D10C17">
      <w:pPr>
        <w:pStyle w:val="Casehead2"/>
        <w:rPr>
          <w:lang w:val="en-GB"/>
        </w:rPr>
      </w:pPr>
      <w:r w:rsidRPr="00E94AD0">
        <w:rPr>
          <w:lang w:val="en-GB"/>
        </w:rPr>
        <w:t>Overview</w:t>
      </w:r>
    </w:p>
    <w:p w14:paraId="30FEC912" w14:textId="77777777" w:rsidR="00D10C17" w:rsidRPr="00D05E75" w:rsidRDefault="00D10C17" w:rsidP="00D05E75">
      <w:pPr>
        <w:pStyle w:val="BodyTextMain"/>
        <w:rPr>
          <w:sz w:val="18"/>
        </w:rPr>
      </w:pPr>
    </w:p>
    <w:p w14:paraId="2D60C20F" w14:textId="582938A0" w:rsidR="00BA5C7A" w:rsidRDefault="00D10C17" w:rsidP="00D10C17">
      <w:pPr>
        <w:pStyle w:val="BodyTextMain"/>
        <w:rPr>
          <w:lang w:val="en-GB"/>
        </w:rPr>
      </w:pPr>
      <w:r w:rsidRPr="00E94AD0">
        <w:rPr>
          <w:lang w:val="en-GB"/>
        </w:rPr>
        <w:t xml:space="preserve">On October 17, 2018, the </w:t>
      </w:r>
      <w:r w:rsidRPr="00E94AD0">
        <w:rPr>
          <w:i/>
          <w:lang w:val="en-GB"/>
        </w:rPr>
        <w:t>Cannabis Act</w:t>
      </w:r>
      <w:r w:rsidRPr="00E94AD0">
        <w:rPr>
          <w:lang w:val="en-GB"/>
        </w:rPr>
        <w:t xml:space="preserve"> came into effect in Canada, making sales of recreational cannabis legal by licensed entities</w:t>
      </w:r>
      <w:r w:rsidR="004447B6">
        <w:rPr>
          <w:lang w:val="en-GB"/>
        </w:rPr>
        <w:t>.</w:t>
      </w:r>
      <w:r w:rsidRPr="00E94AD0">
        <w:rPr>
          <w:rStyle w:val="EndnoteReference"/>
          <w:rFonts w:asciiTheme="majorBidi" w:hAnsiTheme="majorBidi" w:cstheme="majorBidi"/>
          <w:lang w:val="en-GB"/>
        </w:rPr>
        <w:endnoteReference w:id="2"/>
      </w:r>
      <w:r w:rsidRPr="00E94AD0">
        <w:rPr>
          <w:lang w:val="en-GB"/>
        </w:rPr>
        <w:t xml:space="preserve"> Around the time of legalization, the cannabis industry was </w:t>
      </w:r>
      <w:r w:rsidR="004447B6">
        <w:rPr>
          <w:lang w:val="en-GB"/>
        </w:rPr>
        <w:t>among</w:t>
      </w:r>
      <w:r w:rsidRPr="00E94AD0">
        <w:rPr>
          <w:lang w:val="en-GB"/>
        </w:rPr>
        <w:t xml:space="preserve"> the high</w:t>
      </w:r>
      <w:r w:rsidR="004447B6">
        <w:rPr>
          <w:lang w:val="en-GB"/>
        </w:rPr>
        <w:t>est</w:t>
      </w:r>
      <w:r w:rsidRPr="00E94AD0">
        <w:rPr>
          <w:lang w:val="en-GB"/>
        </w:rPr>
        <w:t xml:space="preserve">-profile </w:t>
      </w:r>
      <w:r w:rsidR="004447B6">
        <w:rPr>
          <w:lang w:val="en-GB"/>
        </w:rPr>
        <w:t xml:space="preserve">markets </w:t>
      </w:r>
      <w:r w:rsidRPr="00E94AD0">
        <w:rPr>
          <w:lang w:val="en-GB"/>
        </w:rPr>
        <w:t xml:space="preserve">in the country. </w:t>
      </w:r>
      <w:r w:rsidR="004447B6">
        <w:rPr>
          <w:lang w:val="en-GB"/>
        </w:rPr>
        <w:t>Withi</w:t>
      </w:r>
      <w:r w:rsidRPr="00E94AD0">
        <w:rPr>
          <w:lang w:val="en-GB"/>
        </w:rPr>
        <w:t xml:space="preserve">n </w:t>
      </w:r>
      <w:r w:rsidR="004447B6">
        <w:rPr>
          <w:lang w:val="en-GB"/>
        </w:rPr>
        <w:t>one</w:t>
      </w:r>
      <w:r w:rsidRPr="00E94AD0">
        <w:rPr>
          <w:lang w:val="en-GB"/>
        </w:rPr>
        <w:t xml:space="preserve"> year following legalization of recreational cannabis in Canada, the market </w:t>
      </w:r>
      <w:r w:rsidR="004447B6">
        <w:rPr>
          <w:lang w:val="en-GB"/>
        </w:rPr>
        <w:t xml:space="preserve">had </w:t>
      </w:r>
      <w:r w:rsidRPr="00E94AD0">
        <w:rPr>
          <w:lang w:val="en-GB"/>
        </w:rPr>
        <w:t>gr</w:t>
      </w:r>
      <w:r w:rsidR="004447B6">
        <w:rPr>
          <w:lang w:val="en-GB"/>
        </w:rPr>
        <w:t>o</w:t>
      </w:r>
      <w:r w:rsidRPr="00E94AD0">
        <w:rPr>
          <w:lang w:val="en-GB"/>
        </w:rPr>
        <w:t>w</w:t>
      </w:r>
      <w:r w:rsidR="004447B6">
        <w:rPr>
          <w:lang w:val="en-GB"/>
        </w:rPr>
        <w:t>n</w:t>
      </w:r>
      <w:r w:rsidRPr="00E94AD0">
        <w:rPr>
          <w:lang w:val="en-GB"/>
        </w:rPr>
        <w:t xml:space="preserve"> considerably</w:t>
      </w:r>
      <w:r w:rsidR="007C7998">
        <w:rPr>
          <w:lang w:val="en-GB"/>
        </w:rPr>
        <w:t>. R</w:t>
      </w:r>
      <w:r w:rsidRPr="00E94AD0">
        <w:rPr>
          <w:lang w:val="en-GB"/>
        </w:rPr>
        <w:t>etailers of legal cannabis establish</w:t>
      </w:r>
      <w:r w:rsidR="007C7998">
        <w:rPr>
          <w:lang w:val="en-GB"/>
        </w:rPr>
        <w:t>ed</w:t>
      </w:r>
      <w:r w:rsidRPr="00E94AD0">
        <w:rPr>
          <w:lang w:val="en-GB"/>
        </w:rPr>
        <w:t xml:space="preserve"> more than 400 brick-and-mortar stores and register</w:t>
      </w:r>
      <w:r w:rsidR="007C7998">
        <w:rPr>
          <w:lang w:val="en-GB"/>
        </w:rPr>
        <w:t>ed</w:t>
      </w:r>
      <w:r w:rsidRPr="00E94AD0">
        <w:rPr>
          <w:lang w:val="en-GB"/>
        </w:rPr>
        <w:t xml:space="preserve"> </w:t>
      </w:r>
      <w:r w:rsidR="007C7998">
        <w:rPr>
          <w:lang w:val="en-GB"/>
        </w:rPr>
        <w:t>CA</w:t>
      </w:r>
      <w:r w:rsidRPr="00E94AD0">
        <w:rPr>
          <w:lang w:val="en-GB"/>
        </w:rPr>
        <w:t>$908</w:t>
      </w:r>
      <w:r w:rsidR="007C7998">
        <w:rPr>
          <w:lang w:val="en-GB"/>
        </w:rPr>
        <w:t xml:space="preserve"> million</w:t>
      </w:r>
      <w:r w:rsidRPr="00E94AD0">
        <w:rPr>
          <w:rStyle w:val="EndnoteReference"/>
          <w:rFonts w:asciiTheme="majorBidi" w:hAnsiTheme="majorBidi" w:cstheme="majorBidi"/>
          <w:lang w:val="en-GB"/>
        </w:rPr>
        <w:endnoteReference w:id="3"/>
      </w:r>
      <w:r w:rsidRPr="00E94AD0">
        <w:rPr>
          <w:lang w:val="en-GB"/>
        </w:rPr>
        <w:t xml:space="preserve"> in online and retail store sales</w:t>
      </w:r>
      <w:r w:rsidR="007C7998">
        <w:rPr>
          <w:lang w:val="en-GB"/>
        </w:rPr>
        <w:t>.</w:t>
      </w:r>
      <w:r w:rsidRPr="00E94AD0">
        <w:rPr>
          <w:rStyle w:val="EndnoteReference"/>
          <w:rFonts w:asciiTheme="majorBidi" w:hAnsiTheme="majorBidi" w:cstheme="majorBidi"/>
          <w:lang w:val="en-GB"/>
        </w:rPr>
        <w:endnoteReference w:id="4"/>
      </w:r>
      <w:r w:rsidRPr="00E94AD0">
        <w:rPr>
          <w:lang w:val="en-GB"/>
        </w:rPr>
        <w:t xml:space="preserve"> </w:t>
      </w:r>
    </w:p>
    <w:p w14:paraId="78D5EE13" w14:textId="77777777" w:rsidR="00BA5C7A" w:rsidRPr="00D05E75" w:rsidRDefault="00BA5C7A" w:rsidP="00D05E75">
      <w:pPr>
        <w:pStyle w:val="BodyTextMain"/>
        <w:rPr>
          <w:sz w:val="18"/>
        </w:rPr>
      </w:pPr>
    </w:p>
    <w:p w14:paraId="397482B1" w14:textId="181D9706" w:rsidR="00D10C17" w:rsidRPr="00E94AD0" w:rsidRDefault="00D10C17" w:rsidP="00D10C17">
      <w:pPr>
        <w:pStyle w:val="BodyTextMain"/>
        <w:rPr>
          <w:lang w:val="en-GB"/>
        </w:rPr>
      </w:pPr>
      <w:r w:rsidRPr="00E94AD0">
        <w:rPr>
          <w:lang w:val="en-GB"/>
        </w:rPr>
        <w:t xml:space="preserve">In </w:t>
      </w:r>
      <w:r w:rsidR="007C7998">
        <w:rPr>
          <w:lang w:val="en-GB"/>
        </w:rPr>
        <w:t>its</w:t>
      </w:r>
      <w:r w:rsidRPr="00E94AD0">
        <w:rPr>
          <w:lang w:val="en-GB"/>
        </w:rPr>
        <w:t xml:space="preserve"> third</w:t>
      </w:r>
      <w:r w:rsidR="007C7998">
        <w:rPr>
          <w:lang w:val="en-GB"/>
        </w:rPr>
        <w:t>-</w:t>
      </w:r>
      <w:r w:rsidRPr="00E94AD0">
        <w:rPr>
          <w:lang w:val="en-GB"/>
        </w:rPr>
        <w:t xml:space="preserve">quarter 2019 National Cannabis Survey, </w:t>
      </w:r>
      <w:r w:rsidR="007C7998" w:rsidRPr="00E94AD0">
        <w:rPr>
          <w:lang w:val="en-GB"/>
        </w:rPr>
        <w:t>Statistics Canada</w:t>
      </w:r>
      <w:r w:rsidR="007C7998">
        <w:rPr>
          <w:lang w:val="en-GB"/>
        </w:rPr>
        <w:t xml:space="preserve"> reported that </w:t>
      </w:r>
      <w:r w:rsidRPr="00E94AD0">
        <w:rPr>
          <w:lang w:val="en-GB"/>
        </w:rPr>
        <w:t>nearly 5.2 million Canadians (17</w:t>
      </w:r>
      <w:r w:rsidR="007C7998">
        <w:rPr>
          <w:lang w:val="en-GB"/>
        </w:rPr>
        <w:t xml:space="preserve"> per cent</w:t>
      </w:r>
      <w:r w:rsidRPr="00E94AD0">
        <w:rPr>
          <w:lang w:val="en-GB"/>
        </w:rPr>
        <w:t xml:space="preserve"> of Canadians aged 15 and older) </w:t>
      </w:r>
      <w:r w:rsidR="007C7998">
        <w:rPr>
          <w:lang w:val="en-GB"/>
        </w:rPr>
        <w:t>had</w:t>
      </w:r>
      <w:r w:rsidRPr="00E94AD0">
        <w:rPr>
          <w:lang w:val="en-GB"/>
        </w:rPr>
        <w:t xml:space="preserve"> us</w:t>
      </w:r>
      <w:r w:rsidR="007C7998">
        <w:rPr>
          <w:lang w:val="en-GB"/>
        </w:rPr>
        <w:t>ed</w:t>
      </w:r>
      <w:r w:rsidRPr="00E94AD0">
        <w:rPr>
          <w:lang w:val="en-GB"/>
        </w:rPr>
        <w:t xml:space="preserve"> cannabis in the previous three months</w:t>
      </w:r>
      <w:r w:rsidR="007C7998">
        <w:rPr>
          <w:lang w:val="en-GB"/>
        </w:rPr>
        <w:t>.</w:t>
      </w:r>
      <w:r w:rsidRPr="00E94AD0">
        <w:rPr>
          <w:rStyle w:val="EndnoteReference"/>
          <w:rFonts w:asciiTheme="majorBidi" w:hAnsiTheme="majorBidi" w:cstheme="majorBidi"/>
          <w:lang w:val="en-GB"/>
        </w:rPr>
        <w:endnoteReference w:id="5"/>
      </w:r>
      <w:r w:rsidRPr="00E94AD0">
        <w:rPr>
          <w:lang w:val="en-GB"/>
        </w:rPr>
        <w:t xml:space="preserve"> </w:t>
      </w:r>
      <w:r w:rsidR="007C7998">
        <w:rPr>
          <w:lang w:val="en-GB"/>
        </w:rPr>
        <w:t>F</w:t>
      </w:r>
      <w:r w:rsidRPr="00E94AD0">
        <w:rPr>
          <w:lang w:val="en-GB"/>
        </w:rPr>
        <w:t>urther growth in the market was widely expected</w:t>
      </w:r>
      <w:r w:rsidR="007C7998">
        <w:rPr>
          <w:lang w:val="en-GB"/>
        </w:rPr>
        <w:t xml:space="preserve"> by many observers</w:t>
      </w:r>
      <w:r w:rsidRPr="00E94AD0">
        <w:rPr>
          <w:lang w:val="en-GB"/>
        </w:rPr>
        <w:t>. A report based on research conducted in 2018 (</w:t>
      </w:r>
      <w:r w:rsidR="007C7998">
        <w:rPr>
          <w:lang w:val="en-GB"/>
        </w:rPr>
        <w:t>before the date of</w:t>
      </w:r>
      <w:r w:rsidRPr="00E94AD0">
        <w:rPr>
          <w:lang w:val="en-GB"/>
        </w:rPr>
        <w:t xml:space="preserve"> legalization) estimated that the total legal recreational cannabis market in Canada would grow to </w:t>
      </w:r>
      <w:r w:rsidR="00E50681">
        <w:rPr>
          <w:lang w:val="en-GB"/>
        </w:rPr>
        <w:t>between</w:t>
      </w:r>
      <w:r w:rsidRPr="00E94AD0">
        <w:rPr>
          <w:lang w:val="en-GB"/>
        </w:rPr>
        <w:t xml:space="preserve"> $1.81 billion </w:t>
      </w:r>
      <w:r w:rsidR="00E50681">
        <w:rPr>
          <w:lang w:val="en-GB"/>
        </w:rPr>
        <w:t>and</w:t>
      </w:r>
      <w:r w:rsidRPr="00E94AD0">
        <w:rPr>
          <w:lang w:val="en-GB"/>
        </w:rPr>
        <w:t xml:space="preserve"> $4.34 billion in legal annual sales</w:t>
      </w:r>
      <w:r w:rsidR="00E50681">
        <w:rPr>
          <w:lang w:val="en-GB"/>
        </w:rPr>
        <w:t>.</w:t>
      </w:r>
      <w:r w:rsidR="005932EF">
        <w:rPr>
          <w:lang w:val="en-GB"/>
        </w:rPr>
        <w:t xml:space="preserve"> Canada’s</w:t>
      </w:r>
      <w:r w:rsidRPr="00E94AD0">
        <w:rPr>
          <w:lang w:val="en-GB"/>
        </w:rPr>
        <w:t xml:space="preserve"> medical </w:t>
      </w:r>
      <w:r w:rsidR="005932EF">
        <w:rPr>
          <w:lang w:val="en-GB"/>
        </w:rPr>
        <w:t xml:space="preserve">cannabis </w:t>
      </w:r>
      <w:r w:rsidRPr="00E94AD0">
        <w:rPr>
          <w:lang w:val="en-GB"/>
        </w:rPr>
        <w:t xml:space="preserve">market </w:t>
      </w:r>
      <w:r w:rsidR="005932EF">
        <w:rPr>
          <w:lang w:val="en-GB"/>
        </w:rPr>
        <w:t>w</w:t>
      </w:r>
      <w:r w:rsidR="00E50681">
        <w:rPr>
          <w:lang w:val="en-GB"/>
        </w:rPr>
        <w:t>as</w:t>
      </w:r>
      <w:r w:rsidR="005932EF">
        <w:rPr>
          <w:lang w:val="en-GB"/>
        </w:rPr>
        <w:t xml:space="preserve"> </w:t>
      </w:r>
      <w:r w:rsidRPr="00E94AD0">
        <w:rPr>
          <w:lang w:val="en-GB"/>
        </w:rPr>
        <w:t>predicted to provide a</w:t>
      </w:r>
      <w:r w:rsidR="005932EF">
        <w:rPr>
          <w:lang w:val="en-GB"/>
        </w:rPr>
        <w:t>n additional</w:t>
      </w:r>
      <w:r w:rsidRPr="00E94AD0">
        <w:rPr>
          <w:lang w:val="en-GB"/>
        </w:rPr>
        <w:t xml:space="preserve"> $0.77 billion to $1.79 billion in annual</w:t>
      </w:r>
      <w:r w:rsidR="00E50681">
        <w:rPr>
          <w:lang w:val="en-GB"/>
        </w:rPr>
        <w:t xml:space="preserve"> sales</w:t>
      </w:r>
      <w:r w:rsidRPr="00E94AD0">
        <w:rPr>
          <w:lang w:val="en-GB"/>
        </w:rPr>
        <w:t>.</w:t>
      </w:r>
      <w:r w:rsidRPr="00E94AD0">
        <w:rPr>
          <w:rStyle w:val="EndnoteReference"/>
          <w:rFonts w:asciiTheme="majorBidi" w:hAnsiTheme="majorBidi" w:cstheme="majorBidi"/>
          <w:lang w:val="en-GB"/>
        </w:rPr>
        <w:endnoteReference w:id="6"/>
      </w:r>
    </w:p>
    <w:p w14:paraId="45C6A142" w14:textId="751E822C" w:rsidR="00D10C17" w:rsidRPr="00E94AD0" w:rsidRDefault="00D10C17" w:rsidP="00D10C17">
      <w:pPr>
        <w:pStyle w:val="Casehead2"/>
        <w:rPr>
          <w:lang w:val="en-GB"/>
        </w:rPr>
      </w:pPr>
      <w:r w:rsidRPr="00E94AD0">
        <w:rPr>
          <w:lang w:val="en-GB"/>
        </w:rPr>
        <w:lastRenderedPageBreak/>
        <w:t>Recreational Market and Distribution</w:t>
      </w:r>
    </w:p>
    <w:p w14:paraId="70253C76" w14:textId="77777777" w:rsidR="00D10C17" w:rsidRPr="00E94AD0" w:rsidRDefault="00D10C17" w:rsidP="00D10C17">
      <w:pPr>
        <w:pStyle w:val="BodyTextMain"/>
        <w:rPr>
          <w:rFonts w:asciiTheme="minorBidi" w:hAnsiTheme="minorBidi"/>
          <w:b/>
          <w:bCs/>
          <w:iCs/>
          <w:sz w:val="20"/>
          <w:szCs w:val="20"/>
          <w:lang w:val="en-GB"/>
        </w:rPr>
      </w:pPr>
    </w:p>
    <w:p w14:paraId="5F8D72C0" w14:textId="3BB05722" w:rsidR="00D10C17" w:rsidRPr="00E94AD0" w:rsidRDefault="00D10C17" w:rsidP="00D10C17">
      <w:pPr>
        <w:pStyle w:val="BodyTextMain"/>
        <w:rPr>
          <w:lang w:val="en-GB"/>
        </w:rPr>
      </w:pPr>
      <w:r w:rsidRPr="00E94AD0">
        <w:rPr>
          <w:lang w:val="en-GB"/>
        </w:rPr>
        <w:t xml:space="preserve">The </w:t>
      </w:r>
      <w:r w:rsidRPr="00E94AD0">
        <w:rPr>
          <w:i/>
          <w:lang w:val="en-GB"/>
        </w:rPr>
        <w:t>Cannabis Act</w:t>
      </w:r>
      <w:r w:rsidRPr="00E94AD0">
        <w:rPr>
          <w:lang w:val="en-GB"/>
        </w:rPr>
        <w:t xml:space="preserve"> provided provincial, territorial, and municipal governments with the authority to prescribe regulations regarding retail and distribution of recreational cannabis. As such, the distribution model for recreational cannabis differed from province to province. Some provinces had government-run retailers, others had government-licensed retailers, and some had a combination of the two</w:t>
      </w:r>
      <w:r w:rsidR="00E50681">
        <w:rPr>
          <w:lang w:val="en-GB"/>
        </w:rPr>
        <w:t xml:space="preserve"> models</w:t>
      </w:r>
      <w:r w:rsidRPr="00E94AD0">
        <w:rPr>
          <w:lang w:val="en-GB"/>
        </w:rPr>
        <w:t>.</w:t>
      </w:r>
      <w:r w:rsidRPr="00E94AD0">
        <w:rPr>
          <w:rStyle w:val="EndnoteReference"/>
          <w:rFonts w:asciiTheme="majorBidi" w:hAnsiTheme="majorBidi" w:cstheme="majorBidi"/>
          <w:lang w:val="en-GB"/>
        </w:rPr>
        <w:endnoteReference w:id="7"/>
      </w:r>
      <w:r w:rsidRPr="00E94AD0">
        <w:rPr>
          <w:lang w:val="en-GB"/>
        </w:rPr>
        <w:t xml:space="preserve"> Cannabis producers typically separated recreational sales into two segments: business-to-business</w:t>
      </w:r>
      <w:r w:rsidR="00624BEB">
        <w:rPr>
          <w:lang w:val="en-GB"/>
        </w:rPr>
        <w:t>,</w:t>
      </w:r>
      <w:r w:rsidRPr="00E94AD0">
        <w:rPr>
          <w:lang w:val="en-GB"/>
        </w:rPr>
        <w:t xml:space="preserve"> which represented sales of products to other licensed cannabis companies or to consumers via provincial, territorial, and municipal government intermediaries</w:t>
      </w:r>
      <w:r w:rsidR="00624BEB">
        <w:rPr>
          <w:lang w:val="en-GB"/>
        </w:rPr>
        <w:t>;</w:t>
      </w:r>
      <w:r w:rsidRPr="00E94AD0">
        <w:rPr>
          <w:lang w:val="en-GB"/>
        </w:rPr>
        <w:t xml:space="preserve"> and business-to-consumer</w:t>
      </w:r>
      <w:r w:rsidR="00624BEB">
        <w:rPr>
          <w:lang w:val="en-GB"/>
        </w:rPr>
        <w:t>,</w:t>
      </w:r>
      <w:r w:rsidRPr="00E94AD0">
        <w:rPr>
          <w:lang w:val="en-GB"/>
        </w:rPr>
        <w:t xml:space="preserve"> which represented sales directly to end consumers, where legally permissible. </w:t>
      </w:r>
    </w:p>
    <w:p w14:paraId="46D0A6AE" w14:textId="77777777" w:rsidR="00D10C17" w:rsidRPr="00E94AD0" w:rsidRDefault="00D10C17" w:rsidP="00D10C17">
      <w:pPr>
        <w:pStyle w:val="BodyTextMain"/>
        <w:rPr>
          <w:lang w:val="en-GB"/>
        </w:rPr>
      </w:pPr>
    </w:p>
    <w:p w14:paraId="50782191" w14:textId="3FE39EA3" w:rsidR="00D10C17" w:rsidRPr="00E94AD0" w:rsidRDefault="00D10C17" w:rsidP="00D10C17">
      <w:pPr>
        <w:pStyle w:val="BodyTextMain"/>
        <w:rPr>
          <w:lang w:val="en-GB"/>
        </w:rPr>
      </w:pPr>
      <w:r w:rsidRPr="00E94AD0">
        <w:rPr>
          <w:lang w:val="en-GB"/>
        </w:rPr>
        <w:t>Based on his pr</w:t>
      </w:r>
      <w:r w:rsidR="00624BEB">
        <w:rPr>
          <w:lang w:val="en-GB"/>
        </w:rPr>
        <w:t>evious</w:t>
      </w:r>
      <w:r w:rsidRPr="00E94AD0">
        <w:rPr>
          <w:lang w:val="en-GB"/>
        </w:rPr>
        <w:t xml:space="preserve"> experience, Fowler knew that business-to-business sales in the cannabis industry had some unique issues. Government-owned retailers and distributors</w:t>
      </w:r>
      <w:r w:rsidR="00624BEB">
        <w:rPr>
          <w:lang w:val="en-GB"/>
        </w:rPr>
        <w:t>,</w:t>
      </w:r>
      <w:r w:rsidRPr="00E94AD0">
        <w:rPr>
          <w:lang w:val="en-GB"/>
        </w:rPr>
        <w:t xml:space="preserve"> such as the Ontario Cannabis Store</w:t>
      </w:r>
      <w:r w:rsidR="00624BEB">
        <w:rPr>
          <w:lang w:val="en-GB"/>
        </w:rPr>
        <w:t>,</w:t>
      </w:r>
      <w:r w:rsidRPr="00E94AD0">
        <w:rPr>
          <w:lang w:val="en-GB"/>
        </w:rPr>
        <w:t xml:space="preserve"> </w:t>
      </w:r>
      <w:r w:rsidR="00624BEB">
        <w:rPr>
          <w:lang w:val="en-GB"/>
        </w:rPr>
        <w:t>accounted for</w:t>
      </w:r>
      <w:r w:rsidRPr="00E94AD0">
        <w:rPr>
          <w:lang w:val="en-GB"/>
        </w:rPr>
        <w:t xml:space="preserve"> the vast majority of revenues. </w:t>
      </w:r>
      <w:r w:rsidR="00624BEB">
        <w:rPr>
          <w:lang w:val="en-GB"/>
        </w:rPr>
        <w:t>M</w:t>
      </w:r>
      <w:r w:rsidRPr="00E94AD0">
        <w:rPr>
          <w:lang w:val="en-GB"/>
        </w:rPr>
        <w:t xml:space="preserve">onopolies </w:t>
      </w:r>
      <w:r w:rsidR="00624BEB">
        <w:rPr>
          <w:lang w:val="en-GB"/>
        </w:rPr>
        <w:t>formed by</w:t>
      </w:r>
      <w:r w:rsidRPr="00E94AD0">
        <w:rPr>
          <w:lang w:val="en-GB"/>
        </w:rPr>
        <w:t xml:space="preserve"> government entities</w:t>
      </w:r>
      <w:r w:rsidR="00624BEB">
        <w:rPr>
          <w:lang w:val="en-GB"/>
        </w:rPr>
        <w:t xml:space="preserve"> </w:t>
      </w:r>
      <w:r w:rsidR="00092E20">
        <w:rPr>
          <w:lang w:val="en-GB"/>
        </w:rPr>
        <w:t>com</w:t>
      </w:r>
      <w:r w:rsidR="00624BEB">
        <w:rPr>
          <w:lang w:val="en-GB"/>
        </w:rPr>
        <w:t>manded</w:t>
      </w:r>
      <w:r w:rsidRPr="00E94AD0">
        <w:rPr>
          <w:lang w:val="en-GB"/>
        </w:rPr>
        <w:t xml:space="preserve"> significant bargaining power and ensured that their supply agreements with cannabis producers reflect</w:t>
      </w:r>
      <w:r w:rsidR="00092E20">
        <w:rPr>
          <w:lang w:val="en-GB"/>
        </w:rPr>
        <w:t>ed</w:t>
      </w:r>
      <w:r w:rsidRPr="00E94AD0">
        <w:rPr>
          <w:lang w:val="en-GB"/>
        </w:rPr>
        <w:t xml:space="preserve"> this imbalance. Notably, Fowler knew that government-owned distributors typically </w:t>
      </w:r>
      <w:r w:rsidR="00092E20">
        <w:rPr>
          <w:lang w:val="en-GB"/>
        </w:rPr>
        <w:t>reserved</w:t>
      </w:r>
      <w:r w:rsidRPr="00E94AD0">
        <w:rPr>
          <w:lang w:val="en-GB"/>
        </w:rPr>
        <w:t xml:space="preserve"> the right to return any unsold inventory to cannabis producers at any time for a full refund, even if the</w:t>
      </w:r>
      <w:r w:rsidR="00092E20">
        <w:rPr>
          <w:lang w:val="en-GB"/>
        </w:rPr>
        <w:t xml:space="preserve"> products were completely free of any issues or defects</w:t>
      </w:r>
      <w:r w:rsidRPr="00E94AD0">
        <w:rPr>
          <w:lang w:val="en-GB"/>
        </w:rPr>
        <w:t>.</w:t>
      </w:r>
    </w:p>
    <w:p w14:paraId="3B994C3A" w14:textId="030E1814" w:rsidR="00D10C17" w:rsidRPr="00E94AD0" w:rsidRDefault="00D10C17" w:rsidP="00D10C17">
      <w:pPr>
        <w:pStyle w:val="BodyTextMain"/>
        <w:rPr>
          <w:lang w:val="en-GB"/>
        </w:rPr>
      </w:pPr>
    </w:p>
    <w:p w14:paraId="4EBE63EC" w14:textId="77777777" w:rsidR="00D10C17" w:rsidRPr="00E94AD0" w:rsidRDefault="00D10C17" w:rsidP="00D10C17">
      <w:pPr>
        <w:pStyle w:val="BodyTextMain"/>
        <w:rPr>
          <w:lang w:val="en-GB"/>
        </w:rPr>
      </w:pPr>
    </w:p>
    <w:p w14:paraId="2BAC8E25" w14:textId="77777777" w:rsidR="00D10C17" w:rsidRPr="00E94AD0" w:rsidRDefault="00D10C17" w:rsidP="00D10C17">
      <w:pPr>
        <w:pStyle w:val="Casehead2"/>
        <w:rPr>
          <w:lang w:val="en-GB"/>
        </w:rPr>
      </w:pPr>
      <w:r w:rsidRPr="00E94AD0">
        <w:rPr>
          <w:lang w:val="en-GB"/>
        </w:rPr>
        <w:t>Medical Market and Distribution</w:t>
      </w:r>
    </w:p>
    <w:p w14:paraId="15D5EC73" w14:textId="77777777" w:rsidR="00D10C17" w:rsidRPr="00E94AD0" w:rsidRDefault="00D10C17" w:rsidP="00D10C17">
      <w:pPr>
        <w:pStyle w:val="BodyTextMain"/>
        <w:rPr>
          <w:rFonts w:asciiTheme="minorBidi" w:hAnsiTheme="minorBidi"/>
          <w:b/>
          <w:bCs/>
          <w:iCs/>
          <w:sz w:val="20"/>
          <w:szCs w:val="20"/>
          <w:lang w:val="en-GB"/>
        </w:rPr>
      </w:pPr>
    </w:p>
    <w:p w14:paraId="5B398469" w14:textId="3EF9B248" w:rsidR="008567F4" w:rsidRDefault="00D10C17" w:rsidP="00D10C17">
      <w:pPr>
        <w:pStyle w:val="BodyTextMain"/>
        <w:rPr>
          <w:lang w:val="en-GB"/>
        </w:rPr>
      </w:pPr>
      <w:r w:rsidRPr="00E94AD0">
        <w:rPr>
          <w:lang w:val="en-GB"/>
        </w:rPr>
        <w:t xml:space="preserve">Although sometimes controversial, </w:t>
      </w:r>
      <w:r w:rsidR="004F5154">
        <w:rPr>
          <w:lang w:val="en-GB"/>
        </w:rPr>
        <w:t xml:space="preserve">the </w:t>
      </w:r>
      <w:r w:rsidR="004F5154" w:rsidRPr="00E94AD0">
        <w:rPr>
          <w:lang w:val="en-GB"/>
        </w:rPr>
        <w:t>us</w:t>
      </w:r>
      <w:r w:rsidR="004F5154">
        <w:rPr>
          <w:lang w:val="en-GB"/>
        </w:rPr>
        <w:t>e of</w:t>
      </w:r>
      <w:r w:rsidR="004F5154" w:rsidRPr="00E94AD0">
        <w:rPr>
          <w:lang w:val="en-GB"/>
        </w:rPr>
        <w:t xml:space="preserve"> cannabis </w:t>
      </w:r>
      <w:r w:rsidR="004F5154">
        <w:rPr>
          <w:lang w:val="en-GB"/>
        </w:rPr>
        <w:t xml:space="preserve">was </w:t>
      </w:r>
      <w:r w:rsidR="004F5154" w:rsidRPr="00E94AD0">
        <w:rPr>
          <w:lang w:val="en-GB"/>
        </w:rPr>
        <w:t xml:space="preserve">promoted for its medical benefits </w:t>
      </w:r>
      <w:r w:rsidR="004F5154">
        <w:rPr>
          <w:lang w:val="en-GB"/>
        </w:rPr>
        <w:t xml:space="preserve">by </w:t>
      </w:r>
      <w:r w:rsidRPr="00E94AD0">
        <w:rPr>
          <w:lang w:val="en-GB"/>
        </w:rPr>
        <w:t>many medical professionals and patients around the world. The most common use for medical cannabis was for pain control. In particular, cannabis appeared to be helpful in easing the pain of multiple sclerosis and nerve pain in general. Additionally, it appeared to be helpful in managing nausea, weight loss, and certain gastro-intestinal ailments such as irritable bowel syndrome and Crohn’s disease.</w:t>
      </w:r>
      <w:r w:rsidRPr="00E94AD0">
        <w:rPr>
          <w:rStyle w:val="EndnoteReference"/>
          <w:rFonts w:asciiTheme="majorBidi" w:hAnsiTheme="majorBidi" w:cstheme="majorBidi"/>
          <w:lang w:val="en-GB"/>
        </w:rPr>
        <w:endnoteReference w:id="8"/>
      </w:r>
      <w:r w:rsidRPr="00E94AD0">
        <w:rPr>
          <w:lang w:val="en-GB"/>
        </w:rPr>
        <w:t xml:space="preserve"> </w:t>
      </w:r>
    </w:p>
    <w:p w14:paraId="44ED9E9E" w14:textId="77777777" w:rsidR="008567F4" w:rsidRDefault="008567F4" w:rsidP="00D10C17">
      <w:pPr>
        <w:pStyle w:val="BodyTextMain"/>
        <w:rPr>
          <w:lang w:val="en-GB"/>
        </w:rPr>
      </w:pPr>
    </w:p>
    <w:p w14:paraId="4ADCA46F" w14:textId="04A7E4A7" w:rsidR="00D10C17" w:rsidRPr="00C8482F" w:rsidRDefault="00D10C17" w:rsidP="00D10C17">
      <w:pPr>
        <w:pStyle w:val="BodyTextMain"/>
        <w:rPr>
          <w:spacing w:val="-4"/>
          <w:lang w:val="en-GB"/>
        </w:rPr>
      </w:pPr>
      <w:r w:rsidRPr="00C8482F">
        <w:rPr>
          <w:spacing w:val="-4"/>
          <w:lang w:val="en-GB"/>
        </w:rPr>
        <w:t>Medical cannabis ha</w:t>
      </w:r>
      <w:r w:rsidR="00E50681" w:rsidRPr="00C8482F">
        <w:rPr>
          <w:spacing w:val="-4"/>
          <w:lang w:val="en-GB"/>
        </w:rPr>
        <w:t>d</w:t>
      </w:r>
      <w:r w:rsidRPr="00C8482F">
        <w:rPr>
          <w:spacing w:val="-4"/>
          <w:lang w:val="en-GB"/>
        </w:rPr>
        <w:t xml:space="preserve"> been legal in Canada since 2001</w:t>
      </w:r>
      <w:r w:rsidR="00D12BC8" w:rsidRPr="00C8482F">
        <w:rPr>
          <w:spacing w:val="-4"/>
          <w:lang w:val="en-GB"/>
        </w:rPr>
        <w:t>,</w:t>
      </w:r>
      <w:r w:rsidRPr="00C8482F">
        <w:rPr>
          <w:spacing w:val="-4"/>
          <w:lang w:val="en-GB"/>
        </w:rPr>
        <w:t xml:space="preserve"> when the Federal Marihuana Medical Access Regulations</w:t>
      </w:r>
      <w:r w:rsidRPr="00C8482F">
        <w:rPr>
          <w:rStyle w:val="EndnoteReference"/>
          <w:rFonts w:cstheme="majorBidi"/>
          <w:spacing w:val="-4"/>
          <w:lang w:val="en-GB"/>
        </w:rPr>
        <w:endnoteReference w:id="9"/>
      </w:r>
      <w:r w:rsidRPr="00C8482F">
        <w:rPr>
          <w:spacing w:val="-4"/>
          <w:lang w:val="en-GB"/>
        </w:rPr>
        <w:t xml:space="preserve"> were passed</w:t>
      </w:r>
      <w:r w:rsidR="00E50681" w:rsidRPr="00C8482F">
        <w:rPr>
          <w:spacing w:val="-4"/>
          <w:lang w:val="en-GB"/>
        </w:rPr>
        <w:t xml:space="preserve"> to</w:t>
      </w:r>
      <w:r w:rsidRPr="00C8482F">
        <w:rPr>
          <w:spacing w:val="-4"/>
          <w:lang w:val="en-GB"/>
        </w:rPr>
        <w:t xml:space="preserve"> allow Canadians access to medical marijuana.</w:t>
      </w:r>
      <w:r w:rsidRPr="00C8482F">
        <w:rPr>
          <w:rStyle w:val="EndnoteReference"/>
          <w:rFonts w:cstheme="majorBidi"/>
          <w:spacing w:val="-4"/>
          <w:lang w:val="en-GB"/>
        </w:rPr>
        <w:endnoteReference w:id="10"/>
      </w:r>
      <w:r w:rsidRPr="00C8482F">
        <w:rPr>
          <w:spacing w:val="-4"/>
          <w:lang w:val="en-GB"/>
        </w:rPr>
        <w:t xml:space="preserve"> Sales of medical cannabis were primarily pursued via </w:t>
      </w:r>
      <w:r w:rsidR="00D12BC8" w:rsidRPr="00C8482F">
        <w:rPr>
          <w:spacing w:val="-4"/>
          <w:lang w:val="en-GB"/>
        </w:rPr>
        <w:t>the</w:t>
      </w:r>
      <w:r w:rsidRPr="00C8482F">
        <w:rPr>
          <w:spacing w:val="-4"/>
          <w:lang w:val="en-GB"/>
        </w:rPr>
        <w:t xml:space="preserve"> business-to-consumer model.</w:t>
      </w:r>
      <w:r w:rsidRPr="00C8482F">
        <w:rPr>
          <w:rStyle w:val="EndnoteReference"/>
          <w:rFonts w:cstheme="majorBidi"/>
          <w:spacing w:val="-4"/>
          <w:lang w:val="en-GB"/>
        </w:rPr>
        <w:endnoteReference w:id="11"/>
      </w:r>
      <w:r w:rsidRPr="00C8482F">
        <w:rPr>
          <w:spacing w:val="-4"/>
          <w:lang w:val="en-GB"/>
        </w:rPr>
        <w:t xml:space="preserve"> Fowler </w:t>
      </w:r>
      <w:r w:rsidR="00D12BC8" w:rsidRPr="00C8482F">
        <w:rPr>
          <w:spacing w:val="-4"/>
          <w:lang w:val="en-GB"/>
        </w:rPr>
        <w:t>was aware</w:t>
      </w:r>
      <w:r w:rsidRPr="00C8482F">
        <w:rPr>
          <w:spacing w:val="-4"/>
          <w:lang w:val="en-GB"/>
        </w:rPr>
        <w:t xml:space="preserve"> that the medical side of the business was </w:t>
      </w:r>
      <w:r w:rsidR="00DC1F54" w:rsidRPr="00C8482F">
        <w:rPr>
          <w:spacing w:val="-4"/>
          <w:lang w:val="en-GB"/>
        </w:rPr>
        <w:t xml:space="preserve">stable but </w:t>
      </w:r>
      <w:r w:rsidRPr="00C8482F">
        <w:rPr>
          <w:spacing w:val="-4"/>
          <w:lang w:val="en-GB"/>
        </w:rPr>
        <w:t>comparatively small</w:t>
      </w:r>
      <w:r w:rsidR="00DC1F54" w:rsidRPr="00C8482F">
        <w:rPr>
          <w:spacing w:val="-4"/>
          <w:lang w:val="en-GB"/>
        </w:rPr>
        <w:t>. S</w:t>
      </w:r>
      <w:r w:rsidRPr="00C8482F">
        <w:rPr>
          <w:spacing w:val="-4"/>
          <w:lang w:val="en-GB"/>
        </w:rPr>
        <w:t>till</w:t>
      </w:r>
      <w:r w:rsidR="00DC1F54" w:rsidRPr="00C8482F">
        <w:rPr>
          <w:spacing w:val="-4"/>
          <w:lang w:val="en-GB"/>
        </w:rPr>
        <w:t>, he</w:t>
      </w:r>
      <w:r w:rsidRPr="00C8482F">
        <w:rPr>
          <w:spacing w:val="-4"/>
          <w:lang w:val="en-GB"/>
        </w:rPr>
        <w:t xml:space="preserve"> </w:t>
      </w:r>
      <w:r w:rsidR="00D12BC8" w:rsidRPr="00C8482F">
        <w:rPr>
          <w:spacing w:val="-4"/>
          <w:lang w:val="en-GB"/>
        </w:rPr>
        <w:t>considered it</w:t>
      </w:r>
      <w:r w:rsidRPr="00C8482F">
        <w:rPr>
          <w:spacing w:val="-4"/>
          <w:lang w:val="en-GB"/>
        </w:rPr>
        <w:t xml:space="preserve"> an important component of the overall company.</w:t>
      </w:r>
    </w:p>
    <w:p w14:paraId="0D9D1A0F" w14:textId="64DF1501" w:rsidR="00D10C17" w:rsidRPr="00E94AD0" w:rsidRDefault="00D10C17" w:rsidP="00D10C17">
      <w:pPr>
        <w:pStyle w:val="BodyTextMain"/>
        <w:rPr>
          <w:rFonts w:asciiTheme="minorBidi" w:hAnsiTheme="minorBidi"/>
          <w:b/>
          <w:bCs/>
          <w:iCs/>
          <w:sz w:val="20"/>
          <w:szCs w:val="20"/>
          <w:lang w:val="en-GB"/>
        </w:rPr>
      </w:pPr>
    </w:p>
    <w:p w14:paraId="5D35B73B" w14:textId="77777777" w:rsidR="00D10C17" w:rsidRPr="00E94AD0" w:rsidRDefault="00D10C17" w:rsidP="00D10C17">
      <w:pPr>
        <w:pStyle w:val="BodyTextMain"/>
        <w:rPr>
          <w:rFonts w:asciiTheme="minorBidi" w:hAnsiTheme="minorBidi"/>
          <w:b/>
          <w:bCs/>
          <w:iCs/>
          <w:sz w:val="20"/>
          <w:szCs w:val="20"/>
          <w:lang w:val="en-GB"/>
        </w:rPr>
      </w:pPr>
    </w:p>
    <w:p w14:paraId="5EFD5BDB" w14:textId="77777777" w:rsidR="00D10C17" w:rsidRPr="00E94AD0" w:rsidRDefault="00D10C17" w:rsidP="00D10C17">
      <w:pPr>
        <w:pStyle w:val="Casehead2"/>
        <w:rPr>
          <w:lang w:val="en-GB"/>
        </w:rPr>
      </w:pPr>
      <w:r w:rsidRPr="00E94AD0">
        <w:rPr>
          <w:lang w:val="en-GB"/>
        </w:rPr>
        <w:t>Products and Cannabis 2.0</w:t>
      </w:r>
    </w:p>
    <w:p w14:paraId="0B9D1E8F" w14:textId="77777777" w:rsidR="00D10C17" w:rsidRPr="00E94AD0" w:rsidRDefault="00D10C17" w:rsidP="00D10C17">
      <w:pPr>
        <w:pStyle w:val="BodyTextMain"/>
        <w:rPr>
          <w:lang w:val="en-GB"/>
        </w:rPr>
      </w:pPr>
    </w:p>
    <w:p w14:paraId="38B9D96B" w14:textId="38E9DEE7" w:rsidR="00D10C17" w:rsidRPr="00E94AD0" w:rsidRDefault="00DC1F54" w:rsidP="00D10C17">
      <w:pPr>
        <w:pStyle w:val="BodyTextMain"/>
        <w:rPr>
          <w:lang w:val="en-GB"/>
        </w:rPr>
      </w:pPr>
      <w:r>
        <w:rPr>
          <w:lang w:val="en-GB"/>
        </w:rPr>
        <w:t xml:space="preserve">The </w:t>
      </w:r>
      <w:r w:rsidR="008567F4">
        <w:rPr>
          <w:lang w:val="en-GB"/>
        </w:rPr>
        <w:t xml:space="preserve">October </w:t>
      </w:r>
      <w:r>
        <w:rPr>
          <w:lang w:val="en-GB"/>
        </w:rPr>
        <w:t xml:space="preserve">2018 </w:t>
      </w:r>
      <w:r w:rsidR="00D10C17" w:rsidRPr="00DC1F54">
        <w:rPr>
          <w:i/>
          <w:iCs/>
          <w:lang w:val="en-GB"/>
        </w:rPr>
        <w:t>Cann</w:t>
      </w:r>
      <w:r w:rsidRPr="00DC1F54">
        <w:rPr>
          <w:i/>
          <w:iCs/>
          <w:lang w:val="en-GB"/>
        </w:rPr>
        <w:t>a</w:t>
      </w:r>
      <w:r w:rsidR="00D10C17" w:rsidRPr="00DC1F54">
        <w:rPr>
          <w:i/>
          <w:iCs/>
          <w:lang w:val="en-GB"/>
        </w:rPr>
        <w:t>b</w:t>
      </w:r>
      <w:r w:rsidRPr="00DC1F54">
        <w:rPr>
          <w:i/>
          <w:iCs/>
          <w:lang w:val="en-GB"/>
        </w:rPr>
        <w:t>i</w:t>
      </w:r>
      <w:r w:rsidR="00D10C17" w:rsidRPr="00DC1F54">
        <w:rPr>
          <w:i/>
          <w:iCs/>
          <w:lang w:val="en-GB"/>
        </w:rPr>
        <w:t>s</w:t>
      </w:r>
      <w:r w:rsidRPr="00DC1F54">
        <w:rPr>
          <w:i/>
          <w:iCs/>
          <w:lang w:val="en-GB"/>
        </w:rPr>
        <w:t xml:space="preserve"> Act</w:t>
      </w:r>
      <w:r>
        <w:rPr>
          <w:lang w:val="en-GB"/>
        </w:rPr>
        <w:t xml:space="preserve"> had</w:t>
      </w:r>
      <w:r w:rsidR="00D10C17" w:rsidRPr="00E94AD0">
        <w:rPr>
          <w:lang w:val="en-GB"/>
        </w:rPr>
        <w:t xml:space="preserve"> legalized</w:t>
      </w:r>
      <w:r>
        <w:rPr>
          <w:lang w:val="en-GB"/>
        </w:rPr>
        <w:t xml:space="preserve"> the sale of</w:t>
      </w:r>
      <w:r w:rsidR="00D10C17" w:rsidRPr="00E94AD0">
        <w:rPr>
          <w:lang w:val="en-GB"/>
        </w:rPr>
        <w:t xml:space="preserve"> combustible cannabis, oils, plants</w:t>
      </w:r>
      <w:r>
        <w:rPr>
          <w:lang w:val="en-GB"/>
        </w:rPr>
        <w:t>,</w:t>
      </w:r>
      <w:r w:rsidR="00D10C17" w:rsidRPr="00E94AD0">
        <w:rPr>
          <w:lang w:val="en-GB"/>
        </w:rPr>
        <w:t xml:space="preserve"> and seeds in Canada. </w:t>
      </w:r>
      <w:r w:rsidR="008567F4">
        <w:rPr>
          <w:lang w:val="en-GB"/>
        </w:rPr>
        <w:t>This first round of legislation was sometimes referred to as “Cannabis 1.0.” A second round of</w:t>
      </w:r>
      <w:r w:rsidR="008567F4" w:rsidRPr="00E94AD0">
        <w:rPr>
          <w:lang w:val="en-GB"/>
        </w:rPr>
        <w:t xml:space="preserve"> </w:t>
      </w:r>
      <w:r w:rsidR="00D10C17" w:rsidRPr="00E94AD0">
        <w:rPr>
          <w:lang w:val="en-GB"/>
        </w:rPr>
        <w:t xml:space="preserve">legislation </w:t>
      </w:r>
      <w:r w:rsidR="008567F4">
        <w:rPr>
          <w:lang w:val="en-GB"/>
        </w:rPr>
        <w:t xml:space="preserve">was </w:t>
      </w:r>
      <w:r w:rsidR="00D10C17" w:rsidRPr="00E94AD0">
        <w:rPr>
          <w:lang w:val="en-GB"/>
        </w:rPr>
        <w:t xml:space="preserve">introduced </w:t>
      </w:r>
      <w:r w:rsidR="008567F4">
        <w:rPr>
          <w:lang w:val="en-GB"/>
        </w:rPr>
        <w:t xml:space="preserve">one year later, </w:t>
      </w:r>
      <w:r w:rsidR="00D10C17" w:rsidRPr="00E94AD0">
        <w:rPr>
          <w:lang w:val="en-GB"/>
        </w:rPr>
        <w:t xml:space="preserve">on October 17, 2019, </w:t>
      </w:r>
      <w:r w:rsidR="008567F4">
        <w:rPr>
          <w:lang w:val="en-GB"/>
        </w:rPr>
        <w:t xml:space="preserve">which was sometimes referred to as “Cannabis 2.0.” This second law </w:t>
      </w:r>
      <w:r w:rsidR="00D10C17" w:rsidRPr="00E94AD0">
        <w:rPr>
          <w:lang w:val="en-GB"/>
        </w:rPr>
        <w:t xml:space="preserve">legalized </w:t>
      </w:r>
      <w:r>
        <w:rPr>
          <w:lang w:val="en-GB"/>
        </w:rPr>
        <w:t xml:space="preserve">the sale of </w:t>
      </w:r>
      <w:r w:rsidR="00D10C17" w:rsidRPr="00E94AD0">
        <w:rPr>
          <w:lang w:val="en-GB"/>
        </w:rPr>
        <w:t>edibles containing cannabis and cannabis concentrates for recreational use.</w:t>
      </w:r>
      <w:r w:rsidR="00D10C17" w:rsidRPr="00E94AD0">
        <w:rPr>
          <w:rStyle w:val="EndnoteReference"/>
          <w:rFonts w:asciiTheme="majorBidi" w:hAnsiTheme="majorBidi" w:cstheme="majorBidi"/>
          <w:lang w:val="en-GB"/>
        </w:rPr>
        <w:endnoteReference w:id="12"/>
      </w:r>
      <w:r w:rsidR="00D10C17" w:rsidRPr="00E94AD0">
        <w:rPr>
          <w:lang w:val="en-GB"/>
        </w:rPr>
        <w:t xml:space="preserve"> These new products were expected to have a significant impact on the </w:t>
      </w:r>
      <w:r w:rsidR="008567F4">
        <w:rPr>
          <w:lang w:val="en-GB"/>
        </w:rPr>
        <w:t>recreational cannabis industry. T</w:t>
      </w:r>
      <w:r w:rsidR="00D10C17" w:rsidRPr="00E94AD0">
        <w:rPr>
          <w:lang w:val="en-GB"/>
        </w:rPr>
        <w:t xml:space="preserve">he Canadian market for edibles and alternative cannabis products </w:t>
      </w:r>
      <w:r w:rsidR="008567F4">
        <w:rPr>
          <w:lang w:val="en-GB"/>
        </w:rPr>
        <w:t xml:space="preserve">was </w:t>
      </w:r>
      <w:r w:rsidR="00D10C17" w:rsidRPr="00E94AD0">
        <w:rPr>
          <w:lang w:val="en-GB"/>
        </w:rPr>
        <w:t xml:space="preserve">expected to </w:t>
      </w:r>
      <w:r w:rsidR="008567F4">
        <w:rPr>
          <w:lang w:val="en-GB"/>
        </w:rPr>
        <w:t>reach an annual value of</w:t>
      </w:r>
      <w:r w:rsidR="00D10C17" w:rsidRPr="00E94AD0">
        <w:rPr>
          <w:lang w:val="en-GB"/>
        </w:rPr>
        <w:t xml:space="preserve"> $2.7 billion.</w:t>
      </w:r>
      <w:r w:rsidR="00D10C17" w:rsidRPr="00E94AD0">
        <w:rPr>
          <w:rStyle w:val="EndnoteReference"/>
          <w:rFonts w:asciiTheme="majorBidi" w:hAnsiTheme="majorBidi" w:cstheme="majorBidi"/>
          <w:lang w:val="en-GB"/>
        </w:rPr>
        <w:endnoteReference w:id="13"/>
      </w:r>
    </w:p>
    <w:p w14:paraId="0A330C83" w14:textId="75880E96" w:rsidR="00D10C17" w:rsidRDefault="00D10C17" w:rsidP="00D10C17">
      <w:pPr>
        <w:pStyle w:val="BodyTextMain"/>
        <w:rPr>
          <w:lang w:val="en-GB"/>
        </w:rPr>
      </w:pPr>
    </w:p>
    <w:p w14:paraId="7FA47724" w14:textId="77777777" w:rsidR="00AD3330" w:rsidRPr="00E94AD0" w:rsidRDefault="00AD3330" w:rsidP="00D10C17">
      <w:pPr>
        <w:pStyle w:val="BodyTextMain"/>
        <w:rPr>
          <w:lang w:val="en-GB"/>
        </w:rPr>
      </w:pPr>
    </w:p>
    <w:p w14:paraId="4CD6B72F" w14:textId="77777777" w:rsidR="00D10C17" w:rsidRPr="00E94AD0" w:rsidRDefault="00D10C17" w:rsidP="00D10C17">
      <w:pPr>
        <w:pStyle w:val="Casehead2"/>
        <w:rPr>
          <w:lang w:val="en-GB"/>
        </w:rPr>
      </w:pPr>
      <w:r w:rsidRPr="00E94AD0">
        <w:rPr>
          <w:lang w:val="en-GB"/>
        </w:rPr>
        <w:t>Agricultural Risks</w:t>
      </w:r>
    </w:p>
    <w:p w14:paraId="66F33198" w14:textId="77777777" w:rsidR="00D10C17" w:rsidRPr="00E94AD0" w:rsidRDefault="00D10C17" w:rsidP="00D10C17">
      <w:pPr>
        <w:pStyle w:val="BodyTextMain"/>
        <w:rPr>
          <w:lang w:val="en-GB"/>
        </w:rPr>
      </w:pPr>
    </w:p>
    <w:p w14:paraId="643E73B1" w14:textId="0262EACC" w:rsidR="00D10C17" w:rsidRPr="00E94AD0" w:rsidRDefault="00D10C17" w:rsidP="00D10C17">
      <w:pPr>
        <w:pStyle w:val="BodyTextMain"/>
        <w:rPr>
          <w:lang w:val="en-GB"/>
        </w:rPr>
      </w:pPr>
      <w:r w:rsidRPr="00E94AD0">
        <w:rPr>
          <w:lang w:val="en-GB"/>
        </w:rPr>
        <w:t xml:space="preserve">There were several inherent </w:t>
      </w:r>
      <w:r w:rsidR="00557C8D">
        <w:rPr>
          <w:lang w:val="en-GB"/>
        </w:rPr>
        <w:t xml:space="preserve">risks </w:t>
      </w:r>
      <w:r w:rsidRPr="00E94AD0">
        <w:rPr>
          <w:lang w:val="en-GB"/>
        </w:rPr>
        <w:t xml:space="preserve">in growing cannabis, </w:t>
      </w:r>
      <w:r w:rsidR="00557C8D">
        <w:rPr>
          <w:lang w:val="en-GB"/>
        </w:rPr>
        <w:t xml:space="preserve">which was </w:t>
      </w:r>
      <w:r w:rsidRPr="00E94AD0">
        <w:rPr>
          <w:lang w:val="en-GB"/>
        </w:rPr>
        <w:t>an agricultural product</w:t>
      </w:r>
      <w:r w:rsidR="00557C8D">
        <w:rPr>
          <w:lang w:val="en-GB"/>
        </w:rPr>
        <w:t>. Potential difficulties</w:t>
      </w:r>
      <w:r w:rsidRPr="00E94AD0">
        <w:rPr>
          <w:lang w:val="en-GB"/>
        </w:rPr>
        <w:t xml:space="preserve"> could</w:t>
      </w:r>
      <w:r w:rsidR="00557C8D">
        <w:rPr>
          <w:lang w:val="en-GB"/>
        </w:rPr>
        <w:t xml:space="preserve"> have an adverse</w:t>
      </w:r>
      <w:r w:rsidRPr="00E94AD0">
        <w:rPr>
          <w:lang w:val="en-GB"/>
        </w:rPr>
        <w:t xml:space="preserve"> impact </w:t>
      </w:r>
      <w:r w:rsidR="00557C8D">
        <w:rPr>
          <w:lang w:val="en-GB"/>
        </w:rPr>
        <w:t xml:space="preserve">on </w:t>
      </w:r>
      <w:r w:rsidRPr="00E94AD0">
        <w:rPr>
          <w:lang w:val="en-GB"/>
        </w:rPr>
        <w:t>both the quality and quantity of harvested</w:t>
      </w:r>
      <w:r w:rsidR="00557C8D">
        <w:rPr>
          <w:lang w:val="en-GB"/>
        </w:rPr>
        <w:t xml:space="preserve"> crops</w:t>
      </w:r>
      <w:r w:rsidRPr="00E94AD0">
        <w:rPr>
          <w:lang w:val="en-GB"/>
        </w:rPr>
        <w:t>. The</w:t>
      </w:r>
      <w:r w:rsidR="00557C8D">
        <w:rPr>
          <w:lang w:val="en-GB"/>
        </w:rPr>
        <w:t xml:space="preserve"> various production</w:t>
      </w:r>
      <w:r w:rsidRPr="00E94AD0">
        <w:rPr>
          <w:lang w:val="en-GB"/>
        </w:rPr>
        <w:t xml:space="preserve"> risks included insect damage, plant disease, labour shortage, </w:t>
      </w:r>
      <w:r w:rsidR="007E46D6">
        <w:rPr>
          <w:lang w:val="en-GB"/>
        </w:rPr>
        <w:t xml:space="preserve">adverse weather conditions, </w:t>
      </w:r>
      <w:r w:rsidR="007E46D6">
        <w:rPr>
          <w:lang w:val="en-GB"/>
        </w:rPr>
        <w:lastRenderedPageBreak/>
        <w:t xml:space="preserve">significant meteorological events, and </w:t>
      </w:r>
      <w:r w:rsidRPr="00E94AD0">
        <w:rPr>
          <w:lang w:val="en-GB"/>
        </w:rPr>
        <w:t>excess residue f</w:t>
      </w:r>
      <w:r w:rsidR="007E46D6">
        <w:rPr>
          <w:lang w:val="en-GB"/>
        </w:rPr>
        <w:t>rom</w:t>
      </w:r>
      <w:r w:rsidRPr="00E94AD0">
        <w:rPr>
          <w:lang w:val="en-GB"/>
        </w:rPr>
        <w:t xml:space="preserve"> pesticides, fungicides</w:t>
      </w:r>
      <w:r w:rsidR="007E46D6">
        <w:rPr>
          <w:lang w:val="en-GB"/>
        </w:rPr>
        <w:t>,</w:t>
      </w:r>
      <w:r w:rsidRPr="00E94AD0">
        <w:rPr>
          <w:lang w:val="en-GB"/>
        </w:rPr>
        <w:t xml:space="preserve"> and herbicides. These agricultural product</w:t>
      </w:r>
      <w:r w:rsidR="007E46D6">
        <w:rPr>
          <w:lang w:val="en-GB"/>
        </w:rPr>
        <w:t>ion</w:t>
      </w:r>
      <w:r w:rsidRPr="00E94AD0">
        <w:rPr>
          <w:lang w:val="en-GB"/>
        </w:rPr>
        <w:t xml:space="preserve"> risks were particularly acute in cannabis</w:t>
      </w:r>
      <w:r w:rsidR="007E46D6">
        <w:rPr>
          <w:lang w:val="en-GB"/>
        </w:rPr>
        <w:t>.</w:t>
      </w:r>
      <w:r w:rsidRPr="00E94AD0">
        <w:rPr>
          <w:lang w:val="en-GB"/>
        </w:rPr>
        <w:t xml:space="preserve"> </w:t>
      </w:r>
      <w:r w:rsidR="007E46D6">
        <w:rPr>
          <w:lang w:val="en-GB"/>
        </w:rPr>
        <w:t>T</w:t>
      </w:r>
      <w:r w:rsidRPr="00E94AD0">
        <w:rPr>
          <w:lang w:val="en-GB"/>
        </w:rPr>
        <w:t xml:space="preserve">he end product was </w:t>
      </w:r>
      <w:r w:rsidR="007E46D6">
        <w:rPr>
          <w:lang w:val="en-GB"/>
        </w:rPr>
        <w:t>subject</w:t>
      </w:r>
      <w:r w:rsidRPr="00E94AD0">
        <w:rPr>
          <w:lang w:val="en-GB"/>
        </w:rPr>
        <w:t xml:space="preserve"> to the same microbial, heavy metal</w:t>
      </w:r>
      <w:r w:rsidR="007E46D6">
        <w:rPr>
          <w:lang w:val="en-GB"/>
        </w:rPr>
        <w:t>,</w:t>
      </w:r>
      <w:r w:rsidRPr="00E94AD0">
        <w:rPr>
          <w:lang w:val="en-GB"/>
        </w:rPr>
        <w:t xml:space="preserve"> and pesticide contamination specifications as herbal medicines.</w:t>
      </w:r>
    </w:p>
    <w:p w14:paraId="15B0E7B9" w14:textId="3EB65356" w:rsidR="00D10C17" w:rsidRPr="00E94AD0" w:rsidRDefault="00D10C17" w:rsidP="00D10C17">
      <w:pPr>
        <w:pStyle w:val="BodyTextMain"/>
        <w:rPr>
          <w:sz w:val="24"/>
          <w:szCs w:val="24"/>
          <w:lang w:val="en-GB" w:eastAsia="zh-CN"/>
        </w:rPr>
      </w:pPr>
    </w:p>
    <w:p w14:paraId="73A7EDBE" w14:textId="77777777" w:rsidR="00D10C17" w:rsidRPr="00E94AD0" w:rsidRDefault="00D10C17" w:rsidP="00D10C17">
      <w:pPr>
        <w:pStyle w:val="BodyTextMain"/>
        <w:rPr>
          <w:sz w:val="24"/>
          <w:szCs w:val="24"/>
          <w:lang w:val="en-GB" w:eastAsia="zh-CN"/>
        </w:rPr>
      </w:pPr>
    </w:p>
    <w:p w14:paraId="4AE9438A" w14:textId="486BED06" w:rsidR="00D10C17" w:rsidRPr="00E94AD0" w:rsidRDefault="00D10C17" w:rsidP="00D10C17">
      <w:pPr>
        <w:pStyle w:val="Casehead2"/>
        <w:rPr>
          <w:lang w:val="en-GB"/>
        </w:rPr>
      </w:pPr>
      <w:r w:rsidRPr="00E94AD0">
        <w:rPr>
          <w:lang w:val="en-GB"/>
        </w:rPr>
        <w:t>Global and US Opportunity</w:t>
      </w:r>
    </w:p>
    <w:p w14:paraId="3E307E55" w14:textId="77777777" w:rsidR="00D10C17" w:rsidRPr="00E94AD0" w:rsidRDefault="00D10C17" w:rsidP="00D10C17">
      <w:pPr>
        <w:pStyle w:val="BodyTextMain"/>
        <w:rPr>
          <w:lang w:val="en-GB"/>
        </w:rPr>
      </w:pPr>
    </w:p>
    <w:p w14:paraId="71D0D0BC" w14:textId="66C56552" w:rsidR="00D10C17" w:rsidRPr="00E94AD0" w:rsidRDefault="00FB3900" w:rsidP="00D10C17">
      <w:pPr>
        <w:pStyle w:val="BodyTextMain"/>
        <w:rPr>
          <w:lang w:val="en-GB"/>
        </w:rPr>
      </w:pPr>
      <w:r>
        <w:rPr>
          <w:lang w:val="en-GB"/>
        </w:rPr>
        <w:t>By</w:t>
      </w:r>
      <w:r w:rsidR="00D10C17" w:rsidRPr="00E94AD0">
        <w:rPr>
          <w:lang w:val="en-GB"/>
        </w:rPr>
        <w:t xml:space="preserve"> 2019, only a few countries around th</w:t>
      </w:r>
      <w:r>
        <w:rPr>
          <w:lang w:val="en-GB"/>
        </w:rPr>
        <w:t>e</w:t>
      </w:r>
      <w:r w:rsidR="00D10C17" w:rsidRPr="00E94AD0">
        <w:rPr>
          <w:lang w:val="en-GB"/>
        </w:rPr>
        <w:t xml:space="preserve"> world had legalized the sale of recreational cannabis</w:t>
      </w:r>
      <w:r>
        <w:rPr>
          <w:lang w:val="en-GB"/>
        </w:rPr>
        <w:t xml:space="preserve"> at the federal level.</w:t>
      </w:r>
      <w:r w:rsidR="00D10C17" w:rsidRPr="00E94AD0">
        <w:rPr>
          <w:lang w:val="en-GB"/>
        </w:rPr>
        <w:t xml:space="preserve"> Canada </w:t>
      </w:r>
      <w:r>
        <w:rPr>
          <w:lang w:val="en-GB"/>
        </w:rPr>
        <w:t>was</w:t>
      </w:r>
      <w:r w:rsidR="00D10C17" w:rsidRPr="00E94AD0">
        <w:rPr>
          <w:lang w:val="en-GB"/>
        </w:rPr>
        <w:t xml:space="preserve"> the only </w:t>
      </w:r>
      <w:r>
        <w:rPr>
          <w:lang w:val="en-GB"/>
        </w:rPr>
        <w:t>Group of Seven (</w:t>
      </w:r>
      <w:r w:rsidR="00D10C17" w:rsidRPr="00E94AD0">
        <w:rPr>
          <w:lang w:val="en-GB"/>
        </w:rPr>
        <w:t>G7</w:t>
      </w:r>
      <w:r>
        <w:rPr>
          <w:lang w:val="en-GB"/>
        </w:rPr>
        <w:t>)</w:t>
      </w:r>
      <w:r w:rsidR="00D10C17" w:rsidRPr="00E94AD0">
        <w:rPr>
          <w:lang w:val="en-GB"/>
        </w:rPr>
        <w:t xml:space="preserve"> and </w:t>
      </w:r>
      <w:r>
        <w:rPr>
          <w:lang w:val="en-GB"/>
        </w:rPr>
        <w:t>Group of Twenty (</w:t>
      </w:r>
      <w:r w:rsidR="00D10C17" w:rsidRPr="00E94AD0">
        <w:rPr>
          <w:lang w:val="en-GB"/>
        </w:rPr>
        <w:t>G20</w:t>
      </w:r>
      <w:r>
        <w:rPr>
          <w:lang w:val="en-GB"/>
        </w:rPr>
        <w:t>)</w:t>
      </w:r>
      <w:r w:rsidR="00D10C17" w:rsidRPr="00E94AD0">
        <w:rPr>
          <w:lang w:val="en-GB"/>
        </w:rPr>
        <w:t xml:space="preserve"> nation to </w:t>
      </w:r>
      <w:r>
        <w:rPr>
          <w:lang w:val="en-GB"/>
        </w:rPr>
        <w:t>pass such federal legislation</w:t>
      </w:r>
      <w:r w:rsidR="00D10C17" w:rsidRPr="00E94AD0">
        <w:rPr>
          <w:lang w:val="en-GB"/>
        </w:rPr>
        <w:t>.</w:t>
      </w:r>
      <w:r w:rsidR="00D10C17" w:rsidRPr="00E94AD0">
        <w:rPr>
          <w:rStyle w:val="EndnoteReference"/>
          <w:rFonts w:asciiTheme="majorBidi" w:hAnsiTheme="majorBidi" w:cstheme="majorBidi"/>
          <w:lang w:val="en-GB"/>
        </w:rPr>
        <w:endnoteReference w:id="14"/>
      </w:r>
      <w:r w:rsidR="00D10C17" w:rsidRPr="00E94AD0">
        <w:rPr>
          <w:lang w:val="en-GB"/>
        </w:rPr>
        <w:t xml:space="preserve"> As a result, Canadian cannabis producers </w:t>
      </w:r>
      <w:r w:rsidR="009F28CC">
        <w:rPr>
          <w:lang w:val="en-GB"/>
        </w:rPr>
        <w:t>were</w:t>
      </w:r>
      <w:r w:rsidR="00D10C17" w:rsidRPr="00E94AD0">
        <w:rPr>
          <w:lang w:val="en-GB"/>
        </w:rPr>
        <w:t xml:space="preserve"> provided with first-mover advantage to supply and serve many international markets</w:t>
      </w:r>
      <w:r>
        <w:rPr>
          <w:lang w:val="en-GB"/>
        </w:rPr>
        <w:t>. They could also</w:t>
      </w:r>
      <w:r w:rsidR="00D10C17" w:rsidRPr="00E94AD0">
        <w:rPr>
          <w:lang w:val="en-GB"/>
        </w:rPr>
        <w:t xml:space="preserve"> establish a global leadership role in the industry</w:t>
      </w:r>
      <w:r>
        <w:rPr>
          <w:lang w:val="en-GB"/>
        </w:rPr>
        <w:t>,</w:t>
      </w:r>
      <w:r w:rsidR="00D10C17" w:rsidRPr="00E94AD0">
        <w:rPr>
          <w:lang w:val="en-GB"/>
        </w:rPr>
        <w:t xml:space="preserve"> at a time when many jurisdictions were considering legalizing cannabis.</w:t>
      </w:r>
      <w:r w:rsidR="00D10C17" w:rsidRPr="00E94AD0">
        <w:rPr>
          <w:rStyle w:val="EndnoteReference"/>
          <w:rFonts w:asciiTheme="majorBidi" w:hAnsiTheme="majorBidi" w:cstheme="majorBidi"/>
          <w:lang w:val="en-GB"/>
        </w:rPr>
        <w:endnoteReference w:id="15"/>
      </w:r>
      <w:r w:rsidR="00D10C17" w:rsidRPr="00E94AD0">
        <w:rPr>
          <w:lang w:val="en-GB"/>
        </w:rPr>
        <w:t xml:space="preserve"> Many prominent Canadian producers had already invested in countries with strong medicinal markets, including Australia, Israel, and Germany</w:t>
      </w:r>
      <w:r>
        <w:rPr>
          <w:lang w:val="en-GB"/>
        </w:rPr>
        <w:t>.</w:t>
      </w:r>
      <w:r w:rsidR="00D10C17" w:rsidRPr="00E94AD0">
        <w:rPr>
          <w:lang w:val="en-GB"/>
        </w:rPr>
        <w:t xml:space="preserve"> </w:t>
      </w:r>
      <w:r>
        <w:rPr>
          <w:lang w:val="en-GB"/>
        </w:rPr>
        <w:t>M</w:t>
      </w:r>
      <w:r w:rsidR="00D10C17" w:rsidRPr="00E94AD0">
        <w:rPr>
          <w:lang w:val="en-GB"/>
        </w:rPr>
        <w:t xml:space="preserve">any </w:t>
      </w:r>
      <w:r>
        <w:rPr>
          <w:lang w:val="en-GB"/>
        </w:rPr>
        <w:t xml:space="preserve">of them </w:t>
      </w:r>
      <w:r w:rsidR="00D10C17" w:rsidRPr="00E94AD0">
        <w:rPr>
          <w:lang w:val="en-GB"/>
        </w:rPr>
        <w:t xml:space="preserve">had </w:t>
      </w:r>
      <w:r>
        <w:rPr>
          <w:lang w:val="en-GB"/>
        </w:rPr>
        <w:t xml:space="preserve">also set </w:t>
      </w:r>
      <w:r w:rsidR="00D10C17" w:rsidRPr="00E94AD0">
        <w:rPr>
          <w:lang w:val="en-GB"/>
        </w:rPr>
        <w:t>their sights on other international locations.</w:t>
      </w:r>
      <w:r w:rsidR="00D10C17" w:rsidRPr="00E94AD0">
        <w:rPr>
          <w:rStyle w:val="EndnoteReference"/>
          <w:rFonts w:asciiTheme="majorBidi" w:hAnsiTheme="majorBidi" w:cstheme="majorBidi"/>
          <w:lang w:val="en-GB"/>
        </w:rPr>
        <w:endnoteReference w:id="16"/>
      </w:r>
    </w:p>
    <w:p w14:paraId="72E4A0B3" w14:textId="77777777" w:rsidR="00D10C17" w:rsidRPr="00E94AD0" w:rsidRDefault="00D10C17" w:rsidP="00D10C17">
      <w:pPr>
        <w:pStyle w:val="BodyTextMain"/>
        <w:rPr>
          <w:rFonts w:asciiTheme="minorBidi" w:hAnsiTheme="minorBidi"/>
          <w:b/>
          <w:bCs/>
          <w:iCs/>
          <w:sz w:val="20"/>
          <w:szCs w:val="20"/>
          <w:lang w:val="en-GB"/>
        </w:rPr>
      </w:pPr>
    </w:p>
    <w:p w14:paraId="7B223752" w14:textId="7188E99E" w:rsidR="00F05BDA" w:rsidRDefault="00D10C17" w:rsidP="00D10C17">
      <w:pPr>
        <w:pStyle w:val="BodyTextMain"/>
        <w:rPr>
          <w:lang w:val="en-GB"/>
        </w:rPr>
      </w:pPr>
      <w:r w:rsidRPr="00E94AD0">
        <w:rPr>
          <w:lang w:val="en-GB"/>
        </w:rPr>
        <w:t>The world’s largest economy, the United States, had significantly more conservative cannabis laws than Canada</w:t>
      </w:r>
      <w:r w:rsidR="00FB3900">
        <w:rPr>
          <w:lang w:val="en-GB"/>
        </w:rPr>
        <w:t>. At the federal level, the United States</w:t>
      </w:r>
      <w:r w:rsidRPr="00E94AD0">
        <w:rPr>
          <w:lang w:val="en-GB"/>
        </w:rPr>
        <w:t xml:space="preserve"> considered </w:t>
      </w:r>
      <w:r w:rsidR="00FB3900">
        <w:rPr>
          <w:lang w:val="en-GB"/>
        </w:rPr>
        <w:t xml:space="preserve">cannabis </w:t>
      </w:r>
      <w:r w:rsidRPr="00E94AD0">
        <w:rPr>
          <w:lang w:val="en-GB"/>
        </w:rPr>
        <w:t>an illegal substance.</w:t>
      </w:r>
      <w:r w:rsidRPr="00E94AD0">
        <w:rPr>
          <w:rStyle w:val="EndnoteReference"/>
          <w:rFonts w:asciiTheme="majorBidi" w:hAnsiTheme="majorBidi" w:cstheme="majorBidi"/>
          <w:lang w:val="en-GB"/>
        </w:rPr>
        <w:endnoteReference w:id="17"/>
      </w:r>
      <w:r w:rsidRPr="00E94AD0">
        <w:rPr>
          <w:lang w:val="en-GB"/>
        </w:rPr>
        <w:t xml:space="preserve"> </w:t>
      </w:r>
      <w:r w:rsidR="00FB3900">
        <w:rPr>
          <w:lang w:val="en-GB"/>
        </w:rPr>
        <w:t>However, by</w:t>
      </w:r>
      <w:r w:rsidRPr="00E94AD0">
        <w:rPr>
          <w:lang w:val="en-GB"/>
        </w:rPr>
        <w:t xml:space="preserve"> October 2019, the District of Columbia </w:t>
      </w:r>
      <w:r w:rsidR="00E329D6">
        <w:rPr>
          <w:lang w:val="en-GB"/>
        </w:rPr>
        <w:t xml:space="preserve">and 11 US states </w:t>
      </w:r>
      <w:r w:rsidRPr="00E94AD0">
        <w:rPr>
          <w:lang w:val="en-GB"/>
        </w:rPr>
        <w:t>had legalized small amounts of cannabis for adult recreational use.</w:t>
      </w:r>
      <w:r w:rsidRPr="00E94AD0">
        <w:rPr>
          <w:rStyle w:val="EndnoteReference"/>
          <w:rFonts w:asciiTheme="majorBidi" w:hAnsiTheme="majorBidi" w:cstheme="majorBidi"/>
          <w:lang w:val="en-GB"/>
        </w:rPr>
        <w:endnoteReference w:id="18"/>
      </w:r>
      <w:r w:rsidRPr="00E94AD0">
        <w:rPr>
          <w:lang w:val="en-GB"/>
        </w:rPr>
        <w:t xml:space="preserve"> A</w:t>
      </w:r>
      <w:r w:rsidR="00FB3900">
        <w:rPr>
          <w:lang w:val="en-GB"/>
        </w:rPr>
        <w:t>s</w:t>
      </w:r>
      <w:r w:rsidRPr="00E94AD0">
        <w:rPr>
          <w:lang w:val="en-GB"/>
        </w:rPr>
        <w:t xml:space="preserve"> Fowler </w:t>
      </w:r>
      <w:r w:rsidR="00FB3900">
        <w:rPr>
          <w:lang w:val="en-GB"/>
        </w:rPr>
        <w:t>was aware, the relationship</w:t>
      </w:r>
      <w:r w:rsidRPr="00E94AD0">
        <w:rPr>
          <w:lang w:val="en-GB"/>
        </w:rPr>
        <w:t xml:space="preserve"> between state and federal laws in the United States was extremely complex</w:t>
      </w:r>
      <w:r w:rsidR="00FB3900">
        <w:rPr>
          <w:lang w:val="en-GB"/>
        </w:rPr>
        <w:t>. One major complication</w:t>
      </w:r>
      <w:r w:rsidRPr="00E94AD0">
        <w:rPr>
          <w:lang w:val="en-GB"/>
        </w:rPr>
        <w:t xml:space="preserve"> US cannabis companies </w:t>
      </w:r>
      <w:r w:rsidR="00FB3900">
        <w:rPr>
          <w:lang w:val="en-GB"/>
        </w:rPr>
        <w:t xml:space="preserve">faced </w:t>
      </w:r>
      <w:r w:rsidRPr="00E94AD0">
        <w:rPr>
          <w:lang w:val="en-GB"/>
        </w:rPr>
        <w:t xml:space="preserve">was that securities and banking laws </w:t>
      </w:r>
      <w:r w:rsidR="00FB3900">
        <w:rPr>
          <w:lang w:val="en-GB"/>
        </w:rPr>
        <w:t xml:space="preserve">in the United States </w:t>
      </w:r>
      <w:r w:rsidRPr="00E94AD0">
        <w:rPr>
          <w:lang w:val="en-GB"/>
        </w:rPr>
        <w:t xml:space="preserve">remained under federal jurisdiction. </w:t>
      </w:r>
      <w:r w:rsidR="00FB3900">
        <w:rPr>
          <w:lang w:val="en-GB"/>
        </w:rPr>
        <w:t>Therefore</w:t>
      </w:r>
      <w:r w:rsidRPr="00E94AD0">
        <w:rPr>
          <w:lang w:val="en-GB"/>
        </w:rPr>
        <w:t xml:space="preserve">, even though a </w:t>
      </w:r>
      <w:r w:rsidR="00FB3900">
        <w:rPr>
          <w:lang w:val="en-GB"/>
        </w:rPr>
        <w:t>particular</w:t>
      </w:r>
      <w:r w:rsidRPr="00E94AD0">
        <w:rPr>
          <w:lang w:val="en-GB"/>
        </w:rPr>
        <w:t xml:space="preserve"> state </w:t>
      </w:r>
      <w:r w:rsidR="00F05BDA">
        <w:rPr>
          <w:lang w:val="en-GB"/>
        </w:rPr>
        <w:t>had</w:t>
      </w:r>
      <w:r w:rsidRPr="00E94AD0">
        <w:rPr>
          <w:lang w:val="en-GB"/>
        </w:rPr>
        <w:t xml:space="preserve"> legalized </w:t>
      </w:r>
      <w:r w:rsidR="00F05BDA">
        <w:rPr>
          <w:lang w:val="en-GB"/>
        </w:rPr>
        <w:t xml:space="preserve">the sale of </w:t>
      </w:r>
      <w:r w:rsidRPr="00E94AD0">
        <w:rPr>
          <w:lang w:val="en-GB"/>
        </w:rPr>
        <w:t>recreational cannabis, US</w:t>
      </w:r>
      <w:r w:rsidR="00F05BDA">
        <w:rPr>
          <w:lang w:val="en-GB"/>
        </w:rPr>
        <w:t>-</w:t>
      </w:r>
      <w:r w:rsidRPr="00E94AD0">
        <w:rPr>
          <w:lang w:val="en-GB"/>
        </w:rPr>
        <w:t xml:space="preserve">based producers were unable to access </w:t>
      </w:r>
      <w:r w:rsidR="00F05BDA">
        <w:rPr>
          <w:lang w:val="en-GB"/>
        </w:rPr>
        <w:t xml:space="preserve">financing from </w:t>
      </w:r>
      <w:r w:rsidRPr="00E94AD0">
        <w:rPr>
          <w:lang w:val="en-GB"/>
        </w:rPr>
        <w:t>federally regulated banks and capital markets</w:t>
      </w:r>
      <w:r w:rsidR="00F05BDA">
        <w:rPr>
          <w:lang w:val="en-GB"/>
        </w:rPr>
        <w:t>. This issue</w:t>
      </w:r>
      <w:r w:rsidRPr="00E94AD0">
        <w:rPr>
          <w:lang w:val="en-GB"/>
        </w:rPr>
        <w:t xml:space="preserve"> led to </w:t>
      </w:r>
      <w:r w:rsidR="00F05BDA">
        <w:rPr>
          <w:lang w:val="en-GB"/>
        </w:rPr>
        <w:t>significant</w:t>
      </w:r>
      <w:r w:rsidRPr="00E94AD0">
        <w:rPr>
          <w:lang w:val="en-GB"/>
        </w:rPr>
        <w:t xml:space="preserve"> operational challenges, costly inefficiencies</w:t>
      </w:r>
      <w:r w:rsidR="00F05BDA">
        <w:rPr>
          <w:lang w:val="en-GB"/>
        </w:rPr>
        <w:t>,</w:t>
      </w:r>
      <w:r w:rsidRPr="00E94AD0">
        <w:rPr>
          <w:lang w:val="en-GB"/>
        </w:rPr>
        <w:t xml:space="preserve"> and </w:t>
      </w:r>
      <w:r w:rsidR="00F05BDA">
        <w:rPr>
          <w:lang w:val="en-GB"/>
        </w:rPr>
        <w:t>reduced options for raising capital</w:t>
      </w:r>
      <w:r w:rsidRPr="00E94AD0">
        <w:rPr>
          <w:lang w:val="en-GB"/>
        </w:rPr>
        <w:t>.</w:t>
      </w:r>
    </w:p>
    <w:p w14:paraId="2F5A02E2" w14:textId="77777777" w:rsidR="00F05BDA" w:rsidRDefault="00F05BDA" w:rsidP="00D10C17">
      <w:pPr>
        <w:pStyle w:val="BodyTextMain"/>
        <w:rPr>
          <w:lang w:val="en-GB"/>
        </w:rPr>
      </w:pPr>
    </w:p>
    <w:p w14:paraId="47F5DC27" w14:textId="04EDC9A8" w:rsidR="00D10C17" w:rsidRPr="00E94AD0" w:rsidRDefault="00D10C17" w:rsidP="00D10C17">
      <w:pPr>
        <w:pStyle w:val="BodyTextMain"/>
        <w:rPr>
          <w:lang w:val="en-GB"/>
        </w:rPr>
      </w:pPr>
      <w:r w:rsidRPr="00E94AD0">
        <w:rPr>
          <w:lang w:val="en-GB"/>
        </w:rPr>
        <w:t xml:space="preserve">While legally complex, Fowler knew that </w:t>
      </w:r>
      <w:r w:rsidR="00136023">
        <w:rPr>
          <w:lang w:val="en-GB"/>
        </w:rPr>
        <w:t>another</w:t>
      </w:r>
      <w:r w:rsidR="00F05BDA">
        <w:rPr>
          <w:lang w:val="en-GB"/>
        </w:rPr>
        <w:t xml:space="preserve"> complication</w:t>
      </w:r>
      <w:r w:rsidRPr="00E94AD0">
        <w:rPr>
          <w:lang w:val="en-GB"/>
        </w:rPr>
        <w:t xml:space="preserve"> of the current </w:t>
      </w:r>
      <w:r w:rsidR="00F05BDA">
        <w:rPr>
          <w:lang w:val="en-GB"/>
        </w:rPr>
        <w:t xml:space="preserve">US </w:t>
      </w:r>
      <w:r w:rsidRPr="00E94AD0">
        <w:rPr>
          <w:lang w:val="en-GB"/>
        </w:rPr>
        <w:t>environment</w:t>
      </w:r>
      <w:r w:rsidR="00F05BDA">
        <w:rPr>
          <w:lang w:val="en-GB"/>
        </w:rPr>
        <w:t>, in which only selected states allowed the sale of cannabis,</w:t>
      </w:r>
      <w:r w:rsidRPr="00E94AD0">
        <w:rPr>
          <w:lang w:val="en-GB"/>
        </w:rPr>
        <w:t xml:space="preserve"> </w:t>
      </w:r>
      <w:r w:rsidR="00F05BDA">
        <w:rPr>
          <w:lang w:val="en-GB"/>
        </w:rPr>
        <w:t>affected</w:t>
      </w:r>
      <w:r w:rsidRPr="00E94AD0">
        <w:rPr>
          <w:lang w:val="en-GB"/>
        </w:rPr>
        <w:t xml:space="preserve"> cannabis producers who operated in two or more states (referred to as “multi-state operators”)</w:t>
      </w:r>
      <w:r w:rsidR="00F05BDA">
        <w:rPr>
          <w:lang w:val="en-GB"/>
        </w:rPr>
        <w:t>.</w:t>
      </w:r>
      <w:r w:rsidRPr="00E94AD0">
        <w:rPr>
          <w:lang w:val="en-GB"/>
        </w:rPr>
        <w:t xml:space="preserve"> </w:t>
      </w:r>
      <w:r w:rsidR="00F05BDA">
        <w:rPr>
          <w:lang w:val="en-GB"/>
        </w:rPr>
        <w:t>E</w:t>
      </w:r>
      <w:r w:rsidRPr="00E94AD0">
        <w:rPr>
          <w:lang w:val="en-GB"/>
        </w:rPr>
        <w:t>ssentially</w:t>
      </w:r>
      <w:r w:rsidR="00F05BDA">
        <w:rPr>
          <w:lang w:val="en-GB"/>
        </w:rPr>
        <w:t>, these companies</w:t>
      </w:r>
      <w:r w:rsidRPr="00E94AD0">
        <w:rPr>
          <w:lang w:val="en-GB"/>
        </w:rPr>
        <w:t xml:space="preserve"> had to run a stand-alone business in each state, </w:t>
      </w:r>
      <w:r w:rsidR="00F05BDA">
        <w:rPr>
          <w:lang w:val="en-GB"/>
        </w:rPr>
        <w:t xml:space="preserve">which </w:t>
      </w:r>
      <w:r w:rsidRPr="00E94AD0">
        <w:rPr>
          <w:lang w:val="en-GB"/>
        </w:rPr>
        <w:t>ma</w:t>
      </w:r>
      <w:r w:rsidR="00F05BDA">
        <w:rPr>
          <w:lang w:val="en-GB"/>
        </w:rPr>
        <w:t>de</w:t>
      </w:r>
      <w:r w:rsidRPr="00E94AD0">
        <w:rPr>
          <w:lang w:val="en-GB"/>
        </w:rPr>
        <w:t xml:space="preserve"> scaling their businesses and expanding into new markets extremely expensive. Canadian cannabis companies were </w:t>
      </w:r>
      <w:r w:rsidR="00F05BDA">
        <w:rPr>
          <w:lang w:val="en-GB"/>
        </w:rPr>
        <w:t>closely monitoring the progress of cannabis</w:t>
      </w:r>
      <w:r w:rsidRPr="00E94AD0">
        <w:rPr>
          <w:lang w:val="en-GB"/>
        </w:rPr>
        <w:t xml:space="preserve"> legalization in the United States</w:t>
      </w:r>
      <w:r w:rsidR="00F05BDA">
        <w:rPr>
          <w:lang w:val="en-GB"/>
        </w:rPr>
        <w:t>. If the federal US government were to legalize the sale of recreational cannabis throughout the entire country, it would</w:t>
      </w:r>
      <w:r w:rsidRPr="00E94AD0">
        <w:rPr>
          <w:lang w:val="en-GB"/>
        </w:rPr>
        <w:t xml:space="preserve"> represent an enormous market opportunity for established producers. </w:t>
      </w:r>
    </w:p>
    <w:p w14:paraId="639CE755" w14:textId="15638F95" w:rsidR="00D10C17" w:rsidRPr="00E94AD0" w:rsidRDefault="00D10C17" w:rsidP="00D10C17">
      <w:pPr>
        <w:pStyle w:val="BodyTextMain"/>
        <w:rPr>
          <w:lang w:val="en-GB"/>
        </w:rPr>
      </w:pPr>
    </w:p>
    <w:p w14:paraId="27880998" w14:textId="77777777" w:rsidR="00D10C17" w:rsidRPr="00E94AD0" w:rsidRDefault="00D10C17" w:rsidP="00D10C17">
      <w:pPr>
        <w:pStyle w:val="BodyTextMain"/>
        <w:rPr>
          <w:lang w:val="en-GB"/>
        </w:rPr>
      </w:pPr>
    </w:p>
    <w:p w14:paraId="3E0B9803" w14:textId="77777777" w:rsidR="00D10C17" w:rsidRPr="00E94AD0" w:rsidRDefault="00D10C17" w:rsidP="00D10C17">
      <w:pPr>
        <w:pStyle w:val="Casehead2"/>
        <w:rPr>
          <w:lang w:val="en-GB"/>
        </w:rPr>
      </w:pPr>
      <w:r w:rsidRPr="00E94AD0">
        <w:rPr>
          <w:lang w:val="en-GB"/>
        </w:rPr>
        <w:t>Consolidation and Acquisitions</w:t>
      </w:r>
    </w:p>
    <w:p w14:paraId="6B4479B4" w14:textId="77777777" w:rsidR="00D10C17" w:rsidRPr="00E94AD0" w:rsidRDefault="00D10C17" w:rsidP="00D10C17">
      <w:pPr>
        <w:pStyle w:val="BodyTextMain"/>
        <w:rPr>
          <w:lang w:val="en-GB"/>
        </w:rPr>
      </w:pPr>
    </w:p>
    <w:p w14:paraId="5DD38EBE" w14:textId="04A84FEE" w:rsidR="00D10C17" w:rsidRPr="00C8482F" w:rsidRDefault="000231A0" w:rsidP="00D10C17">
      <w:pPr>
        <w:pStyle w:val="BodyTextMain"/>
        <w:rPr>
          <w:spacing w:val="-4"/>
          <w:lang w:val="en-GB"/>
        </w:rPr>
      </w:pPr>
      <w:r w:rsidRPr="00C8482F">
        <w:rPr>
          <w:spacing w:val="-4"/>
          <w:lang w:val="en-GB"/>
        </w:rPr>
        <w:t>L</w:t>
      </w:r>
      <w:r w:rsidR="00D10C17" w:rsidRPr="00C8482F">
        <w:rPr>
          <w:spacing w:val="-4"/>
          <w:lang w:val="en-GB"/>
        </w:rPr>
        <w:t>ead</w:t>
      </w:r>
      <w:r w:rsidRPr="00C8482F">
        <w:rPr>
          <w:spacing w:val="-4"/>
          <w:lang w:val="en-GB"/>
        </w:rPr>
        <w:t xml:space="preserve">ing </w:t>
      </w:r>
      <w:r w:rsidR="00D10C17" w:rsidRPr="00C8482F">
        <w:rPr>
          <w:spacing w:val="-4"/>
          <w:lang w:val="en-GB"/>
        </w:rPr>
        <w:t xml:space="preserve">up to </w:t>
      </w:r>
      <w:r w:rsidRPr="00C8482F">
        <w:rPr>
          <w:spacing w:val="-4"/>
          <w:lang w:val="en-GB"/>
        </w:rPr>
        <w:t xml:space="preserve">the </w:t>
      </w:r>
      <w:r w:rsidR="00D10C17" w:rsidRPr="00C8482F">
        <w:rPr>
          <w:spacing w:val="-4"/>
          <w:lang w:val="en-GB"/>
        </w:rPr>
        <w:t xml:space="preserve">legalization </w:t>
      </w:r>
      <w:r w:rsidRPr="00C8482F">
        <w:rPr>
          <w:spacing w:val="-4"/>
          <w:lang w:val="en-GB"/>
        </w:rPr>
        <w:t xml:space="preserve">of cannabis </w:t>
      </w:r>
      <w:r w:rsidR="00D10C17" w:rsidRPr="00C8482F">
        <w:rPr>
          <w:spacing w:val="-4"/>
          <w:lang w:val="en-GB"/>
        </w:rPr>
        <w:t xml:space="preserve">in Canada, the industry had been highly fragmented. </w:t>
      </w:r>
      <w:r w:rsidRPr="00C8482F">
        <w:rPr>
          <w:spacing w:val="-4"/>
          <w:lang w:val="en-GB"/>
        </w:rPr>
        <w:t xml:space="preserve">Market </w:t>
      </w:r>
      <w:r w:rsidR="00D10C17" w:rsidRPr="00C8482F">
        <w:rPr>
          <w:spacing w:val="-4"/>
          <w:lang w:val="en-GB"/>
        </w:rPr>
        <w:t>fragmentation</w:t>
      </w:r>
      <w:r w:rsidRPr="00C8482F">
        <w:rPr>
          <w:spacing w:val="-4"/>
          <w:lang w:val="en-GB"/>
        </w:rPr>
        <w:t xml:space="preserve"> was augmented by</w:t>
      </w:r>
      <w:r w:rsidR="00D10C17" w:rsidRPr="00C8482F">
        <w:rPr>
          <w:spacing w:val="-4"/>
          <w:lang w:val="en-GB"/>
        </w:rPr>
        <w:t xml:space="preserve"> a desire to realize economies of scale, expand customer bases, secure new brands and products, enter new markets, and acquire distribution channels</w:t>
      </w:r>
      <w:r w:rsidRPr="00C8482F">
        <w:rPr>
          <w:spacing w:val="-4"/>
          <w:lang w:val="en-GB"/>
        </w:rPr>
        <w:t>. Together</w:t>
      </w:r>
      <w:r w:rsidR="00D10C17" w:rsidRPr="00C8482F">
        <w:rPr>
          <w:spacing w:val="-4"/>
          <w:lang w:val="en-GB"/>
        </w:rPr>
        <w:t xml:space="preserve">, </w:t>
      </w:r>
      <w:r w:rsidRPr="00C8482F">
        <w:rPr>
          <w:spacing w:val="-4"/>
          <w:lang w:val="en-GB"/>
        </w:rPr>
        <w:t>these factors allowed</w:t>
      </w:r>
      <w:r w:rsidR="00D10C17" w:rsidRPr="00C8482F">
        <w:rPr>
          <w:spacing w:val="-4"/>
          <w:lang w:val="en-GB"/>
        </w:rPr>
        <w:t xml:space="preserve"> cannabis companies with large cash balances and access to cheap capital </w:t>
      </w:r>
      <w:r w:rsidR="00A94C9B" w:rsidRPr="00C8482F">
        <w:rPr>
          <w:spacing w:val="-4"/>
          <w:lang w:val="en-GB"/>
        </w:rPr>
        <w:t xml:space="preserve">to </w:t>
      </w:r>
      <w:r w:rsidR="00D10C17" w:rsidRPr="00C8482F">
        <w:rPr>
          <w:spacing w:val="-4"/>
          <w:lang w:val="en-GB"/>
        </w:rPr>
        <w:t xml:space="preserve">go on buying sprees. </w:t>
      </w:r>
      <w:r w:rsidRPr="00C8482F">
        <w:rPr>
          <w:spacing w:val="-4"/>
          <w:lang w:val="en-GB"/>
        </w:rPr>
        <w:t>Before long,</w:t>
      </w:r>
      <w:r w:rsidR="00D10C17" w:rsidRPr="00C8482F">
        <w:rPr>
          <w:spacing w:val="-4"/>
          <w:lang w:val="en-GB"/>
        </w:rPr>
        <w:t xml:space="preserve"> the industry</w:t>
      </w:r>
      <w:r w:rsidRPr="00C8482F">
        <w:rPr>
          <w:spacing w:val="-4"/>
          <w:lang w:val="en-GB"/>
        </w:rPr>
        <w:t xml:space="preserve"> became consolidated</w:t>
      </w:r>
      <w:r w:rsidR="00D10C17" w:rsidRPr="00C8482F">
        <w:rPr>
          <w:spacing w:val="-4"/>
          <w:lang w:val="en-GB"/>
        </w:rPr>
        <w:t xml:space="preserve">, </w:t>
      </w:r>
      <w:r w:rsidRPr="00C8482F">
        <w:rPr>
          <w:spacing w:val="-4"/>
          <w:lang w:val="en-GB"/>
        </w:rPr>
        <w:t>driven</w:t>
      </w:r>
      <w:r w:rsidR="00D10C17" w:rsidRPr="00C8482F">
        <w:rPr>
          <w:spacing w:val="-4"/>
          <w:lang w:val="en-GB"/>
        </w:rPr>
        <w:t xml:space="preserve"> primarily by a small number of well-capitalized cannabis producers.</w:t>
      </w:r>
      <w:r w:rsidR="003A2186" w:rsidRPr="00C8482F">
        <w:rPr>
          <w:rStyle w:val="EndnoteReference"/>
          <w:rFonts w:cstheme="majorBidi"/>
          <w:spacing w:val="-4"/>
          <w:lang w:val="en-GB"/>
        </w:rPr>
        <w:endnoteReference w:id="19"/>
      </w:r>
    </w:p>
    <w:p w14:paraId="2783C518" w14:textId="77777777" w:rsidR="000231A0" w:rsidRDefault="000231A0" w:rsidP="00D10C17">
      <w:pPr>
        <w:pStyle w:val="BodyTextMain"/>
        <w:rPr>
          <w:lang w:val="en-GB"/>
        </w:rPr>
      </w:pPr>
    </w:p>
    <w:p w14:paraId="1817FF32" w14:textId="4AB0C47F" w:rsidR="00D10C17" w:rsidRPr="00C8482F" w:rsidRDefault="000231A0" w:rsidP="00D10C17">
      <w:pPr>
        <w:pStyle w:val="BodyTextMain"/>
        <w:rPr>
          <w:spacing w:val="-2"/>
          <w:lang w:val="en-GB"/>
        </w:rPr>
      </w:pPr>
      <w:r w:rsidRPr="00C8482F">
        <w:rPr>
          <w:spacing w:val="-2"/>
          <w:lang w:val="en-GB"/>
        </w:rPr>
        <w:t xml:space="preserve">In </w:t>
      </w:r>
      <w:r w:rsidR="00D10C17" w:rsidRPr="00C8482F">
        <w:rPr>
          <w:spacing w:val="-2"/>
          <w:lang w:val="en-GB"/>
        </w:rPr>
        <w:t>late 2018</w:t>
      </w:r>
      <w:r w:rsidRPr="00C8482F">
        <w:rPr>
          <w:spacing w:val="-2"/>
          <w:lang w:val="en-GB"/>
        </w:rPr>
        <w:t>, shortly after the first round of legislation was passed</w:t>
      </w:r>
      <w:r w:rsidR="00D10C17" w:rsidRPr="00C8482F">
        <w:rPr>
          <w:spacing w:val="-2"/>
          <w:lang w:val="en-GB"/>
        </w:rPr>
        <w:t xml:space="preserve">, valuations of Canadian cannabis companies </w:t>
      </w:r>
      <w:r w:rsidRPr="00C8482F">
        <w:rPr>
          <w:spacing w:val="-2"/>
          <w:lang w:val="en-GB"/>
        </w:rPr>
        <w:t>were</w:t>
      </w:r>
      <w:r w:rsidR="00D10C17" w:rsidRPr="00C8482F">
        <w:rPr>
          <w:spacing w:val="-2"/>
          <w:lang w:val="en-GB"/>
        </w:rPr>
        <w:t xml:space="preserve"> extremely volatile</w:t>
      </w:r>
      <w:r w:rsidRPr="00C8482F">
        <w:rPr>
          <w:spacing w:val="-2"/>
          <w:lang w:val="en-GB"/>
        </w:rPr>
        <w:t>,</w:t>
      </w:r>
      <w:r w:rsidR="00D10C17" w:rsidRPr="00C8482F">
        <w:rPr>
          <w:spacing w:val="-2"/>
          <w:lang w:val="en-GB"/>
        </w:rPr>
        <w:t xml:space="preserve"> </w:t>
      </w:r>
      <w:r w:rsidRPr="00C8482F">
        <w:rPr>
          <w:spacing w:val="-2"/>
          <w:lang w:val="en-GB"/>
        </w:rPr>
        <w:t xml:space="preserve">strongly affected </w:t>
      </w:r>
      <w:r w:rsidR="00D10C17" w:rsidRPr="00C8482F">
        <w:rPr>
          <w:spacing w:val="-2"/>
          <w:lang w:val="en-GB"/>
        </w:rPr>
        <w:t>by industry</w:t>
      </w:r>
      <w:r w:rsidRPr="00C8482F">
        <w:rPr>
          <w:spacing w:val="-2"/>
          <w:lang w:val="en-GB"/>
        </w:rPr>
        <w:t xml:space="preserve"> </w:t>
      </w:r>
      <w:r w:rsidR="00D10C17" w:rsidRPr="00C8482F">
        <w:rPr>
          <w:spacing w:val="-2"/>
          <w:lang w:val="en-GB"/>
        </w:rPr>
        <w:t xml:space="preserve">hype </w:t>
      </w:r>
      <w:r w:rsidRPr="00C8482F">
        <w:rPr>
          <w:spacing w:val="-2"/>
          <w:lang w:val="en-GB"/>
        </w:rPr>
        <w:t>related to the recent</w:t>
      </w:r>
      <w:r w:rsidR="00D10C17" w:rsidRPr="00C8482F">
        <w:rPr>
          <w:spacing w:val="-2"/>
          <w:lang w:val="en-GB"/>
        </w:rPr>
        <w:t xml:space="preserve"> legalization. This volatility made it extremely difficult for acquir</w:t>
      </w:r>
      <w:r w:rsidRPr="00C8482F">
        <w:rPr>
          <w:spacing w:val="-2"/>
          <w:lang w:val="en-GB"/>
        </w:rPr>
        <w:t>ing companies</w:t>
      </w:r>
      <w:r w:rsidR="00D10C17" w:rsidRPr="00C8482F">
        <w:rPr>
          <w:spacing w:val="-2"/>
          <w:lang w:val="en-GB"/>
        </w:rPr>
        <w:t xml:space="preserve"> to determine appropriate valuations of potential targets</w:t>
      </w:r>
      <w:r w:rsidRPr="00C8482F">
        <w:rPr>
          <w:spacing w:val="-2"/>
          <w:lang w:val="en-GB"/>
        </w:rPr>
        <w:t>. The pricing of many</w:t>
      </w:r>
      <w:r w:rsidR="00D10C17" w:rsidRPr="00C8482F">
        <w:rPr>
          <w:spacing w:val="-2"/>
          <w:lang w:val="en-GB"/>
        </w:rPr>
        <w:t xml:space="preserve"> acquisitions </w:t>
      </w:r>
      <w:r w:rsidRPr="00C8482F">
        <w:rPr>
          <w:spacing w:val="-2"/>
          <w:lang w:val="en-GB"/>
        </w:rPr>
        <w:t>was</w:t>
      </w:r>
      <w:r w:rsidR="00D10C17" w:rsidRPr="00C8482F">
        <w:rPr>
          <w:spacing w:val="-2"/>
          <w:lang w:val="en-GB"/>
        </w:rPr>
        <w:t xml:space="preserve"> driven </w:t>
      </w:r>
      <w:r w:rsidRPr="00C8482F">
        <w:rPr>
          <w:spacing w:val="-2"/>
          <w:lang w:val="en-GB"/>
        </w:rPr>
        <w:t>primarily</w:t>
      </w:r>
      <w:r w:rsidR="00D10C17" w:rsidRPr="00C8482F">
        <w:rPr>
          <w:spacing w:val="-2"/>
          <w:lang w:val="en-GB"/>
        </w:rPr>
        <w:t xml:space="preserve"> by the timing of the deal</w:t>
      </w:r>
      <w:r w:rsidRPr="00C8482F">
        <w:rPr>
          <w:spacing w:val="-2"/>
          <w:lang w:val="en-GB"/>
        </w:rPr>
        <w:t>, with v</w:t>
      </w:r>
      <w:r w:rsidR="00D10C17" w:rsidRPr="00C8482F">
        <w:rPr>
          <w:spacing w:val="-2"/>
          <w:lang w:val="en-GB"/>
        </w:rPr>
        <w:t>aluations across the industry peak</w:t>
      </w:r>
      <w:r w:rsidRPr="00C8482F">
        <w:rPr>
          <w:spacing w:val="-2"/>
          <w:lang w:val="en-GB"/>
        </w:rPr>
        <w:t>ing</w:t>
      </w:r>
      <w:r w:rsidR="00D10C17" w:rsidRPr="00C8482F">
        <w:rPr>
          <w:spacing w:val="-2"/>
          <w:lang w:val="en-GB"/>
        </w:rPr>
        <w:t xml:space="preserve"> around the time of legalization</w:t>
      </w:r>
      <w:r w:rsidR="00862C7D" w:rsidRPr="00C8482F">
        <w:rPr>
          <w:spacing w:val="-2"/>
          <w:lang w:val="en-GB"/>
        </w:rPr>
        <w:t>. Another</w:t>
      </w:r>
      <w:r w:rsidR="00D10C17" w:rsidRPr="00C8482F">
        <w:rPr>
          <w:spacing w:val="-2"/>
          <w:lang w:val="en-GB"/>
        </w:rPr>
        <w:t xml:space="preserve"> factor </w:t>
      </w:r>
      <w:r w:rsidR="00862C7D" w:rsidRPr="00C8482F">
        <w:rPr>
          <w:spacing w:val="-2"/>
          <w:lang w:val="en-GB"/>
        </w:rPr>
        <w:t xml:space="preserve">was the prospect of Canadian cannabis producers being </w:t>
      </w:r>
      <w:r w:rsidR="00D10C17" w:rsidRPr="00C8482F">
        <w:rPr>
          <w:spacing w:val="-2"/>
          <w:lang w:val="en-GB"/>
        </w:rPr>
        <w:t xml:space="preserve">in </w:t>
      </w:r>
      <w:r w:rsidR="00862C7D" w:rsidRPr="00C8482F">
        <w:rPr>
          <w:spacing w:val="-2"/>
          <w:lang w:val="en-GB"/>
        </w:rPr>
        <w:t>position f</w:t>
      </w:r>
      <w:r w:rsidR="00A94C9B" w:rsidRPr="00C8482F">
        <w:rPr>
          <w:spacing w:val="-2"/>
          <w:lang w:val="en-GB"/>
        </w:rPr>
        <w:t>or the</w:t>
      </w:r>
      <w:r w:rsidR="00862C7D" w:rsidRPr="00C8482F">
        <w:rPr>
          <w:spacing w:val="-2"/>
          <w:lang w:val="en-GB"/>
        </w:rPr>
        <w:t xml:space="preserve"> potential </w:t>
      </w:r>
      <w:r w:rsidR="00D10C17" w:rsidRPr="00C8482F">
        <w:rPr>
          <w:spacing w:val="-2"/>
          <w:lang w:val="en-GB"/>
        </w:rPr>
        <w:t xml:space="preserve">future “global domination” of the industry. </w:t>
      </w:r>
      <w:r w:rsidR="00862C7D" w:rsidRPr="00C8482F">
        <w:rPr>
          <w:spacing w:val="-2"/>
          <w:lang w:val="en-GB"/>
        </w:rPr>
        <w:t>Canopy’s</w:t>
      </w:r>
      <w:r w:rsidR="00D10C17" w:rsidRPr="00C8482F">
        <w:rPr>
          <w:spacing w:val="-2"/>
          <w:lang w:val="en-GB"/>
        </w:rPr>
        <w:t xml:space="preserve"> share price</w:t>
      </w:r>
      <w:r w:rsidR="00862C7D" w:rsidRPr="00C8482F">
        <w:rPr>
          <w:spacing w:val="-2"/>
          <w:lang w:val="en-GB"/>
        </w:rPr>
        <w:t>, much like</w:t>
      </w:r>
      <w:r w:rsidR="00D10C17" w:rsidRPr="00C8482F">
        <w:rPr>
          <w:spacing w:val="-2"/>
          <w:lang w:val="en-GB"/>
        </w:rPr>
        <w:t xml:space="preserve"> other</w:t>
      </w:r>
      <w:r w:rsidR="00862C7D" w:rsidRPr="00C8482F">
        <w:rPr>
          <w:spacing w:val="-2"/>
          <w:lang w:val="en-GB"/>
        </w:rPr>
        <w:t xml:space="preserve"> competitor</w:t>
      </w:r>
      <w:r w:rsidR="00D10C17" w:rsidRPr="00C8482F">
        <w:rPr>
          <w:spacing w:val="-2"/>
          <w:lang w:val="en-GB"/>
        </w:rPr>
        <w:t>s in the industry</w:t>
      </w:r>
      <w:r w:rsidR="00862C7D" w:rsidRPr="00C8482F">
        <w:rPr>
          <w:spacing w:val="-2"/>
          <w:lang w:val="en-GB"/>
        </w:rPr>
        <w:t>, fluctuated wildly during this period (see Exhibit 3)</w:t>
      </w:r>
      <w:r w:rsidR="00D10C17" w:rsidRPr="00C8482F">
        <w:rPr>
          <w:spacing w:val="-2"/>
          <w:lang w:val="en-GB"/>
        </w:rPr>
        <w:t xml:space="preserve">. </w:t>
      </w:r>
    </w:p>
    <w:p w14:paraId="6BA5D16A" w14:textId="5332697B" w:rsidR="00D10C17" w:rsidRPr="00E94AD0" w:rsidRDefault="00D10C17" w:rsidP="00D05E75">
      <w:pPr>
        <w:pStyle w:val="Casehead2"/>
        <w:keepNext/>
        <w:rPr>
          <w:lang w:val="en-GB"/>
        </w:rPr>
      </w:pPr>
      <w:r w:rsidRPr="00E94AD0">
        <w:rPr>
          <w:lang w:val="en-GB"/>
        </w:rPr>
        <w:lastRenderedPageBreak/>
        <w:t>Accounting in the Cannabis Industry</w:t>
      </w:r>
    </w:p>
    <w:p w14:paraId="6CB16D60" w14:textId="77777777" w:rsidR="00D10C17" w:rsidRPr="00E94AD0" w:rsidRDefault="00D10C17" w:rsidP="00D05E75">
      <w:pPr>
        <w:pStyle w:val="BodyTextMain"/>
        <w:keepNext/>
        <w:rPr>
          <w:lang w:val="en-GB"/>
        </w:rPr>
      </w:pPr>
    </w:p>
    <w:p w14:paraId="535FCECF" w14:textId="044061EB" w:rsidR="00D10C17" w:rsidRPr="00E94AD0" w:rsidRDefault="00D10C17" w:rsidP="00D05E75">
      <w:pPr>
        <w:pStyle w:val="BodyTextMain"/>
        <w:keepNext/>
        <w:rPr>
          <w:lang w:val="en-GB"/>
        </w:rPr>
      </w:pPr>
      <w:r w:rsidRPr="00E94AD0">
        <w:rPr>
          <w:lang w:val="en-GB"/>
        </w:rPr>
        <w:t xml:space="preserve">Numerous companies across the industry </w:t>
      </w:r>
      <w:r w:rsidR="00A94C9B">
        <w:rPr>
          <w:lang w:val="en-GB"/>
        </w:rPr>
        <w:t xml:space="preserve">had gone public and </w:t>
      </w:r>
      <w:r w:rsidRPr="00E94AD0">
        <w:rPr>
          <w:lang w:val="en-GB"/>
        </w:rPr>
        <w:t xml:space="preserve">were listed on the Toronto Stock Exchange, </w:t>
      </w:r>
      <w:r w:rsidR="00A94C9B">
        <w:rPr>
          <w:lang w:val="en-GB"/>
        </w:rPr>
        <w:t>which</w:t>
      </w:r>
      <w:r w:rsidRPr="00E94AD0">
        <w:rPr>
          <w:lang w:val="en-GB"/>
        </w:rPr>
        <w:t xml:space="preserve"> required </w:t>
      </w:r>
      <w:r w:rsidR="00334A2F">
        <w:rPr>
          <w:lang w:val="en-GB"/>
        </w:rPr>
        <w:t xml:space="preserve">them </w:t>
      </w:r>
      <w:r w:rsidRPr="00E94AD0">
        <w:rPr>
          <w:lang w:val="en-GB"/>
        </w:rPr>
        <w:t>to pre</w:t>
      </w:r>
      <w:r w:rsidR="00334A2F">
        <w:rPr>
          <w:lang w:val="en-GB"/>
        </w:rPr>
        <w:t>pare</w:t>
      </w:r>
      <w:r w:rsidRPr="00E94AD0">
        <w:rPr>
          <w:lang w:val="en-GB"/>
        </w:rPr>
        <w:t xml:space="preserve"> quarterly and annual financial statements in accordance with International Financial Reporting Standards. </w:t>
      </w:r>
      <w:r w:rsidR="00334A2F">
        <w:rPr>
          <w:lang w:val="en-GB"/>
        </w:rPr>
        <w:t>Fowler realized that m</w:t>
      </w:r>
      <w:r w:rsidRPr="00E94AD0">
        <w:rPr>
          <w:lang w:val="en-GB"/>
        </w:rPr>
        <w:t xml:space="preserve">any </w:t>
      </w:r>
      <w:r w:rsidR="00334A2F">
        <w:rPr>
          <w:lang w:val="en-GB"/>
        </w:rPr>
        <w:t xml:space="preserve">cannabis </w:t>
      </w:r>
      <w:r w:rsidRPr="00E94AD0">
        <w:rPr>
          <w:lang w:val="en-GB"/>
        </w:rPr>
        <w:t>producers across the industry faced similar financial accounting challenges</w:t>
      </w:r>
      <w:r w:rsidR="00334A2F">
        <w:rPr>
          <w:lang w:val="en-GB"/>
        </w:rPr>
        <w:t xml:space="preserve"> and</w:t>
      </w:r>
      <w:r w:rsidRPr="00E94AD0">
        <w:rPr>
          <w:lang w:val="en-GB"/>
        </w:rPr>
        <w:t xml:space="preserve"> summarized the relevant financial accounting guidance on these </w:t>
      </w:r>
      <w:r w:rsidR="00334A2F">
        <w:rPr>
          <w:lang w:val="en-GB"/>
        </w:rPr>
        <w:t xml:space="preserve">specific </w:t>
      </w:r>
      <w:r w:rsidRPr="00E94AD0">
        <w:rPr>
          <w:lang w:val="en-GB"/>
        </w:rPr>
        <w:t>issues</w:t>
      </w:r>
      <w:r w:rsidR="00334A2F">
        <w:rPr>
          <w:lang w:val="en-GB"/>
        </w:rPr>
        <w:t>. For his notes, he consulted</w:t>
      </w:r>
      <w:r w:rsidRPr="00E94AD0">
        <w:rPr>
          <w:lang w:val="en-GB"/>
        </w:rPr>
        <w:t xml:space="preserve"> the Chartered Professional Accountants of </w:t>
      </w:r>
      <w:r w:rsidRPr="00136023">
        <w:rPr>
          <w:i/>
          <w:iCs/>
          <w:lang w:val="en-GB"/>
        </w:rPr>
        <w:t>Canada</w:t>
      </w:r>
      <w:r w:rsidR="00334A2F" w:rsidRPr="00136023">
        <w:rPr>
          <w:i/>
          <w:iCs/>
          <w:lang w:val="en-GB"/>
        </w:rPr>
        <w:t>’s</w:t>
      </w:r>
      <w:r w:rsidRPr="00136023">
        <w:rPr>
          <w:i/>
          <w:iCs/>
          <w:lang w:val="en-GB"/>
        </w:rPr>
        <w:t xml:space="preserve"> CPA Canada Handbook</w:t>
      </w:r>
      <w:r w:rsidRPr="00E94AD0">
        <w:rPr>
          <w:lang w:val="en-GB"/>
        </w:rPr>
        <w:t xml:space="preserve"> (see Exhibit 4). </w:t>
      </w:r>
    </w:p>
    <w:p w14:paraId="29CA7C0D" w14:textId="77777777" w:rsidR="00D10C17" w:rsidRPr="00E94AD0" w:rsidRDefault="00D10C17" w:rsidP="00D10C17">
      <w:pPr>
        <w:pStyle w:val="BodyTextMain"/>
        <w:rPr>
          <w:lang w:val="en-GB"/>
        </w:rPr>
      </w:pPr>
    </w:p>
    <w:p w14:paraId="1D8DCC6B" w14:textId="6AD669D9" w:rsidR="00D10C17" w:rsidRPr="00E94AD0" w:rsidRDefault="00D10C17" w:rsidP="00D10C17">
      <w:pPr>
        <w:pStyle w:val="BodyTextMain"/>
        <w:rPr>
          <w:lang w:val="en-GB"/>
        </w:rPr>
      </w:pPr>
      <w:r w:rsidRPr="00E94AD0">
        <w:rPr>
          <w:lang w:val="en-GB"/>
        </w:rPr>
        <w:t>Fowler</w:t>
      </w:r>
      <w:r w:rsidR="00596EEC">
        <w:rPr>
          <w:lang w:val="en-GB"/>
        </w:rPr>
        <w:t xml:space="preserve"> found</w:t>
      </w:r>
      <w:r w:rsidRPr="00E94AD0">
        <w:rPr>
          <w:lang w:val="en-GB"/>
        </w:rPr>
        <w:t xml:space="preserve"> that cannabis producers </w:t>
      </w:r>
      <w:r w:rsidR="00596EEC">
        <w:rPr>
          <w:lang w:val="en-GB"/>
        </w:rPr>
        <w:t>were required</w:t>
      </w:r>
      <w:r w:rsidRPr="00E94AD0">
        <w:rPr>
          <w:lang w:val="en-GB"/>
        </w:rPr>
        <w:t xml:space="preserve"> to comply with</w:t>
      </w:r>
      <w:r w:rsidR="00B43C23">
        <w:rPr>
          <w:lang w:val="en-GB"/>
        </w:rPr>
        <w:t xml:space="preserve"> </w:t>
      </w:r>
      <w:r w:rsidR="00596EEC">
        <w:rPr>
          <w:lang w:val="en-GB"/>
        </w:rPr>
        <w:t>what seemed a highly unusual International Accounting Standard (IAS) for their business: “</w:t>
      </w:r>
      <w:r w:rsidRPr="00136023">
        <w:rPr>
          <w:iCs/>
          <w:lang w:val="en-GB"/>
        </w:rPr>
        <w:t>IAS 41</w:t>
      </w:r>
      <w:r w:rsidR="00FA10B6" w:rsidRPr="00136023">
        <w:rPr>
          <w:iCs/>
          <w:lang w:val="en-GB"/>
        </w:rPr>
        <w:t>—</w:t>
      </w:r>
      <w:r w:rsidRPr="00136023">
        <w:rPr>
          <w:iCs/>
          <w:lang w:val="en-GB"/>
        </w:rPr>
        <w:t>Agriculture</w:t>
      </w:r>
      <w:r w:rsidR="00FA10B6">
        <w:rPr>
          <w:iCs/>
          <w:lang w:val="en-GB"/>
        </w:rPr>
        <w:t>.</w:t>
      </w:r>
      <w:r w:rsidR="00B43C23">
        <w:rPr>
          <w:iCs/>
          <w:lang w:val="en-GB"/>
        </w:rPr>
        <w:t>”</w:t>
      </w:r>
      <w:r w:rsidRPr="00E94AD0">
        <w:rPr>
          <w:lang w:val="en-GB"/>
        </w:rPr>
        <w:t xml:space="preserve"> At its most simplified</w:t>
      </w:r>
      <w:r w:rsidR="00B43C23">
        <w:rPr>
          <w:lang w:val="en-GB"/>
        </w:rPr>
        <w:t xml:space="preserve"> interpretation</w:t>
      </w:r>
      <w:r w:rsidRPr="00E94AD0">
        <w:rPr>
          <w:lang w:val="en-GB"/>
        </w:rPr>
        <w:t>, this standard re</w:t>
      </w:r>
      <w:r w:rsidR="00B43C23">
        <w:rPr>
          <w:lang w:val="en-GB"/>
        </w:rPr>
        <w:t>quired</w:t>
      </w:r>
      <w:r w:rsidRPr="00E94AD0">
        <w:rPr>
          <w:lang w:val="en-GB"/>
        </w:rPr>
        <w:t xml:space="preserve"> cannabis producers </w:t>
      </w:r>
      <w:r w:rsidR="00B43C23">
        <w:rPr>
          <w:lang w:val="en-GB"/>
        </w:rPr>
        <w:t xml:space="preserve">to </w:t>
      </w:r>
      <w:r w:rsidRPr="00E94AD0">
        <w:rPr>
          <w:lang w:val="en-GB"/>
        </w:rPr>
        <w:t xml:space="preserve">record revenue as </w:t>
      </w:r>
      <w:r w:rsidR="00B43C23">
        <w:rPr>
          <w:lang w:val="en-GB"/>
        </w:rPr>
        <w:t xml:space="preserve">they grew their </w:t>
      </w:r>
      <w:r w:rsidRPr="00E94AD0">
        <w:rPr>
          <w:lang w:val="en-GB"/>
        </w:rPr>
        <w:t xml:space="preserve">crops, </w:t>
      </w:r>
      <w:r w:rsidR="00B43C23">
        <w:rPr>
          <w:lang w:val="en-GB"/>
        </w:rPr>
        <w:t xml:space="preserve">rather </w:t>
      </w:r>
      <w:r w:rsidR="00DD2819">
        <w:rPr>
          <w:lang w:val="en-GB"/>
        </w:rPr>
        <w:t xml:space="preserve">than </w:t>
      </w:r>
      <w:r w:rsidR="00B43C23">
        <w:rPr>
          <w:lang w:val="en-GB"/>
        </w:rPr>
        <w:t>during the sale of their products</w:t>
      </w:r>
      <w:r w:rsidRPr="00E94AD0">
        <w:rPr>
          <w:lang w:val="en-GB"/>
        </w:rPr>
        <w:t xml:space="preserve">. </w:t>
      </w:r>
      <w:r w:rsidR="00B43C23">
        <w:rPr>
          <w:lang w:val="en-GB"/>
        </w:rPr>
        <w:t>There were</w:t>
      </w:r>
      <w:r w:rsidRPr="00E94AD0">
        <w:rPr>
          <w:lang w:val="en-GB"/>
        </w:rPr>
        <w:t xml:space="preserve"> other </w:t>
      </w:r>
      <w:r w:rsidR="00B43C23">
        <w:rPr>
          <w:lang w:val="en-GB"/>
        </w:rPr>
        <w:t xml:space="preserve">accounting </w:t>
      </w:r>
      <w:r w:rsidRPr="00E94AD0">
        <w:rPr>
          <w:lang w:val="en-GB"/>
        </w:rPr>
        <w:t xml:space="preserve">issues, </w:t>
      </w:r>
      <w:r w:rsidR="00B43C23">
        <w:rPr>
          <w:lang w:val="en-GB"/>
        </w:rPr>
        <w:t xml:space="preserve">but Fowler decided he had to fully investigate </w:t>
      </w:r>
      <w:r w:rsidRPr="00E94AD0">
        <w:rPr>
          <w:lang w:val="en-GB"/>
        </w:rPr>
        <w:t>this</w:t>
      </w:r>
      <w:r w:rsidR="00B43C23">
        <w:rPr>
          <w:lang w:val="en-GB"/>
        </w:rPr>
        <w:t xml:space="preserve"> </w:t>
      </w:r>
      <w:r w:rsidR="00AD61C0">
        <w:rPr>
          <w:lang w:val="en-GB"/>
        </w:rPr>
        <w:t>particular</w:t>
      </w:r>
      <w:r w:rsidR="00B43C23">
        <w:rPr>
          <w:lang w:val="en-GB"/>
        </w:rPr>
        <w:t xml:space="preserve"> reporting requirement</w:t>
      </w:r>
      <w:r w:rsidRPr="00E94AD0">
        <w:rPr>
          <w:lang w:val="en-GB"/>
        </w:rPr>
        <w:t xml:space="preserve"> and </w:t>
      </w:r>
      <w:r w:rsidR="00FA10B6">
        <w:rPr>
          <w:lang w:val="en-GB"/>
        </w:rPr>
        <w:t>its</w:t>
      </w:r>
      <w:r w:rsidR="00B43C23">
        <w:rPr>
          <w:lang w:val="en-GB"/>
        </w:rPr>
        <w:t xml:space="preserve"> related</w:t>
      </w:r>
      <w:r w:rsidRPr="00E94AD0">
        <w:rPr>
          <w:lang w:val="en-GB"/>
        </w:rPr>
        <w:t xml:space="preserve"> </w:t>
      </w:r>
      <w:r w:rsidR="00B43C23">
        <w:rPr>
          <w:lang w:val="en-GB"/>
        </w:rPr>
        <w:t xml:space="preserve">risks and </w:t>
      </w:r>
      <w:r w:rsidRPr="00E94AD0">
        <w:rPr>
          <w:lang w:val="en-GB"/>
        </w:rPr>
        <w:t xml:space="preserve">implications. </w:t>
      </w:r>
    </w:p>
    <w:p w14:paraId="730CE116" w14:textId="77777777" w:rsidR="00D10C17" w:rsidRPr="00E94AD0" w:rsidRDefault="00D10C17" w:rsidP="00D10C17">
      <w:pPr>
        <w:pStyle w:val="BodyTextMain"/>
        <w:rPr>
          <w:lang w:val="en-GB"/>
        </w:rPr>
      </w:pPr>
    </w:p>
    <w:p w14:paraId="63E7E9F4" w14:textId="5AB5A790" w:rsidR="00D10C17" w:rsidRPr="00C8482F" w:rsidRDefault="00D10C17" w:rsidP="00D10C17">
      <w:pPr>
        <w:pStyle w:val="BodyTextMain"/>
        <w:rPr>
          <w:spacing w:val="-2"/>
          <w:lang w:val="en-GB"/>
        </w:rPr>
      </w:pPr>
      <w:r w:rsidRPr="00C8482F">
        <w:rPr>
          <w:spacing w:val="-2"/>
          <w:lang w:val="en-GB"/>
        </w:rPr>
        <w:t>A</w:t>
      </w:r>
      <w:r w:rsidR="00B43C23" w:rsidRPr="00C8482F">
        <w:rPr>
          <w:spacing w:val="-2"/>
          <w:lang w:val="en-GB"/>
        </w:rPr>
        <w:t>nother</w:t>
      </w:r>
      <w:r w:rsidRPr="00C8482F">
        <w:rPr>
          <w:spacing w:val="-2"/>
          <w:lang w:val="en-GB"/>
        </w:rPr>
        <w:t xml:space="preserve"> financial reporting </w:t>
      </w:r>
      <w:r w:rsidR="00B43C23" w:rsidRPr="00C8482F">
        <w:rPr>
          <w:spacing w:val="-2"/>
          <w:lang w:val="en-GB"/>
        </w:rPr>
        <w:t>complication that</w:t>
      </w:r>
      <w:r w:rsidRPr="00C8482F">
        <w:rPr>
          <w:spacing w:val="-2"/>
          <w:lang w:val="en-GB"/>
        </w:rPr>
        <w:t xml:space="preserve"> many companies in the cannabis industry </w:t>
      </w:r>
      <w:r w:rsidR="00B43C23" w:rsidRPr="00C8482F">
        <w:rPr>
          <w:spacing w:val="-2"/>
          <w:lang w:val="en-GB"/>
        </w:rPr>
        <w:t xml:space="preserve">encountered </w:t>
      </w:r>
      <w:r w:rsidRPr="00C8482F">
        <w:rPr>
          <w:spacing w:val="-2"/>
          <w:lang w:val="en-GB"/>
        </w:rPr>
        <w:t xml:space="preserve">was the use of derivative financial instruments, </w:t>
      </w:r>
      <w:r w:rsidR="00B43C23" w:rsidRPr="00C8482F">
        <w:rPr>
          <w:spacing w:val="-2"/>
          <w:lang w:val="en-GB"/>
        </w:rPr>
        <w:t xml:space="preserve">which were </w:t>
      </w:r>
      <w:r w:rsidRPr="00C8482F">
        <w:rPr>
          <w:spacing w:val="-2"/>
          <w:lang w:val="en-GB"/>
        </w:rPr>
        <w:t xml:space="preserve">accounted for </w:t>
      </w:r>
      <w:r w:rsidR="00B43C23" w:rsidRPr="00C8482F">
        <w:rPr>
          <w:spacing w:val="-2"/>
          <w:lang w:val="en-GB"/>
        </w:rPr>
        <w:t xml:space="preserve">in the </w:t>
      </w:r>
      <w:r w:rsidR="00AD61C0" w:rsidRPr="00C8482F">
        <w:rPr>
          <w:spacing w:val="-2"/>
          <w:lang w:val="en-GB"/>
        </w:rPr>
        <w:t xml:space="preserve">accounting </w:t>
      </w:r>
      <w:r w:rsidR="00B43C23" w:rsidRPr="00C8482F">
        <w:rPr>
          <w:spacing w:val="-2"/>
          <w:lang w:val="en-GB"/>
        </w:rPr>
        <w:t>s</w:t>
      </w:r>
      <w:r w:rsidR="00FA10B6" w:rsidRPr="00C8482F">
        <w:rPr>
          <w:spacing w:val="-2"/>
          <w:lang w:val="en-GB"/>
        </w:rPr>
        <w:t>tandard</w:t>
      </w:r>
      <w:r w:rsidRPr="00C8482F">
        <w:rPr>
          <w:spacing w:val="-2"/>
          <w:lang w:val="en-GB"/>
        </w:rPr>
        <w:t xml:space="preserve"> </w:t>
      </w:r>
      <w:r w:rsidR="00FA10B6" w:rsidRPr="00C8482F">
        <w:rPr>
          <w:spacing w:val="-2"/>
          <w:lang w:val="en-GB"/>
        </w:rPr>
        <w:t>“</w:t>
      </w:r>
      <w:r w:rsidRPr="00C8482F">
        <w:rPr>
          <w:iCs/>
          <w:spacing w:val="-2"/>
          <w:lang w:val="en-GB"/>
        </w:rPr>
        <w:t>IAS 39</w:t>
      </w:r>
      <w:r w:rsidR="00FA10B6" w:rsidRPr="00C8482F">
        <w:rPr>
          <w:iCs/>
          <w:spacing w:val="-2"/>
          <w:lang w:val="en-GB"/>
        </w:rPr>
        <w:t>—</w:t>
      </w:r>
      <w:r w:rsidRPr="00C8482F">
        <w:rPr>
          <w:iCs/>
          <w:spacing w:val="-2"/>
          <w:lang w:val="en-GB"/>
        </w:rPr>
        <w:t>Financial Instruments: Recognition and Measurement.</w:t>
      </w:r>
      <w:r w:rsidR="00FA10B6" w:rsidRPr="00C8482F">
        <w:rPr>
          <w:iCs/>
          <w:spacing w:val="-2"/>
          <w:lang w:val="en-GB"/>
        </w:rPr>
        <w:t>”</w:t>
      </w:r>
      <w:r w:rsidRPr="00C8482F">
        <w:rPr>
          <w:spacing w:val="-2"/>
          <w:lang w:val="en-GB"/>
        </w:rPr>
        <w:t xml:space="preserve"> Derivatives were commonly used to </w:t>
      </w:r>
      <w:r w:rsidR="00FA10B6" w:rsidRPr="00C8482F">
        <w:rPr>
          <w:spacing w:val="-2"/>
          <w:lang w:val="en-GB"/>
        </w:rPr>
        <w:t>provide investors</w:t>
      </w:r>
      <w:r w:rsidRPr="00C8482F">
        <w:rPr>
          <w:spacing w:val="-2"/>
          <w:lang w:val="en-GB"/>
        </w:rPr>
        <w:t xml:space="preserve"> flexibility </w:t>
      </w:r>
      <w:r w:rsidR="00FA10B6" w:rsidRPr="00C8482F">
        <w:rPr>
          <w:spacing w:val="-2"/>
          <w:lang w:val="en-GB"/>
        </w:rPr>
        <w:t>wh</w:t>
      </w:r>
      <w:r w:rsidR="00AD61C0" w:rsidRPr="00C8482F">
        <w:rPr>
          <w:spacing w:val="-2"/>
          <w:lang w:val="en-GB"/>
        </w:rPr>
        <w:t>en</w:t>
      </w:r>
      <w:r w:rsidRPr="00C8482F">
        <w:rPr>
          <w:spacing w:val="-2"/>
          <w:lang w:val="en-GB"/>
        </w:rPr>
        <w:t xml:space="preserve"> consider</w:t>
      </w:r>
      <w:r w:rsidR="00FA10B6" w:rsidRPr="00C8482F">
        <w:rPr>
          <w:spacing w:val="-2"/>
          <w:lang w:val="en-GB"/>
        </w:rPr>
        <w:t>ing</w:t>
      </w:r>
      <w:r w:rsidRPr="00C8482F">
        <w:rPr>
          <w:spacing w:val="-2"/>
          <w:lang w:val="en-GB"/>
        </w:rPr>
        <w:t xml:space="preserve"> invest</w:t>
      </w:r>
      <w:r w:rsidR="002116EF" w:rsidRPr="00C8482F">
        <w:rPr>
          <w:spacing w:val="-2"/>
          <w:lang w:val="en-GB"/>
        </w:rPr>
        <w:t>ing</w:t>
      </w:r>
      <w:r w:rsidRPr="00C8482F">
        <w:rPr>
          <w:spacing w:val="-2"/>
          <w:lang w:val="en-GB"/>
        </w:rPr>
        <w:t xml:space="preserve"> in cannabis companies. Common examples in the </w:t>
      </w:r>
      <w:r w:rsidR="002116EF" w:rsidRPr="00C8482F">
        <w:rPr>
          <w:spacing w:val="-2"/>
          <w:lang w:val="en-GB"/>
        </w:rPr>
        <w:t xml:space="preserve">derivatives </w:t>
      </w:r>
      <w:r w:rsidRPr="00C8482F">
        <w:rPr>
          <w:spacing w:val="-2"/>
          <w:lang w:val="en-GB"/>
        </w:rPr>
        <w:t>sector included warrants</w:t>
      </w:r>
      <w:r w:rsidR="002116EF" w:rsidRPr="00C8482F">
        <w:rPr>
          <w:spacing w:val="-2"/>
          <w:lang w:val="en-GB"/>
        </w:rPr>
        <w:t xml:space="preserve"> and options. A warrant provided the investor</w:t>
      </w:r>
      <w:r w:rsidRPr="00C8482F">
        <w:rPr>
          <w:spacing w:val="-2"/>
          <w:lang w:val="en-GB"/>
        </w:rPr>
        <w:t xml:space="preserve"> the right to buy or sell a security at a certain price before expiration</w:t>
      </w:r>
      <w:r w:rsidR="002116EF" w:rsidRPr="00C8482F">
        <w:rPr>
          <w:spacing w:val="-2"/>
          <w:lang w:val="en-GB"/>
        </w:rPr>
        <w:t>.</w:t>
      </w:r>
      <w:r w:rsidRPr="00C8482F">
        <w:rPr>
          <w:rStyle w:val="EndnoteReference"/>
          <w:rFonts w:cstheme="majorBidi"/>
          <w:spacing w:val="-2"/>
          <w:lang w:val="en-GB"/>
        </w:rPr>
        <w:endnoteReference w:id="20"/>
      </w:r>
      <w:r w:rsidRPr="00C8482F">
        <w:rPr>
          <w:spacing w:val="-2"/>
          <w:lang w:val="en-GB"/>
        </w:rPr>
        <w:t xml:space="preserve"> A call option </w:t>
      </w:r>
      <w:r w:rsidR="002116EF" w:rsidRPr="00C8482F">
        <w:rPr>
          <w:spacing w:val="-2"/>
          <w:lang w:val="en-GB"/>
        </w:rPr>
        <w:t>allowed the investor</w:t>
      </w:r>
      <w:r w:rsidRPr="00C8482F">
        <w:rPr>
          <w:spacing w:val="-2"/>
          <w:lang w:val="en-GB"/>
        </w:rPr>
        <w:t xml:space="preserve"> the right to buy a stock, bond, commodity, or other instrument at a </w:t>
      </w:r>
      <w:r w:rsidR="002116EF" w:rsidRPr="00C8482F">
        <w:rPr>
          <w:spacing w:val="-2"/>
          <w:lang w:val="en-GB"/>
        </w:rPr>
        <w:t>previously-</w:t>
      </w:r>
      <w:r w:rsidRPr="00C8482F">
        <w:rPr>
          <w:spacing w:val="-2"/>
          <w:lang w:val="en-GB"/>
        </w:rPr>
        <w:t>specified price within a specific time period.</w:t>
      </w:r>
      <w:r w:rsidRPr="00C8482F">
        <w:rPr>
          <w:rStyle w:val="EndnoteReference"/>
          <w:rFonts w:cstheme="majorBidi"/>
          <w:spacing w:val="-2"/>
          <w:lang w:val="en-GB"/>
        </w:rPr>
        <w:endnoteReference w:id="21"/>
      </w:r>
      <w:r w:rsidRPr="00C8482F">
        <w:rPr>
          <w:spacing w:val="-2"/>
          <w:lang w:val="en-GB"/>
        </w:rPr>
        <w:t xml:space="preserve"> Fowler</w:t>
      </w:r>
      <w:r w:rsidR="002116EF" w:rsidRPr="00C8482F">
        <w:rPr>
          <w:spacing w:val="-2"/>
          <w:lang w:val="en-GB"/>
        </w:rPr>
        <w:t>, who</w:t>
      </w:r>
      <w:r w:rsidRPr="00C8482F">
        <w:rPr>
          <w:spacing w:val="-2"/>
          <w:lang w:val="en-GB"/>
        </w:rPr>
        <w:t xml:space="preserve"> found </w:t>
      </w:r>
      <w:r w:rsidR="002116EF" w:rsidRPr="00C8482F">
        <w:rPr>
          <w:spacing w:val="-2"/>
          <w:lang w:val="en-GB"/>
        </w:rPr>
        <w:t>“</w:t>
      </w:r>
      <w:r w:rsidRPr="00C8482F">
        <w:rPr>
          <w:spacing w:val="-2"/>
          <w:lang w:val="en-GB"/>
        </w:rPr>
        <w:t>IAS 39</w:t>
      </w:r>
      <w:r w:rsidR="002116EF" w:rsidRPr="00C8482F">
        <w:rPr>
          <w:iCs/>
          <w:spacing w:val="-2"/>
          <w:lang w:val="en-GB"/>
        </w:rPr>
        <w:t>—Financial Instruments: Recognition and Measurement”</w:t>
      </w:r>
      <w:r w:rsidRPr="00C8482F">
        <w:rPr>
          <w:spacing w:val="-2"/>
          <w:lang w:val="en-GB"/>
        </w:rPr>
        <w:t xml:space="preserve"> extremely specialized</w:t>
      </w:r>
      <w:r w:rsidR="002116EF" w:rsidRPr="00C8482F">
        <w:rPr>
          <w:spacing w:val="-2"/>
          <w:lang w:val="en-GB"/>
        </w:rPr>
        <w:t>, often</w:t>
      </w:r>
      <w:r w:rsidRPr="00C8482F">
        <w:rPr>
          <w:spacing w:val="-2"/>
          <w:lang w:val="en-GB"/>
        </w:rPr>
        <w:t xml:space="preserve"> referred clients to </w:t>
      </w:r>
      <w:r w:rsidR="002116EF" w:rsidRPr="00C8482F">
        <w:rPr>
          <w:spacing w:val="-2"/>
          <w:lang w:val="en-GB"/>
        </w:rPr>
        <w:t xml:space="preserve">an </w:t>
      </w:r>
      <w:r w:rsidRPr="00C8482F">
        <w:rPr>
          <w:spacing w:val="-2"/>
          <w:lang w:val="en-GB"/>
        </w:rPr>
        <w:t>invest</w:t>
      </w:r>
      <w:r w:rsidR="002116EF" w:rsidRPr="00C8482F">
        <w:rPr>
          <w:spacing w:val="-2"/>
          <w:lang w:val="en-GB"/>
        </w:rPr>
        <w:t>ment</w:t>
      </w:r>
      <w:r w:rsidRPr="00C8482F">
        <w:rPr>
          <w:spacing w:val="-2"/>
          <w:lang w:val="en-GB"/>
        </w:rPr>
        <w:t xml:space="preserve"> consultant</w:t>
      </w:r>
      <w:r w:rsidR="002116EF" w:rsidRPr="00C8482F">
        <w:rPr>
          <w:spacing w:val="-2"/>
          <w:lang w:val="en-GB"/>
        </w:rPr>
        <w:t xml:space="preserve"> to resolve</w:t>
      </w:r>
      <w:r w:rsidRPr="00C8482F">
        <w:rPr>
          <w:spacing w:val="-2"/>
          <w:lang w:val="en-GB"/>
        </w:rPr>
        <w:t xml:space="preserve"> </w:t>
      </w:r>
      <w:r w:rsidR="002116EF" w:rsidRPr="00C8482F">
        <w:rPr>
          <w:spacing w:val="-2"/>
          <w:lang w:val="en-GB"/>
        </w:rPr>
        <w:t xml:space="preserve">their </w:t>
      </w:r>
      <w:r w:rsidRPr="00C8482F">
        <w:rPr>
          <w:spacing w:val="-2"/>
          <w:lang w:val="en-GB"/>
        </w:rPr>
        <w:t>questions about derivative financial instruments.</w:t>
      </w:r>
    </w:p>
    <w:p w14:paraId="5307219D" w14:textId="77777777" w:rsidR="00D10C17" w:rsidRPr="00E94AD0" w:rsidRDefault="00D10C17" w:rsidP="00D10C17">
      <w:pPr>
        <w:pStyle w:val="BodyTextMain"/>
        <w:rPr>
          <w:lang w:val="en-GB"/>
        </w:rPr>
      </w:pPr>
    </w:p>
    <w:p w14:paraId="53A1540F" w14:textId="5023F88F" w:rsidR="00D10C17" w:rsidRPr="00E94AD0" w:rsidRDefault="00D10C17" w:rsidP="00D10C17">
      <w:pPr>
        <w:pStyle w:val="BodyTextMain"/>
        <w:rPr>
          <w:rFonts w:asciiTheme="minorBidi" w:hAnsiTheme="minorBidi"/>
          <w:b/>
          <w:sz w:val="20"/>
          <w:szCs w:val="20"/>
          <w:lang w:val="en-GB"/>
        </w:rPr>
      </w:pPr>
    </w:p>
    <w:p w14:paraId="6F229CFC" w14:textId="05EA1B8E" w:rsidR="00D10C17" w:rsidRPr="00E94AD0" w:rsidRDefault="00D10C17" w:rsidP="00D10C17">
      <w:pPr>
        <w:pStyle w:val="Casehead1"/>
        <w:rPr>
          <w:lang w:val="en-GB"/>
        </w:rPr>
      </w:pPr>
      <w:r w:rsidRPr="00E94AD0">
        <w:rPr>
          <w:lang w:val="en-GB"/>
        </w:rPr>
        <w:t>COMPANY PROFILE</w:t>
      </w:r>
    </w:p>
    <w:p w14:paraId="122ABB47" w14:textId="77777777" w:rsidR="00D10C17" w:rsidRPr="00E94AD0" w:rsidRDefault="00D10C17" w:rsidP="00D10C17">
      <w:pPr>
        <w:pStyle w:val="BodyTextMain"/>
        <w:rPr>
          <w:lang w:val="en-GB"/>
        </w:rPr>
      </w:pPr>
    </w:p>
    <w:p w14:paraId="1DED7213" w14:textId="0F0371A0" w:rsidR="00D10C17" w:rsidRPr="00E94AD0" w:rsidRDefault="00D10C17" w:rsidP="00D10C17">
      <w:pPr>
        <w:pStyle w:val="Casehead2"/>
        <w:rPr>
          <w:lang w:val="en-GB"/>
        </w:rPr>
      </w:pPr>
      <w:r w:rsidRPr="00E94AD0">
        <w:rPr>
          <w:lang w:val="en-GB"/>
        </w:rPr>
        <w:t>Overview and History</w:t>
      </w:r>
    </w:p>
    <w:p w14:paraId="40847ACE" w14:textId="77777777" w:rsidR="00D10C17" w:rsidRPr="00E94AD0" w:rsidRDefault="00D10C17" w:rsidP="00D10C17">
      <w:pPr>
        <w:pStyle w:val="BodyTextMain"/>
        <w:rPr>
          <w:lang w:val="en-GB"/>
        </w:rPr>
      </w:pPr>
    </w:p>
    <w:p w14:paraId="4DCDC5B5" w14:textId="315DE788" w:rsidR="00972C80" w:rsidRDefault="00D10C17" w:rsidP="00D10C17">
      <w:pPr>
        <w:pStyle w:val="BodyTextMain"/>
        <w:rPr>
          <w:lang w:val="en-GB"/>
        </w:rPr>
      </w:pPr>
      <w:r w:rsidRPr="00E94AD0">
        <w:rPr>
          <w:lang w:val="en-GB"/>
        </w:rPr>
        <w:t>Canopy was a world-leading, diversified cannabis and hemp company headquartered in Smiths Falls, Ontario</w:t>
      </w:r>
      <w:r w:rsidR="00972C80">
        <w:rPr>
          <w:lang w:val="en-GB"/>
        </w:rPr>
        <w:t>. The company</w:t>
      </w:r>
      <w:r w:rsidRPr="00E94AD0">
        <w:rPr>
          <w:lang w:val="en-GB"/>
        </w:rPr>
        <w:t xml:space="preserve"> was listed </w:t>
      </w:r>
      <w:r w:rsidR="00972C80">
        <w:rPr>
          <w:lang w:val="en-GB"/>
        </w:rPr>
        <w:t xml:space="preserve">on the Toronto Stock Exchange </w:t>
      </w:r>
      <w:r w:rsidRPr="00E94AD0">
        <w:rPr>
          <w:lang w:val="en-GB"/>
        </w:rPr>
        <w:t xml:space="preserve">under the symbol “WEED” </w:t>
      </w:r>
      <w:r w:rsidR="00972C80">
        <w:rPr>
          <w:lang w:val="en-GB"/>
        </w:rPr>
        <w:t xml:space="preserve">and </w:t>
      </w:r>
      <w:r w:rsidRPr="00E94AD0">
        <w:rPr>
          <w:lang w:val="en-GB"/>
        </w:rPr>
        <w:t xml:space="preserve">on the </w:t>
      </w:r>
      <w:r w:rsidR="00972C80">
        <w:rPr>
          <w:lang w:val="en-GB"/>
        </w:rPr>
        <w:t>Nasdaq Stock Market under the symbol</w:t>
      </w:r>
      <w:r w:rsidRPr="00E94AD0">
        <w:rPr>
          <w:lang w:val="en-GB"/>
        </w:rPr>
        <w:t xml:space="preserve"> “CGC</w:t>
      </w:r>
      <w:r w:rsidR="00972C80">
        <w:rPr>
          <w:lang w:val="en-GB"/>
        </w:rPr>
        <w:t>.</w:t>
      </w:r>
      <w:r w:rsidRPr="00E94AD0">
        <w:rPr>
          <w:lang w:val="en-GB"/>
        </w:rPr>
        <w:t xml:space="preserve">” </w:t>
      </w:r>
      <w:r w:rsidR="00972C80">
        <w:rPr>
          <w:lang w:val="en-GB"/>
        </w:rPr>
        <w:t>Canopy</w:t>
      </w:r>
      <w:r w:rsidRPr="00E94AD0">
        <w:rPr>
          <w:lang w:val="en-GB"/>
        </w:rPr>
        <w:t xml:space="preserve"> was founded in 2010, under the name MABH Ontario Inc. </w:t>
      </w:r>
      <w:r w:rsidR="00AD61C0">
        <w:rPr>
          <w:lang w:val="en-GB"/>
        </w:rPr>
        <w:t>and</w:t>
      </w:r>
      <w:r w:rsidR="00972C80" w:rsidRPr="00E94AD0">
        <w:rPr>
          <w:lang w:val="en-GB"/>
        </w:rPr>
        <w:t xml:space="preserve"> </w:t>
      </w:r>
      <w:r w:rsidR="00972C80">
        <w:rPr>
          <w:lang w:val="en-GB"/>
        </w:rPr>
        <w:t>was later renamed</w:t>
      </w:r>
      <w:r w:rsidRPr="00E94AD0">
        <w:rPr>
          <w:lang w:val="en-GB"/>
        </w:rPr>
        <w:t xml:space="preserve"> Tweed Marijuana Inc.</w:t>
      </w:r>
      <w:r w:rsidRPr="00E94AD0">
        <w:rPr>
          <w:rStyle w:val="EndnoteReference"/>
          <w:rFonts w:asciiTheme="majorBidi" w:hAnsiTheme="majorBidi" w:cstheme="majorBidi"/>
          <w:lang w:val="en-GB"/>
        </w:rPr>
        <w:endnoteReference w:id="22"/>
      </w:r>
      <w:r w:rsidRPr="00E94AD0">
        <w:rPr>
          <w:lang w:val="en-GB"/>
        </w:rPr>
        <w:t xml:space="preserve"> </w:t>
      </w:r>
      <w:r w:rsidR="00AD61C0">
        <w:rPr>
          <w:lang w:val="en-GB"/>
        </w:rPr>
        <w:t xml:space="preserve">The company </w:t>
      </w:r>
      <w:r w:rsidRPr="00E94AD0">
        <w:rPr>
          <w:lang w:val="en-GB"/>
        </w:rPr>
        <w:t>received its licen</w:t>
      </w:r>
      <w:r w:rsidR="00972C80">
        <w:rPr>
          <w:lang w:val="en-GB"/>
        </w:rPr>
        <w:t>c</w:t>
      </w:r>
      <w:r w:rsidRPr="00E94AD0">
        <w:rPr>
          <w:lang w:val="en-GB"/>
        </w:rPr>
        <w:t>e to sell medical cannabis to patients</w:t>
      </w:r>
      <w:r w:rsidR="00972C80">
        <w:rPr>
          <w:lang w:val="en-GB"/>
        </w:rPr>
        <w:t xml:space="preserve"> on</w:t>
      </w:r>
      <w:r w:rsidR="00972C80" w:rsidRPr="00E94AD0">
        <w:rPr>
          <w:lang w:val="en-GB"/>
        </w:rPr>
        <w:t xml:space="preserve"> January 27, 2014</w:t>
      </w:r>
      <w:r w:rsidRPr="00E94AD0">
        <w:rPr>
          <w:lang w:val="en-GB"/>
        </w:rPr>
        <w:t>.</w:t>
      </w:r>
      <w:r w:rsidRPr="00E94AD0">
        <w:rPr>
          <w:rStyle w:val="EndnoteReference"/>
          <w:rFonts w:asciiTheme="majorBidi" w:hAnsiTheme="majorBidi" w:cstheme="majorBidi"/>
          <w:lang w:val="en-GB"/>
        </w:rPr>
        <w:endnoteReference w:id="23"/>
      </w:r>
      <w:r w:rsidRPr="00E94AD0">
        <w:rPr>
          <w:lang w:val="en-GB"/>
        </w:rPr>
        <w:t xml:space="preserve"> As the company’s medical cannabis business grew, the name was changed </w:t>
      </w:r>
      <w:r w:rsidR="00972C80">
        <w:rPr>
          <w:lang w:val="en-GB"/>
        </w:rPr>
        <w:t xml:space="preserve">yet again </w:t>
      </w:r>
      <w:r w:rsidRPr="00E94AD0">
        <w:rPr>
          <w:lang w:val="en-GB"/>
        </w:rPr>
        <w:t>to Canopy Growth Corporation</w:t>
      </w:r>
      <w:r w:rsidR="00972C80">
        <w:rPr>
          <w:lang w:val="en-GB"/>
        </w:rPr>
        <w:t>. However</w:t>
      </w:r>
      <w:r w:rsidRPr="00E94AD0">
        <w:rPr>
          <w:lang w:val="en-GB"/>
        </w:rPr>
        <w:t xml:space="preserve">, the </w:t>
      </w:r>
      <w:r w:rsidR="00972C80">
        <w:rPr>
          <w:lang w:val="en-GB"/>
        </w:rPr>
        <w:t xml:space="preserve">former name </w:t>
      </w:r>
      <w:r w:rsidRPr="00E94AD0">
        <w:rPr>
          <w:lang w:val="en-GB"/>
        </w:rPr>
        <w:t xml:space="preserve">Tweed </w:t>
      </w:r>
      <w:r w:rsidR="00972C80">
        <w:rPr>
          <w:lang w:val="en-GB"/>
        </w:rPr>
        <w:t>was retained</w:t>
      </w:r>
      <w:r w:rsidRPr="00E94AD0">
        <w:rPr>
          <w:lang w:val="en-GB"/>
        </w:rPr>
        <w:t xml:space="preserve"> </w:t>
      </w:r>
      <w:r w:rsidR="00AD61C0">
        <w:rPr>
          <w:lang w:val="en-GB"/>
        </w:rPr>
        <w:t>for</w:t>
      </w:r>
      <w:r w:rsidRPr="00E94AD0">
        <w:rPr>
          <w:lang w:val="en-GB"/>
        </w:rPr>
        <w:t xml:space="preserve"> </w:t>
      </w:r>
      <w:r w:rsidR="00972C80">
        <w:rPr>
          <w:lang w:val="en-GB"/>
        </w:rPr>
        <w:t>one of</w:t>
      </w:r>
      <w:r w:rsidRPr="00E94AD0">
        <w:rPr>
          <w:lang w:val="en-GB"/>
        </w:rPr>
        <w:t xml:space="preserve"> Canopy</w:t>
      </w:r>
      <w:r w:rsidR="00972C80">
        <w:rPr>
          <w:lang w:val="en-GB"/>
        </w:rPr>
        <w:t>’s</w:t>
      </w:r>
      <w:r w:rsidRPr="00E94AD0">
        <w:rPr>
          <w:lang w:val="en-GB"/>
        </w:rPr>
        <w:t xml:space="preserve"> </w:t>
      </w:r>
      <w:r w:rsidR="00AD61C0">
        <w:rPr>
          <w:lang w:val="en-GB"/>
        </w:rPr>
        <w:t xml:space="preserve">main </w:t>
      </w:r>
      <w:r w:rsidRPr="00E94AD0">
        <w:rPr>
          <w:lang w:val="en-GB"/>
        </w:rPr>
        <w:t>brand</w:t>
      </w:r>
      <w:r w:rsidR="00972C80">
        <w:rPr>
          <w:lang w:val="en-GB"/>
        </w:rPr>
        <w:t>s</w:t>
      </w:r>
      <w:r w:rsidRPr="00E94AD0">
        <w:rPr>
          <w:lang w:val="en-GB"/>
        </w:rPr>
        <w:t>.</w:t>
      </w:r>
      <w:r w:rsidRPr="00E94AD0">
        <w:rPr>
          <w:rStyle w:val="EndnoteReference"/>
          <w:rFonts w:asciiTheme="majorBidi" w:hAnsiTheme="majorBidi" w:cstheme="majorBidi"/>
          <w:lang w:val="en-GB"/>
        </w:rPr>
        <w:endnoteReference w:id="24"/>
      </w:r>
      <w:r w:rsidRPr="00E94AD0">
        <w:rPr>
          <w:lang w:val="en-GB"/>
        </w:rPr>
        <w:t xml:space="preserve"> </w:t>
      </w:r>
    </w:p>
    <w:p w14:paraId="61E22EEF" w14:textId="77777777" w:rsidR="00972C80" w:rsidRDefault="00972C80" w:rsidP="00D10C17">
      <w:pPr>
        <w:pStyle w:val="BodyTextMain"/>
        <w:rPr>
          <w:lang w:val="en-GB"/>
        </w:rPr>
      </w:pPr>
    </w:p>
    <w:p w14:paraId="393E0690" w14:textId="4382BC9D" w:rsidR="00D10C17" w:rsidRPr="00C8482F" w:rsidRDefault="00972C80" w:rsidP="00D10C17">
      <w:pPr>
        <w:pStyle w:val="BodyTextMain"/>
        <w:rPr>
          <w:spacing w:val="-4"/>
          <w:lang w:val="en-GB"/>
        </w:rPr>
      </w:pPr>
      <w:r w:rsidRPr="00C8482F">
        <w:rPr>
          <w:spacing w:val="-4"/>
          <w:lang w:val="en-GB"/>
        </w:rPr>
        <w:t>Shortly after</w:t>
      </w:r>
      <w:r w:rsidR="00D10C17" w:rsidRPr="00C8482F">
        <w:rPr>
          <w:spacing w:val="-4"/>
          <w:lang w:val="en-GB"/>
        </w:rPr>
        <w:t xml:space="preserve"> the </w:t>
      </w:r>
      <w:r w:rsidR="00D10C17" w:rsidRPr="00C8482F">
        <w:rPr>
          <w:i/>
          <w:spacing w:val="-4"/>
          <w:lang w:val="en-GB"/>
        </w:rPr>
        <w:t>Cannabis Act</w:t>
      </w:r>
      <w:r w:rsidR="00D10C17" w:rsidRPr="00C8482F">
        <w:rPr>
          <w:spacing w:val="-4"/>
          <w:lang w:val="en-GB"/>
        </w:rPr>
        <w:t xml:space="preserve"> came into effect in Canada</w:t>
      </w:r>
      <w:r w:rsidRPr="00C8482F">
        <w:rPr>
          <w:spacing w:val="-4"/>
          <w:lang w:val="en-GB"/>
        </w:rPr>
        <w:t xml:space="preserve"> in October 2018</w:t>
      </w:r>
      <w:r w:rsidR="00D10C17" w:rsidRPr="00C8482F">
        <w:rPr>
          <w:spacing w:val="-4"/>
          <w:lang w:val="en-GB"/>
        </w:rPr>
        <w:t>, Canopy ope</w:t>
      </w:r>
      <w:r w:rsidRPr="00C8482F">
        <w:rPr>
          <w:spacing w:val="-4"/>
          <w:lang w:val="en-GB"/>
        </w:rPr>
        <w:t>ned various</w:t>
      </w:r>
      <w:r w:rsidR="00D10C17" w:rsidRPr="00C8482F">
        <w:rPr>
          <w:spacing w:val="-4"/>
          <w:lang w:val="en-GB"/>
        </w:rPr>
        <w:t xml:space="preserve"> retail stores </w:t>
      </w:r>
      <w:r w:rsidRPr="00C8482F">
        <w:rPr>
          <w:spacing w:val="-4"/>
          <w:lang w:val="en-GB"/>
        </w:rPr>
        <w:t>for the sale of</w:t>
      </w:r>
      <w:r w:rsidR="00D10C17" w:rsidRPr="00C8482F">
        <w:rPr>
          <w:spacing w:val="-4"/>
          <w:lang w:val="en-GB"/>
        </w:rPr>
        <w:t xml:space="preserve"> cannabis for recreational use </w:t>
      </w:r>
      <w:r w:rsidRPr="00C8482F">
        <w:rPr>
          <w:spacing w:val="-4"/>
          <w:lang w:val="en-GB"/>
        </w:rPr>
        <w:t>across</w:t>
      </w:r>
      <w:r w:rsidR="00D10C17" w:rsidRPr="00C8482F">
        <w:rPr>
          <w:spacing w:val="-4"/>
          <w:lang w:val="en-GB"/>
        </w:rPr>
        <w:t xml:space="preserve"> the country. </w:t>
      </w:r>
      <w:r w:rsidRPr="00C8482F">
        <w:rPr>
          <w:spacing w:val="-4"/>
          <w:lang w:val="en-GB"/>
        </w:rPr>
        <w:t>By</w:t>
      </w:r>
      <w:r w:rsidR="00D10C17" w:rsidRPr="00C8482F">
        <w:rPr>
          <w:spacing w:val="-4"/>
          <w:lang w:val="en-GB"/>
        </w:rPr>
        <w:t xml:space="preserve"> </w:t>
      </w:r>
      <w:r w:rsidRPr="00C8482F">
        <w:rPr>
          <w:spacing w:val="-4"/>
          <w:lang w:val="en-GB"/>
        </w:rPr>
        <w:t>the next year</w:t>
      </w:r>
      <w:r w:rsidR="00D10C17" w:rsidRPr="00C8482F">
        <w:rPr>
          <w:spacing w:val="-4"/>
          <w:lang w:val="en-GB"/>
        </w:rPr>
        <w:t xml:space="preserve">, the </w:t>
      </w:r>
      <w:r w:rsidRPr="00C8482F">
        <w:rPr>
          <w:spacing w:val="-4"/>
          <w:lang w:val="en-GB"/>
        </w:rPr>
        <w:t>c</w:t>
      </w:r>
      <w:r w:rsidR="00D10C17" w:rsidRPr="00C8482F">
        <w:rPr>
          <w:spacing w:val="-4"/>
          <w:lang w:val="en-GB"/>
        </w:rPr>
        <w:t xml:space="preserve">ompany </w:t>
      </w:r>
      <w:r w:rsidRPr="00C8482F">
        <w:rPr>
          <w:spacing w:val="-4"/>
          <w:lang w:val="en-GB"/>
        </w:rPr>
        <w:t>was</w:t>
      </w:r>
      <w:r w:rsidR="00D10C17" w:rsidRPr="00C8482F">
        <w:rPr>
          <w:spacing w:val="-4"/>
          <w:lang w:val="en-GB"/>
        </w:rPr>
        <w:t xml:space="preserve"> describ</w:t>
      </w:r>
      <w:r w:rsidRPr="00C8482F">
        <w:rPr>
          <w:spacing w:val="-4"/>
          <w:lang w:val="en-GB"/>
        </w:rPr>
        <w:t>ing</w:t>
      </w:r>
      <w:r w:rsidR="00D10C17" w:rsidRPr="00C8482F">
        <w:rPr>
          <w:spacing w:val="-4"/>
          <w:lang w:val="en-GB"/>
        </w:rPr>
        <w:t xml:space="preserve"> itself as a “world-leading diversified cannabis company offering distinct brands and curated cannabis in dried flower, oil and softgel formats in Canada pursuant to the Cannabis Act, and around the world pursuant to applicable international and domestic legislation and permits.”</w:t>
      </w:r>
      <w:r w:rsidR="00D10C17" w:rsidRPr="00C8482F">
        <w:rPr>
          <w:rStyle w:val="EndnoteReference"/>
          <w:rFonts w:cstheme="majorBidi"/>
          <w:spacing w:val="-4"/>
          <w:lang w:val="en-GB"/>
        </w:rPr>
        <w:endnoteReference w:id="25"/>
      </w:r>
      <w:r w:rsidR="00D10C17" w:rsidRPr="00C8482F">
        <w:rPr>
          <w:spacing w:val="-4"/>
          <w:lang w:val="en-GB"/>
        </w:rPr>
        <w:t xml:space="preserve"> </w:t>
      </w:r>
      <w:r w:rsidR="00AD61C0" w:rsidRPr="00C8482F">
        <w:rPr>
          <w:spacing w:val="-4"/>
          <w:lang w:val="en-GB"/>
        </w:rPr>
        <w:t>I</w:t>
      </w:r>
      <w:r w:rsidRPr="00C8482F">
        <w:rPr>
          <w:spacing w:val="-4"/>
          <w:lang w:val="en-GB"/>
        </w:rPr>
        <w:t>n</w:t>
      </w:r>
      <w:r w:rsidR="00D10C17" w:rsidRPr="00C8482F">
        <w:rPr>
          <w:spacing w:val="-4"/>
          <w:lang w:val="en-GB"/>
        </w:rPr>
        <w:t xml:space="preserve"> August 2018, </w:t>
      </w:r>
      <w:r w:rsidRPr="00C8482F">
        <w:rPr>
          <w:spacing w:val="-4"/>
          <w:lang w:val="en-GB"/>
        </w:rPr>
        <w:t>the</w:t>
      </w:r>
      <w:r w:rsidR="00D10C17" w:rsidRPr="00C8482F">
        <w:rPr>
          <w:spacing w:val="-4"/>
          <w:lang w:val="en-GB"/>
        </w:rPr>
        <w:t xml:space="preserve"> leading US alcoholic beverage company</w:t>
      </w:r>
      <w:r w:rsidR="0094386E" w:rsidRPr="00C8482F">
        <w:rPr>
          <w:spacing w:val="-4"/>
          <w:lang w:val="en-GB"/>
        </w:rPr>
        <w:t xml:space="preserve"> </w:t>
      </w:r>
      <w:r w:rsidRPr="00C8482F">
        <w:rPr>
          <w:spacing w:val="-4"/>
          <w:lang w:val="en-GB"/>
        </w:rPr>
        <w:t>Constellation Brands Inc.</w:t>
      </w:r>
      <w:r w:rsidR="0094386E" w:rsidRPr="00C8482F">
        <w:rPr>
          <w:spacing w:val="-4"/>
          <w:lang w:val="en-GB"/>
        </w:rPr>
        <w:t xml:space="preserve"> had</w:t>
      </w:r>
      <w:r w:rsidR="00D10C17" w:rsidRPr="00C8482F">
        <w:rPr>
          <w:spacing w:val="-4"/>
          <w:lang w:val="en-GB"/>
        </w:rPr>
        <w:t xml:space="preserve"> </w:t>
      </w:r>
      <w:r w:rsidR="00AD61C0" w:rsidRPr="00C8482F">
        <w:rPr>
          <w:spacing w:val="-4"/>
          <w:lang w:val="en-GB"/>
        </w:rPr>
        <w:t>invested</w:t>
      </w:r>
      <w:r w:rsidR="00D10C17" w:rsidRPr="00C8482F">
        <w:rPr>
          <w:spacing w:val="-4"/>
          <w:lang w:val="en-GB"/>
        </w:rPr>
        <w:t xml:space="preserve"> $5 billion in </w:t>
      </w:r>
      <w:r w:rsidR="00AD61C0" w:rsidRPr="00C8482F">
        <w:rPr>
          <w:spacing w:val="-4"/>
          <w:lang w:val="en-GB"/>
        </w:rPr>
        <w:t>Canopy</w:t>
      </w:r>
      <w:r w:rsidR="00D10C17" w:rsidRPr="00C8482F">
        <w:rPr>
          <w:spacing w:val="-4"/>
          <w:lang w:val="en-GB"/>
        </w:rPr>
        <w:t xml:space="preserve"> in exchange for approximately 38 per</w:t>
      </w:r>
      <w:r w:rsidR="0094386E" w:rsidRPr="00C8482F">
        <w:rPr>
          <w:spacing w:val="-4"/>
          <w:lang w:val="en-GB"/>
        </w:rPr>
        <w:t xml:space="preserve"> </w:t>
      </w:r>
      <w:r w:rsidR="00D10C17" w:rsidRPr="00C8482F">
        <w:rPr>
          <w:spacing w:val="-4"/>
          <w:lang w:val="en-GB"/>
        </w:rPr>
        <w:t>cent immediate ownership and additional warrants exercisable over the next three years.</w:t>
      </w:r>
      <w:r w:rsidR="00D10C17" w:rsidRPr="00C8482F">
        <w:rPr>
          <w:rStyle w:val="EndnoteReference"/>
          <w:rFonts w:cstheme="majorBidi"/>
          <w:spacing w:val="-4"/>
          <w:lang w:val="en-GB"/>
        </w:rPr>
        <w:endnoteReference w:id="26"/>
      </w:r>
      <w:r w:rsidR="00D10C17" w:rsidRPr="00C8482F">
        <w:rPr>
          <w:spacing w:val="-4"/>
          <w:lang w:val="en-GB"/>
        </w:rPr>
        <w:t xml:space="preserve"> </w:t>
      </w:r>
    </w:p>
    <w:p w14:paraId="72322EBE" w14:textId="0A3827BD" w:rsidR="00D10C17" w:rsidRPr="00E94AD0" w:rsidRDefault="00D10C17" w:rsidP="00D10C17">
      <w:pPr>
        <w:pStyle w:val="BodyTextMain"/>
        <w:rPr>
          <w:lang w:val="en-GB"/>
        </w:rPr>
      </w:pPr>
    </w:p>
    <w:p w14:paraId="275922C0" w14:textId="77777777" w:rsidR="00D10C17" w:rsidRPr="00E94AD0" w:rsidRDefault="00D10C17" w:rsidP="00D10C17">
      <w:pPr>
        <w:pStyle w:val="BodyTextMain"/>
        <w:rPr>
          <w:lang w:val="en-GB"/>
        </w:rPr>
      </w:pPr>
    </w:p>
    <w:p w14:paraId="1B8E9CFA" w14:textId="77777777" w:rsidR="00D10C17" w:rsidRPr="00E94AD0" w:rsidRDefault="00D10C17" w:rsidP="00D05E75">
      <w:pPr>
        <w:pStyle w:val="Casehead2"/>
        <w:keepNext/>
        <w:rPr>
          <w:lang w:val="en-GB"/>
        </w:rPr>
      </w:pPr>
      <w:r w:rsidRPr="00E94AD0">
        <w:rPr>
          <w:lang w:val="en-GB"/>
        </w:rPr>
        <w:lastRenderedPageBreak/>
        <w:t>Products and Brands</w:t>
      </w:r>
    </w:p>
    <w:p w14:paraId="37708D59" w14:textId="77777777" w:rsidR="00D10C17" w:rsidRPr="00E94AD0" w:rsidRDefault="00D10C17" w:rsidP="00D05E75">
      <w:pPr>
        <w:pStyle w:val="BodyTextMain"/>
        <w:keepNext/>
        <w:rPr>
          <w:lang w:val="en-GB"/>
        </w:rPr>
      </w:pPr>
    </w:p>
    <w:p w14:paraId="4928F46B" w14:textId="1D626046" w:rsidR="00D10C17" w:rsidRPr="00E94AD0" w:rsidRDefault="00D10C17" w:rsidP="00D05E75">
      <w:pPr>
        <w:pStyle w:val="BodyTextMain"/>
        <w:keepNext/>
        <w:rPr>
          <w:lang w:val="en-GB"/>
        </w:rPr>
      </w:pPr>
      <w:r w:rsidRPr="00E94AD0">
        <w:rPr>
          <w:lang w:val="en-GB"/>
        </w:rPr>
        <w:t xml:space="preserve">Canopy </w:t>
      </w:r>
      <w:r w:rsidR="00F859DD">
        <w:rPr>
          <w:lang w:val="en-GB"/>
        </w:rPr>
        <w:t>sold</w:t>
      </w:r>
      <w:r w:rsidRPr="00E94AD0">
        <w:rPr>
          <w:lang w:val="en-GB"/>
        </w:rPr>
        <w:t xml:space="preserve"> a wide </w:t>
      </w:r>
      <w:r w:rsidR="00F859DD">
        <w:rPr>
          <w:lang w:val="en-GB"/>
        </w:rPr>
        <w:t>range</w:t>
      </w:r>
      <w:r w:rsidRPr="00E94AD0">
        <w:rPr>
          <w:lang w:val="en-GB"/>
        </w:rPr>
        <w:t xml:space="preserve"> of products under a diverse platform of brands. The</w:t>
      </w:r>
      <w:r w:rsidR="00F859DD">
        <w:rPr>
          <w:lang w:val="en-GB"/>
        </w:rPr>
        <w:t xml:space="preserve"> company’s</w:t>
      </w:r>
      <w:r w:rsidRPr="00E94AD0">
        <w:rPr>
          <w:lang w:val="en-GB"/>
        </w:rPr>
        <w:t xml:space="preserve"> product</w:t>
      </w:r>
      <w:r w:rsidR="00F859DD">
        <w:rPr>
          <w:lang w:val="en-GB"/>
        </w:rPr>
        <w:t xml:space="preserve"> portfolio</w:t>
      </w:r>
      <w:r w:rsidRPr="00E94AD0">
        <w:rPr>
          <w:lang w:val="en-GB"/>
        </w:rPr>
        <w:t xml:space="preserve"> include</w:t>
      </w:r>
      <w:r w:rsidR="00F859DD">
        <w:rPr>
          <w:lang w:val="en-GB"/>
        </w:rPr>
        <w:t>d</w:t>
      </w:r>
      <w:r w:rsidRPr="00E94AD0">
        <w:rPr>
          <w:lang w:val="en-GB"/>
        </w:rPr>
        <w:t xml:space="preserve"> dried cannabis, pre-rolls, edibles, cannabis-infused beverages, cannabis oils, and softgels. Canopy </w:t>
      </w:r>
      <w:r w:rsidR="00F859DD">
        <w:rPr>
          <w:lang w:val="en-GB"/>
        </w:rPr>
        <w:t>was able to sell</w:t>
      </w:r>
      <w:r w:rsidRPr="00E94AD0">
        <w:rPr>
          <w:lang w:val="en-GB"/>
        </w:rPr>
        <w:t xml:space="preserve"> many of its products across both the recreational and medical channels b</w:t>
      </w:r>
      <w:r w:rsidR="00F859DD">
        <w:rPr>
          <w:lang w:val="en-GB"/>
        </w:rPr>
        <w:t>y</w:t>
      </w:r>
      <w:r w:rsidRPr="00E94AD0">
        <w:rPr>
          <w:lang w:val="en-GB"/>
        </w:rPr>
        <w:t xml:space="preserve"> adjust</w:t>
      </w:r>
      <w:r w:rsidR="00F859DD">
        <w:rPr>
          <w:lang w:val="en-GB"/>
        </w:rPr>
        <w:t>ing</w:t>
      </w:r>
      <w:r w:rsidRPr="00E94AD0">
        <w:rPr>
          <w:lang w:val="en-GB"/>
        </w:rPr>
        <w:t xml:space="preserve"> </w:t>
      </w:r>
      <w:r w:rsidR="00F859DD">
        <w:rPr>
          <w:lang w:val="en-GB"/>
        </w:rPr>
        <w:t xml:space="preserve">the </w:t>
      </w:r>
      <w:r w:rsidRPr="00E94AD0">
        <w:rPr>
          <w:lang w:val="en-GB"/>
        </w:rPr>
        <w:t>product</w:t>
      </w:r>
      <w:r w:rsidR="00F859DD">
        <w:rPr>
          <w:lang w:val="en-GB"/>
        </w:rPr>
        <w:t>’s</w:t>
      </w:r>
      <w:r w:rsidRPr="00E94AD0">
        <w:rPr>
          <w:lang w:val="en-GB"/>
        </w:rPr>
        <w:t xml:space="preserve"> branding</w:t>
      </w:r>
      <w:r w:rsidR="00F859DD">
        <w:rPr>
          <w:lang w:val="en-GB"/>
        </w:rPr>
        <w:t>,</w:t>
      </w:r>
      <w:r w:rsidRPr="00E94AD0">
        <w:rPr>
          <w:lang w:val="en-GB"/>
        </w:rPr>
        <w:t xml:space="preserve"> based on the sales channel being targeted</w:t>
      </w:r>
      <w:r w:rsidR="00F859DD">
        <w:rPr>
          <w:lang w:val="en-GB"/>
        </w:rPr>
        <w:t xml:space="preserve"> (see</w:t>
      </w:r>
      <w:r w:rsidRPr="00E94AD0">
        <w:rPr>
          <w:lang w:val="en-GB"/>
        </w:rPr>
        <w:t xml:space="preserve"> Exhibit 5</w:t>
      </w:r>
      <w:r w:rsidR="00F859DD">
        <w:rPr>
          <w:lang w:val="en-GB"/>
        </w:rPr>
        <w:t>)</w:t>
      </w:r>
      <w:r w:rsidRPr="00E94AD0">
        <w:rPr>
          <w:lang w:val="en-GB"/>
        </w:rPr>
        <w:t xml:space="preserve">. </w:t>
      </w:r>
    </w:p>
    <w:p w14:paraId="171706E2" w14:textId="696FBAEE" w:rsidR="00D10C17" w:rsidRPr="00E94AD0" w:rsidRDefault="00D10C17" w:rsidP="00D10C17">
      <w:pPr>
        <w:pStyle w:val="BodyTextMain"/>
        <w:rPr>
          <w:lang w:val="en-GB"/>
        </w:rPr>
      </w:pPr>
    </w:p>
    <w:p w14:paraId="7E632A74" w14:textId="77777777" w:rsidR="00D10C17" w:rsidRPr="00E94AD0" w:rsidRDefault="00D10C17" w:rsidP="00D10C17">
      <w:pPr>
        <w:pStyle w:val="BodyTextMain"/>
        <w:rPr>
          <w:lang w:val="en-GB"/>
        </w:rPr>
      </w:pPr>
    </w:p>
    <w:p w14:paraId="43357F4B" w14:textId="77777777" w:rsidR="00D10C17" w:rsidRPr="00E94AD0" w:rsidRDefault="00D10C17" w:rsidP="00D10C17">
      <w:pPr>
        <w:pStyle w:val="Casehead2"/>
        <w:rPr>
          <w:lang w:val="en-GB"/>
        </w:rPr>
      </w:pPr>
      <w:r w:rsidRPr="00E94AD0">
        <w:rPr>
          <w:lang w:val="en-GB"/>
        </w:rPr>
        <w:t>Canopy in 2019</w:t>
      </w:r>
    </w:p>
    <w:p w14:paraId="3D882CFF" w14:textId="77777777" w:rsidR="00D10C17" w:rsidRPr="00E94AD0" w:rsidRDefault="00D10C17" w:rsidP="00D10C17">
      <w:pPr>
        <w:pStyle w:val="BodyTextMain"/>
        <w:rPr>
          <w:lang w:val="en-GB"/>
        </w:rPr>
      </w:pPr>
    </w:p>
    <w:p w14:paraId="6F27DCF3" w14:textId="4AA51030" w:rsidR="00541A68" w:rsidRDefault="00D10C17" w:rsidP="00D10C17">
      <w:pPr>
        <w:pStyle w:val="BodyTextMain"/>
        <w:rPr>
          <w:lang w:val="en-GB"/>
        </w:rPr>
      </w:pPr>
      <w:r w:rsidRPr="00E94AD0">
        <w:rPr>
          <w:lang w:val="en-GB"/>
        </w:rPr>
        <w:t>Throughout 2019, the company</w:t>
      </w:r>
      <w:r w:rsidR="00F859DD">
        <w:rPr>
          <w:lang w:val="en-GB"/>
        </w:rPr>
        <w:t>’s efforts were concentrated on</w:t>
      </w:r>
      <w:r w:rsidRPr="00E94AD0">
        <w:rPr>
          <w:lang w:val="en-GB"/>
        </w:rPr>
        <w:t xml:space="preserve"> establishing Canopy as the global leader in cannabis and hemp-based products</w:t>
      </w:r>
      <w:r w:rsidR="00F859DD">
        <w:rPr>
          <w:lang w:val="en-GB"/>
        </w:rPr>
        <w:t>. Toward that goal</w:t>
      </w:r>
      <w:r w:rsidRPr="00E94AD0">
        <w:rPr>
          <w:lang w:val="en-GB"/>
        </w:rPr>
        <w:t xml:space="preserve">, </w:t>
      </w:r>
      <w:r w:rsidR="00F859DD">
        <w:rPr>
          <w:lang w:val="en-GB"/>
        </w:rPr>
        <w:t>the company</w:t>
      </w:r>
      <w:r w:rsidRPr="00E94AD0">
        <w:rPr>
          <w:lang w:val="en-GB"/>
        </w:rPr>
        <w:t xml:space="preserve"> invested heavily in various aspects of its business</w:t>
      </w:r>
      <w:r w:rsidR="00541A68">
        <w:rPr>
          <w:lang w:val="en-GB"/>
        </w:rPr>
        <w:t xml:space="preserve"> and</w:t>
      </w:r>
      <w:r w:rsidRPr="00E94AD0">
        <w:rPr>
          <w:lang w:val="en-GB"/>
        </w:rPr>
        <w:t xml:space="preserve"> continued to diversify geographically, targeting the European medical cannabis market under its Spectrum Therapeutics brand.</w:t>
      </w:r>
      <w:r w:rsidRPr="00E94AD0">
        <w:rPr>
          <w:rStyle w:val="EndnoteReference"/>
          <w:rFonts w:asciiTheme="majorBidi" w:hAnsiTheme="majorBidi" w:cstheme="majorBidi"/>
          <w:lang w:val="en-GB"/>
        </w:rPr>
        <w:endnoteReference w:id="27"/>
      </w:r>
    </w:p>
    <w:p w14:paraId="24D7D470" w14:textId="77777777" w:rsidR="00541A68" w:rsidRDefault="00541A68" w:rsidP="00D10C17">
      <w:pPr>
        <w:pStyle w:val="BodyTextMain"/>
        <w:rPr>
          <w:lang w:val="en-GB"/>
        </w:rPr>
      </w:pPr>
    </w:p>
    <w:p w14:paraId="76613297" w14:textId="0CAAE79D" w:rsidR="00D10C17" w:rsidRPr="00E94AD0" w:rsidRDefault="00F859DD" w:rsidP="00D10C17">
      <w:pPr>
        <w:pStyle w:val="BodyTextMain"/>
        <w:rPr>
          <w:lang w:val="en-GB"/>
        </w:rPr>
      </w:pPr>
      <w:r>
        <w:rPr>
          <w:lang w:val="en-GB"/>
        </w:rPr>
        <w:t>I</w:t>
      </w:r>
      <w:r w:rsidR="00D10C17" w:rsidRPr="00E94AD0">
        <w:rPr>
          <w:lang w:val="en-GB"/>
        </w:rPr>
        <w:t>n April 2019</w:t>
      </w:r>
      <w:r>
        <w:rPr>
          <w:lang w:val="en-GB"/>
        </w:rPr>
        <w:t>,</w:t>
      </w:r>
      <w:r w:rsidR="00D10C17" w:rsidRPr="00E94AD0">
        <w:rPr>
          <w:lang w:val="en-GB"/>
        </w:rPr>
        <w:t xml:space="preserve"> the company entered into an agreement with Acreage</w:t>
      </w:r>
      <w:r w:rsidR="00541A68">
        <w:rPr>
          <w:lang w:val="en-GB"/>
        </w:rPr>
        <w:t xml:space="preserve"> Holdings</w:t>
      </w:r>
      <w:r w:rsidR="00D10C17" w:rsidRPr="00E94AD0">
        <w:rPr>
          <w:lang w:val="en-GB"/>
        </w:rPr>
        <w:t xml:space="preserve">, a multi-state cannabis operator in the United States. The agreement provided Canopy with a call option (included </w:t>
      </w:r>
      <w:r>
        <w:rPr>
          <w:lang w:val="en-GB"/>
        </w:rPr>
        <w:t>under</w:t>
      </w:r>
      <w:r w:rsidR="00D10C17" w:rsidRPr="00E94AD0">
        <w:rPr>
          <w:lang w:val="en-GB"/>
        </w:rPr>
        <w:t xml:space="preserve"> </w:t>
      </w:r>
      <w:r>
        <w:rPr>
          <w:lang w:val="en-GB"/>
        </w:rPr>
        <w:t>“O</w:t>
      </w:r>
      <w:r w:rsidR="00D10C17" w:rsidRPr="00E94AD0">
        <w:rPr>
          <w:lang w:val="en-GB"/>
        </w:rPr>
        <w:t xml:space="preserve">ther </w:t>
      </w:r>
      <w:r w:rsidR="00690C3F">
        <w:rPr>
          <w:lang w:val="en-GB"/>
        </w:rPr>
        <w:t>f</w:t>
      </w:r>
      <w:r w:rsidR="00D10C17" w:rsidRPr="00E94AD0">
        <w:rPr>
          <w:lang w:val="en-GB"/>
        </w:rPr>
        <w:t xml:space="preserve">inancial </w:t>
      </w:r>
      <w:r w:rsidR="00690C3F">
        <w:rPr>
          <w:lang w:val="en-GB"/>
        </w:rPr>
        <w:t>a</w:t>
      </w:r>
      <w:r w:rsidR="00D10C17" w:rsidRPr="00E94AD0">
        <w:rPr>
          <w:lang w:val="en-GB"/>
        </w:rPr>
        <w:t>ssets</w:t>
      </w:r>
      <w:r>
        <w:rPr>
          <w:lang w:val="en-GB"/>
        </w:rPr>
        <w:t>”</w:t>
      </w:r>
      <w:r w:rsidR="00D10C17" w:rsidRPr="00E94AD0">
        <w:rPr>
          <w:lang w:val="en-GB"/>
        </w:rPr>
        <w:t xml:space="preserve"> on the</w:t>
      </w:r>
      <w:r>
        <w:rPr>
          <w:lang w:val="en-GB"/>
        </w:rPr>
        <w:t xml:space="preserve"> company’s</w:t>
      </w:r>
      <w:r w:rsidR="00D10C17" w:rsidRPr="00E94AD0">
        <w:rPr>
          <w:lang w:val="en-GB"/>
        </w:rPr>
        <w:t xml:space="preserve"> </w:t>
      </w:r>
      <w:r w:rsidR="00055525">
        <w:rPr>
          <w:lang w:val="en-GB"/>
        </w:rPr>
        <w:t>S</w:t>
      </w:r>
      <w:r w:rsidR="00D10C17" w:rsidRPr="00E94AD0">
        <w:rPr>
          <w:lang w:val="en-GB"/>
        </w:rPr>
        <w:t xml:space="preserve">tatement of </w:t>
      </w:r>
      <w:r w:rsidR="00055525">
        <w:rPr>
          <w:lang w:val="en-GB"/>
        </w:rPr>
        <w:t>F</w:t>
      </w:r>
      <w:r w:rsidR="00D10C17" w:rsidRPr="00E94AD0">
        <w:rPr>
          <w:lang w:val="en-GB"/>
        </w:rPr>
        <w:t xml:space="preserve">inancial </w:t>
      </w:r>
      <w:r w:rsidR="00055525">
        <w:rPr>
          <w:lang w:val="en-GB"/>
        </w:rPr>
        <w:t>P</w:t>
      </w:r>
      <w:r w:rsidR="00D10C17" w:rsidRPr="00E94AD0">
        <w:rPr>
          <w:lang w:val="en-GB"/>
        </w:rPr>
        <w:t>osition) and a requirement to acquire the shares of Acreage</w:t>
      </w:r>
      <w:r w:rsidR="00541A68">
        <w:rPr>
          <w:lang w:val="en-GB"/>
        </w:rPr>
        <w:t xml:space="preserve"> Holdings</w:t>
      </w:r>
      <w:r w:rsidR="00D10C17" w:rsidRPr="00E94AD0">
        <w:rPr>
          <w:lang w:val="en-GB"/>
        </w:rPr>
        <w:t xml:space="preserve"> </w:t>
      </w:r>
      <w:r>
        <w:rPr>
          <w:lang w:val="en-GB"/>
        </w:rPr>
        <w:t>if the</w:t>
      </w:r>
      <w:r w:rsidR="00D10C17" w:rsidRPr="00E94AD0">
        <w:rPr>
          <w:lang w:val="en-GB"/>
        </w:rPr>
        <w:t xml:space="preserve"> United States </w:t>
      </w:r>
      <w:r>
        <w:rPr>
          <w:lang w:val="en-GB"/>
        </w:rPr>
        <w:t xml:space="preserve">passed a </w:t>
      </w:r>
      <w:r w:rsidR="00D10C17" w:rsidRPr="00E94AD0">
        <w:rPr>
          <w:lang w:val="en-GB"/>
        </w:rPr>
        <w:t>federal law allowing the general cultivation, distribution, and possession of cannabis</w:t>
      </w:r>
      <w:r>
        <w:rPr>
          <w:lang w:val="en-GB"/>
        </w:rPr>
        <w:t xml:space="preserve"> in th</w:t>
      </w:r>
      <w:r w:rsidR="00690C3F">
        <w:rPr>
          <w:lang w:val="en-GB"/>
        </w:rPr>
        <w:t>at</w:t>
      </w:r>
      <w:r>
        <w:rPr>
          <w:lang w:val="en-GB"/>
        </w:rPr>
        <w:t xml:space="preserve"> country</w:t>
      </w:r>
      <w:r w:rsidR="003C431A">
        <w:rPr>
          <w:lang w:val="en-GB"/>
        </w:rPr>
        <w:t xml:space="preserve"> in exchange for $3</w:t>
      </w:r>
      <w:r w:rsidR="00DA2999">
        <w:rPr>
          <w:lang w:val="en-GB"/>
        </w:rPr>
        <w:t>95</w:t>
      </w:r>
      <w:r w:rsidR="003C431A">
        <w:rPr>
          <w:lang w:val="en-GB"/>
        </w:rPr>
        <w:t xml:space="preserve"> million</w:t>
      </w:r>
      <w:r w:rsidR="00D10C17" w:rsidRPr="00E94AD0">
        <w:rPr>
          <w:lang w:val="en-GB"/>
        </w:rPr>
        <w:t xml:space="preserve">. Canopy’s management </w:t>
      </w:r>
      <w:r w:rsidR="005A38A3">
        <w:rPr>
          <w:lang w:val="en-GB"/>
        </w:rPr>
        <w:t>felt</w:t>
      </w:r>
      <w:r w:rsidR="00D10C17" w:rsidRPr="00E94AD0">
        <w:rPr>
          <w:lang w:val="en-GB"/>
        </w:rPr>
        <w:t xml:space="preserve"> that </w:t>
      </w:r>
      <w:r w:rsidR="005A38A3">
        <w:rPr>
          <w:lang w:val="en-GB"/>
        </w:rPr>
        <w:t>this</w:t>
      </w:r>
      <w:r w:rsidR="00D10C17" w:rsidRPr="00E94AD0">
        <w:rPr>
          <w:lang w:val="en-GB"/>
        </w:rPr>
        <w:t xml:space="preserve"> transaction would accelerate its pathway into the </w:t>
      </w:r>
      <w:r w:rsidR="00541A68">
        <w:rPr>
          <w:lang w:val="en-GB"/>
        </w:rPr>
        <w:t xml:space="preserve">lucrative </w:t>
      </w:r>
      <w:r w:rsidR="00D10C17" w:rsidRPr="00E94AD0">
        <w:rPr>
          <w:lang w:val="en-GB"/>
        </w:rPr>
        <w:t xml:space="preserve">US cannabis market, once </w:t>
      </w:r>
      <w:r w:rsidR="00541A68">
        <w:rPr>
          <w:lang w:val="en-GB"/>
        </w:rPr>
        <w:t xml:space="preserve">it became </w:t>
      </w:r>
      <w:r w:rsidR="00D10C17" w:rsidRPr="00E94AD0">
        <w:rPr>
          <w:lang w:val="en-GB"/>
        </w:rPr>
        <w:t>legally permissible.</w:t>
      </w:r>
      <w:r w:rsidR="003A2186" w:rsidRPr="00E94AD0">
        <w:rPr>
          <w:rStyle w:val="EndnoteReference"/>
          <w:rFonts w:asciiTheme="majorBidi" w:hAnsiTheme="majorBidi" w:cstheme="majorBidi"/>
          <w:lang w:val="en-GB"/>
        </w:rPr>
        <w:endnoteReference w:id="28"/>
      </w:r>
      <w:r w:rsidR="00D10C17" w:rsidRPr="00E94AD0">
        <w:rPr>
          <w:lang w:val="en-GB"/>
        </w:rPr>
        <w:t xml:space="preserve"> </w:t>
      </w:r>
    </w:p>
    <w:p w14:paraId="3A9B36B6" w14:textId="77777777" w:rsidR="00D10C17" w:rsidRPr="00E94AD0" w:rsidRDefault="00D10C17" w:rsidP="00D10C17">
      <w:pPr>
        <w:pStyle w:val="BodyTextMain"/>
        <w:rPr>
          <w:lang w:val="en-GB"/>
        </w:rPr>
      </w:pPr>
    </w:p>
    <w:p w14:paraId="09DEBC9A" w14:textId="33EDD79C" w:rsidR="00D10C17" w:rsidRPr="00E94AD0" w:rsidRDefault="00D10C17" w:rsidP="00D10C17">
      <w:pPr>
        <w:pStyle w:val="BodyTextMain"/>
        <w:rPr>
          <w:lang w:val="en-GB"/>
        </w:rPr>
      </w:pPr>
      <w:r w:rsidRPr="00E94AD0">
        <w:rPr>
          <w:lang w:val="en-GB"/>
        </w:rPr>
        <w:t xml:space="preserve">Canopy also continued to invest heavily </w:t>
      </w:r>
      <w:r w:rsidR="00541A68">
        <w:rPr>
          <w:lang w:val="en-GB"/>
        </w:rPr>
        <w:t>in Canada</w:t>
      </w:r>
      <w:r w:rsidRPr="00E94AD0">
        <w:rPr>
          <w:lang w:val="en-GB"/>
        </w:rPr>
        <w:t>, developing products in preparation for Cannabis 2.0</w:t>
      </w:r>
      <w:r w:rsidR="00541A68">
        <w:rPr>
          <w:lang w:val="en-GB"/>
        </w:rPr>
        <w:t>,</w:t>
      </w:r>
      <w:r w:rsidRPr="00E94AD0">
        <w:rPr>
          <w:lang w:val="en-GB"/>
        </w:rPr>
        <w:t xml:space="preserve"> </w:t>
      </w:r>
      <w:r w:rsidR="00541A68">
        <w:rPr>
          <w:lang w:val="en-GB"/>
        </w:rPr>
        <w:t>the second round of Canadian legislation. In October 2019, the company</w:t>
      </w:r>
      <w:r w:rsidRPr="00E94AD0">
        <w:rPr>
          <w:lang w:val="en-GB"/>
        </w:rPr>
        <w:t xml:space="preserve"> purchas</w:t>
      </w:r>
      <w:r w:rsidR="00541A68">
        <w:rPr>
          <w:lang w:val="en-GB"/>
        </w:rPr>
        <w:t>ed</w:t>
      </w:r>
      <w:r w:rsidRPr="00E94AD0">
        <w:rPr>
          <w:lang w:val="en-GB"/>
        </w:rPr>
        <w:t xml:space="preserve"> a majority interest in BioSteel Sports Nutrition</w:t>
      </w:r>
      <w:r w:rsidR="00541A68">
        <w:rPr>
          <w:lang w:val="en-GB"/>
        </w:rPr>
        <w:t xml:space="preserve"> Inc</w:t>
      </w:r>
      <w:r w:rsidRPr="00E94AD0">
        <w:rPr>
          <w:lang w:val="en-GB"/>
        </w:rPr>
        <w:t>.</w:t>
      </w:r>
      <w:r w:rsidR="00541A68">
        <w:rPr>
          <w:lang w:val="en-GB"/>
        </w:rPr>
        <w:t xml:space="preserve">, a Canadian company that produced nutritional products for </w:t>
      </w:r>
      <w:r w:rsidR="00F4362C">
        <w:rPr>
          <w:lang w:val="en-GB"/>
        </w:rPr>
        <w:t xml:space="preserve">fitness and </w:t>
      </w:r>
      <w:r w:rsidR="00541A68">
        <w:rPr>
          <w:lang w:val="en-GB"/>
        </w:rPr>
        <w:t>athlet</w:t>
      </w:r>
      <w:r w:rsidR="00F4362C">
        <w:rPr>
          <w:lang w:val="en-GB"/>
        </w:rPr>
        <w:t>ic consumers.</w:t>
      </w:r>
      <w:r w:rsidRPr="00E94AD0">
        <w:rPr>
          <w:rStyle w:val="EndnoteReference"/>
          <w:rFonts w:asciiTheme="majorBidi" w:hAnsiTheme="majorBidi" w:cstheme="majorBidi"/>
          <w:lang w:val="en-GB"/>
        </w:rPr>
        <w:endnoteReference w:id="29"/>
      </w:r>
      <w:r w:rsidRPr="00E94AD0">
        <w:rPr>
          <w:lang w:val="en-GB"/>
        </w:rPr>
        <w:t xml:space="preserve"> </w:t>
      </w:r>
      <w:r w:rsidR="00F4362C">
        <w:rPr>
          <w:lang w:val="en-GB"/>
        </w:rPr>
        <w:t xml:space="preserve">Anticipating a substantial increase in demand, </w:t>
      </w:r>
      <w:r w:rsidR="005A38A3">
        <w:rPr>
          <w:lang w:val="en-GB"/>
        </w:rPr>
        <w:t>Canopy</w:t>
      </w:r>
      <w:r w:rsidRPr="00E94AD0">
        <w:rPr>
          <w:lang w:val="en-GB"/>
        </w:rPr>
        <w:t xml:space="preserve"> invest</w:t>
      </w:r>
      <w:r w:rsidR="00F4362C">
        <w:rPr>
          <w:lang w:val="en-GB"/>
        </w:rPr>
        <w:t>ed</w:t>
      </w:r>
      <w:r w:rsidRPr="00E94AD0">
        <w:rPr>
          <w:lang w:val="en-GB"/>
        </w:rPr>
        <w:t xml:space="preserve"> in </w:t>
      </w:r>
      <w:r w:rsidR="00F4362C">
        <w:rPr>
          <w:lang w:val="en-GB"/>
        </w:rPr>
        <w:t>the growth of</w:t>
      </w:r>
      <w:r w:rsidRPr="00E94AD0">
        <w:rPr>
          <w:lang w:val="en-GB"/>
        </w:rPr>
        <w:t xml:space="preserve"> its Canadian production capacity. Much of Canopy’s </w:t>
      </w:r>
      <w:r w:rsidR="00F4362C">
        <w:rPr>
          <w:lang w:val="en-GB"/>
        </w:rPr>
        <w:t xml:space="preserve">growth and </w:t>
      </w:r>
      <w:r w:rsidRPr="00E94AD0">
        <w:rPr>
          <w:lang w:val="en-GB"/>
        </w:rPr>
        <w:t xml:space="preserve">expansion was </w:t>
      </w:r>
      <w:r w:rsidR="00F4362C">
        <w:rPr>
          <w:lang w:val="en-GB"/>
        </w:rPr>
        <w:t>based on</w:t>
      </w:r>
      <w:r w:rsidRPr="00E94AD0">
        <w:rPr>
          <w:lang w:val="en-GB"/>
        </w:rPr>
        <w:t xml:space="preserve"> acquisition</w:t>
      </w:r>
      <w:r w:rsidR="00F4362C">
        <w:rPr>
          <w:lang w:val="en-GB"/>
        </w:rPr>
        <w:t xml:space="preserve"> during its </w:t>
      </w:r>
      <w:r w:rsidRPr="00E94AD0">
        <w:rPr>
          <w:lang w:val="en-GB"/>
        </w:rPr>
        <w:t xml:space="preserve">most recent fiscal years </w:t>
      </w:r>
      <w:r w:rsidR="00F4362C">
        <w:rPr>
          <w:lang w:val="en-GB"/>
        </w:rPr>
        <w:t>(see</w:t>
      </w:r>
      <w:r w:rsidRPr="00E94AD0">
        <w:rPr>
          <w:lang w:val="en-GB"/>
        </w:rPr>
        <w:t xml:space="preserve"> Exhibit 6</w:t>
      </w:r>
      <w:r w:rsidR="00F4362C">
        <w:rPr>
          <w:lang w:val="en-GB"/>
        </w:rPr>
        <w:t>)</w:t>
      </w:r>
      <w:r w:rsidRPr="00E94AD0">
        <w:rPr>
          <w:lang w:val="en-GB"/>
        </w:rPr>
        <w:t xml:space="preserve">. </w:t>
      </w:r>
    </w:p>
    <w:p w14:paraId="40F6093B" w14:textId="6F8EC453" w:rsidR="00D10C17" w:rsidRPr="00E94AD0" w:rsidRDefault="00D10C17" w:rsidP="00D10C17">
      <w:pPr>
        <w:pStyle w:val="BodyTextMain"/>
        <w:rPr>
          <w:lang w:val="en-GB"/>
        </w:rPr>
      </w:pPr>
    </w:p>
    <w:p w14:paraId="530E86AF" w14:textId="77777777" w:rsidR="00D10C17" w:rsidRPr="00E94AD0" w:rsidRDefault="00D10C17" w:rsidP="00D10C17">
      <w:pPr>
        <w:pStyle w:val="BodyTextMain"/>
        <w:rPr>
          <w:lang w:val="en-GB"/>
        </w:rPr>
      </w:pPr>
    </w:p>
    <w:p w14:paraId="39CCF97F" w14:textId="77777777" w:rsidR="00D10C17" w:rsidRPr="00E94AD0" w:rsidRDefault="00D10C17" w:rsidP="00D10C17">
      <w:pPr>
        <w:pStyle w:val="Casehead1"/>
        <w:rPr>
          <w:lang w:val="en-GB"/>
        </w:rPr>
      </w:pPr>
      <w:r w:rsidRPr="00E94AD0">
        <w:rPr>
          <w:lang w:val="en-GB"/>
        </w:rPr>
        <w:t>FINANCIAL RESULTS</w:t>
      </w:r>
    </w:p>
    <w:p w14:paraId="2DA6DA7E" w14:textId="77777777" w:rsidR="00D10C17" w:rsidRPr="00E94AD0" w:rsidRDefault="00D10C17" w:rsidP="00D10C17">
      <w:pPr>
        <w:pStyle w:val="BodyTextMain"/>
        <w:rPr>
          <w:rFonts w:asciiTheme="minorBidi" w:hAnsiTheme="minorBidi"/>
          <w:b/>
          <w:bCs/>
          <w:iCs/>
          <w:sz w:val="20"/>
          <w:szCs w:val="20"/>
          <w:lang w:val="en-GB"/>
        </w:rPr>
      </w:pPr>
    </w:p>
    <w:p w14:paraId="078C478B" w14:textId="6F51BC04" w:rsidR="00D10C17" w:rsidRPr="00E94AD0" w:rsidRDefault="00D10C17" w:rsidP="00D10C17">
      <w:pPr>
        <w:pStyle w:val="Casehead2"/>
        <w:rPr>
          <w:lang w:val="en-GB"/>
        </w:rPr>
      </w:pPr>
      <w:r w:rsidRPr="00E94AD0">
        <w:rPr>
          <w:lang w:val="en-GB"/>
        </w:rPr>
        <w:t>Overview</w:t>
      </w:r>
    </w:p>
    <w:p w14:paraId="56CE03D0" w14:textId="77777777" w:rsidR="00D10C17" w:rsidRPr="00E94AD0" w:rsidRDefault="00D10C17" w:rsidP="00D10C17">
      <w:pPr>
        <w:pStyle w:val="BodyTextMain"/>
        <w:rPr>
          <w:lang w:val="en-GB"/>
        </w:rPr>
      </w:pPr>
    </w:p>
    <w:p w14:paraId="2BA16123" w14:textId="31DC05F9" w:rsidR="00D10C17" w:rsidRDefault="00D10C17" w:rsidP="00157FB5">
      <w:pPr>
        <w:pStyle w:val="BodyTextMain"/>
        <w:keepNext/>
        <w:rPr>
          <w:lang w:val="en-GB"/>
        </w:rPr>
      </w:pPr>
      <w:r w:rsidRPr="00E94AD0">
        <w:rPr>
          <w:lang w:val="en-GB"/>
        </w:rPr>
        <w:t xml:space="preserve">Fowler </w:t>
      </w:r>
      <w:r w:rsidR="00F56BBC">
        <w:rPr>
          <w:lang w:val="en-GB"/>
        </w:rPr>
        <w:t>started</w:t>
      </w:r>
      <w:r w:rsidRPr="00E94AD0">
        <w:rPr>
          <w:lang w:val="en-GB"/>
        </w:rPr>
        <w:t xml:space="preserve"> analyz</w:t>
      </w:r>
      <w:r w:rsidR="00F56BBC">
        <w:rPr>
          <w:lang w:val="en-GB"/>
        </w:rPr>
        <w:t>ing</w:t>
      </w:r>
      <w:r w:rsidRPr="00E94AD0">
        <w:rPr>
          <w:lang w:val="en-GB"/>
        </w:rPr>
        <w:t xml:space="preserve"> Canopy’s financials</w:t>
      </w:r>
      <w:r w:rsidRPr="00E94AD0">
        <w:rPr>
          <w:bCs/>
          <w:lang w:val="en-GB"/>
        </w:rPr>
        <w:t xml:space="preserve"> </w:t>
      </w:r>
      <w:r w:rsidR="00F56BBC">
        <w:rPr>
          <w:bCs/>
          <w:lang w:val="en-GB"/>
        </w:rPr>
        <w:t>for the second quarter ending September 30, 2019, which he was finding</w:t>
      </w:r>
      <w:r w:rsidRPr="00E94AD0">
        <w:rPr>
          <w:lang w:val="en-GB"/>
        </w:rPr>
        <w:t xml:space="preserve"> extremely complex. On his first review, he noted that the company appeared to have a relatively strong balance sheet and liquidity position, with over $3.5 billion in current assets, compared to just $425 million in current liabilities. However, this solid financial position had not yet translated into strong operating results</w:t>
      </w:r>
      <w:r w:rsidR="00F56BBC">
        <w:rPr>
          <w:lang w:val="en-GB"/>
        </w:rPr>
        <w:t>. T</w:t>
      </w:r>
      <w:r w:rsidRPr="00E94AD0">
        <w:rPr>
          <w:lang w:val="en-GB"/>
        </w:rPr>
        <w:t xml:space="preserve">he company recorded a loss of over $1.6 billion in the first two quarters of fiscal 2020. Fowler wanted to go beyond </w:t>
      </w:r>
      <w:r w:rsidR="00F56BBC">
        <w:rPr>
          <w:lang w:val="en-GB"/>
        </w:rPr>
        <w:t>a</w:t>
      </w:r>
      <w:r w:rsidRPr="00E94AD0">
        <w:rPr>
          <w:lang w:val="en-GB"/>
        </w:rPr>
        <w:t xml:space="preserve"> high-level assessment of the company’s financial strength. His goal was to dig further into the key accounts that were driving the company’s financial position and profitability</w:t>
      </w:r>
      <w:r w:rsidR="00F56BBC">
        <w:rPr>
          <w:lang w:val="en-GB"/>
        </w:rPr>
        <w:t>. He had</w:t>
      </w:r>
      <w:r w:rsidRPr="00E94AD0">
        <w:rPr>
          <w:lang w:val="en-GB"/>
        </w:rPr>
        <w:t xml:space="preserve"> to ensure that he truly understood the accounting methodology and associated implications behind the</w:t>
      </w:r>
      <w:r w:rsidR="00F56BBC">
        <w:rPr>
          <w:lang w:val="en-GB"/>
        </w:rPr>
        <w:t xml:space="preserve"> company’s key accounts</w:t>
      </w:r>
      <w:r w:rsidRPr="00E94AD0">
        <w:rPr>
          <w:lang w:val="en-GB"/>
        </w:rPr>
        <w:t xml:space="preserve">. </w:t>
      </w:r>
    </w:p>
    <w:p w14:paraId="13BCE5B3" w14:textId="77777777" w:rsidR="00A26C86" w:rsidRDefault="00A26C86" w:rsidP="00157FB5">
      <w:pPr>
        <w:pStyle w:val="BodyTextMain"/>
        <w:keepNext/>
        <w:rPr>
          <w:lang w:val="en-GB"/>
        </w:rPr>
      </w:pPr>
    </w:p>
    <w:p w14:paraId="7CD5B00A" w14:textId="77777777" w:rsidR="00A26C86" w:rsidRDefault="00A26C86" w:rsidP="00157FB5">
      <w:pPr>
        <w:pStyle w:val="BodyTextMain"/>
        <w:keepNext/>
        <w:rPr>
          <w:lang w:val="en-GB"/>
        </w:rPr>
      </w:pPr>
    </w:p>
    <w:p w14:paraId="691833AF" w14:textId="38751D9A" w:rsidR="00D10C17" w:rsidRPr="00E94AD0" w:rsidRDefault="00D10C17" w:rsidP="00157FB5">
      <w:pPr>
        <w:pStyle w:val="Casehead2"/>
        <w:keepNext/>
        <w:rPr>
          <w:lang w:val="en-GB"/>
        </w:rPr>
      </w:pPr>
      <w:r w:rsidRPr="00E94AD0">
        <w:rPr>
          <w:lang w:val="en-GB"/>
        </w:rPr>
        <w:t>Statement of Operations</w:t>
      </w:r>
    </w:p>
    <w:p w14:paraId="605144EE" w14:textId="77777777" w:rsidR="00D10C17" w:rsidRPr="00E94AD0" w:rsidRDefault="00D10C17" w:rsidP="00157FB5">
      <w:pPr>
        <w:pStyle w:val="BodyTextMain"/>
        <w:keepNext/>
        <w:rPr>
          <w:lang w:val="en-GB"/>
        </w:rPr>
      </w:pPr>
    </w:p>
    <w:p w14:paraId="6083B4B6" w14:textId="46754A32" w:rsidR="00D10C17" w:rsidRPr="00E94AD0" w:rsidRDefault="00D10C17" w:rsidP="00157FB5">
      <w:pPr>
        <w:pStyle w:val="BodyTextMain"/>
        <w:keepNext/>
        <w:rPr>
          <w:lang w:val="en-GB"/>
        </w:rPr>
      </w:pPr>
      <w:r w:rsidRPr="00E94AD0">
        <w:rPr>
          <w:lang w:val="en-GB"/>
        </w:rPr>
        <w:t xml:space="preserve">Fowler first turned to </w:t>
      </w:r>
      <w:r w:rsidR="00F56BBC">
        <w:rPr>
          <w:lang w:val="en-GB"/>
        </w:rPr>
        <w:t>Canopy’s</w:t>
      </w:r>
      <w:r w:rsidRPr="00E94AD0">
        <w:rPr>
          <w:lang w:val="en-GB"/>
        </w:rPr>
        <w:t xml:space="preserve"> </w:t>
      </w:r>
      <w:r w:rsidR="00055525">
        <w:rPr>
          <w:lang w:val="en-GB"/>
        </w:rPr>
        <w:t>S</w:t>
      </w:r>
      <w:r w:rsidRPr="00E94AD0">
        <w:rPr>
          <w:lang w:val="en-GB"/>
        </w:rPr>
        <w:t xml:space="preserve">tatement of </w:t>
      </w:r>
      <w:r w:rsidR="00055525">
        <w:rPr>
          <w:lang w:val="en-GB"/>
        </w:rPr>
        <w:t>O</w:t>
      </w:r>
      <w:r w:rsidRPr="00E94AD0">
        <w:rPr>
          <w:lang w:val="en-GB"/>
        </w:rPr>
        <w:t xml:space="preserve">perations (commonly known as the </w:t>
      </w:r>
      <w:r w:rsidR="00055525">
        <w:rPr>
          <w:lang w:val="en-GB"/>
        </w:rPr>
        <w:t>I</w:t>
      </w:r>
      <w:r w:rsidRPr="00E94AD0">
        <w:rPr>
          <w:lang w:val="en-GB"/>
        </w:rPr>
        <w:t xml:space="preserve">ncome </w:t>
      </w:r>
      <w:r w:rsidR="00055525">
        <w:rPr>
          <w:lang w:val="en-GB"/>
        </w:rPr>
        <w:t>S</w:t>
      </w:r>
      <w:r w:rsidRPr="00E94AD0">
        <w:rPr>
          <w:lang w:val="en-GB"/>
        </w:rPr>
        <w:t>tatement). He was most curious about the revenue and cost of sales accounts</w:t>
      </w:r>
      <w:r w:rsidR="00F56BBC">
        <w:rPr>
          <w:lang w:val="en-GB"/>
        </w:rPr>
        <w:t>.</w:t>
      </w:r>
      <w:r w:rsidRPr="00E94AD0">
        <w:rPr>
          <w:lang w:val="en-GB"/>
        </w:rPr>
        <w:t xml:space="preserve"> </w:t>
      </w:r>
      <w:r w:rsidR="00F56BBC">
        <w:rPr>
          <w:lang w:val="en-GB"/>
        </w:rPr>
        <w:t>Over the years, realizing</w:t>
      </w:r>
      <w:r w:rsidRPr="00E94AD0">
        <w:rPr>
          <w:lang w:val="en-GB"/>
        </w:rPr>
        <w:t xml:space="preserve"> that the accounting </w:t>
      </w:r>
      <w:r w:rsidRPr="00E94AD0">
        <w:rPr>
          <w:lang w:val="en-GB"/>
        </w:rPr>
        <w:lastRenderedPageBreak/>
        <w:t>methodology for these accounts was unique to the agricultural industry</w:t>
      </w:r>
      <w:r w:rsidR="00F56BBC">
        <w:rPr>
          <w:lang w:val="en-GB"/>
        </w:rPr>
        <w:t>, Fowler</w:t>
      </w:r>
      <w:r w:rsidRPr="00E94AD0">
        <w:rPr>
          <w:lang w:val="en-GB"/>
        </w:rPr>
        <w:t xml:space="preserve"> had</w:t>
      </w:r>
      <w:r w:rsidR="00F56BBC">
        <w:rPr>
          <w:lang w:val="en-GB"/>
        </w:rPr>
        <w:t xml:space="preserve"> made</w:t>
      </w:r>
      <w:r w:rsidRPr="00E94AD0">
        <w:rPr>
          <w:lang w:val="en-GB"/>
        </w:rPr>
        <w:t xml:space="preserve"> some notes on </w:t>
      </w:r>
      <w:r w:rsidR="00F56BBC">
        <w:rPr>
          <w:lang w:val="en-GB"/>
        </w:rPr>
        <w:t xml:space="preserve">key features of </w:t>
      </w:r>
      <w:r w:rsidRPr="00E94AD0">
        <w:rPr>
          <w:lang w:val="en-GB"/>
        </w:rPr>
        <w:t>this methodology (</w:t>
      </w:r>
      <w:r w:rsidR="00F56BBC">
        <w:rPr>
          <w:lang w:val="en-GB"/>
        </w:rPr>
        <w:t xml:space="preserve">see </w:t>
      </w:r>
      <w:r w:rsidRPr="00E94AD0">
        <w:rPr>
          <w:lang w:val="en-GB"/>
        </w:rPr>
        <w:t xml:space="preserve">Exhibit 4). At first glance, the various cost of sales accounts </w:t>
      </w:r>
      <w:r w:rsidR="00F56BBC">
        <w:rPr>
          <w:lang w:val="en-GB"/>
        </w:rPr>
        <w:t xml:space="preserve">seemed to </w:t>
      </w:r>
      <w:r w:rsidRPr="00E94AD0">
        <w:rPr>
          <w:lang w:val="en-GB"/>
        </w:rPr>
        <w:t>ma</w:t>
      </w:r>
      <w:r w:rsidR="00F56BBC">
        <w:rPr>
          <w:lang w:val="en-GB"/>
        </w:rPr>
        <w:t>k</w:t>
      </w:r>
      <w:r w:rsidRPr="00E94AD0">
        <w:rPr>
          <w:lang w:val="en-GB"/>
        </w:rPr>
        <w:t xml:space="preserve">e </w:t>
      </w:r>
      <w:r w:rsidR="00F56BBC">
        <w:rPr>
          <w:lang w:val="en-GB"/>
        </w:rPr>
        <w:t xml:space="preserve">it difficult to understand </w:t>
      </w:r>
      <w:r w:rsidRPr="00E94AD0">
        <w:rPr>
          <w:lang w:val="en-GB"/>
        </w:rPr>
        <w:t xml:space="preserve">the </w:t>
      </w:r>
      <w:r w:rsidR="007D50C6">
        <w:rPr>
          <w:lang w:val="en-GB"/>
        </w:rPr>
        <w:t>I</w:t>
      </w:r>
      <w:r w:rsidRPr="00E94AD0">
        <w:rPr>
          <w:lang w:val="en-GB"/>
        </w:rPr>
        <w:t xml:space="preserve">ncome </w:t>
      </w:r>
      <w:r w:rsidR="007D50C6">
        <w:rPr>
          <w:lang w:val="en-GB"/>
        </w:rPr>
        <w:t>S</w:t>
      </w:r>
      <w:r w:rsidRPr="00E94AD0">
        <w:rPr>
          <w:lang w:val="en-GB"/>
        </w:rPr>
        <w:t xml:space="preserve">tatement and determine how profitable the company’s operations actually were. He wanted to </w:t>
      </w:r>
      <w:r w:rsidR="009F4330">
        <w:rPr>
          <w:lang w:val="en-GB"/>
        </w:rPr>
        <w:t>fu</w:t>
      </w:r>
      <w:r w:rsidRPr="00E94AD0">
        <w:rPr>
          <w:lang w:val="en-GB"/>
        </w:rPr>
        <w:t>lly underst</w:t>
      </w:r>
      <w:r w:rsidR="009F4330">
        <w:rPr>
          <w:lang w:val="en-GB"/>
        </w:rPr>
        <w:t>an</w:t>
      </w:r>
      <w:r w:rsidRPr="00E94AD0">
        <w:rPr>
          <w:lang w:val="en-GB"/>
        </w:rPr>
        <w:t xml:space="preserve">d </w:t>
      </w:r>
      <w:r w:rsidR="009F4330">
        <w:rPr>
          <w:lang w:val="en-GB"/>
        </w:rPr>
        <w:t>the general sense of</w:t>
      </w:r>
      <w:r w:rsidRPr="00E94AD0">
        <w:rPr>
          <w:lang w:val="en-GB"/>
        </w:rPr>
        <w:t xml:space="preserve"> these accounts, </w:t>
      </w:r>
      <w:r w:rsidR="009F4330">
        <w:rPr>
          <w:lang w:val="en-GB"/>
        </w:rPr>
        <w:t xml:space="preserve">which </w:t>
      </w:r>
      <w:r w:rsidR="00690C3F">
        <w:rPr>
          <w:lang w:val="en-GB"/>
        </w:rPr>
        <w:t>followed</w:t>
      </w:r>
      <w:r w:rsidR="009F4330">
        <w:rPr>
          <w:lang w:val="en-GB"/>
        </w:rPr>
        <w:t xml:space="preserve"> a standard</w:t>
      </w:r>
      <w:r w:rsidRPr="00E94AD0">
        <w:rPr>
          <w:lang w:val="en-GB"/>
        </w:rPr>
        <w:t xml:space="preserve"> presentation across the industry.</w:t>
      </w:r>
    </w:p>
    <w:p w14:paraId="096AF0FF" w14:textId="77777777" w:rsidR="00D10C17" w:rsidRPr="00E94AD0" w:rsidRDefault="00D10C17" w:rsidP="00D10C17">
      <w:pPr>
        <w:pStyle w:val="BodyTextMain"/>
        <w:rPr>
          <w:lang w:val="en-GB"/>
        </w:rPr>
      </w:pPr>
    </w:p>
    <w:p w14:paraId="20D0A7E1" w14:textId="552A6B3D" w:rsidR="007D6840" w:rsidRDefault="00D10C17" w:rsidP="00D10C17">
      <w:pPr>
        <w:pStyle w:val="BodyTextMain"/>
        <w:rPr>
          <w:lang w:val="en-GB"/>
        </w:rPr>
      </w:pPr>
      <w:r w:rsidRPr="00E94AD0">
        <w:rPr>
          <w:lang w:val="en-GB"/>
        </w:rPr>
        <w:t>In the</w:t>
      </w:r>
      <w:r w:rsidR="00690C3F">
        <w:rPr>
          <w:lang w:val="en-GB"/>
        </w:rPr>
        <w:t xml:space="preserve"> company’s</w:t>
      </w:r>
      <w:r w:rsidRPr="00E94AD0">
        <w:rPr>
          <w:lang w:val="en-GB"/>
        </w:rPr>
        <w:t xml:space="preserve"> Management’s Discussion and Analysis (MD&amp;A) released along with the quarterly results, </w:t>
      </w:r>
      <w:r w:rsidR="007D6840">
        <w:rPr>
          <w:lang w:val="en-GB"/>
        </w:rPr>
        <w:t xml:space="preserve">Canopy’s </w:t>
      </w:r>
      <w:r w:rsidRPr="00E94AD0">
        <w:rPr>
          <w:lang w:val="en-GB"/>
        </w:rPr>
        <w:t xml:space="preserve">management discussed </w:t>
      </w:r>
      <w:r w:rsidR="007D6840">
        <w:rPr>
          <w:lang w:val="en-GB"/>
        </w:rPr>
        <w:t>at length several</w:t>
      </w:r>
      <w:r w:rsidRPr="00E94AD0">
        <w:rPr>
          <w:lang w:val="en-GB"/>
        </w:rPr>
        <w:t xml:space="preserve"> issues that Fowler expected would have </w:t>
      </w:r>
      <w:r w:rsidR="007D6840">
        <w:rPr>
          <w:lang w:val="en-GB"/>
        </w:rPr>
        <w:t xml:space="preserve">an </w:t>
      </w:r>
      <w:r w:rsidRPr="00E94AD0">
        <w:rPr>
          <w:lang w:val="en-GB"/>
        </w:rPr>
        <w:t xml:space="preserve">impact on the revenue and cost of sales accounts. Fowler noted the following </w:t>
      </w:r>
      <w:r w:rsidR="007D6840">
        <w:rPr>
          <w:lang w:val="en-GB"/>
        </w:rPr>
        <w:t xml:space="preserve">comments </w:t>
      </w:r>
      <w:r w:rsidRPr="00E94AD0">
        <w:rPr>
          <w:lang w:val="en-GB"/>
        </w:rPr>
        <w:t>from the MD&amp;A for the second quarter of 2020:</w:t>
      </w:r>
    </w:p>
    <w:p w14:paraId="4A2DE868" w14:textId="77777777" w:rsidR="007D6840" w:rsidRDefault="007D6840" w:rsidP="00D10C17">
      <w:pPr>
        <w:pStyle w:val="BodyTextMain"/>
        <w:rPr>
          <w:lang w:val="en-GB"/>
        </w:rPr>
      </w:pPr>
    </w:p>
    <w:p w14:paraId="2B536B15" w14:textId="480F9041" w:rsidR="007D6840" w:rsidRDefault="00D05E75" w:rsidP="00136023">
      <w:pPr>
        <w:pStyle w:val="BodyTextMain"/>
        <w:ind w:left="720"/>
        <w:rPr>
          <w:lang w:val="en-GB"/>
        </w:rPr>
      </w:pPr>
      <w:r>
        <w:rPr>
          <w:lang w:val="en-GB"/>
        </w:rPr>
        <w:t>.</w:t>
      </w:r>
      <w:r w:rsidRPr="00E94AD0">
        <w:rPr>
          <w:lang w:val="en-GB"/>
        </w:rPr>
        <w:t xml:space="preserve"> </w:t>
      </w:r>
      <w:r>
        <w:rPr>
          <w:lang w:val="en-GB"/>
        </w:rPr>
        <w:t xml:space="preserve">. . . </w:t>
      </w:r>
      <w:r w:rsidR="00F30CFB">
        <w:rPr>
          <w:lang w:val="en-GB"/>
        </w:rPr>
        <w:t>the</w:t>
      </w:r>
      <w:r w:rsidR="00D10C17" w:rsidRPr="00E94AD0">
        <w:rPr>
          <w:lang w:val="en-GB"/>
        </w:rPr>
        <w:t xml:space="preserve"> risk of over-supply of certain oil and </w:t>
      </w:r>
      <w:proofErr w:type="spellStart"/>
      <w:r w:rsidR="00D10C17" w:rsidRPr="00E94AD0">
        <w:rPr>
          <w:lang w:val="en-GB"/>
        </w:rPr>
        <w:t>softgel</w:t>
      </w:r>
      <w:proofErr w:type="spellEnd"/>
      <w:r w:rsidR="00D10C17" w:rsidRPr="00E94AD0">
        <w:rPr>
          <w:lang w:val="en-GB"/>
        </w:rPr>
        <w:t xml:space="preserve"> formats</w:t>
      </w:r>
      <w:r w:rsidR="00F30CFB">
        <w:rPr>
          <w:lang w:val="en-GB"/>
        </w:rPr>
        <w:t xml:space="preserve"> </w:t>
      </w:r>
      <w:r w:rsidR="00D10C17" w:rsidRPr="00E94AD0">
        <w:rPr>
          <w:lang w:val="en-GB"/>
        </w:rPr>
        <w:t>exist</w:t>
      </w:r>
      <w:r w:rsidR="00F30CFB">
        <w:rPr>
          <w:lang w:val="en-GB"/>
        </w:rPr>
        <w:t>ed</w:t>
      </w:r>
      <w:r w:rsidR="00D10C17" w:rsidRPr="00E94AD0">
        <w:rPr>
          <w:lang w:val="en-GB"/>
        </w:rPr>
        <w:t xml:space="preserve"> in certain markets due, in part, to underdeveloped retail markets in</w:t>
      </w:r>
      <w:r w:rsidR="00F30CFB">
        <w:rPr>
          <w:lang w:val="en-GB"/>
        </w:rPr>
        <w:t xml:space="preserve"> several</w:t>
      </w:r>
      <w:r w:rsidR="00D10C17" w:rsidRPr="00E94AD0">
        <w:rPr>
          <w:lang w:val="en-GB"/>
        </w:rPr>
        <w:t xml:space="preserve"> provinces</w:t>
      </w:r>
      <w:proofErr w:type="gramStart"/>
      <w:r w:rsidR="00F30CFB">
        <w:rPr>
          <w:lang w:val="en-GB"/>
        </w:rPr>
        <w:t>.</w:t>
      </w:r>
      <w:r w:rsidR="00D10C17" w:rsidRPr="00E94AD0">
        <w:rPr>
          <w:lang w:val="en-GB"/>
        </w:rPr>
        <w:t xml:space="preserve"> </w:t>
      </w:r>
      <w:r w:rsidR="007D6840">
        <w:rPr>
          <w:lang w:val="en-GB"/>
        </w:rPr>
        <w:t>. . .</w:t>
      </w:r>
      <w:proofErr w:type="gramEnd"/>
      <w:r w:rsidR="007D6840">
        <w:rPr>
          <w:lang w:val="en-GB"/>
        </w:rPr>
        <w:t xml:space="preserve"> </w:t>
      </w:r>
      <w:r w:rsidR="006615BE">
        <w:rPr>
          <w:lang w:val="en-GB"/>
        </w:rPr>
        <w:t>B</w:t>
      </w:r>
      <w:r w:rsidR="00D10C17" w:rsidRPr="00E94AD0">
        <w:rPr>
          <w:lang w:val="en-GB"/>
        </w:rPr>
        <w:t xml:space="preserve">ased on this assessment, we have determined returns and pricing adjustments related primarily </w:t>
      </w:r>
      <w:r w:rsidR="006615BE">
        <w:rPr>
          <w:lang w:val="en-GB"/>
        </w:rPr>
        <w:t>related to</w:t>
      </w:r>
      <w:r w:rsidR="00F30CFB">
        <w:rPr>
          <w:lang w:val="en-GB"/>
        </w:rPr>
        <w:t xml:space="preserve"> the risk of over-supply of </w:t>
      </w:r>
      <w:r w:rsidR="00D10C17" w:rsidRPr="00E94AD0">
        <w:rPr>
          <w:lang w:val="en-GB"/>
        </w:rPr>
        <w:t xml:space="preserve">certain oil and </w:t>
      </w:r>
      <w:proofErr w:type="spellStart"/>
      <w:r w:rsidR="00D10C17" w:rsidRPr="00E94AD0">
        <w:rPr>
          <w:lang w:val="en-GB"/>
        </w:rPr>
        <w:t>softgel</w:t>
      </w:r>
      <w:proofErr w:type="spellEnd"/>
      <w:r w:rsidR="00D10C17" w:rsidRPr="00E94AD0">
        <w:rPr>
          <w:lang w:val="en-GB"/>
        </w:rPr>
        <w:t xml:space="preserve"> products in the amount of $32,727</w:t>
      </w:r>
      <w:r w:rsidR="007D6840">
        <w:rPr>
          <w:lang w:val="en-GB"/>
        </w:rPr>
        <w:t>,</w:t>
      </w:r>
      <w:r w:rsidR="00D10C17" w:rsidRPr="00E94AD0">
        <w:rPr>
          <w:rStyle w:val="EndnoteReference"/>
          <w:rFonts w:asciiTheme="majorBidi" w:hAnsiTheme="majorBidi" w:cstheme="majorBidi"/>
          <w:lang w:val="en-GB"/>
        </w:rPr>
        <w:endnoteReference w:id="30"/>
      </w:r>
      <w:r w:rsidR="00D10C17" w:rsidRPr="00E94AD0">
        <w:rPr>
          <w:lang w:val="en-GB"/>
        </w:rPr>
        <w:t xml:space="preserve"> and this amount has been reflected in revenue.</w:t>
      </w:r>
      <w:r w:rsidR="00D10C17" w:rsidRPr="00E94AD0">
        <w:rPr>
          <w:rStyle w:val="EndnoteReference"/>
          <w:rFonts w:asciiTheme="majorBidi" w:hAnsiTheme="majorBidi" w:cstheme="majorBidi"/>
          <w:lang w:val="en-GB"/>
        </w:rPr>
        <w:endnoteReference w:id="31"/>
      </w:r>
    </w:p>
    <w:p w14:paraId="3C5B2BE5" w14:textId="77777777" w:rsidR="007D6840" w:rsidRDefault="007D6840" w:rsidP="00D10C17">
      <w:pPr>
        <w:pStyle w:val="BodyTextMain"/>
        <w:rPr>
          <w:lang w:val="en-GB"/>
        </w:rPr>
      </w:pPr>
    </w:p>
    <w:p w14:paraId="5B14D8D3" w14:textId="274D74BB" w:rsidR="007D6840" w:rsidRDefault="007D6840" w:rsidP="00D10C17">
      <w:pPr>
        <w:pStyle w:val="BodyTextMain"/>
        <w:rPr>
          <w:lang w:val="en-GB"/>
        </w:rPr>
      </w:pPr>
      <w:r>
        <w:rPr>
          <w:lang w:val="en-GB"/>
        </w:rPr>
        <w:t>T</w:t>
      </w:r>
      <w:r w:rsidR="00D10C17" w:rsidRPr="00E94AD0">
        <w:rPr>
          <w:lang w:val="en-GB"/>
        </w:rPr>
        <w:t xml:space="preserve">he MD&amp;A went on to </w:t>
      </w:r>
      <w:r>
        <w:rPr>
          <w:lang w:val="en-GB"/>
        </w:rPr>
        <w:t xml:space="preserve">include the following additional </w:t>
      </w:r>
      <w:r w:rsidR="00D10C17" w:rsidRPr="00E94AD0">
        <w:rPr>
          <w:lang w:val="en-GB"/>
        </w:rPr>
        <w:t>state</w:t>
      </w:r>
      <w:r>
        <w:rPr>
          <w:lang w:val="en-GB"/>
        </w:rPr>
        <w:t>ments in the discussion</w:t>
      </w:r>
      <w:r w:rsidR="00D10C17" w:rsidRPr="00E94AD0">
        <w:rPr>
          <w:lang w:val="en-GB"/>
        </w:rPr>
        <w:t>:</w:t>
      </w:r>
    </w:p>
    <w:p w14:paraId="22126D47" w14:textId="77777777" w:rsidR="007D6840" w:rsidRDefault="007D6840" w:rsidP="00D10C17">
      <w:pPr>
        <w:pStyle w:val="BodyTextMain"/>
        <w:rPr>
          <w:lang w:val="en-GB"/>
        </w:rPr>
      </w:pPr>
    </w:p>
    <w:p w14:paraId="72866ED9" w14:textId="77777777" w:rsidR="006615BE" w:rsidRDefault="00D10C17" w:rsidP="006615BE">
      <w:pPr>
        <w:pStyle w:val="BodyTextMain"/>
        <w:ind w:left="720"/>
        <w:rPr>
          <w:lang w:val="en-GB"/>
        </w:rPr>
      </w:pPr>
      <w:r w:rsidRPr="00E94AD0">
        <w:rPr>
          <w:lang w:val="en-GB"/>
        </w:rPr>
        <w:t>We have assessed current and forecasted “sell-in” rates of certain oils and softgel products and concluded a risk exists that a portion of our inventory of certain recreational oil and softgel products may not be sold within a reasonable timeframe.</w:t>
      </w:r>
      <w:r w:rsidR="006615BE" w:rsidRPr="006615BE">
        <w:rPr>
          <w:rStyle w:val="EndnoteReference"/>
          <w:rFonts w:asciiTheme="majorBidi" w:hAnsiTheme="majorBidi" w:cstheme="majorBidi"/>
          <w:lang w:val="en-GB"/>
        </w:rPr>
        <w:t xml:space="preserve"> </w:t>
      </w:r>
      <w:r w:rsidR="006615BE" w:rsidRPr="00E94AD0">
        <w:rPr>
          <w:rStyle w:val="EndnoteReference"/>
          <w:rFonts w:asciiTheme="majorBidi" w:hAnsiTheme="majorBidi" w:cstheme="majorBidi"/>
          <w:lang w:val="en-GB"/>
        </w:rPr>
        <w:endnoteReference w:id="32"/>
      </w:r>
      <w:r w:rsidRPr="00E94AD0">
        <w:rPr>
          <w:lang w:val="en-GB"/>
        </w:rPr>
        <w:t xml:space="preserve"> </w:t>
      </w:r>
    </w:p>
    <w:p w14:paraId="7166B7F2" w14:textId="77777777" w:rsidR="006615BE" w:rsidRDefault="006615BE" w:rsidP="006615BE">
      <w:pPr>
        <w:pStyle w:val="BodyTextMain"/>
        <w:ind w:left="720"/>
        <w:rPr>
          <w:lang w:val="en-GB"/>
        </w:rPr>
      </w:pPr>
    </w:p>
    <w:p w14:paraId="1FD544C4" w14:textId="5BC9E838" w:rsidR="007D6840" w:rsidRDefault="006615BE" w:rsidP="00D05E75">
      <w:pPr>
        <w:pStyle w:val="BodyTextMain"/>
        <w:rPr>
          <w:lang w:val="en-GB"/>
        </w:rPr>
      </w:pPr>
      <w:r>
        <w:rPr>
          <w:lang w:val="en-GB"/>
        </w:rPr>
        <w:t>The MD&amp;A further explained that w</w:t>
      </w:r>
      <w:r w:rsidR="00D10C17" w:rsidRPr="00E94AD0">
        <w:rPr>
          <w:lang w:val="en-GB"/>
        </w:rPr>
        <w:t xml:space="preserve">hile the product will continue to be stored and is well within its expiry date, </w:t>
      </w:r>
      <w:r>
        <w:rPr>
          <w:lang w:val="en-GB"/>
        </w:rPr>
        <w:t>the company</w:t>
      </w:r>
      <w:r w:rsidR="00D10C17" w:rsidRPr="00E94AD0">
        <w:rPr>
          <w:lang w:val="en-GB"/>
        </w:rPr>
        <w:t xml:space="preserve"> </w:t>
      </w:r>
      <w:r>
        <w:rPr>
          <w:lang w:val="en-GB"/>
        </w:rPr>
        <w:t xml:space="preserve">felt it was prudent to </w:t>
      </w:r>
      <w:r w:rsidR="00D10C17" w:rsidRPr="00E94AD0">
        <w:rPr>
          <w:lang w:val="en-GB"/>
        </w:rPr>
        <w:t xml:space="preserve">record a charge of $17,000 in conjunction with </w:t>
      </w:r>
      <w:r>
        <w:rPr>
          <w:lang w:val="en-GB"/>
        </w:rPr>
        <w:t>its</w:t>
      </w:r>
      <w:r w:rsidR="00D10C17" w:rsidRPr="00E94AD0">
        <w:rPr>
          <w:lang w:val="en-GB"/>
        </w:rPr>
        <w:t xml:space="preserve"> evaluation of the estimated on-hand provincial and territorial inventory leve</w:t>
      </w:r>
      <w:r>
        <w:rPr>
          <w:lang w:val="en-GB"/>
        </w:rPr>
        <w:t>ls.</w:t>
      </w:r>
      <w:r>
        <w:rPr>
          <w:rStyle w:val="EndnoteReference"/>
          <w:lang w:val="en-GB"/>
        </w:rPr>
        <w:endnoteReference w:id="33"/>
      </w:r>
    </w:p>
    <w:p w14:paraId="68797395" w14:textId="77777777" w:rsidR="007D6840" w:rsidRDefault="007D6840" w:rsidP="00D10C17">
      <w:pPr>
        <w:pStyle w:val="BodyTextMain"/>
        <w:rPr>
          <w:lang w:val="en-GB"/>
        </w:rPr>
      </w:pPr>
    </w:p>
    <w:p w14:paraId="37B898C9" w14:textId="37EE31CC" w:rsidR="00D10C17" w:rsidRPr="00E94AD0" w:rsidRDefault="00D10C17" w:rsidP="00D10C17">
      <w:pPr>
        <w:pStyle w:val="BodyTextMain"/>
        <w:rPr>
          <w:lang w:val="en-GB"/>
        </w:rPr>
      </w:pPr>
      <w:r w:rsidRPr="00E94AD0">
        <w:rPr>
          <w:lang w:val="en-GB"/>
        </w:rPr>
        <w:t xml:space="preserve">Fowler wanted to </w:t>
      </w:r>
      <w:r w:rsidR="006F2300">
        <w:rPr>
          <w:lang w:val="en-GB"/>
        </w:rPr>
        <w:t>b</w:t>
      </w:r>
      <w:r w:rsidRPr="00E94AD0">
        <w:rPr>
          <w:lang w:val="en-GB"/>
        </w:rPr>
        <w:t>e</w:t>
      </w:r>
      <w:r w:rsidR="006F2300">
        <w:rPr>
          <w:lang w:val="en-GB"/>
        </w:rPr>
        <w:t xml:space="preserve"> </w:t>
      </w:r>
      <w:r w:rsidRPr="00E94AD0">
        <w:rPr>
          <w:lang w:val="en-GB"/>
        </w:rPr>
        <w:t>sure he fully understood this discussion</w:t>
      </w:r>
      <w:r w:rsidR="006F2300">
        <w:rPr>
          <w:lang w:val="en-GB"/>
        </w:rPr>
        <w:t>. W</w:t>
      </w:r>
      <w:r w:rsidRPr="00E94AD0">
        <w:rPr>
          <w:lang w:val="en-GB"/>
        </w:rPr>
        <w:t xml:space="preserve">hy </w:t>
      </w:r>
      <w:r w:rsidR="006F2300">
        <w:rPr>
          <w:lang w:val="en-GB"/>
        </w:rPr>
        <w:t xml:space="preserve">would </w:t>
      </w:r>
      <w:r w:rsidRPr="00E94AD0">
        <w:rPr>
          <w:lang w:val="en-GB"/>
        </w:rPr>
        <w:t>each set of circumstances require adjustments to the financial statements</w:t>
      </w:r>
      <w:r w:rsidR="006F2300">
        <w:rPr>
          <w:lang w:val="en-GB"/>
        </w:rPr>
        <w:t>? W</w:t>
      </w:r>
      <w:r w:rsidRPr="00E94AD0">
        <w:rPr>
          <w:lang w:val="en-GB"/>
        </w:rPr>
        <w:t xml:space="preserve">hat impact </w:t>
      </w:r>
      <w:r w:rsidR="006F2300">
        <w:rPr>
          <w:lang w:val="en-GB"/>
        </w:rPr>
        <w:t xml:space="preserve">did </w:t>
      </w:r>
      <w:r w:rsidRPr="00E94AD0">
        <w:rPr>
          <w:lang w:val="en-GB"/>
        </w:rPr>
        <w:t>each adjustment ha</w:t>
      </w:r>
      <w:r w:rsidR="006F2300">
        <w:rPr>
          <w:lang w:val="en-GB"/>
        </w:rPr>
        <w:t>ve</w:t>
      </w:r>
      <w:r w:rsidRPr="00E94AD0">
        <w:rPr>
          <w:lang w:val="en-GB"/>
        </w:rPr>
        <w:t xml:space="preserve"> on profitability</w:t>
      </w:r>
      <w:r w:rsidR="006F2300">
        <w:rPr>
          <w:lang w:val="en-GB"/>
        </w:rPr>
        <w:t>?</w:t>
      </w:r>
      <w:r w:rsidRPr="00E94AD0">
        <w:rPr>
          <w:lang w:val="en-GB"/>
        </w:rPr>
        <w:t xml:space="preserve"> The adjustment to on-hand oil and softgel products of $17,000 was part of broader adjustments to excess and obsolete inventory of $38,594 that had been made in the first six months of fiscal 2020. Fowler noted that the $40,727 revenue adjustment carried with it an associated margin impact of $9,157.</w:t>
      </w:r>
      <w:r w:rsidRPr="00E94AD0">
        <w:rPr>
          <w:rStyle w:val="EndnoteReference"/>
          <w:rFonts w:asciiTheme="majorBidi" w:hAnsiTheme="majorBidi" w:cstheme="majorBidi"/>
          <w:lang w:val="en-GB"/>
        </w:rPr>
        <w:endnoteReference w:id="34"/>
      </w:r>
    </w:p>
    <w:p w14:paraId="75A8E2BA" w14:textId="77777777" w:rsidR="00D10C17" w:rsidRPr="00E94AD0" w:rsidRDefault="00D10C17" w:rsidP="00D10C17">
      <w:pPr>
        <w:pStyle w:val="BodyTextMain"/>
        <w:rPr>
          <w:lang w:val="en-GB"/>
        </w:rPr>
      </w:pPr>
    </w:p>
    <w:p w14:paraId="3FCA3BB9" w14:textId="55DD9B4A" w:rsidR="00D10C17" w:rsidRPr="00E94AD0" w:rsidRDefault="00D10C17" w:rsidP="00D10C17">
      <w:pPr>
        <w:pStyle w:val="BodyTextMain"/>
        <w:rPr>
          <w:lang w:val="en-GB"/>
        </w:rPr>
      </w:pPr>
      <w:r w:rsidRPr="00E94AD0">
        <w:rPr>
          <w:lang w:val="en-GB"/>
        </w:rPr>
        <w:t xml:space="preserve">Although the above issues on the </w:t>
      </w:r>
      <w:r w:rsidR="007D50C6">
        <w:rPr>
          <w:lang w:val="en-GB"/>
        </w:rPr>
        <w:t>S</w:t>
      </w:r>
      <w:r w:rsidRPr="00E94AD0">
        <w:rPr>
          <w:lang w:val="en-GB"/>
        </w:rPr>
        <w:t xml:space="preserve">tatement of </w:t>
      </w:r>
      <w:r w:rsidR="007D50C6">
        <w:rPr>
          <w:lang w:val="en-GB"/>
        </w:rPr>
        <w:t>O</w:t>
      </w:r>
      <w:r w:rsidRPr="00E94AD0">
        <w:rPr>
          <w:lang w:val="en-GB"/>
        </w:rPr>
        <w:t xml:space="preserve">perations were </w:t>
      </w:r>
      <w:r w:rsidR="006F2300">
        <w:rPr>
          <w:lang w:val="en-GB"/>
        </w:rPr>
        <w:t>Fowler’s</w:t>
      </w:r>
      <w:r w:rsidRPr="00E94AD0">
        <w:rPr>
          <w:lang w:val="en-GB"/>
        </w:rPr>
        <w:t xml:space="preserve"> primary concern, </w:t>
      </w:r>
      <w:r w:rsidR="006F2300">
        <w:rPr>
          <w:lang w:val="en-GB"/>
        </w:rPr>
        <w:t>he</w:t>
      </w:r>
      <w:r w:rsidRPr="00E94AD0">
        <w:rPr>
          <w:lang w:val="en-GB"/>
        </w:rPr>
        <w:t xml:space="preserve"> wondered if there were other accounts on the </w:t>
      </w:r>
      <w:r w:rsidR="007D50C6">
        <w:rPr>
          <w:lang w:val="en-GB"/>
        </w:rPr>
        <w:t>S</w:t>
      </w:r>
      <w:r w:rsidRPr="00E94AD0">
        <w:rPr>
          <w:lang w:val="en-GB"/>
        </w:rPr>
        <w:t xml:space="preserve">tatement of </w:t>
      </w:r>
      <w:r w:rsidR="007D50C6">
        <w:rPr>
          <w:lang w:val="en-GB"/>
        </w:rPr>
        <w:t>O</w:t>
      </w:r>
      <w:r w:rsidRPr="00E94AD0">
        <w:rPr>
          <w:lang w:val="en-GB"/>
        </w:rPr>
        <w:t xml:space="preserve">perations that he should focus on. For example, he noted </w:t>
      </w:r>
      <w:r w:rsidR="006F2300">
        <w:rPr>
          <w:lang w:val="en-GB"/>
        </w:rPr>
        <w:t>a</w:t>
      </w:r>
      <w:r w:rsidRPr="00E94AD0">
        <w:rPr>
          <w:lang w:val="en-GB"/>
        </w:rPr>
        <w:t xml:space="preserve"> massive </w:t>
      </w:r>
      <w:r w:rsidR="006F2300">
        <w:rPr>
          <w:lang w:val="en-GB"/>
        </w:rPr>
        <w:t xml:space="preserve">amount </w:t>
      </w:r>
      <w:r w:rsidRPr="00E94AD0">
        <w:rPr>
          <w:lang w:val="en-GB"/>
        </w:rPr>
        <w:t xml:space="preserve">($1.2 billion) </w:t>
      </w:r>
      <w:r w:rsidR="006F2300">
        <w:rPr>
          <w:lang w:val="en-GB"/>
        </w:rPr>
        <w:t>f</w:t>
      </w:r>
      <w:r w:rsidR="00690C3F">
        <w:rPr>
          <w:lang w:val="en-GB"/>
        </w:rPr>
        <w:t>or</w:t>
      </w:r>
      <w:r w:rsidR="006F2300">
        <w:rPr>
          <w:lang w:val="en-GB"/>
        </w:rPr>
        <w:t xml:space="preserve"> </w:t>
      </w:r>
      <w:r w:rsidRPr="00E94AD0">
        <w:rPr>
          <w:lang w:val="en-GB"/>
        </w:rPr>
        <w:t>“Loss on extinguishment of warrants” and over $160</w:t>
      </w:r>
      <w:r w:rsidR="006F2300">
        <w:rPr>
          <w:lang w:val="en-GB"/>
        </w:rPr>
        <w:t xml:space="preserve"> </w:t>
      </w:r>
      <w:r w:rsidRPr="00E94AD0">
        <w:rPr>
          <w:lang w:val="en-GB"/>
        </w:rPr>
        <w:t>m</w:t>
      </w:r>
      <w:r w:rsidR="006F2300">
        <w:rPr>
          <w:lang w:val="en-GB"/>
        </w:rPr>
        <w:t>illion</w:t>
      </w:r>
      <w:r w:rsidRPr="00E94AD0">
        <w:rPr>
          <w:lang w:val="en-GB"/>
        </w:rPr>
        <w:t xml:space="preserve"> in share-based compensation expense</w:t>
      </w:r>
      <w:r w:rsidR="006F2300">
        <w:rPr>
          <w:lang w:val="en-GB"/>
        </w:rPr>
        <w:t>.</w:t>
      </w:r>
      <w:r w:rsidRPr="00E94AD0">
        <w:rPr>
          <w:lang w:val="en-GB"/>
        </w:rPr>
        <w:t xml:space="preserve"> </w:t>
      </w:r>
      <w:r w:rsidR="006F2300">
        <w:rPr>
          <w:lang w:val="en-GB"/>
        </w:rPr>
        <w:t>He</w:t>
      </w:r>
      <w:r w:rsidRPr="00E94AD0">
        <w:rPr>
          <w:lang w:val="en-GB"/>
        </w:rPr>
        <w:t xml:space="preserve"> wondered what these </w:t>
      </w:r>
      <w:r w:rsidR="006F2300">
        <w:rPr>
          <w:lang w:val="en-GB"/>
        </w:rPr>
        <w:t xml:space="preserve">large amounts were </w:t>
      </w:r>
      <w:r w:rsidRPr="00E94AD0">
        <w:rPr>
          <w:lang w:val="en-GB"/>
        </w:rPr>
        <w:t>related to. Fowler made a note to ask his investment consultant for more information about the warrant item</w:t>
      </w:r>
      <w:r w:rsidR="006F2300">
        <w:rPr>
          <w:lang w:val="en-GB"/>
        </w:rPr>
        <w:t xml:space="preserve"> in particular</w:t>
      </w:r>
      <w:r w:rsidRPr="00E94AD0">
        <w:rPr>
          <w:lang w:val="en-GB"/>
        </w:rPr>
        <w:t xml:space="preserve">. </w:t>
      </w:r>
    </w:p>
    <w:p w14:paraId="37911E43" w14:textId="5542C6E2" w:rsidR="00D10C17" w:rsidRPr="00E94AD0" w:rsidRDefault="00D10C17" w:rsidP="00D10C17">
      <w:pPr>
        <w:pStyle w:val="BodyTextMain"/>
        <w:rPr>
          <w:lang w:val="en-GB"/>
        </w:rPr>
      </w:pPr>
    </w:p>
    <w:p w14:paraId="7DD49E12" w14:textId="77777777" w:rsidR="00D10C17" w:rsidRPr="00E94AD0" w:rsidRDefault="00D10C17" w:rsidP="00D10C17">
      <w:pPr>
        <w:pStyle w:val="BodyTextMain"/>
        <w:rPr>
          <w:lang w:val="en-GB"/>
        </w:rPr>
      </w:pPr>
    </w:p>
    <w:p w14:paraId="4C6206D7" w14:textId="77777777" w:rsidR="00D10C17" w:rsidRPr="00E94AD0" w:rsidRDefault="00D10C17" w:rsidP="00157FB5">
      <w:pPr>
        <w:pStyle w:val="Casehead2"/>
        <w:keepNext/>
        <w:rPr>
          <w:lang w:val="en-GB"/>
        </w:rPr>
      </w:pPr>
      <w:r w:rsidRPr="00E94AD0">
        <w:rPr>
          <w:lang w:val="en-GB"/>
        </w:rPr>
        <w:t>Statement of Financial Position</w:t>
      </w:r>
    </w:p>
    <w:p w14:paraId="693B55A6" w14:textId="77777777" w:rsidR="00D10C17" w:rsidRPr="00E94AD0" w:rsidRDefault="00D10C17" w:rsidP="00157FB5">
      <w:pPr>
        <w:pStyle w:val="BodyTextMain"/>
        <w:keepNext/>
        <w:rPr>
          <w:lang w:val="en-GB"/>
        </w:rPr>
      </w:pPr>
    </w:p>
    <w:p w14:paraId="3C28337C" w14:textId="3BD63F36" w:rsidR="00DB2ADA" w:rsidRDefault="00D10C17" w:rsidP="00157FB5">
      <w:pPr>
        <w:pStyle w:val="BodyTextMain"/>
        <w:keepNext/>
        <w:rPr>
          <w:lang w:val="en-GB"/>
        </w:rPr>
      </w:pPr>
      <w:r w:rsidRPr="00E94AD0">
        <w:rPr>
          <w:lang w:val="en-GB"/>
        </w:rPr>
        <w:t xml:space="preserve">Fowler </w:t>
      </w:r>
      <w:r w:rsidR="00DB2ADA">
        <w:rPr>
          <w:lang w:val="en-GB"/>
        </w:rPr>
        <w:t xml:space="preserve">then </w:t>
      </w:r>
      <w:r w:rsidRPr="00E94AD0">
        <w:rPr>
          <w:lang w:val="en-GB"/>
        </w:rPr>
        <w:t xml:space="preserve">turned </w:t>
      </w:r>
      <w:r w:rsidR="00DB2ADA">
        <w:rPr>
          <w:lang w:val="en-GB"/>
        </w:rPr>
        <w:t>his attention</w:t>
      </w:r>
      <w:r w:rsidRPr="00E94AD0">
        <w:rPr>
          <w:lang w:val="en-GB"/>
        </w:rPr>
        <w:t xml:space="preserve"> to </w:t>
      </w:r>
      <w:r w:rsidR="00DB2ADA">
        <w:rPr>
          <w:lang w:val="en-GB"/>
        </w:rPr>
        <w:t>Canopy’s</w:t>
      </w:r>
      <w:r w:rsidRPr="00E94AD0">
        <w:rPr>
          <w:lang w:val="en-GB"/>
        </w:rPr>
        <w:t xml:space="preserve"> </w:t>
      </w:r>
      <w:r w:rsidR="00055525">
        <w:rPr>
          <w:lang w:val="en-GB"/>
        </w:rPr>
        <w:t>S</w:t>
      </w:r>
      <w:r w:rsidRPr="00E94AD0">
        <w:rPr>
          <w:lang w:val="en-GB"/>
        </w:rPr>
        <w:t xml:space="preserve">tatement of </w:t>
      </w:r>
      <w:r w:rsidR="00055525">
        <w:rPr>
          <w:lang w:val="en-GB"/>
        </w:rPr>
        <w:t>F</w:t>
      </w:r>
      <w:r w:rsidRPr="00E94AD0">
        <w:rPr>
          <w:lang w:val="en-GB"/>
        </w:rPr>
        <w:t xml:space="preserve">inancial </w:t>
      </w:r>
      <w:r w:rsidR="00055525">
        <w:rPr>
          <w:lang w:val="en-GB"/>
        </w:rPr>
        <w:t>P</w:t>
      </w:r>
      <w:r w:rsidRPr="00E94AD0">
        <w:rPr>
          <w:lang w:val="en-GB"/>
        </w:rPr>
        <w:t xml:space="preserve">osition (commonly known as the </w:t>
      </w:r>
      <w:r w:rsidR="00055525">
        <w:rPr>
          <w:lang w:val="en-GB"/>
        </w:rPr>
        <w:t>B</w:t>
      </w:r>
      <w:r w:rsidRPr="00E94AD0">
        <w:rPr>
          <w:lang w:val="en-GB"/>
        </w:rPr>
        <w:t xml:space="preserve">alance </w:t>
      </w:r>
      <w:r w:rsidR="00055525">
        <w:rPr>
          <w:lang w:val="en-GB"/>
        </w:rPr>
        <w:t>S</w:t>
      </w:r>
      <w:r w:rsidRPr="00E94AD0">
        <w:rPr>
          <w:lang w:val="en-GB"/>
        </w:rPr>
        <w:t xml:space="preserve">heet). </w:t>
      </w:r>
      <w:r w:rsidR="00DB2ADA">
        <w:rPr>
          <w:lang w:val="en-GB"/>
        </w:rPr>
        <w:t>There were no obvious issues in the statement,</w:t>
      </w:r>
      <w:r w:rsidRPr="00E94AD0">
        <w:rPr>
          <w:lang w:val="en-GB"/>
        </w:rPr>
        <w:t xml:space="preserve"> </w:t>
      </w:r>
      <w:r w:rsidR="00DB2ADA">
        <w:rPr>
          <w:lang w:val="en-GB"/>
        </w:rPr>
        <w:t xml:space="preserve">although </w:t>
      </w:r>
      <w:r w:rsidRPr="00E94AD0">
        <w:rPr>
          <w:lang w:val="en-GB"/>
        </w:rPr>
        <w:t>the inventory and biological assets accounts would factor into the issues he had previously identified. H</w:t>
      </w:r>
      <w:r w:rsidR="00DB2ADA">
        <w:rPr>
          <w:lang w:val="en-GB"/>
        </w:rPr>
        <w:t>e did notice, h</w:t>
      </w:r>
      <w:r w:rsidRPr="00E94AD0">
        <w:rPr>
          <w:lang w:val="en-GB"/>
        </w:rPr>
        <w:t xml:space="preserve">owever, </w:t>
      </w:r>
      <w:r w:rsidR="00DB2ADA">
        <w:rPr>
          <w:lang w:val="en-GB"/>
        </w:rPr>
        <w:t>several</w:t>
      </w:r>
      <w:r w:rsidRPr="00E94AD0">
        <w:rPr>
          <w:lang w:val="en-GB"/>
        </w:rPr>
        <w:t xml:space="preserve"> significant asset accounts </w:t>
      </w:r>
      <w:r w:rsidR="00690C3F">
        <w:rPr>
          <w:lang w:val="en-GB"/>
        </w:rPr>
        <w:t xml:space="preserve">that </w:t>
      </w:r>
      <w:r w:rsidRPr="00E94AD0">
        <w:rPr>
          <w:lang w:val="en-GB"/>
        </w:rPr>
        <w:t>he was</w:t>
      </w:r>
      <w:r w:rsidR="00DB2ADA">
        <w:rPr>
          <w:lang w:val="en-GB"/>
        </w:rPr>
        <w:t xml:space="preserve"> </w:t>
      </w:r>
      <w:r w:rsidR="00A022C4">
        <w:rPr>
          <w:lang w:val="en-GB"/>
        </w:rPr>
        <w:t>somewhat less</w:t>
      </w:r>
      <w:r w:rsidRPr="00E94AD0">
        <w:rPr>
          <w:lang w:val="en-GB"/>
        </w:rPr>
        <w:t xml:space="preserve"> familiar with</w:t>
      </w:r>
      <w:r w:rsidR="00DB2ADA">
        <w:rPr>
          <w:lang w:val="en-GB"/>
        </w:rPr>
        <w:t>,</w:t>
      </w:r>
      <w:r w:rsidRPr="00E94AD0">
        <w:rPr>
          <w:lang w:val="en-GB"/>
        </w:rPr>
        <w:t xml:space="preserve"> including “Investments in equity method investees</w:t>
      </w:r>
      <w:r w:rsidR="00DB2ADA">
        <w:rPr>
          <w:lang w:val="en-GB"/>
        </w:rPr>
        <w:t>,</w:t>
      </w:r>
      <w:r w:rsidRPr="00E94AD0">
        <w:rPr>
          <w:lang w:val="en-GB"/>
        </w:rPr>
        <w:t>” “Intangible assets</w:t>
      </w:r>
      <w:r w:rsidR="00DB2ADA">
        <w:rPr>
          <w:lang w:val="en-GB"/>
        </w:rPr>
        <w:t>,</w:t>
      </w:r>
      <w:r w:rsidRPr="00E94AD0">
        <w:rPr>
          <w:lang w:val="en-GB"/>
        </w:rPr>
        <w:t>” and “Goodwill</w:t>
      </w:r>
      <w:r w:rsidR="00DB2ADA">
        <w:rPr>
          <w:lang w:val="en-GB"/>
        </w:rPr>
        <w:t>.</w:t>
      </w:r>
      <w:r w:rsidRPr="00E94AD0">
        <w:rPr>
          <w:lang w:val="en-GB"/>
        </w:rPr>
        <w:t xml:space="preserve">” </w:t>
      </w:r>
    </w:p>
    <w:p w14:paraId="7F6ABAB1" w14:textId="77777777" w:rsidR="00136023" w:rsidRDefault="00136023" w:rsidP="00D10C17">
      <w:pPr>
        <w:pStyle w:val="BodyTextMain"/>
        <w:rPr>
          <w:lang w:val="en-GB"/>
        </w:rPr>
      </w:pPr>
    </w:p>
    <w:p w14:paraId="67AD4FC1" w14:textId="113EE9CE" w:rsidR="00D10C17" w:rsidRPr="00E94AD0" w:rsidRDefault="00D10C17" w:rsidP="00D10C17">
      <w:pPr>
        <w:pStyle w:val="BodyTextMain"/>
        <w:rPr>
          <w:lang w:val="en-GB"/>
        </w:rPr>
      </w:pPr>
      <w:r w:rsidRPr="00E94AD0">
        <w:rPr>
          <w:lang w:val="en-GB"/>
        </w:rPr>
        <w:lastRenderedPageBreak/>
        <w:t xml:space="preserve">On the liabilities side of the statement, he noted a significant </w:t>
      </w:r>
      <w:r w:rsidR="00DB2ADA">
        <w:rPr>
          <w:lang w:val="en-GB"/>
        </w:rPr>
        <w:t xml:space="preserve">amount for </w:t>
      </w:r>
      <w:r w:rsidRPr="00E94AD0">
        <w:rPr>
          <w:lang w:val="en-GB"/>
        </w:rPr>
        <w:t>“Share repurchase credit liability</w:t>
      </w:r>
      <w:r w:rsidR="00DB2ADA">
        <w:rPr>
          <w:lang w:val="en-GB"/>
        </w:rPr>
        <w:t>,</w:t>
      </w:r>
      <w:r w:rsidRPr="00E94AD0">
        <w:rPr>
          <w:lang w:val="en-GB"/>
        </w:rPr>
        <w:t xml:space="preserve">” </w:t>
      </w:r>
      <w:r w:rsidR="00DB2ADA">
        <w:rPr>
          <w:lang w:val="en-GB"/>
        </w:rPr>
        <w:t>which</w:t>
      </w:r>
      <w:r w:rsidRPr="00E94AD0">
        <w:rPr>
          <w:lang w:val="en-GB"/>
        </w:rPr>
        <w:t xml:space="preserve"> he understood </w:t>
      </w:r>
      <w:r w:rsidR="00DB2ADA">
        <w:rPr>
          <w:lang w:val="en-GB"/>
        </w:rPr>
        <w:t>to be</w:t>
      </w:r>
      <w:r w:rsidRPr="00E94AD0">
        <w:rPr>
          <w:lang w:val="en-GB"/>
        </w:rPr>
        <w:t xml:space="preserve"> related to </w:t>
      </w:r>
      <w:r w:rsidR="00DB2ADA">
        <w:rPr>
          <w:lang w:val="en-GB"/>
        </w:rPr>
        <w:t xml:space="preserve">the </w:t>
      </w:r>
      <w:r w:rsidRPr="00E94AD0">
        <w:rPr>
          <w:lang w:val="en-GB"/>
        </w:rPr>
        <w:t>investment in Canopy</w:t>
      </w:r>
      <w:r w:rsidR="00DB2ADA">
        <w:rPr>
          <w:lang w:val="en-GB"/>
        </w:rPr>
        <w:t xml:space="preserve"> by </w:t>
      </w:r>
      <w:r w:rsidR="00DB2ADA" w:rsidRPr="00E94AD0">
        <w:rPr>
          <w:lang w:val="en-GB"/>
        </w:rPr>
        <w:t>Constellation</w:t>
      </w:r>
      <w:r w:rsidR="00DB2ADA">
        <w:rPr>
          <w:lang w:val="en-GB"/>
        </w:rPr>
        <w:t xml:space="preserve"> Brands Inc</w:t>
      </w:r>
      <w:r w:rsidRPr="00E94AD0">
        <w:rPr>
          <w:lang w:val="en-GB"/>
        </w:rPr>
        <w:t xml:space="preserve">. Fowler </w:t>
      </w:r>
      <w:r w:rsidR="00DB2ADA">
        <w:rPr>
          <w:lang w:val="en-GB"/>
        </w:rPr>
        <w:t>expected</w:t>
      </w:r>
      <w:r w:rsidRPr="00E94AD0">
        <w:rPr>
          <w:lang w:val="en-GB"/>
        </w:rPr>
        <w:t xml:space="preserve"> </w:t>
      </w:r>
      <w:r w:rsidR="00A022C4">
        <w:rPr>
          <w:lang w:val="en-GB"/>
        </w:rPr>
        <w:t xml:space="preserve">that </w:t>
      </w:r>
      <w:r w:rsidRPr="00E94AD0">
        <w:rPr>
          <w:lang w:val="en-GB"/>
        </w:rPr>
        <w:t xml:space="preserve">this </w:t>
      </w:r>
      <w:r w:rsidR="00DB2ADA">
        <w:rPr>
          <w:lang w:val="en-GB"/>
        </w:rPr>
        <w:t xml:space="preserve">item </w:t>
      </w:r>
      <w:r w:rsidR="00A022C4">
        <w:rPr>
          <w:lang w:val="en-GB"/>
        </w:rPr>
        <w:t>might</w:t>
      </w:r>
      <w:r w:rsidR="00DB2ADA">
        <w:rPr>
          <w:lang w:val="en-GB"/>
        </w:rPr>
        <w:t xml:space="preserve"> be difficult</w:t>
      </w:r>
      <w:r w:rsidRPr="00E94AD0">
        <w:rPr>
          <w:lang w:val="en-GB"/>
        </w:rPr>
        <w:t xml:space="preserve"> to </w:t>
      </w:r>
      <w:r w:rsidR="00DB2ADA">
        <w:rPr>
          <w:lang w:val="en-GB"/>
        </w:rPr>
        <w:t xml:space="preserve">fully </w:t>
      </w:r>
      <w:r w:rsidRPr="00E94AD0">
        <w:rPr>
          <w:lang w:val="en-GB"/>
        </w:rPr>
        <w:t>understand</w:t>
      </w:r>
      <w:r w:rsidR="00DB2ADA">
        <w:rPr>
          <w:lang w:val="en-GB"/>
        </w:rPr>
        <w:t>,</w:t>
      </w:r>
      <w:r w:rsidRPr="00E94AD0">
        <w:rPr>
          <w:lang w:val="en-GB"/>
        </w:rPr>
        <w:t xml:space="preserve"> but he </w:t>
      </w:r>
      <w:r w:rsidR="00A022C4">
        <w:rPr>
          <w:lang w:val="en-GB"/>
        </w:rPr>
        <w:t>planned to</w:t>
      </w:r>
      <w:r w:rsidRPr="00E94AD0">
        <w:rPr>
          <w:lang w:val="en-GB"/>
        </w:rPr>
        <w:t xml:space="preserve"> investigate further</w:t>
      </w:r>
      <w:r w:rsidR="00A022C4">
        <w:rPr>
          <w:lang w:val="en-GB"/>
        </w:rPr>
        <w:t>. He had to</w:t>
      </w:r>
      <w:r w:rsidRPr="00E94AD0">
        <w:rPr>
          <w:lang w:val="en-GB"/>
        </w:rPr>
        <w:t xml:space="preserve"> at least understand</w:t>
      </w:r>
      <w:r w:rsidR="00DB2ADA">
        <w:rPr>
          <w:lang w:val="en-GB"/>
        </w:rPr>
        <w:t xml:space="preserve"> its</w:t>
      </w:r>
      <w:r w:rsidRPr="00E94AD0">
        <w:rPr>
          <w:lang w:val="en-GB"/>
        </w:rPr>
        <w:t xml:space="preserve"> impact, if any, on Canopy’s income for the year.</w:t>
      </w:r>
    </w:p>
    <w:p w14:paraId="6EA1D398" w14:textId="77777777" w:rsidR="00D10C17" w:rsidRPr="00E94AD0" w:rsidRDefault="00D10C17" w:rsidP="00D10C17">
      <w:pPr>
        <w:pStyle w:val="BodyTextMain"/>
        <w:rPr>
          <w:lang w:val="en-GB"/>
        </w:rPr>
      </w:pPr>
    </w:p>
    <w:p w14:paraId="7ED97D4B" w14:textId="51A2563D" w:rsidR="00D10C17" w:rsidRPr="00C8482F" w:rsidRDefault="00D10C17" w:rsidP="00D10C17">
      <w:pPr>
        <w:pStyle w:val="BodyTextMain"/>
        <w:rPr>
          <w:spacing w:val="-2"/>
          <w:lang w:val="en-GB"/>
        </w:rPr>
      </w:pPr>
      <w:r w:rsidRPr="00C8482F">
        <w:rPr>
          <w:spacing w:val="-2"/>
          <w:lang w:val="en-GB"/>
        </w:rPr>
        <w:t>Fowler also not</w:t>
      </w:r>
      <w:r w:rsidR="00C72385" w:rsidRPr="00C8482F">
        <w:rPr>
          <w:spacing w:val="-2"/>
          <w:lang w:val="en-GB"/>
        </w:rPr>
        <w:t>ic</w:t>
      </w:r>
      <w:r w:rsidRPr="00C8482F">
        <w:rPr>
          <w:spacing w:val="-2"/>
          <w:lang w:val="en-GB"/>
        </w:rPr>
        <w:t>ed that C</w:t>
      </w:r>
      <w:r w:rsidR="00C72385" w:rsidRPr="00C8482F">
        <w:rPr>
          <w:spacing w:val="-2"/>
          <w:lang w:val="en-GB"/>
        </w:rPr>
        <w:t>an</w:t>
      </w:r>
      <w:r w:rsidRPr="00C8482F">
        <w:rPr>
          <w:spacing w:val="-2"/>
          <w:lang w:val="en-GB"/>
        </w:rPr>
        <w:t xml:space="preserve">opy </w:t>
      </w:r>
      <w:r w:rsidR="00C72385" w:rsidRPr="00C8482F">
        <w:rPr>
          <w:spacing w:val="-2"/>
          <w:lang w:val="en-GB"/>
        </w:rPr>
        <w:t xml:space="preserve">had </w:t>
      </w:r>
      <w:r w:rsidRPr="00C8482F">
        <w:rPr>
          <w:spacing w:val="-2"/>
          <w:lang w:val="en-GB"/>
        </w:rPr>
        <w:t>completed something called the “Acreage Transaction” in</w:t>
      </w:r>
      <w:r w:rsidR="003C431A">
        <w:rPr>
          <w:spacing w:val="-2"/>
          <w:lang w:val="en-GB"/>
        </w:rPr>
        <w:t xml:space="preserve"> April</w:t>
      </w:r>
      <w:r w:rsidRPr="00C8482F">
        <w:rPr>
          <w:spacing w:val="-2"/>
          <w:lang w:val="en-GB"/>
        </w:rPr>
        <w:t xml:space="preserve"> 2019</w:t>
      </w:r>
      <w:r w:rsidR="00C72385" w:rsidRPr="00C8482F">
        <w:rPr>
          <w:spacing w:val="-2"/>
          <w:lang w:val="en-GB"/>
        </w:rPr>
        <w:t xml:space="preserve"> that was not readily apparent on the statement</w:t>
      </w:r>
      <w:r w:rsidRPr="00C8482F">
        <w:rPr>
          <w:spacing w:val="-2"/>
          <w:lang w:val="en-GB"/>
        </w:rPr>
        <w:t xml:space="preserve">. He was curious </w:t>
      </w:r>
      <w:r w:rsidR="00D0565C" w:rsidRPr="00C8482F">
        <w:rPr>
          <w:spacing w:val="-2"/>
          <w:lang w:val="en-GB"/>
        </w:rPr>
        <w:t xml:space="preserve">about this item and hoped </w:t>
      </w:r>
      <w:r w:rsidRPr="00C8482F">
        <w:rPr>
          <w:spacing w:val="-2"/>
          <w:lang w:val="en-GB"/>
        </w:rPr>
        <w:t>to understand th</w:t>
      </w:r>
      <w:r w:rsidR="00D0565C" w:rsidRPr="00C8482F">
        <w:rPr>
          <w:spacing w:val="-2"/>
          <w:lang w:val="en-GB"/>
        </w:rPr>
        <w:t>e</w:t>
      </w:r>
      <w:r w:rsidRPr="00C8482F">
        <w:rPr>
          <w:spacing w:val="-2"/>
          <w:lang w:val="en-GB"/>
        </w:rPr>
        <w:t xml:space="preserve"> transaction </w:t>
      </w:r>
      <w:r w:rsidR="00D0565C" w:rsidRPr="00C8482F">
        <w:rPr>
          <w:spacing w:val="-2"/>
          <w:lang w:val="en-GB"/>
        </w:rPr>
        <w:t>more fully. He did</w:t>
      </w:r>
      <w:r w:rsidRPr="00C8482F">
        <w:rPr>
          <w:spacing w:val="-2"/>
          <w:lang w:val="en-GB"/>
        </w:rPr>
        <w:t xml:space="preserve"> notice </w:t>
      </w:r>
      <w:r w:rsidR="00A022C4" w:rsidRPr="00C8482F">
        <w:rPr>
          <w:spacing w:val="-2"/>
          <w:lang w:val="en-GB"/>
        </w:rPr>
        <w:t xml:space="preserve">that </w:t>
      </w:r>
      <w:r w:rsidRPr="00C8482F">
        <w:rPr>
          <w:spacing w:val="-2"/>
          <w:lang w:val="en-GB"/>
        </w:rPr>
        <w:t xml:space="preserve">some disclosure related to this transaction </w:t>
      </w:r>
      <w:r w:rsidR="00D0565C" w:rsidRPr="00C8482F">
        <w:rPr>
          <w:spacing w:val="-2"/>
          <w:lang w:val="en-GB"/>
        </w:rPr>
        <w:t>had been provided (see</w:t>
      </w:r>
      <w:r w:rsidRPr="00C8482F">
        <w:rPr>
          <w:spacing w:val="-2"/>
          <w:lang w:val="en-GB"/>
        </w:rPr>
        <w:t xml:space="preserve"> Exhibit 2</w:t>
      </w:r>
      <w:r w:rsidR="00D0565C" w:rsidRPr="00C8482F">
        <w:rPr>
          <w:spacing w:val="-2"/>
          <w:lang w:val="en-GB"/>
        </w:rPr>
        <w:t>)</w:t>
      </w:r>
      <w:r w:rsidRPr="00C8482F">
        <w:rPr>
          <w:spacing w:val="-2"/>
          <w:lang w:val="en-GB"/>
        </w:rPr>
        <w:t>.</w:t>
      </w:r>
      <w:r w:rsidR="003C431A" w:rsidRPr="003C431A">
        <w:t xml:space="preserve"> </w:t>
      </w:r>
      <w:r w:rsidR="003C431A" w:rsidRPr="003C431A">
        <w:rPr>
          <w:spacing w:val="-2"/>
          <w:lang w:val="en-GB"/>
        </w:rPr>
        <w:t>He also noticed that this amount was included on the Statement of Financial Position under other financial assets</w:t>
      </w:r>
      <w:r w:rsidR="003C431A">
        <w:rPr>
          <w:spacing w:val="-2"/>
          <w:lang w:val="en-GB"/>
        </w:rPr>
        <w:t>,</w:t>
      </w:r>
      <w:r w:rsidR="003C431A" w:rsidRPr="003C431A">
        <w:rPr>
          <w:spacing w:val="-2"/>
          <w:lang w:val="en-GB"/>
        </w:rPr>
        <w:t xml:space="preserve"> but that it had been written down by $235 million by September 30, 2019</w:t>
      </w:r>
      <w:r w:rsidR="00DA2999">
        <w:rPr>
          <w:spacing w:val="-2"/>
          <w:lang w:val="en-GB"/>
        </w:rPr>
        <w:t xml:space="preserve"> to $160 million</w:t>
      </w:r>
      <w:r w:rsidR="003C431A" w:rsidRPr="003C431A">
        <w:rPr>
          <w:spacing w:val="-2"/>
          <w:lang w:val="en-GB"/>
        </w:rPr>
        <w:t xml:space="preserve"> which he thought was odd and required some explanation.</w:t>
      </w:r>
    </w:p>
    <w:p w14:paraId="09BE1416" w14:textId="5C153EE5" w:rsidR="00D10C17" w:rsidRPr="00E94AD0" w:rsidRDefault="00D10C17" w:rsidP="00D10C17">
      <w:pPr>
        <w:pStyle w:val="BodyTextMain"/>
        <w:rPr>
          <w:lang w:val="en-GB"/>
        </w:rPr>
      </w:pPr>
    </w:p>
    <w:p w14:paraId="361ACC28" w14:textId="77777777" w:rsidR="00D10C17" w:rsidRPr="00E94AD0" w:rsidRDefault="00D10C17" w:rsidP="00D10C17">
      <w:pPr>
        <w:pStyle w:val="BodyTextMain"/>
        <w:rPr>
          <w:lang w:val="en-GB"/>
        </w:rPr>
      </w:pPr>
    </w:p>
    <w:p w14:paraId="78A8B2CF" w14:textId="77777777" w:rsidR="00D10C17" w:rsidRPr="00E94AD0" w:rsidRDefault="00D10C17" w:rsidP="00D10C17">
      <w:pPr>
        <w:pStyle w:val="Casehead2"/>
        <w:rPr>
          <w:lang w:val="en-GB"/>
        </w:rPr>
      </w:pPr>
      <w:r w:rsidRPr="00E94AD0">
        <w:rPr>
          <w:lang w:val="en-GB"/>
        </w:rPr>
        <w:t>Statement of Cash Flows</w:t>
      </w:r>
    </w:p>
    <w:p w14:paraId="32063094" w14:textId="77777777" w:rsidR="00D10C17" w:rsidRPr="00E94AD0" w:rsidRDefault="00D10C17" w:rsidP="00D10C17">
      <w:pPr>
        <w:pStyle w:val="BodyTextMain"/>
        <w:rPr>
          <w:lang w:val="en-GB"/>
        </w:rPr>
      </w:pPr>
    </w:p>
    <w:p w14:paraId="7AE0A61B" w14:textId="73BEE3E1" w:rsidR="00D10C17" w:rsidRPr="00E94AD0" w:rsidRDefault="00D10C17" w:rsidP="00D10C17">
      <w:pPr>
        <w:pStyle w:val="BodyTextMain"/>
        <w:rPr>
          <w:lang w:val="en-GB"/>
        </w:rPr>
      </w:pPr>
      <w:r w:rsidRPr="00E94AD0">
        <w:rPr>
          <w:lang w:val="en-GB"/>
        </w:rPr>
        <w:t xml:space="preserve">Finally, Fowler </w:t>
      </w:r>
      <w:r w:rsidR="009E13BB">
        <w:rPr>
          <w:lang w:val="en-GB"/>
        </w:rPr>
        <w:t>glanced</w:t>
      </w:r>
      <w:r w:rsidRPr="00E94AD0">
        <w:rPr>
          <w:lang w:val="en-GB"/>
        </w:rPr>
        <w:t xml:space="preserve"> at </w:t>
      </w:r>
      <w:r w:rsidR="009E13BB">
        <w:rPr>
          <w:lang w:val="en-GB"/>
        </w:rPr>
        <w:t>Canopy’s</w:t>
      </w:r>
      <w:r w:rsidRPr="00E94AD0">
        <w:rPr>
          <w:lang w:val="en-GB"/>
        </w:rPr>
        <w:t xml:space="preserve"> </w:t>
      </w:r>
      <w:r w:rsidR="00055525">
        <w:rPr>
          <w:lang w:val="en-GB"/>
        </w:rPr>
        <w:t>S</w:t>
      </w:r>
      <w:r w:rsidRPr="00E94AD0">
        <w:rPr>
          <w:lang w:val="en-GB"/>
        </w:rPr>
        <w:t xml:space="preserve">tatement of </w:t>
      </w:r>
      <w:r w:rsidR="00055525">
        <w:rPr>
          <w:lang w:val="en-GB"/>
        </w:rPr>
        <w:t>C</w:t>
      </w:r>
      <w:r w:rsidRPr="00E94AD0">
        <w:rPr>
          <w:lang w:val="en-GB"/>
        </w:rPr>
        <w:t xml:space="preserve">ash </w:t>
      </w:r>
      <w:r w:rsidR="00055525">
        <w:rPr>
          <w:lang w:val="en-GB"/>
        </w:rPr>
        <w:t>F</w:t>
      </w:r>
      <w:r w:rsidRPr="00E94AD0">
        <w:rPr>
          <w:lang w:val="en-GB"/>
        </w:rPr>
        <w:t xml:space="preserve">lows and was </w:t>
      </w:r>
      <w:r w:rsidR="009E13BB">
        <w:rPr>
          <w:lang w:val="en-GB"/>
        </w:rPr>
        <w:t xml:space="preserve">immediately </w:t>
      </w:r>
      <w:r w:rsidRPr="00E94AD0">
        <w:rPr>
          <w:lang w:val="en-GB"/>
        </w:rPr>
        <w:t>struck by all of the negative numbers in the six months ended September 30, 2019. H</w:t>
      </w:r>
      <w:r w:rsidR="009E13BB">
        <w:rPr>
          <w:lang w:val="en-GB"/>
        </w:rPr>
        <w:t>owever, h</w:t>
      </w:r>
      <w:r w:rsidRPr="00E94AD0">
        <w:rPr>
          <w:lang w:val="en-GB"/>
        </w:rPr>
        <w:t xml:space="preserve">e wanted to </w:t>
      </w:r>
      <w:r w:rsidR="009E13BB">
        <w:rPr>
          <w:lang w:val="en-GB"/>
        </w:rPr>
        <w:t xml:space="preserve">better </w:t>
      </w:r>
      <w:r w:rsidRPr="00E94AD0">
        <w:rPr>
          <w:lang w:val="en-GB"/>
        </w:rPr>
        <w:t xml:space="preserve">understand the significant decrease in cash shown on the </w:t>
      </w:r>
      <w:r w:rsidR="00055525">
        <w:rPr>
          <w:lang w:val="en-GB"/>
        </w:rPr>
        <w:t>S</w:t>
      </w:r>
      <w:r w:rsidRPr="00E94AD0">
        <w:rPr>
          <w:lang w:val="en-GB"/>
        </w:rPr>
        <w:t xml:space="preserve">tatement of </w:t>
      </w:r>
      <w:r w:rsidR="00055525">
        <w:rPr>
          <w:lang w:val="en-GB"/>
        </w:rPr>
        <w:t>F</w:t>
      </w:r>
      <w:r w:rsidRPr="00E94AD0">
        <w:rPr>
          <w:lang w:val="en-GB"/>
        </w:rPr>
        <w:t xml:space="preserve">inancial </w:t>
      </w:r>
      <w:r w:rsidR="00055525">
        <w:rPr>
          <w:lang w:val="en-GB"/>
        </w:rPr>
        <w:t>Po</w:t>
      </w:r>
      <w:r w:rsidRPr="00E94AD0">
        <w:rPr>
          <w:lang w:val="en-GB"/>
        </w:rPr>
        <w:t>sition</w:t>
      </w:r>
      <w:r w:rsidR="00A022C4">
        <w:rPr>
          <w:lang w:val="en-GB"/>
        </w:rPr>
        <w:t>,</w:t>
      </w:r>
      <w:r w:rsidRPr="00E94AD0">
        <w:rPr>
          <w:lang w:val="en-GB"/>
        </w:rPr>
        <w:t xml:space="preserve"> and </w:t>
      </w:r>
      <w:r w:rsidR="00A022C4">
        <w:rPr>
          <w:lang w:val="en-GB"/>
        </w:rPr>
        <w:t xml:space="preserve">he </w:t>
      </w:r>
      <w:r w:rsidRPr="00E94AD0">
        <w:rPr>
          <w:lang w:val="en-GB"/>
        </w:rPr>
        <w:t xml:space="preserve">knew </w:t>
      </w:r>
      <w:r w:rsidR="009E13BB">
        <w:rPr>
          <w:lang w:val="en-GB"/>
        </w:rPr>
        <w:t xml:space="preserve">that </w:t>
      </w:r>
      <w:r w:rsidRPr="00E94AD0">
        <w:rPr>
          <w:lang w:val="en-GB"/>
        </w:rPr>
        <w:t xml:space="preserve">he should use the </w:t>
      </w:r>
      <w:r w:rsidR="00055525">
        <w:rPr>
          <w:lang w:val="en-GB"/>
        </w:rPr>
        <w:t>S</w:t>
      </w:r>
      <w:r w:rsidRPr="00E94AD0">
        <w:rPr>
          <w:lang w:val="en-GB"/>
        </w:rPr>
        <w:t xml:space="preserve">tatement of </w:t>
      </w:r>
      <w:r w:rsidR="00055525">
        <w:rPr>
          <w:lang w:val="en-GB"/>
        </w:rPr>
        <w:t>C</w:t>
      </w:r>
      <w:r w:rsidRPr="00E94AD0">
        <w:rPr>
          <w:lang w:val="en-GB"/>
        </w:rPr>
        <w:t xml:space="preserve">ash </w:t>
      </w:r>
      <w:r w:rsidR="00055525">
        <w:rPr>
          <w:lang w:val="en-GB"/>
        </w:rPr>
        <w:t>F</w:t>
      </w:r>
      <w:r w:rsidRPr="00E94AD0">
        <w:rPr>
          <w:lang w:val="en-GB"/>
        </w:rPr>
        <w:t>lows to do so.</w:t>
      </w:r>
    </w:p>
    <w:p w14:paraId="17516434" w14:textId="0F86FEE8" w:rsidR="00D10C17" w:rsidRDefault="00D10C17" w:rsidP="00D10C17">
      <w:pPr>
        <w:pStyle w:val="BodyTextMain"/>
        <w:rPr>
          <w:lang w:val="en-GB"/>
        </w:rPr>
      </w:pPr>
    </w:p>
    <w:p w14:paraId="48EDBC55" w14:textId="77777777" w:rsidR="009E13BB" w:rsidRPr="00E94AD0" w:rsidRDefault="009E13BB" w:rsidP="00D10C17">
      <w:pPr>
        <w:pStyle w:val="BodyTextMain"/>
        <w:rPr>
          <w:lang w:val="en-GB"/>
        </w:rPr>
      </w:pPr>
    </w:p>
    <w:p w14:paraId="287DE540" w14:textId="77777777" w:rsidR="00D10C17" w:rsidRPr="00E94AD0" w:rsidRDefault="00D10C17" w:rsidP="00D10C17">
      <w:pPr>
        <w:pStyle w:val="Casehead1"/>
        <w:rPr>
          <w:lang w:val="en-GB"/>
        </w:rPr>
      </w:pPr>
      <w:r w:rsidRPr="00E94AD0">
        <w:rPr>
          <w:lang w:val="en-GB"/>
        </w:rPr>
        <w:t>CONCLUSION</w:t>
      </w:r>
    </w:p>
    <w:p w14:paraId="506AA9C1" w14:textId="77777777" w:rsidR="00D10C17" w:rsidRPr="00E94AD0" w:rsidRDefault="00D10C17" w:rsidP="00D10C17">
      <w:pPr>
        <w:pStyle w:val="BodyTextMain"/>
        <w:rPr>
          <w:lang w:val="en-GB"/>
        </w:rPr>
      </w:pPr>
    </w:p>
    <w:p w14:paraId="69211F29" w14:textId="4D349EEA" w:rsidR="00D10C17" w:rsidRPr="00E94AD0" w:rsidRDefault="00D10C17" w:rsidP="00FD58C4">
      <w:pPr>
        <w:pStyle w:val="BodyTextMain"/>
        <w:rPr>
          <w:lang w:val="en-GB"/>
        </w:rPr>
      </w:pPr>
      <w:r w:rsidRPr="00E94AD0">
        <w:rPr>
          <w:lang w:val="en-GB"/>
        </w:rPr>
        <w:t xml:space="preserve">As Fowler started to review </w:t>
      </w:r>
      <w:r w:rsidR="009E13BB">
        <w:rPr>
          <w:lang w:val="en-GB"/>
        </w:rPr>
        <w:t>Canopy’s</w:t>
      </w:r>
      <w:r w:rsidR="009E13BB" w:rsidRPr="00E94AD0">
        <w:rPr>
          <w:lang w:val="en-GB"/>
        </w:rPr>
        <w:t xml:space="preserve"> </w:t>
      </w:r>
      <w:r w:rsidRPr="00E94AD0">
        <w:rPr>
          <w:lang w:val="en-GB"/>
        </w:rPr>
        <w:t>financial statements in more detail, he realized</w:t>
      </w:r>
      <w:r w:rsidR="00B7741E">
        <w:rPr>
          <w:lang w:val="en-GB"/>
        </w:rPr>
        <w:t xml:space="preserve"> </w:t>
      </w:r>
      <w:r w:rsidR="009E13BB">
        <w:rPr>
          <w:lang w:val="en-GB"/>
        </w:rPr>
        <w:t>it was</w:t>
      </w:r>
      <w:r w:rsidRPr="00E94AD0">
        <w:rPr>
          <w:lang w:val="en-GB"/>
        </w:rPr>
        <w:t xml:space="preserve"> important </w:t>
      </w:r>
      <w:r w:rsidR="009E13BB">
        <w:rPr>
          <w:lang w:val="en-GB"/>
        </w:rPr>
        <w:t>that he fully</w:t>
      </w:r>
      <w:r w:rsidRPr="00E94AD0">
        <w:rPr>
          <w:lang w:val="en-GB"/>
        </w:rPr>
        <w:t xml:space="preserve"> understand </w:t>
      </w:r>
      <w:r w:rsidR="009E13BB">
        <w:rPr>
          <w:lang w:val="en-GB"/>
        </w:rPr>
        <w:t xml:space="preserve">all of </w:t>
      </w:r>
      <w:r w:rsidRPr="00E94AD0">
        <w:rPr>
          <w:lang w:val="en-GB"/>
        </w:rPr>
        <w:t xml:space="preserve">the items he </w:t>
      </w:r>
      <w:r w:rsidR="009E13BB">
        <w:rPr>
          <w:lang w:val="en-GB"/>
        </w:rPr>
        <w:t xml:space="preserve">had </w:t>
      </w:r>
      <w:r w:rsidRPr="00E94AD0">
        <w:rPr>
          <w:lang w:val="en-GB"/>
        </w:rPr>
        <w:t xml:space="preserve">identified. He had a feeling that these issues were going to be </w:t>
      </w:r>
      <w:r w:rsidR="009E13BB">
        <w:rPr>
          <w:lang w:val="en-GB"/>
        </w:rPr>
        <w:t>a common occurrence</w:t>
      </w:r>
      <w:r w:rsidRPr="00E94AD0">
        <w:rPr>
          <w:lang w:val="en-GB"/>
        </w:rPr>
        <w:t xml:space="preserve"> in financial results across the cannabis industry for years to come. </w:t>
      </w:r>
      <w:r w:rsidRPr="00E94AD0">
        <w:rPr>
          <w:lang w:val="en-GB"/>
        </w:rPr>
        <w:br w:type="page"/>
      </w:r>
    </w:p>
    <w:p w14:paraId="2EC82938" w14:textId="3F63880F" w:rsidR="00FD58C4" w:rsidRPr="00E94AD0" w:rsidRDefault="00FD58C4" w:rsidP="00FD58C4">
      <w:pPr>
        <w:pStyle w:val="ExhibitHeading"/>
        <w:rPr>
          <w:lang w:val="en-GB"/>
        </w:rPr>
      </w:pPr>
      <w:r w:rsidRPr="00E94AD0">
        <w:rPr>
          <w:lang w:val="en-GB"/>
        </w:rPr>
        <w:lastRenderedPageBreak/>
        <w:t>EXHIBIT 1: CANOPY GROWTH CORPORATION FINANCIAL STATEMENTS</w:t>
      </w:r>
    </w:p>
    <w:p w14:paraId="4FE22701" w14:textId="686772E6" w:rsidR="00FD58C4" w:rsidRPr="00E94AD0" w:rsidRDefault="00FD58C4" w:rsidP="00FD58C4">
      <w:pPr>
        <w:pStyle w:val="ExhibitHeading"/>
        <w:rPr>
          <w:lang w:val="en-GB"/>
        </w:rPr>
      </w:pPr>
      <w:r w:rsidRPr="00E94AD0">
        <w:rPr>
          <w:lang w:val="en-GB"/>
        </w:rPr>
        <w:t>(</w:t>
      </w:r>
      <w:r w:rsidR="00A022C4">
        <w:rPr>
          <w:lang w:val="en-GB"/>
        </w:rPr>
        <w:t>in CA</w:t>
      </w:r>
      <w:r w:rsidRPr="00E94AD0">
        <w:rPr>
          <w:lang w:val="en-GB"/>
        </w:rPr>
        <w:t>$ THOUSANDS)</w:t>
      </w:r>
    </w:p>
    <w:p w14:paraId="13E19D45" w14:textId="20FD1479" w:rsidR="00FD58C4" w:rsidRDefault="00FD58C4" w:rsidP="00576EC1">
      <w:pPr>
        <w:pStyle w:val="Footnote"/>
        <w:rPr>
          <w:lang w:val="en-GB"/>
        </w:rPr>
      </w:pPr>
    </w:p>
    <w:p w14:paraId="4A8210EA" w14:textId="7ACFB633" w:rsidR="00576EC1" w:rsidRDefault="00576EC1" w:rsidP="00576EC1">
      <w:pPr>
        <w:pStyle w:val="ExhibitText"/>
        <w:rPr>
          <w:b/>
        </w:rPr>
      </w:pPr>
      <w:r w:rsidRPr="00576EC1">
        <w:rPr>
          <w:b/>
        </w:rPr>
        <w:t>CONDENSED INTERIM CONSOLIDATED STATEMENTS OF FINANCIAL POSITION</w:t>
      </w:r>
    </w:p>
    <w:p w14:paraId="0D8DB087" w14:textId="450131E8" w:rsidR="00576EC1" w:rsidRPr="00576EC1" w:rsidRDefault="00576EC1" w:rsidP="00576EC1">
      <w:pPr>
        <w:pStyle w:val="ExhibitText"/>
        <w:rPr>
          <w:b/>
        </w:rPr>
      </w:pPr>
      <w:r>
        <w:rPr>
          <w:b/>
        </w:rPr>
        <w:t>Unaudited</w:t>
      </w:r>
    </w:p>
    <w:p w14:paraId="24566212" w14:textId="0CBEE4DD" w:rsidR="00576EC1" w:rsidRDefault="00576EC1" w:rsidP="00576EC1">
      <w:pPr>
        <w:pStyle w:val="Footnote"/>
        <w:rPr>
          <w:lang w:val="en-GB"/>
        </w:rPr>
      </w:pPr>
    </w:p>
    <w:tbl>
      <w:tblPr>
        <w:tblW w:w="9037" w:type="dxa"/>
        <w:jc w:val="center"/>
        <w:tblLook w:val="04A0" w:firstRow="1" w:lastRow="0" w:firstColumn="1" w:lastColumn="0" w:noHBand="0" w:noVBand="1"/>
        <w:tblCaption w:val="Exhibit 1"/>
        <w:tblDescription w:val="Canopy Growth Corporation Financial Statements"/>
      </w:tblPr>
      <w:tblGrid>
        <w:gridCol w:w="267"/>
        <w:gridCol w:w="4001"/>
        <w:gridCol w:w="267"/>
        <w:gridCol w:w="707"/>
        <w:gridCol w:w="267"/>
        <w:gridCol w:w="1793"/>
        <w:gridCol w:w="1834"/>
      </w:tblGrid>
      <w:tr w:rsidR="00576EC1" w:rsidRPr="00576EC1" w14:paraId="363874B0"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71F4E8B7" w14:textId="77777777" w:rsidR="00576EC1" w:rsidRPr="00576EC1" w:rsidRDefault="00576EC1" w:rsidP="00576EC1">
            <w:pPr>
              <w:rPr>
                <w:rFonts w:ascii="Arial" w:hAnsi="Arial" w:cs="Arial"/>
                <w:sz w:val="18"/>
                <w:szCs w:val="18"/>
              </w:rPr>
            </w:pPr>
          </w:p>
        </w:tc>
        <w:tc>
          <w:tcPr>
            <w:tcW w:w="4001" w:type="dxa"/>
            <w:tcBorders>
              <w:top w:val="nil"/>
              <w:left w:val="nil"/>
              <w:bottom w:val="nil"/>
              <w:right w:val="nil"/>
            </w:tcBorders>
            <w:shd w:val="clear" w:color="auto" w:fill="auto"/>
            <w:noWrap/>
            <w:vAlign w:val="bottom"/>
            <w:hideMark/>
          </w:tcPr>
          <w:p w14:paraId="5B909F8D"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5645D3CA"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4FDAD7FB"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199C8BBB"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25A94CB8"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September 30,</w:t>
            </w:r>
          </w:p>
        </w:tc>
        <w:tc>
          <w:tcPr>
            <w:tcW w:w="1834" w:type="dxa"/>
            <w:tcBorders>
              <w:top w:val="nil"/>
              <w:left w:val="nil"/>
              <w:bottom w:val="nil"/>
              <w:right w:val="nil"/>
            </w:tcBorders>
            <w:shd w:val="clear" w:color="auto" w:fill="auto"/>
            <w:noWrap/>
            <w:vAlign w:val="bottom"/>
            <w:hideMark/>
          </w:tcPr>
          <w:p w14:paraId="6AF0E2C4"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March 31,</w:t>
            </w:r>
          </w:p>
        </w:tc>
      </w:tr>
      <w:tr w:rsidR="00576EC1" w:rsidRPr="00576EC1" w14:paraId="7C4A5191" w14:textId="77777777" w:rsidTr="008F5B5F">
        <w:trPr>
          <w:trHeight w:val="223"/>
          <w:tblHeader/>
          <w:jc w:val="center"/>
        </w:trPr>
        <w:tc>
          <w:tcPr>
            <w:tcW w:w="230" w:type="dxa"/>
            <w:tcBorders>
              <w:top w:val="nil"/>
              <w:left w:val="nil"/>
              <w:bottom w:val="single" w:sz="4" w:space="0" w:color="auto"/>
              <w:right w:val="nil"/>
            </w:tcBorders>
            <w:shd w:val="clear" w:color="auto" w:fill="auto"/>
            <w:noWrap/>
            <w:vAlign w:val="bottom"/>
            <w:hideMark/>
          </w:tcPr>
          <w:p w14:paraId="2EE1449A"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001" w:type="dxa"/>
            <w:tcBorders>
              <w:top w:val="nil"/>
              <w:left w:val="nil"/>
              <w:bottom w:val="single" w:sz="4" w:space="0" w:color="auto"/>
              <w:right w:val="nil"/>
            </w:tcBorders>
            <w:shd w:val="clear" w:color="auto" w:fill="auto"/>
            <w:noWrap/>
            <w:vAlign w:val="bottom"/>
            <w:hideMark/>
          </w:tcPr>
          <w:p w14:paraId="1311986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30" w:type="dxa"/>
            <w:tcBorders>
              <w:top w:val="nil"/>
              <w:left w:val="nil"/>
              <w:bottom w:val="single" w:sz="4" w:space="0" w:color="auto"/>
              <w:right w:val="nil"/>
            </w:tcBorders>
            <w:shd w:val="clear" w:color="auto" w:fill="auto"/>
            <w:noWrap/>
            <w:vAlign w:val="bottom"/>
            <w:hideMark/>
          </w:tcPr>
          <w:p w14:paraId="25111DD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1CB3445C" w14:textId="77777777" w:rsidR="00576EC1" w:rsidRPr="00576EC1" w:rsidRDefault="00576EC1" w:rsidP="004C59EC">
            <w:pPr>
              <w:jc w:val="right"/>
              <w:rPr>
                <w:rFonts w:ascii="Arial" w:hAnsi="Arial" w:cs="Arial"/>
                <w:color w:val="000000"/>
                <w:sz w:val="18"/>
                <w:szCs w:val="18"/>
              </w:rPr>
            </w:pPr>
            <w:r w:rsidRPr="00576EC1">
              <w:rPr>
                <w:rFonts w:ascii="Arial" w:hAnsi="Arial" w:cs="Arial"/>
                <w:color w:val="000000"/>
                <w:sz w:val="18"/>
                <w:szCs w:val="18"/>
              </w:rPr>
              <w:t>Notes</w:t>
            </w:r>
          </w:p>
        </w:tc>
        <w:tc>
          <w:tcPr>
            <w:tcW w:w="241" w:type="dxa"/>
            <w:tcBorders>
              <w:top w:val="nil"/>
              <w:left w:val="nil"/>
              <w:bottom w:val="single" w:sz="4" w:space="0" w:color="auto"/>
              <w:right w:val="nil"/>
            </w:tcBorders>
            <w:shd w:val="clear" w:color="auto" w:fill="auto"/>
            <w:noWrap/>
            <w:vAlign w:val="bottom"/>
            <w:hideMark/>
          </w:tcPr>
          <w:p w14:paraId="2452432F"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02E819AD"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2019</w:t>
            </w:r>
          </w:p>
        </w:tc>
        <w:tc>
          <w:tcPr>
            <w:tcW w:w="1834" w:type="dxa"/>
            <w:tcBorders>
              <w:top w:val="nil"/>
              <w:left w:val="nil"/>
              <w:bottom w:val="single" w:sz="4" w:space="0" w:color="auto"/>
              <w:right w:val="nil"/>
            </w:tcBorders>
            <w:shd w:val="clear" w:color="auto" w:fill="auto"/>
            <w:noWrap/>
            <w:vAlign w:val="bottom"/>
            <w:hideMark/>
          </w:tcPr>
          <w:p w14:paraId="1D2DACC9"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2019</w:t>
            </w:r>
          </w:p>
        </w:tc>
      </w:tr>
      <w:tr w:rsidR="00576EC1" w:rsidRPr="00576EC1" w14:paraId="4F9AE6BB" w14:textId="77777777" w:rsidTr="008F5B5F">
        <w:trPr>
          <w:trHeight w:val="111"/>
          <w:tblHeader/>
          <w:jc w:val="center"/>
        </w:trPr>
        <w:tc>
          <w:tcPr>
            <w:tcW w:w="230" w:type="dxa"/>
            <w:tcBorders>
              <w:top w:val="nil"/>
              <w:left w:val="nil"/>
              <w:bottom w:val="nil"/>
              <w:right w:val="nil"/>
            </w:tcBorders>
            <w:shd w:val="clear" w:color="auto" w:fill="auto"/>
            <w:noWrap/>
            <w:vAlign w:val="bottom"/>
            <w:hideMark/>
          </w:tcPr>
          <w:p w14:paraId="4A282182"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009A5F8F"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3D509092"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56C6FD8A"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2AF98DE5"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42C56036"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2908BF2D" w14:textId="77777777" w:rsidR="00576EC1" w:rsidRPr="00576EC1" w:rsidRDefault="00576EC1" w:rsidP="00BD3901">
            <w:pPr>
              <w:jc w:val="right"/>
              <w:rPr>
                <w:rFonts w:ascii="Arial" w:hAnsi="Arial" w:cs="Arial"/>
                <w:sz w:val="18"/>
                <w:szCs w:val="18"/>
              </w:rPr>
            </w:pPr>
          </w:p>
        </w:tc>
      </w:tr>
      <w:tr w:rsidR="00576EC1" w:rsidRPr="00576EC1" w14:paraId="2FE42CC5"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0492756B"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Assets</w:t>
            </w:r>
          </w:p>
        </w:tc>
        <w:tc>
          <w:tcPr>
            <w:tcW w:w="230" w:type="dxa"/>
            <w:tcBorders>
              <w:top w:val="nil"/>
              <w:left w:val="nil"/>
              <w:bottom w:val="nil"/>
              <w:right w:val="nil"/>
            </w:tcBorders>
            <w:shd w:val="clear" w:color="auto" w:fill="auto"/>
            <w:noWrap/>
            <w:vAlign w:val="bottom"/>
            <w:hideMark/>
          </w:tcPr>
          <w:p w14:paraId="01AF496A" w14:textId="77777777" w:rsidR="00576EC1" w:rsidRPr="00576EC1" w:rsidRDefault="00576EC1" w:rsidP="00576EC1">
            <w:pPr>
              <w:rPr>
                <w:rFonts w:ascii="Arial" w:hAnsi="Arial" w:cs="Arial"/>
                <w:b/>
                <w:bCs/>
                <w:color w:val="000000"/>
                <w:sz w:val="18"/>
                <w:szCs w:val="18"/>
              </w:rPr>
            </w:pPr>
          </w:p>
        </w:tc>
        <w:tc>
          <w:tcPr>
            <w:tcW w:w="707" w:type="dxa"/>
            <w:tcBorders>
              <w:top w:val="nil"/>
              <w:left w:val="nil"/>
              <w:bottom w:val="nil"/>
              <w:right w:val="nil"/>
            </w:tcBorders>
            <w:shd w:val="clear" w:color="auto" w:fill="auto"/>
            <w:noWrap/>
            <w:vAlign w:val="bottom"/>
            <w:hideMark/>
          </w:tcPr>
          <w:p w14:paraId="3CA01C2F"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65660526"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15E07DFD"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604E1E10" w14:textId="77777777" w:rsidR="00576EC1" w:rsidRPr="00576EC1" w:rsidRDefault="00576EC1" w:rsidP="00BD3901">
            <w:pPr>
              <w:jc w:val="right"/>
              <w:rPr>
                <w:rFonts w:ascii="Arial" w:hAnsi="Arial" w:cs="Arial"/>
                <w:sz w:val="18"/>
                <w:szCs w:val="18"/>
              </w:rPr>
            </w:pPr>
          </w:p>
        </w:tc>
      </w:tr>
      <w:tr w:rsidR="00576EC1" w:rsidRPr="00576EC1" w14:paraId="1C96F8CD"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5F965D0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Current assets</w:t>
            </w:r>
          </w:p>
        </w:tc>
        <w:tc>
          <w:tcPr>
            <w:tcW w:w="230" w:type="dxa"/>
            <w:tcBorders>
              <w:top w:val="nil"/>
              <w:left w:val="nil"/>
              <w:bottom w:val="nil"/>
              <w:right w:val="nil"/>
            </w:tcBorders>
            <w:shd w:val="clear" w:color="auto" w:fill="auto"/>
            <w:noWrap/>
            <w:vAlign w:val="bottom"/>
            <w:hideMark/>
          </w:tcPr>
          <w:p w14:paraId="267CB39C"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19033321"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2ACD2918"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1BAE48B9"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0828B43B" w14:textId="77777777" w:rsidR="00576EC1" w:rsidRPr="00576EC1" w:rsidRDefault="00576EC1" w:rsidP="00BD3901">
            <w:pPr>
              <w:jc w:val="right"/>
              <w:rPr>
                <w:rFonts w:ascii="Arial" w:hAnsi="Arial" w:cs="Arial"/>
                <w:sz w:val="18"/>
                <w:szCs w:val="18"/>
              </w:rPr>
            </w:pPr>
          </w:p>
        </w:tc>
      </w:tr>
      <w:tr w:rsidR="00576EC1" w:rsidRPr="00576EC1" w14:paraId="18731A47"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66D3A13E" w14:textId="77777777" w:rsidR="00576EC1" w:rsidRPr="00576EC1" w:rsidRDefault="00576EC1" w:rsidP="00576EC1">
            <w:pPr>
              <w:rPr>
                <w:rFonts w:ascii="Arial" w:hAnsi="Arial" w:cs="Arial"/>
                <w:sz w:val="18"/>
                <w:szCs w:val="18"/>
              </w:rPr>
            </w:pPr>
          </w:p>
        </w:tc>
        <w:tc>
          <w:tcPr>
            <w:tcW w:w="4001" w:type="dxa"/>
            <w:tcBorders>
              <w:top w:val="nil"/>
              <w:left w:val="nil"/>
              <w:bottom w:val="nil"/>
              <w:right w:val="nil"/>
            </w:tcBorders>
            <w:shd w:val="clear" w:color="auto" w:fill="auto"/>
            <w:noWrap/>
            <w:vAlign w:val="bottom"/>
            <w:hideMark/>
          </w:tcPr>
          <w:p w14:paraId="5FDDC062" w14:textId="6FF715A2" w:rsidR="00576EC1" w:rsidRPr="00576EC1" w:rsidRDefault="00576EC1" w:rsidP="00B7741E">
            <w:pPr>
              <w:rPr>
                <w:rFonts w:ascii="Arial" w:hAnsi="Arial" w:cs="Arial"/>
                <w:color w:val="000000"/>
                <w:sz w:val="18"/>
                <w:szCs w:val="18"/>
              </w:rPr>
            </w:pPr>
            <w:r w:rsidRPr="00576EC1">
              <w:rPr>
                <w:rFonts w:ascii="Arial" w:hAnsi="Arial" w:cs="Arial"/>
                <w:color w:val="000000"/>
                <w:sz w:val="18"/>
                <w:szCs w:val="18"/>
              </w:rPr>
              <w:t>Cash and cash equiv</w:t>
            </w:r>
            <w:r w:rsidR="00B7741E">
              <w:rPr>
                <w:rFonts w:ascii="Arial" w:hAnsi="Arial" w:cs="Arial"/>
                <w:color w:val="000000"/>
                <w:sz w:val="18"/>
                <w:szCs w:val="18"/>
              </w:rPr>
              <w:t>a</w:t>
            </w:r>
            <w:r w:rsidRPr="00576EC1">
              <w:rPr>
                <w:rFonts w:ascii="Arial" w:hAnsi="Arial" w:cs="Arial"/>
                <w:color w:val="000000"/>
                <w:sz w:val="18"/>
                <w:szCs w:val="18"/>
              </w:rPr>
              <w:t>l</w:t>
            </w:r>
            <w:r w:rsidR="00B7741E">
              <w:rPr>
                <w:rFonts w:ascii="Arial" w:hAnsi="Arial" w:cs="Arial"/>
                <w:color w:val="000000"/>
                <w:sz w:val="18"/>
                <w:szCs w:val="18"/>
              </w:rPr>
              <w:t>e</w:t>
            </w:r>
            <w:r w:rsidRPr="00576EC1">
              <w:rPr>
                <w:rFonts w:ascii="Arial" w:hAnsi="Arial" w:cs="Arial"/>
                <w:color w:val="000000"/>
                <w:sz w:val="18"/>
                <w:szCs w:val="18"/>
              </w:rPr>
              <w:t>nts</w:t>
            </w:r>
          </w:p>
        </w:tc>
        <w:tc>
          <w:tcPr>
            <w:tcW w:w="230" w:type="dxa"/>
            <w:tcBorders>
              <w:top w:val="nil"/>
              <w:left w:val="nil"/>
              <w:bottom w:val="nil"/>
              <w:right w:val="nil"/>
            </w:tcBorders>
            <w:shd w:val="clear" w:color="auto" w:fill="auto"/>
            <w:noWrap/>
            <w:vAlign w:val="bottom"/>
            <w:hideMark/>
          </w:tcPr>
          <w:p w14:paraId="592A48EA"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463C26A1"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3</w:t>
            </w:r>
          </w:p>
        </w:tc>
        <w:tc>
          <w:tcPr>
            <w:tcW w:w="241" w:type="dxa"/>
            <w:tcBorders>
              <w:top w:val="nil"/>
              <w:left w:val="nil"/>
              <w:bottom w:val="nil"/>
              <w:right w:val="nil"/>
            </w:tcBorders>
            <w:shd w:val="clear" w:color="auto" w:fill="auto"/>
            <w:noWrap/>
            <w:vAlign w:val="bottom"/>
            <w:hideMark/>
          </w:tcPr>
          <w:p w14:paraId="0CA2BE5E"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5A6DC163" w14:textId="5876CCCF"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 xml:space="preserve"> $1,102,464 </w:t>
            </w:r>
          </w:p>
        </w:tc>
        <w:tc>
          <w:tcPr>
            <w:tcW w:w="1834" w:type="dxa"/>
            <w:tcBorders>
              <w:top w:val="nil"/>
              <w:left w:val="nil"/>
              <w:bottom w:val="nil"/>
              <w:right w:val="nil"/>
            </w:tcBorders>
            <w:shd w:val="clear" w:color="auto" w:fill="auto"/>
            <w:noWrap/>
            <w:vAlign w:val="bottom"/>
            <w:hideMark/>
          </w:tcPr>
          <w:p w14:paraId="3FA0D75E" w14:textId="609BFA4A"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 xml:space="preserve"> $2,480,830 </w:t>
            </w:r>
          </w:p>
        </w:tc>
      </w:tr>
      <w:tr w:rsidR="00576EC1" w:rsidRPr="00576EC1" w14:paraId="3EA6444C"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12C3C334" w14:textId="77777777" w:rsidR="00576EC1" w:rsidRPr="00576EC1" w:rsidRDefault="00576EC1" w:rsidP="00576EC1">
            <w:pPr>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7B24583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Marketable securities</w:t>
            </w:r>
          </w:p>
        </w:tc>
        <w:tc>
          <w:tcPr>
            <w:tcW w:w="230" w:type="dxa"/>
            <w:tcBorders>
              <w:top w:val="nil"/>
              <w:left w:val="nil"/>
              <w:bottom w:val="nil"/>
              <w:right w:val="nil"/>
            </w:tcBorders>
            <w:shd w:val="clear" w:color="auto" w:fill="auto"/>
            <w:noWrap/>
            <w:vAlign w:val="bottom"/>
            <w:hideMark/>
          </w:tcPr>
          <w:p w14:paraId="3C5903E8"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3DF7B186"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4</w:t>
            </w:r>
          </w:p>
        </w:tc>
        <w:tc>
          <w:tcPr>
            <w:tcW w:w="241" w:type="dxa"/>
            <w:tcBorders>
              <w:top w:val="nil"/>
              <w:left w:val="nil"/>
              <w:bottom w:val="nil"/>
              <w:right w:val="nil"/>
            </w:tcBorders>
            <w:shd w:val="clear" w:color="auto" w:fill="auto"/>
            <w:noWrap/>
            <w:vAlign w:val="bottom"/>
            <w:hideMark/>
          </w:tcPr>
          <w:p w14:paraId="62623E24"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6DF6CA76"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1,633,692</w:t>
            </w:r>
          </w:p>
        </w:tc>
        <w:tc>
          <w:tcPr>
            <w:tcW w:w="1834" w:type="dxa"/>
            <w:tcBorders>
              <w:top w:val="nil"/>
              <w:left w:val="nil"/>
              <w:bottom w:val="nil"/>
              <w:right w:val="nil"/>
            </w:tcBorders>
            <w:shd w:val="clear" w:color="auto" w:fill="auto"/>
            <w:noWrap/>
            <w:vAlign w:val="bottom"/>
            <w:hideMark/>
          </w:tcPr>
          <w:p w14:paraId="2FC1F379"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2,034,133</w:t>
            </w:r>
          </w:p>
        </w:tc>
      </w:tr>
      <w:tr w:rsidR="00576EC1" w:rsidRPr="00576EC1" w14:paraId="7124DAAD"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0B96DB33"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3563E0D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Amounts receivable</w:t>
            </w:r>
          </w:p>
        </w:tc>
        <w:tc>
          <w:tcPr>
            <w:tcW w:w="230" w:type="dxa"/>
            <w:tcBorders>
              <w:top w:val="nil"/>
              <w:left w:val="nil"/>
              <w:bottom w:val="nil"/>
              <w:right w:val="nil"/>
            </w:tcBorders>
            <w:shd w:val="clear" w:color="auto" w:fill="auto"/>
            <w:noWrap/>
            <w:vAlign w:val="bottom"/>
            <w:hideMark/>
          </w:tcPr>
          <w:p w14:paraId="53B62DA4"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0F01BEA1"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5</w:t>
            </w:r>
          </w:p>
        </w:tc>
        <w:tc>
          <w:tcPr>
            <w:tcW w:w="241" w:type="dxa"/>
            <w:tcBorders>
              <w:top w:val="nil"/>
              <w:left w:val="nil"/>
              <w:bottom w:val="nil"/>
              <w:right w:val="nil"/>
            </w:tcBorders>
            <w:shd w:val="clear" w:color="auto" w:fill="auto"/>
            <w:noWrap/>
            <w:vAlign w:val="bottom"/>
            <w:hideMark/>
          </w:tcPr>
          <w:p w14:paraId="50FAD5FE"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41F05142"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107,487</w:t>
            </w:r>
          </w:p>
        </w:tc>
        <w:tc>
          <w:tcPr>
            <w:tcW w:w="1834" w:type="dxa"/>
            <w:tcBorders>
              <w:top w:val="nil"/>
              <w:left w:val="nil"/>
              <w:bottom w:val="nil"/>
              <w:right w:val="nil"/>
            </w:tcBorders>
            <w:shd w:val="clear" w:color="auto" w:fill="auto"/>
            <w:noWrap/>
            <w:vAlign w:val="bottom"/>
            <w:hideMark/>
          </w:tcPr>
          <w:p w14:paraId="3B6A1E9A"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106,974</w:t>
            </w:r>
          </w:p>
        </w:tc>
      </w:tr>
      <w:tr w:rsidR="00576EC1" w:rsidRPr="00576EC1" w14:paraId="68E0A28F"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2DE60BCB"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6D5F48C7"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Biological assets</w:t>
            </w:r>
          </w:p>
        </w:tc>
        <w:tc>
          <w:tcPr>
            <w:tcW w:w="230" w:type="dxa"/>
            <w:tcBorders>
              <w:top w:val="nil"/>
              <w:left w:val="nil"/>
              <w:bottom w:val="nil"/>
              <w:right w:val="nil"/>
            </w:tcBorders>
            <w:shd w:val="clear" w:color="auto" w:fill="auto"/>
            <w:noWrap/>
            <w:vAlign w:val="bottom"/>
            <w:hideMark/>
          </w:tcPr>
          <w:p w14:paraId="7B77F8EB"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44954EAD"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6</w:t>
            </w:r>
          </w:p>
        </w:tc>
        <w:tc>
          <w:tcPr>
            <w:tcW w:w="241" w:type="dxa"/>
            <w:tcBorders>
              <w:top w:val="nil"/>
              <w:left w:val="nil"/>
              <w:bottom w:val="nil"/>
              <w:right w:val="nil"/>
            </w:tcBorders>
            <w:shd w:val="clear" w:color="auto" w:fill="auto"/>
            <w:noWrap/>
            <w:vAlign w:val="bottom"/>
            <w:hideMark/>
          </w:tcPr>
          <w:p w14:paraId="2EF80DB4"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7D327779"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110,347</w:t>
            </w:r>
          </w:p>
        </w:tc>
        <w:tc>
          <w:tcPr>
            <w:tcW w:w="1834" w:type="dxa"/>
            <w:tcBorders>
              <w:top w:val="nil"/>
              <w:left w:val="nil"/>
              <w:bottom w:val="nil"/>
              <w:right w:val="nil"/>
            </w:tcBorders>
            <w:shd w:val="clear" w:color="auto" w:fill="auto"/>
            <w:noWrap/>
            <w:vAlign w:val="bottom"/>
            <w:hideMark/>
          </w:tcPr>
          <w:p w14:paraId="141E48EF"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78,975</w:t>
            </w:r>
          </w:p>
        </w:tc>
      </w:tr>
      <w:tr w:rsidR="00576EC1" w:rsidRPr="00576EC1" w14:paraId="4F506722"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0CC92876"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1C21E88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Inventory</w:t>
            </w:r>
          </w:p>
        </w:tc>
        <w:tc>
          <w:tcPr>
            <w:tcW w:w="230" w:type="dxa"/>
            <w:tcBorders>
              <w:top w:val="nil"/>
              <w:left w:val="nil"/>
              <w:bottom w:val="nil"/>
              <w:right w:val="nil"/>
            </w:tcBorders>
            <w:shd w:val="clear" w:color="auto" w:fill="auto"/>
            <w:noWrap/>
            <w:vAlign w:val="bottom"/>
            <w:hideMark/>
          </w:tcPr>
          <w:p w14:paraId="5BE306BE"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2F869698"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7</w:t>
            </w:r>
          </w:p>
        </w:tc>
        <w:tc>
          <w:tcPr>
            <w:tcW w:w="241" w:type="dxa"/>
            <w:tcBorders>
              <w:top w:val="nil"/>
              <w:left w:val="nil"/>
              <w:bottom w:val="nil"/>
              <w:right w:val="nil"/>
            </w:tcBorders>
            <w:shd w:val="clear" w:color="auto" w:fill="auto"/>
            <w:noWrap/>
            <w:vAlign w:val="bottom"/>
            <w:hideMark/>
          </w:tcPr>
          <w:p w14:paraId="594C0A74"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5539D7AF"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461,757</w:t>
            </w:r>
          </w:p>
        </w:tc>
        <w:tc>
          <w:tcPr>
            <w:tcW w:w="1834" w:type="dxa"/>
            <w:tcBorders>
              <w:top w:val="nil"/>
              <w:left w:val="nil"/>
              <w:bottom w:val="nil"/>
              <w:right w:val="nil"/>
            </w:tcBorders>
            <w:shd w:val="clear" w:color="auto" w:fill="auto"/>
            <w:noWrap/>
            <w:vAlign w:val="bottom"/>
            <w:hideMark/>
          </w:tcPr>
          <w:p w14:paraId="271442B8"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262,105</w:t>
            </w:r>
          </w:p>
        </w:tc>
      </w:tr>
      <w:tr w:rsidR="00576EC1" w:rsidRPr="00576EC1" w14:paraId="1C43636C" w14:textId="77777777" w:rsidTr="008F5B5F">
        <w:trPr>
          <w:trHeight w:val="223"/>
          <w:tblHeader/>
          <w:jc w:val="center"/>
        </w:trPr>
        <w:tc>
          <w:tcPr>
            <w:tcW w:w="230" w:type="dxa"/>
            <w:tcBorders>
              <w:top w:val="nil"/>
              <w:left w:val="nil"/>
              <w:bottom w:val="single" w:sz="4" w:space="0" w:color="auto"/>
              <w:right w:val="nil"/>
            </w:tcBorders>
            <w:shd w:val="clear" w:color="auto" w:fill="auto"/>
            <w:noWrap/>
            <w:vAlign w:val="bottom"/>
            <w:hideMark/>
          </w:tcPr>
          <w:p w14:paraId="5A915878"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001" w:type="dxa"/>
            <w:tcBorders>
              <w:top w:val="nil"/>
              <w:left w:val="nil"/>
              <w:bottom w:val="single" w:sz="4" w:space="0" w:color="auto"/>
              <w:right w:val="nil"/>
            </w:tcBorders>
            <w:shd w:val="clear" w:color="auto" w:fill="auto"/>
            <w:noWrap/>
            <w:vAlign w:val="bottom"/>
            <w:hideMark/>
          </w:tcPr>
          <w:p w14:paraId="14FBDAA0"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Prepaid expenses and other current assets</w:t>
            </w:r>
          </w:p>
        </w:tc>
        <w:tc>
          <w:tcPr>
            <w:tcW w:w="230" w:type="dxa"/>
            <w:tcBorders>
              <w:top w:val="nil"/>
              <w:left w:val="nil"/>
              <w:bottom w:val="single" w:sz="4" w:space="0" w:color="auto"/>
              <w:right w:val="nil"/>
            </w:tcBorders>
            <w:shd w:val="clear" w:color="auto" w:fill="auto"/>
            <w:noWrap/>
            <w:vAlign w:val="bottom"/>
            <w:hideMark/>
          </w:tcPr>
          <w:p w14:paraId="1CFED63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776D98C8"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8</w:t>
            </w:r>
          </w:p>
        </w:tc>
        <w:tc>
          <w:tcPr>
            <w:tcW w:w="241" w:type="dxa"/>
            <w:tcBorders>
              <w:top w:val="nil"/>
              <w:left w:val="nil"/>
              <w:bottom w:val="single" w:sz="4" w:space="0" w:color="auto"/>
              <w:right w:val="nil"/>
            </w:tcBorders>
            <w:shd w:val="clear" w:color="auto" w:fill="auto"/>
            <w:noWrap/>
            <w:vAlign w:val="bottom"/>
            <w:hideMark/>
          </w:tcPr>
          <w:p w14:paraId="428B1A75"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6D82C042"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152,761</w:t>
            </w:r>
          </w:p>
        </w:tc>
        <w:tc>
          <w:tcPr>
            <w:tcW w:w="1834" w:type="dxa"/>
            <w:tcBorders>
              <w:top w:val="nil"/>
              <w:left w:val="nil"/>
              <w:bottom w:val="single" w:sz="4" w:space="0" w:color="auto"/>
              <w:right w:val="nil"/>
            </w:tcBorders>
            <w:shd w:val="clear" w:color="auto" w:fill="auto"/>
            <w:noWrap/>
            <w:vAlign w:val="bottom"/>
            <w:hideMark/>
          </w:tcPr>
          <w:p w14:paraId="4C16A84D"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107,123</w:t>
            </w:r>
          </w:p>
        </w:tc>
      </w:tr>
      <w:tr w:rsidR="00576EC1" w:rsidRPr="00576EC1" w14:paraId="1A1768C1"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6049EAB8"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0EBE6F6F"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3AC5BFF4"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4F61CA2F"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75963F0B"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1FFD7E43"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3,568,508</w:t>
            </w:r>
          </w:p>
        </w:tc>
        <w:tc>
          <w:tcPr>
            <w:tcW w:w="1834" w:type="dxa"/>
            <w:tcBorders>
              <w:top w:val="nil"/>
              <w:left w:val="nil"/>
              <w:bottom w:val="nil"/>
              <w:right w:val="nil"/>
            </w:tcBorders>
            <w:shd w:val="clear" w:color="auto" w:fill="auto"/>
            <w:noWrap/>
            <w:vAlign w:val="bottom"/>
            <w:hideMark/>
          </w:tcPr>
          <w:p w14:paraId="5AE18E28"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5,070,140</w:t>
            </w:r>
          </w:p>
        </w:tc>
      </w:tr>
      <w:tr w:rsidR="00576EC1" w:rsidRPr="00576EC1" w14:paraId="58B70355" w14:textId="77777777" w:rsidTr="008F5B5F">
        <w:trPr>
          <w:trHeight w:val="111"/>
          <w:tblHeader/>
          <w:jc w:val="center"/>
        </w:trPr>
        <w:tc>
          <w:tcPr>
            <w:tcW w:w="230" w:type="dxa"/>
            <w:tcBorders>
              <w:top w:val="nil"/>
              <w:left w:val="nil"/>
              <w:bottom w:val="nil"/>
              <w:right w:val="nil"/>
            </w:tcBorders>
            <w:shd w:val="clear" w:color="auto" w:fill="auto"/>
            <w:noWrap/>
            <w:vAlign w:val="bottom"/>
            <w:hideMark/>
          </w:tcPr>
          <w:p w14:paraId="0F1A6DE3"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03F652AB"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1BCE1C40"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4D1E8A95"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27B74CF9"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3E10B3F0"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21D3E2F8" w14:textId="77777777" w:rsidR="00576EC1" w:rsidRPr="00576EC1" w:rsidRDefault="00576EC1" w:rsidP="00BD3901">
            <w:pPr>
              <w:jc w:val="right"/>
              <w:rPr>
                <w:rFonts w:ascii="Arial" w:hAnsi="Arial" w:cs="Arial"/>
                <w:sz w:val="18"/>
                <w:szCs w:val="18"/>
              </w:rPr>
            </w:pPr>
          </w:p>
        </w:tc>
      </w:tr>
      <w:tr w:rsidR="00576EC1" w:rsidRPr="00576EC1" w14:paraId="7FC36FFE"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0007B96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Investments in equity method investees</w:t>
            </w:r>
          </w:p>
        </w:tc>
        <w:tc>
          <w:tcPr>
            <w:tcW w:w="230" w:type="dxa"/>
            <w:tcBorders>
              <w:top w:val="nil"/>
              <w:left w:val="nil"/>
              <w:bottom w:val="nil"/>
              <w:right w:val="nil"/>
            </w:tcBorders>
            <w:shd w:val="clear" w:color="auto" w:fill="auto"/>
            <w:noWrap/>
            <w:vAlign w:val="bottom"/>
            <w:hideMark/>
          </w:tcPr>
          <w:p w14:paraId="4360A957"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6E4D5149"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9</w:t>
            </w:r>
          </w:p>
        </w:tc>
        <w:tc>
          <w:tcPr>
            <w:tcW w:w="241" w:type="dxa"/>
            <w:tcBorders>
              <w:top w:val="nil"/>
              <w:left w:val="nil"/>
              <w:bottom w:val="nil"/>
              <w:right w:val="nil"/>
            </w:tcBorders>
            <w:shd w:val="clear" w:color="auto" w:fill="auto"/>
            <w:noWrap/>
            <w:vAlign w:val="bottom"/>
            <w:hideMark/>
          </w:tcPr>
          <w:p w14:paraId="27344D77"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1C8C9018"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113,046</w:t>
            </w:r>
          </w:p>
        </w:tc>
        <w:tc>
          <w:tcPr>
            <w:tcW w:w="1834" w:type="dxa"/>
            <w:tcBorders>
              <w:top w:val="nil"/>
              <w:left w:val="nil"/>
              <w:bottom w:val="nil"/>
              <w:right w:val="nil"/>
            </w:tcBorders>
            <w:shd w:val="clear" w:color="auto" w:fill="auto"/>
            <w:noWrap/>
            <w:vAlign w:val="bottom"/>
            <w:hideMark/>
          </w:tcPr>
          <w:p w14:paraId="5780B598"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112,385</w:t>
            </w:r>
          </w:p>
        </w:tc>
      </w:tr>
      <w:tr w:rsidR="00576EC1" w:rsidRPr="00576EC1" w14:paraId="1EB61DBE"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07AC5312"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Other financial assets</w:t>
            </w:r>
          </w:p>
        </w:tc>
        <w:tc>
          <w:tcPr>
            <w:tcW w:w="230" w:type="dxa"/>
            <w:tcBorders>
              <w:top w:val="nil"/>
              <w:left w:val="nil"/>
              <w:bottom w:val="nil"/>
              <w:right w:val="nil"/>
            </w:tcBorders>
            <w:shd w:val="clear" w:color="auto" w:fill="auto"/>
            <w:noWrap/>
            <w:vAlign w:val="bottom"/>
            <w:hideMark/>
          </w:tcPr>
          <w:p w14:paraId="78FB8D50"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6569239B"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10</w:t>
            </w:r>
          </w:p>
        </w:tc>
        <w:tc>
          <w:tcPr>
            <w:tcW w:w="241" w:type="dxa"/>
            <w:tcBorders>
              <w:top w:val="nil"/>
              <w:left w:val="nil"/>
              <w:bottom w:val="nil"/>
              <w:right w:val="nil"/>
            </w:tcBorders>
            <w:shd w:val="clear" w:color="auto" w:fill="auto"/>
            <w:noWrap/>
            <w:vAlign w:val="bottom"/>
            <w:hideMark/>
          </w:tcPr>
          <w:p w14:paraId="0D87E0BB"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30C51D3B"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449,028</w:t>
            </w:r>
          </w:p>
        </w:tc>
        <w:tc>
          <w:tcPr>
            <w:tcW w:w="1834" w:type="dxa"/>
            <w:tcBorders>
              <w:top w:val="nil"/>
              <w:left w:val="nil"/>
              <w:bottom w:val="nil"/>
              <w:right w:val="nil"/>
            </w:tcBorders>
            <w:shd w:val="clear" w:color="auto" w:fill="auto"/>
            <w:noWrap/>
            <w:vAlign w:val="bottom"/>
            <w:hideMark/>
          </w:tcPr>
          <w:p w14:paraId="14FF3C39"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363,427</w:t>
            </w:r>
          </w:p>
        </w:tc>
      </w:tr>
      <w:tr w:rsidR="00576EC1" w:rsidRPr="00576EC1" w14:paraId="3181B110"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4B9FBCF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Property, plant and equipment</w:t>
            </w:r>
          </w:p>
        </w:tc>
        <w:tc>
          <w:tcPr>
            <w:tcW w:w="230" w:type="dxa"/>
            <w:tcBorders>
              <w:top w:val="nil"/>
              <w:left w:val="nil"/>
              <w:bottom w:val="nil"/>
              <w:right w:val="nil"/>
            </w:tcBorders>
            <w:shd w:val="clear" w:color="auto" w:fill="auto"/>
            <w:noWrap/>
            <w:vAlign w:val="bottom"/>
            <w:hideMark/>
          </w:tcPr>
          <w:p w14:paraId="4A22343D"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1D3AEB71"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11</w:t>
            </w:r>
          </w:p>
        </w:tc>
        <w:tc>
          <w:tcPr>
            <w:tcW w:w="241" w:type="dxa"/>
            <w:tcBorders>
              <w:top w:val="nil"/>
              <w:left w:val="nil"/>
              <w:bottom w:val="nil"/>
              <w:right w:val="nil"/>
            </w:tcBorders>
            <w:shd w:val="clear" w:color="auto" w:fill="auto"/>
            <w:noWrap/>
            <w:vAlign w:val="bottom"/>
            <w:hideMark/>
          </w:tcPr>
          <w:p w14:paraId="78671B60"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26921D19"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1,633,303</w:t>
            </w:r>
          </w:p>
        </w:tc>
        <w:tc>
          <w:tcPr>
            <w:tcW w:w="1834" w:type="dxa"/>
            <w:tcBorders>
              <w:top w:val="nil"/>
              <w:left w:val="nil"/>
              <w:bottom w:val="nil"/>
              <w:right w:val="nil"/>
            </w:tcBorders>
            <w:shd w:val="clear" w:color="auto" w:fill="auto"/>
            <w:noWrap/>
            <w:vAlign w:val="bottom"/>
            <w:hideMark/>
          </w:tcPr>
          <w:p w14:paraId="4E731F39"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1,096,340</w:t>
            </w:r>
          </w:p>
        </w:tc>
      </w:tr>
      <w:tr w:rsidR="00576EC1" w:rsidRPr="00576EC1" w14:paraId="5B0DE91F"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5772871B"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Intangible assets</w:t>
            </w:r>
          </w:p>
        </w:tc>
        <w:tc>
          <w:tcPr>
            <w:tcW w:w="230" w:type="dxa"/>
            <w:tcBorders>
              <w:top w:val="nil"/>
              <w:left w:val="nil"/>
              <w:bottom w:val="nil"/>
              <w:right w:val="nil"/>
            </w:tcBorders>
            <w:shd w:val="clear" w:color="auto" w:fill="auto"/>
            <w:noWrap/>
            <w:vAlign w:val="bottom"/>
            <w:hideMark/>
          </w:tcPr>
          <w:p w14:paraId="5FB5FDE9"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63DAAB16"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12</w:t>
            </w:r>
          </w:p>
        </w:tc>
        <w:tc>
          <w:tcPr>
            <w:tcW w:w="241" w:type="dxa"/>
            <w:tcBorders>
              <w:top w:val="nil"/>
              <w:left w:val="nil"/>
              <w:bottom w:val="nil"/>
              <w:right w:val="nil"/>
            </w:tcBorders>
            <w:shd w:val="clear" w:color="auto" w:fill="auto"/>
            <w:noWrap/>
            <w:vAlign w:val="bottom"/>
            <w:hideMark/>
          </w:tcPr>
          <w:p w14:paraId="56E243DB"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415212BB"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514,033</w:t>
            </w:r>
          </w:p>
        </w:tc>
        <w:tc>
          <w:tcPr>
            <w:tcW w:w="1834" w:type="dxa"/>
            <w:tcBorders>
              <w:top w:val="nil"/>
              <w:left w:val="nil"/>
              <w:bottom w:val="nil"/>
              <w:right w:val="nil"/>
            </w:tcBorders>
            <w:shd w:val="clear" w:color="auto" w:fill="auto"/>
            <w:noWrap/>
            <w:vAlign w:val="bottom"/>
            <w:hideMark/>
          </w:tcPr>
          <w:p w14:paraId="04A5788A"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519,556</w:t>
            </w:r>
          </w:p>
        </w:tc>
      </w:tr>
      <w:tr w:rsidR="00576EC1" w:rsidRPr="00576EC1" w14:paraId="6AA43031"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3FB543C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Goodwill</w:t>
            </w:r>
          </w:p>
        </w:tc>
        <w:tc>
          <w:tcPr>
            <w:tcW w:w="230" w:type="dxa"/>
            <w:tcBorders>
              <w:top w:val="nil"/>
              <w:left w:val="nil"/>
              <w:bottom w:val="nil"/>
              <w:right w:val="nil"/>
            </w:tcBorders>
            <w:shd w:val="clear" w:color="auto" w:fill="auto"/>
            <w:noWrap/>
            <w:vAlign w:val="bottom"/>
            <w:hideMark/>
          </w:tcPr>
          <w:p w14:paraId="27F6B46A"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3E740F0A"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12</w:t>
            </w:r>
          </w:p>
        </w:tc>
        <w:tc>
          <w:tcPr>
            <w:tcW w:w="241" w:type="dxa"/>
            <w:tcBorders>
              <w:top w:val="nil"/>
              <w:left w:val="nil"/>
              <w:bottom w:val="nil"/>
              <w:right w:val="nil"/>
            </w:tcBorders>
            <w:shd w:val="clear" w:color="auto" w:fill="auto"/>
            <w:noWrap/>
            <w:vAlign w:val="bottom"/>
            <w:hideMark/>
          </w:tcPr>
          <w:p w14:paraId="0571C5E2"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78C11B02"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1,912,484</w:t>
            </w:r>
          </w:p>
        </w:tc>
        <w:tc>
          <w:tcPr>
            <w:tcW w:w="1834" w:type="dxa"/>
            <w:tcBorders>
              <w:top w:val="nil"/>
              <w:left w:val="nil"/>
              <w:bottom w:val="nil"/>
              <w:right w:val="nil"/>
            </w:tcBorders>
            <w:shd w:val="clear" w:color="auto" w:fill="auto"/>
            <w:noWrap/>
            <w:vAlign w:val="bottom"/>
            <w:hideMark/>
          </w:tcPr>
          <w:p w14:paraId="23360680"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1,544,055</w:t>
            </w:r>
          </w:p>
        </w:tc>
      </w:tr>
      <w:tr w:rsidR="00576EC1" w:rsidRPr="00576EC1" w14:paraId="55A817D9"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37D9C3E2"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Other long-term assets</w:t>
            </w:r>
          </w:p>
        </w:tc>
        <w:tc>
          <w:tcPr>
            <w:tcW w:w="230" w:type="dxa"/>
            <w:tcBorders>
              <w:top w:val="nil"/>
              <w:left w:val="nil"/>
              <w:bottom w:val="nil"/>
              <w:right w:val="nil"/>
            </w:tcBorders>
            <w:shd w:val="clear" w:color="auto" w:fill="auto"/>
            <w:noWrap/>
            <w:vAlign w:val="bottom"/>
            <w:hideMark/>
          </w:tcPr>
          <w:p w14:paraId="383C8726"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051992AD"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411CB078"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04AAB939"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34,781</w:t>
            </w:r>
          </w:p>
        </w:tc>
        <w:tc>
          <w:tcPr>
            <w:tcW w:w="1834" w:type="dxa"/>
            <w:tcBorders>
              <w:top w:val="nil"/>
              <w:left w:val="nil"/>
              <w:bottom w:val="nil"/>
              <w:right w:val="nil"/>
            </w:tcBorders>
            <w:shd w:val="clear" w:color="auto" w:fill="auto"/>
            <w:noWrap/>
            <w:vAlign w:val="bottom"/>
            <w:hideMark/>
          </w:tcPr>
          <w:p w14:paraId="24907A14"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25,902</w:t>
            </w:r>
          </w:p>
        </w:tc>
      </w:tr>
      <w:tr w:rsidR="00576EC1" w:rsidRPr="00576EC1" w14:paraId="7D4CF65C" w14:textId="77777777" w:rsidTr="008F5B5F">
        <w:trPr>
          <w:trHeight w:val="122"/>
          <w:tblHeader/>
          <w:jc w:val="center"/>
        </w:trPr>
        <w:tc>
          <w:tcPr>
            <w:tcW w:w="230" w:type="dxa"/>
            <w:tcBorders>
              <w:top w:val="nil"/>
              <w:left w:val="nil"/>
              <w:bottom w:val="nil"/>
              <w:right w:val="nil"/>
            </w:tcBorders>
            <w:shd w:val="clear" w:color="auto" w:fill="auto"/>
            <w:noWrap/>
            <w:vAlign w:val="bottom"/>
            <w:hideMark/>
          </w:tcPr>
          <w:p w14:paraId="2CA7BDB8"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3A26062C"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5FC7A704"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095F26EA"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2264860C"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05774631"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4BCC7262" w14:textId="77777777" w:rsidR="00576EC1" w:rsidRPr="00576EC1" w:rsidRDefault="00576EC1" w:rsidP="00BD3901">
            <w:pPr>
              <w:jc w:val="right"/>
              <w:rPr>
                <w:rFonts w:ascii="Arial" w:hAnsi="Arial" w:cs="Arial"/>
                <w:sz w:val="18"/>
                <w:szCs w:val="18"/>
              </w:rPr>
            </w:pPr>
          </w:p>
        </w:tc>
      </w:tr>
      <w:tr w:rsidR="00576EC1" w:rsidRPr="00576EC1" w14:paraId="2B5BF8C3"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0C9422AF" w14:textId="77777777" w:rsidR="00576EC1" w:rsidRPr="00576EC1" w:rsidRDefault="00576EC1" w:rsidP="00576EC1">
            <w:pPr>
              <w:rPr>
                <w:rFonts w:ascii="Arial" w:hAnsi="Arial" w:cs="Arial"/>
                <w:sz w:val="18"/>
                <w:szCs w:val="18"/>
              </w:rPr>
            </w:pPr>
          </w:p>
        </w:tc>
        <w:tc>
          <w:tcPr>
            <w:tcW w:w="4001" w:type="dxa"/>
            <w:tcBorders>
              <w:top w:val="nil"/>
              <w:left w:val="nil"/>
              <w:bottom w:val="nil"/>
              <w:right w:val="nil"/>
            </w:tcBorders>
            <w:shd w:val="clear" w:color="auto" w:fill="auto"/>
            <w:noWrap/>
            <w:vAlign w:val="bottom"/>
            <w:hideMark/>
          </w:tcPr>
          <w:p w14:paraId="2A033F69"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59A45C96"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1180BE3D"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130ED22D"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3AA1BBAD" w14:textId="6949ABEE"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 xml:space="preserve"> $8,225,183</w:t>
            </w:r>
          </w:p>
        </w:tc>
        <w:tc>
          <w:tcPr>
            <w:tcW w:w="1834" w:type="dxa"/>
            <w:tcBorders>
              <w:top w:val="nil"/>
              <w:left w:val="nil"/>
              <w:bottom w:val="nil"/>
              <w:right w:val="nil"/>
            </w:tcBorders>
            <w:shd w:val="clear" w:color="auto" w:fill="auto"/>
            <w:noWrap/>
            <w:vAlign w:val="bottom"/>
            <w:hideMark/>
          </w:tcPr>
          <w:p w14:paraId="69A99F95" w14:textId="4A55CBC3"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 xml:space="preserve"> $8,731,805</w:t>
            </w:r>
          </w:p>
        </w:tc>
      </w:tr>
      <w:tr w:rsidR="00576EC1" w:rsidRPr="00576EC1" w14:paraId="6D0631A5" w14:textId="77777777" w:rsidTr="008F5B5F">
        <w:trPr>
          <w:trHeight w:val="111"/>
          <w:tblHeader/>
          <w:jc w:val="center"/>
        </w:trPr>
        <w:tc>
          <w:tcPr>
            <w:tcW w:w="230" w:type="dxa"/>
            <w:tcBorders>
              <w:top w:val="nil"/>
              <w:left w:val="nil"/>
              <w:bottom w:val="nil"/>
              <w:right w:val="nil"/>
            </w:tcBorders>
            <w:shd w:val="clear" w:color="auto" w:fill="auto"/>
            <w:noWrap/>
            <w:vAlign w:val="bottom"/>
            <w:hideMark/>
          </w:tcPr>
          <w:p w14:paraId="02631E52" w14:textId="77777777" w:rsidR="00576EC1" w:rsidRPr="00576EC1" w:rsidRDefault="00576EC1" w:rsidP="00576EC1">
            <w:pPr>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2F8EDC39"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16A34589"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10AF668C"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33FDD12B"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2B4E1CF7"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6EB9E800" w14:textId="77777777" w:rsidR="00576EC1" w:rsidRPr="00576EC1" w:rsidRDefault="00576EC1" w:rsidP="00BD3901">
            <w:pPr>
              <w:jc w:val="right"/>
              <w:rPr>
                <w:rFonts w:ascii="Arial" w:hAnsi="Arial" w:cs="Arial"/>
                <w:sz w:val="18"/>
                <w:szCs w:val="18"/>
              </w:rPr>
            </w:pPr>
          </w:p>
        </w:tc>
      </w:tr>
      <w:tr w:rsidR="00576EC1" w:rsidRPr="00576EC1" w14:paraId="26DD9709"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21AB8BA4"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Liabilities</w:t>
            </w:r>
          </w:p>
        </w:tc>
        <w:tc>
          <w:tcPr>
            <w:tcW w:w="230" w:type="dxa"/>
            <w:tcBorders>
              <w:top w:val="nil"/>
              <w:left w:val="nil"/>
              <w:bottom w:val="nil"/>
              <w:right w:val="nil"/>
            </w:tcBorders>
            <w:shd w:val="clear" w:color="auto" w:fill="auto"/>
            <w:noWrap/>
            <w:vAlign w:val="bottom"/>
            <w:hideMark/>
          </w:tcPr>
          <w:p w14:paraId="4D18E06E" w14:textId="77777777" w:rsidR="00576EC1" w:rsidRPr="00576EC1" w:rsidRDefault="00576EC1" w:rsidP="00576EC1">
            <w:pPr>
              <w:rPr>
                <w:rFonts w:ascii="Arial" w:hAnsi="Arial" w:cs="Arial"/>
                <w:b/>
                <w:bCs/>
                <w:color w:val="000000"/>
                <w:sz w:val="18"/>
                <w:szCs w:val="18"/>
              </w:rPr>
            </w:pPr>
          </w:p>
        </w:tc>
        <w:tc>
          <w:tcPr>
            <w:tcW w:w="707" w:type="dxa"/>
            <w:tcBorders>
              <w:top w:val="nil"/>
              <w:left w:val="nil"/>
              <w:bottom w:val="nil"/>
              <w:right w:val="nil"/>
            </w:tcBorders>
            <w:shd w:val="clear" w:color="auto" w:fill="auto"/>
            <w:noWrap/>
            <w:vAlign w:val="bottom"/>
            <w:hideMark/>
          </w:tcPr>
          <w:p w14:paraId="4E66AB3C"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53C3FD61"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20DC5140"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3F25C404" w14:textId="77777777" w:rsidR="00576EC1" w:rsidRPr="00576EC1" w:rsidRDefault="00576EC1" w:rsidP="00BD3901">
            <w:pPr>
              <w:jc w:val="right"/>
              <w:rPr>
                <w:rFonts w:ascii="Arial" w:hAnsi="Arial" w:cs="Arial"/>
                <w:sz w:val="18"/>
                <w:szCs w:val="18"/>
              </w:rPr>
            </w:pPr>
          </w:p>
        </w:tc>
      </w:tr>
      <w:tr w:rsidR="00576EC1" w:rsidRPr="00576EC1" w14:paraId="78F58E3D"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1DF7F5F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Current liabilities</w:t>
            </w:r>
          </w:p>
        </w:tc>
        <w:tc>
          <w:tcPr>
            <w:tcW w:w="230" w:type="dxa"/>
            <w:tcBorders>
              <w:top w:val="nil"/>
              <w:left w:val="nil"/>
              <w:bottom w:val="nil"/>
              <w:right w:val="nil"/>
            </w:tcBorders>
            <w:shd w:val="clear" w:color="auto" w:fill="auto"/>
            <w:noWrap/>
            <w:vAlign w:val="bottom"/>
            <w:hideMark/>
          </w:tcPr>
          <w:p w14:paraId="4CA4837C"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5E551C10"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022280DC"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00B632BF"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68C56D0E" w14:textId="77777777" w:rsidR="00576EC1" w:rsidRPr="00576EC1" w:rsidRDefault="00576EC1" w:rsidP="00BD3901">
            <w:pPr>
              <w:jc w:val="right"/>
              <w:rPr>
                <w:rFonts w:ascii="Arial" w:hAnsi="Arial" w:cs="Arial"/>
                <w:sz w:val="18"/>
                <w:szCs w:val="18"/>
              </w:rPr>
            </w:pPr>
          </w:p>
        </w:tc>
      </w:tr>
      <w:tr w:rsidR="00576EC1" w:rsidRPr="00576EC1" w14:paraId="5EB262F9"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7F5EB749" w14:textId="77777777" w:rsidR="00576EC1" w:rsidRPr="00576EC1" w:rsidRDefault="00576EC1" w:rsidP="00576EC1">
            <w:pPr>
              <w:rPr>
                <w:rFonts w:ascii="Arial" w:hAnsi="Arial" w:cs="Arial"/>
                <w:sz w:val="18"/>
                <w:szCs w:val="18"/>
              </w:rPr>
            </w:pPr>
          </w:p>
        </w:tc>
        <w:tc>
          <w:tcPr>
            <w:tcW w:w="4001" w:type="dxa"/>
            <w:tcBorders>
              <w:top w:val="nil"/>
              <w:left w:val="nil"/>
              <w:bottom w:val="nil"/>
              <w:right w:val="nil"/>
            </w:tcBorders>
            <w:shd w:val="clear" w:color="auto" w:fill="auto"/>
            <w:noWrap/>
            <w:vAlign w:val="bottom"/>
            <w:hideMark/>
          </w:tcPr>
          <w:p w14:paraId="6FAA78E8"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Accounts payable and accrued liabilities</w:t>
            </w:r>
          </w:p>
        </w:tc>
        <w:tc>
          <w:tcPr>
            <w:tcW w:w="230" w:type="dxa"/>
            <w:tcBorders>
              <w:top w:val="nil"/>
              <w:left w:val="nil"/>
              <w:bottom w:val="nil"/>
              <w:right w:val="nil"/>
            </w:tcBorders>
            <w:shd w:val="clear" w:color="auto" w:fill="auto"/>
            <w:noWrap/>
            <w:vAlign w:val="bottom"/>
            <w:hideMark/>
          </w:tcPr>
          <w:p w14:paraId="79ED5330"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209D62D5"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13</w:t>
            </w:r>
          </w:p>
        </w:tc>
        <w:tc>
          <w:tcPr>
            <w:tcW w:w="241" w:type="dxa"/>
            <w:tcBorders>
              <w:top w:val="nil"/>
              <w:left w:val="nil"/>
              <w:bottom w:val="nil"/>
              <w:right w:val="nil"/>
            </w:tcBorders>
            <w:shd w:val="clear" w:color="auto" w:fill="auto"/>
            <w:noWrap/>
            <w:vAlign w:val="bottom"/>
            <w:hideMark/>
          </w:tcPr>
          <w:p w14:paraId="50E54BBC"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07975AA5"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286,862</w:t>
            </w:r>
          </w:p>
        </w:tc>
        <w:tc>
          <w:tcPr>
            <w:tcW w:w="1834" w:type="dxa"/>
            <w:tcBorders>
              <w:top w:val="nil"/>
              <w:left w:val="nil"/>
              <w:bottom w:val="nil"/>
              <w:right w:val="nil"/>
            </w:tcBorders>
            <w:shd w:val="clear" w:color="auto" w:fill="auto"/>
            <w:noWrap/>
            <w:vAlign w:val="bottom"/>
            <w:hideMark/>
          </w:tcPr>
          <w:p w14:paraId="547D1C45"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226,533</w:t>
            </w:r>
          </w:p>
        </w:tc>
      </w:tr>
      <w:tr w:rsidR="00576EC1" w:rsidRPr="00576EC1" w14:paraId="25742DD8"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7C8BD779"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1BD6482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Current portion of long-term debt</w:t>
            </w:r>
          </w:p>
        </w:tc>
        <w:tc>
          <w:tcPr>
            <w:tcW w:w="230" w:type="dxa"/>
            <w:tcBorders>
              <w:top w:val="nil"/>
              <w:left w:val="nil"/>
              <w:bottom w:val="nil"/>
              <w:right w:val="nil"/>
            </w:tcBorders>
            <w:shd w:val="clear" w:color="auto" w:fill="auto"/>
            <w:noWrap/>
            <w:vAlign w:val="bottom"/>
            <w:hideMark/>
          </w:tcPr>
          <w:p w14:paraId="069BACB6"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1D3D64BD"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14</w:t>
            </w:r>
          </w:p>
        </w:tc>
        <w:tc>
          <w:tcPr>
            <w:tcW w:w="241" w:type="dxa"/>
            <w:tcBorders>
              <w:top w:val="nil"/>
              <w:left w:val="nil"/>
              <w:bottom w:val="nil"/>
              <w:right w:val="nil"/>
            </w:tcBorders>
            <w:shd w:val="clear" w:color="auto" w:fill="auto"/>
            <w:noWrap/>
            <w:vAlign w:val="bottom"/>
            <w:hideMark/>
          </w:tcPr>
          <w:p w14:paraId="574E56FD"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736C07D1"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14,115</w:t>
            </w:r>
          </w:p>
        </w:tc>
        <w:tc>
          <w:tcPr>
            <w:tcW w:w="1834" w:type="dxa"/>
            <w:tcBorders>
              <w:top w:val="nil"/>
              <w:left w:val="nil"/>
              <w:bottom w:val="nil"/>
              <w:right w:val="nil"/>
            </w:tcBorders>
            <w:shd w:val="clear" w:color="auto" w:fill="auto"/>
            <w:noWrap/>
            <w:vAlign w:val="bottom"/>
            <w:hideMark/>
          </w:tcPr>
          <w:p w14:paraId="1274C9F3"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103,716</w:t>
            </w:r>
          </w:p>
        </w:tc>
      </w:tr>
      <w:tr w:rsidR="00576EC1" w:rsidRPr="00576EC1" w14:paraId="523C6C28" w14:textId="77777777" w:rsidTr="008F5B5F">
        <w:trPr>
          <w:trHeight w:val="223"/>
          <w:tblHeader/>
          <w:jc w:val="center"/>
        </w:trPr>
        <w:tc>
          <w:tcPr>
            <w:tcW w:w="230" w:type="dxa"/>
            <w:tcBorders>
              <w:top w:val="nil"/>
              <w:left w:val="nil"/>
              <w:bottom w:val="single" w:sz="4" w:space="0" w:color="auto"/>
              <w:right w:val="nil"/>
            </w:tcBorders>
            <w:shd w:val="clear" w:color="auto" w:fill="auto"/>
            <w:noWrap/>
            <w:vAlign w:val="bottom"/>
            <w:hideMark/>
          </w:tcPr>
          <w:p w14:paraId="750F84A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001" w:type="dxa"/>
            <w:tcBorders>
              <w:top w:val="nil"/>
              <w:left w:val="nil"/>
              <w:bottom w:val="single" w:sz="4" w:space="0" w:color="auto"/>
              <w:right w:val="nil"/>
            </w:tcBorders>
            <w:shd w:val="clear" w:color="auto" w:fill="auto"/>
            <w:noWrap/>
            <w:vAlign w:val="bottom"/>
            <w:hideMark/>
          </w:tcPr>
          <w:p w14:paraId="6F608B3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Other current liabilities</w:t>
            </w:r>
          </w:p>
        </w:tc>
        <w:tc>
          <w:tcPr>
            <w:tcW w:w="230" w:type="dxa"/>
            <w:tcBorders>
              <w:top w:val="nil"/>
              <w:left w:val="nil"/>
              <w:bottom w:val="single" w:sz="4" w:space="0" w:color="auto"/>
              <w:right w:val="nil"/>
            </w:tcBorders>
            <w:shd w:val="clear" w:color="auto" w:fill="auto"/>
            <w:noWrap/>
            <w:vAlign w:val="bottom"/>
            <w:hideMark/>
          </w:tcPr>
          <w:p w14:paraId="65CA0F7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13BFB7D3"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15</w:t>
            </w:r>
          </w:p>
        </w:tc>
        <w:tc>
          <w:tcPr>
            <w:tcW w:w="241" w:type="dxa"/>
            <w:tcBorders>
              <w:top w:val="nil"/>
              <w:left w:val="nil"/>
              <w:bottom w:val="single" w:sz="4" w:space="0" w:color="auto"/>
              <w:right w:val="nil"/>
            </w:tcBorders>
            <w:shd w:val="clear" w:color="auto" w:fill="auto"/>
            <w:noWrap/>
            <w:vAlign w:val="bottom"/>
            <w:hideMark/>
          </w:tcPr>
          <w:p w14:paraId="3CFBD598"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243E0E0C"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124,853</w:t>
            </w:r>
          </w:p>
        </w:tc>
        <w:tc>
          <w:tcPr>
            <w:tcW w:w="1834" w:type="dxa"/>
            <w:tcBorders>
              <w:top w:val="nil"/>
              <w:left w:val="nil"/>
              <w:bottom w:val="single" w:sz="4" w:space="0" w:color="auto"/>
              <w:right w:val="nil"/>
            </w:tcBorders>
            <w:shd w:val="clear" w:color="auto" w:fill="auto"/>
            <w:noWrap/>
            <w:vAlign w:val="bottom"/>
            <w:hideMark/>
          </w:tcPr>
          <w:p w14:paraId="7BADB66D"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81,414</w:t>
            </w:r>
          </w:p>
        </w:tc>
      </w:tr>
      <w:tr w:rsidR="00576EC1" w:rsidRPr="00576EC1" w14:paraId="59B68543"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730E1E68"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7FB180DA"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57A91BD0"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0D9CD4B4"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5498C492"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03BA0450"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425,830</w:t>
            </w:r>
          </w:p>
        </w:tc>
        <w:tc>
          <w:tcPr>
            <w:tcW w:w="1834" w:type="dxa"/>
            <w:tcBorders>
              <w:top w:val="nil"/>
              <w:left w:val="nil"/>
              <w:bottom w:val="nil"/>
              <w:right w:val="nil"/>
            </w:tcBorders>
            <w:shd w:val="clear" w:color="auto" w:fill="auto"/>
            <w:noWrap/>
            <w:vAlign w:val="bottom"/>
            <w:hideMark/>
          </w:tcPr>
          <w:p w14:paraId="12441A6D"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411,663</w:t>
            </w:r>
          </w:p>
        </w:tc>
      </w:tr>
      <w:tr w:rsidR="00576EC1" w:rsidRPr="00576EC1" w14:paraId="5D0DC02C" w14:textId="77777777" w:rsidTr="008F5B5F">
        <w:trPr>
          <w:trHeight w:val="78"/>
          <w:tblHeader/>
          <w:jc w:val="center"/>
        </w:trPr>
        <w:tc>
          <w:tcPr>
            <w:tcW w:w="230" w:type="dxa"/>
            <w:tcBorders>
              <w:top w:val="nil"/>
              <w:left w:val="nil"/>
              <w:bottom w:val="nil"/>
              <w:right w:val="nil"/>
            </w:tcBorders>
            <w:shd w:val="clear" w:color="auto" w:fill="auto"/>
            <w:noWrap/>
            <w:vAlign w:val="bottom"/>
            <w:hideMark/>
          </w:tcPr>
          <w:p w14:paraId="4A2347FC"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468D76EC"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3C18168C"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0325D866"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5DEB64DE"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2A89921C"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7AB71782" w14:textId="77777777" w:rsidR="00576EC1" w:rsidRPr="00576EC1" w:rsidRDefault="00576EC1" w:rsidP="00BD3901">
            <w:pPr>
              <w:jc w:val="right"/>
              <w:rPr>
                <w:rFonts w:ascii="Arial" w:hAnsi="Arial" w:cs="Arial"/>
                <w:sz w:val="18"/>
                <w:szCs w:val="18"/>
              </w:rPr>
            </w:pPr>
          </w:p>
        </w:tc>
      </w:tr>
      <w:tr w:rsidR="00576EC1" w:rsidRPr="00576EC1" w14:paraId="047A4752"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73925231"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Long-term debt</w:t>
            </w:r>
          </w:p>
        </w:tc>
        <w:tc>
          <w:tcPr>
            <w:tcW w:w="230" w:type="dxa"/>
            <w:tcBorders>
              <w:top w:val="nil"/>
              <w:left w:val="nil"/>
              <w:bottom w:val="nil"/>
              <w:right w:val="nil"/>
            </w:tcBorders>
            <w:shd w:val="clear" w:color="auto" w:fill="auto"/>
            <w:noWrap/>
            <w:vAlign w:val="bottom"/>
            <w:hideMark/>
          </w:tcPr>
          <w:p w14:paraId="4F680574"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64A62375"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14</w:t>
            </w:r>
          </w:p>
        </w:tc>
        <w:tc>
          <w:tcPr>
            <w:tcW w:w="241" w:type="dxa"/>
            <w:tcBorders>
              <w:top w:val="nil"/>
              <w:left w:val="nil"/>
              <w:bottom w:val="nil"/>
              <w:right w:val="nil"/>
            </w:tcBorders>
            <w:shd w:val="clear" w:color="auto" w:fill="auto"/>
            <w:noWrap/>
            <w:vAlign w:val="bottom"/>
            <w:hideMark/>
          </w:tcPr>
          <w:p w14:paraId="54AB240F"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44932426"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590,373</w:t>
            </w:r>
          </w:p>
        </w:tc>
        <w:tc>
          <w:tcPr>
            <w:tcW w:w="1834" w:type="dxa"/>
            <w:tcBorders>
              <w:top w:val="nil"/>
              <w:left w:val="nil"/>
              <w:bottom w:val="nil"/>
              <w:right w:val="nil"/>
            </w:tcBorders>
            <w:shd w:val="clear" w:color="auto" w:fill="auto"/>
            <w:noWrap/>
            <w:vAlign w:val="bottom"/>
            <w:hideMark/>
          </w:tcPr>
          <w:p w14:paraId="5BDE9155"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842,259</w:t>
            </w:r>
          </w:p>
        </w:tc>
      </w:tr>
      <w:tr w:rsidR="00576EC1" w:rsidRPr="00576EC1" w14:paraId="5B85BC05"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620EB54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Deferred tax liability</w:t>
            </w:r>
          </w:p>
        </w:tc>
        <w:tc>
          <w:tcPr>
            <w:tcW w:w="230" w:type="dxa"/>
            <w:tcBorders>
              <w:top w:val="nil"/>
              <w:left w:val="nil"/>
              <w:bottom w:val="nil"/>
              <w:right w:val="nil"/>
            </w:tcBorders>
            <w:shd w:val="clear" w:color="auto" w:fill="auto"/>
            <w:noWrap/>
            <w:vAlign w:val="bottom"/>
            <w:hideMark/>
          </w:tcPr>
          <w:p w14:paraId="694E6B18"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006F57EE"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22</w:t>
            </w:r>
          </w:p>
        </w:tc>
        <w:tc>
          <w:tcPr>
            <w:tcW w:w="241" w:type="dxa"/>
            <w:tcBorders>
              <w:top w:val="nil"/>
              <w:left w:val="nil"/>
              <w:bottom w:val="nil"/>
              <w:right w:val="nil"/>
            </w:tcBorders>
            <w:shd w:val="clear" w:color="auto" w:fill="auto"/>
            <w:noWrap/>
            <w:vAlign w:val="bottom"/>
            <w:hideMark/>
          </w:tcPr>
          <w:p w14:paraId="4A8D01A1"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1E8451DC"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91,026</w:t>
            </w:r>
          </w:p>
        </w:tc>
        <w:tc>
          <w:tcPr>
            <w:tcW w:w="1834" w:type="dxa"/>
            <w:tcBorders>
              <w:top w:val="nil"/>
              <w:left w:val="nil"/>
              <w:bottom w:val="nil"/>
              <w:right w:val="nil"/>
            </w:tcBorders>
            <w:shd w:val="clear" w:color="auto" w:fill="auto"/>
            <w:noWrap/>
            <w:vAlign w:val="bottom"/>
            <w:hideMark/>
          </w:tcPr>
          <w:p w14:paraId="55453817"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96,031</w:t>
            </w:r>
          </w:p>
        </w:tc>
      </w:tr>
      <w:tr w:rsidR="00576EC1" w:rsidRPr="00576EC1" w14:paraId="720AE120"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348AFAB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Share repurchase credit liability</w:t>
            </w:r>
          </w:p>
        </w:tc>
        <w:tc>
          <w:tcPr>
            <w:tcW w:w="230" w:type="dxa"/>
            <w:tcBorders>
              <w:top w:val="nil"/>
              <w:left w:val="nil"/>
              <w:bottom w:val="nil"/>
              <w:right w:val="nil"/>
            </w:tcBorders>
            <w:shd w:val="clear" w:color="auto" w:fill="auto"/>
            <w:noWrap/>
            <w:vAlign w:val="bottom"/>
            <w:hideMark/>
          </w:tcPr>
          <w:p w14:paraId="52C0EB5D"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4E12210E"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25</w:t>
            </w:r>
          </w:p>
        </w:tc>
        <w:tc>
          <w:tcPr>
            <w:tcW w:w="241" w:type="dxa"/>
            <w:tcBorders>
              <w:top w:val="nil"/>
              <w:left w:val="nil"/>
              <w:bottom w:val="nil"/>
              <w:right w:val="nil"/>
            </w:tcBorders>
            <w:shd w:val="clear" w:color="auto" w:fill="auto"/>
            <w:noWrap/>
            <w:vAlign w:val="bottom"/>
            <w:hideMark/>
          </w:tcPr>
          <w:p w14:paraId="288B00DC"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77ACCB8A"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1,288,079</w:t>
            </w:r>
          </w:p>
        </w:tc>
        <w:tc>
          <w:tcPr>
            <w:tcW w:w="1834" w:type="dxa"/>
            <w:tcBorders>
              <w:top w:val="nil"/>
              <w:left w:val="nil"/>
              <w:bottom w:val="nil"/>
              <w:right w:val="nil"/>
            </w:tcBorders>
            <w:shd w:val="clear" w:color="auto" w:fill="auto"/>
            <w:noWrap/>
            <w:vAlign w:val="bottom"/>
            <w:hideMark/>
          </w:tcPr>
          <w:p w14:paraId="3B09623F"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0</w:t>
            </w:r>
          </w:p>
        </w:tc>
      </w:tr>
      <w:tr w:rsidR="00576EC1" w:rsidRPr="00576EC1" w14:paraId="3646702B"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266B8B7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Other long-term liabilities</w:t>
            </w:r>
          </w:p>
        </w:tc>
        <w:tc>
          <w:tcPr>
            <w:tcW w:w="230" w:type="dxa"/>
            <w:tcBorders>
              <w:top w:val="nil"/>
              <w:left w:val="nil"/>
              <w:bottom w:val="nil"/>
              <w:right w:val="nil"/>
            </w:tcBorders>
            <w:shd w:val="clear" w:color="auto" w:fill="auto"/>
            <w:noWrap/>
            <w:vAlign w:val="bottom"/>
            <w:hideMark/>
          </w:tcPr>
          <w:p w14:paraId="06D19A51"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3219B93E"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15</w:t>
            </w:r>
          </w:p>
        </w:tc>
        <w:tc>
          <w:tcPr>
            <w:tcW w:w="241" w:type="dxa"/>
            <w:tcBorders>
              <w:top w:val="nil"/>
              <w:left w:val="nil"/>
              <w:bottom w:val="nil"/>
              <w:right w:val="nil"/>
            </w:tcBorders>
            <w:shd w:val="clear" w:color="auto" w:fill="auto"/>
            <w:noWrap/>
            <w:vAlign w:val="bottom"/>
            <w:hideMark/>
          </w:tcPr>
          <w:p w14:paraId="1FE4529F"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15426219"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207,183</w:t>
            </w:r>
          </w:p>
        </w:tc>
        <w:tc>
          <w:tcPr>
            <w:tcW w:w="1834" w:type="dxa"/>
            <w:tcBorders>
              <w:top w:val="nil"/>
              <w:left w:val="nil"/>
              <w:bottom w:val="nil"/>
              <w:right w:val="nil"/>
            </w:tcBorders>
            <w:shd w:val="clear" w:color="auto" w:fill="auto"/>
            <w:noWrap/>
            <w:vAlign w:val="bottom"/>
            <w:hideMark/>
          </w:tcPr>
          <w:p w14:paraId="2EBA25BC"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140,404</w:t>
            </w:r>
          </w:p>
        </w:tc>
      </w:tr>
      <w:tr w:rsidR="00576EC1" w:rsidRPr="00576EC1" w14:paraId="59F0757A" w14:textId="77777777" w:rsidTr="008F5B5F">
        <w:trPr>
          <w:trHeight w:val="122"/>
          <w:tblHeader/>
          <w:jc w:val="center"/>
        </w:trPr>
        <w:tc>
          <w:tcPr>
            <w:tcW w:w="230" w:type="dxa"/>
            <w:tcBorders>
              <w:top w:val="nil"/>
              <w:left w:val="nil"/>
              <w:bottom w:val="nil"/>
              <w:right w:val="nil"/>
            </w:tcBorders>
            <w:shd w:val="clear" w:color="auto" w:fill="auto"/>
            <w:noWrap/>
            <w:vAlign w:val="bottom"/>
            <w:hideMark/>
          </w:tcPr>
          <w:p w14:paraId="4749F76A"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7BA57685"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15C0C46E"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1F3C6A08"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6BBC85FA"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3A6CB631"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77963EB4" w14:textId="77777777" w:rsidR="00576EC1" w:rsidRPr="00576EC1" w:rsidRDefault="00576EC1" w:rsidP="00BD3901">
            <w:pPr>
              <w:jc w:val="right"/>
              <w:rPr>
                <w:rFonts w:ascii="Arial" w:hAnsi="Arial" w:cs="Arial"/>
                <w:sz w:val="18"/>
                <w:szCs w:val="18"/>
              </w:rPr>
            </w:pPr>
          </w:p>
        </w:tc>
      </w:tr>
      <w:tr w:rsidR="00576EC1" w:rsidRPr="00576EC1" w14:paraId="659A9A1F" w14:textId="77777777" w:rsidTr="008F5B5F">
        <w:trPr>
          <w:trHeight w:val="223"/>
          <w:tblHeader/>
          <w:jc w:val="center"/>
        </w:trPr>
        <w:tc>
          <w:tcPr>
            <w:tcW w:w="230" w:type="dxa"/>
            <w:tcBorders>
              <w:top w:val="nil"/>
              <w:left w:val="nil"/>
              <w:bottom w:val="single" w:sz="4" w:space="0" w:color="auto"/>
              <w:right w:val="nil"/>
            </w:tcBorders>
            <w:shd w:val="clear" w:color="auto" w:fill="auto"/>
            <w:noWrap/>
            <w:vAlign w:val="bottom"/>
            <w:hideMark/>
          </w:tcPr>
          <w:p w14:paraId="78D7AD5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001" w:type="dxa"/>
            <w:tcBorders>
              <w:top w:val="nil"/>
              <w:left w:val="nil"/>
              <w:bottom w:val="single" w:sz="4" w:space="0" w:color="auto"/>
              <w:right w:val="nil"/>
            </w:tcBorders>
            <w:shd w:val="clear" w:color="auto" w:fill="auto"/>
            <w:noWrap/>
            <w:vAlign w:val="bottom"/>
            <w:hideMark/>
          </w:tcPr>
          <w:p w14:paraId="05221BFB"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30" w:type="dxa"/>
            <w:tcBorders>
              <w:top w:val="nil"/>
              <w:left w:val="nil"/>
              <w:bottom w:val="single" w:sz="4" w:space="0" w:color="auto"/>
              <w:right w:val="nil"/>
            </w:tcBorders>
            <w:shd w:val="clear" w:color="auto" w:fill="auto"/>
            <w:noWrap/>
            <w:vAlign w:val="bottom"/>
            <w:hideMark/>
          </w:tcPr>
          <w:p w14:paraId="08982E5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5136CEB8"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41" w:type="dxa"/>
            <w:tcBorders>
              <w:top w:val="nil"/>
              <w:left w:val="nil"/>
              <w:bottom w:val="single" w:sz="4" w:space="0" w:color="auto"/>
              <w:right w:val="nil"/>
            </w:tcBorders>
            <w:shd w:val="clear" w:color="auto" w:fill="auto"/>
            <w:noWrap/>
            <w:vAlign w:val="bottom"/>
            <w:hideMark/>
          </w:tcPr>
          <w:p w14:paraId="3EA54023"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649A49A4"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2,602,491</w:t>
            </w:r>
          </w:p>
        </w:tc>
        <w:tc>
          <w:tcPr>
            <w:tcW w:w="1834" w:type="dxa"/>
            <w:tcBorders>
              <w:top w:val="nil"/>
              <w:left w:val="nil"/>
              <w:bottom w:val="single" w:sz="4" w:space="0" w:color="auto"/>
              <w:right w:val="nil"/>
            </w:tcBorders>
            <w:shd w:val="clear" w:color="auto" w:fill="auto"/>
            <w:noWrap/>
            <w:vAlign w:val="bottom"/>
            <w:hideMark/>
          </w:tcPr>
          <w:p w14:paraId="0E080AFF"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1,490,357</w:t>
            </w:r>
          </w:p>
        </w:tc>
      </w:tr>
      <w:tr w:rsidR="00576EC1" w:rsidRPr="00576EC1" w14:paraId="3F6636EF" w14:textId="77777777" w:rsidTr="008F5B5F">
        <w:trPr>
          <w:trHeight w:val="122"/>
          <w:tblHeader/>
          <w:jc w:val="center"/>
        </w:trPr>
        <w:tc>
          <w:tcPr>
            <w:tcW w:w="230" w:type="dxa"/>
            <w:tcBorders>
              <w:top w:val="nil"/>
              <w:left w:val="nil"/>
              <w:bottom w:val="nil"/>
              <w:right w:val="nil"/>
            </w:tcBorders>
            <w:shd w:val="clear" w:color="auto" w:fill="auto"/>
            <w:noWrap/>
            <w:vAlign w:val="bottom"/>
            <w:hideMark/>
          </w:tcPr>
          <w:p w14:paraId="77178E05"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5DB05232"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504E3615"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637DAF60"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67BDD75B"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78FBA3F5"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68CDEF67" w14:textId="77777777" w:rsidR="00576EC1" w:rsidRPr="00576EC1" w:rsidRDefault="00576EC1" w:rsidP="00BD3901">
            <w:pPr>
              <w:jc w:val="right"/>
              <w:rPr>
                <w:rFonts w:ascii="Arial" w:hAnsi="Arial" w:cs="Arial"/>
                <w:sz w:val="18"/>
                <w:szCs w:val="18"/>
              </w:rPr>
            </w:pPr>
          </w:p>
        </w:tc>
      </w:tr>
      <w:tr w:rsidR="00576EC1" w:rsidRPr="00576EC1" w14:paraId="24D55572" w14:textId="77777777" w:rsidTr="008F5B5F">
        <w:trPr>
          <w:trHeight w:val="223"/>
          <w:tblHeader/>
          <w:jc w:val="center"/>
        </w:trPr>
        <w:tc>
          <w:tcPr>
            <w:tcW w:w="4232" w:type="dxa"/>
            <w:gridSpan w:val="2"/>
            <w:tcBorders>
              <w:top w:val="nil"/>
              <w:left w:val="nil"/>
              <w:bottom w:val="nil"/>
              <w:right w:val="nil"/>
            </w:tcBorders>
            <w:shd w:val="clear" w:color="auto" w:fill="auto"/>
            <w:noWrap/>
            <w:vAlign w:val="bottom"/>
            <w:hideMark/>
          </w:tcPr>
          <w:p w14:paraId="4F56339C"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Shareholders' equity</w:t>
            </w:r>
          </w:p>
        </w:tc>
        <w:tc>
          <w:tcPr>
            <w:tcW w:w="230" w:type="dxa"/>
            <w:tcBorders>
              <w:top w:val="nil"/>
              <w:left w:val="nil"/>
              <w:bottom w:val="nil"/>
              <w:right w:val="nil"/>
            </w:tcBorders>
            <w:shd w:val="clear" w:color="auto" w:fill="auto"/>
            <w:noWrap/>
            <w:vAlign w:val="bottom"/>
            <w:hideMark/>
          </w:tcPr>
          <w:p w14:paraId="3906B7C5" w14:textId="77777777" w:rsidR="00576EC1" w:rsidRPr="00576EC1" w:rsidRDefault="00576EC1" w:rsidP="00576EC1">
            <w:pPr>
              <w:rPr>
                <w:rFonts w:ascii="Arial" w:hAnsi="Arial" w:cs="Arial"/>
                <w:b/>
                <w:bCs/>
                <w:color w:val="000000"/>
                <w:sz w:val="18"/>
                <w:szCs w:val="18"/>
              </w:rPr>
            </w:pPr>
          </w:p>
        </w:tc>
        <w:tc>
          <w:tcPr>
            <w:tcW w:w="707" w:type="dxa"/>
            <w:tcBorders>
              <w:top w:val="nil"/>
              <w:left w:val="nil"/>
              <w:bottom w:val="nil"/>
              <w:right w:val="nil"/>
            </w:tcBorders>
            <w:shd w:val="clear" w:color="auto" w:fill="auto"/>
            <w:noWrap/>
            <w:vAlign w:val="bottom"/>
            <w:hideMark/>
          </w:tcPr>
          <w:p w14:paraId="51C4E113"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08FB6DF2"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30B5A0CD"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42E6A1AE" w14:textId="77777777" w:rsidR="00576EC1" w:rsidRPr="00576EC1" w:rsidRDefault="00576EC1" w:rsidP="00BD3901">
            <w:pPr>
              <w:jc w:val="right"/>
              <w:rPr>
                <w:rFonts w:ascii="Arial" w:hAnsi="Arial" w:cs="Arial"/>
                <w:sz w:val="18"/>
                <w:szCs w:val="18"/>
              </w:rPr>
            </w:pPr>
          </w:p>
        </w:tc>
      </w:tr>
      <w:tr w:rsidR="00576EC1" w:rsidRPr="00576EC1" w14:paraId="5DBDFE16"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273BC9F6" w14:textId="77777777" w:rsidR="00576EC1" w:rsidRPr="00576EC1" w:rsidRDefault="00576EC1" w:rsidP="00576EC1">
            <w:pPr>
              <w:rPr>
                <w:rFonts w:ascii="Arial" w:hAnsi="Arial" w:cs="Arial"/>
                <w:sz w:val="18"/>
                <w:szCs w:val="18"/>
              </w:rPr>
            </w:pPr>
          </w:p>
        </w:tc>
        <w:tc>
          <w:tcPr>
            <w:tcW w:w="4001" w:type="dxa"/>
            <w:tcBorders>
              <w:top w:val="nil"/>
              <w:left w:val="nil"/>
              <w:bottom w:val="nil"/>
              <w:right w:val="nil"/>
            </w:tcBorders>
            <w:shd w:val="clear" w:color="auto" w:fill="auto"/>
            <w:noWrap/>
            <w:vAlign w:val="bottom"/>
            <w:hideMark/>
          </w:tcPr>
          <w:p w14:paraId="3BBFAA2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Share capital</w:t>
            </w:r>
          </w:p>
        </w:tc>
        <w:tc>
          <w:tcPr>
            <w:tcW w:w="230" w:type="dxa"/>
            <w:tcBorders>
              <w:top w:val="nil"/>
              <w:left w:val="nil"/>
              <w:bottom w:val="nil"/>
              <w:right w:val="nil"/>
            </w:tcBorders>
            <w:shd w:val="clear" w:color="auto" w:fill="auto"/>
            <w:noWrap/>
            <w:vAlign w:val="bottom"/>
            <w:hideMark/>
          </w:tcPr>
          <w:p w14:paraId="42EF4E18"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7193C3D6"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16</w:t>
            </w:r>
          </w:p>
        </w:tc>
        <w:tc>
          <w:tcPr>
            <w:tcW w:w="241" w:type="dxa"/>
            <w:tcBorders>
              <w:top w:val="nil"/>
              <w:left w:val="nil"/>
              <w:bottom w:val="nil"/>
              <w:right w:val="nil"/>
            </w:tcBorders>
            <w:shd w:val="clear" w:color="auto" w:fill="auto"/>
            <w:noWrap/>
            <w:vAlign w:val="bottom"/>
            <w:hideMark/>
          </w:tcPr>
          <w:p w14:paraId="4CCCCFC5" w14:textId="77777777" w:rsidR="00576EC1" w:rsidRPr="00576EC1" w:rsidRDefault="00576EC1" w:rsidP="00576EC1">
            <w:pPr>
              <w:jc w:val="right"/>
              <w:rPr>
                <w:rFonts w:ascii="Arial" w:hAnsi="Arial" w:cs="Arial"/>
                <w:color w:val="000000"/>
                <w:sz w:val="18"/>
                <w:szCs w:val="18"/>
              </w:rPr>
            </w:pPr>
          </w:p>
        </w:tc>
        <w:tc>
          <w:tcPr>
            <w:tcW w:w="1793" w:type="dxa"/>
            <w:tcBorders>
              <w:top w:val="nil"/>
              <w:left w:val="nil"/>
              <w:bottom w:val="nil"/>
              <w:right w:val="nil"/>
            </w:tcBorders>
            <w:shd w:val="clear" w:color="auto" w:fill="auto"/>
            <w:noWrap/>
            <w:vAlign w:val="bottom"/>
            <w:hideMark/>
          </w:tcPr>
          <w:p w14:paraId="684B891D"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6,331,325</w:t>
            </w:r>
          </w:p>
        </w:tc>
        <w:tc>
          <w:tcPr>
            <w:tcW w:w="1834" w:type="dxa"/>
            <w:tcBorders>
              <w:top w:val="nil"/>
              <w:left w:val="nil"/>
              <w:bottom w:val="nil"/>
              <w:right w:val="nil"/>
            </w:tcBorders>
            <w:shd w:val="clear" w:color="auto" w:fill="auto"/>
            <w:noWrap/>
            <w:vAlign w:val="bottom"/>
            <w:hideMark/>
          </w:tcPr>
          <w:p w14:paraId="34D8017E"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6,026,618</w:t>
            </w:r>
          </w:p>
        </w:tc>
      </w:tr>
      <w:tr w:rsidR="00576EC1" w:rsidRPr="00576EC1" w14:paraId="287BF2E2"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5CC97E7D"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39065BD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Other reserves</w:t>
            </w:r>
          </w:p>
        </w:tc>
        <w:tc>
          <w:tcPr>
            <w:tcW w:w="230" w:type="dxa"/>
            <w:tcBorders>
              <w:top w:val="nil"/>
              <w:left w:val="nil"/>
              <w:bottom w:val="nil"/>
              <w:right w:val="nil"/>
            </w:tcBorders>
            <w:shd w:val="clear" w:color="auto" w:fill="auto"/>
            <w:noWrap/>
            <w:vAlign w:val="bottom"/>
            <w:hideMark/>
          </w:tcPr>
          <w:p w14:paraId="43FE76E3"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1423C141"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3AB98579"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7A4248E6"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2,756,749</w:t>
            </w:r>
          </w:p>
        </w:tc>
        <w:tc>
          <w:tcPr>
            <w:tcW w:w="1834" w:type="dxa"/>
            <w:tcBorders>
              <w:top w:val="nil"/>
              <w:left w:val="nil"/>
              <w:bottom w:val="nil"/>
              <w:right w:val="nil"/>
            </w:tcBorders>
            <w:shd w:val="clear" w:color="auto" w:fill="auto"/>
            <w:noWrap/>
            <w:vAlign w:val="bottom"/>
            <w:hideMark/>
          </w:tcPr>
          <w:p w14:paraId="5BF38681"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1,673,472</w:t>
            </w:r>
          </w:p>
        </w:tc>
      </w:tr>
      <w:tr w:rsidR="00576EC1" w:rsidRPr="00576EC1" w14:paraId="74B2F990"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362190C8"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40BC29D7"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Accumulated other comprehensive income</w:t>
            </w:r>
          </w:p>
        </w:tc>
        <w:tc>
          <w:tcPr>
            <w:tcW w:w="230" w:type="dxa"/>
            <w:tcBorders>
              <w:top w:val="nil"/>
              <w:left w:val="nil"/>
              <w:bottom w:val="nil"/>
              <w:right w:val="nil"/>
            </w:tcBorders>
            <w:shd w:val="clear" w:color="auto" w:fill="auto"/>
            <w:noWrap/>
            <w:vAlign w:val="bottom"/>
            <w:hideMark/>
          </w:tcPr>
          <w:p w14:paraId="0D9DE723" w14:textId="77777777" w:rsidR="00576EC1" w:rsidRPr="00576EC1" w:rsidRDefault="00576EC1" w:rsidP="00576EC1">
            <w:pPr>
              <w:rPr>
                <w:rFonts w:ascii="Arial" w:hAnsi="Arial" w:cs="Arial"/>
                <w:color w:val="000000"/>
                <w:sz w:val="18"/>
                <w:szCs w:val="18"/>
              </w:rPr>
            </w:pPr>
          </w:p>
        </w:tc>
        <w:tc>
          <w:tcPr>
            <w:tcW w:w="707" w:type="dxa"/>
            <w:tcBorders>
              <w:top w:val="nil"/>
              <w:left w:val="nil"/>
              <w:bottom w:val="nil"/>
              <w:right w:val="nil"/>
            </w:tcBorders>
            <w:shd w:val="clear" w:color="auto" w:fill="auto"/>
            <w:noWrap/>
            <w:vAlign w:val="bottom"/>
            <w:hideMark/>
          </w:tcPr>
          <w:p w14:paraId="7DB8EEDF"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3AB0D3F4"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2CC003B2"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(29,064)</w:t>
            </w:r>
          </w:p>
        </w:tc>
        <w:tc>
          <w:tcPr>
            <w:tcW w:w="1834" w:type="dxa"/>
            <w:tcBorders>
              <w:top w:val="nil"/>
              <w:left w:val="nil"/>
              <w:bottom w:val="nil"/>
              <w:right w:val="nil"/>
            </w:tcBorders>
            <w:shd w:val="clear" w:color="auto" w:fill="auto"/>
            <w:noWrap/>
            <w:vAlign w:val="bottom"/>
            <w:hideMark/>
          </w:tcPr>
          <w:p w14:paraId="5D5A8526"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28,630</w:t>
            </w:r>
          </w:p>
        </w:tc>
      </w:tr>
      <w:tr w:rsidR="00576EC1" w:rsidRPr="00576EC1" w14:paraId="2C6E8E5C" w14:textId="77777777" w:rsidTr="008F5B5F">
        <w:trPr>
          <w:trHeight w:val="223"/>
          <w:tblHeader/>
          <w:jc w:val="center"/>
        </w:trPr>
        <w:tc>
          <w:tcPr>
            <w:tcW w:w="230" w:type="dxa"/>
            <w:tcBorders>
              <w:top w:val="nil"/>
              <w:left w:val="nil"/>
              <w:bottom w:val="single" w:sz="4" w:space="0" w:color="auto"/>
              <w:right w:val="nil"/>
            </w:tcBorders>
            <w:shd w:val="clear" w:color="auto" w:fill="auto"/>
            <w:noWrap/>
            <w:vAlign w:val="bottom"/>
            <w:hideMark/>
          </w:tcPr>
          <w:p w14:paraId="111D05B2"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001" w:type="dxa"/>
            <w:tcBorders>
              <w:top w:val="nil"/>
              <w:left w:val="nil"/>
              <w:bottom w:val="single" w:sz="4" w:space="0" w:color="auto"/>
              <w:right w:val="nil"/>
            </w:tcBorders>
            <w:shd w:val="clear" w:color="auto" w:fill="auto"/>
            <w:noWrap/>
            <w:vAlign w:val="bottom"/>
            <w:hideMark/>
          </w:tcPr>
          <w:p w14:paraId="2170453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Deficit</w:t>
            </w:r>
          </w:p>
        </w:tc>
        <w:tc>
          <w:tcPr>
            <w:tcW w:w="230" w:type="dxa"/>
            <w:tcBorders>
              <w:top w:val="nil"/>
              <w:left w:val="nil"/>
              <w:bottom w:val="single" w:sz="4" w:space="0" w:color="auto"/>
              <w:right w:val="nil"/>
            </w:tcBorders>
            <w:shd w:val="clear" w:color="auto" w:fill="auto"/>
            <w:noWrap/>
            <w:vAlign w:val="bottom"/>
            <w:hideMark/>
          </w:tcPr>
          <w:p w14:paraId="6B1C6117"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3AC590D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41" w:type="dxa"/>
            <w:tcBorders>
              <w:top w:val="nil"/>
              <w:left w:val="nil"/>
              <w:bottom w:val="single" w:sz="4" w:space="0" w:color="auto"/>
              <w:right w:val="nil"/>
            </w:tcBorders>
            <w:shd w:val="clear" w:color="auto" w:fill="auto"/>
            <w:noWrap/>
            <w:vAlign w:val="bottom"/>
            <w:hideMark/>
          </w:tcPr>
          <w:p w14:paraId="485247B8"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17963FDA"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(3,707,022)</w:t>
            </w:r>
          </w:p>
        </w:tc>
        <w:tc>
          <w:tcPr>
            <w:tcW w:w="1834" w:type="dxa"/>
            <w:tcBorders>
              <w:top w:val="nil"/>
              <w:left w:val="nil"/>
              <w:bottom w:val="single" w:sz="4" w:space="0" w:color="auto"/>
              <w:right w:val="nil"/>
            </w:tcBorders>
            <w:shd w:val="clear" w:color="auto" w:fill="auto"/>
            <w:noWrap/>
            <w:vAlign w:val="bottom"/>
            <w:hideMark/>
          </w:tcPr>
          <w:p w14:paraId="7A1C5825"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(777,087)</w:t>
            </w:r>
          </w:p>
        </w:tc>
      </w:tr>
      <w:tr w:rsidR="00576EC1" w:rsidRPr="00576EC1" w14:paraId="0FFF7E35" w14:textId="77777777" w:rsidTr="008F5B5F">
        <w:trPr>
          <w:trHeight w:val="156"/>
          <w:tblHeader/>
          <w:jc w:val="center"/>
        </w:trPr>
        <w:tc>
          <w:tcPr>
            <w:tcW w:w="230" w:type="dxa"/>
            <w:tcBorders>
              <w:top w:val="nil"/>
              <w:left w:val="nil"/>
              <w:bottom w:val="nil"/>
              <w:right w:val="nil"/>
            </w:tcBorders>
            <w:shd w:val="clear" w:color="auto" w:fill="auto"/>
            <w:noWrap/>
            <w:vAlign w:val="bottom"/>
            <w:hideMark/>
          </w:tcPr>
          <w:p w14:paraId="28583045"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5A40A088"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7C5B5699"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57161993"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05E00F1F"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7FB0CF41"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3D0BFD41" w14:textId="77777777" w:rsidR="00576EC1" w:rsidRPr="00576EC1" w:rsidRDefault="00576EC1" w:rsidP="00BD3901">
            <w:pPr>
              <w:jc w:val="right"/>
              <w:rPr>
                <w:rFonts w:ascii="Arial" w:hAnsi="Arial" w:cs="Arial"/>
                <w:sz w:val="18"/>
                <w:szCs w:val="18"/>
              </w:rPr>
            </w:pPr>
          </w:p>
        </w:tc>
      </w:tr>
      <w:tr w:rsidR="00576EC1" w:rsidRPr="00576EC1" w14:paraId="04B33F3B" w14:textId="77777777" w:rsidTr="008F5B5F">
        <w:trPr>
          <w:trHeight w:val="223"/>
          <w:tblHeader/>
          <w:jc w:val="center"/>
        </w:trPr>
        <w:tc>
          <w:tcPr>
            <w:tcW w:w="4232" w:type="dxa"/>
            <w:gridSpan w:val="2"/>
            <w:tcBorders>
              <w:top w:val="nil"/>
              <w:left w:val="nil"/>
              <w:bottom w:val="single" w:sz="4" w:space="0" w:color="auto"/>
              <w:right w:val="nil"/>
            </w:tcBorders>
            <w:shd w:val="clear" w:color="auto" w:fill="auto"/>
            <w:noWrap/>
            <w:vAlign w:val="bottom"/>
            <w:hideMark/>
          </w:tcPr>
          <w:p w14:paraId="579977B1"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Equity attributable to Canopy Growth Corporation</w:t>
            </w:r>
          </w:p>
        </w:tc>
        <w:tc>
          <w:tcPr>
            <w:tcW w:w="230" w:type="dxa"/>
            <w:tcBorders>
              <w:top w:val="nil"/>
              <w:left w:val="nil"/>
              <w:bottom w:val="single" w:sz="4" w:space="0" w:color="auto"/>
              <w:right w:val="nil"/>
            </w:tcBorders>
            <w:shd w:val="clear" w:color="auto" w:fill="auto"/>
            <w:noWrap/>
            <w:vAlign w:val="bottom"/>
            <w:hideMark/>
          </w:tcPr>
          <w:p w14:paraId="3591A33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2F2FF7C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41" w:type="dxa"/>
            <w:tcBorders>
              <w:top w:val="nil"/>
              <w:left w:val="nil"/>
              <w:bottom w:val="single" w:sz="4" w:space="0" w:color="auto"/>
              <w:right w:val="nil"/>
            </w:tcBorders>
            <w:shd w:val="clear" w:color="auto" w:fill="auto"/>
            <w:noWrap/>
            <w:vAlign w:val="bottom"/>
            <w:hideMark/>
          </w:tcPr>
          <w:p w14:paraId="5E419C5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16173934"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5,351,988</w:t>
            </w:r>
          </w:p>
        </w:tc>
        <w:tc>
          <w:tcPr>
            <w:tcW w:w="1834" w:type="dxa"/>
            <w:tcBorders>
              <w:top w:val="nil"/>
              <w:left w:val="nil"/>
              <w:bottom w:val="single" w:sz="4" w:space="0" w:color="auto"/>
              <w:right w:val="nil"/>
            </w:tcBorders>
            <w:shd w:val="clear" w:color="auto" w:fill="auto"/>
            <w:noWrap/>
            <w:vAlign w:val="bottom"/>
            <w:hideMark/>
          </w:tcPr>
          <w:p w14:paraId="13FA4EF1"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6,951,633</w:t>
            </w:r>
          </w:p>
        </w:tc>
      </w:tr>
      <w:tr w:rsidR="00576EC1" w:rsidRPr="00576EC1" w14:paraId="2192724A" w14:textId="77777777" w:rsidTr="008F5B5F">
        <w:trPr>
          <w:trHeight w:val="223"/>
          <w:tblHeader/>
          <w:jc w:val="center"/>
        </w:trPr>
        <w:tc>
          <w:tcPr>
            <w:tcW w:w="230" w:type="dxa"/>
            <w:tcBorders>
              <w:top w:val="nil"/>
              <w:left w:val="nil"/>
              <w:bottom w:val="single" w:sz="4" w:space="0" w:color="auto"/>
              <w:right w:val="nil"/>
            </w:tcBorders>
            <w:shd w:val="clear" w:color="auto" w:fill="auto"/>
            <w:noWrap/>
            <w:vAlign w:val="bottom"/>
            <w:hideMark/>
          </w:tcPr>
          <w:p w14:paraId="6B8D7F71"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001" w:type="dxa"/>
            <w:tcBorders>
              <w:top w:val="nil"/>
              <w:left w:val="nil"/>
              <w:bottom w:val="single" w:sz="4" w:space="0" w:color="auto"/>
              <w:right w:val="nil"/>
            </w:tcBorders>
            <w:shd w:val="clear" w:color="auto" w:fill="auto"/>
            <w:noWrap/>
            <w:vAlign w:val="bottom"/>
            <w:hideMark/>
          </w:tcPr>
          <w:p w14:paraId="2E5EF70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Non-controlling interest</w:t>
            </w:r>
          </w:p>
        </w:tc>
        <w:tc>
          <w:tcPr>
            <w:tcW w:w="230" w:type="dxa"/>
            <w:tcBorders>
              <w:top w:val="nil"/>
              <w:left w:val="nil"/>
              <w:bottom w:val="single" w:sz="4" w:space="0" w:color="auto"/>
              <w:right w:val="nil"/>
            </w:tcBorders>
            <w:shd w:val="clear" w:color="auto" w:fill="auto"/>
            <w:noWrap/>
            <w:vAlign w:val="bottom"/>
            <w:hideMark/>
          </w:tcPr>
          <w:p w14:paraId="0C38A83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749AB898" w14:textId="77777777" w:rsidR="00576EC1" w:rsidRPr="00576EC1" w:rsidRDefault="00576EC1" w:rsidP="00576EC1">
            <w:pPr>
              <w:jc w:val="right"/>
              <w:rPr>
                <w:rFonts w:ascii="Arial" w:hAnsi="Arial" w:cs="Arial"/>
                <w:color w:val="000000"/>
                <w:sz w:val="18"/>
                <w:szCs w:val="18"/>
              </w:rPr>
            </w:pPr>
            <w:r w:rsidRPr="00576EC1">
              <w:rPr>
                <w:rFonts w:ascii="Arial" w:hAnsi="Arial" w:cs="Arial"/>
                <w:color w:val="000000"/>
                <w:sz w:val="18"/>
                <w:szCs w:val="18"/>
              </w:rPr>
              <w:t>18</w:t>
            </w:r>
          </w:p>
        </w:tc>
        <w:tc>
          <w:tcPr>
            <w:tcW w:w="241" w:type="dxa"/>
            <w:tcBorders>
              <w:top w:val="nil"/>
              <w:left w:val="nil"/>
              <w:bottom w:val="single" w:sz="4" w:space="0" w:color="auto"/>
              <w:right w:val="nil"/>
            </w:tcBorders>
            <w:shd w:val="clear" w:color="auto" w:fill="auto"/>
            <w:noWrap/>
            <w:vAlign w:val="bottom"/>
            <w:hideMark/>
          </w:tcPr>
          <w:p w14:paraId="6EA8A543"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56D8F9E5"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270,704</w:t>
            </w:r>
          </w:p>
        </w:tc>
        <w:tc>
          <w:tcPr>
            <w:tcW w:w="1834" w:type="dxa"/>
            <w:tcBorders>
              <w:top w:val="nil"/>
              <w:left w:val="nil"/>
              <w:bottom w:val="single" w:sz="4" w:space="0" w:color="auto"/>
              <w:right w:val="nil"/>
            </w:tcBorders>
            <w:shd w:val="clear" w:color="auto" w:fill="auto"/>
            <w:noWrap/>
            <w:vAlign w:val="bottom"/>
            <w:hideMark/>
          </w:tcPr>
          <w:p w14:paraId="5CF79816"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289,815</w:t>
            </w:r>
          </w:p>
        </w:tc>
      </w:tr>
      <w:tr w:rsidR="00576EC1" w:rsidRPr="00576EC1" w14:paraId="591E0309" w14:textId="77777777" w:rsidTr="008F5B5F">
        <w:trPr>
          <w:trHeight w:val="223"/>
          <w:tblHeader/>
          <w:jc w:val="center"/>
        </w:trPr>
        <w:tc>
          <w:tcPr>
            <w:tcW w:w="4232" w:type="dxa"/>
            <w:gridSpan w:val="2"/>
            <w:tcBorders>
              <w:top w:val="single" w:sz="4" w:space="0" w:color="auto"/>
              <w:left w:val="nil"/>
              <w:bottom w:val="single" w:sz="4" w:space="0" w:color="auto"/>
              <w:right w:val="nil"/>
            </w:tcBorders>
            <w:shd w:val="clear" w:color="auto" w:fill="auto"/>
            <w:noWrap/>
            <w:vAlign w:val="bottom"/>
            <w:hideMark/>
          </w:tcPr>
          <w:p w14:paraId="0A3742C0"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Total equity</w:t>
            </w:r>
          </w:p>
        </w:tc>
        <w:tc>
          <w:tcPr>
            <w:tcW w:w="230" w:type="dxa"/>
            <w:tcBorders>
              <w:top w:val="nil"/>
              <w:left w:val="nil"/>
              <w:bottom w:val="single" w:sz="4" w:space="0" w:color="auto"/>
              <w:right w:val="nil"/>
            </w:tcBorders>
            <w:shd w:val="clear" w:color="auto" w:fill="auto"/>
            <w:noWrap/>
            <w:vAlign w:val="bottom"/>
            <w:hideMark/>
          </w:tcPr>
          <w:p w14:paraId="0508664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707" w:type="dxa"/>
            <w:tcBorders>
              <w:top w:val="nil"/>
              <w:left w:val="nil"/>
              <w:bottom w:val="single" w:sz="4" w:space="0" w:color="auto"/>
              <w:right w:val="nil"/>
            </w:tcBorders>
            <w:shd w:val="clear" w:color="auto" w:fill="auto"/>
            <w:noWrap/>
            <w:vAlign w:val="bottom"/>
            <w:hideMark/>
          </w:tcPr>
          <w:p w14:paraId="2E48001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41" w:type="dxa"/>
            <w:tcBorders>
              <w:top w:val="nil"/>
              <w:left w:val="nil"/>
              <w:bottom w:val="single" w:sz="4" w:space="0" w:color="auto"/>
              <w:right w:val="nil"/>
            </w:tcBorders>
            <w:shd w:val="clear" w:color="auto" w:fill="auto"/>
            <w:noWrap/>
            <w:vAlign w:val="bottom"/>
            <w:hideMark/>
          </w:tcPr>
          <w:p w14:paraId="1B394855"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1793" w:type="dxa"/>
            <w:tcBorders>
              <w:top w:val="nil"/>
              <w:left w:val="nil"/>
              <w:bottom w:val="single" w:sz="4" w:space="0" w:color="auto"/>
              <w:right w:val="nil"/>
            </w:tcBorders>
            <w:shd w:val="clear" w:color="auto" w:fill="auto"/>
            <w:noWrap/>
            <w:vAlign w:val="bottom"/>
            <w:hideMark/>
          </w:tcPr>
          <w:p w14:paraId="7F9898A7" w14:textId="77777777"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5,622,692</w:t>
            </w:r>
          </w:p>
        </w:tc>
        <w:tc>
          <w:tcPr>
            <w:tcW w:w="1834" w:type="dxa"/>
            <w:tcBorders>
              <w:top w:val="nil"/>
              <w:left w:val="nil"/>
              <w:bottom w:val="single" w:sz="4" w:space="0" w:color="auto"/>
              <w:right w:val="nil"/>
            </w:tcBorders>
            <w:shd w:val="clear" w:color="auto" w:fill="auto"/>
            <w:noWrap/>
            <w:vAlign w:val="bottom"/>
            <w:hideMark/>
          </w:tcPr>
          <w:p w14:paraId="1C252C37" w14:textId="77777777"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7,241,448</w:t>
            </w:r>
          </w:p>
        </w:tc>
      </w:tr>
      <w:tr w:rsidR="00576EC1" w:rsidRPr="00576EC1" w14:paraId="23CD9BB1" w14:textId="77777777" w:rsidTr="008F5B5F">
        <w:trPr>
          <w:trHeight w:val="122"/>
          <w:tblHeader/>
          <w:jc w:val="center"/>
        </w:trPr>
        <w:tc>
          <w:tcPr>
            <w:tcW w:w="230" w:type="dxa"/>
            <w:tcBorders>
              <w:top w:val="nil"/>
              <w:left w:val="nil"/>
              <w:bottom w:val="nil"/>
              <w:right w:val="nil"/>
            </w:tcBorders>
            <w:shd w:val="clear" w:color="auto" w:fill="auto"/>
            <w:noWrap/>
            <w:vAlign w:val="bottom"/>
            <w:hideMark/>
          </w:tcPr>
          <w:p w14:paraId="6F674DED" w14:textId="77777777" w:rsidR="00576EC1" w:rsidRPr="00576EC1" w:rsidRDefault="00576EC1" w:rsidP="00576EC1">
            <w:pPr>
              <w:jc w:val="right"/>
              <w:rPr>
                <w:rFonts w:ascii="Arial" w:hAnsi="Arial" w:cs="Arial"/>
                <w:color w:val="000000"/>
                <w:sz w:val="18"/>
                <w:szCs w:val="18"/>
              </w:rPr>
            </w:pPr>
          </w:p>
        </w:tc>
        <w:tc>
          <w:tcPr>
            <w:tcW w:w="4001" w:type="dxa"/>
            <w:tcBorders>
              <w:top w:val="nil"/>
              <w:left w:val="nil"/>
              <w:bottom w:val="nil"/>
              <w:right w:val="nil"/>
            </w:tcBorders>
            <w:shd w:val="clear" w:color="auto" w:fill="auto"/>
            <w:noWrap/>
            <w:vAlign w:val="bottom"/>
            <w:hideMark/>
          </w:tcPr>
          <w:p w14:paraId="69257F3F"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5E8F815B"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4262685C"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544A6544"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451BC55C" w14:textId="77777777" w:rsidR="00576EC1" w:rsidRPr="00576EC1" w:rsidRDefault="00576EC1" w:rsidP="00BD3901">
            <w:pPr>
              <w:jc w:val="right"/>
              <w:rPr>
                <w:rFonts w:ascii="Arial" w:hAnsi="Arial" w:cs="Arial"/>
                <w:sz w:val="18"/>
                <w:szCs w:val="18"/>
              </w:rPr>
            </w:pPr>
          </w:p>
        </w:tc>
        <w:tc>
          <w:tcPr>
            <w:tcW w:w="1834" w:type="dxa"/>
            <w:tcBorders>
              <w:top w:val="nil"/>
              <w:left w:val="nil"/>
              <w:bottom w:val="nil"/>
              <w:right w:val="nil"/>
            </w:tcBorders>
            <w:shd w:val="clear" w:color="auto" w:fill="auto"/>
            <w:noWrap/>
            <w:vAlign w:val="bottom"/>
            <w:hideMark/>
          </w:tcPr>
          <w:p w14:paraId="556F243A" w14:textId="77777777" w:rsidR="00576EC1" w:rsidRPr="00576EC1" w:rsidRDefault="00576EC1" w:rsidP="00BD3901">
            <w:pPr>
              <w:jc w:val="right"/>
              <w:rPr>
                <w:rFonts w:ascii="Arial" w:hAnsi="Arial" w:cs="Arial"/>
                <w:sz w:val="18"/>
                <w:szCs w:val="18"/>
              </w:rPr>
            </w:pPr>
          </w:p>
        </w:tc>
      </w:tr>
      <w:tr w:rsidR="00576EC1" w:rsidRPr="00576EC1" w14:paraId="4ED6B3A7" w14:textId="77777777" w:rsidTr="008F5B5F">
        <w:trPr>
          <w:trHeight w:val="223"/>
          <w:tblHeader/>
          <w:jc w:val="center"/>
        </w:trPr>
        <w:tc>
          <w:tcPr>
            <w:tcW w:w="230" w:type="dxa"/>
            <w:tcBorders>
              <w:top w:val="nil"/>
              <w:left w:val="nil"/>
              <w:bottom w:val="nil"/>
              <w:right w:val="nil"/>
            </w:tcBorders>
            <w:shd w:val="clear" w:color="auto" w:fill="auto"/>
            <w:noWrap/>
            <w:vAlign w:val="bottom"/>
            <w:hideMark/>
          </w:tcPr>
          <w:p w14:paraId="21DA87E1" w14:textId="77777777" w:rsidR="00576EC1" w:rsidRPr="00576EC1" w:rsidRDefault="00576EC1" w:rsidP="00576EC1">
            <w:pPr>
              <w:rPr>
                <w:rFonts w:ascii="Arial" w:hAnsi="Arial" w:cs="Arial"/>
                <w:sz w:val="18"/>
                <w:szCs w:val="18"/>
              </w:rPr>
            </w:pPr>
          </w:p>
        </w:tc>
        <w:tc>
          <w:tcPr>
            <w:tcW w:w="4001" w:type="dxa"/>
            <w:tcBorders>
              <w:top w:val="nil"/>
              <w:left w:val="nil"/>
              <w:bottom w:val="nil"/>
              <w:right w:val="nil"/>
            </w:tcBorders>
            <w:shd w:val="clear" w:color="auto" w:fill="auto"/>
            <w:noWrap/>
            <w:vAlign w:val="bottom"/>
            <w:hideMark/>
          </w:tcPr>
          <w:p w14:paraId="579B8D84" w14:textId="77777777" w:rsidR="00576EC1" w:rsidRPr="00576EC1" w:rsidRDefault="00576EC1" w:rsidP="00576EC1">
            <w:pPr>
              <w:rPr>
                <w:rFonts w:ascii="Arial" w:hAnsi="Arial" w:cs="Arial"/>
                <w:sz w:val="18"/>
                <w:szCs w:val="18"/>
              </w:rPr>
            </w:pPr>
          </w:p>
        </w:tc>
        <w:tc>
          <w:tcPr>
            <w:tcW w:w="230" w:type="dxa"/>
            <w:tcBorders>
              <w:top w:val="nil"/>
              <w:left w:val="nil"/>
              <w:bottom w:val="nil"/>
              <w:right w:val="nil"/>
            </w:tcBorders>
            <w:shd w:val="clear" w:color="auto" w:fill="auto"/>
            <w:noWrap/>
            <w:vAlign w:val="bottom"/>
            <w:hideMark/>
          </w:tcPr>
          <w:p w14:paraId="0590E570" w14:textId="77777777" w:rsidR="00576EC1" w:rsidRPr="00576EC1" w:rsidRDefault="00576EC1" w:rsidP="00576EC1">
            <w:pPr>
              <w:rPr>
                <w:rFonts w:ascii="Arial" w:hAnsi="Arial" w:cs="Arial"/>
                <w:sz w:val="18"/>
                <w:szCs w:val="18"/>
              </w:rPr>
            </w:pPr>
          </w:p>
        </w:tc>
        <w:tc>
          <w:tcPr>
            <w:tcW w:w="707" w:type="dxa"/>
            <w:tcBorders>
              <w:top w:val="nil"/>
              <w:left w:val="nil"/>
              <w:bottom w:val="nil"/>
              <w:right w:val="nil"/>
            </w:tcBorders>
            <w:shd w:val="clear" w:color="auto" w:fill="auto"/>
            <w:noWrap/>
            <w:vAlign w:val="bottom"/>
            <w:hideMark/>
          </w:tcPr>
          <w:p w14:paraId="22BE9D0E" w14:textId="77777777" w:rsidR="00576EC1" w:rsidRPr="00576EC1" w:rsidRDefault="00576EC1" w:rsidP="00576EC1">
            <w:pPr>
              <w:rPr>
                <w:rFonts w:ascii="Arial" w:hAnsi="Arial" w:cs="Arial"/>
                <w:sz w:val="18"/>
                <w:szCs w:val="18"/>
              </w:rPr>
            </w:pPr>
          </w:p>
        </w:tc>
        <w:tc>
          <w:tcPr>
            <w:tcW w:w="241" w:type="dxa"/>
            <w:tcBorders>
              <w:top w:val="nil"/>
              <w:left w:val="nil"/>
              <w:bottom w:val="nil"/>
              <w:right w:val="nil"/>
            </w:tcBorders>
            <w:shd w:val="clear" w:color="auto" w:fill="auto"/>
            <w:noWrap/>
            <w:vAlign w:val="bottom"/>
            <w:hideMark/>
          </w:tcPr>
          <w:p w14:paraId="059BF1BD" w14:textId="77777777" w:rsidR="00576EC1" w:rsidRPr="00576EC1" w:rsidRDefault="00576EC1" w:rsidP="00576EC1">
            <w:pPr>
              <w:rPr>
                <w:rFonts w:ascii="Arial" w:hAnsi="Arial" w:cs="Arial"/>
                <w:sz w:val="18"/>
                <w:szCs w:val="18"/>
              </w:rPr>
            </w:pPr>
          </w:p>
        </w:tc>
        <w:tc>
          <w:tcPr>
            <w:tcW w:w="1793" w:type="dxa"/>
            <w:tcBorders>
              <w:top w:val="nil"/>
              <w:left w:val="nil"/>
              <w:bottom w:val="nil"/>
              <w:right w:val="nil"/>
            </w:tcBorders>
            <w:shd w:val="clear" w:color="auto" w:fill="auto"/>
            <w:noWrap/>
            <w:vAlign w:val="bottom"/>
            <w:hideMark/>
          </w:tcPr>
          <w:p w14:paraId="4A95965C" w14:textId="6AADA19B" w:rsidR="00576EC1" w:rsidRPr="00576EC1" w:rsidRDefault="00576EC1" w:rsidP="00BD3901">
            <w:pPr>
              <w:jc w:val="right"/>
              <w:rPr>
                <w:rFonts w:ascii="Arial" w:hAnsi="Arial" w:cs="Arial"/>
                <w:b/>
                <w:bCs/>
                <w:color w:val="000000"/>
                <w:sz w:val="18"/>
                <w:szCs w:val="18"/>
              </w:rPr>
            </w:pPr>
            <w:r w:rsidRPr="00576EC1">
              <w:rPr>
                <w:rFonts w:ascii="Arial" w:hAnsi="Arial" w:cs="Arial"/>
                <w:b/>
                <w:bCs/>
                <w:color w:val="000000"/>
                <w:sz w:val="18"/>
                <w:szCs w:val="18"/>
              </w:rPr>
              <w:t xml:space="preserve"> $</w:t>
            </w:r>
            <w:r w:rsidR="00C8482F">
              <w:rPr>
                <w:rFonts w:ascii="Arial" w:hAnsi="Arial" w:cs="Arial"/>
                <w:b/>
                <w:bCs/>
                <w:color w:val="000000"/>
                <w:sz w:val="18"/>
                <w:szCs w:val="18"/>
              </w:rPr>
              <w:t>8</w:t>
            </w:r>
            <w:r w:rsidRPr="00576EC1">
              <w:rPr>
                <w:rFonts w:ascii="Arial" w:hAnsi="Arial" w:cs="Arial"/>
                <w:b/>
                <w:bCs/>
                <w:color w:val="000000"/>
                <w:sz w:val="18"/>
                <w:szCs w:val="18"/>
              </w:rPr>
              <w:t>,225,183</w:t>
            </w:r>
          </w:p>
        </w:tc>
        <w:tc>
          <w:tcPr>
            <w:tcW w:w="1834" w:type="dxa"/>
            <w:tcBorders>
              <w:top w:val="nil"/>
              <w:left w:val="nil"/>
              <w:bottom w:val="nil"/>
              <w:right w:val="nil"/>
            </w:tcBorders>
            <w:shd w:val="clear" w:color="auto" w:fill="auto"/>
            <w:noWrap/>
            <w:vAlign w:val="bottom"/>
            <w:hideMark/>
          </w:tcPr>
          <w:p w14:paraId="67B611D3" w14:textId="221DB8DD" w:rsidR="00576EC1" w:rsidRPr="00576EC1" w:rsidRDefault="00576EC1" w:rsidP="00BD3901">
            <w:pPr>
              <w:jc w:val="right"/>
              <w:rPr>
                <w:rFonts w:ascii="Arial" w:hAnsi="Arial" w:cs="Arial"/>
                <w:color w:val="000000"/>
                <w:sz w:val="18"/>
                <w:szCs w:val="18"/>
              </w:rPr>
            </w:pPr>
            <w:r w:rsidRPr="00576EC1">
              <w:rPr>
                <w:rFonts w:ascii="Arial" w:hAnsi="Arial" w:cs="Arial"/>
                <w:color w:val="000000"/>
                <w:sz w:val="18"/>
                <w:szCs w:val="18"/>
              </w:rPr>
              <w:t xml:space="preserve"> $8,731,805</w:t>
            </w:r>
          </w:p>
        </w:tc>
      </w:tr>
    </w:tbl>
    <w:p w14:paraId="125EB62C" w14:textId="77777777" w:rsidR="00576EC1" w:rsidRPr="00E94AD0" w:rsidRDefault="00576EC1" w:rsidP="00576EC1">
      <w:pPr>
        <w:pStyle w:val="Footnote"/>
        <w:rPr>
          <w:lang w:val="en-GB"/>
        </w:rPr>
      </w:pPr>
    </w:p>
    <w:p w14:paraId="72837094" w14:textId="09659947" w:rsidR="00FD58C4" w:rsidRPr="00E94AD0" w:rsidRDefault="00FD58C4">
      <w:pPr>
        <w:spacing w:after="200" w:line="276" w:lineRule="auto"/>
        <w:rPr>
          <w:b/>
          <w:lang w:val="en-GB"/>
        </w:rPr>
      </w:pPr>
      <w:r w:rsidRPr="00E94AD0">
        <w:rPr>
          <w:b/>
          <w:lang w:val="en-GB"/>
        </w:rPr>
        <w:br w:type="page"/>
      </w:r>
    </w:p>
    <w:p w14:paraId="19B5F26A" w14:textId="5D011D01" w:rsidR="00FD58C4" w:rsidRDefault="00FD58C4" w:rsidP="00FD58C4">
      <w:pPr>
        <w:pStyle w:val="ExhibitHeading"/>
        <w:rPr>
          <w:lang w:val="en-GB"/>
        </w:rPr>
      </w:pPr>
      <w:r w:rsidRPr="00E94AD0">
        <w:rPr>
          <w:lang w:val="en-GB"/>
        </w:rPr>
        <w:lastRenderedPageBreak/>
        <w:t>EXHIBIT 1 (continued)</w:t>
      </w:r>
    </w:p>
    <w:p w14:paraId="0EC28576" w14:textId="77777777" w:rsidR="00D8454F" w:rsidRPr="00E94AD0" w:rsidRDefault="00D8454F" w:rsidP="00D8454F">
      <w:pPr>
        <w:pStyle w:val="ExhibitHeading"/>
        <w:jc w:val="left"/>
        <w:rPr>
          <w:lang w:val="en-GB"/>
        </w:rPr>
      </w:pPr>
    </w:p>
    <w:p w14:paraId="31FF2D27" w14:textId="7C1EDF79" w:rsidR="00FD58C4" w:rsidRDefault="00D8454F" w:rsidP="00576EC1">
      <w:pPr>
        <w:pStyle w:val="Footnote"/>
        <w:rPr>
          <w:b/>
          <w:bCs/>
          <w:color w:val="000000"/>
          <w:sz w:val="18"/>
        </w:rPr>
      </w:pPr>
      <w:r w:rsidRPr="00576EC1">
        <w:rPr>
          <w:b/>
          <w:bCs/>
          <w:color w:val="000000"/>
          <w:sz w:val="18"/>
        </w:rPr>
        <w:t>FOR THE THREE AND SIX MONTHS ENDED SEPTEMBER 30, 2019 AND 2018</w:t>
      </w:r>
    </w:p>
    <w:tbl>
      <w:tblPr>
        <w:tblW w:w="9389" w:type="dxa"/>
        <w:jc w:val="center"/>
        <w:tblLook w:val="04A0" w:firstRow="1" w:lastRow="0" w:firstColumn="1" w:lastColumn="0" w:noHBand="0" w:noVBand="1"/>
        <w:tblCaption w:val="Exhibit 1 continued"/>
        <w:tblDescription w:val="Canopy Growth Corporation Financial Statements"/>
      </w:tblPr>
      <w:tblGrid>
        <w:gridCol w:w="292"/>
        <w:gridCol w:w="3483"/>
        <w:gridCol w:w="900"/>
        <w:gridCol w:w="1260"/>
        <w:gridCol w:w="1097"/>
        <w:gridCol w:w="1260"/>
        <w:gridCol w:w="1097"/>
      </w:tblGrid>
      <w:tr w:rsidR="00D8454F" w:rsidRPr="00B7741E" w14:paraId="0A029498" w14:textId="77777777" w:rsidTr="00D8454F">
        <w:trPr>
          <w:trHeight w:val="219"/>
          <w:tblHeader/>
          <w:jc w:val="center"/>
        </w:trPr>
        <w:tc>
          <w:tcPr>
            <w:tcW w:w="3775" w:type="dxa"/>
            <w:gridSpan w:val="2"/>
            <w:shd w:val="clear" w:color="auto" w:fill="auto"/>
            <w:noWrap/>
            <w:vAlign w:val="bottom"/>
            <w:hideMark/>
          </w:tcPr>
          <w:p w14:paraId="0BB08CDA" w14:textId="7C1A900F" w:rsidR="00D8454F" w:rsidRPr="00157FB5" w:rsidRDefault="00D8454F" w:rsidP="00B7741E">
            <w:pPr>
              <w:rPr>
                <w:rFonts w:ascii="Arial" w:hAnsi="Arial" w:cs="Arial"/>
                <w:b/>
                <w:color w:val="000000"/>
                <w:sz w:val="18"/>
              </w:rPr>
            </w:pPr>
            <w:r w:rsidRPr="00157FB5">
              <w:rPr>
                <w:rFonts w:ascii="Arial" w:hAnsi="Arial" w:cs="Arial"/>
                <w:b/>
                <w:color w:val="000000"/>
                <w:sz w:val="18"/>
              </w:rPr>
              <w:t>U</w:t>
            </w:r>
            <w:r>
              <w:rPr>
                <w:rFonts w:ascii="Arial" w:hAnsi="Arial" w:cs="Arial"/>
                <w:b/>
                <w:color w:val="000000"/>
                <w:sz w:val="18"/>
              </w:rPr>
              <w:t>naudited</w:t>
            </w:r>
          </w:p>
        </w:tc>
        <w:tc>
          <w:tcPr>
            <w:tcW w:w="900" w:type="dxa"/>
            <w:shd w:val="clear" w:color="auto" w:fill="auto"/>
            <w:noWrap/>
            <w:vAlign w:val="bottom"/>
            <w:hideMark/>
          </w:tcPr>
          <w:p w14:paraId="2E171B19" w14:textId="77777777" w:rsidR="00D8454F" w:rsidRPr="00157FB5" w:rsidRDefault="00D8454F" w:rsidP="00576EC1">
            <w:pPr>
              <w:rPr>
                <w:rFonts w:ascii="Arial" w:hAnsi="Arial" w:cs="Arial"/>
                <w:b/>
                <w:sz w:val="18"/>
              </w:rPr>
            </w:pPr>
          </w:p>
        </w:tc>
        <w:tc>
          <w:tcPr>
            <w:tcW w:w="1260" w:type="dxa"/>
            <w:shd w:val="clear" w:color="auto" w:fill="auto"/>
            <w:noWrap/>
            <w:vAlign w:val="bottom"/>
            <w:hideMark/>
          </w:tcPr>
          <w:p w14:paraId="4B33B666" w14:textId="77777777" w:rsidR="00D8454F" w:rsidRPr="00157FB5" w:rsidRDefault="00D8454F" w:rsidP="00576EC1">
            <w:pPr>
              <w:rPr>
                <w:rFonts w:ascii="Arial" w:hAnsi="Arial" w:cs="Arial"/>
                <w:b/>
                <w:sz w:val="18"/>
              </w:rPr>
            </w:pPr>
          </w:p>
        </w:tc>
        <w:tc>
          <w:tcPr>
            <w:tcW w:w="1097" w:type="dxa"/>
            <w:shd w:val="clear" w:color="auto" w:fill="auto"/>
            <w:noWrap/>
            <w:vAlign w:val="bottom"/>
            <w:hideMark/>
          </w:tcPr>
          <w:p w14:paraId="19E933C9" w14:textId="77777777" w:rsidR="00D8454F" w:rsidRPr="00157FB5" w:rsidRDefault="00D8454F" w:rsidP="00576EC1">
            <w:pPr>
              <w:rPr>
                <w:rFonts w:ascii="Arial" w:hAnsi="Arial" w:cs="Arial"/>
                <w:b/>
                <w:sz w:val="18"/>
              </w:rPr>
            </w:pPr>
          </w:p>
        </w:tc>
        <w:tc>
          <w:tcPr>
            <w:tcW w:w="1260" w:type="dxa"/>
            <w:shd w:val="clear" w:color="auto" w:fill="auto"/>
            <w:noWrap/>
            <w:vAlign w:val="bottom"/>
            <w:hideMark/>
          </w:tcPr>
          <w:p w14:paraId="2274597F" w14:textId="77777777" w:rsidR="00D8454F" w:rsidRPr="00157FB5" w:rsidRDefault="00D8454F" w:rsidP="00576EC1">
            <w:pPr>
              <w:rPr>
                <w:rFonts w:ascii="Arial" w:hAnsi="Arial" w:cs="Arial"/>
                <w:b/>
                <w:sz w:val="18"/>
              </w:rPr>
            </w:pPr>
          </w:p>
        </w:tc>
        <w:tc>
          <w:tcPr>
            <w:tcW w:w="1097" w:type="dxa"/>
            <w:shd w:val="clear" w:color="auto" w:fill="auto"/>
            <w:noWrap/>
            <w:vAlign w:val="bottom"/>
            <w:hideMark/>
          </w:tcPr>
          <w:p w14:paraId="649A2ECF" w14:textId="77777777" w:rsidR="00D8454F" w:rsidRPr="00157FB5" w:rsidRDefault="00D8454F" w:rsidP="00576EC1">
            <w:pPr>
              <w:rPr>
                <w:rFonts w:ascii="Arial" w:hAnsi="Arial" w:cs="Arial"/>
                <w:b/>
                <w:sz w:val="18"/>
              </w:rPr>
            </w:pPr>
          </w:p>
        </w:tc>
      </w:tr>
      <w:tr w:rsidR="00D8454F" w:rsidRPr="00576EC1" w14:paraId="5BB78CED" w14:textId="77777777" w:rsidTr="00D8454F">
        <w:trPr>
          <w:trHeight w:val="219"/>
          <w:tblHeader/>
          <w:jc w:val="center"/>
        </w:trPr>
        <w:tc>
          <w:tcPr>
            <w:tcW w:w="292" w:type="dxa"/>
            <w:shd w:val="clear" w:color="auto" w:fill="auto"/>
            <w:noWrap/>
            <w:vAlign w:val="bottom"/>
            <w:hideMark/>
          </w:tcPr>
          <w:p w14:paraId="200B3315" w14:textId="77777777" w:rsidR="00D8454F" w:rsidRPr="00576EC1" w:rsidRDefault="00D8454F" w:rsidP="00576EC1">
            <w:pPr>
              <w:rPr>
                <w:rFonts w:ascii="Arial" w:hAnsi="Arial" w:cs="Arial"/>
                <w:sz w:val="18"/>
              </w:rPr>
            </w:pPr>
          </w:p>
        </w:tc>
        <w:tc>
          <w:tcPr>
            <w:tcW w:w="3483" w:type="dxa"/>
            <w:shd w:val="clear" w:color="auto" w:fill="auto"/>
            <w:noWrap/>
            <w:vAlign w:val="bottom"/>
            <w:hideMark/>
          </w:tcPr>
          <w:p w14:paraId="68B37861" w14:textId="77777777" w:rsidR="00D8454F" w:rsidRPr="00576EC1" w:rsidRDefault="00D8454F" w:rsidP="00576EC1">
            <w:pPr>
              <w:rPr>
                <w:rFonts w:ascii="Arial" w:hAnsi="Arial" w:cs="Arial"/>
                <w:sz w:val="18"/>
              </w:rPr>
            </w:pPr>
          </w:p>
        </w:tc>
        <w:tc>
          <w:tcPr>
            <w:tcW w:w="900" w:type="dxa"/>
            <w:shd w:val="clear" w:color="auto" w:fill="auto"/>
            <w:noWrap/>
            <w:vAlign w:val="bottom"/>
            <w:hideMark/>
          </w:tcPr>
          <w:p w14:paraId="44E1F5A6" w14:textId="77777777" w:rsidR="00D8454F" w:rsidRPr="00576EC1" w:rsidRDefault="00D8454F" w:rsidP="00576EC1">
            <w:pPr>
              <w:rPr>
                <w:rFonts w:ascii="Arial" w:hAnsi="Arial" w:cs="Arial"/>
                <w:sz w:val="18"/>
              </w:rPr>
            </w:pPr>
          </w:p>
        </w:tc>
        <w:tc>
          <w:tcPr>
            <w:tcW w:w="2357" w:type="dxa"/>
            <w:gridSpan w:val="2"/>
            <w:tcBorders>
              <w:bottom w:val="single" w:sz="4" w:space="0" w:color="auto"/>
            </w:tcBorders>
            <w:shd w:val="clear" w:color="auto" w:fill="auto"/>
            <w:noWrap/>
            <w:vAlign w:val="bottom"/>
            <w:hideMark/>
          </w:tcPr>
          <w:p w14:paraId="42E1354C" w14:textId="77777777" w:rsidR="00D8454F" w:rsidRPr="00576EC1" w:rsidRDefault="00D8454F" w:rsidP="00576EC1">
            <w:pPr>
              <w:jc w:val="center"/>
              <w:rPr>
                <w:rFonts w:ascii="Arial" w:hAnsi="Arial" w:cs="Arial"/>
                <w:color w:val="000000"/>
                <w:sz w:val="18"/>
              </w:rPr>
            </w:pPr>
            <w:r w:rsidRPr="00576EC1">
              <w:rPr>
                <w:rFonts w:ascii="Arial" w:hAnsi="Arial" w:cs="Arial"/>
                <w:color w:val="000000"/>
                <w:sz w:val="18"/>
              </w:rPr>
              <w:t>Three months ended</w:t>
            </w:r>
          </w:p>
        </w:tc>
        <w:tc>
          <w:tcPr>
            <w:tcW w:w="2357" w:type="dxa"/>
            <w:gridSpan w:val="2"/>
            <w:tcBorders>
              <w:bottom w:val="single" w:sz="4" w:space="0" w:color="auto"/>
            </w:tcBorders>
            <w:shd w:val="clear" w:color="auto" w:fill="auto"/>
            <w:noWrap/>
            <w:vAlign w:val="bottom"/>
            <w:hideMark/>
          </w:tcPr>
          <w:p w14:paraId="54C66FB0" w14:textId="77777777" w:rsidR="00D8454F" w:rsidRPr="00576EC1" w:rsidRDefault="00D8454F" w:rsidP="00576EC1">
            <w:pPr>
              <w:jc w:val="center"/>
              <w:rPr>
                <w:rFonts w:ascii="Arial" w:hAnsi="Arial" w:cs="Arial"/>
                <w:color w:val="000000"/>
                <w:sz w:val="18"/>
              </w:rPr>
            </w:pPr>
            <w:r w:rsidRPr="00576EC1">
              <w:rPr>
                <w:rFonts w:ascii="Arial" w:hAnsi="Arial" w:cs="Arial"/>
                <w:color w:val="000000"/>
                <w:sz w:val="18"/>
              </w:rPr>
              <w:t>Six months ended</w:t>
            </w:r>
          </w:p>
        </w:tc>
      </w:tr>
      <w:tr w:rsidR="00D8454F" w:rsidRPr="00576EC1" w14:paraId="37A87341" w14:textId="77777777" w:rsidTr="00AA01E0">
        <w:trPr>
          <w:trHeight w:val="219"/>
          <w:tblHeader/>
          <w:jc w:val="center"/>
        </w:trPr>
        <w:tc>
          <w:tcPr>
            <w:tcW w:w="292" w:type="dxa"/>
            <w:shd w:val="clear" w:color="auto" w:fill="auto"/>
            <w:noWrap/>
            <w:vAlign w:val="bottom"/>
            <w:hideMark/>
          </w:tcPr>
          <w:p w14:paraId="2BA63FB5" w14:textId="77777777" w:rsidR="00D8454F" w:rsidRPr="00576EC1" w:rsidRDefault="00D8454F" w:rsidP="00576EC1">
            <w:pPr>
              <w:jc w:val="center"/>
              <w:rPr>
                <w:rFonts w:ascii="Arial" w:hAnsi="Arial" w:cs="Arial"/>
                <w:color w:val="000000"/>
                <w:sz w:val="18"/>
              </w:rPr>
            </w:pPr>
          </w:p>
        </w:tc>
        <w:tc>
          <w:tcPr>
            <w:tcW w:w="3483" w:type="dxa"/>
            <w:shd w:val="clear" w:color="auto" w:fill="auto"/>
            <w:noWrap/>
            <w:vAlign w:val="bottom"/>
            <w:hideMark/>
          </w:tcPr>
          <w:p w14:paraId="23E6D3E7" w14:textId="77777777" w:rsidR="00D8454F" w:rsidRPr="00576EC1" w:rsidRDefault="00D8454F" w:rsidP="00576EC1">
            <w:pPr>
              <w:rPr>
                <w:rFonts w:ascii="Arial" w:hAnsi="Arial" w:cs="Arial"/>
                <w:sz w:val="18"/>
              </w:rPr>
            </w:pPr>
          </w:p>
        </w:tc>
        <w:tc>
          <w:tcPr>
            <w:tcW w:w="900" w:type="dxa"/>
            <w:tcBorders>
              <w:top w:val="single" w:sz="4" w:space="0" w:color="auto"/>
            </w:tcBorders>
            <w:shd w:val="clear" w:color="auto" w:fill="auto"/>
            <w:noWrap/>
            <w:vAlign w:val="bottom"/>
            <w:hideMark/>
          </w:tcPr>
          <w:p w14:paraId="0C73FCE7" w14:textId="77777777" w:rsidR="00D8454F" w:rsidRPr="00576EC1" w:rsidRDefault="00D8454F" w:rsidP="00576EC1">
            <w:pPr>
              <w:rPr>
                <w:rFonts w:ascii="Arial" w:hAnsi="Arial" w:cs="Arial"/>
                <w:sz w:val="18"/>
              </w:rPr>
            </w:pPr>
          </w:p>
        </w:tc>
        <w:tc>
          <w:tcPr>
            <w:tcW w:w="1260" w:type="dxa"/>
            <w:tcBorders>
              <w:top w:val="single" w:sz="4" w:space="0" w:color="auto"/>
            </w:tcBorders>
            <w:shd w:val="clear" w:color="auto" w:fill="auto"/>
            <w:noWrap/>
            <w:vAlign w:val="bottom"/>
            <w:hideMark/>
          </w:tcPr>
          <w:p w14:paraId="70ADF7FC" w14:textId="77777777" w:rsidR="00D8454F" w:rsidRPr="00576EC1" w:rsidRDefault="00D8454F" w:rsidP="00576EC1">
            <w:pPr>
              <w:jc w:val="right"/>
              <w:rPr>
                <w:rFonts w:ascii="Arial" w:hAnsi="Arial" w:cs="Arial"/>
                <w:b/>
                <w:bCs/>
                <w:color w:val="000000"/>
                <w:sz w:val="18"/>
              </w:rPr>
            </w:pPr>
            <w:r w:rsidRPr="00576EC1">
              <w:rPr>
                <w:rFonts w:ascii="Arial" w:hAnsi="Arial" w:cs="Arial"/>
                <w:b/>
                <w:bCs/>
                <w:color w:val="000000"/>
                <w:sz w:val="18"/>
              </w:rPr>
              <w:t>September 30,</w:t>
            </w:r>
          </w:p>
        </w:tc>
        <w:tc>
          <w:tcPr>
            <w:tcW w:w="1097" w:type="dxa"/>
            <w:tcBorders>
              <w:top w:val="single" w:sz="4" w:space="0" w:color="auto"/>
            </w:tcBorders>
            <w:shd w:val="clear" w:color="auto" w:fill="auto"/>
            <w:noWrap/>
            <w:hideMark/>
          </w:tcPr>
          <w:p w14:paraId="5D0F7C93" w14:textId="1EE4ED6A" w:rsidR="00D8454F" w:rsidRPr="00576EC1" w:rsidRDefault="00D8454F" w:rsidP="00D8454F">
            <w:pPr>
              <w:jc w:val="right"/>
              <w:rPr>
                <w:rFonts w:ascii="Arial" w:hAnsi="Arial" w:cs="Arial"/>
                <w:color w:val="000000"/>
                <w:sz w:val="18"/>
              </w:rPr>
            </w:pPr>
            <w:r w:rsidRPr="00576EC1">
              <w:rPr>
                <w:rFonts w:ascii="Arial" w:hAnsi="Arial" w:cs="Arial"/>
                <w:color w:val="000000"/>
                <w:sz w:val="18"/>
              </w:rPr>
              <w:t>September</w:t>
            </w:r>
            <w:r>
              <w:rPr>
                <w:rFonts w:ascii="Arial" w:hAnsi="Arial" w:cs="Arial"/>
                <w:color w:val="000000"/>
                <w:sz w:val="18"/>
              </w:rPr>
              <w:t xml:space="preserve"> 30,</w:t>
            </w:r>
            <w:r w:rsidRPr="00576EC1">
              <w:rPr>
                <w:rFonts w:ascii="Arial" w:hAnsi="Arial" w:cs="Arial"/>
                <w:color w:val="000000"/>
                <w:sz w:val="18"/>
              </w:rPr>
              <w:t xml:space="preserve"> </w:t>
            </w:r>
          </w:p>
        </w:tc>
        <w:tc>
          <w:tcPr>
            <w:tcW w:w="1260" w:type="dxa"/>
            <w:tcBorders>
              <w:top w:val="single" w:sz="4" w:space="0" w:color="auto"/>
            </w:tcBorders>
            <w:shd w:val="clear" w:color="auto" w:fill="auto"/>
            <w:noWrap/>
            <w:vAlign w:val="bottom"/>
            <w:hideMark/>
          </w:tcPr>
          <w:p w14:paraId="362B0153" w14:textId="77777777" w:rsidR="00D8454F" w:rsidRPr="00576EC1" w:rsidRDefault="00D8454F" w:rsidP="00576EC1">
            <w:pPr>
              <w:jc w:val="right"/>
              <w:rPr>
                <w:rFonts w:ascii="Arial" w:hAnsi="Arial" w:cs="Arial"/>
                <w:b/>
                <w:bCs/>
                <w:color w:val="000000"/>
                <w:sz w:val="18"/>
              </w:rPr>
            </w:pPr>
            <w:r w:rsidRPr="00576EC1">
              <w:rPr>
                <w:rFonts w:ascii="Arial" w:hAnsi="Arial" w:cs="Arial"/>
                <w:b/>
                <w:bCs/>
                <w:color w:val="000000"/>
                <w:sz w:val="18"/>
              </w:rPr>
              <w:t>September 30,</w:t>
            </w:r>
          </w:p>
        </w:tc>
        <w:tc>
          <w:tcPr>
            <w:tcW w:w="1097" w:type="dxa"/>
            <w:tcBorders>
              <w:top w:val="single" w:sz="4" w:space="0" w:color="auto"/>
            </w:tcBorders>
            <w:shd w:val="clear" w:color="auto" w:fill="auto"/>
            <w:noWrap/>
            <w:vAlign w:val="bottom"/>
            <w:hideMark/>
          </w:tcPr>
          <w:p w14:paraId="2ADE928A" w14:textId="77777777" w:rsidR="00D8454F" w:rsidRPr="00576EC1" w:rsidRDefault="00D8454F" w:rsidP="00576EC1">
            <w:pPr>
              <w:jc w:val="right"/>
              <w:rPr>
                <w:rFonts w:ascii="Arial" w:hAnsi="Arial" w:cs="Arial"/>
                <w:color w:val="000000"/>
                <w:sz w:val="18"/>
              </w:rPr>
            </w:pPr>
            <w:r w:rsidRPr="00576EC1">
              <w:rPr>
                <w:rFonts w:ascii="Arial" w:hAnsi="Arial" w:cs="Arial"/>
                <w:color w:val="000000"/>
                <w:sz w:val="18"/>
              </w:rPr>
              <w:t>September 30,</w:t>
            </w:r>
          </w:p>
        </w:tc>
      </w:tr>
      <w:tr w:rsidR="00D8454F" w:rsidRPr="00576EC1" w14:paraId="15F1F873" w14:textId="77777777" w:rsidTr="00AA01E0">
        <w:trPr>
          <w:trHeight w:val="219"/>
          <w:tblHeader/>
          <w:jc w:val="center"/>
        </w:trPr>
        <w:tc>
          <w:tcPr>
            <w:tcW w:w="292" w:type="dxa"/>
            <w:tcBorders>
              <w:bottom w:val="single" w:sz="4" w:space="0" w:color="auto"/>
            </w:tcBorders>
            <w:shd w:val="clear" w:color="auto" w:fill="auto"/>
            <w:noWrap/>
            <w:vAlign w:val="bottom"/>
            <w:hideMark/>
          </w:tcPr>
          <w:p w14:paraId="545A4427" w14:textId="77777777" w:rsidR="00D8454F" w:rsidRPr="00576EC1" w:rsidRDefault="00D8454F" w:rsidP="00576EC1">
            <w:pPr>
              <w:rPr>
                <w:rFonts w:ascii="Arial" w:hAnsi="Arial" w:cs="Arial"/>
                <w:color w:val="000000"/>
                <w:sz w:val="18"/>
              </w:rPr>
            </w:pPr>
            <w:r w:rsidRPr="00576EC1">
              <w:rPr>
                <w:rFonts w:ascii="Arial" w:hAnsi="Arial" w:cs="Arial"/>
                <w:color w:val="000000"/>
                <w:sz w:val="18"/>
              </w:rPr>
              <w:t> </w:t>
            </w:r>
          </w:p>
        </w:tc>
        <w:tc>
          <w:tcPr>
            <w:tcW w:w="3483" w:type="dxa"/>
            <w:tcBorders>
              <w:bottom w:val="single" w:sz="4" w:space="0" w:color="auto"/>
            </w:tcBorders>
            <w:shd w:val="clear" w:color="auto" w:fill="auto"/>
            <w:noWrap/>
            <w:vAlign w:val="bottom"/>
            <w:hideMark/>
          </w:tcPr>
          <w:p w14:paraId="25F56735" w14:textId="77777777" w:rsidR="00D8454F" w:rsidRPr="00576EC1" w:rsidRDefault="00D8454F" w:rsidP="00576EC1">
            <w:pPr>
              <w:rPr>
                <w:rFonts w:ascii="Arial" w:hAnsi="Arial" w:cs="Arial"/>
                <w:color w:val="000000"/>
                <w:sz w:val="18"/>
              </w:rPr>
            </w:pPr>
            <w:r w:rsidRPr="00576EC1">
              <w:rPr>
                <w:rFonts w:ascii="Arial" w:hAnsi="Arial" w:cs="Arial"/>
                <w:color w:val="000000"/>
                <w:sz w:val="18"/>
              </w:rPr>
              <w:t> </w:t>
            </w:r>
          </w:p>
        </w:tc>
        <w:tc>
          <w:tcPr>
            <w:tcW w:w="900" w:type="dxa"/>
            <w:tcBorders>
              <w:bottom w:val="single" w:sz="4" w:space="0" w:color="auto"/>
            </w:tcBorders>
            <w:shd w:val="clear" w:color="auto" w:fill="auto"/>
            <w:noWrap/>
            <w:vAlign w:val="bottom"/>
            <w:hideMark/>
          </w:tcPr>
          <w:p w14:paraId="59B5BCB2" w14:textId="77777777" w:rsidR="00D8454F" w:rsidRPr="00576EC1" w:rsidRDefault="00D8454F" w:rsidP="00AA01E0">
            <w:pPr>
              <w:jc w:val="right"/>
              <w:rPr>
                <w:rFonts w:ascii="Arial" w:hAnsi="Arial" w:cs="Arial"/>
                <w:color w:val="000000"/>
                <w:sz w:val="18"/>
              </w:rPr>
            </w:pPr>
            <w:r w:rsidRPr="00576EC1">
              <w:rPr>
                <w:rFonts w:ascii="Arial" w:hAnsi="Arial" w:cs="Arial"/>
                <w:color w:val="000000"/>
                <w:sz w:val="18"/>
              </w:rPr>
              <w:t>Notes</w:t>
            </w:r>
          </w:p>
        </w:tc>
        <w:tc>
          <w:tcPr>
            <w:tcW w:w="1260" w:type="dxa"/>
            <w:tcBorders>
              <w:bottom w:val="single" w:sz="4" w:space="0" w:color="auto"/>
            </w:tcBorders>
            <w:shd w:val="clear" w:color="auto" w:fill="auto"/>
            <w:noWrap/>
            <w:vAlign w:val="bottom"/>
            <w:hideMark/>
          </w:tcPr>
          <w:p w14:paraId="3504DA3C" w14:textId="77777777" w:rsidR="00D8454F" w:rsidRPr="00576EC1" w:rsidRDefault="00D8454F" w:rsidP="00576EC1">
            <w:pPr>
              <w:jc w:val="right"/>
              <w:rPr>
                <w:rFonts w:ascii="Arial" w:hAnsi="Arial" w:cs="Arial"/>
                <w:b/>
                <w:bCs/>
                <w:color w:val="000000"/>
                <w:sz w:val="18"/>
              </w:rPr>
            </w:pPr>
            <w:r w:rsidRPr="00576EC1">
              <w:rPr>
                <w:rFonts w:ascii="Arial" w:hAnsi="Arial" w:cs="Arial"/>
                <w:b/>
                <w:bCs/>
                <w:color w:val="000000"/>
                <w:sz w:val="18"/>
              </w:rPr>
              <w:t>2019</w:t>
            </w:r>
          </w:p>
        </w:tc>
        <w:tc>
          <w:tcPr>
            <w:tcW w:w="1097" w:type="dxa"/>
            <w:tcBorders>
              <w:bottom w:val="single" w:sz="4" w:space="0" w:color="auto"/>
            </w:tcBorders>
            <w:shd w:val="clear" w:color="auto" w:fill="auto"/>
            <w:noWrap/>
            <w:hideMark/>
          </w:tcPr>
          <w:p w14:paraId="16350B5D"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2018</w:t>
            </w:r>
          </w:p>
        </w:tc>
        <w:tc>
          <w:tcPr>
            <w:tcW w:w="1260" w:type="dxa"/>
            <w:tcBorders>
              <w:bottom w:val="single" w:sz="4" w:space="0" w:color="auto"/>
            </w:tcBorders>
            <w:shd w:val="clear" w:color="auto" w:fill="auto"/>
            <w:noWrap/>
            <w:vAlign w:val="bottom"/>
            <w:hideMark/>
          </w:tcPr>
          <w:p w14:paraId="0C01A0EA" w14:textId="77777777" w:rsidR="00D8454F" w:rsidRPr="00576EC1" w:rsidRDefault="00D8454F" w:rsidP="00576EC1">
            <w:pPr>
              <w:jc w:val="right"/>
              <w:rPr>
                <w:rFonts w:ascii="Arial" w:hAnsi="Arial" w:cs="Arial"/>
                <w:b/>
                <w:bCs/>
                <w:color w:val="000000"/>
                <w:sz w:val="18"/>
              </w:rPr>
            </w:pPr>
            <w:r w:rsidRPr="00576EC1">
              <w:rPr>
                <w:rFonts w:ascii="Arial" w:hAnsi="Arial" w:cs="Arial"/>
                <w:b/>
                <w:bCs/>
                <w:color w:val="000000"/>
                <w:sz w:val="18"/>
              </w:rPr>
              <w:t>2019</w:t>
            </w:r>
          </w:p>
        </w:tc>
        <w:tc>
          <w:tcPr>
            <w:tcW w:w="1097" w:type="dxa"/>
            <w:tcBorders>
              <w:bottom w:val="single" w:sz="4" w:space="0" w:color="auto"/>
            </w:tcBorders>
            <w:shd w:val="clear" w:color="auto" w:fill="auto"/>
            <w:noWrap/>
            <w:vAlign w:val="bottom"/>
            <w:hideMark/>
          </w:tcPr>
          <w:p w14:paraId="3586F857" w14:textId="77777777" w:rsidR="00D8454F" w:rsidRPr="00576EC1" w:rsidRDefault="00D8454F" w:rsidP="00576EC1">
            <w:pPr>
              <w:jc w:val="right"/>
              <w:rPr>
                <w:rFonts w:ascii="Arial" w:hAnsi="Arial" w:cs="Arial"/>
                <w:color w:val="000000"/>
                <w:sz w:val="18"/>
              </w:rPr>
            </w:pPr>
            <w:r w:rsidRPr="00576EC1">
              <w:rPr>
                <w:rFonts w:ascii="Arial" w:hAnsi="Arial" w:cs="Arial"/>
                <w:color w:val="000000"/>
                <w:sz w:val="18"/>
              </w:rPr>
              <w:t>2018</w:t>
            </w:r>
          </w:p>
        </w:tc>
      </w:tr>
      <w:tr w:rsidR="00D8454F" w:rsidRPr="00576EC1" w14:paraId="034A6747" w14:textId="77777777" w:rsidTr="00AA01E0">
        <w:trPr>
          <w:trHeight w:val="219"/>
          <w:tblHeader/>
          <w:jc w:val="center"/>
        </w:trPr>
        <w:tc>
          <w:tcPr>
            <w:tcW w:w="292" w:type="dxa"/>
            <w:tcBorders>
              <w:top w:val="single" w:sz="4" w:space="0" w:color="auto"/>
            </w:tcBorders>
            <w:shd w:val="clear" w:color="auto" w:fill="auto"/>
            <w:noWrap/>
            <w:vAlign w:val="bottom"/>
            <w:hideMark/>
          </w:tcPr>
          <w:p w14:paraId="7ED51B41" w14:textId="77777777" w:rsidR="00D8454F" w:rsidRPr="00576EC1" w:rsidRDefault="00D8454F" w:rsidP="00576EC1">
            <w:pPr>
              <w:jc w:val="right"/>
              <w:rPr>
                <w:rFonts w:ascii="Arial" w:hAnsi="Arial" w:cs="Arial"/>
                <w:color w:val="000000"/>
                <w:sz w:val="18"/>
              </w:rPr>
            </w:pPr>
          </w:p>
        </w:tc>
        <w:tc>
          <w:tcPr>
            <w:tcW w:w="3483" w:type="dxa"/>
            <w:tcBorders>
              <w:top w:val="single" w:sz="4" w:space="0" w:color="auto"/>
            </w:tcBorders>
            <w:shd w:val="clear" w:color="auto" w:fill="auto"/>
            <w:noWrap/>
            <w:vAlign w:val="bottom"/>
            <w:hideMark/>
          </w:tcPr>
          <w:p w14:paraId="508397C1" w14:textId="77777777" w:rsidR="00D8454F" w:rsidRPr="00576EC1" w:rsidRDefault="00D8454F" w:rsidP="00576EC1">
            <w:pPr>
              <w:rPr>
                <w:rFonts w:ascii="Arial" w:hAnsi="Arial" w:cs="Arial"/>
                <w:sz w:val="18"/>
              </w:rPr>
            </w:pPr>
          </w:p>
        </w:tc>
        <w:tc>
          <w:tcPr>
            <w:tcW w:w="900" w:type="dxa"/>
            <w:tcBorders>
              <w:top w:val="single" w:sz="4" w:space="0" w:color="auto"/>
            </w:tcBorders>
            <w:shd w:val="clear" w:color="auto" w:fill="auto"/>
            <w:noWrap/>
            <w:vAlign w:val="bottom"/>
            <w:hideMark/>
          </w:tcPr>
          <w:p w14:paraId="352EADE1" w14:textId="77777777" w:rsidR="00D8454F" w:rsidRPr="00576EC1" w:rsidRDefault="00D8454F" w:rsidP="00576EC1">
            <w:pPr>
              <w:rPr>
                <w:rFonts w:ascii="Arial" w:hAnsi="Arial" w:cs="Arial"/>
                <w:sz w:val="18"/>
              </w:rPr>
            </w:pPr>
          </w:p>
        </w:tc>
        <w:tc>
          <w:tcPr>
            <w:tcW w:w="1260" w:type="dxa"/>
            <w:tcBorders>
              <w:top w:val="single" w:sz="4" w:space="0" w:color="auto"/>
            </w:tcBorders>
            <w:shd w:val="clear" w:color="auto" w:fill="auto"/>
            <w:noWrap/>
            <w:vAlign w:val="bottom"/>
            <w:hideMark/>
          </w:tcPr>
          <w:p w14:paraId="2F098067"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1A8FCE34"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19E6721E"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38B4987B" w14:textId="77777777" w:rsidR="00D8454F" w:rsidRPr="00576EC1" w:rsidRDefault="00D8454F" w:rsidP="00D8454F">
            <w:pPr>
              <w:jc w:val="right"/>
              <w:rPr>
                <w:rFonts w:ascii="Arial" w:hAnsi="Arial" w:cs="Arial"/>
                <w:sz w:val="18"/>
              </w:rPr>
            </w:pPr>
          </w:p>
        </w:tc>
      </w:tr>
      <w:tr w:rsidR="00D8454F" w:rsidRPr="00576EC1" w14:paraId="23CE91C7" w14:textId="77777777" w:rsidTr="00D8454F">
        <w:trPr>
          <w:trHeight w:val="219"/>
          <w:tblHeader/>
          <w:jc w:val="center"/>
        </w:trPr>
        <w:tc>
          <w:tcPr>
            <w:tcW w:w="3775" w:type="dxa"/>
            <w:gridSpan w:val="2"/>
            <w:shd w:val="clear" w:color="auto" w:fill="auto"/>
            <w:noWrap/>
            <w:vAlign w:val="bottom"/>
            <w:hideMark/>
          </w:tcPr>
          <w:p w14:paraId="5868B1EF" w14:textId="77777777" w:rsidR="00D8454F" w:rsidRPr="00576EC1" w:rsidRDefault="00D8454F" w:rsidP="00576EC1">
            <w:pPr>
              <w:rPr>
                <w:rFonts w:ascii="Arial" w:hAnsi="Arial" w:cs="Arial"/>
                <w:color w:val="000000"/>
                <w:sz w:val="18"/>
              </w:rPr>
            </w:pPr>
            <w:r w:rsidRPr="00576EC1">
              <w:rPr>
                <w:rFonts w:ascii="Arial" w:hAnsi="Arial" w:cs="Arial"/>
                <w:color w:val="000000"/>
                <w:sz w:val="18"/>
              </w:rPr>
              <w:t>Revenue</w:t>
            </w:r>
          </w:p>
        </w:tc>
        <w:tc>
          <w:tcPr>
            <w:tcW w:w="900" w:type="dxa"/>
            <w:shd w:val="clear" w:color="auto" w:fill="auto"/>
            <w:noWrap/>
            <w:vAlign w:val="bottom"/>
            <w:hideMark/>
          </w:tcPr>
          <w:p w14:paraId="7A06F0E3"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19</w:t>
            </w:r>
          </w:p>
        </w:tc>
        <w:tc>
          <w:tcPr>
            <w:tcW w:w="1260" w:type="dxa"/>
            <w:shd w:val="clear" w:color="auto" w:fill="auto"/>
            <w:noWrap/>
            <w:vAlign w:val="bottom"/>
            <w:hideMark/>
          </w:tcPr>
          <w:p w14:paraId="709E4218" w14:textId="203154EA"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 xml:space="preserve"> $85,621 </w:t>
            </w:r>
          </w:p>
        </w:tc>
        <w:tc>
          <w:tcPr>
            <w:tcW w:w="1097" w:type="dxa"/>
            <w:shd w:val="clear" w:color="auto" w:fill="auto"/>
            <w:noWrap/>
            <w:vAlign w:val="bottom"/>
            <w:hideMark/>
          </w:tcPr>
          <w:p w14:paraId="025A8F7A" w14:textId="2DFE630C" w:rsidR="00D8454F" w:rsidRPr="00576EC1" w:rsidRDefault="00D8454F" w:rsidP="00D8454F">
            <w:pPr>
              <w:jc w:val="right"/>
              <w:rPr>
                <w:rFonts w:ascii="Arial" w:hAnsi="Arial" w:cs="Arial"/>
                <w:color w:val="000000"/>
                <w:sz w:val="18"/>
              </w:rPr>
            </w:pPr>
            <w:r w:rsidRPr="00576EC1">
              <w:rPr>
                <w:rFonts w:ascii="Arial" w:hAnsi="Arial" w:cs="Arial"/>
                <w:color w:val="000000"/>
                <w:sz w:val="18"/>
              </w:rPr>
              <w:t xml:space="preserve"> $23,327 </w:t>
            </w:r>
          </w:p>
        </w:tc>
        <w:tc>
          <w:tcPr>
            <w:tcW w:w="1260" w:type="dxa"/>
            <w:shd w:val="clear" w:color="auto" w:fill="auto"/>
            <w:noWrap/>
            <w:vAlign w:val="bottom"/>
            <w:hideMark/>
          </w:tcPr>
          <w:p w14:paraId="673EFF6E" w14:textId="72E890D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 xml:space="preserve"> $189,012 </w:t>
            </w:r>
          </w:p>
        </w:tc>
        <w:tc>
          <w:tcPr>
            <w:tcW w:w="1097" w:type="dxa"/>
            <w:shd w:val="clear" w:color="auto" w:fill="auto"/>
            <w:noWrap/>
            <w:vAlign w:val="bottom"/>
            <w:hideMark/>
          </w:tcPr>
          <w:p w14:paraId="76D9FD12" w14:textId="5F098EFA" w:rsidR="00D8454F" w:rsidRPr="00576EC1" w:rsidRDefault="00D8454F" w:rsidP="00D8454F">
            <w:pPr>
              <w:jc w:val="right"/>
              <w:rPr>
                <w:rFonts w:ascii="Arial" w:hAnsi="Arial" w:cs="Arial"/>
                <w:color w:val="000000"/>
                <w:sz w:val="18"/>
              </w:rPr>
            </w:pPr>
            <w:r w:rsidRPr="00576EC1">
              <w:rPr>
                <w:rFonts w:ascii="Arial" w:hAnsi="Arial" w:cs="Arial"/>
                <w:color w:val="000000"/>
                <w:sz w:val="18"/>
              </w:rPr>
              <w:t xml:space="preserve"> $49,243 </w:t>
            </w:r>
          </w:p>
        </w:tc>
      </w:tr>
      <w:tr w:rsidR="00D8454F" w:rsidRPr="00576EC1" w14:paraId="33AEA0B0"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46BB4B0C" w14:textId="77777777" w:rsidR="00D8454F" w:rsidRPr="00576EC1" w:rsidRDefault="00D8454F" w:rsidP="00576EC1">
            <w:pPr>
              <w:rPr>
                <w:rFonts w:ascii="Arial" w:hAnsi="Arial" w:cs="Arial"/>
                <w:color w:val="000000"/>
                <w:sz w:val="18"/>
              </w:rPr>
            </w:pPr>
            <w:r w:rsidRPr="00576EC1">
              <w:rPr>
                <w:rFonts w:ascii="Arial" w:hAnsi="Arial" w:cs="Arial"/>
                <w:color w:val="000000"/>
                <w:sz w:val="18"/>
              </w:rPr>
              <w:t>Excise taxes</w:t>
            </w:r>
          </w:p>
        </w:tc>
        <w:tc>
          <w:tcPr>
            <w:tcW w:w="900" w:type="dxa"/>
            <w:tcBorders>
              <w:bottom w:val="single" w:sz="4" w:space="0" w:color="auto"/>
            </w:tcBorders>
            <w:shd w:val="clear" w:color="auto" w:fill="auto"/>
            <w:noWrap/>
            <w:vAlign w:val="bottom"/>
            <w:hideMark/>
          </w:tcPr>
          <w:p w14:paraId="5E63DF1F"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19</w:t>
            </w:r>
          </w:p>
        </w:tc>
        <w:tc>
          <w:tcPr>
            <w:tcW w:w="1260" w:type="dxa"/>
            <w:tcBorders>
              <w:bottom w:val="single" w:sz="4" w:space="0" w:color="auto"/>
            </w:tcBorders>
            <w:shd w:val="clear" w:color="auto" w:fill="auto"/>
            <w:noWrap/>
            <w:vAlign w:val="bottom"/>
            <w:hideMark/>
          </w:tcPr>
          <w:p w14:paraId="47469816"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9,008</w:t>
            </w:r>
          </w:p>
        </w:tc>
        <w:tc>
          <w:tcPr>
            <w:tcW w:w="1097" w:type="dxa"/>
            <w:tcBorders>
              <w:bottom w:val="single" w:sz="4" w:space="0" w:color="auto"/>
            </w:tcBorders>
            <w:shd w:val="clear" w:color="auto" w:fill="auto"/>
            <w:noWrap/>
            <w:vAlign w:val="bottom"/>
            <w:hideMark/>
          </w:tcPr>
          <w:p w14:paraId="7A454F11" w14:textId="0E69EB8F" w:rsidR="00D8454F" w:rsidRPr="00576EC1" w:rsidRDefault="00D8454F" w:rsidP="00D8454F">
            <w:pPr>
              <w:jc w:val="right"/>
              <w:rPr>
                <w:rFonts w:ascii="Arial" w:hAnsi="Arial" w:cs="Arial"/>
                <w:color w:val="000000"/>
                <w:sz w:val="18"/>
              </w:rPr>
            </w:pPr>
            <w:r w:rsidRPr="00576EC1">
              <w:rPr>
                <w:rFonts w:ascii="Arial" w:hAnsi="Arial" w:cs="Arial"/>
                <w:color w:val="000000"/>
                <w:sz w:val="18"/>
              </w:rPr>
              <w:t>-</w:t>
            </w:r>
          </w:p>
        </w:tc>
        <w:tc>
          <w:tcPr>
            <w:tcW w:w="1260" w:type="dxa"/>
            <w:tcBorders>
              <w:bottom w:val="single" w:sz="4" w:space="0" w:color="auto"/>
            </w:tcBorders>
            <w:shd w:val="clear" w:color="auto" w:fill="auto"/>
            <w:noWrap/>
            <w:vAlign w:val="bottom"/>
            <w:hideMark/>
          </w:tcPr>
          <w:p w14:paraId="4FF73F87"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21,917</w:t>
            </w:r>
          </w:p>
        </w:tc>
        <w:tc>
          <w:tcPr>
            <w:tcW w:w="1097" w:type="dxa"/>
            <w:tcBorders>
              <w:bottom w:val="single" w:sz="4" w:space="0" w:color="auto"/>
            </w:tcBorders>
            <w:shd w:val="clear" w:color="auto" w:fill="auto"/>
            <w:noWrap/>
            <w:vAlign w:val="bottom"/>
            <w:hideMark/>
          </w:tcPr>
          <w:p w14:paraId="5B4CFDBA" w14:textId="62C6681A" w:rsidR="00D8454F" w:rsidRPr="00576EC1" w:rsidRDefault="00D8454F" w:rsidP="00D8454F">
            <w:pPr>
              <w:jc w:val="right"/>
              <w:rPr>
                <w:rFonts w:ascii="Arial" w:hAnsi="Arial" w:cs="Arial"/>
                <w:color w:val="000000"/>
                <w:sz w:val="18"/>
              </w:rPr>
            </w:pPr>
            <w:r w:rsidRPr="00576EC1">
              <w:rPr>
                <w:rFonts w:ascii="Arial" w:hAnsi="Arial" w:cs="Arial"/>
                <w:color w:val="000000"/>
                <w:sz w:val="18"/>
              </w:rPr>
              <w:t>-</w:t>
            </w:r>
          </w:p>
        </w:tc>
      </w:tr>
      <w:tr w:rsidR="00D8454F" w:rsidRPr="00576EC1" w14:paraId="6A5FA20A" w14:textId="77777777" w:rsidTr="00D8454F">
        <w:trPr>
          <w:trHeight w:val="59"/>
          <w:tblHeader/>
          <w:jc w:val="center"/>
        </w:trPr>
        <w:tc>
          <w:tcPr>
            <w:tcW w:w="292" w:type="dxa"/>
            <w:tcBorders>
              <w:top w:val="single" w:sz="4" w:space="0" w:color="auto"/>
            </w:tcBorders>
            <w:shd w:val="clear" w:color="auto" w:fill="auto"/>
            <w:noWrap/>
            <w:vAlign w:val="bottom"/>
            <w:hideMark/>
          </w:tcPr>
          <w:p w14:paraId="4D574ACA" w14:textId="77777777" w:rsidR="00D8454F" w:rsidRPr="00576EC1" w:rsidRDefault="00D8454F" w:rsidP="00576EC1">
            <w:pPr>
              <w:rPr>
                <w:rFonts w:ascii="Arial" w:hAnsi="Arial" w:cs="Arial"/>
                <w:color w:val="000000"/>
                <w:sz w:val="18"/>
              </w:rPr>
            </w:pPr>
          </w:p>
        </w:tc>
        <w:tc>
          <w:tcPr>
            <w:tcW w:w="3483" w:type="dxa"/>
            <w:tcBorders>
              <w:top w:val="single" w:sz="4" w:space="0" w:color="auto"/>
            </w:tcBorders>
            <w:shd w:val="clear" w:color="auto" w:fill="auto"/>
            <w:noWrap/>
            <w:vAlign w:val="bottom"/>
            <w:hideMark/>
          </w:tcPr>
          <w:p w14:paraId="28DD12D5" w14:textId="77777777" w:rsidR="00D8454F" w:rsidRPr="00576EC1" w:rsidRDefault="00D8454F" w:rsidP="00576EC1">
            <w:pPr>
              <w:rPr>
                <w:rFonts w:ascii="Arial" w:hAnsi="Arial" w:cs="Arial"/>
                <w:sz w:val="18"/>
              </w:rPr>
            </w:pPr>
          </w:p>
        </w:tc>
        <w:tc>
          <w:tcPr>
            <w:tcW w:w="900" w:type="dxa"/>
            <w:tcBorders>
              <w:top w:val="single" w:sz="4" w:space="0" w:color="auto"/>
            </w:tcBorders>
            <w:shd w:val="clear" w:color="auto" w:fill="auto"/>
            <w:noWrap/>
            <w:vAlign w:val="bottom"/>
            <w:hideMark/>
          </w:tcPr>
          <w:p w14:paraId="566BCBEF"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1985F0F3"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42795DCA"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450FE69C"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0E0ED720" w14:textId="77777777" w:rsidR="00D8454F" w:rsidRPr="00576EC1" w:rsidRDefault="00D8454F" w:rsidP="00D8454F">
            <w:pPr>
              <w:jc w:val="right"/>
              <w:rPr>
                <w:rFonts w:ascii="Arial" w:hAnsi="Arial" w:cs="Arial"/>
                <w:sz w:val="18"/>
              </w:rPr>
            </w:pPr>
          </w:p>
        </w:tc>
      </w:tr>
      <w:tr w:rsidR="00D8454F" w:rsidRPr="00576EC1" w14:paraId="364DBE1F" w14:textId="77777777" w:rsidTr="00D8454F">
        <w:trPr>
          <w:trHeight w:val="219"/>
          <w:tblHeader/>
          <w:jc w:val="center"/>
        </w:trPr>
        <w:tc>
          <w:tcPr>
            <w:tcW w:w="3775" w:type="dxa"/>
            <w:gridSpan w:val="2"/>
            <w:shd w:val="clear" w:color="auto" w:fill="auto"/>
            <w:noWrap/>
            <w:vAlign w:val="bottom"/>
            <w:hideMark/>
          </w:tcPr>
          <w:p w14:paraId="71D85B68" w14:textId="77777777" w:rsidR="00D8454F" w:rsidRPr="00576EC1" w:rsidRDefault="00D8454F" w:rsidP="00576EC1">
            <w:pPr>
              <w:rPr>
                <w:rFonts w:ascii="Arial" w:hAnsi="Arial" w:cs="Arial"/>
                <w:b/>
                <w:bCs/>
                <w:color w:val="000000"/>
                <w:sz w:val="18"/>
              </w:rPr>
            </w:pPr>
            <w:r w:rsidRPr="00576EC1">
              <w:rPr>
                <w:rFonts w:ascii="Arial" w:hAnsi="Arial" w:cs="Arial"/>
                <w:b/>
                <w:bCs/>
                <w:color w:val="000000"/>
                <w:sz w:val="18"/>
              </w:rPr>
              <w:t>Net Revenue</w:t>
            </w:r>
          </w:p>
        </w:tc>
        <w:tc>
          <w:tcPr>
            <w:tcW w:w="900" w:type="dxa"/>
            <w:shd w:val="clear" w:color="auto" w:fill="auto"/>
            <w:noWrap/>
            <w:vAlign w:val="bottom"/>
            <w:hideMark/>
          </w:tcPr>
          <w:p w14:paraId="3376C3AD"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19</w:t>
            </w:r>
          </w:p>
        </w:tc>
        <w:tc>
          <w:tcPr>
            <w:tcW w:w="1260" w:type="dxa"/>
            <w:shd w:val="clear" w:color="auto" w:fill="auto"/>
            <w:noWrap/>
            <w:vAlign w:val="bottom"/>
            <w:hideMark/>
          </w:tcPr>
          <w:p w14:paraId="4D52D50C"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76,613</w:t>
            </w:r>
          </w:p>
        </w:tc>
        <w:tc>
          <w:tcPr>
            <w:tcW w:w="1097" w:type="dxa"/>
            <w:shd w:val="clear" w:color="auto" w:fill="auto"/>
            <w:noWrap/>
            <w:vAlign w:val="bottom"/>
            <w:hideMark/>
          </w:tcPr>
          <w:p w14:paraId="7DC4156E"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23,327</w:t>
            </w:r>
          </w:p>
        </w:tc>
        <w:tc>
          <w:tcPr>
            <w:tcW w:w="1260" w:type="dxa"/>
            <w:shd w:val="clear" w:color="auto" w:fill="auto"/>
            <w:noWrap/>
            <w:vAlign w:val="bottom"/>
            <w:hideMark/>
          </w:tcPr>
          <w:p w14:paraId="667728A0"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167,095</w:t>
            </w:r>
          </w:p>
        </w:tc>
        <w:tc>
          <w:tcPr>
            <w:tcW w:w="1097" w:type="dxa"/>
            <w:shd w:val="clear" w:color="auto" w:fill="auto"/>
            <w:noWrap/>
            <w:vAlign w:val="bottom"/>
            <w:hideMark/>
          </w:tcPr>
          <w:p w14:paraId="045E7226"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49,243</w:t>
            </w:r>
          </w:p>
        </w:tc>
      </w:tr>
      <w:tr w:rsidR="00D8454F" w:rsidRPr="00576EC1" w14:paraId="08EC8EC7" w14:textId="77777777" w:rsidTr="00D8454F">
        <w:trPr>
          <w:trHeight w:val="219"/>
          <w:tblHeader/>
          <w:jc w:val="center"/>
        </w:trPr>
        <w:tc>
          <w:tcPr>
            <w:tcW w:w="292" w:type="dxa"/>
            <w:shd w:val="clear" w:color="auto" w:fill="auto"/>
            <w:noWrap/>
            <w:vAlign w:val="bottom"/>
            <w:hideMark/>
          </w:tcPr>
          <w:p w14:paraId="5F838C71" w14:textId="77777777" w:rsidR="00D8454F" w:rsidRPr="00576EC1" w:rsidRDefault="00D8454F" w:rsidP="00576EC1">
            <w:pPr>
              <w:jc w:val="right"/>
              <w:rPr>
                <w:rFonts w:ascii="Arial" w:hAnsi="Arial" w:cs="Arial"/>
                <w:color w:val="000000"/>
                <w:sz w:val="18"/>
              </w:rPr>
            </w:pPr>
          </w:p>
        </w:tc>
        <w:tc>
          <w:tcPr>
            <w:tcW w:w="3483" w:type="dxa"/>
            <w:shd w:val="clear" w:color="auto" w:fill="auto"/>
            <w:noWrap/>
            <w:vAlign w:val="bottom"/>
            <w:hideMark/>
          </w:tcPr>
          <w:p w14:paraId="54AFBB71" w14:textId="77777777" w:rsidR="00D8454F" w:rsidRPr="00576EC1" w:rsidRDefault="00D8454F" w:rsidP="00576EC1">
            <w:pPr>
              <w:rPr>
                <w:rFonts w:ascii="Arial" w:hAnsi="Arial" w:cs="Arial"/>
                <w:sz w:val="18"/>
              </w:rPr>
            </w:pPr>
          </w:p>
        </w:tc>
        <w:tc>
          <w:tcPr>
            <w:tcW w:w="900" w:type="dxa"/>
            <w:shd w:val="clear" w:color="auto" w:fill="auto"/>
            <w:noWrap/>
            <w:vAlign w:val="bottom"/>
            <w:hideMark/>
          </w:tcPr>
          <w:p w14:paraId="235FD8FB"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28B4A2A6"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34D08AB4"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3F65F169"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44EB10B3" w14:textId="77777777" w:rsidR="00D8454F" w:rsidRPr="00576EC1" w:rsidRDefault="00D8454F" w:rsidP="00D8454F">
            <w:pPr>
              <w:jc w:val="right"/>
              <w:rPr>
                <w:rFonts w:ascii="Arial" w:hAnsi="Arial" w:cs="Arial"/>
                <w:sz w:val="18"/>
              </w:rPr>
            </w:pPr>
          </w:p>
        </w:tc>
      </w:tr>
      <w:tr w:rsidR="00D8454F" w:rsidRPr="00576EC1" w14:paraId="5FF902B2" w14:textId="77777777" w:rsidTr="00D8454F">
        <w:trPr>
          <w:trHeight w:val="219"/>
          <w:tblHeader/>
          <w:jc w:val="center"/>
        </w:trPr>
        <w:tc>
          <w:tcPr>
            <w:tcW w:w="3775" w:type="dxa"/>
            <w:gridSpan w:val="2"/>
            <w:shd w:val="clear" w:color="auto" w:fill="auto"/>
            <w:noWrap/>
            <w:vAlign w:val="bottom"/>
            <w:hideMark/>
          </w:tcPr>
          <w:p w14:paraId="762E2369" w14:textId="0E12CFE3" w:rsidR="00D8454F" w:rsidRPr="00576EC1" w:rsidRDefault="00D8454F" w:rsidP="00BD3901">
            <w:pPr>
              <w:rPr>
                <w:rFonts w:ascii="Arial" w:hAnsi="Arial" w:cs="Arial"/>
                <w:color w:val="000000"/>
                <w:sz w:val="18"/>
              </w:rPr>
            </w:pPr>
            <w:r w:rsidRPr="00576EC1">
              <w:rPr>
                <w:rFonts w:ascii="Arial" w:hAnsi="Arial" w:cs="Arial"/>
                <w:color w:val="000000"/>
                <w:sz w:val="18"/>
              </w:rPr>
              <w:t>Inventory production costs expensed</w:t>
            </w:r>
            <w:r>
              <w:rPr>
                <w:rFonts w:ascii="Arial" w:hAnsi="Arial" w:cs="Arial"/>
                <w:color w:val="000000"/>
                <w:sz w:val="18"/>
              </w:rPr>
              <w:t xml:space="preserve"> </w:t>
            </w:r>
            <w:r w:rsidRPr="00576EC1">
              <w:rPr>
                <w:rFonts w:ascii="Arial" w:hAnsi="Arial" w:cs="Arial"/>
                <w:color w:val="000000"/>
                <w:sz w:val="18"/>
              </w:rPr>
              <w:t>to cost of sales</w:t>
            </w:r>
          </w:p>
        </w:tc>
        <w:tc>
          <w:tcPr>
            <w:tcW w:w="900" w:type="dxa"/>
            <w:shd w:val="clear" w:color="auto" w:fill="auto"/>
            <w:noWrap/>
            <w:vAlign w:val="bottom"/>
            <w:hideMark/>
          </w:tcPr>
          <w:p w14:paraId="2B91FC66"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205B0D2B" w14:textId="7B73A68A" w:rsidR="00D8454F" w:rsidRPr="00576EC1" w:rsidRDefault="00D8454F" w:rsidP="00D8454F">
            <w:pPr>
              <w:jc w:val="right"/>
              <w:rPr>
                <w:rFonts w:ascii="Arial" w:hAnsi="Arial" w:cs="Arial"/>
                <w:sz w:val="18"/>
              </w:rPr>
            </w:pPr>
            <w:r w:rsidRPr="00576EC1">
              <w:rPr>
                <w:rFonts w:ascii="Arial" w:hAnsi="Arial" w:cs="Arial"/>
                <w:b/>
                <w:bCs/>
                <w:color w:val="000000"/>
                <w:sz w:val="18"/>
              </w:rPr>
              <w:t>86,321</w:t>
            </w:r>
          </w:p>
        </w:tc>
        <w:tc>
          <w:tcPr>
            <w:tcW w:w="1097" w:type="dxa"/>
            <w:shd w:val="clear" w:color="auto" w:fill="auto"/>
            <w:noWrap/>
            <w:vAlign w:val="bottom"/>
            <w:hideMark/>
          </w:tcPr>
          <w:p w14:paraId="6014FED7" w14:textId="1EC8F478" w:rsidR="00D8454F" w:rsidRPr="00576EC1" w:rsidRDefault="00D8454F" w:rsidP="00D8454F">
            <w:pPr>
              <w:jc w:val="right"/>
              <w:rPr>
                <w:rFonts w:ascii="Arial" w:hAnsi="Arial" w:cs="Arial"/>
                <w:sz w:val="18"/>
              </w:rPr>
            </w:pPr>
            <w:r w:rsidRPr="00576EC1">
              <w:rPr>
                <w:rFonts w:ascii="Arial" w:hAnsi="Arial" w:cs="Arial"/>
                <w:color w:val="000000"/>
                <w:sz w:val="18"/>
              </w:rPr>
              <w:t>15,624</w:t>
            </w:r>
          </w:p>
        </w:tc>
        <w:tc>
          <w:tcPr>
            <w:tcW w:w="1260" w:type="dxa"/>
            <w:shd w:val="clear" w:color="auto" w:fill="auto"/>
            <w:noWrap/>
            <w:vAlign w:val="bottom"/>
            <w:hideMark/>
          </w:tcPr>
          <w:p w14:paraId="20815E3E" w14:textId="1E576EA5" w:rsidR="00D8454F" w:rsidRPr="00576EC1" w:rsidRDefault="00D8454F" w:rsidP="00D8454F">
            <w:pPr>
              <w:jc w:val="right"/>
              <w:rPr>
                <w:rFonts w:ascii="Arial" w:hAnsi="Arial" w:cs="Arial"/>
                <w:sz w:val="18"/>
              </w:rPr>
            </w:pPr>
            <w:r w:rsidRPr="00576EC1">
              <w:rPr>
                <w:rFonts w:ascii="Arial" w:hAnsi="Arial" w:cs="Arial"/>
                <w:b/>
                <w:bCs/>
                <w:color w:val="000000"/>
                <w:sz w:val="18"/>
              </w:rPr>
              <w:t>159,503</w:t>
            </w:r>
          </w:p>
        </w:tc>
        <w:tc>
          <w:tcPr>
            <w:tcW w:w="1097" w:type="dxa"/>
            <w:shd w:val="clear" w:color="auto" w:fill="auto"/>
            <w:noWrap/>
            <w:vAlign w:val="bottom"/>
            <w:hideMark/>
          </w:tcPr>
          <w:p w14:paraId="1E0925BA" w14:textId="1B3C7B9F" w:rsidR="00D8454F" w:rsidRPr="00576EC1" w:rsidRDefault="00D8454F" w:rsidP="00D8454F">
            <w:pPr>
              <w:jc w:val="right"/>
              <w:rPr>
                <w:rFonts w:ascii="Arial" w:hAnsi="Arial" w:cs="Arial"/>
                <w:sz w:val="18"/>
              </w:rPr>
            </w:pPr>
            <w:r w:rsidRPr="00576EC1">
              <w:rPr>
                <w:rFonts w:ascii="Arial" w:hAnsi="Arial" w:cs="Arial"/>
                <w:color w:val="000000"/>
                <w:sz w:val="18"/>
              </w:rPr>
              <w:t>29,029</w:t>
            </w:r>
          </w:p>
        </w:tc>
      </w:tr>
      <w:tr w:rsidR="00D8454F" w:rsidRPr="00576EC1" w14:paraId="370E2406" w14:textId="77777777" w:rsidTr="00D8454F">
        <w:trPr>
          <w:trHeight w:val="219"/>
          <w:tblHeader/>
          <w:jc w:val="center"/>
        </w:trPr>
        <w:tc>
          <w:tcPr>
            <w:tcW w:w="292" w:type="dxa"/>
            <w:shd w:val="clear" w:color="auto" w:fill="auto"/>
            <w:noWrap/>
            <w:vAlign w:val="bottom"/>
            <w:hideMark/>
          </w:tcPr>
          <w:p w14:paraId="68CEBB7B" w14:textId="77777777" w:rsidR="00D8454F" w:rsidRPr="00576EC1" w:rsidRDefault="00D8454F" w:rsidP="00BD3901">
            <w:pPr>
              <w:jc w:val="right"/>
              <w:rPr>
                <w:rFonts w:ascii="Arial" w:hAnsi="Arial" w:cs="Arial"/>
                <w:color w:val="000000"/>
                <w:sz w:val="18"/>
              </w:rPr>
            </w:pPr>
          </w:p>
        </w:tc>
        <w:tc>
          <w:tcPr>
            <w:tcW w:w="3483" w:type="dxa"/>
            <w:shd w:val="clear" w:color="auto" w:fill="auto"/>
            <w:noWrap/>
            <w:vAlign w:val="bottom"/>
            <w:hideMark/>
          </w:tcPr>
          <w:p w14:paraId="5DFB3C64" w14:textId="77777777" w:rsidR="00D8454F" w:rsidRPr="00576EC1" w:rsidRDefault="00D8454F" w:rsidP="00BD3901">
            <w:pPr>
              <w:rPr>
                <w:rFonts w:ascii="Arial" w:hAnsi="Arial" w:cs="Arial"/>
                <w:sz w:val="18"/>
              </w:rPr>
            </w:pPr>
          </w:p>
        </w:tc>
        <w:tc>
          <w:tcPr>
            <w:tcW w:w="900" w:type="dxa"/>
            <w:shd w:val="clear" w:color="auto" w:fill="auto"/>
            <w:noWrap/>
            <w:vAlign w:val="bottom"/>
            <w:hideMark/>
          </w:tcPr>
          <w:p w14:paraId="22EBF5FB"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605A3C14"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00BFC0FB"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575B1E5F"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5DA8FD66" w14:textId="77777777" w:rsidR="00D8454F" w:rsidRPr="00576EC1" w:rsidRDefault="00D8454F" w:rsidP="00D8454F">
            <w:pPr>
              <w:jc w:val="right"/>
              <w:rPr>
                <w:rFonts w:ascii="Arial" w:hAnsi="Arial" w:cs="Arial"/>
                <w:sz w:val="18"/>
              </w:rPr>
            </w:pPr>
          </w:p>
        </w:tc>
      </w:tr>
      <w:tr w:rsidR="00D8454F" w:rsidRPr="00576EC1" w14:paraId="72C3DCAE" w14:textId="77777777" w:rsidTr="00D8454F">
        <w:trPr>
          <w:trHeight w:val="219"/>
          <w:tblHeader/>
          <w:jc w:val="center"/>
        </w:trPr>
        <w:tc>
          <w:tcPr>
            <w:tcW w:w="3775" w:type="dxa"/>
            <w:gridSpan w:val="2"/>
            <w:shd w:val="clear" w:color="auto" w:fill="auto"/>
            <w:noWrap/>
            <w:vAlign w:val="bottom"/>
            <w:hideMark/>
          </w:tcPr>
          <w:p w14:paraId="3488B839"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Gross margin before the undernoted</w:t>
            </w:r>
          </w:p>
        </w:tc>
        <w:tc>
          <w:tcPr>
            <w:tcW w:w="900" w:type="dxa"/>
            <w:shd w:val="clear" w:color="auto" w:fill="auto"/>
            <w:noWrap/>
            <w:vAlign w:val="bottom"/>
            <w:hideMark/>
          </w:tcPr>
          <w:p w14:paraId="127A405E"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71650B9F"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(9,708)</w:t>
            </w:r>
          </w:p>
        </w:tc>
        <w:tc>
          <w:tcPr>
            <w:tcW w:w="1097" w:type="dxa"/>
            <w:shd w:val="clear" w:color="auto" w:fill="auto"/>
            <w:noWrap/>
            <w:vAlign w:val="bottom"/>
            <w:hideMark/>
          </w:tcPr>
          <w:p w14:paraId="4C7BC746"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7,703</w:t>
            </w:r>
          </w:p>
        </w:tc>
        <w:tc>
          <w:tcPr>
            <w:tcW w:w="1260" w:type="dxa"/>
            <w:shd w:val="clear" w:color="auto" w:fill="auto"/>
            <w:noWrap/>
            <w:vAlign w:val="bottom"/>
            <w:hideMark/>
          </w:tcPr>
          <w:p w14:paraId="4398B3A7"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7,592</w:t>
            </w:r>
          </w:p>
        </w:tc>
        <w:tc>
          <w:tcPr>
            <w:tcW w:w="1097" w:type="dxa"/>
            <w:shd w:val="clear" w:color="auto" w:fill="auto"/>
            <w:noWrap/>
            <w:vAlign w:val="bottom"/>
            <w:hideMark/>
          </w:tcPr>
          <w:p w14:paraId="5430E4BC"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20,214</w:t>
            </w:r>
          </w:p>
        </w:tc>
      </w:tr>
      <w:tr w:rsidR="00D8454F" w:rsidRPr="00576EC1" w14:paraId="5E07114E" w14:textId="77777777" w:rsidTr="00D8454F">
        <w:trPr>
          <w:trHeight w:val="219"/>
          <w:tblHeader/>
          <w:jc w:val="center"/>
        </w:trPr>
        <w:tc>
          <w:tcPr>
            <w:tcW w:w="292" w:type="dxa"/>
            <w:shd w:val="clear" w:color="auto" w:fill="auto"/>
            <w:noWrap/>
            <w:vAlign w:val="bottom"/>
            <w:hideMark/>
          </w:tcPr>
          <w:p w14:paraId="5EF5FDFD" w14:textId="77777777" w:rsidR="00D8454F" w:rsidRPr="00576EC1" w:rsidRDefault="00D8454F" w:rsidP="00BD3901">
            <w:pPr>
              <w:jc w:val="right"/>
              <w:rPr>
                <w:rFonts w:ascii="Arial" w:hAnsi="Arial" w:cs="Arial"/>
                <w:color w:val="000000"/>
                <w:sz w:val="18"/>
              </w:rPr>
            </w:pPr>
          </w:p>
        </w:tc>
        <w:tc>
          <w:tcPr>
            <w:tcW w:w="3483" w:type="dxa"/>
            <w:shd w:val="clear" w:color="auto" w:fill="auto"/>
            <w:noWrap/>
            <w:vAlign w:val="bottom"/>
            <w:hideMark/>
          </w:tcPr>
          <w:p w14:paraId="1E1DB9A4" w14:textId="77777777" w:rsidR="00D8454F" w:rsidRPr="00576EC1" w:rsidRDefault="00D8454F" w:rsidP="00BD3901">
            <w:pPr>
              <w:rPr>
                <w:rFonts w:ascii="Arial" w:hAnsi="Arial" w:cs="Arial"/>
                <w:sz w:val="18"/>
              </w:rPr>
            </w:pPr>
          </w:p>
        </w:tc>
        <w:tc>
          <w:tcPr>
            <w:tcW w:w="900" w:type="dxa"/>
            <w:shd w:val="clear" w:color="auto" w:fill="auto"/>
            <w:noWrap/>
            <w:vAlign w:val="bottom"/>
            <w:hideMark/>
          </w:tcPr>
          <w:p w14:paraId="1E3A14D2"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13232ACA"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472D408E"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2E1251C4"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0FD79F4D" w14:textId="77777777" w:rsidR="00D8454F" w:rsidRPr="00576EC1" w:rsidRDefault="00D8454F" w:rsidP="00D8454F">
            <w:pPr>
              <w:jc w:val="right"/>
              <w:rPr>
                <w:rFonts w:ascii="Arial" w:hAnsi="Arial" w:cs="Arial"/>
                <w:sz w:val="18"/>
              </w:rPr>
            </w:pPr>
          </w:p>
        </w:tc>
      </w:tr>
      <w:tr w:rsidR="00D8454F" w:rsidRPr="00576EC1" w14:paraId="3A2D8BCC" w14:textId="77777777" w:rsidTr="00D8454F">
        <w:trPr>
          <w:trHeight w:val="219"/>
          <w:tblHeader/>
          <w:jc w:val="center"/>
        </w:trPr>
        <w:tc>
          <w:tcPr>
            <w:tcW w:w="3775" w:type="dxa"/>
            <w:gridSpan w:val="2"/>
            <w:shd w:val="clear" w:color="auto" w:fill="auto"/>
            <w:noWrap/>
            <w:vAlign w:val="bottom"/>
            <w:hideMark/>
          </w:tcPr>
          <w:p w14:paraId="502FD05A" w14:textId="03D22A50" w:rsidR="00D8454F" w:rsidRPr="00576EC1" w:rsidRDefault="00D8454F" w:rsidP="00BD3901">
            <w:pPr>
              <w:rPr>
                <w:rFonts w:ascii="Arial" w:hAnsi="Arial" w:cs="Arial"/>
                <w:color w:val="000000"/>
                <w:sz w:val="18"/>
              </w:rPr>
            </w:pPr>
            <w:r w:rsidRPr="00576EC1">
              <w:rPr>
                <w:rFonts w:ascii="Arial" w:hAnsi="Arial" w:cs="Arial"/>
                <w:color w:val="000000"/>
                <w:sz w:val="18"/>
              </w:rPr>
              <w:t>Fair value changes in biological assets included in inventory sold and other</w:t>
            </w:r>
            <w:r>
              <w:rPr>
                <w:rFonts w:ascii="Arial" w:hAnsi="Arial" w:cs="Arial"/>
                <w:color w:val="000000"/>
                <w:sz w:val="18"/>
              </w:rPr>
              <w:t xml:space="preserve"> charges</w:t>
            </w:r>
          </w:p>
        </w:tc>
        <w:tc>
          <w:tcPr>
            <w:tcW w:w="900" w:type="dxa"/>
            <w:shd w:val="clear" w:color="auto" w:fill="auto"/>
            <w:noWrap/>
            <w:vAlign w:val="bottom"/>
            <w:hideMark/>
          </w:tcPr>
          <w:p w14:paraId="4D859378" w14:textId="211804D6" w:rsidR="00D8454F" w:rsidRPr="00576EC1" w:rsidRDefault="00D8454F" w:rsidP="00D8454F">
            <w:pPr>
              <w:jc w:val="right"/>
              <w:rPr>
                <w:rFonts w:ascii="Arial" w:hAnsi="Arial" w:cs="Arial"/>
                <w:sz w:val="18"/>
              </w:rPr>
            </w:pPr>
            <w:r w:rsidRPr="00576EC1">
              <w:rPr>
                <w:rFonts w:ascii="Arial" w:hAnsi="Arial" w:cs="Arial"/>
                <w:color w:val="000000"/>
                <w:sz w:val="18"/>
              </w:rPr>
              <w:t>7</w:t>
            </w:r>
          </w:p>
        </w:tc>
        <w:tc>
          <w:tcPr>
            <w:tcW w:w="1260" w:type="dxa"/>
            <w:shd w:val="clear" w:color="auto" w:fill="auto"/>
            <w:noWrap/>
            <w:vAlign w:val="bottom"/>
            <w:hideMark/>
          </w:tcPr>
          <w:p w14:paraId="3136A16B" w14:textId="317E5B16" w:rsidR="00D8454F" w:rsidRPr="00576EC1" w:rsidRDefault="00D8454F" w:rsidP="00D8454F">
            <w:pPr>
              <w:jc w:val="right"/>
              <w:rPr>
                <w:rFonts w:ascii="Arial" w:hAnsi="Arial" w:cs="Arial"/>
                <w:sz w:val="18"/>
              </w:rPr>
            </w:pPr>
            <w:r w:rsidRPr="00576EC1">
              <w:rPr>
                <w:rFonts w:ascii="Arial" w:hAnsi="Arial" w:cs="Arial"/>
                <w:b/>
                <w:bCs/>
                <w:color w:val="000000"/>
                <w:sz w:val="18"/>
              </w:rPr>
              <w:t>69,089</w:t>
            </w:r>
          </w:p>
        </w:tc>
        <w:tc>
          <w:tcPr>
            <w:tcW w:w="1097" w:type="dxa"/>
            <w:shd w:val="clear" w:color="auto" w:fill="auto"/>
            <w:noWrap/>
            <w:vAlign w:val="bottom"/>
            <w:hideMark/>
          </w:tcPr>
          <w:p w14:paraId="17DB663B" w14:textId="5779308F" w:rsidR="00D8454F" w:rsidRPr="00576EC1" w:rsidRDefault="00D8454F" w:rsidP="00D8454F">
            <w:pPr>
              <w:jc w:val="right"/>
              <w:rPr>
                <w:rFonts w:ascii="Arial" w:hAnsi="Arial" w:cs="Arial"/>
                <w:sz w:val="18"/>
              </w:rPr>
            </w:pPr>
            <w:r w:rsidRPr="00576EC1">
              <w:rPr>
                <w:rFonts w:ascii="Arial" w:hAnsi="Arial" w:cs="Arial"/>
                <w:color w:val="000000"/>
                <w:sz w:val="18"/>
              </w:rPr>
              <w:t>51,496</w:t>
            </w:r>
          </w:p>
        </w:tc>
        <w:tc>
          <w:tcPr>
            <w:tcW w:w="1260" w:type="dxa"/>
            <w:shd w:val="clear" w:color="auto" w:fill="auto"/>
            <w:noWrap/>
            <w:vAlign w:val="bottom"/>
            <w:hideMark/>
          </w:tcPr>
          <w:p w14:paraId="56EDAF89" w14:textId="5F48C86C" w:rsidR="00D8454F" w:rsidRPr="00576EC1" w:rsidRDefault="00D8454F" w:rsidP="00D8454F">
            <w:pPr>
              <w:jc w:val="right"/>
              <w:rPr>
                <w:rFonts w:ascii="Arial" w:hAnsi="Arial" w:cs="Arial"/>
                <w:sz w:val="18"/>
              </w:rPr>
            </w:pPr>
            <w:r w:rsidRPr="00576EC1">
              <w:rPr>
                <w:rFonts w:ascii="Arial" w:hAnsi="Arial" w:cs="Arial"/>
                <w:b/>
                <w:bCs/>
                <w:color w:val="000000"/>
                <w:sz w:val="18"/>
              </w:rPr>
              <w:t>115,219</w:t>
            </w:r>
          </w:p>
        </w:tc>
        <w:tc>
          <w:tcPr>
            <w:tcW w:w="1097" w:type="dxa"/>
            <w:shd w:val="clear" w:color="auto" w:fill="auto"/>
            <w:noWrap/>
            <w:vAlign w:val="bottom"/>
            <w:hideMark/>
          </w:tcPr>
          <w:p w14:paraId="77740D42" w14:textId="063DB559" w:rsidR="00D8454F" w:rsidRPr="00576EC1" w:rsidRDefault="00D8454F" w:rsidP="00D8454F">
            <w:pPr>
              <w:jc w:val="right"/>
              <w:rPr>
                <w:rFonts w:ascii="Arial" w:hAnsi="Arial" w:cs="Arial"/>
                <w:sz w:val="18"/>
              </w:rPr>
            </w:pPr>
            <w:r w:rsidRPr="00576EC1">
              <w:rPr>
                <w:rFonts w:ascii="Arial" w:hAnsi="Arial" w:cs="Arial"/>
                <w:color w:val="000000"/>
                <w:sz w:val="18"/>
              </w:rPr>
              <w:t>77,884</w:t>
            </w:r>
          </w:p>
        </w:tc>
      </w:tr>
      <w:tr w:rsidR="00D8454F" w:rsidRPr="00576EC1" w14:paraId="332DAA46"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70E322CA" w14:textId="2EC3C289" w:rsidR="00D8454F" w:rsidRPr="00576EC1" w:rsidRDefault="00D8454F" w:rsidP="00BD3901">
            <w:pPr>
              <w:rPr>
                <w:rFonts w:ascii="Arial" w:hAnsi="Arial" w:cs="Arial"/>
                <w:color w:val="000000"/>
                <w:sz w:val="18"/>
              </w:rPr>
            </w:pPr>
            <w:r w:rsidRPr="00576EC1">
              <w:rPr>
                <w:rFonts w:ascii="Arial" w:hAnsi="Arial" w:cs="Arial"/>
                <w:color w:val="000000"/>
                <w:sz w:val="18"/>
              </w:rPr>
              <w:t>Unrealized gain on changes in fair</w:t>
            </w:r>
            <w:r>
              <w:rPr>
                <w:rFonts w:ascii="Arial" w:hAnsi="Arial" w:cs="Arial"/>
                <w:color w:val="000000"/>
                <w:sz w:val="18"/>
              </w:rPr>
              <w:t xml:space="preserve"> </w:t>
            </w:r>
            <w:r w:rsidRPr="00576EC1">
              <w:rPr>
                <w:rFonts w:ascii="Arial" w:hAnsi="Arial" w:cs="Arial"/>
                <w:color w:val="000000"/>
                <w:sz w:val="18"/>
              </w:rPr>
              <w:t>value of biological assets</w:t>
            </w:r>
            <w:r>
              <w:rPr>
                <w:rFonts w:ascii="Arial" w:hAnsi="Arial" w:cs="Arial"/>
                <w:color w:val="000000"/>
                <w:sz w:val="18"/>
              </w:rPr>
              <w:t xml:space="preserve"> </w:t>
            </w:r>
          </w:p>
        </w:tc>
        <w:tc>
          <w:tcPr>
            <w:tcW w:w="900" w:type="dxa"/>
            <w:tcBorders>
              <w:bottom w:val="single" w:sz="4" w:space="0" w:color="auto"/>
            </w:tcBorders>
            <w:shd w:val="clear" w:color="auto" w:fill="auto"/>
            <w:noWrap/>
            <w:vAlign w:val="bottom"/>
            <w:hideMark/>
          </w:tcPr>
          <w:p w14:paraId="158EFA6B" w14:textId="5028009C" w:rsidR="00D8454F" w:rsidRPr="00576EC1" w:rsidRDefault="00D8454F" w:rsidP="00D8454F">
            <w:pPr>
              <w:jc w:val="right"/>
              <w:rPr>
                <w:rFonts w:ascii="Arial" w:hAnsi="Arial" w:cs="Arial"/>
                <w:sz w:val="18"/>
              </w:rPr>
            </w:pPr>
            <w:r w:rsidRPr="00576EC1">
              <w:rPr>
                <w:rFonts w:ascii="Arial" w:hAnsi="Arial" w:cs="Arial"/>
                <w:color w:val="000000"/>
                <w:sz w:val="18"/>
              </w:rPr>
              <w:t>6</w:t>
            </w:r>
          </w:p>
        </w:tc>
        <w:tc>
          <w:tcPr>
            <w:tcW w:w="1260" w:type="dxa"/>
            <w:tcBorders>
              <w:bottom w:val="single" w:sz="4" w:space="0" w:color="auto"/>
            </w:tcBorders>
            <w:shd w:val="clear" w:color="auto" w:fill="auto"/>
            <w:noWrap/>
            <w:vAlign w:val="bottom"/>
            <w:hideMark/>
          </w:tcPr>
          <w:p w14:paraId="3C3247E4" w14:textId="4DACB803" w:rsidR="00D8454F" w:rsidRPr="00576EC1" w:rsidRDefault="00D8454F" w:rsidP="00D8454F">
            <w:pPr>
              <w:jc w:val="right"/>
              <w:rPr>
                <w:rFonts w:ascii="Arial" w:hAnsi="Arial" w:cs="Arial"/>
                <w:sz w:val="18"/>
              </w:rPr>
            </w:pPr>
            <w:r w:rsidRPr="00576EC1">
              <w:rPr>
                <w:rFonts w:ascii="Arial" w:hAnsi="Arial" w:cs="Arial"/>
                <w:b/>
                <w:bCs/>
                <w:color w:val="000000"/>
                <w:sz w:val="18"/>
              </w:rPr>
              <w:t>(82,320)</w:t>
            </w:r>
          </w:p>
        </w:tc>
        <w:tc>
          <w:tcPr>
            <w:tcW w:w="1097" w:type="dxa"/>
            <w:tcBorders>
              <w:bottom w:val="single" w:sz="4" w:space="0" w:color="auto"/>
            </w:tcBorders>
            <w:shd w:val="clear" w:color="auto" w:fill="auto"/>
            <w:noWrap/>
            <w:vAlign w:val="bottom"/>
            <w:hideMark/>
          </w:tcPr>
          <w:p w14:paraId="6FFCC10E" w14:textId="761C3A95" w:rsidR="00D8454F" w:rsidRPr="00576EC1" w:rsidRDefault="00D8454F" w:rsidP="00D8454F">
            <w:pPr>
              <w:jc w:val="right"/>
              <w:rPr>
                <w:rFonts w:ascii="Arial" w:hAnsi="Arial" w:cs="Arial"/>
                <w:sz w:val="18"/>
              </w:rPr>
            </w:pPr>
            <w:r w:rsidRPr="00576EC1">
              <w:rPr>
                <w:rFonts w:ascii="Arial" w:hAnsi="Arial" w:cs="Arial"/>
                <w:color w:val="000000"/>
                <w:sz w:val="18"/>
              </w:rPr>
              <w:t>(10,944)</w:t>
            </w:r>
          </w:p>
        </w:tc>
        <w:tc>
          <w:tcPr>
            <w:tcW w:w="1260" w:type="dxa"/>
            <w:tcBorders>
              <w:bottom w:val="single" w:sz="4" w:space="0" w:color="auto"/>
            </w:tcBorders>
            <w:shd w:val="clear" w:color="auto" w:fill="auto"/>
            <w:noWrap/>
            <w:vAlign w:val="bottom"/>
            <w:hideMark/>
          </w:tcPr>
          <w:p w14:paraId="4E871E03" w14:textId="34004AC2" w:rsidR="00D8454F" w:rsidRPr="00576EC1" w:rsidRDefault="00D8454F" w:rsidP="00D8454F">
            <w:pPr>
              <w:jc w:val="right"/>
              <w:rPr>
                <w:rFonts w:ascii="Arial" w:hAnsi="Arial" w:cs="Arial"/>
                <w:sz w:val="18"/>
              </w:rPr>
            </w:pPr>
            <w:r w:rsidRPr="00576EC1">
              <w:rPr>
                <w:rFonts w:ascii="Arial" w:hAnsi="Arial" w:cs="Arial"/>
                <w:b/>
                <w:bCs/>
                <w:color w:val="000000"/>
                <w:sz w:val="18"/>
              </w:rPr>
              <w:t>(221,339)</w:t>
            </w:r>
          </w:p>
        </w:tc>
        <w:tc>
          <w:tcPr>
            <w:tcW w:w="1097" w:type="dxa"/>
            <w:tcBorders>
              <w:bottom w:val="single" w:sz="4" w:space="0" w:color="auto"/>
            </w:tcBorders>
            <w:shd w:val="clear" w:color="auto" w:fill="auto"/>
            <w:noWrap/>
            <w:vAlign w:val="bottom"/>
            <w:hideMark/>
          </w:tcPr>
          <w:p w14:paraId="30973088" w14:textId="0A40CC39" w:rsidR="00D8454F" w:rsidRPr="00576EC1" w:rsidRDefault="00D8454F" w:rsidP="00D8454F">
            <w:pPr>
              <w:jc w:val="right"/>
              <w:rPr>
                <w:rFonts w:ascii="Arial" w:hAnsi="Arial" w:cs="Arial"/>
                <w:sz w:val="18"/>
              </w:rPr>
            </w:pPr>
            <w:r w:rsidRPr="00576EC1">
              <w:rPr>
                <w:rFonts w:ascii="Arial" w:hAnsi="Arial" w:cs="Arial"/>
                <w:color w:val="000000"/>
                <w:sz w:val="18"/>
              </w:rPr>
              <w:t>(68,233)</w:t>
            </w:r>
          </w:p>
        </w:tc>
      </w:tr>
      <w:tr w:rsidR="00D8454F" w:rsidRPr="00576EC1" w14:paraId="430F4575" w14:textId="77777777" w:rsidTr="00D8454F">
        <w:trPr>
          <w:trHeight w:val="219"/>
          <w:tblHeader/>
          <w:jc w:val="center"/>
        </w:trPr>
        <w:tc>
          <w:tcPr>
            <w:tcW w:w="292" w:type="dxa"/>
            <w:tcBorders>
              <w:top w:val="single" w:sz="4" w:space="0" w:color="auto"/>
            </w:tcBorders>
            <w:shd w:val="clear" w:color="auto" w:fill="auto"/>
            <w:noWrap/>
            <w:vAlign w:val="bottom"/>
            <w:hideMark/>
          </w:tcPr>
          <w:p w14:paraId="660F1E60" w14:textId="77777777" w:rsidR="00D8454F" w:rsidRPr="00576EC1" w:rsidRDefault="00D8454F" w:rsidP="00BD3901">
            <w:pPr>
              <w:jc w:val="right"/>
              <w:rPr>
                <w:rFonts w:ascii="Arial" w:hAnsi="Arial" w:cs="Arial"/>
                <w:color w:val="000000"/>
                <w:sz w:val="18"/>
              </w:rPr>
            </w:pPr>
          </w:p>
        </w:tc>
        <w:tc>
          <w:tcPr>
            <w:tcW w:w="3483" w:type="dxa"/>
            <w:tcBorders>
              <w:top w:val="single" w:sz="4" w:space="0" w:color="auto"/>
            </w:tcBorders>
            <w:shd w:val="clear" w:color="auto" w:fill="auto"/>
            <w:noWrap/>
            <w:vAlign w:val="bottom"/>
            <w:hideMark/>
          </w:tcPr>
          <w:p w14:paraId="6D0D45B4" w14:textId="77777777" w:rsidR="00D8454F" w:rsidRPr="00576EC1" w:rsidRDefault="00D8454F" w:rsidP="00BD3901">
            <w:pPr>
              <w:rPr>
                <w:rFonts w:ascii="Arial" w:hAnsi="Arial" w:cs="Arial"/>
                <w:sz w:val="18"/>
              </w:rPr>
            </w:pPr>
          </w:p>
        </w:tc>
        <w:tc>
          <w:tcPr>
            <w:tcW w:w="900" w:type="dxa"/>
            <w:tcBorders>
              <w:top w:val="single" w:sz="4" w:space="0" w:color="auto"/>
            </w:tcBorders>
            <w:shd w:val="clear" w:color="auto" w:fill="auto"/>
            <w:noWrap/>
            <w:vAlign w:val="bottom"/>
            <w:hideMark/>
          </w:tcPr>
          <w:p w14:paraId="4BC21492"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51149250"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1D3DDA03"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68E15B7C"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287F9F4E" w14:textId="77777777" w:rsidR="00D8454F" w:rsidRPr="00576EC1" w:rsidRDefault="00D8454F" w:rsidP="00D8454F">
            <w:pPr>
              <w:jc w:val="right"/>
              <w:rPr>
                <w:rFonts w:ascii="Arial" w:hAnsi="Arial" w:cs="Arial"/>
                <w:sz w:val="18"/>
              </w:rPr>
            </w:pPr>
          </w:p>
        </w:tc>
      </w:tr>
      <w:tr w:rsidR="00D8454F" w:rsidRPr="00576EC1" w14:paraId="29364A77" w14:textId="77777777" w:rsidTr="00D8454F">
        <w:trPr>
          <w:trHeight w:val="219"/>
          <w:tblHeader/>
          <w:jc w:val="center"/>
        </w:trPr>
        <w:tc>
          <w:tcPr>
            <w:tcW w:w="3775" w:type="dxa"/>
            <w:gridSpan w:val="2"/>
            <w:shd w:val="clear" w:color="auto" w:fill="auto"/>
            <w:noWrap/>
            <w:vAlign w:val="bottom"/>
            <w:hideMark/>
          </w:tcPr>
          <w:p w14:paraId="3BE87657" w14:textId="77777777" w:rsidR="00D8454F" w:rsidRPr="00576EC1" w:rsidRDefault="00D8454F" w:rsidP="00BD3901">
            <w:pPr>
              <w:rPr>
                <w:rFonts w:ascii="Arial" w:hAnsi="Arial" w:cs="Arial"/>
                <w:b/>
                <w:bCs/>
                <w:color w:val="000000"/>
                <w:sz w:val="18"/>
              </w:rPr>
            </w:pPr>
            <w:r w:rsidRPr="00576EC1">
              <w:rPr>
                <w:rFonts w:ascii="Arial" w:hAnsi="Arial" w:cs="Arial"/>
                <w:b/>
                <w:bCs/>
                <w:color w:val="000000"/>
                <w:sz w:val="18"/>
              </w:rPr>
              <w:t>Gross margin</w:t>
            </w:r>
          </w:p>
        </w:tc>
        <w:tc>
          <w:tcPr>
            <w:tcW w:w="900" w:type="dxa"/>
            <w:shd w:val="clear" w:color="auto" w:fill="auto"/>
            <w:noWrap/>
            <w:vAlign w:val="bottom"/>
            <w:hideMark/>
          </w:tcPr>
          <w:p w14:paraId="7E27A097"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shd w:val="clear" w:color="auto" w:fill="auto"/>
            <w:noWrap/>
            <w:vAlign w:val="bottom"/>
            <w:hideMark/>
          </w:tcPr>
          <w:p w14:paraId="6FA4884C"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3,523</w:t>
            </w:r>
          </w:p>
        </w:tc>
        <w:tc>
          <w:tcPr>
            <w:tcW w:w="1097" w:type="dxa"/>
            <w:shd w:val="clear" w:color="auto" w:fill="auto"/>
            <w:noWrap/>
            <w:vAlign w:val="bottom"/>
            <w:hideMark/>
          </w:tcPr>
          <w:p w14:paraId="160DD1BC"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(32,849)</w:t>
            </w:r>
          </w:p>
        </w:tc>
        <w:tc>
          <w:tcPr>
            <w:tcW w:w="1260" w:type="dxa"/>
            <w:shd w:val="clear" w:color="auto" w:fill="auto"/>
            <w:noWrap/>
            <w:vAlign w:val="bottom"/>
            <w:hideMark/>
          </w:tcPr>
          <w:p w14:paraId="2B33D22B"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113,712</w:t>
            </w:r>
          </w:p>
        </w:tc>
        <w:tc>
          <w:tcPr>
            <w:tcW w:w="1097" w:type="dxa"/>
            <w:shd w:val="clear" w:color="auto" w:fill="auto"/>
            <w:noWrap/>
            <w:vAlign w:val="bottom"/>
            <w:hideMark/>
          </w:tcPr>
          <w:p w14:paraId="7E129049"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10,563</w:t>
            </w:r>
          </w:p>
        </w:tc>
      </w:tr>
      <w:tr w:rsidR="00D8454F" w:rsidRPr="00576EC1" w14:paraId="7C1A70FC" w14:textId="77777777" w:rsidTr="00D8454F">
        <w:trPr>
          <w:trHeight w:val="219"/>
          <w:tblHeader/>
          <w:jc w:val="center"/>
        </w:trPr>
        <w:tc>
          <w:tcPr>
            <w:tcW w:w="292" w:type="dxa"/>
            <w:shd w:val="clear" w:color="auto" w:fill="auto"/>
            <w:noWrap/>
            <w:vAlign w:val="bottom"/>
            <w:hideMark/>
          </w:tcPr>
          <w:p w14:paraId="22D37A25" w14:textId="77777777" w:rsidR="00D8454F" w:rsidRPr="00576EC1" w:rsidRDefault="00D8454F" w:rsidP="00BD3901">
            <w:pPr>
              <w:jc w:val="right"/>
              <w:rPr>
                <w:rFonts w:ascii="Arial" w:hAnsi="Arial" w:cs="Arial"/>
                <w:color w:val="000000"/>
                <w:sz w:val="18"/>
              </w:rPr>
            </w:pPr>
          </w:p>
        </w:tc>
        <w:tc>
          <w:tcPr>
            <w:tcW w:w="3483" w:type="dxa"/>
            <w:shd w:val="clear" w:color="auto" w:fill="auto"/>
            <w:noWrap/>
            <w:vAlign w:val="bottom"/>
            <w:hideMark/>
          </w:tcPr>
          <w:p w14:paraId="260198C9" w14:textId="77777777" w:rsidR="00D8454F" w:rsidRPr="00576EC1" w:rsidRDefault="00D8454F" w:rsidP="00BD3901">
            <w:pPr>
              <w:rPr>
                <w:rFonts w:ascii="Arial" w:hAnsi="Arial" w:cs="Arial"/>
                <w:sz w:val="18"/>
              </w:rPr>
            </w:pPr>
          </w:p>
        </w:tc>
        <w:tc>
          <w:tcPr>
            <w:tcW w:w="900" w:type="dxa"/>
            <w:shd w:val="clear" w:color="auto" w:fill="auto"/>
            <w:noWrap/>
            <w:vAlign w:val="bottom"/>
            <w:hideMark/>
          </w:tcPr>
          <w:p w14:paraId="464342E8"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1BC2814D"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0FE723BE"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3152EF6A"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55B7829C" w14:textId="77777777" w:rsidR="00D8454F" w:rsidRPr="00576EC1" w:rsidRDefault="00D8454F" w:rsidP="00D8454F">
            <w:pPr>
              <w:jc w:val="right"/>
              <w:rPr>
                <w:rFonts w:ascii="Arial" w:hAnsi="Arial" w:cs="Arial"/>
                <w:sz w:val="18"/>
              </w:rPr>
            </w:pPr>
          </w:p>
        </w:tc>
      </w:tr>
      <w:tr w:rsidR="00D8454F" w:rsidRPr="00576EC1" w14:paraId="476DFA97" w14:textId="77777777" w:rsidTr="00D8454F">
        <w:trPr>
          <w:trHeight w:val="219"/>
          <w:tblHeader/>
          <w:jc w:val="center"/>
        </w:trPr>
        <w:tc>
          <w:tcPr>
            <w:tcW w:w="3775" w:type="dxa"/>
            <w:gridSpan w:val="2"/>
            <w:shd w:val="clear" w:color="auto" w:fill="auto"/>
            <w:noWrap/>
            <w:vAlign w:val="bottom"/>
            <w:hideMark/>
          </w:tcPr>
          <w:p w14:paraId="1D6D7D58"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Sales and marketing</w:t>
            </w:r>
          </w:p>
        </w:tc>
        <w:tc>
          <w:tcPr>
            <w:tcW w:w="900" w:type="dxa"/>
            <w:shd w:val="clear" w:color="auto" w:fill="auto"/>
            <w:noWrap/>
            <w:vAlign w:val="bottom"/>
            <w:hideMark/>
          </w:tcPr>
          <w:p w14:paraId="7EB1007F"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5BFA0DF5"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60,483</w:t>
            </w:r>
          </w:p>
        </w:tc>
        <w:tc>
          <w:tcPr>
            <w:tcW w:w="1097" w:type="dxa"/>
            <w:shd w:val="clear" w:color="auto" w:fill="auto"/>
            <w:noWrap/>
            <w:vAlign w:val="bottom"/>
            <w:hideMark/>
          </w:tcPr>
          <w:p w14:paraId="22F64905"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40,182</w:t>
            </w:r>
          </w:p>
        </w:tc>
        <w:tc>
          <w:tcPr>
            <w:tcW w:w="1260" w:type="dxa"/>
            <w:shd w:val="clear" w:color="auto" w:fill="auto"/>
            <w:noWrap/>
            <w:vAlign w:val="bottom"/>
            <w:hideMark/>
          </w:tcPr>
          <w:p w14:paraId="5D5C1690"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109,710</w:t>
            </w:r>
          </w:p>
        </w:tc>
        <w:tc>
          <w:tcPr>
            <w:tcW w:w="1097" w:type="dxa"/>
            <w:shd w:val="clear" w:color="auto" w:fill="auto"/>
            <w:noWrap/>
            <w:vAlign w:val="bottom"/>
            <w:hideMark/>
          </w:tcPr>
          <w:p w14:paraId="30DA72AC"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58,875</w:t>
            </w:r>
          </w:p>
        </w:tc>
      </w:tr>
      <w:tr w:rsidR="00D8454F" w:rsidRPr="00576EC1" w14:paraId="5B517306" w14:textId="77777777" w:rsidTr="00D8454F">
        <w:trPr>
          <w:trHeight w:val="219"/>
          <w:tblHeader/>
          <w:jc w:val="center"/>
        </w:trPr>
        <w:tc>
          <w:tcPr>
            <w:tcW w:w="3775" w:type="dxa"/>
            <w:gridSpan w:val="2"/>
            <w:shd w:val="clear" w:color="auto" w:fill="auto"/>
            <w:noWrap/>
            <w:vAlign w:val="bottom"/>
            <w:hideMark/>
          </w:tcPr>
          <w:p w14:paraId="61333EFB"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Research and development</w:t>
            </w:r>
          </w:p>
        </w:tc>
        <w:tc>
          <w:tcPr>
            <w:tcW w:w="900" w:type="dxa"/>
            <w:shd w:val="clear" w:color="auto" w:fill="auto"/>
            <w:noWrap/>
            <w:vAlign w:val="bottom"/>
            <w:hideMark/>
          </w:tcPr>
          <w:p w14:paraId="65337CA3"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0157957F"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11,922</w:t>
            </w:r>
          </w:p>
        </w:tc>
        <w:tc>
          <w:tcPr>
            <w:tcW w:w="1097" w:type="dxa"/>
            <w:shd w:val="clear" w:color="auto" w:fill="auto"/>
            <w:noWrap/>
            <w:vAlign w:val="bottom"/>
            <w:hideMark/>
          </w:tcPr>
          <w:p w14:paraId="180ED9EC"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1,944</w:t>
            </w:r>
          </w:p>
        </w:tc>
        <w:tc>
          <w:tcPr>
            <w:tcW w:w="1260" w:type="dxa"/>
            <w:shd w:val="clear" w:color="auto" w:fill="auto"/>
            <w:noWrap/>
            <w:vAlign w:val="bottom"/>
            <w:hideMark/>
          </w:tcPr>
          <w:p w14:paraId="0CCAE05D"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20,396</w:t>
            </w:r>
          </w:p>
        </w:tc>
        <w:tc>
          <w:tcPr>
            <w:tcW w:w="1097" w:type="dxa"/>
            <w:shd w:val="clear" w:color="auto" w:fill="auto"/>
            <w:noWrap/>
            <w:vAlign w:val="bottom"/>
            <w:hideMark/>
          </w:tcPr>
          <w:p w14:paraId="5E0E07E3"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2,700</w:t>
            </w:r>
          </w:p>
        </w:tc>
      </w:tr>
      <w:tr w:rsidR="00D8454F" w:rsidRPr="00576EC1" w14:paraId="0CFD2BE6" w14:textId="77777777" w:rsidTr="00D8454F">
        <w:trPr>
          <w:trHeight w:val="219"/>
          <w:tblHeader/>
          <w:jc w:val="center"/>
        </w:trPr>
        <w:tc>
          <w:tcPr>
            <w:tcW w:w="3775" w:type="dxa"/>
            <w:gridSpan w:val="2"/>
            <w:shd w:val="clear" w:color="auto" w:fill="auto"/>
            <w:noWrap/>
            <w:vAlign w:val="bottom"/>
            <w:hideMark/>
          </w:tcPr>
          <w:p w14:paraId="5EB69E3F"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General and administration</w:t>
            </w:r>
          </w:p>
        </w:tc>
        <w:tc>
          <w:tcPr>
            <w:tcW w:w="900" w:type="dxa"/>
            <w:shd w:val="clear" w:color="auto" w:fill="auto"/>
            <w:noWrap/>
            <w:vAlign w:val="bottom"/>
            <w:hideMark/>
          </w:tcPr>
          <w:p w14:paraId="53D27AE8"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4590592B"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87,861</w:t>
            </w:r>
          </w:p>
        </w:tc>
        <w:tc>
          <w:tcPr>
            <w:tcW w:w="1097" w:type="dxa"/>
            <w:shd w:val="clear" w:color="auto" w:fill="auto"/>
            <w:noWrap/>
            <w:vAlign w:val="bottom"/>
            <w:hideMark/>
          </w:tcPr>
          <w:p w14:paraId="4DB9A5A1"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37,101</w:t>
            </w:r>
          </w:p>
        </w:tc>
        <w:tc>
          <w:tcPr>
            <w:tcW w:w="1260" w:type="dxa"/>
            <w:shd w:val="clear" w:color="auto" w:fill="auto"/>
            <w:noWrap/>
            <w:vAlign w:val="bottom"/>
            <w:hideMark/>
          </w:tcPr>
          <w:p w14:paraId="6613F79D"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150,132</w:t>
            </w:r>
          </w:p>
        </w:tc>
        <w:tc>
          <w:tcPr>
            <w:tcW w:w="1097" w:type="dxa"/>
            <w:shd w:val="clear" w:color="auto" w:fill="auto"/>
            <w:noWrap/>
            <w:vAlign w:val="bottom"/>
            <w:hideMark/>
          </w:tcPr>
          <w:p w14:paraId="270F31FB"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56,689</w:t>
            </w:r>
          </w:p>
        </w:tc>
      </w:tr>
      <w:tr w:rsidR="00D8454F" w:rsidRPr="00576EC1" w14:paraId="1276EA87" w14:textId="77777777" w:rsidTr="00D8454F">
        <w:trPr>
          <w:trHeight w:val="219"/>
          <w:tblHeader/>
          <w:jc w:val="center"/>
        </w:trPr>
        <w:tc>
          <w:tcPr>
            <w:tcW w:w="3775" w:type="dxa"/>
            <w:gridSpan w:val="2"/>
            <w:shd w:val="clear" w:color="auto" w:fill="auto"/>
            <w:noWrap/>
            <w:vAlign w:val="bottom"/>
            <w:hideMark/>
          </w:tcPr>
          <w:p w14:paraId="6789D57E"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Acquisition-related costs</w:t>
            </w:r>
          </w:p>
        </w:tc>
        <w:tc>
          <w:tcPr>
            <w:tcW w:w="900" w:type="dxa"/>
            <w:shd w:val="clear" w:color="auto" w:fill="auto"/>
            <w:noWrap/>
            <w:vAlign w:val="bottom"/>
            <w:hideMark/>
          </w:tcPr>
          <w:p w14:paraId="27395E6E"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133C2EB0"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2,562</w:t>
            </w:r>
          </w:p>
        </w:tc>
        <w:tc>
          <w:tcPr>
            <w:tcW w:w="1097" w:type="dxa"/>
            <w:shd w:val="clear" w:color="auto" w:fill="auto"/>
            <w:noWrap/>
            <w:vAlign w:val="bottom"/>
            <w:hideMark/>
          </w:tcPr>
          <w:p w14:paraId="06D7DB1A"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3,202</w:t>
            </w:r>
          </w:p>
        </w:tc>
        <w:tc>
          <w:tcPr>
            <w:tcW w:w="1260" w:type="dxa"/>
            <w:shd w:val="clear" w:color="auto" w:fill="auto"/>
            <w:noWrap/>
            <w:vAlign w:val="bottom"/>
            <w:hideMark/>
          </w:tcPr>
          <w:p w14:paraId="21FD1AA9"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15,744</w:t>
            </w:r>
          </w:p>
        </w:tc>
        <w:tc>
          <w:tcPr>
            <w:tcW w:w="1097" w:type="dxa"/>
            <w:shd w:val="clear" w:color="auto" w:fill="auto"/>
            <w:noWrap/>
            <w:vAlign w:val="bottom"/>
            <w:hideMark/>
          </w:tcPr>
          <w:p w14:paraId="05F4914D"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5,086</w:t>
            </w:r>
          </w:p>
        </w:tc>
      </w:tr>
      <w:tr w:rsidR="00D8454F" w:rsidRPr="00576EC1" w14:paraId="6B99639C" w14:textId="77777777" w:rsidTr="00D8454F">
        <w:trPr>
          <w:trHeight w:val="219"/>
          <w:tblHeader/>
          <w:jc w:val="center"/>
        </w:trPr>
        <w:tc>
          <w:tcPr>
            <w:tcW w:w="3775" w:type="dxa"/>
            <w:gridSpan w:val="2"/>
            <w:shd w:val="clear" w:color="auto" w:fill="auto"/>
            <w:noWrap/>
            <w:vAlign w:val="bottom"/>
            <w:hideMark/>
          </w:tcPr>
          <w:p w14:paraId="770FEF51"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Share-based compensation expense</w:t>
            </w:r>
          </w:p>
        </w:tc>
        <w:tc>
          <w:tcPr>
            <w:tcW w:w="900" w:type="dxa"/>
            <w:shd w:val="clear" w:color="auto" w:fill="auto"/>
            <w:noWrap/>
            <w:vAlign w:val="bottom"/>
            <w:hideMark/>
          </w:tcPr>
          <w:p w14:paraId="3DBEF833" w14:textId="34680E93" w:rsidR="00D8454F" w:rsidRPr="000A4B0A" w:rsidRDefault="00D8454F" w:rsidP="00E05E7C">
            <w:pPr>
              <w:autoSpaceDE w:val="0"/>
              <w:autoSpaceDN w:val="0"/>
              <w:adjustRightInd w:val="0"/>
              <w:jc w:val="right"/>
              <w:rPr>
                <w:rFonts w:ascii="Arial" w:hAnsi="Arial" w:cs="Arial"/>
                <w:color w:val="000000"/>
                <w:sz w:val="18"/>
              </w:rPr>
            </w:pPr>
            <w:r>
              <w:rPr>
                <w:rFonts w:ascii="ArialMT" w:eastAsiaTheme="minorHAnsi" w:hAnsi="ArialMT" w:cs="ArialMT"/>
                <w:sz w:val="18"/>
                <w:szCs w:val="18"/>
              </w:rPr>
              <w:t>16</w:t>
            </w:r>
            <w:r w:rsidR="00E05E7C">
              <w:rPr>
                <w:rFonts w:ascii="ArialMT" w:eastAsiaTheme="minorHAnsi" w:hAnsi="ArialMT" w:cs="ArialMT"/>
                <w:sz w:val="18"/>
                <w:szCs w:val="18"/>
              </w:rPr>
              <w:t>,</w:t>
            </w:r>
            <w:r>
              <w:rPr>
                <w:rFonts w:ascii="ArialMT" w:eastAsiaTheme="minorHAnsi" w:hAnsi="ArialMT" w:cs="ArialMT"/>
                <w:sz w:val="18"/>
                <w:szCs w:val="18"/>
              </w:rPr>
              <w:t>17</w:t>
            </w:r>
          </w:p>
        </w:tc>
        <w:tc>
          <w:tcPr>
            <w:tcW w:w="1260" w:type="dxa"/>
            <w:shd w:val="clear" w:color="auto" w:fill="auto"/>
            <w:noWrap/>
            <w:vAlign w:val="bottom"/>
            <w:hideMark/>
          </w:tcPr>
          <w:p w14:paraId="7BBC8C27"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83,767</w:t>
            </w:r>
          </w:p>
        </w:tc>
        <w:tc>
          <w:tcPr>
            <w:tcW w:w="1097" w:type="dxa"/>
            <w:shd w:val="clear" w:color="auto" w:fill="auto"/>
            <w:noWrap/>
            <w:vAlign w:val="bottom"/>
            <w:hideMark/>
          </w:tcPr>
          <w:p w14:paraId="0B59BE0A"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45,025</w:t>
            </w:r>
          </w:p>
        </w:tc>
        <w:tc>
          <w:tcPr>
            <w:tcW w:w="1260" w:type="dxa"/>
            <w:shd w:val="clear" w:color="auto" w:fill="auto"/>
            <w:noWrap/>
            <w:vAlign w:val="bottom"/>
            <w:hideMark/>
          </w:tcPr>
          <w:p w14:paraId="0CDC4181"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160,848</w:t>
            </w:r>
          </w:p>
        </w:tc>
        <w:tc>
          <w:tcPr>
            <w:tcW w:w="1097" w:type="dxa"/>
            <w:shd w:val="clear" w:color="auto" w:fill="auto"/>
            <w:noWrap/>
            <w:vAlign w:val="bottom"/>
            <w:hideMark/>
          </w:tcPr>
          <w:p w14:paraId="78C9AA5B"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68,097</w:t>
            </w:r>
          </w:p>
        </w:tc>
      </w:tr>
      <w:tr w:rsidR="00D8454F" w:rsidRPr="00576EC1" w14:paraId="154F5175" w14:textId="77777777" w:rsidTr="00D8454F">
        <w:trPr>
          <w:trHeight w:val="219"/>
          <w:tblHeader/>
          <w:jc w:val="center"/>
        </w:trPr>
        <w:tc>
          <w:tcPr>
            <w:tcW w:w="3775" w:type="dxa"/>
            <w:gridSpan w:val="2"/>
            <w:shd w:val="clear" w:color="auto" w:fill="auto"/>
            <w:noWrap/>
            <w:vAlign w:val="bottom"/>
            <w:hideMark/>
          </w:tcPr>
          <w:p w14:paraId="768F4FEE" w14:textId="0FE9430F" w:rsidR="00D8454F" w:rsidRPr="00576EC1" w:rsidRDefault="00D8454F" w:rsidP="00BD3901">
            <w:pPr>
              <w:rPr>
                <w:rFonts w:ascii="Arial" w:hAnsi="Arial" w:cs="Arial"/>
                <w:color w:val="000000"/>
                <w:sz w:val="18"/>
              </w:rPr>
            </w:pPr>
            <w:r w:rsidRPr="00576EC1">
              <w:rPr>
                <w:rFonts w:ascii="Arial" w:hAnsi="Arial" w:cs="Arial"/>
                <w:color w:val="000000"/>
                <w:sz w:val="18"/>
              </w:rPr>
              <w:t>Share-based compensation expense</w:t>
            </w:r>
            <w:r>
              <w:rPr>
                <w:rFonts w:ascii="Arial" w:hAnsi="Arial" w:cs="Arial"/>
                <w:color w:val="000000"/>
                <w:sz w:val="18"/>
              </w:rPr>
              <w:t xml:space="preserve"> related to acquisition milestones</w:t>
            </w:r>
          </w:p>
        </w:tc>
        <w:tc>
          <w:tcPr>
            <w:tcW w:w="900" w:type="dxa"/>
            <w:shd w:val="clear" w:color="auto" w:fill="auto"/>
            <w:noWrap/>
            <w:vAlign w:val="bottom"/>
            <w:hideMark/>
          </w:tcPr>
          <w:p w14:paraId="073BF34A" w14:textId="0F9CED8A" w:rsidR="00D8454F" w:rsidRPr="00576EC1" w:rsidRDefault="00D8454F" w:rsidP="00D8454F">
            <w:pPr>
              <w:jc w:val="right"/>
              <w:rPr>
                <w:rFonts w:ascii="Arial" w:hAnsi="Arial" w:cs="Arial"/>
                <w:sz w:val="18"/>
              </w:rPr>
            </w:pPr>
            <w:r>
              <w:rPr>
                <w:rFonts w:ascii="ArialMT" w:eastAsiaTheme="minorHAnsi" w:hAnsi="ArialMT" w:cs="ArialMT"/>
                <w:sz w:val="18"/>
                <w:szCs w:val="18"/>
              </w:rPr>
              <w:t>16(c)</w:t>
            </w:r>
          </w:p>
        </w:tc>
        <w:tc>
          <w:tcPr>
            <w:tcW w:w="1260" w:type="dxa"/>
            <w:shd w:val="clear" w:color="auto" w:fill="auto"/>
            <w:noWrap/>
            <w:vAlign w:val="bottom"/>
            <w:hideMark/>
          </w:tcPr>
          <w:p w14:paraId="36B2996D" w14:textId="771BFD43" w:rsidR="00D8454F" w:rsidRPr="00576EC1" w:rsidRDefault="00D8454F" w:rsidP="00D8454F">
            <w:pPr>
              <w:jc w:val="right"/>
              <w:rPr>
                <w:rFonts w:ascii="Arial" w:hAnsi="Arial" w:cs="Arial"/>
                <w:sz w:val="18"/>
              </w:rPr>
            </w:pPr>
            <w:r w:rsidRPr="00576EC1">
              <w:rPr>
                <w:rFonts w:ascii="Arial" w:hAnsi="Arial" w:cs="Arial"/>
                <w:b/>
                <w:bCs/>
                <w:color w:val="000000"/>
                <w:sz w:val="18"/>
              </w:rPr>
              <w:t>9,114</w:t>
            </w:r>
          </w:p>
        </w:tc>
        <w:tc>
          <w:tcPr>
            <w:tcW w:w="1097" w:type="dxa"/>
            <w:shd w:val="clear" w:color="auto" w:fill="auto"/>
            <w:noWrap/>
            <w:vAlign w:val="bottom"/>
            <w:hideMark/>
          </w:tcPr>
          <w:p w14:paraId="7CB4ACC2" w14:textId="07CFFDE3" w:rsidR="00D8454F" w:rsidRPr="00576EC1" w:rsidRDefault="00D8454F" w:rsidP="00D8454F">
            <w:pPr>
              <w:jc w:val="right"/>
              <w:rPr>
                <w:rFonts w:ascii="Arial" w:hAnsi="Arial" w:cs="Arial"/>
                <w:sz w:val="18"/>
              </w:rPr>
            </w:pPr>
            <w:r w:rsidRPr="00576EC1">
              <w:rPr>
                <w:rFonts w:ascii="Arial" w:hAnsi="Arial" w:cs="Arial"/>
                <w:color w:val="000000"/>
                <w:sz w:val="18"/>
              </w:rPr>
              <w:t>50,730</w:t>
            </w:r>
          </w:p>
        </w:tc>
        <w:tc>
          <w:tcPr>
            <w:tcW w:w="1260" w:type="dxa"/>
            <w:shd w:val="clear" w:color="auto" w:fill="auto"/>
            <w:noWrap/>
            <w:vAlign w:val="bottom"/>
            <w:hideMark/>
          </w:tcPr>
          <w:p w14:paraId="3A54773A" w14:textId="514B9B65" w:rsidR="00D8454F" w:rsidRPr="00576EC1" w:rsidRDefault="00D8454F" w:rsidP="00D8454F">
            <w:pPr>
              <w:jc w:val="right"/>
              <w:rPr>
                <w:rFonts w:ascii="Arial" w:hAnsi="Arial" w:cs="Arial"/>
                <w:sz w:val="18"/>
              </w:rPr>
            </w:pPr>
            <w:r w:rsidRPr="00576EC1">
              <w:rPr>
                <w:rFonts w:ascii="Arial" w:hAnsi="Arial" w:cs="Arial"/>
                <w:b/>
                <w:bCs/>
                <w:color w:val="000000"/>
                <w:sz w:val="18"/>
              </w:rPr>
              <w:t>19,395</w:t>
            </w:r>
          </w:p>
        </w:tc>
        <w:tc>
          <w:tcPr>
            <w:tcW w:w="1097" w:type="dxa"/>
            <w:shd w:val="clear" w:color="auto" w:fill="auto"/>
            <w:noWrap/>
            <w:vAlign w:val="bottom"/>
            <w:hideMark/>
          </w:tcPr>
          <w:p w14:paraId="556EC383" w14:textId="5C9558CB" w:rsidR="00D8454F" w:rsidRPr="00576EC1" w:rsidRDefault="00D8454F" w:rsidP="00D8454F">
            <w:pPr>
              <w:jc w:val="right"/>
              <w:rPr>
                <w:rFonts w:ascii="Arial" w:hAnsi="Arial" w:cs="Arial"/>
                <w:sz w:val="18"/>
              </w:rPr>
            </w:pPr>
            <w:r w:rsidRPr="00576EC1">
              <w:rPr>
                <w:rFonts w:ascii="Arial" w:hAnsi="Arial" w:cs="Arial"/>
                <w:color w:val="000000"/>
                <w:sz w:val="18"/>
              </w:rPr>
              <w:t>57,825</w:t>
            </w:r>
          </w:p>
        </w:tc>
      </w:tr>
      <w:tr w:rsidR="00D8454F" w:rsidRPr="00576EC1" w14:paraId="5A9C8570"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3790A8C6"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Depreciation and amortization</w:t>
            </w:r>
          </w:p>
        </w:tc>
        <w:tc>
          <w:tcPr>
            <w:tcW w:w="900" w:type="dxa"/>
            <w:tcBorders>
              <w:bottom w:val="single" w:sz="4" w:space="0" w:color="auto"/>
            </w:tcBorders>
            <w:shd w:val="clear" w:color="auto" w:fill="auto"/>
            <w:noWrap/>
            <w:vAlign w:val="bottom"/>
            <w:hideMark/>
          </w:tcPr>
          <w:p w14:paraId="0C757893"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tcBorders>
              <w:bottom w:val="single" w:sz="4" w:space="0" w:color="auto"/>
            </w:tcBorders>
            <w:shd w:val="clear" w:color="auto" w:fill="auto"/>
            <w:noWrap/>
            <w:vAlign w:val="bottom"/>
            <w:hideMark/>
          </w:tcPr>
          <w:p w14:paraId="2912E9B6"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13,644</w:t>
            </w:r>
          </w:p>
        </w:tc>
        <w:tc>
          <w:tcPr>
            <w:tcW w:w="1097" w:type="dxa"/>
            <w:tcBorders>
              <w:bottom w:val="single" w:sz="4" w:space="0" w:color="auto"/>
            </w:tcBorders>
            <w:shd w:val="clear" w:color="auto" w:fill="auto"/>
            <w:noWrap/>
            <w:vAlign w:val="bottom"/>
            <w:hideMark/>
          </w:tcPr>
          <w:p w14:paraId="559CC255"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3,595</w:t>
            </w:r>
          </w:p>
        </w:tc>
        <w:tc>
          <w:tcPr>
            <w:tcW w:w="1260" w:type="dxa"/>
            <w:tcBorders>
              <w:bottom w:val="single" w:sz="4" w:space="0" w:color="auto"/>
            </w:tcBorders>
            <w:shd w:val="clear" w:color="auto" w:fill="auto"/>
            <w:noWrap/>
            <w:vAlign w:val="bottom"/>
            <w:hideMark/>
          </w:tcPr>
          <w:p w14:paraId="79D82133"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26,423</w:t>
            </w:r>
          </w:p>
        </w:tc>
        <w:tc>
          <w:tcPr>
            <w:tcW w:w="1097" w:type="dxa"/>
            <w:tcBorders>
              <w:bottom w:val="single" w:sz="4" w:space="0" w:color="auto"/>
            </w:tcBorders>
            <w:shd w:val="clear" w:color="auto" w:fill="auto"/>
            <w:noWrap/>
            <w:vAlign w:val="bottom"/>
            <w:hideMark/>
          </w:tcPr>
          <w:p w14:paraId="737E9810"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6,625</w:t>
            </w:r>
          </w:p>
        </w:tc>
      </w:tr>
      <w:tr w:rsidR="00D8454F" w:rsidRPr="00576EC1" w14:paraId="4FE84958" w14:textId="77777777" w:rsidTr="00D8454F">
        <w:trPr>
          <w:trHeight w:val="219"/>
          <w:tblHeader/>
          <w:jc w:val="center"/>
        </w:trPr>
        <w:tc>
          <w:tcPr>
            <w:tcW w:w="292" w:type="dxa"/>
            <w:tcBorders>
              <w:top w:val="single" w:sz="4" w:space="0" w:color="auto"/>
            </w:tcBorders>
            <w:shd w:val="clear" w:color="auto" w:fill="auto"/>
            <w:noWrap/>
            <w:vAlign w:val="bottom"/>
            <w:hideMark/>
          </w:tcPr>
          <w:p w14:paraId="41B7FB9E" w14:textId="77777777" w:rsidR="00D8454F" w:rsidRPr="00576EC1" w:rsidRDefault="00D8454F" w:rsidP="00BD3901">
            <w:pPr>
              <w:jc w:val="right"/>
              <w:rPr>
                <w:rFonts w:ascii="Arial" w:hAnsi="Arial" w:cs="Arial"/>
                <w:color w:val="000000"/>
                <w:sz w:val="18"/>
              </w:rPr>
            </w:pPr>
          </w:p>
        </w:tc>
        <w:tc>
          <w:tcPr>
            <w:tcW w:w="3483" w:type="dxa"/>
            <w:tcBorders>
              <w:top w:val="single" w:sz="4" w:space="0" w:color="auto"/>
            </w:tcBorders>
            <w:shd w:val="clear" w:color="auto" w:fill="auto"/>
            <w:noWrap/>
            <w:vAlign w:val="bottom"/>
            <w:hideMark/>
          </w:tcPr>
          <w:p w14:paraId="4A3CC5BF" w14:textId="77777777" w:rsidR="00D8454F" w:rsidRPr="00576EC1" w:rsidRDefault="00D8454F" w:rsidP="00BD3901">
            <w:pPr>
              <w:rPr>
                <w:rFonts w:ascii="Arial" w:hAnsi="Arial" w:cs="Arial"/>
                <w:sz w:val="18"/>
              </w:rPr>
            </w:pPr>
          </w:p>
        </w:tc>
        <w:tc>
          <w:tcPr>
            <w:tcW w:w="900" w:type="dxa"/>
            <w:tcBorders>
              <w:top w:val="single" w:sz="4" w:space="0" w:color="auto"/>
            </w:tcBorders>
            <w:shd w:val="clear" w:color="auto" w:fill="auto"/>
            <w:noWrap/>
            <w:vAlign w:val="bottom"/>
            <w:hideMark/>
          </w:tcPr>
          <w:p w14:paraId="457D4B23"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2365C6E2"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128B9143"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0F5083EB"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1EE19A47" w14:textId="77777777" w:rsidR="00D8454F" w:rsidRPr="00576EC1" w:rsidRDefault="00D8454F" w:rsidP="00D8454F">
            <w:pPr>
              <w:jc w:val="right"/>
              <w:rPr>
                <w:rFonts w:ascii="Arial" w:hAnsi="Arial" w:cs="Arial"/>
                <w:sz w:val="18"/>
              </w:rPr>
            </w:pPr>
          </w:p>
        </w:tc>
      </w:tr>
      <w:tr w:rsidR="00D8454F" w:rsidRPr="00576EC1" w14:paraId="4277C9A0"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1D528D9D"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Operating expenses</w:t>
            </w:r>
          </w:p>
        </w:tc>
        <w:tc>
          <w:tcPr>
            <w:tcW w:w="900" w:type="dxa"/>
            <w:tcBorders>
              <w:bottom w:val="single" w:sz="4" w:space="0" w:color="auto"/>
            </w:tcBorders>
            <w:shd w:val="clear" w:color="auto" w:fill="auto"/>
            <w:noWrap/>
            <w:vAlign w:val="bottom"/>
            <w:hideMark/>
          </w:tcPr>
          <w:p w14:paraId="021FE228"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tcBorders>
              <w:bottom w:val="single" w:sz="4" w:space="0" w:color="auto"/>
            </w:tcBorders>
            <w:shd w:val="clear" w:color="auto" w:fill="auto"/>
            <w:noWrap/>
            <w:vAlign w:val="bottom"/>
            <w:hideMark/>
          </w:tcPr>
          <w:p w14:paraId="0782CFCB"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269,353</w:t>
            </w:r>
          </w:p>
        </w:tc>
        <w:tc>
          <w:tcPr>
            <w:tcW w:w="1097" w:type="dxa"/>
            <w:tcBorders>
              <w:bottom w:val="single" w:sz="4" w:space="0" w:color="auto"/>
            </w:tcBorders>
            <w:shd w:val="clear" w:color="auto" w:fill="auto"/>
            <w:noWrap/>
            <w:vAlign w:val="bottom"/>
            <w:hideMark/>
          </w:tcPr>
          <w:p w14:paraId="406A4A6E"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181,779</w:t>
            </w:r>
          </w:p>
        </w:tc>
        <w:tc>
          <w:tcPr>
            <w:tcW w:w="1260" w:type="dxa"/>
            <w:tcBorders>
              <w:bottom w:val="single" w:sz="4" w:space="0" w:color="auto"/>
            </w:tcBorders>
            <w:shd w:val="clear" w:color="auto" w:fill="auto"/>
            <w:noWrap/>
            <w:vAlign w:val="bottom"/>
            <w:hideMark/>
          </w:tcPr>
          <w:p w14:paraId="48B633D4"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502,648</w:t>
            </w:r>
          </w:p>
        </w:tc>
        <w:tc>
          <w:tcPr>
            <w:tcW w:w="1097" w:type="dxa"/>
            <w:tcBorders>
              <w:bottom w:val="single" w:sz="4" w:space="0" w:color="auto"/>
            </w:tcBorders>
            <w:shd w:val="clear" w:color="auto" w:fill="auto"/>
            <w:noWrap/>
            <w:vAlign w:val="bottom"/>
            <w:hideMark/>
          </w:tcPr>
          <w:p w14:paraId="10EF2C01"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255,897</w:t>
            </w:r>
          </w:p>
        </w:tc>
      </w:tr>
      <w:tr w:rsidR="00D8454F" w:rsidRPr="00576EC1" w14:paraId="12BB6906" w14:textId="77777777" w:rsidTr="00D8454F">
        <w:trPr>
          <w:trHeight w:val="219"/>
          <w:tblHeader/>
          <w:jc w:val="center"/>
        </w:trPr>
        <w:tc>
          <w:tcPr>
            <w:tcW w:w="292" w:type="dxa"/>
            <w:tcBorders>
              <w:top w:val="single" w:sz="4" w:space="0" w:color="auto"/>
            </w:tcBorders>
            <w:shd w:val="clear" w:color="auto" w:fill="auto"/>
            <w:noWrap/>
            <w:vAlign w:val="bottom"/>
            <w:hideMark/>
          </w:tcPr>
          <w:p w14:paraId="087EDFDC" w14:textId="77777777" w:rsidR="00D8454F" w:rsidRPr="00576EC1" w:rsidRDefault="00D8454F" w:rsidP="00BD3901">
            <w:pPr>
              <w:jc w:val="right"/>
              <w:rPr>
                <w:rFonts w:ascii="Arial" w:hAnsi="Arial" w:cs="Arial"/>
                <w:color w:val="000000"/>
                <w:sz w:val="18"/>
              </w:rPr>
            </w:pPr>
          </w:p>
        </w:tc>
        <w:tc>
          <w:tcPr>
            <w:tcW w:w="3483" w:type="dxa"/>
            <w:tcBorders>
              <w:top w:val="single" w:sz="4" w:space="0" w:color="auto"/>
            </w:tcBorders>
            <w:shd w:val="clear" w:color="auto" w:fill="auto"/>
            <w:noWrap/>
            <w:vAlign w:val="bottom"/>
            <w:hideMark/>
          </w:tcPr>
          <w:p w14:paraId="065EC182" w14:textId="77777777" w:rsidR="00D8454F" w:rsidRPr="00576EC1" w:rsidRDefault="00D8454F" w:rsidP="00BD3901">
            <w:pPr>
              <w:rPr>
                <w:rFonts w:ascii="Arial" w:hAnsi="Arial" w:cs="Arial"/>
                <w:sz w:val="18"/>
              </w:rPr>
            </w:pPr>
          </w:p>
        </w:tc>
        <w:tc>
          <w:tcPr>
            <w:tcW w:w="900" w:type="dxa"/>
            <w:tcBorders>
              <w:top w:val="single" w:sz="4" w:space="0" w:color="auto"/>
            </w:tcBorders>
            <w:shd w:val="clear" w:color="auto" w:fill="auto"/>
            <w:noWrap/>
            <w:vAlign w:val="bottom"/>
            <w:hideMark/>
          </w:tcPr>
          <w:p w14:paraId="312A4315"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15C24111"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5846F693"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356E5798"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6523352A" w14:textId="77777777" w:rsidR="00D8454F" w:rsidRPr="00576EC1" w:rsidRDefault="00D8454F" w:rsidP="00D8454F">
            <w:pPr>
              <w:jc w:val="right"/>
              <w:rPr>
                <w:rFonts w:ascii="Arial" w:hAnsi="Arial" w:cs="Arial"/>
                <w:sz w:val="18"/>
              </w:rPr>
            </w:pPr>
          </w:p>
        </w:tc>
      </w:tr>
      <w:tr w:rsidR="00D8454F" w:rsidRPr="00576EC1" w14:paraId="2620EC1C"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3AB8B9B6"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Loss from operations</w:t>
            </w:r>
          </w:p>
        </w:tc>
        <w:tc>
          <w:tcPr>
            <w:tcW w:w="900" w:type="dxa"/>
            <w:tcBorders>
              <w:bottom w:val="single" w:sz="4" w:space="0" w:color="auto"/>
            </w:tcBorders>
            <w:shd w:val="clear" w:color="auto" w:fill="auto"/>
            <w:noWrap/>
            <w:vAlign w:val="bottom"/>
            <w:hideMark/>
          </w:tcPr>
          <w:p w14:paraId="6ED4F9FE"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tcBorders>
              <w:bottom w:val="single" w:sz="4" w:space="0" w:color="auto"/>
            </w:tcBorders>
            <w:shd w:val="clear" w:color="auto" w:fill="auto"/>
            <w:noWrap/>
            <w:vAlign w:val="bottom"/>
            <w:hideMark/>
          </w:tcPr>
          <w:p w14:paraId="196607A7"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(265,830)</w:t>
            </w:r>
          </w:p>
        </w:tc>
        <w:tc>
          <w:tcPr>
            <w:tcW w:w="1097" w:type="dxa"/>
            <w:tcBorders>
              <w:bottom w:val="single" w:sz="4" w:space="0" w:color="auto"/>
            </w:tcBorders>
            <w:shd w:val="clear" w:color="auto" w:fill="auto"/>
            <w:noWrap/>
            <w:vAlign w:val="bottom"/>
            <w:hideMark/>
          </w:tcPr>
          <w:p w14:paraId="7A405686"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(214,628)</w:t>
            </w:r>
          </w:p>
        </w:tc>
        <w:tc>
          <w:tcPr>
            <w:tcW w:w="1260" w:type="dxa"/>
            <w:tcBorders>
              <w:bottom w:val="single" w:sz="4" w:space="0" w:color="auto"/>
            </w:tcBorders>
            <w:shd w:val="clear" w:color="auto" w:fill="auto"/>
            <w:noWrap/>
            <w:vAlign w:val="bottom"/>
            <w:hideMark/>
          </w:tcPr>
          <w:p w14:paraId="1144501D"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(388,936)</w:t>
            </w:r>
          </w:p>
        </w:tc>
        <w:tc>
          <w:tcPr>
            <w:tcW w:w="1097" w:type="dxa"/>
            <w:tcBorders>
              <w:bottom w:val="single" w:sz="4" w:space="0" w:color="auto"/>
            </w:tcBorders>
            <w:shd w:val="clear" w:color="auto" w:fill="auto"/>
            <w:noWrap/>
            <w:vAlign w:val="bottom"/>
            <w:hideMark/>
          </w:tcPr>
          <w:p w14:paraId="04C21EB6"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(245,334)</w:t>
            </w:r>
          </w:p>
        </w:tc>
      </w:tr>
      <w:tr w:rsidR="00D8454F" w:rsidRPr="00576EC1" w14:paraId="311B5835" w14:textId="77777777" w:rsidTr="00D8454F">
        <w:trPr>
          <w:trHeight w:val="219"/>
          <w:tblHeader/>
          <w:jc w:val="center"/>
        </w:trPr>
        <w:tc>
          <w:tcPr>
            <w:tcW w:w="292" w:type="dxa"/>
            <w:tcBorders>
              <w:top w:val="single" w:sz="4" w:space="0" w:color="auto"/>
            </w:tcBorders>
            <w:shd w:val="clear" w:color="auto" w:fill="auto"/>
            <w:noWrap/>
            <w:vAlign w:val="bottom"/>
            <w:hideMark/>
          </w:tcPr>
          <w:p w14:paraId="580EA64B" w14:textId="77777777" w:rsidR="00D8454F" w:rsidRPr="00576EC1" w:rsidRDefault="00D8454F" w:rsidP="00BD3901">
            <w:pPr>
              <w:jc w:val="right"/>
              <w:rPr>
                <w:rFonts w:ascii="Arial" w:hAnsi="Arial" w:cs="Arial"/>
                <w:color w:val="000000"/>
                <w:sz w:val="18"/>
              </w:rPr>
            </w:pPr>
          </w:p>
        </w:tc>
        <w:tc>
          <w:tcPr>
            <w:tcW w:w="3483" w:type="dxa"/>
            <w:tcBorders>
              <w:top w:val="single" w:sz="4" w:space="0" w:color="auto"/>
            </w:tcBorders>
            <w:shd w:val="clear" w:color="auto" w:fill="auto"/>
            <w:noWrap/>
            <w:vAlign w:val="bottom"/>
            <w:hideMark/>
          </w:tcPr>
          <w:p w14:paraId="450E66F5" w14:textId="77777777" w:rsidR="00D8454F" w:rsidRPr="00576EC1" w:rsidRDefault="00D8454F" w:rsidP="00BD3901">
            <w:pPr>
              <w:rPr>
                <w:rFonts w:ascii="Arial" w:hAnsi="Arial" w:cs="Arial"/>
                <w:sz w:val="18"/>
              </w:rPr>
            </w:pPr>
          </w:p>
        </w:tc>
        <w:tc>
          <w:tcPr>
            <w:tcW w:w="900" w:type="dxa"/>
            <w:tcBorders>
              <w:top w:val="single" w:sz="4" w:space="0" w:color="auto"/>
            </w:tcBorders>
            <w:shd w:val="clear" w:color="auto" w:fill="auto"/>
            <w:noWrap/>
            <w:vAlign w:val="bottom"/>
            <w:hideMark/>
          </w:tcPr>
          <w:p w14:paraId="4D0D806A"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2F35B7E3"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3ADC3B09"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2DD18B42"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5AD82549" w14:textId="77777777" w:rsidR="00D8454F" w:rsidRPr="00576EC1" w:rsidRDefault="00D8454F" w:rsidP="00D8454F">
            <w:pPr>
              <w:jc w:val="right"/>
              <w:rPr>
                <w:rFonts w:ascii="Arial" w:hAnsi="Arial" w:cs="Arial"/>
                <w:sz w:val="18"/>
              </w:rPr>
            </w:pPr>
          </w:p>
        </w:tc>
      </w:tr>
      <w:tr w:rsidR="00D8454F" w:rsidRPr="00576EC1" w14:paraId="135C6006" w14:textId="77777777" w:rsidTr="00D8454F">
        <w:trPr>
          <w:trHeight w:val="219"/>
          <w:tblHeader/>
          <w:jc w:val="center"/>
        </w:trPr>
        <w:tc>
          <w:tcPr>
            <w:tcW w:w="3775" w:type="dxa"/>
            <w:gridSpan w:val="2"/>
            <w:shd w:val="clear" w:color="auto" w:fill="auto"/>
            <w:noWrap/>
            <w:vAlign w:val="bottom"/>
            <w:hideMark/>
          </w:tcPr>
          <w:p w14:paraId="0113B84F"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Loss on extinguishment of warrants</w:t>
            </w:r>
          </w:p>
        </w:tc>
        <w:tc>
          <w:tcPr>
            <w:tcW w:w="900" w:type="dxa"/>
            <w:shd w:val="clear" w:color="auto" w:fill="auto"/>
            <w:noWrap/>
            <w:vAlign w:val="bottom"/>
            <w:hideMark/>
          </w:tcPr>
          <w:p w14:paraId="44ADE277"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25</w:t>
            </w:r>
          </w:p>
        </w:tc>
        <w:tc>
          <w:tcPr>
            <w:tcW w:w="1260" w:type="dxa"/>
            <w:shd w:val="clear" w:color="auto" w:fill="auto"/>
            <w:noWrap/>
            <w:vAlign w:val="bottom"/>
            <w:hideMark/>
          </w:tcPr>
          <w:p w14:paraId="6B39A41C" w14:textId="59A4F3E2"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w:t>
            </w:r>
          </w:p>
        </w:tc>
        <w:tc>
          <w:tcPr>
            <w:tcW w:w="1097" w:type="dxa"/>
            <w:shd w:val="clear" w:color="auto" w:fill="auto"/>
            <w:noWrap/>
            <w:vAlign w:val="bottom"/>
            <w:hideMark/>
          </w:tcPr>
          <w:p w14:paraId="1D59ACC0" w14:textId="282D1379" w:rsidR="00D8454F" w:rsidRPr="00576EC1" w:rsidRDefault="00D8454F" w:rsidP="00D8454F">
            <w:pPr>
              <w:jc w:val="right"/>
              <w:rPr>
                <w:rFonts w:ascii="Arial" w:hAnsi="Arial" w:cs="Arial"/>
                <w:color w:val="000000"/>
                <w:sz w:val="18"/>
              </w:rPr>
            </w:pPr>
            <w:r w:rsidRPr="00576EC1">
              <w:rPr>
                <w:rFonts w:ascii="Arial" w:hAnsi="Arial" w:cs="Arial"/>
                <w:color w:val="000000"/>
                <w:sz w:val="18"/>
              </w:rPr>
              <w:t>-</w:t>
            </w:r>
          </w:p>
        </w:tc>
        <w:tc>
          <w:tcPr>
            <w:tcW w:w="1260" w:type="dxa"/>
            <w:shd w:val="clear" w:color="auto" w:fill="auto"/>
            <w:noWrap/>
            <w:vAlign w:val="bottom"/>
            <w:hideMark/>
          </w:tcPr>
          <w:p w14:paraId="14450EDB"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(1,176,350)</w:t>
            </w:r>
          </w:p>
        </w:tc>
        <w:tc>
          <w:tcPr>
            <w:tcW w:w="1097" w:type="dxa"/>
            <w:shd w:val="clear" w:color="auto" w:fill="auto"/>
            <w:noWrap/>
            <w:vAlign w:val="bottom"/>
            <w:hideMark/>
          </w:tcPr>
          <w:p w14:paraId="38579783" w14:textId="0B8CFB24" w:rsidR="00D8454F" w:rsidRPr="00576EC1" w:rsidRDefault="00D8454F" w:rsidP="00D8454F">
            <w:pPr>
              <w:jc w:val="right"/>
              <w:rPr>
                <w:rFonts w:ascii="Arial" w:hAnsi="Arial" w:cs="Arial"/>
                <w:color w:val="000000"/>
                <w:sz w:val="18"/>
              </w:rPr>
            </w:pPr>
            <w:r w:rsidRPr="00576EC1">
              <w:rPr>
                <w:rFonts w:ascii="Arial" w:hAnsi="Arial" w:cs="Arial"/>
                <w:color w:val="000000"/>
                <w:sz w:val="18"/>
              </w:rPr>
              <w:t>-</w:t>
            </w:r>
          </w:p>
        </w:tc>
      </w:tr>
      <w:tr w:rsidR="00D8454F" w:rsidRPr="00576EC1" w14:paraId="58EC7F21"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59DC7B14"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Other income (expense), net</w:t>
            </w:r>
          </w:p>
        </w:tc>
        <w:tc>
          <w:tcPr>
            <w:tcW w:w="900" w:type="dxa"/>
            <w:tcBorders>
              <w:bottom w:val="single" w:sz="4" w:space="0" w:color="auto"/>
            </w:tcBorders>
            <w:shd w:val="clear" w:color="auto" w:fill="auto"/>
            <w:noWrap/>
            <w:vAlign w:val="bottom"/>
            <w:hideMark/>
          </w:tcPr>
          <w:p w14:paraId="6552F5B3"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21</w:t>
            </w:r>
          </w:p>
        </w:tc>
        <w:tc>
          <w:tcPr>
            <w:tcW w:w="1260" w:type="dxa"/>
            <w:tcBorders>
              <w:bottom w:val="single" w:sz="4" w:space="0" w:color="auto"/>
            </w:tcBorders>
            <w:shd w:val="clear" w:color="auto" w:fill="auto"/>
            <w:noWrap/>
            <w:vAlign w:val="bottom"/>
            <w:hideMark/>
          </w:tcPr>
          <w:p w14:paraId="793634DD"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(109,283)</w:t>
            </w:r>
          </w:p>
        </w:tc>
        <w:tc>
          <w:tcPr>
            <w:tcW w:w="1097" w:type="dxa"/>
            <w:tcBorders>
              <w:bottom w:val="single" w:sz="4" w:space="0" w:color="auto"/>
            </w:tcBorders>
            <w:shd w:val="clear" w:color="auto" w:fill="auto"/>
            <w:noWrap/>
            <w:vAlign w:val="bottom"/>
            <w:hideMark/>
          </w:tcPr>
          <w:p w14:paraId="2F96ECC2"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(115,702)</w:t>
            </w:r>
          </w:p>
        </w:tc>
        <w:tc>
          <w:tcPr>
            <w:tcW w:w="1260" w:type="dxa"/>
            <w:tcBorders>
              <w:bottom w:val="single" w:sz="4" w:space="0" w:color="auto"/>
            </w:tcBorders>
            <w:shd w:val="clear" w:color="auto" w:fill="auto"/>
            <w:noWrap/>
            <w:vAlign w:val="bottom"/>
            <w:hideMark/>
          </w:tcPr>
          <w:p w14:paraId="4C05ACA9"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(76,662)</w:t>
            </w:r>
          </w:p>
        </w:tc>
        <w:tc>
          <w:tcPr>
            <w:tcW w:w="1097" w:type="dxa"/>
            <w:tcBorders>
              <w:bottom w:val="single" w:sz="4" w:space="0" w:color="auto"/>
            </w:tcBorders>
            <w:shd w:val="clear" w:color="auto" w:fill="auto"/>
            <w:noWrap/>
            <w:vAlign w:val="bottom"/>
            <w:hideMark/>
          </w:tcPr>
          <w:p w14:paraId="10BDB59A"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(178,697)</w:t>
            </w:r>
          </w:p>
        </w:tc>
      </w:tr>
      <w:tr w:rsidR="00D8454F" w:rsidRPr="00576EC1" w14:paraId="54107059" w14:textId="77777777" w:rsidTr="00D8454F">
        <w:trPr>
          <w:trHeight w:val="219"/>
          <w:tblHeader/>
          <w:jc w:val="center"/>
        </w:trPr>
        <w:tc>
          <w:tcPr>
            <w:tcW w:w="3775" w:type="dxa"/>
            <w:gridSpan w:val="2"/>
            <w:tcBorders>
              <w:top w:val="single" w:sz="4" w:space="0" w:color="auto"/>
              <w:bottom w:val="single" w:sz="4" w:space="0" w:color="auto"/>
            </w:tcBorders>
            <w:shd w:val="clear" w:color="auto" w:fill="auto"/>
            <w:noWrap/>
            <w:vAlign w:val="bottom"/>
            <w:hideMark/>
          </w:tcPr>
          <w:p w14:paraId="03D5F8F2" w14:textId="77777777" w:rsidR="00D8454F" w:rsidRPr="00576EC1" w:rsidRDefault="00D8454F" w:rsidP="00BD3901">
            <w:pPr>
              <w:rPr>
                <w:rFonts w:ascii="Arial" w:hAnsi="Arial" w:cs="Arial"/>
                <w:b/>
                <w:bCs/>
                <w:color w:val="000000"/>
                <w:sz w:val="18"/>
              </w:rPr>
            </w:pPr>
            <w:r w:rsidRPr="00576EC1">
              <w:rPr>
                <w:rFonts w:ascii="Arial" w:hAnsi="Arial" w:cs="Arial"/>
                <w:b/>
                <w:bCs/>
                <w:color w:val="000000"/>
                <w:sz w:val="18"/>
              </w:rPr>
              <w:t>Total other income (expense), net</w:t>
            </w:r>
          </w:p>
        </w:tc>
        <w:tc>
          <w:tcPr>
            <w:tcW w:w="900" w:type="dxa"/>
            <w:tcBorders>
              <w:top w:val="single" w:sz="4" w:space="0" w:color="auto"/>
              <w:bottom w:val="single" w:sz="4" w:space="0" w:color="auto"/>
            </w:tcBorders>
            <w:shd w:val="clear" w:color="auto" w:fill="auto"/>
            <w:noWrap/>
            <w:vAlign w:val="bottom"/>
            <w:hideMark/>
          </w:tcPr>
          <w:p w14:paraId="456D6C91"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tcBorders>
              <w:top w:val="single" w:sz="4" w:space="0" w:color="auto"/>
              <w:bottom w:val="single" w:sz="4" w:space="0" w:color="auto"/>
            </w:tcBorders>
            <w:shd w:val="clear" w:color="auto" w:fill="auto"/>
            <w:noWrap/>
            <w:vAlign w:val="bottom"/>
            <w:hideMark/>
          </w:tcPr>
          <w:p w14:paraId="78652896"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(109,283)</w:t>
            </w:r>
          </w:p>
        </w:tc>
        <w:tc>
          <w:tcPr>
            <w:tcW w:w="1097" w:type="dxa"/>
            <w:tcBorders>
              <w:top w:val="single" w:sz="4" w:space="0" w:color="auto"/>
              <w:bottom w:val="single" w:sz="4" w:space="0" w:color="auto"/>
            </w:tcBorders>
            <w:shd w:val="clear" w:color="auto" w:fill="auto"/>
            <w:noWrap/>
            <w:vAlign w:val="bottom"/>
            <w:hideMark/>
          </w:tcPr>
          <w:p w14:paraId="5BD307A3"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(115,702)</w:t>
            </w:r>
          </w:p>
        </w:tc>
        <w:tc>
          <w:tcPr>
            <w:tcW w:w="1260" w:type="dxa"/>
            <w:tcBorders>
              <w:top w:val="single" w:sz="4" w:space="0" w:color="auto"/>
              <w:bottom w:val="single" w:sz="4" w:space="0" w:color="auto"/>
            </w:tcBorders>
            <w:shd w:val="clear" w:color="auto" w:fill="auto"/>
            <w:noWrap/>
            <w:vAlign w:val="bottom"/>
            <w:hideMark/>
          </w:tcPr>
          <w:p w14:paraId="49D8EFE0"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(1,253,012)</w:t>
            </w:r>
          </w:p>
        </w:tc>
        <w:tc>
          <w:tcPr>
            <w:tcW w:w="1097" w:type="dxa"/>
            <w:tcBorders>
              <w:top w:val="single" w:sz="4" w:space="0" w:color="auto"/>
              <w:bottom w:val="single" w:sz="4" w:space="0" w:color="auto"/>
            </w:tcBorders>
            <w:shd w:val="clear" w:color="auto" w:fill="auto"/>
            <w:noWrap/>
            <w:vAlign w:val="bottom"/>
            <w:hideMark/>
          </w:tcPr>
          <w:p w14:paraId="2277414A"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(178,697)</w:t>
            </w:r>
          </w:p>
        </w:tc>
      </w:tr>
      <w:tr w:rsidR="00D8454F" w:rsidRPr="00576EC1" w14:paraId="6C2BBC4E" w14:textId="77777777" w:rsidTr="00D8454F">
        <w:trPr>
          <w:trHeight w:val="219"/>
          <w:tblHeader/>
          <w:jc w:val="center"/>
        </w:trPr>
        <w:tc>
          <w:tcPr>
            <w:tcW w:w="292" w:type="dxa"/>
            <w:tcBorders>
              <w:top w:val="single" w:sz="4" w:space="0" w:color="auto"/>
            </w:tcBorders>
            <w:shd w:val="clear" w:color="auto" w:fill="auto"/>
            <w:noWrap/>
            <w:vAlign w:val="bottom"/>
            <w:hideMark/>
          </w:tcPr>
          <w:p w14:paraId="15B2F694" w14:textId="77777777" w:rsidR="00D8454F" w:rsidRPr="00576EC1" w:rsidRDefault="00D8454F" w:rsidP="00BD3901">
            <w:pPr>
              <w:jc w:val="right"/>
              <w:rPr>
                <w:rFonts w:ascii="Arial" w:hAnsi="Arial" w:cs="Arial"/>
                <w:color w:val="000000"/>
                <w:sz w:val="18"/>
              </w:rPr>
            </w:pPr>
          </w:p>
        </w:tc>
        <w:tc>
          <w:tcPr>
            <w:tcW w:w="3483" w:type="dxa"/>
            <w:tcBorders>
              <w:top w:val="single" w:sz="4" w:space="0" w:color="auto"/>
            </w:tcBorders>
            <w:shd w:val="clear" w:color="auto" w:fill="auto"/>
            <w:noWrap/>
            <w:vAlign w:val="bottom"/>
            <w:hideMark/>
          </w:tcPr>
          <w:p w14:paraId="0DAA42FE" w14:textId="77777777" w:rsidR="00D8454F" w:rsidRPr="00576EC1" w:rsidRDefault="00D8454F" w:rsidP="00BD3901">
            <w:pPr>
              <w:rPr>
                <w:rFonts w:ascii="Arial" w:hAnsi="Arial" w:cs="Arial"/>
                <w:sz w:val="18"/>
              </w:rPr>
            </w:pPr>
          </w:p>
        </w:tc>
        <w:tc>
          <w:tcPr>
            <w:tcW w:w="900" w:type="dxa"/>
            <w:tcBorders>
              <w:top w:val="single" w:sz="4" w:space="0" w:color="auto"/>
            </w:tcBorders>
            <w:shd w:val="clear" w:color="auto" w:fill="auto"/>
            <w:noWrap/>
            <w:vAlign w:val="bottom"/>
            <w:hideMark/>
          </w:tcPr>
          <w:p w14:paraId="3033A917"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69EDF2C3"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68871AB9" w14:textId="77777777" w:rsidR="00D8454F" w:rsidRPr="00576EC1" w:rsidRDefault="00D8454F" w:rsidP="00D8454F">
            <w:pPr>
              <w:jc w:val="right"/>
              <w:rPr>
                <w:rFonts w:ascii="Arial" w:hAnsi="Arial" w:cs="Arial"/>
                <w:sz w:val="18"/>
              </w:rPr>
            </w:pPr>
          </w:p>
        </w:tc>
        <w:tc>
          <w:tcPr>
            <w:tcW w:w="1260" w:type="dxa"/>
            <w:tcBorders>
              <w:top w:val="single" w:sz="4" w:space="0" w:color="auto"/>
            </w:tcBorders>
            <w:shd w:val="clear" w:color="auto" w:fill="auto"/>
            <w:noWrap/>
            <w:vAlign w:val="bottom"/>
            <w:hideMark/>
          </w:tcPr>
          <w:p w14:paraId="22191D06" w14:textId="77777777" w:rsidR="00D8454F" w:rsidRPr="00576EC1" w:rsidRDefault="00D8454F" w:rsidP="00D8454F">
            <w:pPr>
              <w:jc w:val="right"/>
              <w:rPr>
                <w:rFonts w:ascii="Arial" w:hAnsi="Arial" w:cs="Arial"/>
                <w:sz w:val="18"/>
              </w:rPr>
            </w:pPr>
          </w:p>
        </w:tc>
        <w:tc>
          <w:tcPr>
            <w:tcW w:w="1097" w:type="dxa"/>
            <w:tcBorders>
              <w:top w:val="single" w:sz="4" w:space="0" w:color="auto"/>
            </w:tcBorders>
            <w:shd w:val="clear" w:color="auto" w:fill="auto"/>
            <w:noWrap/>
            <w:vAlign w:val="bottom"/>
            <w:hideMark/>
          </w:tcPr>
          <w:p w14:paraId="387B45A6" w14:textId="77777777" w:rsidR="00D8454F" w:rsidRPr="00576EC1" w:rsidRDefault="00D8454F" w:rsidP="00D8454F">
            <w:pPr>
              <w:jc w:val="right"/>
              <w:rPr>
                <w:rFonts w:ascii="Arial" w:hAnsi="Arial" w:cs="Arial"/>
                <w:sz w:val="18"/>
              </w:rPr>
            </w:pPr>
          </w:p>
        </w:tc>
      </w:tr>
      <w:tr w:rsidR="00D8454F" w:rsidRPr="00576EC1" w14:paraId="1775579D" w14:textId="77777777" w:rsidTr="00D8454F">
        <w:trPr>
          <w:trHeight w:val="219"/>
          <w:tblHeader/>
          <w:jc w:val="center"/>
        </w:trPr>
        <w:tc>
          <w:tcPr>
            <w:tcW w:w="3775" w:type="dxa"/>
            <w:gridSpan w:val="2"/>
            <w:shd w:val="clear" w:color="auto" w:fill="auto"/>
            <w:noWrap/>
            <w:vAlign w:val="bottom"/>
            <w:hideMark/>
          </w:tcPr>
          <w:p w14:paraId="64E3F5B8"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Loss before income taxes</w:t>
            </w:r>
          </w:p>
        </w:tc>
        <w:tc>
          <w:tcPr>
            <w:tcW w:w="900" w:type="dxa"/>
            <w:shd w:val="clear" w:color="auto" w:fill="auto"/>
            <w:noWrap/>
            <w:vAlign w:val="bottom"/>
            <w:hideMark/>
          </w:tcPr>
          <w:p w14:paraId="4836132D"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shd w:val="clear" w:color="auto" w:fill="auto"/>
            <w:noWrap/>
            <w:vAlign w:val="bottom"/>
            <w:hideMark/>
          </w:tcPr>
          <w:p w14:paraId="242472C9"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(375,113)</w:t>
            </w:r>
          </w:p>
        </w:tc>
        <w:tc>
          <w:tcPr>
            <w:tcW w:w="1097" w:type="dxa"/>
            <w:shd w:val="clear" w:color="auto" w:fill="auto"/>
            <w:noWrap/>
            <w:vAlign w:val="bottom"/>
            <w:hideMark/>
          </w:tcPr>
          <w:p w14:paraId="25545047"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(330,330)</w:t>
            </w:r>
          </w:p>
        </w:tc>
        <w:tc>
          <w:tcPr>
            <w:tcW w:w="1260" w:type="dxa"/>
            <w:shd w:val="clear" w:color="auto" w:fill="auto"/>
            <w:noWrap/>
            <w:vAlign w:val="bottom"/>
            <w:hideMark/>
          </w:tcPr>
          <w:p w14:paraId="2E9883AB"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(1,641,948)</w:t>
            </w:r>
          </w:p>
        </w:tc>
        <w:tc>
          <w:tcPr>
            <w:tcW w:w="1097" w:type="dxa"/>
            <w:shd w:val="clear" w:color="auto" w:fill="auto"/>
            <w:noWrap/>
            <w:vAlign w:val="bottom"/>
            <w:hideMark/>
          </w:tcPr>
          <w:p w14:paraId="2C0002BA"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(424,031)</w:t>
            </w:r>
          </w:p>
        </w:tc>
      </w:tr>
      <w:tr w:rsidR="00D8454F" w:rsidRPr="00576EC1" w14:paraId="3E4A4EA0" w14:textId="77777777" w:rsidTr="00D8454F">
        <w:trPr>
          <w:trHeight w:val="219"/>
          <w:tblHeader/>
          <w:jc w:val="center"/>
        </w:trPr>
        <w:tc>
          <w:tcPr>
            <w:tcW w:w="292" w:type="dxa"/>
            <w:shd w:val="clear" w:color="auto" w:fill="auto"/>
            <w:noWrap/>
            <w:vAlign w:val="bottom"/>
            <w:hideMark/>
          </w:tcPr>
          <w:p w14:paraId="0BAEE4CD" w14:textId="77777777" w:rsidR="00D8454F" w:rsidRPr="00576EC1" w:rsidRDefault="00D8454F" w:rsidP="00BD3901">
            <w:pPr>
              <w:jc w:val="right"/>
              <w:rPr>
                <w:rFonts w:ascii="Arial" w:hAnsi="Arial" w:cs="Arial"/>
                <w:color w:val="000000"/>
                <w:sz w:val="18"/>
              </w:rPr>
            </w:pPr>
          </w:p>
        </w:tc>
        <w:tc>
          <w:tcPr>
            <w:tcW w:w="3483" w:type="dxa"/>
            <w:shd w:val="clear" w:color="auto" w:fill="auto"/>
            <w:noWrap/>
            <w:vAlign w:val="bottom"/>
            <w:hideMark/>
          </w:tcPr>
          <w:p w14:paraId="4F8C39E1" w14:textId="77777777" w:rsidR="00D8454F" w:rsidRPr="00576EC1" w:rsidRDefault="00D8454F" w:rsidP="00BD3901">
            <w:pPr>
              <w:rPr>
                <w:rFonts w:ascii="Arial" w:hAnsi="Arial" w:cs="Arial"/>
                <w:sz w:val="18"/>
              </w:rPr>
            </w:pPr>
          </w:p>
        </w:tc>
        <w:tc>
          <w:tcPr>
            <w:tcW w:w="900" w:type="dxa"/>
            <w:shd w:val="clear" w:color="auto" w:fill="auto"/>
            <w:noWrap/>
            <w:vAlign w:val="bottom"/>
            <w:hideMark/>
          </w:tcPr>
          <w:p w14:paraId="672EA885"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268B2433"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42F8718C" w14:textId="77777777" w:rsidR="00D8454F" w:rsidRPr="00576EC1" w:rsidRDefault="00D8454F" w:rsidP="00D8454F">
            <w:pPr>
              <w:jc w:val="right"/>
              <w:rPr>
                <w:rFonts w:ascii="Arial" w:hAnsi="Arial" w:cs="Arial"/>
                <w:sz w:val="18"/>
              </w:rPr>
            </w:pPr>
          </w:p>
        </w:tc>
        <w:tc>
          <w:tcPr>
            <w:tcW w:w="1260" w:type="dxa"/>
            <w:shd w:val="clear" w:color="auto" w:fill="auto"/>
            <w:noWrap/>
            <w:vAlign w:val="bottom"/>
            <w:hideMark/>
          </w:tcPr>
          <w:p w14:paraId="5028EA77" w14:textId="77777777" w:rsidR="00D8454F" w:rsidRPr="00576EC1" w:rsidRDefault="00D8454F" w:rsidP="00D8454F">
            <w:pPr>
              <w:jc w:val="right"/>
              <w:rPr>
                <w:rFonts w:ascii="Arial" w:hAnsi="Arial" w:cs="Arial"/>
                <w:sz w:val="18"/>
              </w:rPr>
            </w:pPr>
          </w:p>
        </w:tc>
        <w:tc>
          <w:tcPr>
            <w:tcW w:w="1097" w:type="dxa"/>
            <w:shd w:val="clear" w:color="auto" w:fill="auto"/>
            <w:noWrap/>
            <w:vAlign w:val="bottom"/>
            <w:hideMark/>
          </w:tcPr>
          <w:p w14:paraId="4CB7B291" w14:textId="77777777" w:rsidR="00D8454F" w:rsidRPr="00576EC1" w:rsidRDefault="00D8454F" w:rsidP="00D8454F">
            <w:pPr>
              <w:jc w:val="right"/>
              <w:rPr>
                <w:rFonts w:ascii="Arial" w:hAnsi="Arial" w:cs="Arial"/>
                <w:sz w:val="18"/>
              </w:rPr>
            </w:pPr>
          </w:p>
        </w:tc>
      </w:tr>
      <w:tr w:rsidR="00D8454F" w:rsidRPr="00576EC1" w14:paraId="41C1F558" w14:textId="77777777" w:rsidTr="00D8454F">
        <w:trPr>
          <w:trHeight w:val="219"/>
          <w:tblHeader/>
          <w:jc w:val="center"/>
        </w:trPr>
        <w:tc>
          <w:tcPr>
            <w:tcW w:w="3775" w:type="dxa"/>
            <w:gridSpan w:val="2"/>
            <w:tcBorders>
              <w:bottom w:val="single" w:sz="4" w:space="0" w:color="auto"/>
            </w:tcBorders>
            <w:shd w:val="clear" w:color="auto" w:fill="auto"/>
            <w:noWrap/>
            <w:vAlign w:val="bottom"/>
            <w:hideMark/>
          </w:tcPr>
          <w:p w14:paraId="43B723D2"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Income tax recovery (expense)</w:t>
            </w:r>
          </w:p>
        </w:tc>
        <w:tc>
          <w:tcPr>
            <w:tcW w:w="900" w:type="dxa"/>
            <w:tcBorders>
              <w:bottom w:val="single" w:sz="4" w:space="0" w:color="auto"/>
            </w:tcBorders>
            <w:shd w:val="clear" w:color="auto" w:fill="auto"/>
            <w:noWrap/>
            <w:vAlign w:val="bottom"/>
            <w:hideMark/>
          </w:tcPr>
          <w:p w14:paraId="0A5AEFC7"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22</w:t>
            </w:r>
          </w:p>
        </w:tc>
        <w:tc>
          <w:tcPr>
            <w:tcW w:w="1260" w:type="dxa"/>
            <w:tcBorders>
              <w:bottom w:val="single" w:sz="4" w:space="0" w:color="auto"/>
            </w:tcBorders>
            <w:shd w:val="clear" w:color="auto" w:fill="auto"/>
            <w:noWrap/>
            <w:vAlign w:val="bottom"/>
            <w:hideMark/>
          </w:tcPr>
          <w:p w14:paraId="5D9AF617"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493</w:t>
            </w:r>
          </w:p>
        </w:tc>
        <w:tc>
          <w:tcPr>
            <w:tcW w:w="1097" w:type="dxa"/>
            <w:tcBorders>
              <w:bottom w:val="single" w:sz="4" w:space="0" w:color="auto"/>
            </w:tcBorders>
            <w:shd w:val="clear" w:color="auto" w:fill="auto"/>
            <w:noWrap/>
            <w:vAlign w:val="bottom"/>
            <w:hideMark/>
          </w:tcPr>
          <w:p w14:paraId="1CDFC459"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(284)</w:t>
            </w:r>
          </w:p>
        </w:tc>
        <w:tc>
          <w:tcPr>
            <w:tcW w:w="1260" w:type="dxa"/>
            <w:tcBorders>
              <w:bottom w:val="single" w:sz="4" w:space="0" w:color="auto"/>
            </w:tcBorders>
            <w:shd w:val="clear" w:color="auto" w:fill="auto"/>
            <w:noWrap/>
            <w:vAlign w:val="bottom"/>
            <w:hideMark/>
          </w:tcPr>
          <w:p w14:paraId="4F7C44B3"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(13,840)</w:t>
            </w:r>
          </w:p>
        </w:tc>
        <w:tc>
          <w:tcPr>
            <w:tcW w:w="1097" w:type="dxa"/>
            <w:tcBorders>
              <w:bottom w:val="single" w:sz="4" w:space="0" w:color="auto"/>
            </w:tcBorders>
            <w:shd w:val="clear" w:color="auto" w:fill="auto"/>
            <w:noWrap/>
            <w:vAlign w:val="bottom"/>
            <w:hideMark/>
          </w:tcPr>
          <w:p w14:paraId="6D6473F8"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2,439</w:t>
            </w:r>
          </w:p>
        </w:tc>
      </w:tr>
      <w:tr w:rsidR="00D8454F" w:rsidRPr="00576EC1" w14:paraId="46675253" w14:textId="77777777" w:rsidTr="00D8454F">
        <w:trPr>
          <w:trHeight w:val="219"/>
          <w:tblHeader/>
          <w:jc w:val="center"/>
        </w:trPr>
        <w:tc>
          <w:tcPr>
            <w:tcW w:w="3775" w:type="dxa"/>
            <w:gridSpan w:val="2"/>
            <w:tcBorders>
              <w:top w:val="single" w:sz="4" w:space="0" w:color="auto"/>
            </w:tcBorders>
            <w:shd w:val="clear" w:color="auto" w:fill="auto"/>
            <w:noWrap/>
            <w:vAlign w:val="bottom"/>
            <w:hideMark/>
          </w:tcPr>
          <w:p w14:paraId="5E340423" w14:textId="77777777" w:rsidR="00D8454F" w:rsidRPr="00576EC1" w:rsidRDefault="00D8454F" w:rsidP="00BD3901">
            <w:pPr>
              <w:rPr>
                <w:rFonts w:ascii="Arial" w:hAnsi="Arial" w:cs="Arial"/>
                <w:color w:val="000000"/>
                <w:sz w:val="18"/>
              </w:rPr>
            </w:pPr>
            <w:r w:rsidRPr="00576EC1">
              <w:rPr>
                <w:rFonts w:ascii="Arial" w:hAnsi="Arial" w:cs="Arial"/>
                <w:color w:val="000000"/>
                <w:sz w:val="18"/>
              </w:rPr>
              <w:t>Net Loss</w:t>
            </w:r>
          </w:p>
        </w:tc>
        <w:tc>
          <w:tcPr>
            <w:tcW w:w="900" w:type="dxa"/>
            <w:tcBorders>
              <w:top w:val="single" w:sz="4" w:space="0" w:color="auto"/>
            </w:tcBorders>
            <w:shd w:val="clear" w:color="auto" w:fill="auto"/>
            <w:noWrap/>
            <w:vAlign w:val="bottom"/>
            <w:hideMark/>
          </w:tcPr>
          <w:p w14:paraId="7C269D33"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 </w:t>
            </w:r>
          </w:p>
        </w:tc>
        <w:tc>
          <w:tcPr>
            <w:tcW w:w="1260" w:type="dxa"/>
            <w:tcBorders>
              <w:top w:val="single" w:sz="4" w:space="0" w:color="auto"/>
            </w:tcBorders>
            <w:shd w:val="clear" w:color="auto" w:fill="auto"/>
            <w:noWrap/>
            <w:vAlign w:val="bottom"/>
            <w:hideMark/>
          </w:tcPr>
          <w:p w14:paraId="2146302A"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(374,620)</w:t>
            </w:r>
          </w:p>
        </w:tc>
        <w:tc>
          <w:tcPr>
            <w:tcW w:w="1097" w:type="dxa"/>
            <w:tcBorders>
              <w:top w:val="single" w:sz="4" w:space="0" w:color="auto"/>
            </w:tcBorders>
            <w:shd w:val="clear" w:color="auto" w:fill="auto"/>
            <w:noWrap/>
            <w:vAlign w:val="bottom"/>
            <w:hideMark/>
          </w:tcPr>
          <w:p w14:paraId="1CB28B35"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(330,614)</w:t>
            </w:r>
          </w:p>
        </w:tc>
        <w:tc>
          <w:tcPr>
            <w:tcW w:w="1260" w:type="dxa"/>
            <w:tcBorders>
              <w:top w:val="single" w:sz="4" w:space="0" w:color="auto"/>
            </w:tcBorders>
            <w:shd w:val="clear" w:color="auto" w:fill="auto"/>
            <w:noWrap/>
            <w:vAlign w:val="bottom"/>
            <w:hideMark/>
          </w:tcPr>
          <w:p w14:paraId="089342D4" w14:textId="77777777" w:rsidR="00D8454F" w:rsidRPr="00576EC1" w:rsidRDefault="00D8454F" w:rsidP="00D8454F">
            <w:pPr>
              <w:jc w:val="right"/>
              <w:rPr>
                <w:rFonts w:ascii="Arial" w:hAnsi="Arial" w:cs="Arial"/>
                <w:b/>
                <w:bCs/>
                <w:color w:val="000000"/>
                <w:sz w:val="18"/>
              </w:rPr>
            </w:pPr>
            <w:r w:rsidRPr="00576EC1">
              <w:rPr>
                <w:rFonts w:ascii="Arial" w:hAnsi="Arial" w:cs="Arial"/>
                <w:b/>
                <w:bCs/>
                <w:color w:val="000000"/>
                <w:sz w:val="18"/>
              </w:rPr>
              <w:t>(1,655,788)</w:t>
            </w:r>
          </w:p>
        </w:tc>
        <w:tc>
          <w:tcPr>
            <w:tcW w:w="1097" w:type="dxa"/>
            <w:tcBorders>
              <w:top w:val="single" w:sz="4" w:space="0" w:color="auto"/>
            </w:tcBorders>
            <w:shd w:val="clear" w:color="auto" w:fill="auto"/>
            <w:noWrap/>
            <w:vAlign w:val="bottom"/>
            <w:hideMark/>
          </w:tcPr>
          <w:p w14:paraId="147778F0" w14:textId="77777777" w:rsidR="00D8454F" w:rsidRPr="00576EC1" w:rsidRDefault="00D8454F" w:rsidP="00D8454F">
            <w:pPr>
              <w:jc w:val="right"/>
              <w:rPr>
                <w:rFonts w:ascii="Arial" w:hAnsi="Arial" w:cs="Arial"/>
                <w:color w:val="000000"/>
                <w:sz w:val="18"/>
              </w:rPr>
            </w:pPr>
            <w:r w:rsidRPr="00576EC1">
              <w:rPr>
                <w:rFonts w:ascii="Arial" w:hAnsi="Arial" w:cs="Arial"/>
                <w:color w:val="000000"/>
                <w:sz w:val="18"/>
              </w:rPr>
              <w:t>(421,592)</w:t>
            </w:r>
          </w:p>
        </w:tc>
      </w:tr>
    </w:tbl>
    <w:p w14:paraId="598D8354" w14:textId="77777777" w:rsidR="000A4B0A" w:rsidRDefault="000A4B0A" w:rsidP="00FD58C4">
      <w:pPr>
        <w:pStyle w:val="ExhibitHeading"/>
        <w:rPr>
          <w:lang w:val="en-GB"/>
        </w:rPr>
      </w:pPr>
    </w:p>
    <w:p w14:paraId="41D653B4" w14:textId="77777777" w:rsidR="000A4B0A" w:rsidRDefault="000A4B0A">
      <w:pPr>
        <w:spacing w:after="200" w:line="276" w:lineRule="auto"/>
        <w:rPr>
          <w:rFonts w:ascii="Arial" w:hAnsi="Arial" w:cs="Arial"/>
          <w:b/>
          <w:caps/>
          <w:lang w:val="en-GB"/>
        </w:rPr>
      </w:pPr>
      <w:r>
        <w:rPr>
          <w:lang w:val="en-GB"/>
        </w:rPr>
        <w:br w:type="page"/>
      </w:r>
    </w:p>
    <w:p w14:paraId="54289A85" w14:textId="24F40E53" w:rsidR="00FD58C4" w:rsidRDefault="00FD58C4" w:rsidP="00FD58C4">
      <w:pPr>
        <w:pStyle w:val="ExhibitHeading"/>
        <w:rPr>
          <w:lang w:val="en-GB"/>
        </w:rPr>
      </w:pPr>
      <w:r w:rsidRPr="00E94AD0">
        <w:rPr>
          <w:lang w:val="en-GB"/>
        </w:rPr>
        <w:lastRenderedPageBreak/>
        <w:t>EXHIBIT 1 (continued)</w:t>
      </w:r>
    </w:p>
    <w:p w14:paraId="7BA5F216" w14:textId="77777777" w:rsidR="00433B52" w:rsidRPr="00E94AD0" w:rsidRDefault="00433B52" w:rsidP="00FD58C4">
      <w:pPr>
        <w:pStyle w:val="ExhibitHeading"/>
        <w:rPr>
          <w:lang w:val="en-GB"/>
        </w:rPr>
      </w:pPr>
    </w:p>
    <w:tbl>
      <w:tblPr>
        <w:tblW w:w="9232" w:type="dxa"/>
        <w:jc w:val="center"/>
        <w:tblLook w:val="04A0" w:firstRow="1" w:lastRow="0" w:firstColumn="1" w:lastColumn="0" w:noHBand="0" w:noVBand="1"/>
        <w:tblCaption w:val="Exhibit 1 Continued"/>
        <w:tblDescription w:val="Canopy Growth Corporation Financial Statements"/>
      </w:tblPr>
      <w:tblGrid>
        <w:gridCol w:w="267"/>
        <w:gridCol w:w="267"/>
        <w:gridCol w:w="4609"/>
        <w:gridCol w:w="267"/>
        <w:gridCol w:w="687"/>
        <w:gridCol w:w="267"/>
        <w:gridCol w:w="1434"/>
        <w:gridCol w:w="1434"/>
      </w:tblGrid>
      <w:tr w:rsidR="00576EC1" w:rsidRPr="00576EC1" w14:paraId="5C1D1481" w14:textId="77777777" w:rsidTr="00E05E7C">
        <w:trPr>
          <w:trHeight w:val="252"/>
          <w:tblHeader/>
          <w:jc w:val="center"/>
        </w:trPr>
        <w:tc>
          <w:tcPr>
            <w:tcW w:w="5143" w:type="dxa"/>
            <w:gridSpan w:val="3"/>
            <w:shd w:val="clear" w:color="auto" w:fill="auto"/>
            <w:noWrap/>
            <w:vAlign w:val="bottom"/>
            <w:hideMark/>
          </w:tcPr>
          <w:p w14:paraId="0E9303F8"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CONDENSED INTERIM CONSOLIDATED STATEMENTS OF CASH FLOWS</w:t>
            </w:r>
          </w:p>
        </w:tc>
        <w:tc>
          <w:tcPr>
            <w:tcW w:w="267" w:type="dxa"/>
            <w:shd w:val="clear" w:color="auto" w:fill="auto"/>
            <w:noWrap/>
            <w:vAlign w:val="bottom"/>
            <w:hideMark/>
          </w:tcPr>
          <w:p w14:paraId="390C09ED"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1DE591DB"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0B194059" w14:textId="77777777" w:rsidR="00576EC1" w:rsidRPr="00576EC1" w:rsidRDefault="00576EC1" w:rsidP="00576EC1">
            <w:pPr>
              <w:rPr>
                <w:rFonts w:ascii="Arial" w:hAnsi="Arial" w:cs="Arial"/>
                <w:sz w:val="18"/>
                <w:szCs w:val="18"/>
              </w:rPr>
            </w:pPr>
          </w:p>
        </w:tc>
        <w:tc>
          <w:tcPr>
            <w:tcW w:w="1434" w:type="dxa"/>
            <w:shd w:val="clear" w:color="auto" w:fill="auto"/>
            <w:noWrap/>
            <w:vAlign w:val="bottom"/>
            <w:hideMark/>
          </w:tcPr>
          <w:p w14:paraId="62C65C3D" w14:textId="77777777" w:rsidR="00576EC1" w:rsidRPr="00576EC1" w:rsidRDefault="00576EC1" w:rsidP="00576EC1">
            <w:pPr>
              <w:rPr>
                <w:rFonts w:ascii="Arial" w:hAnsi="Arial" w:cs="Arial"/>
                <w:sz w:val="18"/>
                <w:szCs w:val="18"/>
              </w:rPr>
            </w:pPr>
          </w:p>
        </w:tc>
        <w:tc>
          <w:tcPr>
            <w:tcW w:w="1434" w:type="dxa"/>
            <w:shd w:val="clear" w:color="auto" w:fill="auto"/>
            <w:noWrap/>
            <w:vAlign w:val="bottom"/>
            <w:hideMark/>
          </w:tcPr>
          <w:p w14:paraId="6ECD7C0E" w14:textId="77777777" w:rsidR="00576EC1" w:rsidRPr="00576EC1" w:rsidRDefault="00576EC1" w:rsidP="00576EC1">
            <w:pPr>
              <w:rPr>
                <w:rFonts w:ascii="Arial" w:hAnsi="Arial" w:cs="Arial"/>
                <w:sz w:val="18"/>
                <w:szCs w:val="18"/>
              </w:rPr>
            </w:pPr>
          </w:p>
        </w:tc>
      </w:tr>
      <w:tr w:rsidR="00576EC1" w:rsidRPr="00576EC1" w14:paraId="367FEB10" w14:textId="77777777" w:rsidTr="00E05E7C">
        <w:trPr>
          <w:trHeight w:val="252"/>
          <w:tblHeader/>
          <w:jc w:val="center"/>
        </w:trPr>
        <w:tc>
          <w:tcPr>
            <w:tcW w:w="5143" w:type="dxa"/>
            <w:gridSpan w:val="3"/>
            <w:shd w:val="clear" w:color="auto" w:fill="auto"/>
            <w:noWrap/>
            <w:vAlign w:val="bottom"/>
            <w:hideMark/>
          </w:tcPr>
          <w:p w14:paraId="62A87699"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FOR THE SIX MONTHS ENDED SEPTEMBER 30, 2019 AND 2018</w:t>
            </w:r>
          </w:p>
        </w:tc>
        <w:tc>
          <w:tcPr>
            <w:tcW w:w="267" w:type="dxa"/>
            <w:shd w:val="clear" w:color="auto" w:fill="auto"/>
            <w:noWrap/>
            <w:vAlign w:val="bottom"/>
            <w:hideMark/>
          </w:tcPr>
          <w:p w14:paraId="73DAAE56" w14:textId="77777777" w:rsidR="00576EC1" w:rsidRPr="00576EC1" w:rsidRDefault="00576EC1" w:rsidP="00576EC1">
            <w:pPr>
              <w:rPr>
                <w:rFonts w:ascii="Arial" w:hAnsi="Arial" w:cs="Arial"/>
                <w:b/>
                <w:bCs/>
                <w:color w:val="000000"/>
                <w:sz w:val="18"/>
                <w:szCs w:val="18"/>
              </w:rPr>
            </w:pPr>
          </w:p>
        </w:tc>
        <w:tc>
          <w:tcPr>
            <w:tcW w:w="687" w:type="dxa"/>
            <w:shd w:val="clear" w:color="auto" w:fill="auto"/>
            <w:noWrap/>
            <w:vAlign w:val="bottom"/>
            <w:hideMark/>
          </w:tcPr>
          <w:p w14:paraId="275F0285"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02F063BD" w14:textId="77777777" w:rsidR="00576EC1" w:rsidRPr="00576EC1" w:rsidRDefault="00576EC1" w:rsidP="00576EC1">
            <w:pPr>
              <w:rPr>
                <w:rFonts w:ascii="Arial" w:hAnsi="Arial" w:cs="Arial"/>
                <w:sz w:val="18"/>
                <w:szCs w:val="18"/>
              </w:rPr>
            </w:pPr>
          </w:p>
        </w:tc>
        <w:tc>
          <w:tcPr>
            <w:tcW w:w="1434" w:type="dxa"/>
            <w:shd w:val="clear" w:color="auto" w:fill="auto"/>
            <w:noWrap/>
            <w:vAlign w:val="bottom"/>
            <w:hideMark/>
          </w:tcPr>
          <w:p w14:paraId="5B2EFEB5" w14:textId="77777777" w:rsidR="00576EC1" w:rsidRPr="00576EC1" w:rsidRDefault="00576EC1" w:rsidP="00576EC1">
            <w:pPr>
              <w:rPr>
                <w:rFonts w:ascii="Arial" w:hAnsi="Arial" w:cs="Arial"/>
                <w:sz w:val="18"/>
                <w:szCs w:val="18"/>
              </w:rPr>
            </w:pPr>
          </w:p>
        </w:tc>
        <w:tc>
          <w:tcPr>
            <w:tcW w:w="1434" w:type="dxa"/>
            <w:shd w:val="clear" w:color="auto" w:fill="auto"/>
            <w:noWrap/>
            <w:vAlign w:val="bottom"/>
            <w:hideMark/>
          </w:tcPr>
          <w:p w14:paraId="34EE56AD" w14:textId="77777777" w:rsidR="00576EC1" w:rsidRPr="00576EC1" w:rsidRDefault="00576EC1" w:rsidP="00576EC1">
            <w:pPr>
              <w:rPr>
                <w:rFonts w:ascii="Arial" w:hAnsi="Arial" w:cs="Arial"/>
                <w:sz w:val="18"/>
                <w:szCs w:val="18"/>
              </w:rPr>
            </w:pPr>
          </w:p>
        </w:tc>
      </w:tr>
      <w:tr w:rsidR="00576EC1" w:rsidRPr="00576EC1" w14:paraId="14F1DC38" w14:textId="77777777" w:rsidTr="00E05E7C">
        <w:trPr>
          <w:trHeight w:val="252"/>
          <w:tblHeader/>
          <w:jc w:val="center"/>
        </w:trPr>
        <w:tc>
          <w:tcPr>
            <w:tcW w:w="5143" w:type="dxa"/>
            <w:gridSpan w:val="3"/>
            <w:shd w:val="clear" w:color="auto" w:fill="auto"/>
            <w:noWrap/>
            <w:vAlign w:val="bottom"/>
            <w:hideMark/>
          </w:tcPr>
          <w:p w14:paraId="646991D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UNAUDITED</w:t>
            </w:r>
          </w:p>
        </w:tc>
        <w:tc>
          <w:tcPr>
            <w:tcW w:w="267" w:type="dxa"/>
            <w:shd w:val="clear" w:color="auto" w:fill="auto"/>
            <w:noWrap/>
            <w:vAlign w:val="bottom"/>
            <w:hideMark/>
          </w:tcPr>
          <w:p w14:paraId="410CB474"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1F73ADB2"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33DB3A31" w14:textId="77777777" w:rsidR="00576EC1" w:rsidRPr="00576EC1" w:rsidRDefault="00576EC1" w:rsidP="00576EC1">
            <w:pPr>
              <w:rPr>
                <w:rFonts w:ascii="Arial" w:hAnsi="Arial" w:cs="Arial"/>
                <w:sz w:val="18"/>
                <w:szCs w:val="18"/>
              </w:rPr>
            </w:pPr>
          </w:p>
        </w:tc>
        <w:tc>
          <w:tcPr>
            <w:tcW w:w="1434" w:type="dxa"/>
            <w:shd w:val="clear" w:color="auto" w:fill="auto"/>
            <w:noWrap/>
            <w:vAlign w:val="bottom"/>
            <w:hideMark/>
          </w:tcPr>
          <w:p w14:paraId="7C5429F0" w14:textId="77777777" w:rsidR="00576EC1" w:rsidRPr="00576EC1" w:rsidRDefault="00576EC1" w:rsidP="00576EC1">
            <w:pPr>
              <w:rPr>
                <w:rFonts w:ascii="Arial" w:hAnsi="Arial" w:cs="Arial"/>
                <w:sz w:val="18"/>
                <w:szCs w:val="18"/>
              </w:rPr>
            </w:pPr>
          </w:p>
        </w:tc>
        <w:tc>
          <w:tcPr>
            <w:tcW w:w="1434" w:type="dxa"/>
            <w:shd w:val="clear" w:color="auto" w:fill="auto"/>
            <w:noWrap/>
            <w:vAlign w:val="bottom"/>
            <w:hideMark/>
          </w:tcPr>
          <w:p w14:paraId="43D9C89C" w14:textId="77777777" w:rsidR="00576EC1" w:rsidRPr="00576EC1" w:rsidRDefault="00576EC1" w:rsidP="00576EC1">
            <w:pPr>
              <w:rPr>
                <w:rFonts w:ascii="Arial" w:hAnsi="Arial" w:cs="Arial"/>
                <w:sz w:val="18"/>
                <w:szCs w:val="18"/>
              </w:rPr>
            </w:pPr>
          </w:p>
        </w:tc>
      </w:tr>
      <w:tr w:rsidR="00576EC1" w:rsidRPr="00576EC1" w14:paraId="121D55F3" w14:textId="77777777" w:rsidTr="00E05E7C">
        <w:trPr>
          <w:trHeight w:val="252"/>
          <w:tblHeader/>
          <w:jc w:val="center"/>
        </w:trPr>
        <w:tc>
          <w:tcPr>
            <w:tcW w:w="267" w:type="dxa"/>
            <w:tcBorders>
              <w:bottom w:val="single" w:sz="4" w:space="0" w:color="auto"/>
            </w:tcBorders>
            <w:shd w:val="clear" w:color="auto" w:fill="auto"/>
            <w:noWrap/>
            <w:vAlign w:val="bottom"/>
            <w:hideMark/>
          </w:tcPr>
          <w:p w14:paraId="1D9A1821" w14:textId="77777777" w:rsidR="00576EC1" w:rsidRPr="00576EC1" w:rsidRDefault="00576EC1" w:rsidP="00576EC1">
            <w:pPr>
              <w:rPr>
                <w:rFonts w:ascii="Arial" w:hAnsi="Arial" w:cs="Arial"/>
                <w:sz w:val="18"/>
                <w:szCs w:val="18"/>
              </w:rPr>
            </w:pPr>
          </w:p>
        </w:tc>
        <w:tc>
          <w:tcPr>
            <w:tcW w:w="267" w:type="dxa"/>
            <w:tcBorders>
              <w:bottom w:val="single" w:sz="4" w:space="0" w:color="auto"/>
            </w:tcBorders>
            <w:shd w:val="clear" w:color="auto" w:fill="auto"/>
            <w:noWrap/>
            <w:vAlign w:val="bottom"/>
            <w:hideMark/>
          </w:tcPr>
          <w:p w14:paraId="3B9C5DEA" w14:textId="77777777" w:rsidR="00576EC1" w:rsidRPr="00576EC1" w:rsidRDefault="00576EC1" w:rsidP="00576EC1">
            <w:pPr>
              <w:rPr>
                <w:rFonts w:ascii="Arial" w:hAnsi="Arial" w:cs="Arial"/>
                <w:sz w:val="18"/>
                <w:szCs w:val="18"/>
              </w:rPr>
            </w:pPr>
          </w:p>
        </w:tc>
        <w:tc>
          <w:tcPr>
            <w:tcW w:w="4609" w:type="dxa"/>
            <w:tcBorders>
              <w:bottom w:val="single" w:sz="4" w:space="0" w:color="auto"/>
            </w:tcBorders>
            <w:shd w:val="clear" w:color="auto" w:fill="auto"/>
            <w:noWrap/>
            <w:vAlign w:val="bottom"/>
            <w:hideMark/>
          </w:tcPr>
          <w:p w14:paraId="78CBAF20" w14:textId="77777777" w:rsidR="00576EC1" w:rsidRPr="00576EC1" w:rsidRDefault="00576EC1" w:rsidP="00576EC1">
            <w:pPr>
              <w:rPr>
                <w:rFonts w:ascii="Arial" w:hAnsi="Arial" w:cs="Arial"/>
                <w:sz w:val="18"/>
                <w:szCs w:val="18"/>
              </w:rPr>
            </w:pPr>
          </w:p>
        </w:tc>
        <w:tc>
          <w:tcPr>
            <w:tcW w:w="267" w:type="dxa"/>
            <w:tcBorders>
              <w:bottom w:val="single" w:sz="4" w:space="0" w:color="auto"/>
            </w:tcBorders>
            <w:shd w:val="clear" w:color="auto" w:fill="auto"/>
            <w:noWrap/>
            <w:vAlign w:val="bottom"/>
            <w:hideMark/>
          </w:tcPr>
          <w:p w14:paraId="390A45A7" w14:textId="77777777" w:rsidR="00576EC1" w:rsidRPr="00576EC1" w:rsidRDefault="00576EC1" w:rsidP="00576EC1">
            <w:pPr>
              <w:rPr>
                <w:rFonts w:ascii="Arial" w:hAnsi="Arial" w:cs="Arial"/>
                <w:sz w:val="18"/>
                <w:szCs w:val="18"/>
              </w:rPr>
            </w:pPr>
          </w:p>
        </w:tc>
        <w:tc>
          <w:tcPr>
            <w:tcW w:w="687" w:type="dxa"/>
            <w:tcBorders>
              <w:bottom w:val="single" w:sz="4" w:space="0" w:color="auto"/>
            </w:tcBorders>
            <w:shd w:val="clear" w:color="auto" w:fill="auto"/>
            <w:noWrap/>
            <w:vAlign w:val="bottom"/>
            <w:hideMark/>
          </w:tcPr>
          <w:p w14:paraId="5A1EE837" w14:textId="4D778EAD" w:rsidR="00576EC1" w:rsidRPr="00576EC1" w:rsidRDefault="00E05E7C" w:rsidP="00AA01E0">
            <w:pPr>
              <w:jc w:val="right"/>
              <w:rPr>
                <w:rFonts w:ascii="Arial" w:hAnsi="Arial" w:cs="Arial"/>
                <w:sz w:val="18"/>
                <w:szCs w:val="18"/>
              </w:rPr>
            </w:pPr>
            <w:r w:rsidRPr="00576EC1">
              <w:rPr>
                <w:rFonts w:ascii="Arial" w:hAnsi="Arial" w:cs="Arial"/>
                <w:color w:val="000000"/>
                <w:sz w:val="18"/>
                <w:szCs w:val="18"/>
              </w:rPr>
              <w:t>Notes</w:t>
            </w:r>
          </w:p>
        </w:tc>
        <w:tc>
          <w:tcPr>
            <w:tcW w:w="267" w:type="dxa"/>
            <w:tcBorders>
              <w:bottom w:val="single" w:sz="4" w:space="0" w:color="auto"/>
            </w:tcBorders>
            <w:shd w:val="clear" w:color="auto" w:fill="auto"/>
            <w:noWrap/>
            <w:vAlign w:val="bottom"/>
            <w:hideMark/>
          </w:tcPr>
          <w:p w14:paraId="6EBF69EF" w14:textId="77777777" w:rsidR="00576EC1" w:rsidRPr="00576EC1" w:rsidRDefault="00576EC1" w:rsidP="00576EC1">
            <w:pPr>
              <w:rPr>
                <w:rFonts w:ascii="Arial" w:hAnsi="Arial" w:cs="Arial"/>
                <w:sz w:val="18"/>
                <w:szCs w:val="18"/>
              </w:rPr>
            </w:pPr>
          </w:p>
        </w:tc>
        <w:tc>
          <w:tcPr>
            <w:tcW w:w="1434" w:type="dxa"/>
            <w:tcBorders>
              <w:bottom w:val="single" w:sz="4" w:space="0" w:color="auto"/>
            </w:tcBorders>
            <w:shd w:val="clear" w:color="auto" w:fill="auto"/>
            <w:noWrap/>
            <w:vAlign w:val="bottom"/>
            <w:hideMark/>
          </w:tcPr>
          <w:p w14:paraId="404FDB81" w14:textId="60FA5474" w:rsidR="00576EC1" w:rsidRPr="00576EC1" w:rsidRDefault="00576EC1" w:rsidP="00576EC1">
            <w:pPr>
              <w:jc w:val="right"/>
              <w:rPr>
                <w:rFonts w:ascii="Arial" w:hAnsi="Arial" w:cs="Arial"/>
                <w:b/>
                <w:bCs/>
                <w:color w:val="000000"/>
                <w:sz w:val="18"/>
                <w:szCs w:val="18"/>
              </w:rPr>
            </w:pPr>
            <w:r w:rsidRPr="00576EC1">
              <w:rPr>
                <w:rFonts w:ascii="Arial" w:hAnsi="Arial" w:cs="Arial"/>
                <w:b/>
                <w:bCs/>
                <w:color w:val="000000"/>
                <w:sz w:val="18"/>
                <w:szCs w:val="18"/>
              </w:rPr>
              <w:t>September 30,</w:t>
            </w:r>
            <w:r w:rsidR="00E05E7C" w:rsidRPr="00576EC1">
              <w:rPr>
                <w:rFonts w:ascii="Arial" w:hAnsi="Arial" w:cs="Arial"/>
                <w:b/>
                <w:bCs/>
                <w:color w:val="000000"/>
                <w:sz w:val="18"/>
                <w:szCs w:val="18"/>
              </w:rPr>
              <w:t xml:space="preserve"> 2019</w:t>
            </w:r>
          </w:p>
        </w:tc>
        <w:tc>
          <w:tcPr>
            <w:tcW w:w="1434" w:type="dxa"/>
            <w:tcBorders>
              <w:bottom w:val="single" w:sz="4" w:space="0" w:color="auto"/>
            </w:tcBorders>
            <w:shd w:val="clear" w:color="auto" w:fill="auto"/>
            <w:noWrap/>
            <w:vAlign w:val="bottom"/>
            <w:hideMark/>
          </w:tcPr>
          <w:p w14:paraId="52A4AA12" w14:textId="20F8A8DB" w:rsidR="00576EC1" w:rsidRPr="00576EC1" w:rsidRDefault="00DA2999" w:rsidP="00576EC1">
            <w:pPr>
              <w:jc w:val="right"/>
              <w:rPr>
                <w:rFonts w:ascii="Arial" w:hAnsi="Arial" w:cs="Arial"/>
                <w:color w:val="000000"/>
                <w:sz w:val="18"/>
                <w:szCs w:val="18"/>
              </w:rPr>
            </w:pPr>
            <w:r>
              <w:rPr>
                <w:rFonts w:ascii="Arial" w:hAnsi="Arial" w:cs="Arial"/>
                <w:color w:val="000000"/>
                <w:sz w:val="18"/>
                <w:szCs w:val="18"/>
              </w:rPr>
              <w:t>September 30</w:t>
            </w:r>
            <w:r w:rsidR="00576EC1" w:rsidRPr="00576EC1">
              <w:rPr>
                <w:rFonts w:ascii="Arial" w:hAnsi="Arial" w:cs="Arial"/>
                <w:color w:val="000000"/>
                <w:sz w:val="18"/>
                <w:szCs w:val="18"/>
              </w:rPr>
              <w:t>,</w:t>
            </w:r>
            <w:r w:rsidR="00E05E7C">
              <w:rPr>
                <w:rFonts w:ascii="Arial" w:hAnsi="Arial" w:cs="Arial"/>
                <w:color w:val="000000"/>
                <w:sz w:val="18"/>
                <w:szCs w:val="18"/>
              </w:rPr>
              <w:t xml:space="preserve"> 2018</w:t>
            </w:r>
          </w:p>
        </w:tc>
      </w:tr>
      <w:tr w:rsidR="00576EC1" w:rsidRPr="00576EC1" w14:paraId="59A937F9" w14:textId="77777777" w:rsidTr="00E05E7C">
        <w:trPr>
          <w:trHeight w:val="252"/>
          <w:tblHeader/>
          <w:jc w:val="center"/>
        </w:trPr>
        <w:tc>
          <w:tcPr>
            <w:tcW w:w="267" w:type="dxa"/>
            <w:tcBorders>
              <w:top w:val="single" w:sz="4" w:space="0" w:color="auto"/>
            </w:tcBorders>
            <w:shd w:val="clear" w:color="auto" w:fill="auto"/>
            <w:noWrap/>
            <w:vAlign w:val="bottom"/>
            <w:hideMark/>
          </w:tcPr>
          <w:p w14:paraId="73E8A13D" w14:textId="77777777" w:rsidR="00576EC1" w:rsidRPr="00576EC1" w:rsidRDefault="00576EC1" w:rsidP="00576EC1">
            <w:pPr>
              <w:jc w:val="right"/>
              <w:rPr>
                <w:rFonts w:ascii="Arial" w:hAnsi="Arial" w:cs="Arial"/>
                <w:color w:val="000000"/>
                <w:sz w:val="18"/>
                <w:szCs w:val="18"/>
              </w:rPr>
            </w:pPr>
          </w:p>
        </w:tc>
        <w:tc>
          <w:tcPr>
            <w:tcW w:w="267" w:type="dxa"/>
            <w:tcBorders>
              <w:top w:val="single" w:sz="4" w:space="0" w:color="auto"/>
            </w:tcBorders>
            <w:shd w:val="clear" w:color="auto" w:fill="auto"/>
            <w:noWrap/>
            <w:vAlign w:val="bottom"/>
            <w:hideMark/>
          </w:tcPr>
          <w:p w14:paraId="3E7E9F6A" w14:textId="77777777" w:rsidR="00576EC1" w:rsidRPr="00576EC1" w:rsidRDefault="00576EC1" w:rsidP="00576EC1">
            <w:pPr>
              <w:rPr>
                <w:rFonts w:ascii="Arial" w:hAnsi="Arial" w:cs="Arial"/>
                <w:sz w:val="18"/>
                <w:szCs w:val="18"/>
              </w:rPr>
            </w:pPr>
          </w:p>
        </w:tc>
        <w:tc>
          <w:tcPr>
            <w:tcW w:w="4609" w:type="dxa"/>
            <w:tcBorders>
              <w:top w:val="single" w:sz="4" w:space="0" w:color="auto"/>
            </w:tcBorders>
            <w:shd w:val="clear" w:color="auto" w:fill="auto"/>
            <w:noWrap/>
            <w:vAlign w:val="bottom"/>
            <w:hideMark/>
          </w:tcPr>
          <w:p w14:paraId="1AB681E6" w14:textId="77777777" w:rsidR="00576EC1" w:rsidRPr="00576EC1" w:rsidRDefault="00576EC1" w:rsidP="00576EC1">
            <w:pPr>
              <w:rPr>
                <w:rFonts w:ascii="Arial" w:hAnsi="Arial" w:cs="Arial"/>
                <w:sz w:val="18"/>
                <w:szCs w:val="18"/>
              </w:rPr>
            </w:pPr>
          </w:p>
        </w:tc>
        <w:tc>
          <w:tcPr>
            <w:tcW w:w="267" w:type="dxa"/>
            <w:tcBorders>
              <w:top w:val="single" w:sz="4" w:space="0" w:color="auto"/>
            </w:tcBorders>
            <w:shd w:val="clear" w:color="auto" w:fill="auto"/>
            <w:noWrap/>
            <w:vAlign w:val="bottom"/>
            <w:hideMark/>
          </w:tcPr>
          <w:p w14:paraId="66A2069B" w14:textId="77777777" w:rsidR="00576EC1" w:rsidRPr="00576EC1" w:rsidRDefault="00576EC1" w:rsidP="00576EC1">
            <w:pPr>
              <w:rPr>
                <w:rFonts w:ascii="Arial" w:hAnsi="Arial" w:cs="Arial"/>
                <w:sz w:val="18"/>
                <w:szCs w:val="18"/>
              </w:rPr>
            </w:pPr>
          </w:p>
        </w:tc>
        <w:tc>
          <w:tcPr>
            <w:tcW w:w="687" w:type="dxa"/>
            <w:tcBorders>
              <w:top w:val="single" w:sz="4" w:space="0" w:color="auto"/>
            </w:tcBorders>
            <w:shd w:val="clear" w:color="auto" w:fill="auto"/>
            <w:noWrap/>
            <w:vAlign w:val="bottom"/>
            <w:hideMark/>
          </w:tcPr>
          <w:p w14:paraId="70E44F08" w14:textId="77777777" w:rsidR="00576EC1" w:rsidRPr="00576EC1" w:rsidRDefault="00576EC1" w:rsidP="00E05E7C">
            <w:pPr>
              <w:jc w:val="right"/>
              <w:rPr>
                <w:rFonts w:ascii="Arial" w:hAnsi="Arial" w:cs="Arial"/>
                <w:sz w:val="18"/>
                <w:szCs w:val="18"/>
              </w:rPr>
            </w:pPr>
          </w:p>
        </w:tc>
        <w:tc>
          <w:tcPr>
            <w:tcW w:w="267" w:type="dxa"/>
            <w:tcBorders>
              <w:top w:val="single" w:sz="4" w:space="0" w:color="auto"/>
            </w:tcBorders>
            <w:shd w:val="clear" w:color="auto" w:fill="auto"/>
            <w:noWrap/>
            <w:vAlign w:val="bottom"/>
            <w:hideMark/>
          </w:tcPr>
          <w:p w14:paraId="01B8E73D" w14:textId="77777777" w:rsidR="00576EC1" w:rsidRPr="00576EC1" w:rsidRDefault="00576EC1" w:rsidP="00E05E7C">
            <w:pPr>
              <w:jc w:val="right"/>
              <w:rPr>
                <w:rFonts w:ascii="Arial" w:hAnsi="Arial" w:cs="Arial"/>
                <w:sz w:val="18"/>
                <w:szCs w:val="18"/>
              </w:rPr>
            </w:pPr>
          </w:p>
        </w:tc>
        <w:tc>
          <w:tcPr>
            <w:tcW w:w="1434" w:type="dxa"/>
            <w:tcBorders>
              <w:top w:val="single" w:sz="4" w:space="0" w:color="auto"/>
            </w:tcBorders>
            <w:shd w:val="clear" w:color="auto" w:fill="auto"/>
            <w:noWrap/>
            <w:vAlign w:val="bottom"/>
            <w:hideMark/>
          </w:tcPr>
          <w:p w14:paraId="2D8BB00E" w14:textId="77777777" w:rsidR="00576EC1" w:rsidRPr="00576EC1" w:rsidRDefault="00576EC1" w:rsidP="00E05E7C">
            <w:pPr>
              <w:jc w:val="right"/>
              <w:rPr>
                <w:rFonts w:ascii="Arial" w:hAnsi="Arial" w:cs="Arial"/>
                <w:sz w:val="18"/>
                <w:szCs w:val="18"/>
              </w:rPr>
            </w:pPr>
          </w:p>
        </w:tc>
        <w:tc>
          <w:tcPr>
            <w:tcW w:w="1434" w:type="dxa"/>
            <w:tcBorders>
              <w:top w:val="single" w:sz="4" w:space="0" w:color="auto"/>
            </w:tcBorders>
            <w:shd w:val="clear" w:color="auto" w:fill="auto"/>
            <w:noWrap/>
            <w:vAlign w:val="bottom"/>
            <w:hideMark/>
          </w:tcPr>
          <w:p w14:paraId="62EDD8F6" w14:textId="77777777" w:rsidR="00576EC1" w:rsidRPr="00576EC1" w:rsidRDefault="00576EC1" w:rsidP="00E05E7C">
            <w:pPr>
              <w:jc w:val="right"/>
              <w:rPr>
                <w:rFonts w:ascii="Arial" w:hAnsi="Arial" w:cs="Arial"/>
                <w:sz w:val="18"/>
                <w:szCs w:val="18"/>
              </w:rPr>
            </w:pPr>
          </w:p>
        </w:tc>
      </w:tr>
      <w:tr w:rsidR="00576EC1" w:rsidRPr="00576EC1" w14:paraId="500C6FC2" w14:textId="77777777" w:rsidTr="00E05E7C">
        <w:trPr>
          <w:trHeight w:val="252"/>
          <w:tblHeader/>
          <w:jc w:val="center"/>
        </w:trPr>
        <w:tc>
          <w:tcPr>
            <w:tcW w:w="5143" w:type="dxa"/>
            <w:gridSpan w:val="3"/>
            <w:shd w:val="clear" w:color="auto" w:fill="auto"/>
            <w:noWrap/>
            <w:vAlign w:val="bottom"/>
            <w:hideMark/>
          </w:tcPr>
          <w:p w14:paraId="4BD526CB"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Net inflow (outflow) of cash related to the following activities:</w:t>
            </w:r>
          </w:p>
        </w:tc>
        <w:tc>
          <w:tcPr>
            <w:tcW w:w="267" w:type="dxa"/>
            <w:shd w:val="clear" w:color="auto" w:fill="auto"/>
            <w:noWrap/>
            <w:vAlign w:val="bottom"/>
            <w:hideMark/>
          </w:tcPr>
          <w:p w14:paraId="4B3E23B2"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29EC375C"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66149A23"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3F6A2920"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66B8867E" w14:textId="77777777" w:rsidR="00576EC1" w:rsidRPr="00576EC1" w:rsidRDefault="00576EC1" w:rsidP="00E05E7C">
            <w:pPr>
              <w:jc w:val="right"/>
              <w:rPr>
                <w:rFonts w:ascii="Arial" w:hAnsi="Arial" w:cs="Arial"/>
                <w:sz w:val="18"/>
                <w:szCs w:val="18"/>
              </w:rPr>
            </w:pPr>
          </w:p>
        </w:tc>
      </w:tr>
      <w:tr w:rsidR="00576EC1" w:rsidRPr="00576EC1" w14:paraId="4212E715" w14:textId="77777777" w:rsidTr="00E05E7C">
        <w:trPr>
          <w:trHeight w:val="252"/>
          <w:tblHeader/>
          <w:jc w:val="center"/>
        </w:trPr>
        <w:tc>
          <w:tcPr>
            <w:tcW w:w="267" w:type="dxa"/>
            <w:shd w:val="clear" w:color="auto" w:fill="auto"/>
            <w:noWrap/>
            <w:vAlign w:val="bottom"/>
            <w:hideMark/>
          </w:tcPr>
          <w:p w14:paraId="0828331B"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093D4D2E"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0FC6A44C"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5299AF21" w14:textId="77777777" w:rsidR="00576EC1" w:rsidRPr="00576EC1" w:rsidRDefault="00576EC1" w:rsidP="00576EC1">
            <w:pPr>
              <w:rPr>
                <w:rFonts w:ascii="Arial" w:hAnsi="Arial" w:cs="Arial"/>
                <w:sz w:val="18"/>
                <w:szCs w:val="18"/>
              </w:rPr>
            </w:pPr>
          </w:p>
        </w:tc>
        <w:tc>
          <w:tcPr>
            <w:tcW w:w="687" w:type="dxa"/>
            <w:shd w:val="clear" w:color="auto" w:fill="auto"/>
            <w:noWrap/>
            <w:vAlign w:val="bottom"/>
            <w:hideMark/>
          </w:tcPr>
          <w:p w14:paraId="6CE075AE"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7A0F753D"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3E11AE0E"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474F2388" w14:textId="77777777" w:rsidR="00576EC1" w:rsidRPr="00576EC1" w:rsidRDefault="00576EC1" w:rsidP="00E05E7C">
            <w:pPr>
              <w:jc w:val="right"/>
              <w:rPr>
                <w:rFonts w:ascii="Arial" w:hAnsi="Arial" w:cs="Arial"/>
                <w:sz w:val="18"/>
                <w:szCs w:val="18"/>
              </w:rPr>
            </w:pPr>
          </w:p>
        </w:tc>
      </w:tr>
      <w:tr w:rsidR="00576EC1" w:rsidRPr="00576EC1" w14:paraId="27EC2850" w14:textId="77777777" w:rsidTr="00E05E7C">
        <w:trPr>
          <w:trHeight w:val="252"/>
          <w:tblHeader/>
          <w:jc w:val="center"/>
        </w:trPr>
        <w:tc>
          <w:tcPr>
            <w:tcW w:w="5143" w:type="dxa"/>
            <w:gridSpan w:val="3"/>
            <w:shd w:val="clear" w:color="auto" w:fill="auto"/>
            <w:noWrap/>
            <w:vAlign w:val="bottom"/>
            <w:hideMark/>
          </w:tcPr>
          <w:p w14:paraId="6A37DFD3"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Operating</w:t>
            </w:r>
          </w:p>
        </w:tc>
        <w:tc>
          <w:tcPr>
            <w:tcW w:w="267" w:type="dxa"/>
            <w:shd w:val="clear" w:color="auto" w:fill="auto"/>
            <w:noWrap/>
            <w:vAlign w:val="bottom"/>
            <w:hideMark/>
          </w:tcPr>
          <w:p w14:paraId="7C92A1A0" w14:textId="77777777" w:rsidR="00576EC1" w:rsidRPr="00576EC1" w:rsidRDefault="00576EC1" w:rsidP="00576EC1">
            <w:pPr>
              <w:rPr>
                <w:rFonts w:ascii="Arial" w:hAnsi="Arial" w:cs="Arial"/>
                <w:b/>
                <w:bCs/>
                <w:color w:val="000000"/>
                <w:sz w:val="18"/>
                <w:szCs w:val="18"/>
              </w:rPr>
            </w:pPr>
          </w:p>
        </w:tc>
        <w:tc>
          <w:tcPr>
            <w:tcW w:w="687" w:type="dxa"/>
            <w:shd w:val="clear" w:color="auto" w:fill="auto"/>
            <w:noWrap/>
            <w:vAlign w:val="bottom"/>
            <w:hideMark/>
          </w:tcPr>
          <w:p w14:paraId="204F809F"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2506133A"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751C6C23"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5E6D7346" w14:textId="77777777" w:rsidR="00576EC1" w:rsidRPr="00576EC1" w:rsidRDefault="00576EC1" w:rsidP="00E05E7C">
            <w:pPr>
              <w:jc w:val="right"/>
              <w:rPr>
                <w:rFonts w:ascii="Arial" w:hAnsi="Arial" w:cs="Arial"/>
                <w:sz w:val="18"/>
                <w:szCs w:val="18"/>
              </w:rPr>
            </w:pPr>
          </w:p>
        </w:tc>
      </w:tr>
      <w:tr w:rsidR="00576EC1" w:rsidRPr="00576EC1" w14:paraId="67FD9EEE" w14:textId="77777777" w:rsidTr="00E05E7C">
        <w:trPr>
          <w:trHeight w:val="252"/>
          <w:tblHeader/>
          <w:jc w:val="center"/>
        </w:trPr>
        <w:tc>
          <w:tcPr>
            <w:tcW w:w="267" w:type="dxa"/>
            <w:shd w:val="clear" w:color="auto" w:fill="auto"/>
            <w:noWrap/>
            <w:vAlign w:val="bottom"/>
            <w:hideMark/>
          </w:tcPr>
          <w:p w14:paraId="29D33D69" w14:textId="77777777" w:rsidR="00576EC1" w:rsidRPr="00576EC1" w:rsidRDefault="00576EC1" w:rsidP="00576EC1">
            <w:pPr>
              <w:rPr>
                <w:rFonts w:ascii="Arial" w:hAnsi="Arial" w:cs="Arial"/>
                <w:sz w:val="18"/>
                <w:szCs w:val="18"/>
              </w:rPr>
            </w:pPr>
          </w:p>
        </w:tc>
        <w:tc>
          <w:tcPr>
            <w:tcW w:w="4876" w:type="dxa"/>
            <w:gridSpan w:val="2"/>
            <w:shd w:val="clear" w:color="auto" w:fill="auto"/>
            <w:noWrap/>
            <w:vAlign w:val="bottom"/>
            <w:hideMark/>
          </w:tcPr>
          <w:p w14:paraId="27E7AF6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Net loss</w:t>
            </w:r>
          </w:p>
        </w:tc>
        <w:tc>
          <w:tcPr>
            <w:tcW w:w="267" w:type="dxa"/>
            <w:shd w:val="clear" w:color="auto" w:fill="auto"/>
            <w:noWrap/>
            <w:vAlign w:val="bottom"/>
            <w:hideMark/>
          </w:tcPr>
          <w:p w14:paraId="7E40B61D"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1397837A"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369BAC6C"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0D32818E"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(1,655,788)</w:t>
            </w:r>
          </w:p>
        </w:tc>
        <w:tc>
          <w:tcPr>
            <w:tcW w:w="1434" w:type="dxa"/>
            <w:shd w:val="clear" w:color="auto" w:fill="auto"/>
            <w:noWrap/>
            <w:vAlign w:val="bottom"/>
            <w:hideMark/>
          </w:tcPr>
          <w:p w14:paraId="65A0E1A7"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(421,592)</w:t>
            </w:r>
          </w:p>
        </w:tc>
      </w:tr>
      <w:tr w:rsidR="00576EC1" w:rsidRPr="00576EC1" w14:paraId="272868B6" w14:textId="77777777" w:rsidTr="00E05E7C">
        <w:trPr>
          <w:trHeight w:val="252"/>
          <w:tblHeader/>
          <w:jc w:val="center"/>
        </w:trPr>
        <w:tc>
          <w:tcPr>
            <w:tcW w:w="267" w:type="dxa"/>
            <w:shd w:val="clear" w:color="auto" w:fill="auto"/>
            <w:noWrap/>
            <w:vAlign w:val="bottom"/>
            <w:hideMark/>
          </w:tcPr>
          <w:p w14:paraId="07C6F372"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76760DD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Adjustments for:</w:t>
            </w:r>
          </w:p>
        </w:tc>
        <w:tc>
          <w:tcPr>
            <w:tcW w:w="267" w:type="dxa"/>
            <w:shd w:val="clear" w:color="auto" w:fill="auto"/>
            <w:noWrap/>
            <w:vAlign w:val="bottom"/>
            <w:hideMark/>
          </w:tcPr>
          <w:p w14:paraId="29FED2FE"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2FF12FEB"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52C81573"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60EBB6C4"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4DCF5CD0" w14:textId="77777777" w:rsidR="00576EC1" w:rsidRPr="00576EC1" w:rsidRDefault="00576EC1" w:rsidP="00E05E7C">
            <w:pPr>
              <w:jc w:val="right"/>
              <w:rPr>
                <w:rFonts w:ascii="Arial" w:hAnsi="Arial" w:cs="Arial"/>
                <w:sz w:val="18"/>
                <w:szCs w:val="18"/>
              </w:rPr>
            </w:pPr>
          </w:p>
        </w:tc>
      </w:tr>
      <w:tr w:rsidR="00576EC1" w:rsidRPr="00576EC1" w14:paraId="72E80C30" w14:textId="77777777" w:rsidTr="00E05E7C">
        <w:trPr>
          <w:trHeight w:val="252"/>
          <w:tblHeader/>
          <w:jc w:val="center"/>
        </w:trPr>
        <w:tc>
          <w:tcPr>
            <w:tcW w:w="267" w:type="dxa"/>
            <w:shd w:val="clear" w:color="auto" w:fill="auto"/>
            <w:noWrap/>
            <w:vAlign w:val="bottom"/>
            <w:hideMark/>
          </w:tcPr>
          <w:p w14:paraId="5445DD17"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173FA66E"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7FE0931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Depreciation of property, plant, and equipment</w:t>
            </w:r>
          </w:p>
        </w:tc>
        <w:tc>
          <w:tcPr>
            <w:tcW w:w="267" w:type="dxa"/>
            <w:shd w:val="clear" w:color="auto" w:fill="auto"/>
            <w:noWrap/>
            <w:vAlign w:val="bottom"/>
            <w:hideMark/>
          </w:tcPr>
          <w:p w14:paraId="6577BDFB"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3DC0444A"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11</w:t>
            </w:r>
          </w:p>
        </w:tc>
        <w:tc>
          <w:tcPr>
            <w:tcW w:w="267" w:type="dxa"/>
            <w:shd w:val="clear" w:color="auto" w:fill="auto"/>
            <w:noWrap/>
            <w:vAlign w:val="bottom"/>
            <w:hideMark/>
          </w:tcPr>
          <w:p w14:paraId="14089943"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28EC52AB"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35,309</w:t>
            </w:r>
          </w:p>
        </w:tc>
        <w:tc>
          <w:tcPr>
            <w:tcW w:w="1434" w:type="dxa"/>
            <w:shd w:val="clear" w:color="auto" w:fill="auto"/>
            <w:noWrap/>
            <w:vAlign w:val="bottom"/>
            <w:hideMark/>
          </w:tcPr>
          <w:p w14:paraId="0D2C2DDC"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10,446</w:t>
            </w:r>
          </w:p>
        </w:tc>
      </w:tr>
      <w:tr w:rsidR="00576EC1" w:rsidRPr="00576EC1" w14:paraId="65646579" w14:textId="77777777" w:rsidTr="00E05E7C">
        <w:trPr>
          <w:trHeight w:val="252"/>
          <w:tblHeader/>
          <w:jc w:val="center"/>
        </w:trPr>
        <w:tc>
          <w:tcPr>
            <w:tcW w:w="267" w:type="dxa"/>
            <w:shd w:val="clear" w:color="auto" w:fill="auto"/>
            <w:noWrap/>
            <w:vAlign w:val="bottom"/>
            <w:hideMark/>
          </w:tcPr>
          <w:p w14:paraId="4B288147"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6BF453BC"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173D566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Amortization of intangible assets</w:t>
            </w:r>
          </w:p>
        </w:tc>
        <w:tc>
          <w:tcPr>
            <w:tcW w:w="267" w:type="dxa"/>
            <w:shd w:val="clear" w:color="auto" w:fill="auto"/>
            <w:noWrap/>
            <w:vAlign w:val="bottom"/>
            <w:hideMark/>
          </w:tcPr>
          <w:p w14:paraId="27294248"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74E07DD9"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12</w:t>
            </w:r>
          </w:p>
        </w:tc>
        <w:tc>
          <w:tcPr>
            <w:tcW w:w="267" w:type="dxa"/>
            <w:shd w:val="clear" w:color="auto" w:fill="auto"/>
            <w:noWrap/>
            <w:vAlign w:val="bottom"/>
            <w:hideMark/>
          </w:tcPr>
          <w:p w14:paraId="6348E8CA"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7F176A11"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15,955</w:t>
            </w:r>
          </w:p>
        </w:tc>
        <w:tc>
          <w:tcPr>
            <w:tcW w:w="1434" w:type="dxa"/>
            <w:shd w:val="clear" w:color="auto" w:fill="auto"/>
            <w:noWrap/>
            <w:vAlign w:val="bottom"/>
            <w:hideMark/>
          </w:tcPr>
          <w:p w14:paraId="404D0277"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5,236</w:t>
            </w:r>
          </w:p>
        </w:tc>
      </w:tr>
      <w:tr w:rsidR="00576EC1" w:rsidRPr="00576EC1" w14:paraId="689812A5" w14:textId="77777777" w:rsidTr="00E05E7C">
        <w:trPr>
          <w:trHeight w:val="252"/>
          <w:tblHeader/>
          <w:jc w:val="center"/>
        </w:trPr>
        <w:tc>
          <w:tcPr>
            <w:tcW w:w="267" w:type="dxa"/>
            <w:shd w:val="clear" w:color="auto" w:fill="auto"/>
            <w:noWrap/>
            <w:vAlign w:val="bottom"/>
            <w:hideMark/>
          </w:tcPr>
          <w:p w14:paraId="5795AF6B"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24777B42"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16C04F3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Share of loss on equity investments</w:t>
            </w:r>
          </w:p>
        </w:tc>
        <w:tc>
          <w:tcPr>
            <w:tcW w:w="267" w:type="dxa"/>
            <w:shd w:val="clear" w:color="auto" w:fill="auto"/>
            <w:noWrap/>
            <w:vAlign w:val="bottom"/>
            <w:hideMark/>
          </w:tcPr>
          <w:p w14:paraId="6AABF2AE"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6189E728"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9</w:t>
            </w:r>
          </w:p>
        </w:tc>
        <w:tc>
          <w:tcPr>
            <w:tcW w:w="267" w:type="dxa"/>
            <w:shd w:val="clear" w:color="auto" w:fill="auto"/>
            <w:noWrap/>
            <w:vAlign w:val="bottom"/>
            <w:hideMark/>
          </w:tcPr>
          <w:p w14:paraId="0275E398"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7FA8ED92"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4,004</w:t>
            </w:r>
          </w:p>
        </w:tc>
        <w:tc>
          <w:tcPr>
            <w:tcW w:w="1434" w:type="dxa"/>
            <w:shd w:val="clear" w:color="auto" w:fill="auto"/>
            <w:noWrap/>
            <w:vAlign w:val="bottom"/>
            <w:hideMark/>
          </w:tcPr>
          <w:p w14:paraId="0EAEF274"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6,932</w:t>
            </w:r>
          </w:p>
        </w:tc>
      </w:tr>
      <w:tr w:rsidR="00576EC1" w:rsidRPr="00576EC1" w14:paraId="7E8E253E" w14:textId="77777777" w:rsidTr="00E05E7C">
        <w:trPr>
          <w:trHeight w:val="252"/>
          <w:tblHeader/>
          <w:jc w:val="center"/>
        </w:trPr>
        <w:tc>
          <w:tcPr>
            <w:tcW w:w="267" w:type="dxa"/>
            <w:shd w:val="clear" w:color="auto" w:fill="auto"/>
            <w:noWrap/>
            <w:vAlign w:val="bottom"/>
            <w:hideMark/>
          </w:tcPr>
          <w:p w14:paraId="2D104139"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63A2F628"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7DCA3D2F"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Fair value changes in biological assets included</w:t>
            </w:r>
          </w:p>
        </w:tc>
        <w:tc>
          <w:tcPr>
            <w:tcW w:w="267" w:type="dxa"/>
            <w:shd w:val="clear" w:color="auto" w:fill="auto"/>
            <w:noWrap/>
            <w:vAlign w:val="bottom"/>
            <w:hideMark/>
          </w:tcPr>
          <w:p w14:paraId="529A406A"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02A60498"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360AE5C7"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5B1DE3BA"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24B63EA6" w14:textId="77777777" w:rsidR="00576EC1" w:rsidRPr="00576EC1" w:rsidRDefault="00576EC1" w:rsidP="00E05E7C">
            <w:pPr>
              <w:jc w:val="right"/>
              <w:rPr>
                <w:rFonts w:ascii="Arial" w:hAnsi="Arial" w:cs="Arial"/>
                <w:sz w:val="18"/>
                <w:szCs w:val="18"/>
              </w:rPr>
            </w:pPr>
          </w:p>
        </w:tc>
      </w:tr>
      <w:tr w:rsidR="00576EC1" w:rsidRPr="00576EC1" w14:paraId="1275645D" w14:textId="77777777" w:rsidTr="00E05E7C">
        <w:trPr>
          <w:trHeight w:val="252"/>
          <w:tblHeader/>
          <w:jc w:val="center"/>
        </w:trPr>
        <w:tc>
          <w:tcPr>
            <w:tcW w:w="267" w:type="dxa"/>
            <w:shd w:val="clear" w:color="auto" w:fill="auto"/>
            <w:noWrap/>
            <w:vAlign w:val="bottom"/>
            <w:hideMark/>
          </w:tcPr>
          <w:p w14:paraId="2E37AB8B"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28BCBC41"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6B8ECB66" w14:textId="77777777" w:rsidR="00576EC1" w:rsidRPr="00576EC1" w:rsidRDefault="00576EC1" w:rsidP="00576EC1">
            <w:pPr>
              <w:ind w:firstLineChars="100" w:firstLine="180"/>
              <w:rPr>
                <w:rFonts w:ascii="Arial" w:hAnsi="Arial" w:cs="Arial"/>
                <w:color w:val="000000"/>
                <w:sz w:val="18"/>
                <w:szCs w:val="18"/>
              </w:rPr>
            </w:pPr>
            <w:r w:rsidRPr="00576EC1">
              <w:rPr>
                <w:rFonts w:ascii="Arial" w:hAnsi="Arial" w:cs="Arial"/>
                <w:color w:val="000000"/>
                <w:sz w:val="18"/>
                <w:szCs w:val="18"/>
              </w:rPr>
              <w:t>in inventory sold and other charges</w:t>
            </w:r>
          </w:p>
        </w:tc>
        <w:tc>
          <w:tcPr>
            <w:tcW w:w="267" w:type="dxa"/>
            <w:shd w:val="clear" w:color="auto" w:fill="auto"/>
            <w:noWrap/>
            <w:vAlign w:val="bottom"/>
            <w:hideMark/>
          </w:tcPr>
          <w:p w14:paraId="601DF453" w14:textId="77777777" w:rsidR="00576EC1" w:rsidRPr="00576EC1" w:rsidRDefault="00576EC1" w:rsidP="00576EC1">
            <w:pPr>
              <w:ind w:firstLineChars="100" w:firstLine="180"/>
              <w:rPr>
                <w:rFonts w:ascii="Arial" w:hAnsi="Arial" w:cs="Arial"/>
                <w:color w:val="000000"/>
                <w:sz w:val="18"/>
                <w:szCs w:val="18"/>
              </w:rPr>
            </w:pPr>
          </w:p>
        </w:tc>
        <w:tc>
          <w:tcPr>
            <w:tcW w:w="687" w:type="dxa"/>
            <w:shd w:val="clear" w:color="auto" w:fill="auto"/>
            <w:noWrap/>
            <w:vAlign w:val="bottom"/>
            <w:hideMark/>
          </w:tcPr>
          <w:p w14:paraId="7833001F"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57989BA6"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149808D9"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115,219</w:t>
            </w:r>
          </w:p>
        </w:tc>
        <w:tc>
          <w:tcPr>
            <w:tcW w:w="1434" w:type="dxa"/>
            <w:shd w:val="clear" w:color="auto" w:fill="auto"/>
            <w:noWrap/>
            <w:vAlign w:val="bottom"/>
            <w:hideMark/>
          </w:tcPr>
          <w:p w14:paraId="279822A2"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77,884</w:t>
            </w:r>
          </w:p>
        </w:tc>
      </w:tr>
      <w:tr w:rsidR="00576EC1" w:rsidRPr="00576EC1" w14:paraId="67D90F3E" w14:textId="77777777" w:rsidTr="00E05E7C">
        <w:trPr>
          <w:trHeight w:val="252"/>
          <w:tblHeader/>
          <w:jc w:val="center"/>
        </w:trPr>
        <w:tc>
          <w:tcPr>
            <w:tcW w:w="267" w:type="dxa"/>
            <w:shd w:val="clear" w:color="auto" w:fill="auto"/>
            <w:noWrap/>
            <w:vAlign w:val="bottom"/>
            <w:hideMark/>
          </w:tcPr>
          <w:p w14:paraId="3C981083"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30BE4B6E"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0F608CA3"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Unrealized gain on changes in fair value of</w:t>
            </w:r>
          </w:p>
        </w:tc>
        <w:tc>
          <w:tcPr>
            <w:tcW w:w="267" w:type="dxa"/>
            <w:shd w:val="clear" w:color="auto" w:fill="auto"/>
            <w:noWrap/>
            <w:vAlign w:val="bottom"/>
            <w:hideMark/>
          </w:tcPr>
          <w:p w14:paraId="05FFFC3F"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487CA4C0"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70C92580"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6FB091D7"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63D7C623" w14:textId="77777777" w:rsidR="00576EC1" w:rsidRPr="00576EC1" w:rsidRDefault="00576EC1" w:rsidP="00E05E7C">
            <w:pPr>
              <w:jc w:val="right"/>
              <w:rPr>
                <w:rFonts w:ascii="Arial" w:hAnsi="Arial" w:cs="Arial"/>
                <w:sz w:val="18"/>
                <w:szCs w:val="18"/>
              </w:rPr>
            </w:pPr>
          </w:p>
        </w:tc>
      </w:tr>
      <w:tr w:rsidR="00576EC1" w:rsidRPr="00576EC1" w14:paraId="55D13666" w14:textId="77777777" w:rsidTr="00E05E7C">
        <w:trPr>
          <w:trHeight w:val="252"/>
          <w:tblHeader/>
          <w:jc w:val="center"/>
        </w:trPr>
        <w:tc>
          <w:tcPr>
            <w:tcW w:w="267" w:type="dxa"/>
            <w:shd w:val="clear" w:color="auto" w:fill="auto"/>
            <w:noWrap/>
            <w:vAlign w:val="bottom"/>
            <w:hideMark/>
          </w:tcPr>
          <w:p w14:paraId="0D2AB842"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3AEB83AF"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7827A3E4" w14:textId="77777777" w:rsidR="00576EC1" w:rsidRPr="00576EC1" w:rsidRDefault="00576EC1" w:rsidP="00576EC1">
            <w:pPr>
              <w:ind w:firstLineChars="100" w:firstLine="180"/>
              <w:rPr>
                <w:rFonts w:ascii="Arial" w:hAnsi="Arial" w:cs="Arial"/>
                <w:color w:val="000000"/>
                <w:sz w:val="18"/>
                <w:szCs w:val="18"/>
              </w:rPr>
            </w:pPr>
            <w:r w:rsidRPr="00576EC1">
              <w:rPr>
                <w:rFonts w:ascii="Arial" w:hAnsi="Arial" w:cs="Arial"/>
                <w:color w:val="000000"/>
                <w:sz w:val="18"/>
                <w:szCs w:val="18"/>
              </w:rPr>
              <w:t>biological assets</w:t>
            </w:r>
          </w:p>
        </w:tc>
        <w:tc>
          <w:tcPr>
            <w:tcW w:w="267" w:type="dxa"/>
            <w:shd w:val="clear" w:color="auto" w:fill="auto"/>
            <w:noWrap/>
            <w:vAlign w:val="bottom"/>
            <w:hideMark/>
          </w:tcPr>
          <w:p w14:paraId="23C7616F" w14:textId="77777777" w:rsidR="00576EC1" w:rsidRPr="00576EC1" w:rsidRDefault="00576EC1" w:rsidP="00576EC1">
            <w:pPr>
              <w:ind w:firstLineChars="100" w:firstLine="180"/>
              <w:rPr>
                <w:rFonts w:ascii="Arial" w:hAnsi="Arial" w:cs="Arial"/>
                <w:color w:val="000000"/>
                <w:sz w:val="18"/>
                <w:szCs w:val="18"/>
              </w:rPr>
            </w:pPr>
          </w:p>
        </w:tc>
        <w:tc>
          <w:tcPr>
            <w:tcW w:w="687" w:type="dxa"/>
            <w:shd w:val="clear" w:color="auto" w:fill="auto"/>
            <w:noWrap/>
            <w:vAlign w:val="bottom"/>
            <w:hideMark/>
          </w:tcPr>
          <w:p w14:paraId="32F19FB0"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7A87FDE6"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4E244E06"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(221,339)</w:t>
            </w:r>
          </w:p>
        </w:tc>
        <w:tc>
          <w:tcPr>
            <w:tcW w:w="1434" w:type="dxa"/>
            <w:shd w:val="clear" w:color="auto" w:fill="auto"/>
            <w:noWrap/>
            <w:vAlign w:val="bottom"/>
            <w:hideMark/>
          </w:tcPr>
          <w:p w14:paraId="61D2248E"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(68,233)</w:t>
            </w:r>
          </w:p>
        </w:tc>
      </w:tr>
      <w:tr w:rsidR="00576EC1" w:rsidRPr="00576EC1" w14:paraId="41968514" w14:textId="77777777" w:rsidTr="00E05E7C">
        <w:trPr>
          <w:trHeight w:val="252"/>
          <w:tblHeader/>
          <w:jc w:val="center"/>
        </w:trPr>
        <w:tc>
          <w:tcPr>
            <w:tcW w:w="267" w:type="dxa"/>
            <w:shd w:val="clear" w:color="auto" w:fill="auto"/>
            <w:noWrap/>
            <w:vAlign w:val="bottom"/>
            <w:hideMark/>
          </w:tcPr>
          <w:p w14:paraId="5620C696"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426F5909"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44B7815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Share based-compensation</w:t>
            </w:r>
          </w:p>
        </w:tc>
        <w:tc>
          <w:tcPr>
            <w:tcW w:w="267" w:type="dxa"/>
            <w:shd w:val="clear" w:color="auto" w:fill="auto"/>
            <w:noWrap/>
            <w:vAlign w:val="bottom"/>
            <w:hideMark/>
          </w:tcPr>
          <w:p w14:paraId="4EEAB77C"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1D8DDCB3" w14:textId="2326E196"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16,17</w:t>
            </w:r>
          </w:p>
        </w:tc>
        <w:tc>
          <w:tcPr>
            <w:tcW w:w="267" w:type="dxa"/>
            <w:shd w:val="clear" w:color="auto" w:fill="auto"/>
            <w:noWrap/>
            <w:vAlign w:val="bottom"/>
            <w:hideMark/>
          </w:tcPr>
          <w:p w14:paraId="665891E5"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6EE1FA58"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180,243</w:t>
            </w:r>
          </w:p>
        </w:tc>
        <w:tc>
          <w:tcPr>
            <w:tcW w:w="1434" w:type="dxa"/>
            <w:shd w:val="clear" w:color="auto" w:fill="auto"/>
            <w:noWrap/>
            <w:vAlign w:val="bottom"/>
            <w:hideMark/>
          </w:tcPr>
          <w:p w14:paraId="6E4E0158"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130,596</w:t>
            </w:r>
          </w:p>
        </w:tc>
      </w:tr>
      <w:tr w:rsidR="00576EC1" w:rsidRPr="00576EC1" w14:paraId="4DFA059D" w14:textId="77777777" w:rsidTr="00E05E7C">
        <w:trPr>
          <w:trHeight w:val="252"/>
          <w:tblHeader/>
          <w:jc w:val="center"/>
        </w:trPr>
        <w:tc>
          <w:tcPr>
            <w:tcW w:w="267" w:type="dxa"/>
            <w:shd w:val="clear" w:color="auto" w:fill="auto"/>
            <w:noWrap/>
            <w:vAlign w:val="bottom"/>
            <w:hideMark/>
          </w:tcPr>
          <w:p w14:paraId="467C30B3"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2565141A"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31C0F174" w14:textId="77777777" w:rsidR="00576EC1" w:rsidRPr="00576EC1" w:rsidRDefault="00576EC1" w:rsidP="00E05E7C">
            <w:pPr>
              <w:rPr>
                <w:rFonts w:ascii="Arial" w:hAnsi="Arial" w:cs="Arial"/>
                <w:color w:val="000000"/>
                <w:sz w:val="18"/>
                <w:szCs w:val="18"/>
              </w:rPr>
            </w:pPr>
            <w:r w:rsidRPr="00576EC1">
              <w:rPr>
                <w:rFonts w:ascii="Arial" w:hAnsi="Arial" w:cs="Arial"/>
                <w:color w:val="000000"/>
                <w:sz w:val="18"/>
                <w:szCs w:val="18"/>
              </w:rPr>
              <w:t>Other assets</w:t>
            </w:r>
          </w:p>
        </w:tc>
        <w:tc>
          <w:tcPr>
            <w:tcW w:w="267" w:type="dxa"/>
            <w:shd w:val="clear" w:color="auto" w:fill="auto"/>
            <w:noWrap/>
            <w:vAlign w:val="bottom"/>
            <w:hideMark/>
          </w:tcPr>
          <w:p w14:paraId="51FBB7F8" w14:textId="77777777" w:rsidR="00576EC1" w:rsidRPr="00576EC1" w:rsidRDefault="00576EC1" w:rsidP="00576EC1">
            <w:pPr>
              <w:ind w:firstLineChars="100" w:firstLine="180"/>
              <w:rPr>
                <w:rFonts w:ascii="Arial" w:hAnsi="Arial" w:cs="Arial"/>
                <w:color w:val="000000"/>
                <w:sz w:val="18"/>
                <w:szCs w:val="18"/>
              </w:rPr>
            </w:pPr>
          </w:p>
        </w:tc>
        <w:tc>
          <w:tcPr>
            <w:tcW w:w="687" w:type="dxa"/>
            <w:shd w:val="clear" w:color="auto" w:fill="auto"/>
            <w:noWrap/>
            <w:vAlign w:val="bottom"/>
            <w:hideMark/>
          </w:tcPr>
          <w:p w14:paraId="40CD9436"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29BBC3C5"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2352227A"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(23)</w:t>
            </w:r>
          </w:p>
        </w:tc>
        <w:tc>
          <w:tcPr>
            <w:tcW w:w="1434" w:type="dxa"/>
            <w:shd w:val="clear" w:color="auto" w:fill="auto"/>
            <w:noWrap/>
            <w:vAlign w:val="bottom"/>
            <w:hideMark/>
          </w:tcPr>
          <w:p w14:paraId="210167DB"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(18,810)</w:t>
            </w:r>
          </w:p>
        </w:tc>
      </w:tr>
      <w:tr w:rsidR="00576EC1" w:rsidRPr="00576EC1" w14:paraId="455D53E1" w14:textId="77777777" w:rsidTr="00E05E7C">
        <w:trPr>
          <w:trHeight w:val="252"/>
          <w:tblHeader/>
          <w:jc w:val="center"/>
        </w:trPr>
        <w:tc>
          <w:tcPr>
            <w:tcW w:w="267" w:type="dxa"/>
            <w:shd w:val="clear" w:color="auto" w:fill="auto"/>
            <w:noWrap/>
            <w:vAlign w:val="bottom"/>
            <w:hideMark/>
          </w:tcPr>
          <w:p w14:paraId="0BB635B3"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6836C973"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18DB2E2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Loss on extinguishment of warrants</w:t>
            </w:r>
          </w:p>
        </w:tc>
        <w:tc>
          <w:tcPr>
            <w:tcW w:w="267" w:type="dxa"/>
            <w:shd w:val="clear" w:color="auto" w:fill="auto"/>
            <w:noWrap/>
            <w:vAlign w:val="bottom"/>
            <w:hideMark/>
          </w:tcPr>
          <w:p w14:paraId="2B872F51"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7C2F0E63"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3447F59C"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47A62F13"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1,176,350</w:t>
            </w:r>
          </w:p>
        </w:tc>
        <w:tc>
          <w:tcPr>
            <w:tcW w:w="1434" w:type="dxa"/>
            <w:shd w:val="clear" w:color="auto" w:fill="auto"/>
            <w:noWrap/>
            <w:vAlign w:val="bottom"/>
            <w:hideMark/>
          </w:tcPr>
          <w:p w14:paraId="4D68B7BB" w14:textId="4B13ADCE"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w:t>
            </w:r>
          </w:p>
        </w:tc>
      </w:tr>
      <w:tr w:rsidR="00576EC1" w:rsidRPr="00576EC1" w14:paraId="289DC73C" w14:textId="77777777" w:rsidTr="00E05E7C">
        <w:trPr>
          <w:trHeight w:val="252"/>
          <w:tblHeader/>
          <w:jc w:val="center"/>
        </w:trPr>
        <w:tc>
          <w:tcPr>
            <w:tcW w:w="267" w:type="dxa"/>
            <w:shd w:val="clear" w:color="auto" w:fill="auto"/>
            <w:noWrap/>
            <w:vAlign w:val="bottom"/>
            <w:hideMark/>
          </w:tcPr>
          <w:p w14:paraId="2867BB80" w14:textId="77777777" w:rsidR="00576EC1" w:rsidRPr="00576EC1" w:rsidRDefault="00576EC1" w:rsidP="00576EC1">
            <w:pPr>
              <w:rPr>
                <w:rFonts w:ascii="Arial" w:hAnsi="Arial" w:cs="Arial"/>
                <w:color w:val="000000"/>
                <w:sz w:val="18"/>
                <w:szCs w:val="18"/>
              </w:rPr>
            </w:pPr>
          </w:p>
        </w:tc>
        <w:tc>
          <w:tcPr>
            <w:tcW w:w="267" w:type="dxa"/>
            <w:shd w:val="clear" w:color="auto" w:fill="auto"/>
            <w:noWrap/>
            <w:vAlign w:val="bottom"/>
            <w:hideMark/>
          </w:tcPr>
          <w:p w14:paraId="2E90F265"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09AFDED1" w14:textId="77777777" w:rsidR="00576EC1" w:rsidRPr="00576EC1" w:rsidRDefault="00576EC1" w:rsidP="00E05E7C">
            <w:pPr>
              <w:rPr>
                <w:rFonts w:ascii="Arial" w:hAnsi="Arial" w:cs="Arial"/>
                <w:color w:val="000000"/>
                <w:sz w:val="18"/>
                <w:szCs w:val="18"/>
              </w:rPr>
            </w:pPr>
            <w:r w:rsidRPr="00576EC1">
              <w:rPr>
                <w:rFonts w:ascii="Arial" w:hAnsi="Arial" w:cs="Arial"/>
                <w:color w:val="000000"/>
                <w:sz w:val="18"/>
                <w:szCs w:val="18"/>
              </w:rPr>
              <w:t>Other income and expense</w:t>
            </w:r>
          </w:p>
        </w:tc>
        <w:tc>
          <w:tcPr>
            <w:tcW w:w="267" w:type="dxa"/>
            <w:shd w:val="clear" w:color="auto" w:fill="auto"/>
            <w:noWrap/>
            <w:vAlign w:val="bottom"/>
            <w:hideMark/>
          </w:tcPr>
          <w:p w14:paraId="3B03AE66" w14:textId="77777777" w:rsidR="00576EC1" w:rsidRPr="00576EC1" w:rsidRDefault="00576EC1" w:rsidP="00576EC1">
            <w:pPr>
              <w:ind w:firstLineChars="100" w:firstLine="180"/>
              <w:rPr>
                <w:rFonts w:ascii="Arial" w:hAnsi="Arial" w:cs="Arial"/>
                <w:color w:val="000000"/>
                <w:sz w:val="18"/>
                <w:szCs w:val="18"/>
              </w:rPr>
            </w:pPr>
          </w:p>
        </w:tc>
        <w:tc>
          <w:tcPr>
            <w:tcW w:w="687" w:type="dxa"/>
            <w:shd w:val="clear" w:color="auto" w:fill="auto"/>
            <w:noWrap/>
            <w:vAlign w:val="bottom"/>
            <w:hideMark/>
          </w:tcPr>
          <w:p w14:paraId="17465AEB"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011AB760"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78F994B8"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104,909</w:t>
            </w:r>
          </w:p>
        </w:tc>
        <w:tc>
          <w:tcPr>
            <w:tcW w:w="1434" w:type="dxa"/>
            <w:shd w:val="clear" w:color="auto" w:fill="auto"/>
            <w:noWrap/>
            <w:vAlign w:val="bottom"/>
            <w:hideMark/>
          </w:tcPr>
          <w:p w14:paraId="19CB558D"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171,109</w:t>
            </w:r>
          </w:p>
        </w:tc>
      </w:tr>
      <w:tr w:rsidR="00576EC1" w:rsidRPr="00576EC1" w14:paraId="4F418878" w14:textId="77777777" w:rsidTr="00E05E7C">
        <w:trPr>
          <w:trHeight w:val="252"/>
          <w:tblHeader/>
          <w:jc w:val="center"/>
        </w:trPr>
        <w:tc>
          <w:tcPr>
            <w:tcW w:w="267" w:type="dxa"/>
            <w:shd w:val="clear" w:color="auto" w:fill="auto"/>
            <w:noWrap/>
            <w:vAlign w:val="bottom"/>
            <w:hideMark/>
          </w:tcPr>
          <w:p w14:paraId="47F10770"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04B727D6"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017FEF8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Income tax (recovery) expense</w:t>
            </w:r>
          </w:p>
        </w:tc>
        <w:tc>
          <w:tcPr>
            <w:tcW w:w="267" w:type="dxa"/>
            <w:shd w:val="clear" w:color="auto" w:fill="auto"/>
            <w:noWrap/>
            <w:vAlign w:val="bottom"/>
            <w:hideMark/>
          </w:tcPr>
          <w:p w14:paraId="2415872E"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68EFC7D3"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51D1E65F"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7C7F9E47"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13,840</w:t>
            </w:r>
          </w:p>
        </w:tc>
        <w:tc>
          <w:tcPr>
            <w:tcW w:w="1434" w:type="dxa"/>
            <w:shd w:val="clear" w:color="auto" w:fill="auto"/>
            <w:noWrap/>
            <w:vAlign w:val="bottom"/>
            <w:hideMark/>
          </w:tcPr>
          <w:p w14:paraId="46E80CD8"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(2,439)</w:t>
            </w:r>
          </w:p>
        </w:tc>
      </w:tr>
      <w:tr w:rsidR="00576EC1" w:rsidRPr="00576EC1" w14:paraId="612F7422" w14:textId="77777777" w:rsidTr="00E05E7C">
        <w:trPr>
          <w:trHeight w:val="252"/>
          <w:tblHeader/>
          <w:jc w:val="center"/>
        </w:trPr>
        <w:tc>
          <w:tcPr>
            <w:tcW w:w="267" w:type="dxa"/>
            <w:shd w:val="clear" w:color="auto" w:fill="auto"/>
            <w:noWrap/>
            <w:vAlign w:val="bottom"/>
            <w:hideMark/>
          </w:tcPr>
          <w:p w14:paraId="201D40CF"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1D4BF72E"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0656591C" w14:textId="77777777" w:rsidR="00576EC1" w:rsidRPr="00576EC1" w:rsidRDefault="00576EC1" w:rsidP="00E05E7C">
            <w:pPr>
              <w:rPr>
                <w:rFonts w:ascii="Arial" w:hAnsi="Arial" w:cs="Arial"/>
                <w:color w:val="000000"/>
                <w:sz w:val="18"/>
                <w:szCs w:val="18"/>
              </w:rPr>
            </w:pPr>
            <w:r w:rsidRPr="00576EC1">
              <w:rPr>
                <w:rFonts w:ascii="Arial" w:hAnsi="Arial" w:cs="Arial"/>
                <w:color w:val="000000"/>
                <w:sz w:val="18"/>
                <w:szCs w:val="18"/>
              </w:rPr>
              <w:t>Non-cash foreign currency</w:t>
            </w:r>
          </w:p>
        </w:tc>
        <w:tc>
          <w:tcPr>
            <w:tcW w:w="267" w:type="dxa"/>
            <w:shd w:val="clear" w:color="auto" w:fill="auto"/>
            <w:noWrap/>
            <w:vAlign w:val="bottom"/>
            <w:hideMark/>
          </w:tcPr>
          <w:p w14:paraId="39A53FE5" w14:textId="77777777" w:rsidR="00576EC1" w:rsidRPr="00576EC1" w:rsidRDefault="00576EC1" w:rsidP="00576EC1">
            <w:pPr>
              <w:ind w:firstLineChars="100" w:firstLine="180"/>
              <w:rPr>
                <w:rFonts w:ascii="Arial" w:hAnsi="Arial" w:cs="Arial"/>
                <w:color w:val="000000"/>
                <w:sz w:val="18"/>
                <w:szCs w:val="18"/>
              </w:rPr>
            </w:pPr>
          </w:p>
        </w:tc>
        <w:tc>
          <w:tcPr>
            <w:tcW w:w="687" w:type="dxa"/>
            <w:shd w:val="clear" w:color="auto" w:fill="auto"/>
            <w:noWrap/>
            <w:vAlign w:val="bottom"/>
            <w:hideMark/>
          </w:tcPr>
          <w:p w14:paraId="1390FAED"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3BF71B8F"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11E8FF0A"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(1,463)</w:t>
            </w:r>
          </w:p>
        </w:tc>
        <w:tc>
          <w:tcPr>
            <w:tcW w:w="1434" w:type="dxa"/>
            <w:shd w:val="clear" w:color="auto" w:fill="auto"/>
            <w:noWrap/>
            <w:vAlign w:val="bottom"/>
            <w:hideMark/>
          </w:tcPr>
          <w:p w14:paraId="328CDE0D"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(410)</w:t>
            </w:r>
          </w:p>
        </w:tc>
      </w:tr>
      <w:tr w:rsidR="00576EC1" w:rsidRPr="00576EC1" w14:paraId="13D0C2D1" w14:textId="77777777" w:rsidTr="00E05E7C">
        <w:trPr>
          <w:trHeight w:val="252"/>
          <w:tblHeader/>
          <w:jc w:val="center"/>
        </w:trPr>
        <w:tc>
          <w:tcPr>
            <w:tcW w:w="267" w:type="dxa"/>
            <w:tcBorders>
              <w:bottom w:val="single" w:sz="4" w:space="0" w:color="auto"/>
            </w:tcBorders>
            <w:shd w:val="clear" w:color="auto" w:fill="auto"/>
            <w:noWrap/>
            <w:vAlign w:val="bottom"/>
            <w:hideMark/>
          </w:tcPr>
          <w:p w14:paraId="74872D4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267" w:type="dxa"/>
            <w:tcBorders>
              <w:bottom w:val="single" w:sz="4" w:space="0" w:color="auto"/>
            </w:tcBorders>
            <w:shd w:val="clear" w:color="auto" w:fill="auto"/>
            <w:noWrap/>
            <w:vAlign w:val="bottom"/>
            <w:hideMark/>
          </w:tcPr>
          <w:p w14:paraId="00E07FA5"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609" w:type="dxa"/>
            <w:tcBorders>
              <w:bottom w:val="single" w:sz="4" w:space="0" w:color="auto"/>
            </w:tcBorders>
            <w:shd w:val="clear" w:color="auto" w:fill="auto"/>
            <w:noWrap/>
            <w:vAlign w:val="bottom"/>
            <w:hideMark/>
          </w:tcPr>
          <w:p w14:paraId="3F8D8CD2"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Changes in non-cash working capital items</w:t>
            </w:r>
          </w:p>
        </w:tc>
        <w:tc>
          <w:tcPr>
            <w:tcW w:w="267" w:type="dxa"/>
            <w:tcBorders>
              <w:bottom w:val="single" w:sz="4" w:space="0" w:color="auto"/>
            </w:tcBorders>
            <w:shd w:val="clear" w:color="auto" w:fill="auto"/>
            <w:noWrap/>
            <w:vAlign w:val="bottom"/>
            <w:hideMark/>
          </w:tcPr>
          <w:p w14:paraId="346030C1"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tcBorders>
              <w:bottom w:val="single" w:sz="4" w:space="0" w:color="auto"/>
            </w:tcBorders>
            <w:shd w:val="clear" w:color="auto" w:fill="auto"/>
            <w:noWrap/>
            <w:vAlign w:val="bottom"/>
            <w:hideMark/>
          </w:tcPr>
          <w:p w14:paraId="693B2098"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23</w:t>
            </w:r>
          </w:p>
        </w:tc>
        <w:tc>
          <w:tcPr>
            <w:tcW w:w="267" w:type="dxa"/>
            <w:tcBorders>
              <w:bottom w:val="single" w:sz="4" w:space="0" w:color="auto"/>
            </w:tcBorders>
            <w:shd w:val="clear" w:color="auto" w:fill="auto"/>
            <w:noWrap/>
            <w:vAlign w:val="bottom"/>
            <w:hideMark/>
          </w:tcPr>
          <w:p w14:paraId="1C5E682C"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tcBorders>
              <w:bottom w:val="single" w:sz="4" w:space="0" w:color="auto"/>
            </w:tcBorders>
            <w:shd w:val="clear" w:color="auto" w:fill="auto"/>
            <w:noWrap/>
            <w:vAlign w:val="bottom"/>
            <w:hideMark/>
          </w:tcPr>
          <w:p w14:paraId="6CCF2A9C"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(126,551)</w:t>
            </w:r>
          </w:p>
        </w:tc>
        <w:tc>
          <w:tcPr>
            <w:tcW w:w="1434" w:type="dxa"/>
            <w:tcBorders>
              <w:bottom w:val="single" w:sz="4" w:space="0" w:color="auto"/>
            </w:tcBorders>
            <w:shd w:val="clear" w:color="auto" w:fill="auto"/>
            <w:noWrap/>
            <w:vAlign w:val="bottom"/>
            <w:hideMark/>
          </w:tcPr>
          <w:p w14:paraId="62A29F93"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(88,855)</w:t>
            </w:r>
          </w:p>
        </w:tc>
      </w:tr>
      <w:tr w:rsidR="00576EC1" w:rsidRPr="00576EC1" w14:paraId="6DFB38EA" w14:textId="77777777" w:rsidTr="00E05E7C">
        <w:trPr>
          <w:trHeight w:val="126"/>
          <w:tblHeader/>
          <w:jc w:val="center"/>
        </w:trPr>
        <w:tc>
          <w:tcPr>
            <w:tcW w:w="267" w:type="dxa"/>
            <w:tcBorders>
              <w:top w:val="single" w:sz="4" w:space="0" w:color="auto"/>
            </w:tcBorders>
            <w:shd w:val="clear" w:color="auto" w:fill="auto"/>
            <w:noWrap/>
            <w:vAlign w:val="bottom"/>
            <w:hideMark/>
          </w:tcPr>
          <w:p w14:paraId="4ACE7B6E" w14:textId="77777777" w:rsidR="00576EC1" w:rsidRPr="00576EC1" w:rsidRDefault="00576EC1" w:rsidP="00576EC1">
            <w:pPr>
              <w:jc w:val="right"/>
              <w:rPr>
                <w:rFonts w:ascii="Arial" w:hAnsi="Arial" w:cs="Arial"/>
                <w:color w:val="000000"/>
                <w:sz w:val="18"/>
                <w:szCs w:val="18"/>
              </w:rPr>
            </w:pPr>
          </w:p>
        </w:tc>
        <w:tc>
          <w:tcPr>
            <w:tcW w:w="267" w:type="dxa"/>
            <w:tcBorders>
              <w:top w:val="single" w:sz="4" w:space="0" w:color="auto"/>
            </w:tcBorders>
            <w:shd w:val="clear" w:color="auto" w:fill="auto"/>
            <w:noWrap/>
            <w:vAlign w:val="bottom"/>
            <w:hideMark/>
          </w:tcPr>
          <w:p w14:paraId="6E620AF1" w14:textId="77777777" w:rsidR="00576EC1" w:rsidRPr="00576EC1" w:rsidRDefault="00576EC1" w:rsidP="00576EC1">
            <w:pPr>
              <w:rPr>
                <w:rFonts w:ascii="Arial" w:hAnsi="Arial" w:cs="Arial"/>
                <w:sz w:val="18"/>
                <w:szCs w:val="18"/>
              </w:rPr>
            </w:pPr>
          </w:p>
        </w:tc>
        <w:tc>
          <w:tcPr>
            <w:tcW w:w="4609" w:type="dxa"/>
            <w:tcBorders>
              <w:top w:val="single" w:sz="4" w:space="0" w:color="auto"/>
            </w:tcBorders>
            <w:shd w:val="clear" w:color="auto" w:fill="auto"/>
            <w:noWrap/>
            <w:vAlign w:val="bottom"/>
            <w:hideMark/>
          </w:tcPr>
          <w:p w14:paraId="424AB38A" w14:textId="77777777" w:rsidR="00576EC1" w:rsidRPr="00576EC1" w:rsidRDefault="00576EC1" w:rsidP="00576EC1">
            <w:pPr>
              <w:rPr>
                <w:rFonts w:ascii="Arial" w:hAnsi="Arial" w:cs="Arial"/>
                <w:sz w:val="18"/>
                <w:szCs w:val="18"/>
              </w:rPr>
            </w:pPr>
          </w:p>
        </w:tc>
        <w:tc>
          <w:tcPr>
            <w:tcW w:w="267" w:type="dxa"/>
            <w:tcBorders>
              <w:top w:val="single" w:sz="4" w:space="0" w:color="auto"/>
            </w:tcBorders>
            <w:shd w:val="clear" w:color="auto" w:fill="auto"/>
            <w:noWrap/>
            <w:vAlign w:val="bottom"/>
            <w:hideMark/>
          </w:tcPr>
          <w:p w14:paraId="46D695DD" w14:textId="77777777" w:rsidR="00576EC1" w:rsidRPr="00576EC1" w:rsidRDefault="00576EC1" w:rsidP="00576EC1">
            <w:pPr>
              <w:rPr>
                <w:rFonts w:ascii="Arial" w:hAnsi="Arial" w:cs="Arial"/>
                <w:sz w:val="18"/>
                <w:szCs w:val="18"/>
              </w:rPr>
            </w:pPr>
          </w:p>
        </w:tc>
        <w:tc>
          <w:tcPr>
            <w:tcW w:w="687" w:type="dxa"/>
            <w:tcBorders>
              <w:top w:val="single" w:sz="4" w:space="0" w:color="auto"/>
            </w:tcBorders>
            <w:shd w:val="clear" w:color="auto" w:fill="auto"/>
            <w:noWrap/>
            <w:vAlign w:val="bottom"/>
            <w:hideMark/>
          </w:tcPr>
          <w:p w14:paraId="31402C3B" w14:textId="77777777" w:rsidR="00576EC1" w:rsidRPr="00576EC1" w:rsidRDefault="00576EC1" w:rsidP="00E05E7C">
            <w:pPr>
              <w:jc w:val="right"/>
              <w:rPr>
                <w:rFonts w:ascii="Arial" w:hAnsi="Arial" w:cs="Arial"/>
                <w:sz w:val="18"/>
                <w:szCs w:val="18"/>
              </w:rPr>
            </w:pPr>
          </w:p>
        </w:tc>
        <w:tc>
          <w:tcPr>
            <w:tcW w:w="267" w:type="dxa"/>
            <w:tcBorders>
              <w:top w:val="single" w:sz="4" w:space="0" w:color="auto"/>
            </w:tcBorders>
            <w:shd w:val="clear" w:color="auto" w:fill="auto"/>
            <w:noWrap/>
            <w:vAlign w:val="bottom"/>
            <w:hideMark/>
          </w:tcPr>
          <w:p w14:paraId="05EDB153" w14:textId="77777777" w:rsidR="00576EC1" w:rsidRPr="00576EC1" w:rsidRDefault="00576EC1" w:rsidP="00E05E7C">
            <w:pPr>
              <w:jc w:val="right"/>
              <w:rPr>
                <w:rFonts w:ascii="Arial" w:hAnsi="Arial" w:cs="Arial"/>
                <w:sz w:val="18"/>
                <w:szCs w:val="18"/>
              </w:rPr>
            </w:pPr>
          </w:p>
        </w:tc>
        <w:tc>
          <w:tcPr>
            <w:tcW w:w="1434" w:type="dxa"/>
            <w:tcBorders>
              <w:top w:val="single" w:sz="4" w:space="0" w:color="auto"/>
            </w:tcBorders>
            <w:shd w:val="clear" w:color="auto" w:fill="auto"/>
            <w:noWrap/>
            <w:vAlign w:val="bottom"/>
            <w:hideMark/>
          </w:tcPr>
          <w:p w14:paraId="0AB8611F" w14:textId="77777777" w:rsidR="00576EC1" w:rsidRPr="00576EC1" w:rsidRDefault="00576EC1" w:rsidP="00E05E7C">
            <w:pPr>
              <w:jc w:val="right"/>
              <w:rPr>
                <w:rFonts w:ascii="Arial" w:hAnsi="Arial" w:cs="Arial"/>
                <w:sz w:val="18"/>
                <w:szCs w:val="18"/>
              </w:rPr>
            </w:pPr>
          </w:p>
        </w:tc>
        <w:tc>
          <w:tcPr>
            <w:tcW w:w="1434" w:type="dxa"/>
            <w:tcBorders>
              <w:top w:val="single" w:sz="4" w:space="0" w:color="auto"/>
            </w:tcBorders>
            <w:shd w:val="clear" w:color="auto" w:fill="auto"/>
            <w:noWrap/>
            <w:vAlign w:val="bottom"/>
            <w:hideMark/>
          </w:tcPr>
          <w:p w14:paraId="5E729CEE" w14:textId="77777777" w:rsidR="00576EC1" w:rsidRPr="00576EC1" w:rsidRDefault="00576EC1" w:rsidP="00E05E7C">
            <w:pPr>
              <w:jc w:val="right"/>
              <w:rPr>
                <w:rFonts w:ascii="Arial" w:hAnsi="Arial" w:cs="Arial"/>
                <w:sz w:val="18"/>
                <w:szCs w:val="18"/>
              </w:rPr>
            </w:pPr>
          </w:p>
        </w:tc>
      </w:tr>
      <w:tr w:rsidR="00576EC1" w:rsidRPr="00576EC1" w14:paraId="5F63D7C9" w14:textId="77777777" w:rsidTr="00E05E7C">
        <w:trPr>
          <w:trHeight w:val="252"/>
          <w:tblHeader/>
          <w:jc w:val="center"/>
        </w:trPr>
        <w:tc>
          <w:tcPr>
            <w:tcW w:w="5143" w:type="dxa"/>
            <w:gridSpan w:val="3"/>
            <w:shd w:val="clear" w:color="auto" w:fill="auto"/>
            <w:noWrap/>
            <w:vAlign w:val="bottom"/>
            <w:hideMark/>
          </w:tcPr>
          <w:p w14:paraId="59C35CC5"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Net cash used in operating activities</w:t>
            </w:r>
          </w:p>
        </w:tc>
        <w:tc>
          <w:tcPr>
            <w:tcW w:w="267" w:type="dxa"/>
            <w:shd w:val="clear" w:color="auto" w:fill="auto"/>
            <w:noWrap/>
            <w:vAlign w:val="bottom"/>
            <w:hideMark/>
          </w:tcPr>
          <w:p w14:paraId="36CAE3D5"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shd w:val="clear" w:color="auto" w:fill="auto"/>
            <w:noWrap/>
            <w:vAlign w:val="bottom"/>
            <w:hideMark/>
          </w:tcPr>
          <w:p w14:paraId="20933C4C"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267" w:type="dxa"/>
            <w:shd w:val="clear" w:color="auto" w:fill="auto"/>
            <w:noWrap/>
            <w:vAlign w:val="bottom"/>
            <w:hideMark/>
          </w:tcPr>
          <w:p w14:paraId="4B7CE1E3"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shd w:val="clear" w:color="auto" w:fill="auto"/>
            <w:noWrap/>
            <w:vAlign w:val="bottom"/>
            <w:hideMark/>
          </w:tcPr>
          <w:p w14:paraId="10F296BD"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(359,335)</w:t>
            </w:r>
          </w:p>
        </w:tc>
        <w:tc>
          <w:tcPr>
            <w:tcW w:w="1434" w:type="dxa"/>
            <w:shd w:val="clear" w:color="auto" w:fill="auto"/>
            <w:noWrap/>
            <w:vAlign w:val="bottom"/>
            <w:hideMark/>
          </w:tcPr>
          <w:p w14:paraId="458D78E6"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(198,136)</w:t>
            </w:r>
          </w:p>
        </w:tc>
      </w:tr>
      <w:tr w:rsidR="00576EC1" w:rsidRPr="00576EC1" w14:paraId="3D1F9F4A" w14:textId="77777777" w:rsidTr="00E05E7C">
        <w:trPr>
          <w:trHeight w:val="252"/>
          <w:tblHeader/>
          <w:jc w:val="center"/>
        </w:trPr>
        <w:tc>
          <w:tcPr>
            <w:tcW w:w="267" w:type="dxa"/>
            <w:shd w:val="clear" w:color="auto" w:fill="auto"/>
            <w:noWrap/>
            <w:vAlign w:val="bottom"/>
            <w:hideMark/>
          </w:tcPr>
          <w:p w14:paraId="145A17C2" w14:textId="77777777" w:rsidR="00576EC1" w:rsidRPr="00576EC1" w:rsidRDefault="00576EC1" w:rsidP="00576EC1">
            <w:pPr>
              <w:jc w:val="right"/>
              <w:rPr>
                <w:rFonts w:ascii="Arial" w:hAnsi="Arial" w:cs="Arial"/>
                <w:color w:val="000000"/>
                <w:sz w:val="18"/>
                <w:szCs w:val="18"/>
              </w:rPr>
            </w:pPr>
          </w:p>
        </w:tc>
        <w:tc>
          <w:tcPr>
            <w:tcW w:w="267" w:type="dxa"/>
            <w:shd w:val="clear" w:color="auto" w:fill="auto"/>
            <w:noWrap/>
            <w:vAlign w:val="bottom"/>
            <w:hideMark/>
          </w:tcPr>
          <w:p w14:paraId="5F4E29DE" w14:textId="77777777" w:rsidR="00576EC1" w:rsidRPr="00576EC1" w:rsidRDefault="00576EC1" w:rsidP="00576EC1">
            <w:pPr>
              <w:rPr>
                <w:rFonts w:ascii="Arial" w:hAnsi="Arial" w:cs="Arial"/>
                <w:sz w:val="18"/>
                <w:szCs w:val="18"/>
              </w:rPr>
            </w:pPr>
          </w:p>
        </w:tc>
        <w:tc>
          <w:tcPr>
            <w:tcW w:w="4609" w:type="dxa"/>
            <w:shd w:val="clear" w:color="auto" w:fill="auto"/>
            <w:noWrap/>
            <w:vAlign w:val="bottom"/>
            <w:hideMark/>
          </w:tcPr>
          <w:p w14:paraId="54A912EC" w14:textId="77777777" w:rsidR="00576EC1" w:rsidRPr="00576EC1" w:rsidRDefault="00576EC1" w:rsidP="00576EC1">
            <w:pPr>
              <w:rPr>
                <w:rFonts w:ascii="Arial" w:hAnsi="Arial" w:cs="Arial"/>
                <w:sz w:val="18"/>
                <w:szCs w:val="18"/>
              </w:rPr>
            </w:pPr>
          </w:p>
        </w:tc>
        <w:tc>
          <w:tcPr>
            <w:tcW w:w="267" w:type="dxa"/>
            <w:shd w:val="clear" w:color="auto" w:fill="auto"/>
            <w:noWrap/>
            <w:vAlign w:val="bottom"/>
            <w:hideMark/>
          </w:tcPr>
          <w:p w14:paraId="7547C970" w14:textId="77777777" w:rsidR="00576EC1" w:rsidRPr="00576EC1" w:rsidRDefault="00576EC1" w:rsidP="00576EC1">
            <w:pPr>
              <w:rPr>
                <w:rFonts w:ascii="Arial" w:hAnsi="Arial" w:cs="Arial"/>
                <w:sz w:val="18"/>
                <w:szCs w:val="18"/>
              </w:rPr>
            </w:pPr>
          </w:p>
        </w:tc>
        <w:tc>
          <w:tcPr>
            <w:tcW w:w="687" w:type="dxa"/>
            <w:shd w:val="clear" w:color="auto" w:fill="auto"/>
            <w:noWrap/>
            <w:vAlign w:val="bottom"/>
            <w:hideMark/>
          </w:tcPr>
          <w:p w14:paraId="5E07C87E"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6BA37EE2"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7A47A0A1"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28EA3C7F" w14:textId="77777777" w:rsidR="00576EC1" w:rsidRPr="00576EC1" w:rsidRDefault="00576EC1" w:rsidP="00E05E7C">
            <w:pPr>
              <w:jc w:val="right"/>
              <w:rPr>
                <w:rFonts w:ascii="Arial" w:hAnsi="Arial" w:cs="Arial"/>
                <w:sz w:val="18"/>
                <w:szCs w:val="18"/>
              </w:rPr>
            </w:pPr>
          </w:p>
        </w:tc>
      </w:tr>
      <w:tr w:rsidR="00576EC1" w:rsidRPr="00576EC1" w14:paraId="2F217336" w14:textId="77777777" w:rsidTr="00E05E7C">
        <w:trPr>
          <w:trHeight w:val="252"/>
          <w:tblHeader/>
          <w:jc w:val="center"/>
        </w:trPr>
        <w:tc>
          <w:tcPr>
            <w:tcW w:w="5143" w:type="dxa"/>
            <w:gridSpan w:val="3"/>
            <w:shd w:val="clear" w:color="auto" w:fill="auto"/>
            <w:noWrap/>
            <w:vAlign w:val="bottom"/>
            <w:hideMark/>
          </w:tcPr>
          <w:p w14:paraId="012EBAD8"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Investing</w:t>
            </w:r>
          </w:p>
        </w:tc>
        <w:tc>
          <w:tcPr>
            <w:tcW w:w="267" w:type="dxa"/>
            <w:shd w:val="clear" w:color="auto" w:fill="auto"/>
            <w:noWrap/>
            <w:vAlign w:val="bottom"/>
            <w:hideMark/>
          </w:tcPr>
          <w:p w14:paraId="78C2A597" w14:textId="77777777" w:rsidR="00576EC1" w:rsidRPr="00576EC1" w:rsidRDefault="00576EC1" w:rsidP="00576EC1">
            <w:pPr>
              <w:rPr>
                <w:rFonts w:ascii="Arial" w:hAnsi="Arial" w:cs="Arial"/>
                <w:b/>
                <w:bCs/>
                <w:color w:val="000000"/>
                <w:sz w:val="18"/>
                <w:szCs w:val="18"/>
              </w:rPr>
            </w:pPr>
          </w:p>
        </w:tc>
        <w:tc>
          <w:tcPr>
            <w:tcW w:w="687" w:type="dxa"/>
            <w:shd w:val="clear" w:color="auto" w:fill="auto"/>
            <w:noWrap/>
            <w:vAlign w:val="bottom"/>
            <w:hideMark/>
          </w:tcPr>
          <w:p w14:paraId="5E5789BE"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5F4C1503"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04CF0FE0"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16A0BA8D" w14:textId="77777777" w:rsidR="00576EC1" w:rsidRPr="00576EC1" w:rsidRDefault="00576EC1" w:rsidP="00E05E7C">
            <w:pPr>
              <w:jc w:val="right"/>
              <w:rPr>
                <w:rFonts w:ascii="Arial" w:hAnsi="Arial" w:cs="Arial"/>
                <w:sz w:val="18"/>
                <w:szCs w:val="18"/>
              </w:rPr>
            </w:pPr>
          </w:p>
        </w:tc>
      </w:tr>
      <w:tr w:rsidR="00576EC1" w:rsidRPr="00576EC1" w14:paraId="0688623E" w14:textId="77777777" w:rsidTr="00E05E7C">
        <w:trPr>
          <w:trHeight w:val="252"/>
          <w:tblHeader/>
          <w:jc w:val="center"/>
        </w:trPr>
        <w:tc>
          <w:tcPr>
            <w:tcW w:w="267" w:type="dxa"/>
            <w:shd w:val="clear" w:color="auto" w:fill="auto"/>
            <w:noWrap/>
            <w:vAlign w:val="bottom"/>
            <w:hideMark/>
          </w:tcPr>
          <w:p w14:paraId="314DBD1A" w14:textId="77777777" w:rsidR="00576EC1" w:rsidRPr="00576EC1" w:rsidRDefault="00576EC1" w:rsidP="00576EC1">
            <w:pPr>
              <w:rPr>
                <w:rFonts w:ascii="Arial" w:hAnsi="Arial" w:cs="Arial"/>
                <w:sz w:val="18"/>
                <w:szCs w:val="18"/>
              </w:rPr>
            </w:pPr>
          </w:p>
        </w:tc>
        <w:tc>
          <w:tcPr>
            <w:tcW w:w="4876" w:type="dxa"/>
            <w:gridSpan w:val="2"/>
            <w:shd w:val="clear" w:color="auto" w:fill="auto"/>
            <w:noWrap/>
            <w:vAlign w:val="bottom"/>
            <w:hideMark/>
          </w:tcPr>
          <w:p w14:paraId="0E5C6A2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Purchases and deposits of property, plant, and equipment</w:t>
            </w:r>
          </w:p>
        </w:tc>
        <w:tc>
          <w:tcPr>
            <w:tcW w:w="267" w:type="dxa"/>
            <w:shd w:val="clear" w:color="auto" w:fill="auto"/>
            <w:noWrap/>
            <w:vAlign w:val="bottom"/>
            <w:hideMark/>
          </w:tcPr>
          <w:p w14:paraId="0A6166F6"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55B7AA75"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02132219"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330FD985"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(440,150)</w:t>
            </w:r>
          </w:p>
        </w:tc>
        <w:tc>
          <w:tcPr>
            <w:tcW w:w="1434" w:type="dxa"/>
            <w:shd w:val="clear" w:color="auto" w:fill="auto"/>
            <w:noWrap/>
            <w:vAlign w:val="bottom"/>
            <w:hideMark/>
          </w:tcPr>
          <w:p w14:paraId="0218A541"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(293,179)</w:t>
            </w:r>
          </w:p>
        </w:tc>
      </w:tr>
      <w:tr w:rsidR="00576EC1" w:rsidRPr="00576EC1" w14:paraId="7FA626DE" w14:textId="77777777" w:rsidTr="00E05E7C">
        <w:trPr>
          <w:trHeight w:val="252"/>
          <w:tblHeader/>
          <w:jc w:val="center"/>
        </w:trPr>
        <w:tc>
          <w:tcPr>
            <w:tcW w:w="267" w:type="dxa"/>
            <w:shd w:val="clear" w:color="auto" w:fill="auto"/>
            <w:noWrap/>
            <w:vAlign w:val="bottom"/>
            <w:hideMark/>
          </w:tcPr>
          <w:p w14:paraId="392D9DC6"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260A76B6"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Purchases of intangible assets</w:t>
            </w:r>
          </w:p>
        </w:tc>
        <w:tc>
          <w:tcPr>
            <w:tcW w:w="267" w:type="dxa"/>
            <w:shd w:val="clear" w:color="auto" w:fill="auto"/>
            <w:noWrap/>
            <w:vAlign w:val="bottom"/>
            <w:hideMark/>
          </w:tcPr>
          <w:p w14:paraId="7A78DABD"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096C6E76"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1FD66AA1"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7FC55A15"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(3,614)</w:t>
            </w:r>
          </w:p>
        </w:tc>
        <w:tc>
          <w:tcPr>
            <w:tcW w:w="1434" w:type="dxa"/>
            <w:shd w:val="clear" w:color="auto" w:fill="auto"/>
            <w:noWrap/>
            <w:vAlign w:val="bottom"/>
            <w:hideMark/>
          </w:tcPr>
          <w:p w14:paraId="511DCF4A"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(6,340)</w:t>
            </w:r>
          </w:p>
        </w:tc>
      </w:tr>
      <w:tr w:rsidR="00576EC1" w:rsidRPr="00576EC1" w14:paraId="353A0748" w14:textId="77777777" w:rsidTr="00E05E7C">
        <w:trPr>
          <w:trHeight w:val="252"/>
          <w:tblHeader/>
          <w:jc w:val="center"/>
        </w:trPr>
        <w:tc>
          <w:tcPr>
            <w:tcW w:w="267" w:type="dxa"/>
            <w:shd w:val="clear" w:color="auto" w:fill="auto"/>
            <w:noWrap/>
            <w:vAlign w:val="bottom"/>
            <w:hideMark/>
          </w:tcPr>
          <w:p w14:paraId="242DFC73"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133A8D8A"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Redemption (purchase) of marketable securities, net</w:t>
            </w:r>
          </w:p>
        </w:tc>
        <w:tc>
          <w:tcPr>
            <w:tcW w:w="267" w:type="dxa"/>
            <w:shd w:val="clear" w:color="auto" w:fill="auto"/>
            <w:noWrap/>
            <w:vAlign w:val="bottom"/>
            <w:hideMark/>
          </w:tcPr>
          <w:p w14:paraId="48549EBB"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715A3D3A"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2DEBDD59"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4C975BCC"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388,027</w:t>
            </w:r>
          </w:p>
        </w:tc>
        <w:tc>
          <w:tcPr>
            <w:tcW w:w="1434" w:type="dxa"/>
            <w:shd w:val="clear" w:color="auto" w:fill="auto"/>
            <w:noWrap/>
            <w:vAlign w:val="bottom"/>
            <w:hideMark/>
          </w:tcPr>
          <w:p w14:paraId="65A9915A"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(2,829)</w:t>
            </w:r>
          </w:p>
        </w:tc>
      </w:tr>
      <w:tr w:rsidR="00576EC1" w:rsidRPr="00576EC1" w14:paraId="6E487779" w14:textId="77777777" w:rsidTr="00E05E7C">
        <w:trPr>
          <w:trHeight w:val="252"/>
          <w:tblHeader/>
          <w:jc w:val="center"/>
        </w:trPr>
        <w:tc>
          <w:tcPr>
            <w:tcW w:w="267" w:type="dxa"/>
            <w:shd w:val="clear" w:color="auto" w:fill="auto"/>
            <w:noWrap/>
            <w:vAlign w:val="bottom"/>
            <w:hideMark/>
          </w:tcPr>
          <w:p w14:paraId="0E3629FA"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4EF526F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Investments in equity method investees</w:t>
            </w:r>
          </w:p>
        </w:tc>
        <w:tc>
          <w:tcPr>
            <w:tcW w:w="267" w:type="dxa"/>
            <w:shd w:val="clear" w:color="auto" w:fill="auto"/>
            <w:noWrap/>
            <w:vAlign w:val="bottom"/>
            <w:hideMark/>
          </w:tcPr>
          <w:p w14:paraId="2DE4FF6A"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452760FF"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9</w:t>
            </w:r>
          </w:p>
        </w:tc>
        <w:tc>
          <w:tcPr>
            <w:tcW w:w="267" w:type="dxa"/>
            <w:shd w:val="clear" w:color="auto" w:fill="auto"/>
            <w:noWrap/>
            <w:vAlign w:val="bottom"/>
            <w:hideMark/>
          </w:tcPr>
          <w:p w14:paraId="12C0E829"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0D97385A"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(4,719)</w:t>
            </w:r>
          </w:p>
        </w:tc>
        <w:tc>
          <w:tcPr>
            <w:tcW w:w="1434" w:type="dxa"/>
            <w:shd w:val="clear" w:color="auto" w:fill="auto"/>
            <w:noWrap/>
            <w:vAlign w:val="bottom"/>
            <w:hideMark/>
          </w:tcPr>
          <w:p w14:paraId="7D5984CC"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(42,439)</w:t>
            </w:r>
          </w:p>
        </w:tc>
      </w:tr>
      <w:tr w:rsidR="00576EC1" w:rsidRPr="00576EC1" w14:paraId="1D68D866" w14:textId="77777777" w:rsidTr="00E05E7C">
        <w:trPr>
          <w:trHeight w:val="252"/>
          <w:tblHeader/>
          <w:jc w:val="center"/>
        </w:trPr>
        <w:tc>
          <w:tcPr>
            <w:tcW w:w="267" w:type="dxa"/>
            <w:shd w:val="clear" w:color="auto" w:fill="auto"/>
            <w:noWrap/>
            <w:vAlign w:val="bottom"/>
            <w:hideMark/>
          </w:tcPr>
          <w:p w14:paraId="6D1C566A"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732C0B47"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Investments in other financial assets</w:t>
            </w:r>
          </w:p>
        </w:tc>
        <w:tc>
          <w:tcPr>
            <w:tcW w:w="267" w:type="dxa"/>
            <w:shd w:val="clear" w:color="auto" w:fill="auto"/>
            <w:noWrap/>
            <w:vAlign w:val="bottom"/>
            <w:hideMark/>
          </w:tcPr>
          <w:p w14:paraId="7BB99CD9"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1AC32CFE"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4CA1BF00"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74293BB6"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(36,423)</w:t>
            </w:r>
          </w:p>
        </w:tc>
        <w:tc>
          <w:tcPr>
            <w:tcW w:w="1434" w:type="dxa"/>
            <w:shd w:val="clear" w:color="auto" w:fill="auto"/>
            <w:noWrap/>
            <w:vAlign w:val="bottom"/>
            <w:hideMark/>
          </w:tcPr>
          <w:p w14:paraId="6CE4B7B7"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(29,695)</w:t>
            </w:r>
          </w:p>
        </w:tc>
      </w:tr>
      <w:tr w:rsidR="00576EC1" w:rsidRPr="00576EC1" w14:paraId="0E5FAFA7" w14:textId="77777777" w:rsidTr="00E05E7C">
        <w:trPr>
          <w:trHeight w:val="252"/>
          <w:tblHeader/>
          <w:jc w:val="center"/>
        </w:trPr>
        <w:tc>
          <w:tcPr>
            <w:tcW w:w="267" w:type="dxa"/>
            <w:shd w:val="clear" w:color="auto" w:fill="auto"/>
            <w:noWrap/>
            <w:vAlign w:val="bottom"/>
            <w:hideMark/>
          </w:tcPr>
          <w:p w14:paraId="5A4290B4"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46B6267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Premium paid for Acreage Call Option</w:t>
            </w:r>
          </w:p>
        </w:tc>
        <w:tc>
          <w:tcPr>
            <w:tcW w:w="267" w:type="dxa"/>
            <w:shd w:val="clear" w:color="auto" w:fill="auto"/>
            <w:noWrap/>
            <w:vAlign w:val="bottom"/>
            <w:hideMark/>
          </w:tcPr>
          <w:p w14:paraId="54EDFA8B"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48B18E7F"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25</w:t>
            </w:r>
          </w:p>
        </w:tc>
        <w:tc>
          <w:tcPr>
            <w:tcW w:w="267" w:type="dxa"/>
            <w:shd w:val="clear" w:color="auto" w:fill="auto"/>
            <w:noWrap/>
            <w:vAlign w:val="bottom"/>
            <w:hideMark/>
          </w:tcPr>
          <w:p w14:paraId="5EB47C78"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4D17FBBB"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(395,190)</w:t>
            </w:r>
          </w:p>
        </w:tc>
        <w:tc>
          <w:tcPr>
            <w:tcW w:w="1434" w:type="dxa"/>
            <w:shd w:val="clear" w:color="auto" w:fill="auto"/>
            <w:noWrap/>
            <w:vAlign w:val="bottom"/>
            <w:hideMark/>
          </w:tcPr>
          <w:p w14:paraId="2C21239B" w14:textId="35DD701E"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w:t>
            </w:r>
          </w:p>
        </w:tc>
      </w:tr>
      <w:tr w:rsidR="00576EC1" w:rsidRPr="00576EC1" w14:paraId="07037149" w14:textId="77777777" w:rsidTr="00E05E7C">
        <w:trPr>
          <w:trHeight w:val="252"/>
          <w:tblHeader/>
          <w:jc w:val="center"/>
        </w:trPr>
        <w:tc>
          <w:tcPr>
            <w:tcW w:w="267" w:type="dxa"/>
            <w:shd w:val="clear" w:color="auto" w:fill="auto"/>
            <w:noWrap/>
            <w:vAlign w:val="bottom"/>
            <w:hideMark/>
          </w:tcPr>
          <w:p w14:paraId="07E251F1" w14:textId="77777777" w:rsidR="00576EC1" w:rsidRPr="00576EC1" w:rsidRDefault="00576EC1" w:rsidP="00576EC1">
            <w:pPr>
              <w:rPr>
                <w:rFonts w:ascii="Arial" w:hAnsi="Arial" w:cs="Arial"/>
                <w:color w:val="000000"/>
                <w:sz w:val="18"/>
                <w:szCs w:val="18"/>
              </w:rPr>
            </w:pPr>
          </w:p>
        </w:tc>
        <w:tc>
          <w:tcPr>
            <w:tcW w:w="4876" w:type="dxa"/>
            <w:gridSpan w:val="2"/>
            <w:shd w:val="clear" w:color="auto" w:fill="auto"/>
            <w:noWrap/>
            <w:vAlign w:val="bottom"/>
            <w:hideMark/>
          </w:tcPr>
          <w:p w14:paraId="106E4DD7"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Net cash outflow on acquisition of non-controlling interests</w:t>
            </w:r>
          </w:p>
        </w:tc>
        <w:tc>
          <w:tcPr>
            <w:tcW w:w="267" w:type="dxa"/>
            <w:shd w:val="clear" w:color="auto" w:fill="auto"/>
            <w:noWrap/>
            <w:vAlign w:val="bottom"/>
            <w:hideMark/>
          </w:tcPr>
          <w:p w14:paraId="72ACE8ED"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6E70B24C" w14:textId="77777777" w:rsidR="00576EC1" w:rsidRPr="00576EC1" w:rsidRDefault="00576EC1" w:rsidP="00E05E7C">
            <w:pPr>
              <w:jc w:val="right"/>
              <w:rPr>
                <w:rFonts w:ascii="Arial" w:hAnsi="Arial" w:cs="Arial"/>
                <w:sz w:val="18"/>
                <w:szCs w:val="18"/>
              </w:rPr>
            </w:pPr>
          </w:p>
        </w:tc>
        <w:tc>
          <w:tcPr>
            <w:tcW w:w="267" w:type="dxa"/>
            <w:shd w:val="clear" w:color="auto" w:fill="auto"/>
            <w:noWrap/>
            <w:vAlign w:val="bottom"/>
            <w:hideMark/>
          </w:tcPr>
          <w:p w14:paraId="74750485" w14:textId="77777777" w:rsidR="00576EC1" w:rsidRPr="00576EC1" w:rsidRDefault="00576EC1" w:rsidP="00E05E7C">
            <w:pPr>
              <w:jc w:val="right"/>
              <w:rPr>
                <w:rFonts w:ascii="Arial" w:hAnsi="Arial" w:cs="Arial"/>
                <w:sz w:val="18"/>
                <w:szCs w:val="18"/>
              </w:rPr>
            </w:pPr>
          </w:p>
        </w:tc>
        <w:tc>
          <w:tcPr>
            <w:tcW w:w="1434" w:type="dxa"/>
            <w:shd w:val="clear" w:color="auto" w:fill="auto"/>
            <w:noWrap/>
            <w:vAlign w:val="bottom"/>
            <w:hideMark/>
          </w:tcPr>
          <w:p w14:paraId="483B4658" w14:textId="120B4CEA"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w:t>
            </w:r>
          </w:p>
        </w:tc>
        <w:tc>
          <w:tcPr>
            <w:tcW w:w="1434" w:type="dxa"/>
            <w:shd w:val="clear" w:color="auto" w:fill="auto"/>
            <w:noWrap/>
            <w:vAlign w:val="bottom"/>
            <w:hideMark/>
          </w:tcPr>
          <w:p w14:paraId="25068AB1"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(1,999)</w:t>
            </w:r>
          </w:p>
        </w:tc>
      </w:tr>
      <w:tr w:rsidR="00576EC1" w:rsidRPr="00576EC1" w14:paraId="7DEC048D" w14:textId="77777777" w:rsidTr="00E05E7C">
        <w:trPr>
          <w:trHeight w:val="252"/>
          <w:tblHeader/>
          <w:jc w:val="center"/>
        </w:trPr>
        <w:tc>
          <w:tcPr>
            <w:tcW w:w="267" w:type="dxa"/>
            <w:shd w:val="clear" w:color="auto" w:fill="auto"/>
            <w:noWrap/>
            <w:vAlign w:val="bottom"/>
            <w:hideMark/>
          </w:tcPr>
          <w:p w14:paraId="2A1DADDA" w14:textId="77777777" w:rsidR="00576EC1" w:rsidRPr="00576EC1" w:rsidRDefault="00576EC1" w:rsidP="00576EC1">
            <w:pPr>
              <w:jc w:val="right"/>
              <w:rPr>
                <w:rFonts w:ascii="Arial" w:hAnsi="Arial" w:cs="Arial"/>
                <w:color w:val="000000"/>
                <w:sz w:val="18"/>
                <w:szCs w:val="18"/>
              </w:rPr>
            </w:pPr>
          </w:p>
        </w:tc>
        <w:tc>
          <w:tcPr>
            <w:tcW w:w="4876" w:type="dxa"/>
            <w:gridSpan w:val="2"/>
            <w:shd w:val="clear" w:color="auto" w:fill="auto"/>
            <w:noWrap/>
            <w:vAlign w:val="bottom"/>
            <w:hideMark/>
          </w:tcPr>
          <w:p w14:paraId="4FA33DBD"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Net cash outflow on acquisition of subsidiaries</w:t>
            </w:r>
          </w:p>
        </w:tc>
        <w:tc>
          <w:tcPr>
            <w:tcW w:w="267" w:type="dxa"/>
            <w:shd w:val="clear" w:color="auto" w:fill="auto"/>
            <w:noWrap/>
            <w:vAlign w:val="bottom"/>
            <w:hideMark/>
          </w:tcPr>
          <w:p w14:paraId="448468AE" w14:textId="77777777" w:rsidR="00576EC1" w:rsidRPr="00576EC1" w:rsidRDefault="00576EC1" w:rsidP="00576EC1">
            <w:pPr>
              <w:rPr>
                <w:rFonts w:ascii="Arial" w:hAnsi="Arial" w:cs="Arial"/>
                <w:color w:val="000000"/>
                <w:sz w:val="18"/>
                <w:szCs w:val="18"/>
              </w:rPr>
            </w:pPr>
          </w:p>
        </w:tc>
        <w:tc>
          <w:tcPr>
            <w:tcW w:w="687" w:type="dxa"/>
            <w:shd w:val="clear" w:color="auto" w:fill="auto"/>
            <w:noWrap/>
            <w:vAlign w:val="bottom"/>
            <w:hideMark/>
          </w:tcPr>
          <w:p w14:paraId="26B0C011"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24</w:t>
            </w:r>
          </w:p>
        </w:tc>
        <w:tc>
          <w:tcPr>
            <w:tcW w:w="267" w:type="dxa"/>
            <w:shd w:val="clear" w:color="auto" w:fill="auto"/>
            <w:noWrap/>
            <w:vAlign w:val="bottom"/>
            <w:hideMark/>
          </w:tcPr>
          <w:p w14:paraId="65C51262" w14:textId="77777777" w:rsidR="00576EC1" w:rsidRPr="00576EC1" w:rsidRDefault="00576EC1" w:rsidP="00E05E7C">
            <w:pPr>
              <w:jc w:val="right"/>
              <w:rPr>
                <w:rFonts w:ascii="Arial" w:hAnsi="Arial" w:cs="Arial"/>
                <w:color w:val="000000"/>
                <w:sz w:val="18"/>
                <w:szCs w:val="18"/>
              </w:rPr>
            </w:pPr>
          </w:p>
        </w:tc>
        <w:tc>
          <w:tcPr>
            <w:tcW w:w="1434" w:type="dxa"/>
            <w:shd w:val="clear" w:color="auto" w:fill="auto"/>
            <w:noWrap/>
            <w:vAlign w:val="bottom"/>
            <w:hideMark/>
          </w:tcPr>
          <w:p w14:paraId="545F1B02"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(421,952)</w:t>
            </w:r>
          </w:p>
        </w:tc>
        <w:tc>
          <w:tcPr>
            <w:tcW w:w="1434" w:type="dxa"/>
            <w:shd w:val="clear" w:color="auto" w:fill="auto"/>
            <w:noWrap/>
            <w:vAlign w:val="bottom"/>
            <w:hideMark/>
          </w:tcPr>
          <w:p w14:paraId="5F9BFAA9"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427</w:t>
            </w:r>
          </w:p>
        </w:tc>
      </w:tr>
      <w:tr w:rsidR="00576EC1" w:rsidRPr="00576EC1" w14:paraId="7B8564F5" w14:textId="77777777" w:rsidTr="00E05E7C">
        <w:trPr>
          <w:trHeight w:val="252"/>
          <w:tblHeader/>
          <w:jc w:val="center"/>
        </w:trPr>
        <w:tc>
          <w:tcPr>
            <w:tcW w:w="267" w:type="dxa"/>
            <w:shd w:val="clear" w:color="auto" w:fill="auto"/>
            <w:noWrap/>
            <w:vAlign w:val="bottom"/>
            <w:hideMark/>
          </w:tcPr>
          <w:p w14:paraId="62778949"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876" w:type="dxa"/>
            <w:gridSpan w:val="2"/>
            <w:shd w:val="clear" w:color="auto" w:fill="auto"/>
            <w:noWrap/>
            <w:vAlign w:val="bottom"/>
            <w:hideMark/>
          </w:tcPr>
          <w:p w14:paraId="1EDA9D4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Change in acquisition related liabilities</w:t>
            </w:r>
          </w:p>
        </w:tc>
        <w:tc>
          <w:tcPr>
            <w:tcW w:w="267" w:type="dxa"/>
            <w:shd w:val="clear" w:color="auto" w:fill="auto"/>
            <w:noWrap/>
            <w:vAlign w:val="bottom"/>
            <w:hideMark/>
          </w:tcPr>
          <w:p w14:paraId="43D1360A"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shd w:val="clear" w:color="auto" w:fill="auto"/>
            <w:noWrap/>
            <w:vAlign w:val="bottom"/>
            <w:hideMark/>
          </w:tcPr>
          <w:p w14:paraId="4C12F7C5"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15</w:t>
            </w:r>
          </w:p>
        </w:tc>
        <w:tc>
          <w:tcPr>
            <w:tcW w:w="267" w:type="dxa"/>
            <w:shd w:val="clear" w:color="auto" w:fill="auto"/>
            <w:noWrap/>
            <w:vAlign w:val="bottom"/>
            <w:hideMark/>
          </w:tcPr>
          <w:p w14:paraId="0EB82E1D"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shd w:val="clear" w:color="auto" w:fill="auto"/>
            <w:noWrap/>
            <w:vAlign w:val="bottom"/>
            <w:hideMark/>
          </w:tcPr>
          <w:p w14:paraId="4ACDD771"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(21,447)</w:t>
            </w:r>
          </w:p>
        </w:tc>
        <w:tc>
          <w:tcPr>
            <w:tcW w:w="1434" w:type="dxa"/>
            <w:shd w:val="clear" w:color="auto" w:fill="auto"/>
            <w:noWrap/>
            <w:vAlign w:val="bottom"/>
            <w:hideMark/>
          </w:tcPr>
          <w:p w14:paraId="55CED9C6" w14:textId="233D3BAA"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w:t>
            </w:r>
          </w:p>
        </w:tc>
      </w:tr>
      <w:tr w:rsidR="00576EC1" w:rsidRPr="00576EC1" w14:paraId="37081F2F" w14:textId="77777777" w:rsidTr="00E05E7C">
        <w:trPr>
          <w:trHeight w:val="126"/>
          <w:tblHeader/>
          <w:jc w:val="center"/>
        </w:trPr>
        <w:tc>
          <w:tcPr>
            <w:tcW w:w="267" w:type="dxa"/>
            <w:tcBorders>
              <w:bottom w:val="single" w:sz="4" w:space="0" w:color="auto"/>
            </w:tcBorders>
            <w:shd w:val="clear" w:color="auto" w:fill="auto"/>
            <w:noWrap/>
            <w:vAlign w:val="bottom"/>
            <w:hideMark/>
          </w:tcPr>
          <w:p w14:paraId="477EF7A6" w14:textId="77777777" w:rsidR="00576EC1" w:rsidRPr="00576EC1" w:rsidRDefault="00576EC1" w:rsidP="00576EC1">
            <w:pPr>
              <w:rPr>
                <w:rFonts w:ascii="Arial" w:hAnsi="Arial" w:cs="Arial"/>
                <w:color w:val="000000"/>
                <w:sz w:val="18"/>
                <w:szCs w:val="18"/>
              </w:rPr>
            </w:pPr>
          </w:p>
        </w:tc>
        <w:tc>
          <w:tcPr>
            <w:tcW w:w="267" w:type="dxa"/>
            <w:tcBorders>
              <w:bottom w:val="single" w:sz="4" w:space="0" w:color="auto"/>
            </w:tcBorders>
            <w:shd w:val="clear" w:color="auto" w:fill="auto"/>
            <w:noWrap/>
            <w:vAlign w:val="bottom"/>
            <w:hideMark/>
          </w:tcPr>
          <w:p w14:paraId="6CEF83D4" w14:textId="77777777" w:rsidR="00576EC1" w:rsidRPr="00576EC1" w:rsidRDefault="00576EC1" w:rsidP="00576EC1">
            <w:pPr>
              <w:rPr>
                <w:rFonts w:ascii="Arial" w:hAnsi="Arial" w:cs="Arial"/>
                <w:sz w:val="18"/>
                <w:szCs w:val="18"/>
              </w:rPr>
            </w:pPr>
          </w:p>
        </w:tc>
        <w:tc>
          <w:tcPr>
            <w:tcW w:w="4609" w:type="dxa"/>
            <w:tcBorders>
              <w:bottom w:val="single" w:sz="4" w:space="0" w:color="auto"/>
            </w:tcBorders>
            <w:shd w:val="clear" w:color="auto" w:fill="auto"/>
            <w:noWrap/>
            <w:vAlign w:val="bottom"/>
            <w:hideMark/>
          </w:tcPr>
          <w:p w14:paraId="3BA144C4" w14:textId="77777777" w:rsidR="00576EC1" w:rsidRPr="00576EC1" w:rsidRDefault="00576EC1" w:rsidP="00576EC1">
            <w:pPr>
              <w:rPr>
                <w:rFonts w:ascii="Arial" w:hAnsi="Arial" w:cs="Arial"/>
                <w:sz w:val="18"/>
                <w:szCs w:val="18"/>
              </w:rPr>
            </w:pPr>
          </w:p>
        </w:tc>
        <w:tc>
          <w:tcPr>
            <w:tcW w:w="267" w:type="dxa"/>
            <w:tcBorders>
              <w:bottom w:val="single" w:sz="4" w:space="0" w:color="auto"/>
            </w:tcBorders>
            <w:shd w:val="clear" w:color="auto" w:fill="auto"/>
            <w:noWrap/>
            <w:vAlign w:val="bottom"/>
            <w:hideMark/>
          </w:tcPr>
          <w:p w14:paraId="34D7EAA5" w14:textId="77777777" w:rsidR="00576EC1" w:rsidRPr="00576EC1" w:rsidRDefault="00576EC1" w:rsidP="00576EC1">
            <w:pPr>
              <w:rPr>
                <w:rFonts w:ascii="Arial" w:hAnsi="Arial" w:cs="Arial"/>
                <w:sz w:val="18"/>
                <w:szCs w:val="18"/>
              </w:rPr>
            </w:pPr>
          </w:p>
        </w:tc>
        <w:tc>
          <w:tcPr>
            <w:tcW w:w="687" w:type="dxa"/>
            <w:tcBorders>
              <w:bottom w:val="single" w:sz="4" w:space="0" w:color="auto"/>
            </w:tcBorders>
            <w:shd w:val="clear" w:color="auto" w:fill="auto"/>
            <w:noWrap/>
            <w:vAlign w:val="bottom"/>
            <w:hideMark/>
          </w:tcPr>
          <w:p w14:paraId="5A5194CE" w14:textId="77777777" w:rsidR="00576EC1" w:rsidRPr="00576EC1" w:rsidRDefault="00576EC1" w:rsidP="00E05E7C">
            <w:pPr>
              <w:jc w:val="right"/>
              <w:rPr>
                <w:rFonts w:ascii="Arial" w:hAnsi="Arial" w:cs="Arial"/>
                <w:sz w:val="18"/>
                <w:szCs w:val="18"/>
              </w:rPr>
            </w:pPr>
          </w:p>
        </w:tc>
        <w:tc>
          <w:tcPr>
            <w:tcW w:w="267" w:type="dxa"/>
            <w:tcBorders>
              <w:bottom w:val="single" w:sz="4" w:space="0" w:color="auto"/>
            </w:tcBorders>
            <w:shd w:val="clear" w:color="auto" w:fill="auto"/>
            <w:noWrap/>
            <w:vAlign w:val="bottom"/>
            <w:hideMark/>
          </w:tcPr>
          <w:p w14:paraId="06C68D03" w14:textId="77777777" w:rsidR="00576EC1" w:rsidRPr="00576EC1" w:rsidRDefault="00576EC1" w:rsidP="00E05E7C">
            <w:pPr>
              <w:jc w:val="right"/>
              <w:rPr>
                <w:rFonts w:ascii="Arial" w:hAnsi="Arial" w:cs="Arial"/>
                <w:sz w:val="18"/>
                <w:szCs w:val="18"/>
              </w:rPr>
            </w:pPr>
          </w:p>
        </w:tc>
        <w:tc>
          <w:tcPr>
            <w:tcW w:w="1434" w:type="dxa"/>
            <w:tcBorders>
              <w:bottom w:val="single" w:sz="4" w:space="0" w:color="auto"/>
            </w:tcBorders>
            <w:shd w:val="clear" w:color="auto" w:fill="auto"/>
            <w:noWrap/>
            <w:vAlign w:val="bottom"/>
            <w:hideMark/>
          </w:tcPr>
          <w:p w14:paraId="0A1C6E54" w14:textId="77777777" w:rsidR="00576EC1" w:rsidRPr="00576EC1" w:rsidRDefault="00576EC1" w:rsidP="00E05E7C">
            <w:pPr>
              <w:jc w:val="right"/>
              <w:rPr>
                <w:rFonts w:ascii="Arial" w:hAnsi="Arial" w:cs="Arial"/>
                <w:sz w:val="18"/>
                <w:szCs w:val="18"/>
              </w:rPr>
            </w:pPr>
          </w:p>
        </w:tc>
        <w:tc>
          <w:tcPr>
            <w:tcW w:w="1434" w:type="dxa"/>
            <w:tcBorders>
              <w:bottom w:val="single" w:sz="4" w:space="0" w:color="auto"/>
            </w:tcBorders>
            <w:shd w:val="clear" w:color="auto" w:fill="auto"/>
            <w:noWrap/>
            <w:vAlign w:val="bottom"/>
            <w:hideMark/>
          </w:tcPr>
          <w:p w14:paraId="7FC155DE" w14:textId="77777777" w:rsidR="00576EC1" w:rsidRPr="00576EC1" w:rsidRDefault="00576EC1" w:rsidP="00E05E7C">
            <w:pPr>
              <w:jc w:val="right"/>
              <w:rPr>
                <w:rFonts w:ascii="Arial" w:hAnsi="Arial" w:cs="Arial"/>
                <w:sz w:val="18"/>
                <w:szCs w:val="18"/>
              </w:rPr>
            </w:pPr>
          </w:p>
        </w:tc>
      </w:tr>
      <w:tr w:rsidR="00576EC1" w:rsidRPr="00576EC1" w14:paraId="15FFF072" w14:textId="77777777" w:rsidTr="00E05E7C">
        <w:trPr>
          <w:trHeight w:val="252"/>
          <w:tblHeader/>
          <w:jc w:val="center"/>
        </w:trPr>
        <w:tc>
          <w:tcPr>
            <w:tcW w:w="5143" w:type="dxa"/>
            <w:gridSpan w:val="3"/>
            <w:tcBorders>
              <w:top w:val="single" w:sz="4" w:space="0" w:color="auto"/>
              <w:bottom w:val="single" w:sz="4" w:space="0" w:color="auto"/>
            </w:tcBorders>
            <w:shd w:val="clear" w:color="auto" w:fill="auto"/>
            <w:noWrap/>
            <w:vAlign w:val="bottom"/>
            <w:hideMark/>
          </w:tcPr>
          <w:p w14:paraId="4DA11987"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Net cash used in investing activities</w:t>
            </w:r>
          </w:p>
        </w:tc>
        <w:tc>
          <w:tcPr>
            <w:tcW w:w="267" w:type="dxa"/>
            <w:tcBorders>
              <w:top w:val="single" w:sz="4" w:space="0" w:color="auto"/>
              <w:bottom w:val="single" w:sz="4" w:space="0" w:color="auto"/>
            </w:tcBorders>
            <w:shd w:val="clear" w:color="auto" w:fill="auto"/>
            <w:noWrap/>
            <w:vAlign w:val="bottom"/>
            <w:hideMark/>
          </w:tcPr>
          <w:p w14:paraId="385D2683"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tcBorders>
              <w:top w:val="single" w:sz="4" w:space="0" w:color="auto"/>
              <w:bottom w:val="single" w:sz="4" w:space="0" w:color="auto"/>
            </w:tcBorders>
            <w:shd w:val="clear" w:color="auto" w:fill="auto"/>
            <w:noWrap/>
            <w:vAlign w:val="bottom"/>
            <w:hideMark/>
          </w:tcPr>
          <w:p w14:paraId="689B3A97"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267" w:type="dxa"/>
            <w:tcBorders>
              <w:top w:val="single" w:sz="4" w:space="0" w:color="auto"/>
              <w:bottom w:val="single" w:sz="4" w:space="0" w:color="auto"/>
            </w:tcBorders>
            <w:shd w:val="clear" w:color="auto" w:fill="auto"/>
            <w:noWrap/>
            <w:vAlign w:val="bottom"/>
            <w:hideMark/>
          </w:tcPr>
          <w:p w14:paraId="2623AC3E"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tcBorders>
              <w:top w:val="single" w:sz="4" w:space="0" w:color="auto"/>
              <w:bottom w:val="single" w:sz="4" w:space="0" w:color="auto"/>
            </w:tcBorders>
            <w:shd w:val="clear" w:color="auto" w:fill="auto"/>
            <w:noWrap/>
            <w:vAlign w:val="bottom"/>
            <w:hideMark/>
          </w:tcPr>
          <w:p w14:paraId="419383E4"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(935,468)</w:t>
            </w:r>
          </w:p>
        </w:tc>
        <w:tc>
          <w:tcPr>
            <w:tcW w:w="1434" w:type="dxa"/>
            <w:tcBorders>
              <w:top w:val="single" w:sz="4" w:space="0" w:color="auto"/>
              <w:bottom w:val="single" w:sz="4" w:space="0" w:color="auto"/>
            </w:tcBorders>
            <w:shd w:val="clear" w:color="auto" w:fill="auto"/>
            <w:noWrap/>
            <w:vAlign w:val="bottom"/>
            <w:hideMark/>
          </w:tcPr>
          <w:p w14:paraId="5337929A"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(376,054)</w:t>
            </w:r>
          </w:p>
        </w:tc>
      </w:tr>
    </w:tbl>
    <w:p w14:paraId="023B1DC7" w14:textId="77777777" w:rsidR="00433B52" w:rsidRDefault="00433B52">
      <w:r>
        <w:br w:type="page"/>
      </w:r>
    </w:p>
    <w:p w14:paraId="3A91DBE1" w14:textId="0413DCC8" w:rsidR="00433B52" w:rsidRDefault="002F178F" w:rsidP="00157FB5">
      <w:pPr>
        <w:jc w:val="center"/>
        <w:rPr>
          <w:rFonts w:ascii="Arial Bold" w:hAnsi="Arial Bold" w:cs="Arial"/>
          <w:b/>
          <w:caps/>
        </w:rPr>
      </w:pPr>
      <w:r>
        <w:rPr>
          <w:rFonts w:ascii="Arial Bold" w:hAnsi="Arial Bold" w:cs="Arial"/>
          <w:b/>
          <w:caps/>
        </w:rPr>
        <w:lastRenderedPageBreak/>
        <w:t>exhibit 1 (continued)</w:t>
      </w:r>
    </w:p>
    <w:p w14:paraId="0A43AA02" w14:textId="77777777" w:rsidR="002F178F" w:rsidRPr="00157FB5" w:rsidRDefault="002F178F" w:rsidP="00157FB5">
      <w:pPr>
        <w:jc w:val="center"/>
        <w:rPr>
          <w:rFonts w:ascii="Arial Bold" w:hAnsi="Arial Bold" w:cs="Arial"/>
          <w:b/>
          <w:caps/>
        </w:rPr>
      </w:pPr>
    </w:p>
    <w:tbl>
      <w:tblPr>
        <w:tblW w:w="9232" w:type="dxa"/>
        <w:jc w:val="center"/>
        <w:tblLook w:val="04A0" w:firstRow="1" w:lastRow="0" w:firstColumn="1" w:lastColumn="0" w:noHBand="0" w:noVBand="1"/>
        <w:tblCaption w:val="Exhibit 1 Continued"/>
        <w:tblDescription w:val="Canopy Growth Corporation Financial Statements"/>
      </w:tblPr>
      <w:tblGrid>
        <w:gridCol w:w="267"/>
        <w:gridCol w:w="267"/>
        <w:gridCol w:w="4609"/>
        <w:gridCol w:w="267"/>
        <w:gridCol w:w="687"/>
        <w:gridCol w:w="267"/>
        <w:gridCol w:w="1434"/>
        <w:gridCol w:w="1434"/>
      </w:tblGrid>
      <w:tr w:rsidR="00576EC1" w:rsidRPr="00576EC1" w14:paraId="5ADC75FD" w14:textId="77777777" w:rsidTr="00C8482F">
        <w:trPr>
          <w:trHeight w:val="252"/>
          <w:jc w:val="center"/>
        </w:trPr>
        <w:tc>
          <w:tcPr>
            <w:tcW w:w="5143" w:type="dxa"/>
            <w:gridSpan w:val="3"/>
            <w:tcBorders>
              <w:top w:val="nil"/>
              <w:left w:val="nil"/>
              <w:bottom w:val="nil"/>
              <w:right w:val="nil"/>
            </w:tcBorders>
            <w:shd w:val="clear" w:color="auto" w:fill="auto"/>
            <w:noWrap/>
            <w:vAlign w:val="bottom"/>
            <w:hideMark/>
          </w:tcPr>
          <w:p w14:paraId="2AD5B49F" w14:textId="1796760A" w:rsidR="00576EC1" w:rsidRPr="00576EC1" w:rsidRDefault="00576EC1" w:rsidP="00157FB5">
            <w:pPr>
              <w:keepNext/>
              <w:rPr>
                <w:rFonts w:ascii="Arial" w:hAnsi="Arial" w:cs="Arial"/>
                <w:b/>
                <w:bCs/>
                <w:color w:val="000000"/>
                <w:sz w:val="18"/>
                <w:szCs w:val="18"/>
              </w:rPr>
            </w:pPr>
            <w:r w:rsidRPr="00576EC1">
              <w:rPr>
                <w:rFonts w:ascii="Arial" w:hAnsi="Arial" w:cs="Arial"/>
                <w:b/>
                <w:bCs/>
                <w:color w:val="000000"/>
                <w:sz w:val="18"/>
                <w:szCs w:val="18"/>
              </w:rPr>
              <w:t>Financing</w:t>
            </w:r>
          </w:p>
        </w:tc>
        <w:tc>
          <w:tcPr>
            <w:tcW w:w="267" w:type="dxa"/>
            <w:tcBorders>
              <w:top w:val="nil"/>
              <w:left w:val="nil"/>
              <w:bottom w:val="nil"/>
              <w:right w:val="nil"/>
            </w:tcBorders>
            <w:shd w:val="clear" w:color="auto" w:fill="auto"/>
            <w:noWrap/>
            <w:vAlign w:val="bottom"/>
            <w:hideMark/>
          </w:tcPr>
          <w:p w14:paraId="637F0875" w14:textId="77777777" w:rsidR="00576EC1" w:rsidRPr="00576EC1" w:rsidRDefault="00576EC1" w:rsidP="00576EC1">
            <w:pPr>
              <w:rPr>
                <w:rFonts w:ascii="Arial" w:hAnsi="Arial" w:cs="Arial"/>
                <w:b/>
                <w:bCs/>
                <w:color w:val="000000"/>
                <w:sz w:val="18"/>
                <w:szCs w:val="18"/>
              </w:rPr>
            </w:pPr>
          </w:p>
        </w:tc>
        <w:tc>
          <w:tcPr>
            <w:tcW w:w="687" w:type="dxa"/>
            <w:tcBorders>
              <w:top w:val="nil"/>
              <w:left w:val="nil"/>
              <w:bottom w:val="nil"/>
              <w:right w:val="nil"/>
            </w:tcBorders>
            <w:shd w:val="clear" w:color="auto" w:fill="auto"/>
            <w:noWrap/>
            <w:vAlign w:val="bottom"/>
            <w:hideMark/>
          </w:tcPr>
          <w:p w14:paraId="1B746266"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5AEF9A20"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34F8AADF"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42C00068" w14:textId="77777777" w:rsidR="00576EC1" w:rsidRPr="00576EC1" w:rsidRDefault="00576EC1" w:rsidP="00E05E7C">
            <w:pPr>
              <w:jc w:val="right"/>
              <w:rPr>
                <w:rFonts w:ascii="Arial" w:hAnsi="Arial" w:cs="Arial"/>
                <w:sz w:val="18"/>
                <w:szCs w:val="18"/>
              </w:rPr>
            </w:pPr>
          </w:p>
        </w:tc>
      </w:tr>
      <w:tr w:rsidR="00576EC1" w:rsidRPr="00576EC1" w14:paraId="3D9B439B"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56A74D71" w14:textId="77777777" w:rsidR="00576EC1" w:rsidRPr="00576EC1" w:rsidRDefault="00576EC1" w:rsidP="00157FB5">
            <w:pPr>
              <w:keepNext/>
              <w:rPr>
                <w:rFonts w:ascii="Arial" w:hAnsi="Arial" w:cs="Arial"/>
                <w:sz w:val="18"/>
                <w:szCs w:val="18"/>
              </w:rPr>
            </w:pPr>
          </w:p>
        </w:tc>
        <w:tc>
          <w:tcPr>
            <w:tcW w:w="4876" w:type="dxa"/>
            <w:gridSpan w:val="2"/>
            <w:tcBorders>
              <w:top w:val="nil"/>
              <w:left w:val="nil"/>
              <w:bottom w:val="nil"/>
              <w:right w:val="nil"/>
            </w:tcBorders>
            <w:shd w:val="clear" w:color="auto" w:fill="auto"/>
            <w:noWrap/>
            <w:vAlign w:val="bottom"/>
            <w:hideMark/>
          </w:tcPr>
          <w:p w14:paraId="6B52BC6B" w14:textId="77777777" w:rsidR="00576EC1" w:rsidRPr="00576EC1" w:rsidRDefault="00576EC1" w:rsidP="00157FB5">
            <w:pPr>
              <w:keepNext/>
              <w:rPr>
                <w:rFonts w:ascii="Arial" w:hAnsi="Arial" w:cs="Arial"/>
                <w:color w:val="000000"/>
                <w:sz w:val="18"/>
                <w:szCs w:val="18"/>
              </w:rPr>
            </w:pPr>
            <w:r w:rsidRPr="00576EC1">
              <w:rPr>
                <w:rFonts w:ascii="Arial" w:hAnsi="Arial" w:cs="Arial"/>
                <w:color w:val="000000"/>
                <w:sz w:val="18"/>
                <w:szCs w:val="18"/>
              </w:rPr>
              <w:t>Payment of share issue costs</w:t>
            </w:r>
          </w:p>
        </w:tc>
        <w:tc>
          <w:tcPr>
            <w:tcW w:w="267" w:type="dxa"/>
            <w:tcBorders>
              <w:top w:val="nil"/>
              <w:left w:val="nil"/>
              <w:bottom w:val="nil"/>
              <w:right w:val="nil"/>
            </w:tcBorders>
            <w:shd w:val="clear" w:color="auto" w:fill="auto"/>
            <w:noWrap/>
            <w:vAlign w:val="bottom"/>
            <w:hideMark/>
          </w:tcPr>
          <w:p w14:paraId="601342F0"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5DFBEAF2"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24712620"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23D055CB"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(129)</w:t>
            </w:r>
          </w:p>
        </w:tc>
        <w:tc>
          <w:tcPr>
            <w:tcW w:w="1434" w:type="dxa"/>
            <w:tcBorders>
              <w:top w:val="nil"/>
              <w:left w:val="nil"/>
              <w:bottom w:val="nil"/>
              <w:right w:val="nil"/>
            </w:tcBorders>
            <w:shd w:val="clear" w:color="auto" w:fill="auto"/>
            <w:noWrap/>
            <w:vAlign w:val="bottom"/>
            <w:hideMark/>
          </w:tcPr>
          <w:p w14:paraId="0A78211E"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(6,819)</w:t>
            </w:r>
          </w:p>
        </w:tc>
      </w:tr>
      <w:tr w:rsidR="00576EC1" w:rsidRPr="00576EC1" w14:paraId="66F6ED36"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087D64A2" w14:textId="77777777" w:rsidR="00576EC1" w:rsidRPr="00576EC1" w:rsidRDefault="00576EC1" w:rsidP="00157FB5">
            <w:pPr>
              <w:keepNext/>
              <w:jc w:val="right"/>
              <w:rPr>
                <w:rFonts w:ascii="Arial" w:hAnsi="Arial" w:cs="Arial"/>
                <w:color w:val="000000"/>
                <w:sz w:val="18"/>
                <w:szCs w:val="18"/>
              </w:rPr>
            </w:pPr>
          </w:p>
        </w:tc>
        <w:tc>
          <w:tcPr>
            <w:tcW w:w="4876" w:type="dxa"/>
            <w:gridSpan w:val="2"/>
            <w:tcBorders>
              <w:top w:val="nil"/>
              <w:left w:val="nil"/>
              <w:bottom w:val="nil"/>
              <w:right w:val="nil"/>
            </w:tcBorders>
            <w:shd w:val="clear" w:color="auto" w:fill="auto"/>
            <w:noWrap/>
            <w:vAlign w:val="bottom"/>
            <w:hideMark/>
          </w:tcPr>
          <w:p w14:paraId="4D8A4DBA" w14:textId="4C5D2FCB" w:rsidR="00576EC1" w:rsidRPr="00576EC1" w:rsidRDefault="00576EC1" w:rsidP="00157FB5">
            <w:pPr>
              <w:keepNext/>
              <w:rPr>
                <w:rFonts w:ascii="Arial" w:hAnsi="Arial" w:cs="Arial"/>
                <w:color w:val="000000"/>
                <w:sz w:val="18"/>
                <w:szCs w:val="18"/>
              </w:rPr>
            </w:pPr>
            <w:r w:rsidRPr="00576EC1">
              <w:rPr>
                <w:rFonts w:ascii="Arial" w:hAnsi="Arial" w:cs="Arial"/>
                <w:color w:val="000000"/>
                <w:sz w:val="18"/>
                <w:szCs w:val="18"/>
              </w:rPr>
              <w:t>Proceeds from issuance of shares by Canopy Rivers</w:t>
            </w:r>
          </w:p>
        </w:tc>
        <w:tc>
          <w:tcPr>
            <w:tcW w:w="267" w:type="dxa"/>
            <w:tcBorders>
              <w:top w:val="nil"/>
              <w:left w:val="nil"/>
              <w:bottom w:val="nil"/>
              <w:right w:val="nil"/>
            </w:tcBorders>
            <w:shd w:val="clear" w:color="auto" w:fill="auto"/>
            <w:noWrap/>
            <w:vAlign w:val="bottom"/>
            <w:hideMark/>
          </w:tcPr>
          <w:p w14:paraId="4DD4BF39"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75B8C1B3"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4BEBE19E"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333B5253"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156</w:t>
            </w:r>
          </w:p>
        </w:tc>
        <w:tc>
          <w:tcPr>
            <w:tcW w:w="1434" w:type="dxa"/>
            <w:tcBorders>
              <w:top w:val="nil"/>
              <w:left w:val="nil"/>
              <w:bottom w:val="nil"/>
              <w:right w:val="nil"/>
            </w:tcBorders>
            <w:shd w:val="clear" w:color="auto" w:fill="auto"/>
            <w:noWrap/>
            <w:vAlign w:val="bottom"/>
            <w:hideMark/>
          </w:tcPr>
          <w:p w14:paraId="05D21186"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91,218</w:t>
            </w:r>
          </w:p>
        </w:tc>
      </w:tr>
      <w:tr w:rsidR="00576EC1" w:rsidRPr="00576EC1" w14:paraId="0AA58C04"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29F71EEA" w14:textId="77777777" w:rsidR="00576EC1" w:rsidRPr="00576EC1" w:rsidRDefault="00576EC1" w:rsidP="00157FB5">
            <w:pPr>
              <w:keepNext/>
              <w:jc w:val="right"/>
              <w:rPr>
                <w:rFonts w:ascii="Arial" w:hAnsi="Arial" w:cs="Arial"/>
                <w:color w:val="000000"/>
                <w:sz w:val="18"/>
                <w:szCs w:val="18"/>
              </w:rPr>
            </w:pPr>
          </w:p>
        </w:tc>
        <w:tc>
          <w:tcPr>
            <w:tcW w:w="4876" w:type="dxa"/>
            <w:gridSpan w:val="2"/>
            <w:tcBorders>
              <w:top w:val="nil"/>
              <w:left w:val="nil"/>
              <w:bottom w:val="nil"/>
              <w:right w:val="nil"/>
            </w:tcBorders>
            <w:shd w:val="clear" w:color="auto" w:fill="auto"/>
            <w:noWrap/>
            <w:vAlign w:val="bottom"/>
            <w:hideMark/>
          </w:tcPr>
          <w:p w14:paraId="0869B8E0" w14:textId="77777777" w:rsidR="00576EC1" w:rsidRPr="00576EC1" w:rsidRDefault="00576EC1" w:rsidP="00157FB5">
            <w:pPr>
              <w:keepNext/>
              <w:rPr>
                <w:rFonts w:ascii="Arial" w:hAnsi="Arial" w:cs="Arial"/>
                <w:color w:val="000000"/>
                <w:sz w:val="18"/>
                <w:szCs w:val="18"/>
              </w:rPr>
            </w:pPr>
            <w:r w:rsidRPr="00576EC1">
              <w:rPr>
                <w:rFonts w:ascii="Arial" w:hAnsi="Arial" w:cs="Arial"/>
                <w:color w:val="000000"/>
                <w:sz w:val="18"/>
                <w:szCs w:val="18"/>
              </w:rPr>
              <w:t>Proceeds from exercise of stock options</w:t>
            </w:r>
          </w:p>
        </w:tc>
        <w:tc>
          <w:tcPr>
            <w:tcW w:w="267" w:type="dxa"/>
            <w:tcBorders>
              <w:top w:val="nil"/>
              <w:left w:val="nil"/>
              <w:bottom w:val="nil"/>
              <w:right w:val="nil"/>
            </w:tcBorders>
            <w:shd w:val="clear" w:color="auto" w:fill="auto"/>
            <w:noWrap/>
            <w:vAlign w:val="bottom"/>
            <w:hideMark/>
          </w:tcPr>
          <w:p w14:paraId="5AE60FE3"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46FC5F3E"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16</w:t>
            </w:r>
          </w:p>
        </w:tc>
        <w:tc>
          <w:tcPr>
            <w:tcW w:w="267" w:type="dxa"/>
            <w:tcBorders>
              <w:top w:val="nil"/>
              <w:left w:val="nil"/>
              <w:bottom w:val="nil"/>
              <w:right w:val="nil"/>
            </w:tcBorders>
            <w:shd w:val="clear" w:color="auto" w:fill="auto"/>
            <w:noWrap/>
            <w:vAlign w:val="bottom"/>
            <w:hideMark/>
          </w:tcPr>
          <w:p w14:paraId="5ADE96F4" w14:textId="77777777" w:rsidR="00576EC1" w:rsidRPr="00576EC1" w:rsidRDefault="00576EC1" w:rsidP="00E05E7C">
            <w:pPr>
              <w:jc w:val="right"/>
              <w:rPr>
                <w:rFonts w:ascii="Arial" w:hAnsi="Arial" w:cs="Arial"/>
                <w:color w:val="000000"/>
                <w:sz w:val="18"/>
                <w:szCs w:val="18"/>
              </w:rPr>
            </w:pPr>
          </w:p>
        </w:tc>
        <w:tc>
          <w:tcPr>
            <w:tcW w:w="1434" w:type="dxa"/>
            <w:tcBorders>
              <w:top w:val="nil"/>
              <w:left w:val="nil"/>
              <w:bottom w:val="nil"/>
              <w:right w:val="nil"/>
            </w:tcBorders>
            <w:shd w:val="clear" w:color="auto" w:fill="auto"/>
            <w:noWrap/>
            <w:vAlign w:val="bottom"/>
            <w:hideMark/>
          </w:tcPr>
          <w:p w14:paraId="2851E8C8"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36,023</w:t>
            </w:r>
          </w:p>
        </w:tc>
        <w:tc>
          <w:tcPr>
            <w:tcW w:w="1434" w:type="dxa"/>
            <w:tcBorders>
              <w:top w:val="nil"/>
              <w:left w:val="nil"/>
              <w:bottom w:val="nil"/>
              <w:right w:val="nil"/>
            </w:tcBorders>
            <w:shd w:val="clear" w:color="auto" w:fill="auto"/>
            <w:noWrap/>
            <w:vAlign w:val="bottom"/>
            <w:hideMark/>
          </w:tcPr>
          <w:p w14:paraId="695C07D6"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13,626</w:t>
            </w:r>
          </w:p>
        </w:tc>
      </w:tr>
      <w:tr w:rsidR="00576EC1" w:rsidRPr="00576EC1" w14:paraId="45FF790C"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0BF91ED1" w14:textId="77777777" w:rsidR="00576EC1" w:rsidRPr="00576EC1" w:rsidRDefault="00576EC1" w:rsidP="00576EC1">
            <w:pPr>
              <w:jc w:val="right"/>
              <w:rPr>
                <w:rFonts w:ascii="Arial" w:hAnsi="Arial" w:cs="Arial"/>
                <w:color w:val="000000"/>
                <w:sz w:val="18"/>
                <w:szCs w:val="18"/>
              </w:rPr>
            </w:pPr>
          </w:p>
        </w:tc>
        <w:tc>
          <w:tcPr>
            <w:tcW w:w="4876" w:type="dxa"/>
            <w:gridSpan w:val="2"/>
            <w:tcBorders>
              <w:top w:val="nil"/>
              <w:left w:val="nil"/>
              <w:bottom w:val="nil"/>
              <w:right w:val="nil"/>
            </w:tcBorders>
            <w:shd w:val="clear" w:color="auto" w:fill="auto"/>
            <w:noWrap/>
            <w:vAlign w:val="bottom"/>
            <w:hideMark/>
          </w:tcPr>
          <w:p w14:paraId="6F1FF597"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Proceeds from exercise of warrants</w:t>
            </w:r>
          </w:p>
        </w:tc>
        <w:tc>
          <w:tcPr>
            <w:tcW w:w="267" w:type="dxa"/>
            <w:tcBorders>
              <w:top w:val="nil"/>
              <w:left w:val="nil"/>
              <w:bottom w:val="nil"/>
              <w:right w:val="nil"/>
            </w:tcBorders>
            <w:shd w:val="clear" w:color="auto" w:fill="auto"/>
            <w:noWrap/>
            <w:vAlign w:val="bottom"/>
            <w:hideMark/>
          </w:tcPr>
          <w:p w14:paraId="381D8E81"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60F0AD06"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16</w:t>
            </w:r>
          </w:p>
        </w:tc>
        <w:tc>
          <w:tcPr>
            <w:tcW w:w="267" w:type="dxa"/>
            <w:tcBorders>
              <w:top w:val="nil"/>
              <w:left w:val="nil"/>
              <w:bottom w:val="nil"/>
              <w:right w:val="nil"/>
            </w:tcBorders>
            <w:shd w:val="clear" w:color="auto" w:fill="auto"/>
            <w:noWrap/>
            <w:vAlign w:val="bottom"/>
            <w:hideMark/>
          </w:tcPr>
          <w:p w14:paraId="0C2AA7EF" w14:textId="77777777" w:rsidR="00576EC1" w:rsidRPr="00576EC1" w:rsidRDefault="00576EC1" w:rsidP="00E05E7C">
            <w:pPr>
              <w:jc w:val="right"/>
              <w:rPr>
                <w:rFonts w:ascii="Arial" w:hAnsi="Arial" w:cs="Arial"/>
                <w:color w:val="000000"/>
                <w:sz w:val="18"/>
                <w:szCs w:val="18"/>
              </w:rPr>
            </w:pPr>
          </w:p>
        </w:tc>
        <w:tc>
          <w:tcPr>
            <w:tcW w:w="1434" w:type="dxa"/>
            <w:tcBorders>
              <w:top w:val="nil"/>
              <w:left w:val="nil"/>
              <w:bottom w:val="nil"/>
              <w:right w:val="nil"/>
            </w:tcBorders>
            <w:shd w:val="clear" w:color="auto" w:fill="auto"/>
            <w:noWrap/>
            <w:vAlign w:val="bottom"/>
            <w:hideMark/>
          </w:tcPr>
          <w:p w14:paraId="5B792CC0"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446</w:t>
            </w:r>
          </w:p>
        </w:tc>
        <w:tc>
          <w:tcPr>
            <w:tcW w:w="1434" w:type="dxa"/>
            <w:tcBorders>
              <w:top w:val="nil"/>
              <w:left w:val="nil"/>
              <w:bottom w:val="nil"/>
              <w:right w:val="nil"/>
            </w:tcBorders>
            <w:shd w:val="clear" w:color="auto" w:fill="auto"/>
            <w:noWrap/>
            <w:vAlign w:val="bottom"/>
            <w:hideMark/>
          </w:tcPr>
          <w:p w14:paraId="52B6B30A"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133</w:t>
            </w:r>
          </w:p>
        </w:tc>
      </w:tr>
      <w:tr w:rsidR="00576EC1" w:rsidRPr="00576EC1" w14:paraId="242B107D"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74D3A935" w14:textId="77777777" w:rsidR="00576EC1" w:rsidRPr="00576EC1" w:rsidRDefault="00576EC1" w:rsidP="00576EC1">
            <w:pPr>
              <w:jc w:val="right"/>
              <w:rPr>
                <w:rFonts w:ascii="Arial" w:hAnsi="Arial" w:cs="Arial"/>
                <w:color w:val="000000"/>
                <w:sz w:val="18"/>
                <w:szCs w:val="18"/>
              </w:rPr>
            </w:pPr>
          </w:p>
        </w:tc>
        <w:tc>
          <w:tcPr>
            <w:tcW w:w="4876" w:type="dxa"/>
            <w:gridSpan w:val="2"/>
            <w:tcBorders>
              <w:top w:val="nil"/>
              <w:left w:val="nil"/>
              <w:bottom w:val="nil"/>
              <w:right w:val="nil"/>
            </w:tcBorders>
            <w:shd w:val="clear" w:color="auto" w:fill="auto"/>
            <w:noWrap/>
            <w:vAlign w:val="bottom"/>
            <w:hideMark/>
          </w:tcPr>
          <w:p w14:paraId="770F4D03"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Issuance of long-term debt</w:t>
            </w:r>
          </w:p>
        </w:tc>
        <w:tc>
          <w:tcPr>
            <w:tcW w:w="267" w:type="dxa"/>
            <w:tcBorders>
              <w:top w:val="nil"/>
              <w:left w:val="nil"/>
              <w:bottom w:val="nil"/>
              <w:right w:val="nil"/>
            </w:tcBorders>
            <w:shd w:val="clear" w:color="auto" w:fill="auto"/>
            <w:noWrap/>
            <w:vAlign w:val="bottom"/>
            <w:hideMark/>
          </w:tcPr>
          <w:p w14:paraId="210A688C"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27599176"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14</w:t>
            </w:r>
          </w:p>
        </w:tc>
        <w:tc>
          <w:tcPr>
            <w:tcW w:w="267" w:type="dxa"/>
            <w:tcBorders>
              <w:top w:val="nil"/>
              <w:left w:val="nil"/>
              <w:bottom w:val="nil"/>
              <w:right w:val="nil"/>
            </w:tcBorders>
            <w:shd w:val="clear" w:color="auto" w:fill="auto"/>
            <w:noWrap/>
            <w:vAlign w:val="bottom"/>
            <w:hideMark/>
          </w:tcPr>
          <w:p w14:paraId="322E2419" w14:textId="77777777" w:rsidR="00576EC1" w:rsidRPr="00576EC1" w:rsidRDefault="00576EC1" w:rsidP="00E05E7C">
            <w:pPr>
              <w:jc w:val="right"/>
              <w:rPr>
                <w:rFonts w:ascii="Arial" w:hAnsi="Arial" w:cs="Arial"/>
                <w:color w:val="000000"/>
                <w:sz w:val="18"/>
                <w:szCs w:val="18"/>
              </w:rPr>
            </w:pPr>
          </w:p>
        </w:tc>
        <w:tc>
          <w:tcPr>
            <w:tcW w:w="1434" w:type="dxa"/>
            <w:tcBorders>
              <w:top w:val="nil"/>
              <w:left w:val="nil"/>
              <w:bottom w:val="nil"/>
              <w:right w:val="nil"/>
            </w:tcBorders>
            <w:shd w:val="clear" w:color="auto" w:fill="auto"/>
            <w:noWrap/>
            <w:vAlign w:val="bottom"/>
            <w:hideMark/>
          </w:tcPr>
          <w:p w14:paraId="2F2BB0D2"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5,278</w:t>
            </w:r>
          </w:p>
        </w:tc>
        <w:tc>
          <w:tcPr>
            <w:tcW w:w="1434" w:type="dxa"/>
            <w:tcBorders>
              <w:top w:val="nil"/>
              <w:left w:val="nil"/>
              <w:bottom w:val="nil"/>
              <w:right w:val="nil"/>
            </w:tcBorders>
            <w:shd w:val="clear" w:color="auto" w:fill="auto"/>
            <w:noWrap/>
            <w:vAlign w:val="bottom"/>
            <w:hideMark/>
          </w:tcPr>
          <w:p w14:paraId="3A2B24AF"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600,000</w:t>
            </w:r>
          </w:p>
        </w:tc>
      </w:tr>
      <w:tr w:rsidR="00576EC1" w:rsidRPr="00576EC1" w14:paraId="013F4FF5"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232446C1" w14:textId="77777777" w:rsidR="00576EC1" w:rsidRPr="00576EC1" w:rsidRDefault="00576EC1" w:rsidP="00576EC1">
            <w:pPr>
              <w:jc w:val="right"/>
              <w:rPr>
                <w:rFonts w:ascii="Arial" w:hAnsi="Arial" w:cs="Arial"/>
                <w:color w:val="000000"/>
                <w:sz w:val="18"/>
                <w:szCs w:val="18"/>
              </w:rPr>
            </w:pPr>
          </w:p>
        </w:tc>
        <w:tc>
          <w:tcPr>
            <w:tcW w:w="4876" w:type="dxa"/>
            <w:gridSpan w:val="2"/>
            <w:tcBorders>
              <w:top w:val="nil"/>
              <w:left w:val="nil"/>
              <w:bottom w:val="nil"/>
              <w:right w:val="nil"/>
            </w:tcBorders>
            <w:shd w:val="clear" w:color="auto" w:fill="auto"/>
            <w:noWrap/>
            <w:vAlign w:val="bottom"/>
            <w:hideMark/>
          </w:tcPr>
          <w:p w14:paraId="41BB2E8F"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Payment of long-term debt issue costs</w:t>
            </w:r>
          </w:p>
        </w:tc>
        <w:tc>
          <w:tcPr>
            <w:tcW w:w="267" w:type="dxa"/>
            <w:tcBorders>
              <w:top w:val="nil"/>
              <w:left w:val="nil"/>
              <w:bottom w:val="nil"/>
              <w:right w:val="nil"/>
            </w:tcBorders>
            <w:shd w:val="clear" w:color="auto" w:fill="auto"/>
            <w:noWrap/>
            <w:vAlign w:val="bottom"/>
            <w:hideMark/>
          </w:tcPr>
          <w:p w14:paraId="44F5F2A0"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2A69B353"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14</w:t>
            </w:r>
          </w:p>
        </w:tc>
        <w:tc>
          <w:tcPr>
            <w:tcW w:w="267" w:type="dxa"/>
            <w:tcBorders>
              <w:top w:val="nil"/>
              <w:left w:val="nil"/>
              <w:bottom w:val="nil"/>
              <w:right w:val="nil"/>
            </w:tcBorders>
            <w:shd w:val="clear" w:color="auto" w:fill="auto"/>
            <w:noWrap/>
            <w:vAlign w:val="bottom"/>
            <w:hideMark/>
          </w:tcPr>
          <w:p w14:paraId="341150C5" w14:textId="77777777" w:rsidR="00576EC1" w:rsidRPr="00576EC1" w:rsidRDefault="00576EC1" w:rsidP="00E05E7C">
            <w:pPr>
              <w:jc w:val="right"/>
              <w:rPr>
                <w:rFonts w:ascii="Arial" w:hAnsi="Arial" w:cs="Arial"/>
                <w:color w:val="000000"/>
                <w:sz w:val="18"/>
                <w:szCs w:val="18"/>
              </w:rPr>
            </w:pPr>
          </w:p>
        </w:tc>
        <w:tc>
          <w:tcPr>
            <w:tcW w:w="1434" w:type="dxa"/>
            <w:tcBorders>
              <w:top w:val="nil"/>
              <w:left w:val="nil"/>
              <w:bottom w:val="nil"/>
              <w:right w:val="nil"/>
            </w:tcBorders>
            <w:shd w:val="clear" w:color="auto" w:fill="auto"/>
            <w:noWrap/>
            <w:vAlign w:val="bottom"/>
            <w:hideMark/>
          </w:tcPr>
          <w:p w14:paraId="17545256" w14:textId="0E7F924A"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w:t>
            </w:r>
          </w:p>
        </w:tc>
        <w:tc>
          <w:tcPr>
            <w:tcW w:w="1434" w:type="dxa"/>
            <w:tcBorders>
              <w:top w:val="nil"/>
              <w:left w:val="nil"/>
              <w:bottom w:val="nil"/>
              <w:right w:val="nil"/>
            </w:tcBorders>
            <w:shd w:val="clear" w:color="auto" w:fill="auto"/>
            <w:noWrap/>
            <w:vAlign w:val="bottom"/>
            <w:hideMark/>
          </w:tcPr>
          <w:p w14:paraId="18E76CA2"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(16,380)</w:t>
            </w:r>
          </w:p>
        </w:tc>
      </w:tr>
      <w:tr w:rsidR="00576EC1" w:rsidRPr="00576EC1" w14:paraId="047D27FB"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74EB19F5" w14:textId="77777777" w:rsidR="00576EC1" w:rsidRPr="00576EC1" w:rsidRDefault="00576EC1" w:rsidP="00576EC1">
            <w:pPr>
              <w:jc w:val="right"/>
              <w:rPr>
                <w:rFonts w:ascii="Arial" w:hAnsi="Arial" w:cs="Arial"/>
                <w:color w:val="000000"/>
                <w:sz w:val="18"/>
                <w:szCs w:val="18"/>
              </w:rPr>
            </w:pPr>
          </w:p>
        </w:tc>
        <w:tc>
          <w:tcPr>
            <w:tcW w:w="4876" w:type="dxa"/>
            <w:gridSpan w:val="2"/>
            <w:tcBorders>
              <w:top w:val="nil"/>
              <w:left w:val="nil"/>
              <w:bottom w:val="nil"/>
              <w:right w:val="nil"/>
            </w:tcBorders>
            <w:shd w:val="clear" w:color="auto" w:fill="auto"/>
            <w:noWrap/>
            <w:vAlign w:val="bottom"/>
            <w:hideMark/>
          </w:tcPr>
          <w:p w14:paraId="7A4FAF6F"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Payment of interest on long-term debt</w:t>
            </w:r>
          </w:p>
        </w:tc>
        <w:tc>
          <w:tcPr>
            <w:tcW w:w="267" w:type="dxa"/>
            <w:tcBorders>
              <w:top w:val="nil"/>
              <w:left w:val="nil"/>
              <w:bottom w:val="nil"/>
              <w:right w:val="nil"/>
            </w:tcBorders>
            <w:shd w:val="clear" w:color="auto" w:fill="auto"/>
            <w:noWrap/>
            <w:vAlign w:val="bottom"/>
            <w:hideMark/>
          </w:tcPr>
          <w:p w14:paraId="5E0A1C33"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44E8B980"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2F214FB3"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2BFB4498"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(12,750)</w:t>
            </w:r>
          </w:p>
        </w:tc>
        <w:tc>
          <w:tcPr>
            <w:tcW w:w="1434" w:type="dxa"/>
            <w:tcBorders>
              <w:top w:val="nil"/>
              <w:left w:val="nil"/>
              <w:bottom w:val="nil"/>
              <w:right w:val="nil"/>
            </w:tcBorders>
            <w:shd w:val="clear" w:color="auto" w:fill="auto"/>
            <w:noWrap/>
            <w:vAlign w:val="bottom"/>
            <w:hideMark/>
          </w:tcPr>
          <w:p w14:paraId="61834865" w14:textId="7C3841DD"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w:t>
            </w:r>
          </w:p>
        </w:tc>
      </w:tr>
      <w:tr w:rsidR="00576EC1" w:rsidRPr="00576EC1" w14:paraId="70CC7764" w14:textId="77777777" w:rsidTr="00C8482F">
        <w:trPr>
          <w:trHeight w:val="252"/>
          <w:jc w:val="center"/>
        </w:trPr>
        <w:tc>
          <w:tcPr>
            <w:tcW w:w="267" w:type="dxa"/>
            <w:tcBorders>
              <w:top w:val="nil"/>
              <w:left w:val="nil"/>
              <w:bottom w:val="single" w:sz="4" w:space="0" w:color="auto"/>
              <w:right w:val="nil"/>
            </w:tcBorders>
            <w:shd w:val="clear" w:color="auto" w:fill="auto"/>
            <w:noWrap/>
            <w:vAlign w:val="bottom"/>
            <w:hideMark/>
          </w:tcPr>
          <w:p w14:paraId="50738121"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4876" w:type="dxa"/>
            <w:gridSpan w:val="2"/>
            <w:tcBorders>
              <w:top w:val="nil"/>
              <w:left w:val="nil"/>
              <w:bottom w:val="single" w:sz="4" w:space="0" w:color="auto"/>
              <w:right w:val="nil"/>
            </w:tcBorders>
            <w:shd w:val="clear" w:color="auto" w:fill="auto"/>
            <w:noWrap/>
            <w:vAlign w:val="bottom"/>
            <w:hideMark/>
          </w:tcPr>
          <w:p w14:paraId="7A2DAA9F"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Repayment of long-term debt</w:t>
            </w:r>
          </w:p>
        </w:tc>
        <w:tc>
          <w:tcPr>
            <w:tcW w:w="267" w:type="dxa"/>
            <w:tcBorders>
              <w:top w:val="nil"/>
              <w:left w:val="nil"/>
              <w:bottom w:val="single" w:sz="4" w:space="0" w:color="auto"/>
              <w:right w:val="nil"/>
            </w:tcBorders>
            <w:shd w:val="clear" w:color="auto" w:fill="auto"/>
            <w:noWrap/>
            <w:vAlign w:val="bottom"/>
            <w:hideMark/>
          </w:tcPr>
          <w:p w14:paraId="44F79B95"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tcBorders>
              <w:top w:val="nil"/>
              <w:left w:val="nil"/>
              <w:bottom w:val="single" w:sz="4" w:space="0" w:color="auto"/>
              <w:right w:val="nil"/>
            </w:tcBorders>
            <w:shd w:val="clear" w:color="auto" w:fill="auto"/>
            <w:noWrap/>
            <w:vAlign w:val="bottom"/>
            <w:hideMark/>
          </w:tcPr>
          <w:p w14:paraId="6A188CDA"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14</w:t>
            </w:r>
          </w:p>
        </w:tc>
        <w:tc>
          <w:tcPr>
            <w:tcW w:w="267" w:type="dxa"/>
            <w:tcBorders>
              <w:top w:val="nil"/>
              <w:left w:val="nil"/>
              <w:bottom w:val="single" w:sz="4" w:space="0" w:color="auto"/>
              <w:right w:val="nil"/>
            </w:tcBorders>
            <w:shd w:val="clear" w:color="auto" w:fill="auto"/>
            <w:noWrap/>
            <w:vAlign w:val="bottom"/>
            <w:hideMark/>
          </w:tcPr>
          <w:p w14:paraId="4AE06C59"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tcBorders>
              <w:top w:val="nil"/>
              <w:left w:val="nil"/>
              <w:bottom w:val="single" w:sz="4" w:space="0" w:color="auto"/>
              <w:right w:val="nil"/>
            </w:tcBorders>
            <w:shd w:val="clear" w:color="auto" w:fill="auto"/>
            <w:noWrap/>
            <w:vAlign w:val="bottom"/>
            <w:hideMark/>
          </w:tcPr>
          <w:p w14:paraId="1EA9746A"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(104,282)</w:t>
            </w:r>
          </w:p>
        </w:tc>
        <w:tc>
          <w:tcPr>
            <w:tcW w:w="1434" w:type="dxa"/>
            <w:tcBorders>
              <w:top w:val="nil"/>
              <w:left w:val="nil"/>
              <w:bottom w:val="single" w:sz="4" w:space="0" w:color="auto"/>
              <w:right w:val="nil"/>
            </w:tcBorders>
            <w:shd w:val="clear" w:color="auto" w:fill="auto"/>
            <w:noWrap/>
            <w:vAlign w:val="bottom"/>
            <w:hideMark/>
          </w:tcPr>
          <w:p w14:paraId="65E3D76E"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(747)</w:t>
            </w:r>
          </w:p>
        </w:tc>
      </w:tr>
      <w:tr w:rsidR="00576EC1" w:rsidRPr="00576EC1" w14:paraId="0B0B0722" w14:textId="77777777" w:rsidTr="00C8482F">
        <w:trPr>
          <w:trHeight w:val="126"/>
          <w:jc w:val="center"/>
        </w:trPr>
        <w:tc>
          <w:tcPr>
            <w:tcW w:w="267" w:type="dxa"/>
            <w:tcBorders>
              <w:top w:val="nil"/>
              <w:left w:val="nil"/>
              <w:bottom w:val="nil"/>
              <w:right w:val="nil"/>
            </w:tcBorders>
            <w:shd w:val="clear" w:color="auto" w:fill="auto"/>
            <w:noWrap/>
            <w:vAlign w:val="bottom"/>
            <w:hideMark/>
          </w:tcPr>
          <w:p w14:paraId="6F0D2EC3" w14:textId="77777777" w:rsidR="00576EC1" w:rsidRPr="00576EC1" w:rsidRDefault="00576EC1" w:rsidP="00576EC1">
            <w:pPr>
              <w:jc w:val="right"/>
              <w:rPr>
                <w:rFonts w:ascii="Arial" w:hAnsi="Arial" w:cs="Arial"/>
                <w:color w:val="000000"/>
                <w:sz w:val="18"/>
                <w:szCs w:val="18"/>
              </w:rPr>
            </w:pPr>
          </w:p>
        </w:tc>
        <w:tc>
          <w:tcPr>
            <w:tcW w:w="267" w:type="dxa"/>
            <w:tcBorders>
              <w:top w:val="nil"/>
              <w:left w:val="nil"/>
              <w:bottom w:val="nil"/>
              <w:right w:val="nil"/>
            </w:tcBorders>
            <w:shd w:val="clear" w:color="auto" w:fill="auto"/>
            <w:noWrap/>
            <w:vAlign w:val="bottom"/>
            <w:hideMark/>
          </w:tcPr>
          <w:p w14:paraId="67C7DD5B" w14:textId="77777777" w:rsidR="00576EC1" w:rsidRPr="00576EC1" w:rsidRDefault="00576EC1" w:rsidP="00576EC1">
            <w:pPr>
              <w:rPr>
                <w:rFonts w:ascii="Arial" w:hAnsi="Arial" w:cs="Arial"/>
                <w:sz w:val="18"/>
                <w:szCs w:val="18"/>
              </w:rPr>
            </w:pPr>
          </w:p>
        </w:tc>
        <w:tc>
          <w:tcPr>
            <w:tcW w:w="4609" w:type="dxa"/>
            <w:tcBorders>
              <w:top w:val="nil"/>
              <w:left w:val="nil"/>
              <w:bottom w:val="nil"/>
              <w:right w:val="nil"/>
            </w:tcBorders>
            <w:shd w:val="clear" w:color="auto" w:fill="auto"/>
            <w:noWrap/>
            <w:vAlign w:val="bottom"/>
            <w:hideMark/>
          </w:tcPr>
          <w:p w14:paraId="7983E943" w14:textId="77777777" w:rsidR="00576EC1" w:rsidRPr="00576EC1" w:rsidRDefault="00576EC1" w:rsidP="00576EC1">
            <w:pPr>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54989D2F" w14:textId="77777777" w:rsidR="00576EC1" w:rsidRPr="00576EC1" w:rsidRDefault="00576EC1" w:rsidP="00576EC1">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14:paraId="7DD2F900"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21A7688B"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2E625392"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0D2CCEED" w14:textId="77777777" w:rsidR="00576EC1" w:rsidRPr="00576EC1" w:rsidRDefault="00576EC1" w:rsidP="00E05E7C">
            <w:pPr>
              <w:jc w:val="right"/>
              <w:rPr>
                <w:rFonts w:ascii="Arial" w:hAnsi="Arial" w:cs="Arial"/>
                <w:sz w:val="18"/>
                <w:szCs w:val="18"/>
              </w:rPr>
            </w:pPr>
          </w:p>
        </w:tc>
      </w:tr>
      <w:tr w:rsidR="00576EC1" w:rsidRPr="00576EC1" w14:paraId="48449027" w14:textId="77777777" w:rsidTr="00C8482F">
        <w:trPr>
          <w:trHeight w:val="252"/>
          <w:jc w:val="center"/>
        </w:trPr>
        <w:tc>
          <w:tcPr>
            <w:tcW w:w="5143" w:type="dxa"/>
            <w:gridSpan w:val="3"/>
            <w:tcBorders>
              <w:top w:val="nil"/>
              <w:left w:val="nil"/>
              <w:bottom w:val="nil"/>
              <w:right w:val="nil"/>
            </w:tcBorders>
            <w:shd w:val="clear" w:color="auto" w:fill="auto"/>
            <w:noWrap/>
            <w:vAlign w:val="bottom"/>
            <w:hideMark/>
          </w:tcPr>
          <w:p w14:paraId="411D5D32"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Net cash (used in) provided by financing activities</w:t>
            </w:r>
          </w:p>
        </w:tc>
        <w:tc>
          <w:tcPr>
            <w:tcW w:w="267" w:type="dxa"/>
            <w:tcBorders>
              <w:top w:val="nil"/>
              <w:left w:val="nil"/>
              <w:bottom w:val="nil"/>
              <w:right w:val="nil"/>
            </w:tcBorders>
            <w:shd w:val="clear" w:color="auto" w:fill="auto"/>
            <w:noWrap/>
            <w:vAlign w:val="bottom"/>
            <w:hideMark/>
          </w:tcPr>
          <w:p w14:paraId="1E8D29B2" w14:textId="77777777" w:rsidR="00576EC1" w:rsidRPr="00576EC1" w:rsidRDefault="00576EC1" w:rsidP="00576EC1">
            <w:pPr>
              <w:rPr>
                <w:rFonts w:ascii="Arial" w:hAnsi="Arial" w:cs="Arial"/>
                <w:b/>
                <w:bCs/>
                <w:color w:val="000000"/>
                <w:sz w:val="18"/>
                <w:szCs w:val="18"/>
              </w:rPr>
            </w:pPr>
          </w:p>
        </w:tc>
        <w:tc>
          <w:tcPr>
            <w:tcW w:w="687" w:type="dxa"/>
            <w:tcBorders>
              <w:top w:val="nil"/>
              <w:left w:val="nil"/>
              <w:bottom w:val="nil"/>
              <w:right w:val="nil"/>
            </w:tcBorders>
            <w:shd w:val="clear" w:color="auto" w:fill="auto"/>
            <w:noWrap/>
            <w:vAlign w:val="bottom"/>
            <w:hideMark/>
          </w:tcPr>
          <w:p w14:paraId="28856609"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20A82EFA"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6F1F0023"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(75,258)</w:t>
            </w:r>
          </w:p>
        </w:tc>
        <w:tc>
          <w:tcPr>
            <w:tcW w:w="1434" w:type="dxa"/>
            <w:tcBorders>
              <w:top w:val="nil"/>
              <w:left w:val="nil"/>
              <w:bottom w:val="nil"/>
              <w:right w:val="nil"/>
            </w:tcBorders>
            <w:shd w:val="clear" w:color="auto" w:fill="auto"/>
            <w:noWrap/>
            <w:vAlign w:val="bottom"/>
            <w:hideMark/>
          </w:tcPr>
          <w:p w14:paraId="13553E52"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681,031</w:t>
            </w:r>
          </w:p>
        </w:tc>
      </w:tr>
      <w:tr w:rsidR="00576EC1" w:rsidRPr="00576EC1" w14:paraId="781C2EA5"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095B0322" w14:textId="77777777" w:rsidR="00576EC1" w:rsidRPr="00576EC1" w:rsidRDefault="00576EC1" w:rsidP="00576EC1">
            <w:pPr>
              <w:jc w:val="right"/>
              <w:rPr>
                <w:rFonts w:ascii="Arial" w:hAnsi="Arial" w:cs="Arial"/>
                <w:color w:val="000000"/>
                <w:sz w:val="18"/>
                <w:szCs w:val="18"/>
              </w:rPr>
            </w:pPr>
          </w:p>
        </w:tc>
        <w:tc>
          <w:tcPr>
            <w:tcW w:w="267" w:type="dxa"/>
            <w:tcBorders>
              <w:top w:val="nil"/>
              <w:left w:val="nil"/>
              <w:bottom w:val="nil"/>
              <w:right w:val="nil"/>
            </w:tcBorders>
            <w:shd w:val="clear" w:color="auto" w:fill="auto"/>
            <w:noWrap/>
            <w:vAlign w:val="bottom"/>
            <w:hideMark/>
          </w:tcPr>
          <w:p w14:paraId="0393F676" w14:textId="77777777" w:rsidR="00576EC1" w:rsidRPr="00576EC1" w:rsidRDefault="00576EC1" w:rsidP="00576EC1">
            <w:pPr>
              <w:rPr>
                <w:rFonts w:ascii="Arial" w:hAnsi="Arial" w:cs="Arial"/>
                <w:sz w:val="18"/>
                <w:szCs w:val="18"/>
              </w:rPr>
            </w:pPr>
          </w:p>
        </w:tc>
        <w:tc>
          <w:tcPr>
            <w:tcW w:w="4609" w:type="dxa"/>
            <w:tcBorders>
              <w:top w:val="nil"/>
              <w:left w:val="nil"/>
              <w:bottom w:val="nil"/>
              <w:right w:val="nil"/>
            </w:tcBorders>
            <w:shd w:val="clear" w:color="auto" w:fill="auto"/>
            <w:noWrap/>
            <w:vAlign w:val="bottom"/>
            <w:hideMark/>
          </w:tcPr>
          <w:p w14:paraId="5E62CECD" w14:textId="77777777" w:rsidR="00576EC1" w:rsidRPr="00576EC1" w:rsidRDefault="00576EC1" w:rsidP="00576EC1">
            <w:pPr>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0FA488AF" w14:textId="77777777" w:rsidR="00576EC1" w:rsidRPr="00576EC1" w:rsidRDefault="00576EC1" w:rsidP="00576EC1">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14:paraId="361C5EDE"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79703473"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60991CC2"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6CF1176A" w14:textId="77777777" w:rsidR="00576EC1" w:rsidRPr="00576EC1" w:rsidRDefault="00576EC1" w:rsidP="00E05E7C">
            <w:pPr>
              <w:jc w:val="right"/>
              <w:rPr>
                <w:rFonts w:ascii="Arial" w:hAnsi="Arial" w:cs="Arial"/>
                <w:sz w:val="18"/>
                <w:szCs w:val="18"/>
              </w:rPr>
            </w:pPr>
          </w:p>
        </w:tc>
      </w:tr>
      <w:tr w:rsidR="00576EC1" w:rsidRPr="00576EC1" w14:paraId="2A494564" w14:textId="77777777" w:rsidTr="00C8482F">
        <w:trPr>
          <w:trHeight w:val="252"/>
          <w:jc w:val="center"/>
        </w:trPr>
        <w:tc>
          <w:tcPr>
            <w:tcW w:w="5143" w:type="dxa"/>
            <w:gridSpan w:val="3"/>
            <w:tcBorders>
              <w:top w:val="nil"/>
              <w:left w:val="nil"/>
              <w:bottom w:val="single" w:sz="4" w:space="0" w:color="auto"/>
              <w:right w:val="nil"/>
            </w:tcBorders>
            <w:shd w:val="clear" w:color="auto" w:fill="auto"/>
            <w:noWrap/>
            <w:vAlign w:val="bottom"/>
            <w:hideMark/>
          </w:tcPr>
          <w:p w14:paraId="6C367AE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Effect of exchange rate changes on cash and cash equivalents</w:t>
            </w:r>
          </w:p>
        </w:tc>
        <w:tc>
          <w:tcPr>
            <w:tcW w:w="267" w:type="dxa"/>
            <w:tcBorders>
              <w:top w:val="nil"/>
              <w:left w:val="nil"/>
              <w:bottom w:val="single" w:sz="4" w:space="0" w:color="auto"/>
              <w:right w:val="nil"/>
            </w:tcBorders>
            <w:shd w:val="clear" w:color="auto" w:fill="auto"/>
            <w:noWrap/>
            <w:vAlign w:val="bottom"/>
            <w:hideMark/>
          </w:tcPr>
          <w:p w14:paraId="0116FA92"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tcBorders>
              <w:top w:val="nil"/>
              <w:left w:val="nil"/>
              <w:bottom w:val="single" w:sz="4" w:space="0" w:color="auto"/>
              <w:right w:val="nil"/>
            </w:tcBorders>
            <w:shd w:val="clear" w:color="auto" w:fill="auto"/>
            <w:noWrap/>
            <w:vAlign w:val="bottom"/>
            <w:hideMark/>
          </w:tcPr>
          <w:p w14:paraId="69975B20"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267" w:type="dxa"/>
            <w:tcBorders>
              <w:top w:val="nil"/>
              <w:left w:val="nil"/>
              <w:bottom w:val="single" w:sz="4" w:space="0" w:color="auto"/>
              <w:right w:val="nil"/>
            </w:tcBorders>
            <w:shd w:val="clear" w:color="auto" w:fill="auto"/>
            <w:noWrap/>
            <w:vAlign w:val="bottom"/>
            <w:hideMark/>
          </w:tcPr>
          <w:p w14:paraId="6E8FBB48"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tcBorders>
              <w:top w:val="nil"/>
              <w:left w:val="nil"/>
              <w:bottom w:val="single" w:sz="4" w:space="0" w:color="auto"/>
              <w:right w:val="nil"/>
            </w:tcBorders>
            <w:shd w:val="clear" w:color="auto" w:fill="auto"/>
            <w:noWrap/>
            <w:vAlign w:val="bottom"/>
            <w:hideMark/>
          </w:tcPr>
          <w:p w14:paraId="1B10AA9A"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(8,305)</w:t>
            </w:r>
          </w:p>
        </w:tc>
        <w:tc>
          <w:tcPr>
            <w:tcW w:w="1434" w:type="dxa"/>
            <w:tcBorders>
              <w:top w:val="nil"/>
              <w:left w:val="nil"/>
              <w:bottom w:val="single" w:sz="4" w:space="0" w:color="auto"/>
              <w:right w:val="nil"/>
            </w:tcBorders>
            <w:shd w:val="clear" w:color="auto" w:fill="auto"/>
            <w:noWrap/>
            <w:vAlign w:val="bottom"/>
            <w:hideMark/>
          </w:tcPr>
          <w:p w14:paraId="696D89B8" w14:textId="69C41A03"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w:t>
            </w:r>
          </w:p>
        </w:tc>
      </w:tr>
      <w:tr w:rsidR="00576EC1" w:rsidRPr="00576EC1" w14:paraId="7CF27006"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57F7D63B" w14:textId="77777777" w:rsidR="00576EC1" w:rsidRPr="00576EC1" w:rsidRDefault="00576EC1" w:rsidP="00576EC1">
            <w:pPr>
              <w:rPr>
                <w:rFonts w:ascii="Arial" w:hAnsi="Arial" w:cs="Arial"/>
                <w:color w:val="000000"/>
                <w:sz w:val="18"/>
                <w:szCs w:val="18"/>
              </w:rPr>
            </w:pPr>
          </w:p>
        </w:tc>
        <w:tc>
          <w:tcPr>
            <w:tcW w:w="267" w:type="dxa"/>
            <w:tcBorders>
              <w:top w:val="nil"/>
              <w:left w:val="nil"/>
              <w:bottom w:val="nil"/>
              <w:right w:val="nil"/>
            </w:tcBorders>
            <w:shd w:val="clear" w:color="auto" w:fill="auto"/>
            <w:noWrap/>
            <w:vAlign w:val="bottom"/>
            <w:hideMark/>
          </w:tcPr>
          <w:p w14:paraId="59E28B85" w14:textId="77777777" w:rsidR="00576EC1" w:rsidRPr="00576EC1" w:rsidRDefault="00576EC1" w:rsidP="00576EC1">
            <w:pPr>
              <w:rPr>
                <w:rFonts w:ascii="Arial" w:hAnsi="Arial" w:cs="Arial"/>
                <w:sz w:val="18"/>
                <w:szCs w:val="18"/>
              </w:rPr>
            </w:pPr>
          </w:p>
        </w:tc>
        <w:tc>
          <w:tcPr>
            <w:tcW w:w="4609" w:type="dxa"/>
            <w:tcBorders>
              <w:top w:val="nil"/>
              <w:left w:val="nil"/>
              <w:bottom w:val="nil"/>
              <w:right w:val="nil"/>
            </w:tcBorders>
            <w:shd w:val="clear" w:color="auto" w:fill="auto"/>
            <w:noWrap/>
            <w:vAlign w:val="bottom"/>
            <w:hideMark/>
          </w:tcPr>
          <w:p w14:paraId="630F5158" w14:textId="77777777" w:rsidR="00576EC1" w:rsidRPr="00576EC1" w:rsidRDefault="00576EC1" w:rsidP="00576EC1">
            <w:pPr>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5DB0899D" w14:textId="77777777" w:rsidR="00576EC1" w:rsidRPr="00576EC1" w:rsidRDefault="00576EC1" w:rsidP="00576EC1">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14:paraId="589C3469"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7B937AF4"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63E0E889"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4645C063" w14:textId="77777777" w:rsidR="00576EC1" w:rsidRPr="00576EC1" w:rsidRDefault="00576EC1" w:rsidP="00E05E7C">
            <w:pPr>
              <w:jc w:val="right"/>
              <w:rPr>
                <w:rFonts w:ascii="Arial" w:hAnsi="Arial" w:cs="Arial"/>
                <w:sz w:val="18"/>
                <w:szCs w:val="18"/>
              </w:rPr>
            </w:pPr>
          </w:p>
        </w:tc>
      </w:tr>
      <w:tr w:rsidR="00576EC1" w:rsidRPr="00576EC1" w14:paraId="7F8A0C58" w14:textId="77777777" w:rsidTr="00C8482F">
        <w:trPr>
          <w:trHeight w:val="252"/>
          <w:jc w:val="center"/>
        </w:trPr>
        <w:tc>
          <w:tcPr>
            <w:tcW w:w="5143" w:type="dxa"/>
            <w:gridSpan w:val="3"/>
            <w:tcBorders>
              <w:top w:val="nil"/>
              <w:left w:val="nil"/>
              <w:bottom w:val="nil"/>
              <w:right w:val="nil"/>
            </w:tcBorders>
            <w:shd w:val="clear" w:color="auto" w:fill="auto"/>
            <w:noWrap/>
            <w:vAlign w:val="bottom"/>
            <w:hideMark/>
          </w:tcPr>
          <w:p w14:paraId="7BC0A31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Net cash (outflow) inflow</w:t>
            </w:r>
          </w:p>
        </w:tc>
        <w:tc>
          <w:tcPr>
            <w:tcW w:w="267" w:type="dxa"/>
            <w:tcBorders>
              <w:top w:val="nil"/>
              <w:left w:val="nil"/>
              <w:bottom w:val="nil"/>
              <w:right w:val="nil"/>
            </w:tcBorders>
            <w:shd w:val="clear" w:color="auto" w:fill="auto"/>
            <w:noWrap/>
            <w:vAlign w:val="bottom"/>
            <w:hideMark/>
          </w:tcPr>
          <w:p w14:paraId="283EA95D" w14:textId="77777777" w:rsidR="00576EC1" w:rsidRPr="00576EC1" w:rsidRDefault="00576EC1" w:rsidP="00576EC1">
            <w:pPr>
              <w:rPr>
                <w:rFonts w:ascii="Arial" w:hAnsi="Arial" w:cs="Arial"/>
                <w:color w:val="000000"/>
                <w:sz w:val="18"/>
                <w:szCs w:val="18"/>
              </w:rPr>
            </w:pPr>
          </w:p>
        </w:tc>
        <w:tc>
          <w:tcPr>
            <w:tcW w:w="687" w:type="dxa"/>
            <w:tcBorders>
              <w:top w:val="nil"/>
              <w:left w:val="nil"/>
              <w:bottom w:val="nil"/>
              <w:right w:val="nil"/>
            </w:tcBorders>
            <w:shd w:val="clear" w:color="auto" w:fill="auto"/>
            <w:noWrap/>
            <w:vAlign w:val="bottom"/>
            <w:hideMark/>
          </w:tcPr>
          <w:p w14:paraId="06F42B2E"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602947BF"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2AB24188"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(1,378,366)</w:t>
            </w:r>
          </w:p>
        </w:tc>
        <w:tc>
          <w:tcPr>
            <w:tcW w:w="1434" w:type="dxa"/>
            <w:tcBorders>
              <w:top w:val="nil"/>
              <w:left w:val="nil"/>
              <w:bottom w:val="nil"/>
              <w:right w:val="nil"/>
            </w:tcBorders>
            <w:shd w:val="clear" w:color="auto" w:fill="auto"/>
            <w:noWrap/>
            <w:vAlign w:val="bottom"/>
            <w:hideMark/>
          </w:tcPr>
          <w:p w14:paraId="1388BB67"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106,841</w:t>
            </w:r>
          </w:p>
        </w:tc>
      </w:tr>
      <w:tr w:rsidR="00576EC1" w:rsidRPr="00576EC1" w14:paraId="5F622B40" w14:textId="77777777" w:rsidTr="00C8482F">
        <w:trPr>
          <w:trHeight w:val="252"/>
          <w:jc w:val="center"/>
        </w:trPr>
        <w:tc>
          <w:tcPr>
            <w:tcW w:w="5143" w:type="dxa"/>
            <w:gridSpan w:val="3"/>
            <w:tcBorders>
              <w:top w:val="nil"/>
              <w:left w:val="nil"/>
              <w:bottom w:val="single" w:sz="4" w:space="0" w:color="auto"/>
              <w:right w:val="nil"/>
            </w:tcBorders>
            <w:shd w:val="clear" w:color="auto" w:fill="auto"/>
            <w:noWrap/>
            <w:vAlign w:val="bottom"/>
            <w:hideMark/>
          </w:tcPr>
          <w:p w14:paraId="6E08996E"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Cash and cash equivalents, beginning of period</w:t>
            </w:r>
          </w:p>
        </w:tc>
        <w:tc>
          <w:tcPr>
            <w:tcW w:w="267" w:type="dxa"/>
            <w:tcBorders>
              <w:top w:val="nil"/>
              <w:left w:val="nil"/>
              <w:bottom w:val="single" w:sz="4" w:space="0" w:color="auto"/>
              <w:right w:val="nil"/>
            </w:tcBorders>
            <w:shd w:val="clear" w:color="auto" w:fill="auto"/>
            <w:noWrap/>
            <w:vAlign w:val="bottom"/>
            <w:hideMark/>
          </w:tcPr>
          <w:p w14:paraId="5AF30EC4"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tcBorders>
              <w:top w:val="nil"/>
              <w:left w:val="nil"/>
              <w:bottom w:val="single" w:sz="4" w:space="0" w:color="auto"/>
              <w:right w:val="nil"/>
            </w:tcBorders>
            <w:shd w:val="clear" w:color="auto" w:fill="auto"/>
            <w:noWrap/>
            <w:vAlign w:val="bottom"/>
            <w:hideMark/>
          </w:tcPr>
          <w:p w14:paraId="398A4E25"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267" w:type="dxa"/>
            <w:tcBorders>
              <w:top w:val="nil"/>
              <w:left w:val="nil"/>
              <w:bottom w:val="single" w:sz="4" w:space="0" w:color="auto"/>
              <w:right w:val="nil"/>
            </w:tcBorders>
            <w:shd w:val="clear" w:color="auto" w:fill="auto"/>
            <w:noWrap/>
            <w:vAlign w:val="bottom"/>
            <w:hideMark/>
          </w:tcPr>
          <w:p w14:paraId="09E4AC39"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tcBorders>
              <w:top w:val="nil"/>
              <w:left w:val="nil"/>
              <w:bottom w:val="single" w:sz="4" w:space="0" w:color="auto"/>
              <w:right w:val="nil"/>
            </w:tcBorders>
            <w:shd w:val="clear" w:color="auto" w:fill="auto"/>
            <w:noWrap/>
            <w:vAlign w:val="bottom"/>
            <w:hideMark/>
          </w:tcPr>
          <w:p w14:paraId="24AFC4D3"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2,480,830</w:t>
            </w:r>
          </w:p>
        </w:tc>
        <w:tc>
          <w:tcPr>
            <w:tcW w:w="1434" w:type="dxa"/>
            <w:tcBorders>
              <w:top w:val="nil"/>
              <w:left w:val="nil"/>
              <w:bottom w:val="single" w:sz="4" w:space="0" w:color="auto"/>
              <w:right w:val="nil"/>
            </w:tcBorders>
            <w:shd w:val="clear" w:color="auto" w:fill="auto"/>
            <w:noWrap/>
            <w:vAlign w:val="bottom"/>
            <w:hideMark/>
          </w:tcPr>
          <w:p w14:paraId="061E9C63"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322,560</w:t>
            </w:r>
          </w:p>
        </w:tc>
      </w:tr>
      <w:tr w:rsidR="00576EC1" w:rsidRPr="00576EC1" w14:paraId="143C84AE" w14:textId="77777777" w:rsidTr="00C8482F">
        <w:trPr>
          <w:trHeight w:val="252"/>
          <w:jc w:val="center"/>
        </w:trPr>
        <w:tc>
          <w:tcPr>
            <w:tcW w:w="267" w:type="dxa"/>
            <w:tcBorders>
              <w:top w:val="nil"/>
              <w:left w:val="nil"/>
              <w:bottom w:val="nil"/>
              <w:right w:val="nil"/>
            </w:tcBorders>
            <w:shd w:val="clear" w:color="auto" w:fill="auto"/>
            <w:noWrap/>
            <w:vAlign w:val="bottom"/>
            <w:hideMark/>
          </w:tcPr>
          <w:p w14:paraId="5422134F" w14:textId="77777777" w:rsidR="00576EC1" w:rsidRPr="00576EC1" w:rsidRDefault="00576EC1" w:rsidP="00576EC1">
            <w:pPr>
              <w:jc w:val="right"/>
              <w:rPr>
                <w:rFonts w:ascii="Arial" w:hAnsi="Arial" w:cs="Arial"/>
                <w:color w:val="000000"/>
                <w:sz w:val="18"/>
                <w:szCs w:val="18"/>
              </w:rPr>
            </w:pPr>
          </w:p>
        </w:tc>
        <w:tc>
          <w:tcPr>
            <w:tcW w:w="267" w:type="dxa"/>
            <w:tcBorders>
              <w:top w:val="nil"/>
              <w:left w:val="nil"/>
              <w:bottom w:val="nil"/>
              <w:right w:val="nil"/>
            </w:tcBorders>
            <w:shd w:val="clear" w:color="auto" w:fill="auto"/>
            <w:noWrap/>
            <w:vAlign w:val="bottom"/>
            <w:hideMark/>
          </w:tcPr>
          <w:p w14:paraId="3A4BAE78" w14:textId="77777777" w:rsidR="00576EC1" w:rsidRPr="00576EC1" w:rsidRDefault="00576EC1" w:rsidP="00576EC1">
            <w:pPr>
              <w:rPr>
                <w:rFonts w:ascii="Arial" w:hAnsi="Arial" w:cs="Arial"/>
                <w:sz w:val="18"/>
                <w:szCs w:val="18"/>
              </w:rPr>
            </w:pPr>
          </w:p>
        </w:tc>
        <w:tc>
          <w:tcPr>
            <w:tcW w:w="4609" w:type="dxa"/>
            <w:tcBorders>
              <w:top w:val="nil"/>
              <w:left w:val="nil"/>
              <w:bottom w:val="nil"/>
              <w:right w:val="nil"/>
            </w:tcBorders>
            <w:shd w:val="clear" w:color="auto" w:fill="auto"/>
            <w:noWrap/>
            <w:vAlign w:val="bottom"/>
            <w:hideMark/>
          </w:tcPr>
          <w:p w14:paraId="0470F33C" w14:textId="77777777" w:rsidR="00576EC1" w:rsidRPr="00576EC1" w:rsidRDefault="00576EC1" w:rsidP="00576EC1">
            <w:pPr>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7C2FFCC4" w14:textId="77777777" w:rsidR="00576EC1" w:rsidRPr="00576EC1" w:rsidRDefault="00576EC1" w:rsidP="00576EC1">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14:paraId="5800DF57" w14:textId="77777777" w:rsidR="00576EC1" w:rsidRPr="00576EC1" w:rsidRDefault="00576EC1" w:rsidP="00E05E7C">
            <w:pPr>
              <w:jc w:val="right"/>
              <w:rPr>
                <w:rFonts w:ascii="Arial" w:hAnsi="Arial" w:cs="Arial"/>
                <w:sz w:val="18"/>
                <w:szCs w:val="18"/>
              </w:rPr>
            </w:pPr>
          </w:p>
        </w:tc>
        <w:tc>
          <w:tcPr>
            <w:tcW w:w="267" w:type="dxa"/>
            <w:tcBorders>
              <w:top w:val="nil"/>
              <w:left w:val="nil"/>
              <w:bottom w:val="nil"/>
              <w:right w:val="nil"/>
            </w:tcBorders>
            <w:shd w:val="clear" w:color="auto" w:fill="auto"/>
            <w:noWrap/>
            <w:vAlign w:val="bottom"/>
            <w:hideMark/>
          </w:tcPr>
          <w:p w14:paraId="3484FB6D"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6CAE50DF" w14:textId="77777777" w:rsidR="00576EC1" w:rsidRPr="00576EC1" w:rsidRDefault="00576EC1" w:rsidP="00E05E7C">
            <w:pPr>
              <w:jc w:val="right"/>
              <w:rPr>
                <w:rFonts w:ascii="Arial" w:hAnsi="Arial" w:cs="Arial"/>
                <w:sz w:val="18"/>
                <w:szCs w:val="18"/>
              </w:rPr>
            </w:pPr>
          </w:p>
        </w:tc>
        <w:tc>
          <w:tcPr>
            <w:tcW w:w="1434" w:type="dxa"/>
            <w:tcBorders>
              <w:top w:val="nil"/>
              <w:left w:val="nil"/>
              <w:bottom w:val="nil"/>
              <w:right w:val="nil"/>
            </w:tcBorders>
            <w:shd w:val="clear" w:color="auto" w:fill="auto"/>
            <w:noWrap/>
            <w:vAlign w:val="bottom"/>
            <w:hideMark/>
          </w:tcPr>
          <w:p w14:paraId="766177C4" w14:textId="77777777" w:rsidR="00576EC1" w:rsidRPr="00576EC1" w:rsidRDefault="00576EC1" w:rsidP="00E05E7C">
            <w:pPr>
              <w:jc w:val="right"/>
              <w:rPr>
                <w:rFonts w:ascii="Arial" w:hAnsi="Arial" w:cs="Arial"/>
                <w:sz w:val="18"/>
                <w:szCs w:val="18"/>
              </w:rPr>
            </w:pPr>
          </w:p>
        </w:tc>
      </w:tr>
      <w:tr w:rsidR="00576EC1" w:rsidRPr="00576EC1" w14:paraId="05E1CC65" w14:textId="77777777" w:rsidTr="00C8482F">
        <w:trPr>
          <w:trHeight w:val="252"/>
          <w:jc w:val="center"/>
        </w:trPr>
        <w:tc>
          <w:tcPr>
            <w:tcW w:w="5143" w:type="dxa"/>
            <w:gridSpan w:val="3"/>
            <w:tcBorders>
              <w:top w:val="nil"/>
              <w:left w:val="nil"/>
              <w:bottom w:val="single" w:sz="4" w:space="0" w:color="auto"/>
              <w:right w:val="nil"/>
            </w:tcBorders>
            <w:shd w:val="clear" w:color="auto" w:fill="auto"/>
            <w:noWrap/>
            <w:vAlign w:val="bottom"/>
            <w:hideMark/>
          </w:tcPr>
          <w:p w14:paraId="70BABF08" w14:textId="77777777" w:rsidR="00576EC1" w:rsidRPr="00576EC1" w:rsidRDefault="00576EC1" w:rsidP="00576EC1">
            <w:pPr>
              <w:rPr>
                <w:rFonts w:ascii="Arial" w:hAnsi="Arial" w:cs="Arial"/>
                <w:b/>
                <w:bCs/>
                <w:color w:val="000000"/>
                <w:sz w:val="18"/>
                <w:szCs w:val="18"/>
              </w:rPr>
            </w:pPr>
            <w:r w:rsidRPr="00576EC1">
              <w:rPr>
                <w:rFonts w:ascii="Arial" w:hAnsi="Arial" w:cs="Arial"/>
                <w:b/>
                <w:bCs/>
                <w:color w:val="000000"/>
                <w:sz w:val="18"/>
                <w:szCs w:val="18"/>
              </w:rPr>
              <w:t>Cash and cash equivalents, end of period</w:t>
            </w:r>
          </w:p>
        </w:tc>
        <w:tc>
          <w:tcPr>
            <w:tcW w:w="267" w:type="dxa"/>
            <w:tcBorders>
              <w:top w:val="nil"/>
              <w:left w:val="nil"/>
              <w:bottom w:val="single" w:sz="4" w:space="0" w:color="auto"/>
              <w:right w:val="nil"/>
            </w:tcBorders>
            <w:shd w:val="clear" w:color="auto" w:fill="auto"/>
            <w:noWrap/>
            <w:vAlign w:val="bottom"/>
            <w:hideMark/>
          </w:tcPr>
          <w:p w14:paraId="473F7C1C" w14:textId="77777777" w:rsidR="00576EC1" w:rsidRPr="00576EC1" w:rsidRDefault="00576EC1" w:rsidP="00576EC1">
            <w:pPr>
              <w:rPr>
                <w:rFonts w:ascii="Arial" w:hAnsi="Arial" w:cs="Arial"/>
                <w:color w:val="000000"/>
                <w:sz w:val="18"/>
                <w:szCs w:val="18"/>
              </w:rPr>
            </w:pPr>
            <w:r w:rsidRPr="00576EC1">
              <w:rPr>
                <w:rFonts w:ascii="Arial" w:hAnsi="Arial" w:cs="Arial"/>
                <w:color w:val="000000"/>
                <w:sz w:val="18"/>
                <w:szCs w:val="18"/>
              </w:rPr>
              <w:t> </w:t>
            </w:r>
          </w:p>
        </w:tc>
        <w:tc>
          <w:tcPr>
            <w:tcW w:w="687" w:type="dxa"/>
            <w:tcBorders>
              <w:top w:val="nil"/>
              <w:left w:val="nil"/>
              <w:bottom w:val="single" w:sz="4" w:space="0" w:color="auto"/>
              <w:right w:val="nil"/>
            </w:tcBorders>
            <w:shd w:val="clear" w:color="auto" w:fill="auto"/>
            <w:noWrap/>
            <w:vAlign w:val="bottom"/>
            <w:hideMark/>
          </w:tcPr>
          <w:p w14:paraId="69890EB8"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267" w:type="dxa"/>
            <w:tcBorders>
              <w:top w:val="nil"/>
              <w:left w:val="nil"/>
              <w:bottom w:val="single" w:sz="4" w:space="0" w:color="auto"/>
              <w:right w:val="nil"/>
            </w:tcBorders>
            <w:shd w:val="clear" w:color="auto" w:fill="auto"/>
            <w:noWrap/>
            <w:vAlign w:val="bottom"/>
            <w:hideMark/>
          </w:tcPr>
          <w:p w14:paraId="4A068CCC"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 </w:t>
            </w:r>
          </w:p>
        </w:tc>
        <w:tc>
          <w:tcPr>
            <w:tcW w:w="1434" w:type="dxa"/>
            <w:tcBorders>
              <w:top w:val="nil"/>
              <w:left w:val="nil"/>
              <w:bottom w:val="single" w:sz="4" w:space="0" w:color="auto"/>
              <w:right w:val="nil"/>
            </w:tcBorders>
            <w:shd w:val="clear" w:color="auto" w:fill="auto"/>
            <w:noWrap/>
            <w:vAlign w:val="bottom"/>
            <w:hideMark/>
          </w:tcPr>
          <w:p w14:paraId="785453C9" w14:textId="77777777" w:rsidR="00576EC1" w:rsidRPr="00576EC1" w:rsidRDefault="00576EC1" w:rsidP="00E05E7C">
            <w:pPr>
              <w:jc w:val="right"/>
              <w:rPr>
                <w:rFonts w:ascii="Arial" w:hAnsi="Arial" w:cs="Arial"/>
                <w:b/>
                <w:bCs/>
                <w:color w:val="000000"/>
                <w:sz w:val="18"/>
                <w:szCs w:val="18"/>
              </w:rPr>
            </w:pPr>
            <w:r w:rsidRPr="00576EC1">
              <w:rPr>
                <w:rFonts w:ascii="Arial" w:hAnsi="Arial" w:cs="Arial"/>
                <w:b/>
                <w:bCs/>
                <w:color w:val="000000"/>
                <w:sz w:val="18"/>
                <w:szCs w:val="18"/>
              </w:rPr>
              <w:t>1,102,464</w:t>
            </w:r>
          </w:p>
        </w:tc>
        <w:tc>
          <w:tcPr>
            <w:tcW w:w="1434" w:type="dxa"/>
            <w:tcBorders>
              <w:top w:val="nil"/>
              <w:left w:val="nil"/>
              <w:bottom w:val="single" w:sz="4" w:space="0" w:color="auto"/>
              <w:right w:val="nil"/>
            </w:tcBorders>
            <w:shd w:val="clear" w:color="auto" w:fill="auto"/>
            <w:noWrap/>
            <w:vAlign w:val="bottom"/>
            <w:hideMark/>
          </w:tcPr>
          <w:p w14:paraId="561F3284" w14:textId="77777777" w:rsidR="00576EC1" w:rsidRPr="00576EC1" w:rsidRDefault="00576EC1" w:rsidP="00E05E7C">
            <w:pPr>
              <w:jc w:val="right"/>
              <w:rPr>
                <w:rFonts w:ascii="Arial" w:hAnsi="Arial" w:cs="Arial"/>
                <w:color w:val="000000"/>
                <w:sz w:val="18"/>
                <w:szCs w:val="18"/>
              </w:rPr>
            </w:pPr>
            <w:r w:rsidRPr="00576EC1">
              <w:rPr>
                <w:rFonts w:ascii="Arial" w:hAnsi="Arial" w:cs="Arial"/>
                <w:color w:val="000000"/>
                <w:sz w:val="18"/>
                <w:szCs w:val="18"/>
              </w:rPr>
              <w:t>429,401</w:t>
            </w:r>
          </w:p>
        </w:tc>
      </w:tr>
    </w:tbl>
    <w:p w14:paraId="26A4529C" w14:textId="5E9AC872" w:rsidR="00FD58C4" w:rsidRPr="00E94AD0" w:rsidRDefault="00FD58C4" w:rsidP="00D10C17">
      <w:pPr>
        <w:pStyle w:val="Casehead1"/>
        <w:rPr>
          <w:lang w:val="en-GB"/>
        </w:rPr>
      </w:pPr>
    </w:p>
    <w:p w14:paraId="4EE76303" w14:textId="77777777" w:rsidR="00A022C4" w:rsidRDefault="00A022C4" w:rsidP="00A022C4">
      <w:pPr>
        <w:pStyle w:val="Footnote"/>
        <w:rPr>
          <w:lang w:val="en-GB"/>
        </w:rPr>
      </w:pPr>
    </w:p>
    <w:p w14:paraId="2D62A80A" w14:textId="5866E578" w:rsidR="00FD58C4" w:rsidRPr="00E94AD0" w:rsidRDefault="00A022C4" w:rsidP="00A022C4">
      <w:pPr>
        <w:pStyle w:val="Footnote"/>
        <w:rPr>
          <w:b/>
          <w:caps/>
          <w:lang w:val="en-GB"/>
        </w:rPr>
      </w:pPr>
      <w:r>
        <w:rPr>
          <w:lang w:val="en-GB"/>
        </w:rPr>
        <w:t xml:space="preserve">Source: </w:t>
      </w:r>
      <w:r w:rsidR="009D6DBF">
        <w:t xml:space="preserve">Canopy Growth Corporation, </w:t>
      </w:r>
      <w:r w:rsidR="009D6DBF" w:rsidRPr="00136023">
        <w:rPr>
          <w:i/>
          <w:iCs/>
        </w:rPr>
        <w:t>Condensed Interim Consolidated Financial Statements (Unaudited) for the Three and Six Months Ended September 30, 2019 and 2018</w:t>
      </w:r>
      <w:r w:rsidR="008A5F44">
        <w:rPr>
          <w:i/>
          <w:iCs/>
        </w:rPr>
        <w:t xml:space="preserve"> (in Canadian Dollars)</w:t>
      </w:r>
      <w:r w:rsidR="009D6DBF">
        <w:t>,</w:t>
      </w:r>
      <w:r w:rsidR="008A5F44">
        <w:t xml:space="preserve"> 1–5, </w:t>
      </w:r>
      <w:r w:rsidR="009D6DBF">
        <w:t>accessed July 25, 2020</w:t>
      </w:r>
      <w:r>
        <w:t xml:space="preserve">, </w:t>
      </w:r>
      <w:r w:rsidRPr="00A022C4">
        <w:t>www.canopygrowth.com/wp-content/uploads/2020/06/Q2-FY2020-Financial-Statements-Final.pdf</w:t>
      </w:r>
      <w:r>
        <w:t xml:space="preserve">. </w:t>
      </w:r>
    </w:p>
    <w:p w14:paraId="3C79FAC4" w14:textId="77777777" w:rsidR="00A022C4" w:rsidRDefault="00A022C4">
      <w:pPr>
        <w:spacing w:after="200" w:line="276" w:lineRule="auto"/>
        <w:rPr>
          <w:rFonts w:ascii="Arial" w:hAnsi="Arial" w:cs="Arial"/>
          <w:b/>
          <w:caps/>
          <w:lang w:val="en-GB"/>
        </w:rPr>
      </w:pPr>
      <w:r>
        <w:rPr>
          <w:lang w:val="en-GB"/>
        </w:rPr>
        <w:br w:type="page"/>
      </w:r>
    </w:p>
    <w:p w14:paraId="21E9083B" w14:textId="38410A88" w:rsidR="00FD58C4" w:rsidRPr="00E94AD0" w:rsidRDefault="00FD58C4" w:rsidP="00FD58C4">
      <w:pPr>
        <w:pStyle w:val="ExhibitHeading"/>
        <w:rPr>
          <w:lang w:val="en-GB"/>
        </w:rPr>
      </w:pPr>
      <w:r w:rsidRPr="00E94AD0">
        <w:rPr>
          <w:lang w:val="en-GB"/>
        </w:rPr>
        <w:lastRenderedPageBreak/>
        <w:t>EXHIBIT 2: SELECT CANOPY FINANCIAL STATEMENT NOTE DISCLOSURES</w:t>
      </w:r>
    </w:p>
    <w:p w14:paraId="03ED95E8" w14:textId="323DCF03" w:rsidR="00FD58C4" w:rsidRPr="00E94AD0" w:rsidRDefault="00FD58C4" w:rsidP="00FD58C4">
      <w:pPr>
        <w:pStyle w:val="ExhibitHeading"/>
        <w:rPr>
          <w:lang w:val="en-GB"/>
        </w:rPr>
      </w:pPr>
      <w:r w:rsidRPr="00E94AD0">
        <w:rPr>
          <w:lang w:val="en-GB"/>
        </w:rPr>
        <w:t>(</w:t>
      </w:r>
      <w:r w:rsidR="00630F14">
        <w:rPr>
          <w:lang w:val="en-GB"/>
        </w:rPr>
        <w:t>in CA</w:t>
      </w:r>
      <w:r w:rsidRPr="00E94AD0">
        <w:rPr>
          <w:lang w:val="en-GB"/>
        </w:rPr>
        <w:t>$ THOUSANDS)</w:t>
      </w:r>
    </w:p>
    <w:p w14:paraId="4C9C89EC" w14:textId="77777777" w:rsidR="00FD58C4" w:rsidRPr="00E94AD0" w:rsidRDefault="00FD58C4" w:rsidP="00FD58C4">
      <w:pPr>
        <w:rPr>
          <w:b/>
          <w:lang w:val="en-GB"/>
        </w:rPr>
      </w:pPr>
    </w:p>
    <w:p w14:paraId="2C63F5C2" w14:textId="2CF9FD0E" w:rsidR="00FD58C4" w:rsidRPr="00E94AD0" w:rsidRDefault="00FD58C4" w:rsidP="00E2198D">
      <w:pPr>
        <w:pStyle w:val="Casehead2"/>
        <w:rPr>
          <w:lang w:val="en-GB"/>
        </w:rPr>
      </w:pPr>
      <w:r w:rsidRPr="00E94AD0">
        <w:rPr>
          <w:lang w:val="en-GB"/>
        </w:rPr>
        <w:t>6. BIOLOGICAL ASSETS</w:t>
      </w:r>
    </w:p>
    <w:p w14:paraId="0D6DDE40" w14:textId="77777777" w:rsidR="00E2198D" w:rsidRPr="00E94AD0" w:rsidRDefault="00E2198D" w:rsidP="00FD58C4">
      <w:pPr>
        <w:rPr>
          <w:b/>
          <w:lang w:val="en-GB"/>
        </w:rPr>
      </w:pPr>
    </w:p>
    <w:p w14:paraId="11D7D0D9" w14:textId="4AF400C3" w:rsidR="00FD58C4" w:rsidRPr="00E94AD0" w:rsidRDefault="00FD58C4" w:rsidP="00E2198D">
      <w:pPr>
        <w:pStyle w:val="ExhibitText"/>
        <w:rPr>
          <w:lang w:val="en-GB"/>
        </w:rPr>
      </w:pPr>
      <w:r w:rsidRPr="00E94AD0">
        <w:rPr>
          <w:lang w:val="en-GB"/>
        </w:rPr>
        <w:t>The Company’s biological assets consist of seeds and cannabis plants. The continuity of biological assets for the six months ended September 30, 2019 and the year ended March 31, 2019 is as follows:</w:t>
      </w:r>
    </w:p>
    <w:p w14:paraId="0DCE0592" w14:textId="77777777" w:rsidR="00E2198D" w:rsidRPr="00E94AD0" w:rsidRDefault="00E2198D" w:rsidP="00FD58C4">
      <w:pPr>
        <w:rPr>
          <w:rFonts w:asciiTheme="majorBidi" w:hAnsiTheme="majorBidi" w:cstheme="majorBidi"/>
          <w:lang w:val="en-GB"/>
        </w:rPr>
      </w:pPr>
    </w:p>
    <w:p w14:paraId="1F73BF3E" w14:textId="77777777" w:rsidR="00FD58C4" w:rsidRPr="00E94AD0" w:rsidRDefault="00FD58C4" w:rsidP="00FD58C4">
      <w:pPr>
        <w:rPr>
          <w:rFonts w:asciiTheme="majorBidi" w:hAnsiTheme="majorBidi" w:cstheme="majorBidi"/>
          <w:lang w:val="en-GB"/>
        </w:rPr>
      </w:pPr>
    </w:p>
    <w:tbl>
      <w:tblPr>
        <w:tblW w:w="8984" w:type="dxa"/>
        <w:tblLook w:val="04A0" w:firstRow="1" w:lastRow="0" w:firstColumn="1" w:lastColumn="0" w:noHBand="0" w:noVBand="1"/>
        <w:tblCaption w:val="Exhibit 2"/>
        <w:tblDescription w:val="Select Canopy Financial Statement Note Disclosures "/>
      </w:tblPr>
      <w:tblGrid>
        <w:gridCol w:w="272"/>
        <w:gridCol w:w="4540"/>
        <w:gridCol w:w="272"/>
        <w:gridCol w:w="1962"/>
        <w:gridCol w:w="1950"/>
      </w:tblGrid>
      <w:tr w:rsidR="00576EC1" w:rsidRPr="00576EC1" w14:paraId="3DEC4B11" w14:textId="77777777" w:rsidTr="008F5B5F">
        <w:trPr>
          <w:trHeight w:val="300"/>
          <w:tblHeader/>
        </w:trPr>
        <w:tc>
          <w:tcPr>
            <w:tcW w:w="266" w:type="dxa"/>
            <w:tcBorders>
              <w:top w:val="nil"/>
              <w:left w:val="nil"/>
              <w:bottom w:val="nil"/>
              <w:right w:val="nil"/>
            </w:tcBorders>
            <w:shd w:val="clear" w:color="auto" w:fill="auto"/>
            <w:noWrap/>
            <w:vAlign w:val="bottom"/>
            <w:hideMark/>
          </w:tcPr>
          <w:p w14:paraId="5411F66C" w14:textId="77777777" w:rsidR="00576EC1" w:rsidRPr="00576EC1" w:rsidRDefault="00576EC1" w:rsidP="00576EC1">
            <w:pPr>
              <w:rPr>
                <w:rFonts w:ascii="Arial" w:hAnsi="Arial" w:cs="Arial"/>
              </w:rPr>
            </w:pPr>
          </w:p>
        </w:tc>
        <w:tc>
          <w:tcPr>
            <w:tcW w:w="4540" w:type="dxa"/>
            <w:tcBorders>
              <w:top w:val="nil"/>
              <w:left w:val="nil"/>
              <w:bottom w:val="nil"/>
              <w:right w:val="nil"/>
            </w:tcBorders>
            <w:shd w:val="clear" w:color="auto" w:fill="auto"/>
            <w:noWrap/>
            <w:vAlign w:val="bottom"/>
            <w:hideMark/>
          </w:tcPr>
          <w:p w14:paraId="502768DF" w14:textId="77777777" w:rsidR="00576EC1" w:rsidRPr="00576EC1" w:rsidRDefault="00576EC1" w:rsidP="00576EC1">
            <w:pPr>
              <w:rPr>
                <w:rFonts w:ascii="Arial" w:hAnsi="Arial" w:cs="Arial"/>
              </w:rPr>
            </w:pPr>
          </w:p>
        </w:tc>
        <w:tc>
          <w:tcPr>
            <w:tcW w:w="266" w:type="dxa"/>
            <w:tcBorders>
              <w:top w:val="nil"/>
              <w:left w:val="nil"/>
              <w:bottom w:val="nil"/>
              <w:right w:val="nil"/>
            </w:tcBorders>
            <w:shd w:val="clear" w:color="auto" w:fill="auto"/>
            <w:noWrap/>
            <w:vAlign w:val="bottom"/>
            <w:hideMark/>
          </w:tcPr>
          <w:p w14:paraId="12EF1279" w14:textId="77777777" w:rsidR="00576EC1" w:rsidRPr="00576EC1" w:rsidRDefault="00576EC1" w:rsidP="00576EC1">
            <w:pPr>
              <w:rPr>
                <w:rFonts w:ascii="Arial" w:hAnsi="Arial" w:cs="Arial"/>
              </w:rPr>
            </w:pPr>
          </w:p>
        </w:tc>
        <w:tc>
          <w:tcPr>
            <w:tcW w:w="1962" w:type="dxa"/>
            <w:tcBorders>
              <w:top w:val="nil"/>
              <w:left w:val="nil"/>
              <w:bottom w:val="nil"/>
              <w:right w:val="nil"/>
            </w:tcBorders>
            <w:shd w:val="clear" w:color="auto" w:fill="auto"/>
            <w:noWrap/>
            <w:vAlign w:val="bottom"/>
            <w:hideMark/>
          </w:tcPr>
          <w:p w14:paraId="78A46F2A" w14:textId="77777777" w:rsidR="00576EC1" w:rsidRPr="00576EC1" w:rsidRDefault="00576EC1" w:rsidP="00576EC1">
            <w:pPr>
              <w:jc w:val="right"/>
              <w:rPr>
                <w:rFonts w:ascii="Arial" w:hAnsi="Arial" w:cs="Arial"/>
                <w:b/>
                <w:bCs/>
                <w:color w:val="000000"/>
              </w:rPr>
            </w:pPr>
            <w:r w:rsidRPr="00576EC1">
              <w:rPr>
                <w:rFonts w:ascii="Arial" w:hAnsi="Arial" w:cs="Arial"/>
                <w:b/>
                <w:bCs/>
                <w:color w:val="000000"/>
              </w:rPr>
              <w:t>September 30,</w:t>
            </w:r>
          </w:p>
        </w:tc>
        <w:tc>
          <w:tcPr>
            <w:tcW w:w="1950" w:type="dxa"/>
            <w:tcBorders>
              <w:top w:val="nil"/>
              <w:left w:val="nil"/>
              <w:bottom w:val="nil"/>
              <w:right w:val="nil"/>
            </w:tcBorders>
            <w:shd w:val="clear" w:color="auto" w:fill="auto"/>
            <w:noWrap/>
            <w:vAlign w:val="bottom"/>
            <w:hideMark/>
          </w:tcPr>
          <w:p w14:paraId="57499BD6" w14:textId="77777777" w:rsidR="00576EC1" w:rsidRPr="00576EC1" w:rsidRDefault="00576EC1" w:rsidP="00576EC1">
            <w:pPr>
              <w:jc w:val="right"/>
              <w:rPr>
                <w:rFonts w:ascii="Arial" w:hAnsi="Arial" w:cs="Arial"/>
                <w:color w:val="000000"/>
              </w:rPr>
            </w:pPr>
            <w:r w:rsidRPr="00576EC1">
              <w:rPr>
                <w:rFonts w:ascii="Arial" w:hAnsi="Arial" w:cs="Arial"/>
                <w:color w:val="000000"/>
              </w:rPr>
              <w:t>March 31,</w:t>
            </w:r>
          </w:p>
        </w:tc>
      </w:tr>
      <w:tr w:rsidR="00576EC1" w:rsidRPr="00576EC1" w14:paraId="18BBF2C8" w14:textId="77777777" w:rsidTr="008F5B5F">
        <w:trPr>
          <w:trHeight w:val="300"/>
          <w:tblHeader/>
        </w:trPr>
        <w:tc>
          <w:tcPr>
            <w:tcW w:w="266" w:type="dxa"/>
            <w:tcBorders>
              <w:top w:val="nil"/>
              <w:left w:val="nil"/>
              <w:bottom w:val="single" w:sz="4" w:space="0" w:color="auto"/>
              <w:right w:val="nil"/>
            </w:tcBorders>
            <w:shd w:val="clear" w:color="auto" w:fill="auto"/>
            <w:noWrap/>
            <w:vAlign w:val="bottom"/>
            <w:hideMark/>
          </w:tcPr>
          <w:p w14:paraId="2D089B5A" w14:textId="77777777" w:rsidR="00576EC1" w:rsidRPr="00576EC1" w:rsidRDefault="00576EC1" w:rsidP="00576EC1">
            <w:pPr>
              <w:rPr>
                <w:rFonts w:ascii="Arial" w:hAnsi="Arial" w:cs="Arial"/>
                <w:color w:val="000000"/>
              </w:rPr>
            </w:pPr>
            <w:r w:rsidRPr="00576EC1">
              <w:rPr>
                <w:rFonts w:ascii="Arial" w:hAnsi="Arial" w:cs="Arial"/>
                <w:color w:val="000000"/>
              </w:rPr>
              <w:t> </w:t>
            </w:r>
          </w:p>
        </w:tc>
        <w:tc>
          <w:tcPr>
            <w:tcW w:w="4540" w:type="dxa"/>
            <w:tcBorders>
              <w:top w:val="nil"/>
              <w:left w:val="nil"/>
              <w:bottom w:val="single" w:sz="4" w:space="0" w:color="auto"/>
              <w:right w:val="nil"/>
            </w:tcBorders>
            <w:shd w:val="clear" w:color="auto" w:fill="auto"/>
            <w:noWrap/>
            <w:vAlign w:val="bottom"/>
            <w:hideMark/>
          </w:tcPr>
          <w:p w14:paraId="3E3C8CCF" w14:textId="77777777" w:rsidR="00576EC1" w:rsidRPr="00576EC1" w:rsidRDefault="00576EC1" w:rsidP="00576EC1">
            <w:pPr>
              <w:rPr>
                <w:rFonts w:ascii="Arial" w:hAnsi="Arial" w:cs="Arial"/>
                <w:color w:val="000000"/>
              </w:rPr>
            </w:pPr>
            <w:r w:rsidRPr="00576EC1">
              <w:rPr>
                <w:rFonts w:ascii="Arial" w:hAnsi="Arial" w:cs="Arial"/>
                <w:color w:val="000000"/>
              </w:rPr>
              <w:t> </w:t>
            </w:r>
          </w:p>
        </w:tc>
        <w:tc>
          <w:tcPr>
            <w:tcW w:w="266" w:type="dxa"/>
            <w:tcBorders>
              <w:top w:val="nil"/>
              <w:left w:val="nil"/>
              <w:bottom w:val="single" w:sz="4" w:space="0" w:color="auto"/>
              <w:right w:val="nil"/>
            </w:tcBorders>
            <w:shd w:val="clear" w:color="auto" w:fill="auto"/>
            <w:noWrap/>
            <w:vAlign w:val="bottom"/>
            <w:hideMark/>
          </w:tcPr>
          <w:p w14:paraId="33F2B51F" w14:textId="77777777" w:rsidR="00576EC1" w:rsidRPr="00576EC1" w:rsidRDefault="00576EC1" w:rsidP="00576EC1">
            <w:pPr>
              <w:rPr>
                <w:rFonts w:ascii="Arial" w:hAnsi="Arial" w:cs="Arial"/>
                <w:color w:val="000000"/>
              </w:rPr>
            </w:pPr>
            <w:r w:rsidRPr="00576EC1">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011B2A87" w14:textId="77777777" w:rsidR="00576EC1" w:rsidRPr="00576EC1" w:rsidRDefault="00576EC1" w:rsidP="00576EC1">
            <w:pPr>
              <w:jc w:val="right"/>
              <w:rPr>
                <w:rFonts w:ascii="Arial" w:hAnsi="Arial" w:cs="Arial"/>
                <w:b/>
                <w:bCs/>
                <w:color w:val="000000"/>
              </w:rPr>
            </w:pPr>
            <w:r w:rsidRPr="00576EC1">
              <w:rPr>
                <w:rFonts w:ascii="Arial" w:hAnsi="Arial" w:cs="Arial"/>
                <w:b/>
                <w:bCs/>
                <w:color w:val="000000"/>
              </w:rPr>
              <w:t>2019</w:t>
            </w:r>
          </w:p>
        </w:tc>
        <w:tc>
          <w:tcPr>
            <w:tcW w:w="1950" w:type="dxa"/>
            <w:tcBorders>
              <w:top w:val="nil"/>
              <w:left w:val="nil"/>
              <w:bottom w:val="single" w:sz="4" w:space="0" w:color="auto"/>
              <w:right w:val="nil"/>
            </w:tcBorders>
            <w:shd w:val="clear" w:color="auto" w:fill="auto"/>
            <w:noWrap/>
            <w:vAlign w:val="bottom"/>
            <w:hideMark/>
          </w:tcPr>
          <w:p w14:paraId="0A3B1C5E" w14:textId="77777777" w:rsidR="00576EC1" w:rsidRPr="00576EC1" w:rsidRDefault="00576EC1" w:rsidP="00576EC1">
            <w:pPr>
              <w:jc w:val="right"/>
              <w:rPr>
                <w:rFonts w:ascii="Arial" w:hAnsi="Arial" w:cs="Arial"/>
                <w:color w:val="000000"/>
              </w:rPr>
            </w:pPr>
            <w:r w:rsidRPr="00576EC1">
              <w:rPr>
                <w:rFonts w:ascii="Arial" w:hAnsi="Arial" w:cs="Arial"/>
                <w:color w:val="000000"/>
              </w:rPr>
              <w:t>2019</w:t>
            </w:r>
          </w:p>
        </w:tc>
      </w:tr>
      <w:tr w:rsidR="00576EC1" w:rsidRPr="00576EC1" w14:paraId="530F1571" w14:textId="77777777" w:rsidTr="008F5B5F">
        <w:trPr>
          <w:trHeight w:val="300"/>
          <w:tblHeader/>
        </w:trPr>
        <w:tc>
          <w:tcPr>
            <w:tcW w:w="266" w:type="dxa"/>
            <w:tcBorders>
              <w:top w:val="nil"/>
              <w:left w:val="nil"/>
              <w:bottom w:val="nil"/>
              <w:right w:val="nil"/>
            </w:tcBorders>
            <w:shd w:val="clear" w:color="auto" w:fill="auto"/>
            <w:noWrap/>
            <w:vAlign w:val="bottom"/>
            <w:hideMark/>
          </w:tcPr>
          <w:p w14:paraId="7D5D9D36" w14:textId="77777777" w:rsidR="00576EC1" w:rsidRPr="00576EC1" w:rsidRDefault="00576EC1" w:rsidP="00576EC1">
            <w:pPr>
              <w:jc w:val="right"/>
              <w:rPr>
                <w:rFonts w:ascii="Arial" w:hAnsi="Arial" w:cs="Arial"/>
                <w:color w:val="000000"/>
              </w:rPr>
            </w:pPr>
          </w:p>
        </w:tc>
        <w:tc>
          <w:tcPr>
            <w:tcW w:w="4540" w:type="dxa"/>
            <w:tcBorders>
              <w:top w:val="nil"/>
              <w:left w:val="nil"/>
              <w:bottom w:val="nil"/>
              <w:right w:val="nil"/>
            </w:tcBorders>
            <w:shd w:val="clear" w:color="auto" w:fill="auto"/>
            <w:noWrap/>
            <w:vAlign w:val="bottom"/>
            <w:hideMark/>
          </w:tcPr>
          <w:p w14:paraId="0B650BCE" w14:textId="77777777" w:rsidR="00576EC1" w:rsidRPr="00576EC1" w:rsidRDefault="00576EC1" w:rsidP="00576EC1">
            <w:pPr>
              <w:rPr>
                <w:rFonts w:ascii="Arial" w:hAnsi="Arial" w:cs="Arial"/>
              </w:rPr>
            </w:pPr>
          </w:p>
        </w:tc>
        <w:tc>
          <w:tcPr>
            <w:tcW w:w="266" w:type="dxa"/>
            <w:tcBorders>
              <w:top w:val="nil"/>
              <w:left w:val="nil"/>
              <w:bottom w:val="nil"/>
              <w:right w:val="nil"/>
            </w:tcBorders>
            <w:shd w:val="clear" w:color="auto" w:fill="auto"/>
            <w:noWrap/>
            <w:vAlign w:val="bottom"/>
            <w:hideMark/>
          </w:tcPr>
          <w:p w14:paraId="3E829E5A" w14:textId="77777777" w:rsidR="00576EC1" w:rsidRPr="00576EC1" w:rsidRDefault="00576EC1" w:rsidP="00576EC1">
            <w:pPr>
              <w:rPr>
                <w:rFonts w:ascii="Arial" w:hAnsi="Arial" w:cs="Arial"/>
              </w:rPr>
            </w:pPr>
          </w:p>
        </w:tc>
        <w:tc>
          <w:tcPr>
            <w:tcW w:w="1962" w:type="dxa"/>
            <w:tcBorders>
              <w:top w:val="nil"/>
              <w:left w:val="nil"/>
              <w:bottom w:val="nil"/>
              <w:right w:val="nil"/>
            </w:tcBorders>
            <w:shd w:val="clear" w:color="auto" w:fill="auto"/>
            <w:noWrap/>
            <w:vAlign w:val="bottom"/>
            <w:hideMark/>
          </w:tcPr>
          <w:p w14:paraId="3401A53C" w14:textId="77777777" w:rsidR="00576EC1" w:rsidRPr="00576EC1" w:rsidRDefault="00576EC1" w:rsidP="00576EC1">
            <w:pPr>
              <w:rPr>
                <w:rFonts w:ascii="Arial" w:hAnsi="Arial" w:cs="Arial"/>
              </w:rPr>
            </w:pPr>
          </w:p>
        </w:tc>
        <w:tc>
          <w:tcPr>
            <w:tcW w:w="1950" w:type="dxa"/>
            <w:tcBorders>
              <w:top w:val="nil"/>
              <w:left w:val="nil"/>
              <w:bottom w:val="nil"/>
              <w:right w:val="nil"/>
            </w:tcBorders>
            <w:shd w:val="clear" w:color="auto" w:fill="auto"/>
            <w:noWrap/>
            <w:vAlign w:val="bottom"/>
            <w:hideMark/>
          </w:tcPr>
          <w:p w14:paraId="3E2CADAA" w14:textId="77777777" w:rsidR="00576EC1" w:rsidRPr="00576EC1" w:rsidRDefault="00576EC1" w:rsidP="00576EC1">
            <w:pPr>
              <w:rPr>
                <w:rFonts w:ascii="Arial" w:hAnsi="Arial" w:cs="Arial"/>
              </w:rPr>
            </w:pPr>
          </w:p>
        </w:tc>
      </w:tr>
      <w:tr w:rsidR="00576EC1" w:rsidRPr="00576EC1" w14:paraId="2CB7D88F" w14:textId="77777777" w:rsidTr="008F5B5F">
        <w:trPr>
          <w:trHeight w:val="300"/>
          <w:tblHeader/>
        </w:trPr>
        <w:tc>
          <w:tcPr>
            <w:tcW w:w="4806" w:type="dxa"/>
            <w:gridSpan w:val="2"/>
            <w:tcBorders>
              <w:top w:val="nil"/>
              <w:left w:val="nil"/>
              <w:bottom w:val="nil"/>
              <w:right w:val="nil"/>
            </w:tcBorders>
            <w:shd w:val="clear" w:color="auto" w:fill="auto"/>
            <w:noWrap/>
            <w:vAlign w:val="bottom"/>
            <w:hideMark/>
          </w:tcPr>
          <w:p w14:paraId="04B68338" w14:textId="77777777" w:rsidR="00576EC1" w:rsidRPr="00576EC1" w:rsidRDefault="00576EC1" w:rsidP="00576EC1">
            <w:pPr>
              <w:rPr>
                <w:rFonts w:ascii="Arial" w:hAnsi="Arial" w:cs="Arial"/>
                <w:color w:val="000000"/>
              </w:rPr>
            </w:pPr>
            <w:r w:rsidRPr="00576EC1">
              <w:rPr>
                <w:rFonts w:ascii="Arial" w:hAnsi="Arial" w:cs="Arial"/>
                <w:color w:val="000000"/>
              </w:rPr>
              <w:t>Balance, beginning of period</w:t>
            </w:r>
          </w:p>
        </w:tc>
        <w:tc>
          <w:tcPr>
            <w:tcW w:w="266" w:type="dxa"/>
            <w:tcBorders>
              <w:top w:val="nil"/>
              <w:left w:val="nil"/>
              <w:bottom w:val="nil"/>
              <w:right w:val="nil"/>
            </w:tcBorders>
            <w:shd w:val="clear" w:color="auto" w:fill="auto"/>
            <w:noWrap/>
            <w:vAlign w:val="bottom"/>
            <w:hideMark/>
          </w:tcPr>
          <w:p w14:paraId="68D4B5C9"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434ED3EF" w14:textId="0C81C886" w:rsidR="00576EC1" w:rsidRPr="00576EC1" w:rsidRDefault="00576EC1" w:rsidP="00E05E7C">
            <w:pPr>
              <w:jc w:val="right"/>
              <w:rPr>
                <w:rFonts w:ascii="Arial" w:hAnsi="Arial" w:cs="Arial"/>
                <w:b/>
                <w:bCs/>
                <w:color w:val="000000"/>
              </w:rPr>
            </w:pPr>
            <w:r w:rsidRPr="00576EC1">
              <w:rPr>
                <w:rFonts w:ascii="Arial" w:hAnsi="Arial" w:cs="Arial"/>
                <w:b/>
                <w:bCs/>
                <w:color w:val="000000"/>
              </w:rPr>
              <w:t xml:space="preserve"> $78,975</w:t>
            </w:r>
          </w:p>
        </w:tc>
        <w:tc>
          <w:tcPr>
            <w:tcW w:w="1950" w:type="dxa"/>
            <w:tcBorders>
              <w:top w:val="nil"/>
              <w:left w:val="nil"/>
              <w:bottom w:val="nil"/>
              <w:right w:val="nil"/>
            </w:tcBorders>
            <w:shd w:val="clear" w:color="auto" w:fill="auto"/>
            <w:noWrap/>
            <w:vAlign w:val="bottom"/>
            <w:hideMark/>
          </w:tcPr>
          <w:p w14:paraId="42255197" w14:textId="448A6642" w:rsidR="00576EC1" w:rsidRPr="00576EC1" w:rsidRDefault="00576EC1" w:rsidP="00E05E7C">
            <w:pPr>
              <w:jc w:val="right"/>
              <w:rPr>
                <w:rFonts w:ascii="Arial" w:hAnsi="Arial" w:cs="Arial"/>
                <w:color w:val="000000"/>
              </w:rPr>
            </w:pPr>
            <w:r w:rsidRPr="00576EC1">
              <w:rPr>
                <w:rFonts w:ascii="Arial" w:hAnsi="Arial" w:cs="Arial"/>
                <w:color w:val="000000"/>
              </w:rPr>
              <w:t xml:space="preserve"> $16,348 </w:t>
            </w:r>
          </w:p>
        </w:tc>
      </w:tr>
      <w:tr w:rsidR="00576EC1" w:rsidRPr="00576EC1" w14:paraId="5E0F61B1" w14:textId="77777777" w:rsidTr="008F5B5F">
        <w:trPr>
          <w:trHeight w:val="300"/>
          <w:tblHeader/>
        </w:trPr>
        <w:tc>
          <w:tcPr>
            <w:tcW w:w="4806" w:type="dxa"/>
            <w:gridSpan w:val="2"/>
            <w:tcBorders>
              <w:top w:val="nil"/>
              <w:left w:val="nil"/>
              <w:bottom w:val="nil"/>
              <w:right w:val="nil"/>
            </w:tcBorders>
            <w:shd w:val="clear" w:color="auto" w:fill="auto"/>
            <w:noWrap/>
            <w:vAlign w:val="bottom"/>
            <w:hideMark/>
          </w:tcPr>
          <w:p w14:paraId="23FBC376" w14:textId="77777777" w:rsidR="00576EC1" w:rsidRPr="00576EC1" w:rsidRDefault="00576EC1" w:rsidP="00576EC1">
            <w:pPr>
              <w:rPr>
                <w:rFonts w:ascii="Arial" w:hAnsi="Arial" w:cs="Arial"/>
                <w:color w:val="000000"/>
              </w:rPr>
            </w:pPr>
            <w:r w:rsidRPr="00576EC1">
              <w:rPr>
                <w:rFonts w:ascii="Arial" w:hAnsi="Arial" w:cs="Arial"/>
                <w:color w:val="000000"/>
              </w:rPr>
              <w:t>Acquisition of biological assets due to the</w:t>
            </w:r>
          </w:p>
        </w:tc>
        <w:tc>
          <w:tcPr>
            <w:tcW w:w="266" w:type="dxa"/>
            <w:tcBorders>
              <w:top w:val="nil"/>
              <w:left w:val="nil"/>
              <w:bottom w:val="nil"/>
              <w:right w:val="nil"/>
            </w:tcBorders>
            <w:shd w:val="clear" w:color="auto" w:fill="auto"/>
            <w:noWrap/>
            <w:vAlign w:val="bottom"/>
            <w:hideMark/>
          </w:tcPr>
          <w:p w14:paraId="0C8653B9"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1846891F" w14:textId="77777777" w:rsidR="00576EC1" w:rsidRPr="00576EC1" w:rsidRDefault="00576EC1" w:rsidP="00E05E7C">
            <w:pPr>
              <w:jc w:val="right"/>
              <w:rPr>
                <w:rFonts w:ascii="Arial" w:hAnsi="Arial" w:cs="Arial"/>
              </w:rPr>
            </w:pPr>
          </w:p>
        </w:tc>
        <w:tc>
          <w:tcPr>
            <w:tcW w:w="1950" w:type="dxa"/>
            <w:tcBorders>
              <w:top w:val="nil"/>
              <w:left w:val="nil"/>
              <w:bottom w:val="nil"/>
              <w:right w:val="nil"/>
            </w:tcBorders>
            <w:shd w:val="clear" w:color="auto" w:fill="auto"/>
            <w:noWrap/>
            <w:vAlign w:val="bottom"/>
            <w:hideMark/>
          </w:tcPr>
          <w:p w14:paraId="6507247B" w14:textId="77777777" w:rsidR="00576EC1" w:rsidRPr="00576EC1" w:rsidRDefault="00576EC1" w:rsidP="00E05E7C">
            <w:pPr>
              <w:jc w:val="right"/>
              <w:rPr>
                <w:rFonts w:ascii="Arial" w:hAnsi="Arial" w:cs="Arial"/>
              </w:rPr>
            </w:pPr>
          </w:p>
        </w:tc>
      </w:tr>
      <w:tr w:rsidR="00576EC1" w:rsidRPr="00576EC1" w14:paraId="5CB5BBFD" w14:textId="77777777" w:rsidTr="008F5B5F">
        <w:trPr>
          <w:trHeight w:val="300"/>
          <w:tblHeader/>
        </w:trPr>
        <w:tc>
          <w:tcPr>
            <w:tcW w:w="266" w:type="dxa"/>
            <w:tcBorders>
              <w:top w:val="nil"/>
              <w:left w:val="nil"/>
              <w:bottom w:val="nil"/>
              <w:right w:val="nil"/>
            </w:tcBorders>
            <w:shd w:val="clear" w:color="auto" w:fill="auto"/>
            <w:noWrap/>
            <w:vAlign w:val="bottom"/>
            <w:hideMark/>
          </w:tcPr>
          <w:p w14:paraId="0F23A96E" w14:textId="77777777" w:rsidR="00576EC1" w:rsidRPr="00576EC1" w:rsidRDefault="00576EC1" w:rsidP="00576EC1">
            <w:pPr>
              <w:rPr>
                <w:rFonts w:ascii="Arial" w:hAnsi="Arial" w:cs="Arial"/>
              </w:rPr>
            </w:pPr>
          </w:p>
        </w:tc>
        <w:tc>
          <w:tcPr>
            <w:tcW w:w="4540" w:type="dxa"/>
            <w:tcBorders>
              <w:top w:val="nil"/>
              <w:left w:val="nil"/>
              <w:bottom w:val="nil"/>
              <w:right w:val="nil"/>
            </w:tcBorders>
            <w:shd w:val="clear" w:color="auto" w:fill="auto"/>
            <w:noWrap/>
            <w:vAlign w:val="bottom"/>
            <w:hideMark/>
          </w:tcPr>
          <w:p w14:paraId="6627AA8A" w14:textId="47FCB1A1" w:rsidR="00576EC1" w:rsidRPr="00576EC1" w:rsidRDefault="00576EC1" w:rsidP="0061403C">
            <w:pPr>
              <w:rPr>
                <w:rFonts w:ascii="Arial" w:hAnsi="Arial" w:cs="Arial"/>
                <w:color w:val="000000"/>
              </w:rPr>
            </w:pPr>
            <w:r w:rsidRPr="00576EC1">
              <w:rPr>
                <w:rFonts w:ascii="Arial" w:hAnsi="Arial" w:cs="Arial"/>
                <w:color w:val="000000"/>
              </w:rPr>
              <w:t>acquisition of consol</w:t>
            </w:r>
            <w:r w:rsidR="0061403C">
              <w:rPr>
                <w:rFonts w:ascii="Arial" w:hAnsi="Arial" w:cs="Arial"/>
                <w:color w:val="000000"/>
              </w:rPr>
              <w:t>i</w:t>
            </w:r>
            <w:r w:rsidRPr="00576EC1">
              <w:rPr>
                <w:rFonts w:ascii="Arial" w:hAnsi="Arial" w:cs="Arial"/>
                <w:color w:val="000000"/>
              </w:rPr>
              <w:t>d</w:t>
            </w:r>
            <w:r w:rsidR="0061403C">
              <w:rPr>
                <w:rFonts w:ascii="Arial" w:hAnsi="Arial" w:cs="Arial"/>
                <w:color w:val="000000"/>
              </w:rPr>
              <w:t>at</w:t>
            </w:r>
            <w:r w:rsidRPr="00576EC1">
              <w:rPr>
                <w:rFonts w:ascii="Arial" w:hAnsi="Arial" w:cs="Arial"/>
                <w:color w:val="000000"/>
              </w:rPr>
              <w:t>ed entities</w:t>
            </w:r>
          </w:p>
        </w:tc>
        <w:tc>
          <w:tcPr>
            <w:tcW w:w="266" w:type="dxa"/>
            <w:tcBorders>
              <w:top w:val="nil"/>
              <w:left w:val="nil"/>
              <w:bottom w:val="nil"/>
              <w:right w:val="nil"/>
            </w:tcBorders>
            <w:shd w:val="clear" w:color="auto" w:fill="auto"/>
            <w:noWrap/>
            <w:vAlign w:val="bottom"/>
            <w:hideMark/>
          </w:tcPr>
          <w:p w14:paraId="1AC65836"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4632CE8F" w14:textId="668B0B03" w:rsidR="00576EC1" w:rsidRPr="00576EC1" w:rsidRDefault="00576EC1" w:rsidP="00E05E7C">
            <w:pPr>
              <w:jc w:val="right"/>
              <w:rPr>
                <w:rFonts w:ascii="Arial" w:hAnsi="Arial" w:cs="Arial"/>
                <w:b/>
                <w:bCs/>
                <w:color w:val="000000"/>
              </w:rPr>
            </w:pPr>
            <w:r w:rsidRPr="00576EC1">
              <w:rPr>
                <w:rFonts w:ascii="Arial" w:hAnsi="Arial" w:cs="Arial"/>
                <w:b/>
                <w:bCs/>
                <w:color w:val="000000"/>
              </w:rPr>
              <w:t>-</w:t>
            </w:r>
          </w:p>
        </w:tc>
        <w:tc>
          <w:tcPr>
            <w:tcW w:w="1950" w:type="dxa"/>
            <w:tcBorders>
              <w:top w:val="nil"/>
              <w:left w:val="nil"/>
              <w:bottom w:val="nil"/>
              <w:right w:val="nil"/>
            </w:tcBorders>
            <w:shd w:val="clear" w:color="auto" w:fill="auto"/>
            <w:noWrap/>
            <w:vAlign w:val="bottom"/>
            <w:hideMark/>
          </w:tcPr>
          <w:p w14:paraId="262B0D9B" w14:textId="77777777" w:rsidR="00576EC1" w:rsidRPr="00576EC1" w:rsidRDefault="00576EC1" w:rsidP="00E05E7C">
            <w:pPr>
              <w:jc w:val="right"/>
              <w:rPr>
                <w:rFonts w:ascii="Arial" w:hAnsi="Arial" w:cs="Arial"/>
                <w:color w:val="000000"/>
              </w:rPr>
            </w:pPr>
            <w:r w:rsidRPr="00576EC1">
              <w:rPr>
                <w:rFonts w:ascii="Arial" w:hAnsi="Arial" w:cs="Arial"/>
                <w:color w:val="000000"/>
              </w:rPr>
              <w:t>184</w:t>
            </w:r>
          </w:p>
        </w:tc>
      </w:tr>
      <w:tr w:rsidR="00576EC1" w:rsidRPr="00576EC1" w14:paraId="06ACFB1D" w14:textId="77777777" w:rsidTr="008F5B5F">
        <w:trPr>
          <w:trHeight w:val="300"/>
          <w:tblHeader/>
        </w:trPr>
        <w:tc>
          <w:tcPr>
            <w:tcW w:w="4806" w:type="dxa"/>
            <w:gridSpan w:val="2"/>
            <w:tcBorders>
              <w:top w:val="nil"/>
              <w:left w:val="nil"/>
              <w:bottom w:val="nil"/>
              <w:right w:val="nil"/>
            </w:tcBorders>
            <w:shd w:val="clear" w:color="auto" w:fill="auto"/>
            <w:noWrap/>
            <w:vAlign w:val="bottom"/>
            <w:hideMark/>
          </w:tcPr>
          <w:p w14:paraId="42F9BA18" w14:textId="4C468FDE" w:rsidR="00576EC1" w:rsidRPr="00576EC1" w:rsidRDefault="00576EC1" w:rsidP="00576EC1">
            <w:pPr>
              <w:rPr>
                <w:rFonts w:ascii="Arial" w:hAnsi="Arial" w:cs="Arial"/>
                <w:color w:val="000000"/>
              </w:rPr>
            </w:pPr>
            <w:r w:rsidRPr="00576EC1">
              <w:rPr>
                <w:rFonts w:ascii="Arial" w:hAnsi="Arial" w:cs="Arial"/>
                <w:color w:val="000000"/>
              </w:rPr>
              <w:t xml:space="preserve">Unrealized gain on changes in fair value </w:t>
            </w:r>
          </w:p>
        </w:tc>
        <w:tc>
          <w:tcPr>
            <w:tcW w:w="266" w:type="dxa"/>
            <w:tcBorders>
              <w:top w:val="nil"/>
              <w:left w:val="nil"/>
              <w:bottom w:val="nil"/>
              <w:right w:val="nil"/>
            </w:tcBorders>
            <w:shd w:val="clear" w:color="auto" w:fill="auto"/>
            <w:noWrap/>
            <w:vAlign w:val="bottom"/>
            <w:hideMark/>
          </w:tcPr>
          <w:p w14:paraId="0164F4C1"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190E2EE9" w14:textId="77777777" w:rsidR="00576EC1" w:rsidRPr="00576EC1" w:rsidRDefault="00576EC1" w:rsidP="00E05E7C">
            <w:pPr>
              <w:jc w:val="right"/>
              <w:rPr>
                <w:rFonts w:ascii="Arial" w:hAnsi="Arial" w:cs="Arial"/>
              </w:rPr>
            </w:pPr>
          </w:p>
        </w:tc>
        <w:tc>
          <w:tcPr>
            <w:tcW w:w="1950" w:type="dxa"/>
            <w:tcBorders>
              <w:top w:val="nil"/>
              <w:left w:val="nil"/>
              <w:bottom w:val="nil"/>
              <w:right w:val="nil"/>
            </w:tcBorders>
            <w:shd w:val="clear" w:color="auto" w:fill="auto"/>
            <w:noWrap/>
            <w:vAlign w:val="bottom"/>
            <w:hideMark/>
          </w:tcPr>
          <w:p w14:paraId="502A6D39" w14:textId="77777777" w:rsidR="00576EC1" w:rsidRPr="00576EC1" w:rsidRDefault="00576EC1" w:rsidP="00E05E7C">
            <w:pPr>
              <w:jc w:val="right"/>
              <w:rPr>
                <w:rFonts w:ascii="Arial" w:hAnsi="Arial" w:cs="Arial"/>
              </w:rPr>
            </w:pPr>
          </w:p>
        </w:tc>
      </w:tr>
      <w:tr w:rsidR="00576EC1" w:rsidRPr="00576EC1" w14:paraId="2E86475A" w14:textId="77777777" w:rsidTr="008F5B5F">
        <w:trPr>
          <w:trHeight w:val="300"/>
          <w:tblHeader/>
        </w:trPr>
        <w:tc>
          <w:tcPr>
            <w:tcW w:w="266" w:type="dxa"/>
            <w:tcBorders>
              <w:top w:val="nil"/>
              <w:left w:val="nil"/>
              <w:bottom w:val="nil"/>
              <w:right w:val="nil"/>
            </w:tcBorders>
            <w:shd w:val="clear" w:color="auto" w:fill="auto"/>
            <w:noWrap/>
            <w:vAlign w:val="bottom"/>
            <w:hideMark/>
          </w:tcPr>
          <w:p w14:paraId="352A49C6" w14:textId="77777777" w:rsidR="00576EC1" w:rsidRPr="00576EC1" w:rsidRDefault="00576EC1" w:rsidP="00576EC1">
            <w:pPr>
              <w:rPr>
                <w:rFonts w:ascii="Arial" w:hAnsi="Arial" w:cs="Arial"/>
              </w:rPr>
            </w:pPr>
          </w:p>
        </w:tc>
        <w:tc>
          <w:tcPr>
            <w:tcW w:w="4540" w:type="dxa"/>
            <w:tcBorders>
              <w:top w:val="nil"/>
              <w:left w:val="nil"/>
              <w:bottom w:val="nil"/>
              <w:right w:val="nil"/>
            </w:tcBorders>
            <w:shd w:val="clear" w:color="auto" w:fill="auto"/>
            <w:noWrap/>
            <w:vAlign w:val="bottom"/>
            <w:hideMark/>
          </w:tcPr>
          <w:p w14:paraId="325CFA49" w14:textId="02F1317A" w:rsidR="00576EC1" w:rsidRPr="00576EC1" w:rsidRDefault="000A011E" w:rsidP="00576EC1">
            <w:pPr>
              <w:rPr>
                <w:rFonts w:ascii="Arial" w:hAnsi="Arial" w:cs="Arial"/>
                <w:color w:val="000000"/>
              </w:rPr>
            </w:pPr>
            <w:r>
              <w:rPr>
                <w:rFonts w:ascii="Arial" w:hAnsi="Arial" w:cs="Arial"/>
                <w:color w:val="000000"/>
              </w:rPr>
              <w:t xml:space="preserve">of </w:t>
            </w:r>
            <w:r w:rsidR="00576EC1" w:rsidRPr="00576EC1">
              <w:rPr>
                <w:rFonts w:ascii="Arial" w:hAnsi="Arial" w:cs="Arial"/>
                <w:color w:val="000000"/>
              </w:rPr>
              <w:t>biological assets</w:t>
            </w:r>
          </w:p>
        </w:tc>
        <w:tc>
          <w:tcPr>
            <w:tcW w:w="266" w:type="dxa"/>
            <w:tcBorders>
              <w:top w:val="nil"/>
              <w:left w:val="nil"/>
              <w:bottom w:val="nil"/>
              <w:right w:val="nil"/>
            </w:tcBorders>
            <w:shd w:val="clear" w:color="auto" w:fill="auto"/>
            <w:noWrap/>
            <w:vAlign w:val="bottom"/>
            <w:hideMark/>
          </w:tcPr>
          <w:p w14:paraId="33FA95B1"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2F4D729B" w14:textId="77777777" w:rsidR="00576EC1" w:rsidRPr="00576EC1" w:rsidRDefault="00576EC1" w:rsidP="00E05E7C">
            <w:pPr>
              <w:jc w:val="right"/>
              <w:rPr>
                <w:rFonts w:ascii="Arial" w:hAnsi="Arial" w:cs="Arial"/>
                <w:b/>
                <w:bCs/>
                <w:color w:val="000000"/>
              </w:rPr>
            </w:pPr>
            <w:r w:rsidRPr="00576EC1">
              <w:rPr>
                <w:rFonts w:ascii="Arial" w:hAnsi="Arial" w:cs="Arial"/>
                <w:b/>
                <w:bCs/>
                <w:color w:val="000000"/>
              </w:rPr>
              <w:t>221,339</w:t>
            </w:r>
          </w:p>
        </w:tc>
        <w:tc>
          <w:tcPr>
            <w:tcW w:w="1950" w:type="dxa"/>
            <w:tcBorders>
              <w:top w:val="nil"/>
              <w:left w:val="nil"/>
              <w:bottom w:val="nil"/>
              <w:right w:val="nil"/>
            </w:tcBorders>
            <w:shd w:val="clear" w:color="auto" w:fill="auto"/>
            <w:noWrap/>
            <w:vAlign w:val="bottom"/>
            <w:hideMark/>
          </w:tcPr>
          <w:p w14:paraId="49326CD7" w14:textId="77777777" w:rsidR="00576EC1" w:rsidRPr="00576EC1" w:rsidRDefault="00576EC1" w:rsidP="00E05E7C">
            <w:pPr>
              <w:jc w:val="right"/>
              <w:rPr>
                <w:rFonts w:ascii="Arial" w:hAnsi="Arial" w:cs="Arial"/>
                <w:color w:val="000000"/>
              </w:rPr>
            </w:pPr>
            <w:r w:rsidRPr="00576EC1">
              <w:rPr>
                <w:rFonts w:ascii="Arial" w:hAnsi="Arial" w:cs="Arial"/>
                <w:color w:val="000000"/>
              </w:rPr>
              <w:t>167,550</w:t>
            </w:r>
          </w:p>
        </w:tc>
      </w:tr>
      <w:tr w:rsidR="00576EC1" w:rsidRPr="00576EC1" w14:paraId="088E200B" w14:textId="77777777" w:rsidTr="008F5B5F">
        <w:trPr>
          <w:trHeight w:val="300"/>
          <w:tblHeader/>
        </w:trPr>
        <w:tc>
          <w:tcPr>
            <w:tcW w:w="4806" w:type="dxa"/>
            <w:gridSpan w:val="2"/>
            <w:tcBorders>
              <w:top w:val="nil"/>
              <w:left w:val="nil"/>
              <w:bottom w:val="nil"/>
              <w:right w:val="nil"/>
            </w:tcBorders>
            <w:shd w:val="clear" w:color="auto" w:fill="auto"/>
            <w:noWrap/>
            <w:vAlign w:val="bottom"/>
            <w:hideMark/>
          </w:tcPr>
          <w:p w14:paraId="706C19F7" w14:textId="77777777" w:rsidR="00576EC1" w:rsidRPr="00576EC1" w:rsidRDefault="00576EC1" w:rsidP="00576EC1">
            <w:pPr>
              <w:rPr>
                <w:rFonts w:ascii="Arial" w:hAnsi="Arial" w:cs="Arial"/>
                <w:color w:val="000000"/>
              </w:rPr>
            </w:pPr>
            <w:r w:rsidRPr="00576EC1">
              <w:rPr>
                <w:rFonts w:ascii="Arial" w:hAnsi="Arial" w:cs="Arial"/>
                <w:color w:val="000000"/>
              </w:rPr>
              <w:t xml:space="preserve">Increase in biological assets due to </w:t>
            </w:r>
          </w:p>
        </w:tc>
        <w:tc>
          <w:tcPr>
            <w:tcW w:w="266" w:type="dxa"/>
            <w:tcBorders>
              <w:top w:val="nil"/>
              <w:left w:val="nil"/>
              <w:bottom w:val="nil"/>
              <w:right w:val="nil"/>
            </w:tcBorders>
            <w:shd w:val="clear" w:color="auto" w:fill="auto"/>
            <w:noWrap/>
            <w:vAlign w:val="bottom"/>
            <w:hideMark/>
          </w:tcPr>
          <w:p w14:paraId="7E2D0380"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1FEC3F8F" w14:textId="77777777" w:rsidR="00576EC1" w:rsidRPr="00576EC1" w:rsidRDefault="00576EC1" w:rsidP="00E05E7C">
            <w:pPr>
              <w:jc w:val="right"/>
              <w:rPr>
                <w:rFonts w:ascii="Arial" w:hAnsi="Arial" w:cs="Arial"/>
              </w:rPr>
            </w:pPr>
          </w:p>
        </w:tc>
        <w:tc>
          <w:tcPr>
            <w:tcW w:w="1950" w:type="dxa"/>
            <w:tcBorders>
              <w:top w:val="nil"/>
              <w:left w:val="nil"/>
              <w:bottom w:val="nil"/>
              <w:right w:val="nil"/>
            </w:tcBorders>
            <w:shd w:val="clear" w:color="auto" w:fill="auto"/>
            <w:noWrap/>
            <w:vAlign w:val="bottom"/>
            <w:hideMark/>
          </w:tcPr>
          <w:p w14:paraId="454F26BE" w14:textId="77777777" w:rsidR="00576EC1" w:rsidRPr="00576EC1" w:rsidRDefault="00576EC1" w:rsidP="00E05E7C">
            <w:pPr>
              <w:jc w:val="right"/>
              <w:rPr>
                <w:rFonts w:ascii="Arial" w:hAnsi="Arial" w:cs="Arial"/>
              </w:rPr>
            </w:pPr>
          </w:p>
        </w:tc>
      </w:tr>
      <w:tr w:rsidR="00576EC1" w:rsidRPr="00576EC1" w14:paraId="61548C20" w14:textId="77777777" w:rsidTr="008F5B5F">
        <w:trPr>
          <w:trHeight w:val="300"/>
          <w:tblHeader/>
        </w:trPr>
        <w:tc>
          <w:tcPr>
            <w:tcW w:w="266" w:type="dxa"/>
            <w:tcBorders>
              <w:top w:val="nil"/>
              <w:left w:val="nil"/>
              <w:bottom w:val="nil"/>
              <w:right w:val="nil"/>
            </w:tcBorders>
            <w:shd w:val="clear" w:color="auto" w:fill="auto"/>
            <w:noWrap/>
            <w:vAlign w:val="bottom"/>
            <w:hideMark/>
          </w:tcPr>
          <w:p w14:paraId="4F6FF161" w14:textId="77777777" w:rsidR="00576EC1" w:rsidRPr="00576EC1" w:rsidRDefault="00576EC1" w:rsidP="00576EC1">
            <w:pPr>
              <w:rPr>
                <w:rFonts w:ascii="Arial" w:hAnsi="Arial" w:cs="Arial"/>
              </w:rPr>
            </w:pPr>
          </w:p>
        </w:tc>
        <w:tc>
          <w:tcPr>
            <w:tcW w:w="4540" w:type="dxa"/>
            <w:tcBorders>
              <w:top w:val="nil"/>
              <w:left w:val="nil"/>
              <w:bottom w:val="nil"/>
              <w:right w:val="nil"/>
            </w:tcBorders>
            <w:shd w:val="clear" w:color="auto" w:fill="auto"/>
            <w:noWrap/>
            <w:vAlign w:val="bottom"/>
            <w:hideMark/>
          </w:tcPr>
          <w:p w14:paraId="148BF699" w14:textId="77777777" w:rsidR="00576EC1" w:rsidRPr="00576EC1" w:rsidRDefault="00576EC1" w:rsidP="00576EC1">
            <w:pPr>
              <w:rPr>
                <w:rFonts w:ascii="Arial" w:hAnsi="Arial" w:cs="Arial"/>
                <w:color w:val="000000"/>
              </w:rPr>
            </w:pPr>
            <w:r w:rsidRPr="00576EC1">
              <w:rPr>
                <w:rFonts w:ascii="Arial" w:hAnsi="Arial" w:cs="Arial"/>
                <w:color w:val="000000"/>
              </w:rPr>
              <w:t>capitalized costs</w:t>
            </w:r>
          </w:p>
        </w:tc>
        <w:tc>
          <w:tcPr>
            <w:tcW w:w="266" w:type="dxa"/>
            <w:tcBorders>
              <w:top w:val="nil"/>
              <w:left w:val="nil"/>
              <w:bottom w:val="nil"/>
              <w:right w:val="nil"/>
            </w:tcBorders>
            <w:shd w:val="clear" w:color="auto" w:fill="auto"/>
            <w:noWrap/>
            <w:vAlign w:val="bottom"/>
            <w:hideMark/>
          </w:tcPr>
          <w:p w14:paraId="588015AF"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44CCCD11" w14:textId="77777777" w:rsidR="00576EC1" w:rsidRPr="00576EC1" w:rsidRDefault="00576EC1" w:rsidP="00E05E7C">
            <w:pPr>
              <w:jc w:val="right"/>
              <w:rPr>
                <w:rFonts w:ascii="Arial" w:hAnsi="Arial" w:cs="Arial"/>
                <w:b/>
                <w:bCs/>
                <w:color w:val="000000"/>
              </w:rPr>
            </w:pPr>
            <w:r w:rsidRPr="00576EC1">
              <w:rPr>
                <w:rFonts w:ascii="Arial" w:hAnsi="Arial" w:cs="Arial"/>
                <w:b/>
                <w:bCs/>
                <w:color w:val="000000"/>
              </w:rPr>
              <w:t>125,319</w:t>
            </w:r>
          </w:p>
        </w:tc>
        <w:tc>
          <w:tcPr>
            <w:tcW w:w="1950" w:type="dxa"/>
            <w:tcBorders>
              <w:top w:val="nil"/>
              <w:left w:val="nil"/>
              <w:bottom w:val="nil"/>
              <w:right w:val="nil"/>
            </w:tcBorders>
            <w:shd w:val="clear" w:color="auto" w:fill="auto"/>
            <w:noWrap/>
            <w:vAlign w:val="bottom"/>
            <w:hideMark/>
          </w:tcPr>
          <w:p w14:paraId="7FE3CDA1" w14:textId="77777777" w:rsidR="00576EC1" w:rsidRPr="00576EC1" w:rsidRDefault="00576EC1" w:rsidP="00E05E7C">
            <w:pPr>
              <w:jc w:val="right"/>
              <w:rPr>
                <w:rFonts w:ascii="Arial" w:hAnsi="Arial" w:cs="Arial"/>
                <w:color w:val="000000"/>
              </w:rPr>
            </w:pPr>
            <w:r w:rsidRPr="00576EC1">
              <w:rPr>
                <w:rFonts w:ascii="Arial" w:hAnsi="Arial" w:cs="Arial"/>
                <w:color w:val="000000"/>
              </w:rPr>
              <w:t>92,733</w:t>
            </w:r>
          </w:p>
        </w:tc>
      </w:tr>
      <w:tr w:rsidR="00576EC1" w:rsidRPr="00576EC1" w14:paraId="5DCE9A8A" w14:textId="77777777" w:rsidTr="008F5B5F">
        <w:trPr>
          <w:trHeight w:val="300"/>
          <w:tblHeader/>
        </w:trPr>
        <w:tc>
          <w:tcPr>
            <w:tcW w:w="4806" w:type="dxa"/>
            <w:gridSpan w:val="2"/>
            <w:tcBorders>
              <w:top w:val="nil"/>
              <w:left w:val="nil"/>
              <w:bottom w:val="nil"/>
              <w:right w:val="nil"/>
            </w:tcBorders>
            <w:shd w:val="clear" w:color="auto" w:fill="auto"/>
            <w:noWrap/>
            <w:vAlign w:val="bottom"/>
            <w:hideMark/>
          </w:tcPr>
          <w:p w14:paraId="0390A489" w14:textId="77777777" w:rsidR="00576EC1" w:rsidRPr="00576EC1" w:rsidRDefault="00576EC1" w:rsidP="00576EC1">
            <w:pPr>
              <w:rPr>
                <w:rFonts w:ascii="Arial" w:hAnsi="Arial" w:cs="Arial"/>
                <w:color w:val="000000"/>
              </w:rPr>
            </w:pPr>
            <w:r w:rsidRPr="00576EC1">
              <w:rPr>
                <w:rFonts w:ascii="Arial" w:hAnsi="Arial" w:cs="Arial"/>
                <w:color w:val="000000"/>
              </w:rPr>
              <w:t>Net write-off of biological assets</w:t>
            </w:r>
          </w:p>
        </w:tc>
        <w:tc>
          <w:tcPr>
            <w:tcW w:w="266" w:type="dxa"/>
            <w:tcBorders>
              <w:top w:val="nil"/>
              <w:left w:val="nil"/>
              <w:bottom w:val="nil"/>
              <w:right w:val="nil"/>
            </w:tcBorders>
            <w:shd w:val="clear" w:color="auto" w:fill="auto"/>
            <w:noWrap/>
            <w:vAlign w:val="bottom"/>
            <w:hideMark/>
          </w:tcPr>
          <w:p w14:paraId="5F04C760" w14:textId="77777777" w:rsidR="00576EC1" w:rsidRPr="00576EC1" w:rsidRDefault="00576EC1" w:rsidP="00576EC1">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5561A323" w14:textId="77777777" w:rsidR="00576EC1" w:rsidRPr="00576EC1" w:rsidRDefault="00576EC1" w:rsidP="00E05E7C">
            <w:pPr>
              <w:jc w:val="right"/>
              <w:rPr>
                <w:rFonts w:ascii="Arial" w:hAnsi="Arial" w:cs="Arial"/>
                <w:b/>
                <w:bCs/>
                <w:color w:val="000000"/>
              </w:rPr>
            </w:pPr>
            <w:r w:rsidRPr="00576EC1">
              <w:rPr>
                <w:rFonts w:ascii="Arial" w:hAnsi="Arial" w:cs="Arial"/>
                <w:b/>
                <w:bCs/>
                <w:color w:val="000000"/>
              </w:rPr>
              <w:t>(13,934)</w:t>
            </w:r>
          </w:p>
        </w:tc>
        <w:tc>
          <w:tcPr>
            <w:tcW w:w="1950" w:type="dxa"/>
            <w:tcBorders>
              <w:top w:val="nil"/>
              <w:left w:val="nil"/>
              <w:bottom w:val="nil"/>
              <w:right w:val="nil"/>
            </w:tcBorders>
            <w:shd w:val="clear" w:color="auto" w:fill="auto"/>
            <w:noWrap/>
            <w:vAlign w:val="bottom"/>
            <w:hideMark/>
          </w:tcPr>
          <w:p w14:paraId="1DBC59D2" w14:textId="77777777" w:rsidR="00576EC1" w:rsidRPr="00576EC1" w:rsidRDefault="00576EC1" w:rsidP="00E05E7C">
            <w:pPr>
              <w:jc w:val="right"/>
              <w:rPr>
                <w:rFonts w:ascii="Arial" w:hAnsi="Arial" w:cs="Arial"/>
                <w:color w:val="000000"/>
              </w:rPr>
            </w:pPr>
            <w:r w:rsidRPr="00576EC1">
              <w:rPr>
                <w:rFonts w:ascii="Arial" w:hAnsi="Arial" w:cs="Arial"/>
                <w:color w:val="000000"/>
              </w:rPr>
              <w:t>(21,618)</w:t>
            </w:r>
          </w:p>
        </w:tc>
      </w:tr>
      <w:tr w:rsidR="00576EC1" w:rsidRPr="00576EC1" w14:paraId="6EBB0245" w14:textId="77777777" w:rsidTr="008F5B5F">
        <w:trPr>
          <w:trHeight w:val="300"/>
          <w:tblHeader/>
        </w:trPr>
        <w:tc>
          <w:tcPr>
            <w:tcW w:w="4806" w:type="dxa"/>
            <w:gridSpan w:val="2"/>
            <w:tcBorders>
              <w:top w:val="nil"/>
              <w:left w:val="nil"/>
              <w:bottom w:val="single" w:sz="4" w:space="0" w:color="auto"/>
              <w:right w:val="nil"/>
            </w:tcBorders>
            <w:shd w:val="clear" w:color="auto" w:fill="auto"/>
            <w:noWrap/>
            <w:vAlign w:val="bottom"/>
            <w:hideMark/>
          </w:tcPr>
          <w:p w14:paraId="5A0B8463" w14:textId="77777777" w:rsidR="00576EC1" w:rsidRPr="00576EC1" w:rsidRDefault="00576EC1" w:rsidP="00576EC1">
            <w:pPr>
              <w:rPr>
                <w:rFonts w:ascii="Arial" w:hAnsi="Arial" w:cs="Arial"/>
                <w:color w:val="000000"/>
              </w:rPr>
            </w:pPr>
            <w:r w:rsidRPr="00576EC1">
              <w:rPr>
                <w:rFonts w:ascii="Arial" w:hAnsi="Arial" w:cs="Arial"/>
                <w:color w:val="000000"/>
              </w:rPr>
              <w:t>Transferred to inventory upon harvest</w:t>
            </w:r>
          </w:p>
        </w:tc>
        <w:tc>
          <w:tcPr>
            <w:tcW w:w="266" w:type="dxa"/>
            <w:tcBorders>
              <w:top w:val="nil"/>
              <w:left w:val="nil"/>
              <w:bottom w:val="single" w:sz="4" w:space="0" w:color="auto"/>
              <w:right w:val="nil"/>
            </w:tcBorders>
            <w:shd w:val="clear" w:color="auto" w:fill="auto"/>
            <w:noWrap/>
            <w:vAlign w:val="bottom"/>
            <w:hideMark/>
          </w:tcPr>
          <w:p w14:paraId="06E2A528" w14:textId="77777777" w:rsidR="00576EC1" w:rsidRPr="00576EC1" w:rsidRDefault="00576EC1" w:rsidP="00576EC1">
            <w:pPr>
              <w:rPr>
                <w:rFonts w:ascii="Arial" w:hAnsi="Arial" w:cs="Arial"/>
                <w:color w:val="000000"/>
              </w:rPr>
            </w:pPr>
            <w:r w:rsidRPr="00576EC1">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3FE6A52E" w14:textId="77777777" w:rsidR="00576EC1" w:rsidRPr="00576EC1" w:rsidRDefault="00576EC1" w:rsidP="00E05E7C">
            <w:pPr>
              <w:jc w:val="right"/>
              <w:rPr>
                <w:rFonts w:ascii="Arial" w:hAnsi="Arial" w:cs="Arial"/>
                <w:b/>
                <w:bCs/>
                <w:color w:val="000000"/>
              </w:rPr>
            </w:pPr>
            <w:r w:rsidRPr="00576EC1">
              <w:rPr>
                <w:rFonts w:ascii="Arial" w:hAnsi="Arial" w:cs="Arial"/>
                <w:b/>
                <w:bCs/>
                <w:color w:val="000000"/>
              </w:rPr>
              <w:t>(301,352)</w:t>
            </w:r>
          </w:p>
        </w:tc>
        <w:tc>
          <w:tcPr>
            <w:tcW w:w="1950" w:type="dxa"/>
            <w:tcBorders>
              <w:top w:val="nil"/>
              <w:left w:val="nil"/>
              <w:bottom w:val="single" w:sz="4" w:space="0" w:color="auto"/>
              <w:right w:val="nil"/>
            </w:tcBorders>
            <w:shd w:val="clear" w:color="auto" w:fill="auto"/>
            <w:noWrap/>
            <w:vAlign w:val="bottom"/>
            <w:hideMark/>
          </w:tcPr>
          <w:p w14:paraId="0E5BB1A7" w14:textId="77777777" w:rsidR="00576EC1" w:rsidRPr="00576EC1" w:rsidRDefault="00576EC1" w:rsidP="00E05E7C">
            <w:pPr>
              <w:jc w:val="right"/>
              <w:rPr>
                <w:rFonts w:ascii="Arial" w:hAnsi="Arial" w:cs="Arial"/>
                <w:color w:val="000000"/>
              </w:rPr>
            </w:pPr>
            <w:r w:rsidRPr="00576EC1">
              <w:rPr>
                <w:rFonts w:ascii="Arial" w:hAnsi="Arial" w:cs="Arial"/>
                <w:color w:val="000000"/>
              </w:rPr>
              <w:t>(176,222)</w:t>
            </w:r>
          </w:p>
        </w:tc>
      </w:tr>
      <w:tr w:rsidR="00576EC1" w:rsidRPr="00576EC1" w14:paraId="6A79D856" w14:textId="77777777" w:rsidTr="008F5B5F">
        <w:trPr>
          <w:trHeight w:val="300"/>
          <w:tblHeader/>
        </w:trPr>
        <w:tc>
          <w:tcPr>
            <w:tcW w:w="266" w:type="dxa"/>
            <w:tcBorders>
              <w:top w:val="nil"/>
              <w:left w:val="nil"/>
              <w:bottom w:val="nil"/>
              <w:right w:val="nil"/>
            </w:tcBorders>
            <w:shd w:val="clear" w:color="auto" w:fill="auto"/>
            <w:noWrap/>
            <w:vAlign w:val="bottom"/>
            <w:hideMark/>
          </w:tcPr>
          <w:p w14:paraId="17531086" w14:textId="77777777" w:rsidR="00576EC1" w:rsidRPr="00576EC1" w:rsidRDefault="00576EC1" w:rsidP="00576EC1">
            <w:pPr>
              <w:jc w:val="right"/>
              <w:rPr>
                <w:rFonts w:ascii="Arial" w:hAnsi="Arial" w:cs="Arial"/>
                <w:color w:val="000000"/>
              </w:rPr>
            </w:pPr>
          </w:p>
        </w:tc>
        <w:tc>
          <w:tcPr>
            <w:tcW w:w="4540" w:type="dxa"/>
            <w:tcBorders>
              <w:top w:val="nil"/>
              <w:left w:val="nil"/>
              <w:bottom w:val="nil"/>
              <w:right w:val="nil"/>
            </w:tcBorders>
            <w:shd w:val="clear" w:color="auto" w:fill="auto"/>
            <w:noWrap/>
            <w:vAlign w:val="bottom"/>
            <w:hideMark/>
          </w:tcPr>
          <w:p w14:paraId="68AD971B" w14:textId="77777777" w:rsidR="00576EC1" w:rsidRPr="00576EC1" w:rsidRDefault="00576EC1" w:rsidP="00576EC1">
            <w:pPr>
              <w:rPr>
                <w:rFonts w:ascii="Arial" w:hAnsi="Arial" w:cs="Arial"/>
              </w:rPr>
            </w:pPr>
          </w:p>
        </w:tc>
        <w:tc>
          <w:tcPr>
            <w:tcW w:w="266" w:type="dxa"/>
            <w:tcBorders>
              <w:top w:val="nil"/>
              <w:left w:val="nil"/>
              <w:bottom w:val="nil"/>
              <w:right w:val="nil"/>
            </w:tcBorders>
            <w:shd w:val="clear" w:color="auto" w:fill="auto"/>
            <w:noWrap/>
            <w:vAlign w:val="bottom"/>
            <w:hideMark/>
          </w:tcPr>
          <w:p w14:paraId="668ACA03" w14:textId="77777777" w:rsidR="00576EC1" w:rsidRPr="00576EC1" w:rsidRDefault="00576EC1" w:rsidP="00576EC1">
            <w:pPr>
              <w:rPr>
                <w:rFonts w:ascii="Arial" w:hAnsi="Arial" w:cs="Arial"/>
              </w:rPr>
            </w:pPr>
          </w:p>
        </w:tc>
        <w:tc>
          <w:tcPr>
            <w:tcW w:w="1962" w:type="dxa"/>
            <w:tcBorders>
              <w:top w:val="nil"/>
              <w:left w:val="nil"/>
              <w:bottom w:val="nil"/>
              <w:right w:val="nil"/>
            </w:tcBorders>
            <w:shd w:val="clear" w:color="auto" w:fill="auto"/>
            <w:noWrap/>
            <w:vAlign w:val="bottom"/>
            <w:hideMark/>
          </w:tcPr>
          <w:p w14:paraId="7574C1CF" w14:textId="77777777" w:rsidR="00576EC1" w:rsidRPr="00576EC1" w:rsidRDefault="00576EC1" w:rsidP="00E05E7C">
            <w:pPr>
              <w:jc w:val="right"/>
              <w:rPr>
                <w:rFonts w:ascii="Arial" w:hAnsi="Arial" w:cs="Arial"/>
              </w:rPr>
            </w:pPr>
          </w:p>
        </w:tc>
        <w:tc>
          <w:tcPr>
            <w:tcW w:w="1950" w:type="dxa"/>
            <w:tcBorders>
              <w:top w:val="nil"/>
              <w:left w:val="nil"/>
              <w:bottom w:val="nil"/>
              <w:right w:val="nil"/>
            </w:tcBorders>
            <w:shd w:val="clear" w:color="auto" w:fill="auto"/>
            <w:noWrap/>
            <w:vAlign w:val="bottom"/>
            <w:hideMark/>
          </w:tcPr>
          <w:p w14:paraId="1B3C118C" w14:textId="77777777" w:rsidR="00576EC1" w:rsidRPr="00576EC1" w:rsidRDefault="00576EC1" w:rsidP="00E05E7C">
            <w:pPr>
              <w:jc w:val="right"/>
              <w:rPr>
                <w:rFonts w:ascii="Arial" w:hAnsi="Arial" w:cs="Arial"/>
              </w:rPr>
            </w:pPr>
          </w:p>
        </w:tc>
      </w:tr>
      <w:tr w:rsidR="00576EC1" w:rsidRPr="00576EC1" w14:paraId="07B8B75E" w14:textId="77777777" w:rsidTr="008F5B5F">
        <w:trPr>
          <w:trHeight w:val="300"/>
          <w:tblHeader/>
        </w:trPr>
        <w:tc>
          <w:tcPr>
            <w:tcW w:w="4806" w:type="dxa"/>
            <w:gridSpan w:val="2"/>
            <w:tcBorders>
              <w:top w:val="nil"/>
              <w:left w:val="nil"/>
              <w:bottom w:val="single" w:sz="4" w:space="0" w:color="auto"/>
              <w:right w:val="nil"/>
            </w:tcBorders>
            <w:shd w:val="clear" w:color="auto" w:fill="auto"/>
            <w:noWrap/>
            <w:vAlign w:val="bottom"/>
            <w:hideMark/>
          </w:tcPr>
          <w:p w14:paraId="5F6D4916" w14:textId="77777777" w:rsidR="00576EC1" w:rsidRPr="00576EC1" w:rsidRDefault="00576EC1" w:rsidP="00576EC1">
            <w:pPr>
              <w:rPr>
                <w:rFonts w:ascii="Arial" w:hAnsi="Arial" w:cs="Arial"/>
                <w:color w:val="000000"/>
              </w:rPr>
            </w:pPr>
            <w:r w:rsidRPr="00576EC1">
              <w:rPr>
                <w:rFonts w:ascii="Arial" w:hAnsi="Arial" w:cs="Arial"/>
                <w:color w:val="000000"/>
              </w:rPr>
              <w:t>Balance, end of period</w:t>
            </w:r>
          </w:p>
        </w:tc>
        <w:tc>
          <w:tcPr>
            <w:tcW w:w="266" w:type="dxa"/>
            <w:tcBorders>
              <w:top w:val="nil"/>
              <w:left w:val="nil"/>
              <w:bottom w:val="single" w:sz="4" w:space="0" w:color="auto"/>
              <w:right w:val="nil"/>
            </w:tcBorders>
            <w:shd w:val="clear" w:color="auto" w:fill="auto"/>
            <w:noWrap/>
            <w:vAlign w:val="bottom"/>
            <w:hideMark/>
          </w:tcPr>
          <w:p w14:paraId="7E99B5C4" w14:textId="77777777" w:rsidR="00576EC1" w:rsidRPr="00576EC1" w:rsidRDefault="00576EC1" w:rsidP="00576EC1">
            <w:pPr>
              <w:rPr>
                <w:rFonts w:ascii="Arial" w:hAnsi="Arial" w:cs="Arial"/>
                <w:color w:val="000000"/>
              </w:rPr>
            </w:pPr>
            <w:r w:rsidRPr="00576EC1">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69DF2C2B" w14:textId="6647C717" w:rsidR="00576EC1" w:rsidRPr="00576EC1" w:rsidRDefault="00576EC1" w:rsidP="00E05E7C">
            <w:pPr>
              <w:jc w:val="right"/>
              <w:rPr>
                <w:rFonts w:ascii="Arial" w:hAnsi="Arial" w:cs="Arial"/>
                <w:b/>
                <w:bCs/>
                <w:color w:val="000000"/>
              </w:rPr>
            </w:pPr>
            <w:r w:rsidRPr="00576EC1">
              <w:rPr>
                <w:rFonts w:ascii="Arial" w:hAnsi="Arial" w:cs="Arial"/>
                <w:b/>
                <w:bCs/>
                <w:color w:val="000000"/>
              </w:rPr>
              <w:t xml:space="preserve"> $110,347</w:t>
            </w:r>
          </w:p>
        </w:tc>
        <w:tc>
          <w:tcPr>
            <w:tcW w:w="1950" w:type="dxa"/>
            <w:tcBorders>
              <w:top w:val="nil"/>
              <w:left w:val="nil"/>
              <w:bottom w:val="single" w:sz="4" w:space="0" w:color="auto"/>
              <w:right w:val="nil"/>
            </w:tcBorders>
            <w:shd w:val="clear" w:color="auto" w:fill="auto"/>
            <w:noWrap/>
            <w:vAlign w:val="bottom"/>
            <w:hideMark/>
          </w:tcPr>
          <w:p w14:paraId="31AE5326" w14:textId="3416B5C3" w:rsidR="00576EC1" w:rsidRPr="00576EC1" w:rsidRDefault="00576EC1" w:rsidP="00E05E7C">
            <w:pPr>
              <w:jc w:val="right"/>
              <w:rPr>
                <w:rFonts w:ascii="Arial" w:hAnsi="Arial" w:cs="Arial"/>
                <w:b/>
                <w:bCs/>
                <w:color w:val="000000"/>
              </w:rPr>
            </w:pPr>
            <w:r w:rsidRPr="00576EC1">
              <w:rPr>
                <w:rFonts w:ascii="Arial" w:hAnsi="Arial" w:cs="Arial"/>
                <w:b/>
                <w:bCs/>
                <w:color w:val="000000"/>
              </w:rPr>
              <w:t xml:space="preserve"> $78,975</w:t>
            </w:r>
          </w:p>
        </w:tc>
      </w:tr>
    </w:tbl>
    <w:p w14:paraId="367C8005" w14:textId="57B9810B" w:rsidR="00FD58C4" w:rsidRPr="00E94AD0" w:rsidRDefault="00FD58C4" w:rsidP="00E2198D">
      <w:pPr>
        <w:jc w:val="center"/>
        <w:rPr>
          <w:rFonts w:asciiTheme="majorBidi" w:hAnsiTheme="majorBidi" w:cstheme="majorBidi"/>
          <w:lang w:val="en-GB"/>
        </w:rPr>
      </w:pPr>
    </w:p>
    <w:p w14:paraId="441B4AA0" w14:textId="77777777" w:rsidR="00E2198D" w:rsidRPr="00E94AD0" w:rsidRDefault="00E2198D" w:rsidP="00FD58C4">
      <w:pPr>
        <w:jc w:val="both"/>
        <w:rPr>
          <w:rFonts w:asciiTheme="majorBidi" w:hAnsiTheme="majorBidi" w:cstheme="majorBidi"/>
          <w:lang w:val="en-GB"/>
        </w:rPr>
      </w:pPr>
    </w:p>
    <w:p w14:paraId="61481921" w14:textId="44374022" w:rsidR="00FD58C4" w:rsidRPr="00E94AD0" w:rsidRDefault="00FD58C4" w:rsidP="00E2198D">
      <w:pPr>
        <w:pStyle w:val="ExhibitText"/>
        <w:rPr>
          <w:lang w:val="en-GB"/>
        </w:rPr>
      </w:pPr>
      <w:r w:rsidRPr="00E94AD0">
        <w:rPr>
          <w:lang w:val="en-GB"/>
        </w:rPr>
        <w:t xml:space="preserve">Biological assets are valued in accordance with IAS 41, Agriculture, based on a market approach where fair value at the point of harvest is estimated based on selling prices less costs to sell at harvest. The </w:t>
      </w:r>
      <w:r w:rsidR="00754CF1">
        <w:rPr>
          <w:lang w:val="en-GB"/>
        </w:rPr>
        <w:t>C</w:t>
      </w:r>
      <w:r w:rsidRPr="00E94AD0">
        <w:rPr>
          <w:lang w:val="en-GB"/>
        </w:rPr>
        <w:t xml:space="preserve">ompany’s biological assets are primarily cannabis plants, and because there is no actively traded commodity market for plants or dried product, the valuation of these biological assets is obtained using valuation techniques where the inputs are based on unobservable market data (Level 3). </w:t>
      </w:r>
    </w:p>
    <w:p w14:paraId="43E2572E" w14:textId="77777777" w:rsidR="00E2198D" w:rsidRPr="00E94AD0" w:rsidRDefault="00E2198D" w:rsidP="00E2198D">
      <w:pPr>
        <w:pStyle w:val="ExhibitText"/>
        <w:rPr>
          <w:lang w:val="en-GB"/>
        </w:rPr>
      </w:pPr>
    </w:p>
    <w:p w14:paraId="25F8F49C" w14:textId="77777777" w:rsidR="00FD58C4" w:rsidRPr="00E94AD0" w:rsidRDefault="00FD58C4" w:rsidP="00E2198D">
      <w:pPr>
        <w:pStyle w:val="ExhibitText"/>
        <w:rPr>
          <w:lang w:val="en-GB"/>
        </w:rPr>
      </w:pPr>
      <w:r w:rsidRPr="00E94AD0">
        <w:rPr>
          <w:lang w:val="en-GB"/>
        </w:rPr>
        <w:t xml:space="preserve">For in-process biological assets, the fair value at point of harvest is adjusted based on the stage of growth. Stage of growth is determined by reference to costs incurred to date as a percentage of total expected costs from inception to harvest. As at September 30, 2019, the average stage of growth for the biological assets was 39%, compared to an average stage of growth of 42% as at March 31, 2019. </w:t>
      </w:r>
    </w:p>
    <w:p w14:paraId="435765E0" w14:textId="78E43222" w:rsidR="00FD58C4" w:rsidRPr="00E94AD0" w:rsidRDefault="00FD58C4" w:rsidP="00FD58C4">
      <w:pPr>
        <w:rPr>
          <w:b/>
          <w:lang w:val="en-GB"/>
        </w:rPr>
      </w:pPr>
    </w:p>
    <w:p w14:paraId="65643D3B" w14:textId="6D08CE58" w:rsidR="00E2198D" w:rsidRPr="00E94AD0" w:rsidRDefault="00E2198D">
      <w:pPr>
        <w:spacing w:after="200" w:line="276" w:lineRule="auto"/>
        <w:rPr>
          <w:b/>
          <w:lang w:val="en-GB"/>
        </w:rPr>
      </w:pPr>
      <w:r w:rsidRPr="00E94AD0">
        <w:rPr>
          <w:b/>
          <w:lang w:val="en-GB"/>
        </w:rPr>
        <w:br w:type="page"/>
      </w:r>
    </w:p>
    <w:p w14:paraId="05E10A25" w14:textId="083B6422" w:rsidR="00E2198D" w:rsidRPr="00E94AD0" w:rsidRDefault="00E2198D" w:rsidP="00E2198D">
      <w:pPr>
        <w:pStyle w:val="ExhibitHeading"/>
        <w:rPr>
          <w:lang w:val="en-GB"/>
        </w:rPr>
      </w:pPr>
      <w:r w:rsidRPr="00E94AD0">
        <w:rPr>
          <w:lang w:val="en-GB"/>
        </w:rPr>
        <w:lastRenderedPageBreak/>
        <w:t>EXHIBIT 2 (Continued)</w:t>
      </w:r>
    </w:p>
    <w:p w14:paraId="5152A32D" w14:textId="77777777" w:rsidR="00E2198D" w:rsidRPr="00E94AD0" w:rsidRDefault="00E2198D" w:rsidP="00FD58C4">
      <w:pPr>
        <w:rPr>
          <w:b/>
          <w:lang w:val="en-GB"/>
        </w:rPr>
      </w:pPr>
    </w:p>
    <w:p w14:paraId="0AEC1E3E" w14:textId="5D374B76" w:rsidR="00FD58C4" w:rsidRPr="00E94AD0" w:rsidRDefault="00FD58C4" w:rsidP="00E2198D">
      <w:pPr>
        <w:pStyle w:val="Casehead2"/>
        <w:rPr>
          <w:lang w:val="en-GB"/>
        </w:rPr>
      </w:pPr>
      <w:r w:rsidRPr="00E94AD0">
        <w:rPr>
          <w:lang w:val="en-GB"/>
        </w:rPr>
        <w:t>7. INVENTORY</w:t>
      </w:r>
    </w:p>
    <w:p w14:paraId="2D56E036" w14:textId="77777777" w:rsidR="00E2198D" w:rsidRPr="00E94AD0" w:rsidRDefault="00E2198D" w:rsidP="00FD58C4">
      <w:pPr>
        <w:rPr>
          <w:rFonts w:asciiTheme="majorBidi" w:hAnsiTheme="majorBidi" w:cstheme="majorBidi"/>
          <w:b/>
          <w:lang w:val="en-GB"/>
        </w:rPr>
      </w:pPr>
    </w:p>
    <w:p w14:paraId="1F50D82A" w14:textId="5A0DB68A" w:rsidR="00FD58C4" w:rsidRPr="00E94AD0" w:rsidRDefault="00FD58C4" w:rsidP="00E2198D">
      <w:pPr>
        <w:pStyle w:val="ExhibitText"/>
        <w:rPr>
          <w:lang w:val="en-GB"/>
        </w:rPr>
      </w:pPr>
      <w:r w:rsidRPr="00E94AD0">
        <w:rPr>
          <w:lang w:val="en-GB"/>
        </w:rPr>
        <w:t>Inventory is comprised of the following items:</w:t>
      </w:r>
    </w:p>
    <w:p w14:paraId="5B20B901" w14:textId="77777777" w:rsidR="00E2198D" w:rsidRPr="00E94AD0" w:rsidRDefault="00E2198D" w:rsidP="00E2198D">
      <w:pPr>
        <w:pStyle w:val="ExhibitText"/>
        <w:rPr>
          <w:lang w:val="en-GB"/>
        </w:rPr>
      </w:pPr>
    </w:p>
    <w:tbl>
      <w:tblPr>
        <w:tblW w:w="8760" w:type="dxa"/>
        <w:tblLook w:val="04A0" w:firstRow="1" w:lastRow="0" w:firstColumn="1" w:lastColumn="0" w:noHBand="0" w:noVBand="1"/>
        <w:tblCaption w:val=" Exhibit 2 continued"/>
        <w:tblDescription w:val="Select Canopy Financial Statement Note Disclosures "/>
      </w:tblPr>
      <w:tblGrid>
        <w:gridCol w:w="272"/>
        <w:gridCol w:w="4540"/>
        <w:gridCol w:w="1988"/>
        <w:gridCol w:w="1960"/>
      </w:tblGrid>
      <w:tr w:rsidR="005B1930" w:rsidRPr="00576EC1" w14:paraId="7C6A1C54" w14:textId="77777777" w:rsidTr="008F5B5F">
        <w:trPr>
          <w:trHeight w:val="300"/>
          <w:tblHeader/>
        </w:trPr>
        <w:tc>
          <w:tcPr>
            <w:tcW w:w="272" w:type="dxa"/>
            <w:tcBorders>
              <w:top w:val="nil"/>
              <w:left w:val="nil"/>
              <w:bottom w:val="nil"/>
              <w:right w:val="nil"/>
            </w:tcBorders>
            <w:shd w:val="clear" w:color="auto" w:fill="auto"/>
            <w:noWrap/>
            <w:vAlign w:val="bottom"/>
            <w:hideMark/>
          </w:tcPr>
          <w:p w14:paraId="0853E20C" w14:textId="77777777" w:rsidR="005B1930" w:rsidRPr="00576EC1" w:rsidRDefault="005B1930" w:rsidP="00576EC1">
            <w:pPr>
              <w:rPr>
                <w:rFonts w:ascii="Arial" w:hAnsi="Arial" w:cs="Arial"/>
              </w:rPr>
            </w:pPr>
          </w:p>
        </w:tc>
        <w:tc>
          <w:tcPr>
            <w:tcW w:w="4540" w:type="dxa"/>
            <w:tcBorders>
              <w:top w:val="nil"/>
              <w:left w:val="nil"/>
              <w:bottom w:val="nil"/>
              <w:right w:val="nil"/>
            </w:tcBorders>
            <w:shd w:val="clear" w:color="auto" w:fill="auto"/>
            <w:noWrap/>
            <w:vAlign w:val="bottom"/>
            <w:hideMark/>
          </w:tcPr>
          <w:p w14:paraId="15138FDF" w14:textId="77777777" w:rsidR="005B1930" w:rsidRPr="00576EC1" w:rsidRDefault="005B1930" w:rsidP="00576EC1">
            <w:pPr>
              <w:rPr>
                <w:rFonts w:ascii="Arial" w:hAnsi="Arial" w:cs="Arial"/>
              </w:rPr>
            </w:pPr>
          </w:p>
        </w:tc>
        <w:tc>
          <w:tcPr>
            <w:tcW w:w="1988" w:type="dxa"/>
            <w:tcBorders>
              <w:top w:val="nil"/>
              <w:left w:val="nil"/>
              <w:bottom w:val="nil"/>
              <w:right w:val="nil"/>
            </w:tcBorders>
            <w:shd w:val="clear" w:color="auto" w:fill="auto"/>
            <w:noWrap/>
            <w:vAlign w:val="bottom"/>
            <w:hideMark/>
          </w:tcPr>
          <w:p w14:paraId="04E05071" w14:textId="77777777" w:rsidR="005B1930" w:rsidRPr="00576EC1" w:rsidRDefault="005B1930" w:rsidP="00576EC1">
            <w:pPr>
              <w:jc w:val="right"/>
              <w:rPr>
                <w:rFonts w:ascii="Arial" w:hAnsi="Arial" w:cs="Arial"/>
                <w:b/>
                <w:bCs/>
                <w:color w:val="000000"/>
              </w:rPr>
            </w:pPr>
            <w:r w:rsidRPr="00576EC1">
              <w:rPr>
                <w:rFonts w:ascii="Arial" w:hAnsi="Arial" w:cs="Arial"/>
                <w:b/>
                <w:bCs/>
                <w:color w:val="000000"/>
              </w:rPr>
              <w:t>September 30,</w:t>
            </w:r>
          </w:p>
        </w:tc>
        <w:tc>
          <w:tcPr>
            <w:tcW w:w="1960" w:type="dxa"/>
            <w:tcBorders>
              <w:top w:val="nil"/>
              <w:left w:val="nil"/>
              <w:bottom w:val="nil"/>
              <w:right w:val="nil"/>
            </w:tcBorders>
            <w:shd w:val="clear" w:color="auto" w:fill="auto"/>
            <w:noWrap/>
            <w:vAlign w:val="bottom"/>
            <w:hideMark/>
          </w:tcPr>
          <w:p w14:paraId="2C7AC1D0" w14:textId="77777777" w:rsidR="005B1930" w:rsidRPr="00576EC1" w:rsidRDefault="005B1930" w:rsidP="00576EC1">
            <w:pPr>
              <w:jc w:val="right"/>
              <w:rPr>
                <w:rFonts w:ascii="Arial" w:hAnsi="Arial" w:cs="Arial"/>
                <w:color w:val="000000"/>
              </w:rPr>
            </w:pPr>
            <w:r w:rsidRPr="00576EC1">
              <w:rPr>
                <w:rFonts w:ascii="Arial" w:hAnsi="Arial" w:cs="Arial"/>
                <w:color w:val="000000"/>
              </w:rPr>
              <w:t>March 31,</w:t>
            </w:r>
          </w:p>
        </w:tc>
      </w:tr>
      <w:tr w:rsidR="005B1930" w:rsidRPr="00576EC1" w14:paraId="16B71F2A" w14:textId="77777777" w:rsidTr="008F5B5F">
        <w:trPr>
          <w:trHeight w:val="300"/>
          <w:tblHeader/>
        </w:trPr>
        <w:tc>
          <w:tcPr>
            <w:tcW w:w="272" w:type="dxa"/>
            <w:tcBorders>
              <w:top w:val="nil"/>
              <w:left w:val="nil"/>
              <w:bottom w:val="single" w:sz="4" w:space="0" w:color="auto"/>
              <w:right w:val="nil"/>
            </w:tcBorders>
            <w:shd w:val="clear" w:color="auto" w:fill="auto"/>
            <w:noWrap/>
            <w:vAlign w:val="bottom"/>
            <w:hideMark/>
          </w:tcPr>
          <w:p w14:paraId="0DCDC592" w14:textId="77777777" w:rsidR="005B1930" w:rsidRPr="00576EC1" w:rsidRDefault="005B1930" w:rsidP="00576EC1">
            <w:pPr>
              <w:rPr>
                <w:rFonts w:ascii="Arial" w:hAnsi="Arial" w:cs="Arial"/>
                <w:color w:val="000000"/>
              </w:rPr>
            </w:pPr>
            <w:r w:rsidRPr="00576EC1">
              <w:rPr>
                <w:rFonts w:ascii="Arial" w:hAnsi="Arial" w:cs="Arial"/>
                <w:color w:val="000000"/>
              </w:rPr>
              <w:t> </w:t>
            </w:r>
          </w:p>
        </w:tc>
        <w:tc>
          <w:tcPr>
            <w:tcW w:w="4540" w:type="dxa"/>
            <w:tcBorders>
              <w:top w:val="nil"/>
              <w:left w:val="nil"/>
              <w:bottom w:val="single" w:sz="4" w:space="0" w:color="auto"/>
              <w:right w:val="nil"/>
            </w:tcBorders>
            <w:shd w:val="clear" w:color="auto" w:fill="auto"/>
            <w:noWrap/>
            <w:vAlign w:val="bottom"/>
            <w:hideMark/>
          </w:tcPr>
          <w:p w14:paraId="2A2119AE" w14:textId="77777777" w:rsidR="005B1930" w:rsidRPr="00576EC1" w:rsidRDefault="005B1930" w:rsidP="00576EC1">
            <w:pPr>
              <w:rPr>
                <w:rFonts w:ascii="Arial" w:hAnsi="Arial" w:cs="Arial"/>
                <w:color w:val="000000"/>
              </w:rPr>
            </w:pPr>
            <w:r w:rsidRPr="00576EC1">
              <w:rPr>
                <w:rFonts w:ascii="Arial" w:hAnsi="Arial" w:cs="Arial"/>
                <w:color w:val="000000"/>
              </w:rPr>
              <w:t> </w:t>
            </w:r>
          </w:p>
        </w:tc>
        <w:tc>
          <w:tcPr>
            <w:tcW w:w="1988" w:type="dxa"/>
            <w:tcBorders>
              <w:top w:val="nil"/>
              <w:left w:val="nil"/>
              <w:bottom w:val="single" w:sz="4" w:space="0" w:color="auto"/>
              <w:right w:val="nil"/>
            </w:tcBorders>
            <w:shd w:val="clear" w:color="auto" w:fill="auto"/>
            <w:noWrap/>
            <w:vAlign w:val="bottom"/>
            <w:hideMark/>
          </w:tcPr>
          <w:p w14:paraId="64941ACA" w14:textId="77777777" w:rsidR="005B1930" w:rsidRPr="00576EC1" w:rsidRDefault="005B1930" w:rsidP="00576EC1">
            <w:pPr>
              <w:jc w:val="right"/>
              <w:rPr>
                <w:rFonts w:ascii="Arial" w:hAnsi="Arial" w:cs="Arial"/>
                <w:b/>
                <w:bCs/>
                <w:color w:val="000000"/>
              </w:rPr>
            </w:pPr>
            <w:r w:rsidRPr="00576EC1">
              <w:rPr>
                <w:rFonts w:ascii="Arial" w:hAnsi="Arial" w:cs="Arial"/>
                <w:b/>
                <w:bCs/>
                <w:color w:val="000000"/>
              </w:rPr>
              <w:t>2019</w:t>
            </w:r>
          </w:p>
        </w:tc>
        <w:tc>
          <w:tcPr>
            <w:tcW w:w="1960" w:type="dxa"/>
            <w:tcBorders>
              <w:top w:val="nil"/>
              <w:left w:val="nil"/>
              <w:bottom w:val="single" w:sz="4" w:space="0" w:color="auto"/>
              <w:right w:val="nil"/>
            </w:tcBorders>
            <w:shd w:val="clear" w:color="auto" w:fill="auto"/>
            <w:noWrap/>
            <w:vAlign w:val="bottom"/>
            <w:hideMark/>
          </w:tcPr>
          <w:p w14:paraId="20D49725" w14:textId="77777777" w:rsidR="005B1930" w:rsidRPr="00576EC1" w:rsidRDefault="005B1930" w:rsidP="00576EC1">
            <w:pPr>
              <w:jc w:val="right"/>
              <w:rPr>
                <w:rFonts w:ascii="Arial" w:hAnsi="Arial" w:cs="Arial"/>
                <w:color w:val="000000"/>
              </w:rPr>
            </w:pPr>
            <w:r w:rsidRPr="00576EC1">
              <w:rPr>
                <w:rFonts w:ascii="Arial" w:hAnsi="Arial" w:cs="Arial"/>
                <w:color w:val="000000"/>
              </w:rPr>
              <w:t>2019</w:t>
            </w:r>
          </w:p>
        </w:tc>
      </w:tr>
      <w:tr w:rsidR="005B1930" w:rsidRPr="00576EC1" w14:paraId="6813DEC9" w14:textId="77777777" w:rsidTr="008F5B5F">
        <w:trPr>
          <w:trHeight w:val="300"/>
          <w:tblHeader/>
        </w:trPr>
        <w:tc>
          <w:tcPr>
            <w:tcW w:w="272" w:type="dxa"/>
            <w:tcBorders>
              <w:top w:val="nil"/>
              <w:left w:val="nil"/>
              <w:bottom w:val="nil"/>
              <w:right w:val="nil"/>
            </w:tcBorders>
            <w:shd w:val="clear" w:color="auto" w:fill="auto"/>
            <w:noWrap/>
            <w:vAlign w:val="bottom"/>
            <w:hideMark/>
          </w:tcPr>
          <w:p w14:paraId="0A3354FE" w14:textId="77777777" w:rsidR="005B1930" w:rsidRPr="00576EC1" w:rsidRDefault="005B1930" w:rsidP="00576EC1">
            <w:pPr>
              <w:jc w:val="right"/>
              <w:rPr>
                <w:rFonts w:ascii="Arial" w:hAnsi="Arial" w:cs="Arial"/>
                <w:color w:val="000000"/>
              </w:rPr>
            </w:pPr>
          </w:p>
        </w:tc>
        <w:tc>
          <w:tcPr>
            <w:tcW w:w="4540" w:type="dxa"/>
            <w:tcBorders>
              <w:top w:val="nil"/>
              <w:left w:val="nil"/>
              <w:bottom w:val="nil"/>
              <w:right w:val="nil"/>
            </w:tcBorders>
            <w:shd w:val="clear" w:color="auto" w:fill="auto"/>
            <w:noWrap/>
            <w:vAlign w:val="bottom"/>
            <w:hideMark/>
          </w:tcPr>
          <w:p w14:paraId="6E5059BB" w14:textId="77777777" w:rsidR="005B1930" w:rsidRPr="00576EC1" w:rsidRDefault="005B1930" w:rsidP="00576EC1">
            <w:pPr>
              <w:rPr>
                <w:rFonts w:ascii="Arial" w:hAnsi="Arial" w:cs="Arial"/>
              </w:rPr>
            </w:pPr>
          </w:p>
        </w:tc>
        <w:tc>
          <w:tcPr>
            <w:tcW w:w="1988" w:type="dxa"/>
            <w:tcBorders>
              <w:top w:val="nil"/>
              <w:left w:val="nil"/>
              <w:bottom w:val="nil"/>
              <w:right w:val="nil"/>
            </w:tcBorders>
            <w:shd w:val="clear" w:color="auto" w:fill="auto"/>
            <w:noWrap/>
            <w:vAlign w:val="bottom"/>
            <w:hideMark/>
          </w:tcPr>
          <w:p w14:paraId="6218E888" w14:textId="77777777" w:rsidR="005B1930" w:rsidRPr="00576EC1" w:rsidRDefault="005B1930" w:rsidP="00576EC1">
            <w:pPr>
              <w:rPr>
                <w:rFonts w:ascii="Arial" w:hAnsi="Arial" w:cs="Arial"/>
              </w:rPr>
            </w:pPr>
          </w:p>
        </w:tc>
        <w:tc>
          <w:tcPr>
            <w:tcW w:w="1960" w:type="dxa"/>
            <w:tcBorders>
              <w:top w:val="nil"/>
              <w:left w:val="nil"/>
              <w:bottom w:val="nil"/>
              <w:right w:val="nil"/>
            </w:tcBorders>
            <w:shd w:val="clear" w:color="auto" w:fill="auto"/>
            <w:noWrap/>
            <w:vAlign w:val="bottom"/>
            <w:hideMark/>
          </w:tcPr>
          <w:p w14:paraId="709D92C1" w14:textId="77777777" w:rsidR="005B1930" w:rsidRPr="00576EC1" w:rsidRDefault="005B1930" w:rsidP="00576EC1">
            <w:pPr>
              <w:rPr>
                <w:rFonts w:ascii="Arial" w:hAnsi="Arial" w:cs="Arial"/>
              </w:rPr>
            </w:pPr>
          </w:p>
        </w:tc>
      </w:tr>
      <w:tr w:rsidR="005B1930" w:rsidRPr="00576EC1" w14:paraId="15FB40BE" w14:textId="77777777" w:rsidTr="008F5B5F">
        <w:trPr>
          <w:trHeight w:val="300"/>
          <w:tblHeader/>
        </w:trPr>
        <w:tc>
          <w:tcPr>
            <w:tcW w:w="4812" w:type="dxa"/>
            <w:gridSpan w:val="2"/>
            <w:tcBorders>
              <w:top w:val="nil"/>
              <w:left w:val="nil"/>
              <w:bottom w:val="nil"/>
              <w:right w:val="nil"/>
            </w:tcBorders>
            <w:shd w:val="clear" w:color="auto" w:fill="auto"/>
            <w:noWrap/>
            <w:vAlign w:val="bottom"/>
            <w:hideMark/>
          </w:tcPr>
          <w:p w14:paraId="5D56BBC8" w14:textId="77777777" w:rsidR="005B1930" w:rsidRPr="00576EC1" w:rsidRDefault="005B1930" w:rsidP="00576EC1">
            <w:pPr>
              <w:rPr>
                <w:rFonts w:ascii="Arial" w:hAnsi="Arial" w:cs="Arial"/>
                <w:color w:val="000000"/>
              </w:rPr>
            </w:pPr>
            <w:r w:rsidRPr="00576EC1">
              <w:rPr>
                <w:rFonts w:ascii="Arial" w:hAnsi="Arial" w:cs="Arial"/>
                <w:color w:val="000000"/>
              </w:rPr>
              <w:t>Finished goods</w:t>
            </w:r>
          </w:p>
        </w:tc>
        <w:tc>
          <w:tcPr>
            <w:tcW w:w="1988" w:type="dxa"/>
            <w:tcBorders>
              <w:top w:val="nil"/>
              <w:left w:val="nil"/>
              <w:bottom w:val="nil"/>
              <w:right w:val="nil"/>
            </w:tcBorders>
            <w:shd w:val="clear" w:color="auto" w:fill="auto"/>
            <w:noWrap/>
            <w:vAlign w:val="bottom"/>
            <w:hideMark/>
          </w:tcPr>
          <w:p w14:paraId="2A6F5D68" w14:textId="24432B3B" w:rsidR="005B1930" w:rsidRPr="00576EC1" w:rsidRDefault="005B1930" w:rsidP="00E05E7C">
            <w:pPr>
              <w:jc w:val="right"/>
              <w:rPr>
                <w:rFonts w:ascii="Arial" w:hAnsi="Arial" w:cs="Arial"/>
                <w:b/>
                <w:bCs/>
                <w:color w:val="000000"/>
              </w:rPr>
            </w:pPr>
            <w:r w:rsidRPr="00576EC1">
              <w:rPr>
                <w:rFonts w:ascii="Arial" w:hAnsi="Arial" w:cs="Arial"/>
                <w:b/>
                <w:bCs/>
                <w:color w:val="000000"/>
              </w:rPr>
              <w:t>$131,474</w:t>
            </w:r>
          </w:p>
        </w:tc>
        <w:tc>
          <w:tcPr>
            <w:tcW w:w="1960" w:type="dxa"/>
            <w:tcBorders>
              <w:top w:val="nil"/>
              <w:left w:val="nil"/>
              <w:bottom w:val="nil"/>
              <w:right w:val="nil"/>
            </w:tcBorders>
            <w:shd w:val="clear" w:color="auto" w:fill="auto"/>
            <w:noWrap/>
            <w:vAlign w:val="bottom"/>
            <w:hideMark/>
          </w:tcPr>
          <w:p w14:paraId="0D5F242B" w14:textId="2010EE15" w:rsidR="005B1930" w:rsidRPr="00576EC1" w:rsidRDefault="005B1930" w:rsidP="00E05E7C">
            <w:pPr>
              <w:jc w:val="right"/>
              <w:rPr>
                <w:rFonts w:ascii="Arial" w:hAnsi="Arial" w:cs="Arial"/>
                <w:color w:val="000000"/>
              </w:rPr>
            </w:pPr>
            <w:r w:rsidRPr="00576EC1">
              <w:rPr>
                <w:rFonts w:ascii="Arial" w:hAnsi="Arial" w:cs="Arial"/>
                <w:color w:val="000000"/>
              </w:rPr>
              <w:t>$49,507</w:t>
            </w:r>
          </w:p>
        </w:tc>
      </w:tr>
      <w:tr w:rsidR="005B1930" w:rsidRPr="00576EC1" w14:paraId="359AD59B" w14:textId="77777777" w:rsidTr="008F5B5F">
        <w:trPr>
          <w:trHeight w:val="300"/>
          <w:tblHeader/>
        </w:trPr>
        <w:tc>
          <w:tcPr>
            <w:tcW w:w="4812" w:type="dxa"/>
            <w:gridSpan w:val="2"/>
            <w:tcBorders>
              <w:top w:val="nil"/>
              <w:left w:val="nil"/>
              <w:bottom w:val="nil"/>
              <w:right w:val="nil"/>
            </w:tcBorders>
            <w:shd w:val="clear" w:color="auto" w:fill="auto"/>
            <w:noWrap/>
            <w:vAlign w:val="bottom"/>
            <w:hideMark/>
          </w:tcPr>
          <w:p w14:paraId="62EF7890" w14:textId="77777777" w:rsidR="005B1930" w:rsidRPr="00576EC1" w:rsidRDefault="005B1930" w:rsidP="00576EC1">
            <w:pPr>
              <w:rPr>
                <w:rFonts w:ascii="Arial" w:hAnsi="Arial" w:cs="Arial"/>
                <w:color w:val="000000"/>
              </w:rPr>
            </w:pPr>
            <w:r w:rsidRPr="00576EC1">
              <w:rPr>
                <w:rFonts w:ascii="Arial" w:hAnsi="Arial" w:cs="Arial"/>
                <w:color w:val="000000"/>
              </w:rPr>
              <w:t>Work-in-process</w:t>
            </w:r>
          </w:p>
        </w:tc>
        <w:tc>
          <w:tcPr>
            <w:tcW w:w="1988" w:type="dxa"/>
            <w:tcBorders>
              <w:top w:val="nil"/>
              <w:left w:val="nil"/>
              <w:bottom w:val="nil"/>
              <w:right w:val="nil"/>
            </w:tcBorders>
            <w:shd w:val="clear" w:color="auto" w:fill="auto"/>
            <w:noWrap/>
            <w:vAlign w:val="bottom"/>
            <w:hideMark/>
          </w:tcPr>
          <w:p w14:paraId="14B3D5C6" w14:textId="3B24C59B" w:rsidR="005B1930" w:rsidRPr="00576EC1" w:rsidRDefault="005B1930" w:rsidP="00E05E7C">
            <w:pPr>
              <w:jc w:val="right"/>
              <w:rPr>
                <w:rFonts w:ascii="Arial" w:hAnsi="Arial" w:cs="Arial"/>
                <w:b/>
                <w:bCs/>
                <w:color w:val="000000"/>
              </w:rPr>
            </w:pPr>
            <w:r w:rsidRPr="00576EC1">
              <w:rPr>
                <w:rFonts w:ascii="Arial" w:hAnsi="Arial" w:cs="Arial"/>
                <w:b/>
                <w:bCs/>
                <w:color w:val="000000"/>
              </w:rPr>
              <w:t>280,093</w:t>
            </w:r>
          </w:p>
        </w:tc>
        <w:tc>
          <w:tcPr>
            <w:tcW w:w="1960" w:type="dxa"/>
            <w:tcBorders>
              <w:top w:val="nil"/>
              <w:left w:val="nil"/>
              <w:bottom w:val="nil"/>
              <w:right w:val="nil"/>
            </w:tcBorders>
            <w:shd w:val="clear" w:color="auto" w:fill="auto"/>
            <w:noWrap/>
            <w:vAlign w:val="bottom"/>
            <w:hideMark/>
          </w:tcPr>
          <w:p w14:paraId="521CCABF" w14:textId="6BDE96D1" w:rsidR="005B1930" w:rsidRPr="00576EC1" w:rsidRDefault="005B1930" w:rsidP="00E05E7C">
            <w:pPr>
              <w:jc w:val="right"/>
              <w:rPr>
                <w:rFonts w:ascii="Arial" w:hAnsi="Arial" w:cs="Arial"/>
                <w:color w:val="000000"/>
              </w:rPr>
            </w:pPr>
            <w:r w:rsidRPr="00576EC1">
              <w:rPr>
                <w:rFonts w:ascii="Arial" w:hAnsi="Arial" w:cs="Arial"/>
                <w:color w:val="000000"/>
              </w:rPr>
              <w:t>165</w:t>
            </w:r>
            <w:r w:rsidR="00D05E75">
              <w:rPr>
                <w:rFonts w:ascii="Arial" w:hAnsi="Arial" w:cs="Arial"/>
                <w:color w:val="000000"/>
              </w:rPr>
              <w:t>,</w:t>
            </w:r>
            <w:r w:rsidRPr="00576EC1">
              <w:rPr>
                <w:rFonts w:ascii="Arial" w:hAnsi="Arial" w:cs="Arial"/>
                <w:color w:val="000000"/>
              </w:rPr>
              <w:t>462</w:t>
            </w:r>
          </w:p>
        </w:tc>
      </w:tr>
      <w:tr w:rsidR="005B1930" w:rsidRPr="00576EC1" w14:paraId="3C2DE7B8" w14:textId="77777777" w:rsidTr="008F5B5F">
        <w:trPr>
          <w:trHeight w:val="300"/>
          <w:tblHeader/>
        </w:trPr>
        <w:tc>
          <w:tcPr>
            <w:tcW w:w="4812" w:type="dxa"/>
            <w:gridSpan w:val="2"/>
            <w:tcBorders>
              <w:top w:val="nil"/>
              <w:left w:val="nil"/>
              <w:bottom w:val="nil"/>
              <w:right w:val="nil"/>
            </w:tcBorders>
            <w:shd w:val="clear" w:color="auto" w:fill="auto"/>
            <w:noWrap/>
            <w:vAlign w:val="bottom"/>
            <w:hideMark/>
          </w:tcPr>
          <w:p w14:paraId="10017B72" w14:textId="77777777" w:rsidR="005B1930" w:rsidRPr="00576EC1" w:rsidRDefault="005B1930" w:rsidP="00576EC1">
            <w:pPr>
              <w:rPr>
                <w:rFonts w:ascii="Arial" w:hAnsi="Arial" w:cs="Arial"/>
                <w:color w:val="000000"/>
              </w:rPr>
            </w:pPr>
            <w:r w:rsidRPr="00576EC1">
              <w:rPr>
                <w:rFonts w:ascii="Arial" w:hAnsi="Arial" w:cs="Arial"/>
                <w:color w:val="000000"/>
              </w:rPr>
              <w:t>Supplies and consumables</w:t>
            </w:r>
          </w:p>
        </w:tc>
        <w:tc>
          <w:tcPr>
            <w:tcW w:w="1988" w:type="dxa"/>
            <w:tcBorders>
              <w:top w:val="nil"/>
              <w:left w:val="nil"/>
              <w:bottom w:val="nil"/>
              <w:right w:val="nil"/>
            </w:tcBorders>
            <w:shd w:val="clear" w:color="auto" w:fill="auto"/>
            <w:noWrap/>
            <w:vAlign w:val="bottom"/>
            <w:hideMark/>
          </w:tcPr>
          <w:p w14:paraId="4EEB5486" w14:textId="0CBD9CFC" w:rsidR="005B1930" w:rsidRPr="00576EC1" w:rsidRDefault="005B1930" w:rsidP="00E05E7C">
            <w:pPr>
              <w:jc w:val="right"/>
              <w:rPr>
                <w:rFonts w:ascii="Arial" w:hAnsi="Arial" w:cs="Arial"/>
                <w:b/>
                <w:bCs/>
                <w:color w:val="000000"/>
              </w:rPr>
            </w:pPr>
            <w:r w:rsidRPr="00576EC1">
              <w:rPr>
                <w:rFonts w:ascii="Arial" w:hAnsi="Arial" w:cs="Arial"/>
                <w:b/>
                <w:bCs/>
                <w:color w:val="000000"/>
              </w:rPr>
              <w:t>50,190</w:t>
            </w:r>
          </w:p>
        </w:tc>
        <w:tc>
          <w:tcPr>
            <w:tcW w:w="1960" w:type="dxa"/>
            <w:tcBorders>
              <w:top w:val="nil"/>
              <w:left w:val="nil"/>
              <w:bottom w:val="nil"/>
              <w:right w:val="nil"/>
            </w:tcBorders>
            <w:shd w:val="clear" w:color="auto" w:fill="auto"/>
            <w:noWrap/>
            <w:vAlign w:val="bottom"/>
            <w:hideMark/>
          </w:tcPr>
          <w:p w14:paraId="35168660" w14:textId="77777777" w:rsidR="005B1930" w:rsidRPr="00576EC1" w:rsidRDefault="005B1930" w:rsidP="00E05E7C">
            <w:pPr>
              <w:jc w:val="right"/>
              <w:rPr>
                <w:rFonts w:ascii="Arial" w:hAnsi="Arial" w:cs="Arial"/>
                <w:color w:val="000000"/>
              </w:rPr>
            </w:pPr>
            <w:r w:rsidRPr="00576EC1">
              <w:rPr>
                <w:rFonts w:ascii="Arial" w:hAnsi="Arial" w:cs="Arial"/>
                <w:color w:val="000000"/>
              </w:rPr>
              <w:t>47,136</w:t>
            </w:r>
          </w:p>
        </w:tc>
      </w:tr>
      <w:tr w:rsidR="005B1930" w:rsidRPr="00576EC1" w14:paraId="64D89DF0" w14:textId="77777777" w:rsidTr="008F5B5F">
        <w:trPr>
          <w:trHeight w:val="300"/>
          <w:tblHeader/>
        </w:trPr>
        <w:tc>
          <w:tcPr>
            <w:tcW w:w="272" w:type="dxa"/>
            <w:tcBorders>
              <w:top w:val="nil"/>
              <w:left w:val="nil"/>
              <w:bottom w:val="nil"/>
              <w:right w:val="nil"/>
            </w:tcBorders>
            <w:shd w:val="clear" w:color="auto" w:fill="auto"/>
            <w:noWrap/>
            <w:vAlign w:val="bottom"/>
            <w:hideMark/>
          </w:tcPr>
          <w:p w14:paraId="481F4553" w14:textId="77777777" w:rsidR="005B1930" w:rsidRPr="00576EC1" w:rsidRDefault="005B1930" w:rsidP="00576EC1">
            <w:pPr>
              <w:jc w:val="right"/>
              <w:rPr>
                <w:rFonts w:ascii="Arial" w:hAnsi="Arial" w:cs="Arial"/>
                <w:color w:val="000000"/>
              </w:rPr>
            </w:pPr>
          </w:p>
        </w:tc>
        <w:tc>
          <w:tcPr>
            <w:tcW w:w="4540" w:type="dxa"/>
            <w:tcBorders>
              <w:top w:val="nil"/>
              <w:left w:val="nil"/>
              <w:bottom w:val="nil"/>
              <w:right w:val="nil"/>
            </w:tcBorders>
            <w:shd w:val="clear" w:color="auto" w:fill="auto"/>
            <w:noWrap/>
            <w:vAlign w:val="bottom"/>
            <w:hideMark/>
          </w:tcPr>
          <w:p w14:paraId="72B365EE" w14:textId="77777777" w:rsidR="005B1930" w:rsidRPr="00576EC1" w:rsidRDefault="005B1930" w:rsidP="00576EC1">
            <w:pPr>
              <w:rPr>
                <w:rFonts w:ascii="Arial" w:hAnsi="Arial" w:cs="Arial"/>
              </w:rPr>
            </w:pPr>
          </w:p>
        </w:tc>
        <w:tc>
          <w:tcPr>
            <w:tcW w:w="1988" w:type="dxa"/>
            <w:tcBorders>
              <w:top w:val="nil"/>
              <w:left w:val="nil"/>
              <w:bottom w:val="nil"/>
              <w:right w:val="nil"/>
            </w:tcBorders>
            <w:shd w:val="clear" w:color="auto" w:fill="auto"/>
            <w:noWrap/>
            <w:vAlign w:val="bottom"/>
            <w:hideMark/>
          </w:tcPr>
          <w:p w14:paraId="0C7EE858" w14:textId="77777777" w:rsidR="005B1930" w:rsidRPr="00576EC1" w:rsidRDefault="005B1930" w:rsidP="00E05E7C">
            <w:pPr>
              <w:jc w:val="right"/>
              <w:rPr>
                <w:rFonts w:ascii="Arial" w:hAnsi="Arial" w:cs="Arial"/>
              </w:rPr>
            </w:pPr>
          </w:p>
        </w:tc>
        <w:tc>
          <w:tcPr>
            <w:tcW w:w="1960" w:type="dxa"/>
            <w:tcBorders>
              <w:top w:val="nil"/>
              <w:left w:val="nil"/>
              <w:bottom w:val="nil"/>
              <w:right w:val="nil"/>
            </w:tcBorders>
            <w:shd w:val="clear" w:color="auto" w:fill="auto"/>
            <w:noWrap/>
            <w:vAlign w:val="bottom"/>
            <w:hideMark/>
          </w:tcPr>
          <w:p w14:paraId="7BA43029" w14:textId="77777777" w:rsidR="005B1930" w:rsidRPr="00576EC1" w:rsidRDefault="005B1930" w:rsidP="00E05E7C">
            <w:pPr>
              <w:jc w:val="right"/>
              <w:rPr>
                <w:rFonts w:ascii="Arial" w:hAnsi="Arial" w:cs="Arial"/>
              </w:rPr>
            </w:pPr>
          </w:p>
        </w:tc>
      </w:tr>
      <w:tr w:rsidR="005B1930" w:rsidRPr="00576EC1" w14:paraId="5D20E759" w14:textId="77777777" w:rsidTr="008F5B5F">
        <w:trPr>
          <w:trHeight w:val="300"/>
          <w:tblHeader/>
        </w:trPr>
        <w:tc>
          <w:tcPr>
            <w:tcW w:w="4812" w:type="dxa"/>
            <w:gridSpan w:val="2"/>
            <w:tcBorders>
              <w:top w:val="nil"/>
              <w:left w:val="nil"/>
              <w:bottom w:val="single" w:sz="4" w:space="0" w:color="auto"/>
              <w:right w:val="nil"/>
            </w:tcBorders>
            <w:shd w:val="clear" w:color="auto" w:fill="auto"/>
            <w:noWrap/>
            <w:vAlign w:val="bottom"/>
            <w:hideMark/>
          </w:tcPr>
          <w:p w14:paraId="652FE291" w14:textId="77777777" w:rsidR="005B1930" w:rsidRPr="00576EC1" w:rsidRDefault="005B1930" w:rsidP="00576EC1">
            <w:pPr>
              <w:rPr>
                <w:rFonts w:ascii="Arial" w:hAnsi="Arial" w:cs="Arial"/>
                <w:color w:val="000000"/>
              </w:rPr>
            </w:pPr>
            <w:r w:rsidRPr="00576EC1">
              <w:rPr>
                <w:rFonts w:ascii="Arial" w:hAnsi="Arial" w:cs="Arial"/>
                <w:color w:val="000000"/>
              </w:rPr>
              <w:t>Total Inventory</w:t>
            </w:r>
          </w:p>
        </w:tc>
        <w:tc>
          <w:tcPr>
            <w:tcW w:w="1988" w:type="dxa"/>
            <w:tcBorders>
              <w:top w:val="nil"/>
              <w:left w:val="nil"/>
              <w:bottom w:val="single" w:sz="4" w:space="0" w:color="auto"/>
              <w:right w:val="nil"/>
            </w:tcBorders>
            <w:shd w:val="clear" w:color="auto" w:fill="auto"/>
            <w:noWrap/>
            <w:vAlign w:val="bottom"/>
            <w:hideMark/>
          </w:tcPr>
          <w:p w14:paraId="05F20EE9" w14:textId="3FDE47E2" w:rsidR="005B1930" w:rsidRPr="00576EC1" w:rsidRDefault="005B1930" w:rsidP="00E05E7C">
            <w:pPr>
              <w:jc w:val="right"/>
              <w:rPr>
                <w:rFonts w:ascii="Arial" w:hAnsi="Arial" w:cs="Arial"/>
                <w:b/>
                <w:bCs/>
                <w:color w:val="000000"/>
              </w:rPr>
            </w:pPr>
            <w:r w:rsidRPr="00576EC1">
              <w:rPr>
                <w:rFonts w:ascii="Arial" w:hAnsi="Arial" w:cs="Arial"/>
                <w:b/>
                <w:bCs/>
                <w:color w:val="000000"/>
              </w:rPr>
              <w:t>$461,757</w:t>
            </w:r>
          </w:p>
        </w:tc>
        <w:tc>
          <w:tcPr>
            <w:tcW w:w="1960" w:type="dxa"/>
            <w:tcBorders>
              <w:top w:val="nil"/>
              <w:left w:val="nil"/>
              <w:bottom w:val="single" w:sz="4" w:space="0" w:color="auto"/>
              <w:right w:val="nil"/>
            </w:tcBorders>
            <w:shd w:val="clear" w:color="auto" w:fill="auto"/>
            <w:noWrap/>
            <w:vAlign w:val="bottom"/>
            <w:hideMark/>
          </w:tcPr>
          <w:p w14:paraId="3232ACEE" w14:textId="4D786D96" w:rsidR="005B1930" w:rsidRPr="00576EC1" w:rsidRDefault="005B1930" w:rsidP="00E05E7C">
            <w:pPr>
              <w:jc w:val="right"/>
              <w:rPr>
                <w:rFonts w:ascii="Arial" w:hAnsi="Arial" w:cs="Arial"/>
                <w:color w:val="000000"/>
              </w:rPr>
            </w:pPr>
            <w:r w:rsidRPr="00576EC1">
              <w:rPr>
                <w:rFonts w:ascii="Arial" w:hAnsi="Arial" w:cs="Arial"/>
                <w:color w:val="000000"/>
              </w:rPr>
              <w:t>$262,105</w:t>
            </w:r>
          </w:p>
        </w:tc>
      </w:tr>
    </w:tbl>
    <w:p w14:paraId="7B817A1A" w14:textId="48DAFADD" w:rsidR="00FD58C4" w:rsidRPr="00E94AD0" w:rsidRDefault="00FD58C4" w:rsidP="00E2198D">
      <w:pPr>
        <w:jc w:val="center"/>
        <w:rPr>
          <w:rFonts w:asciiTheme="majorBidi" w:hAnsiTheme="majorBidi" w:cstheme="majorBidi"/>
          <w:lang w:val="en-GB"/>
        </w:rPr>
      </w:pPr>
    </w:p>
    <w:p w14:paraId="6925612C" w14:textId="77777777" w:rsidR="00E2198D" w:rsidRPr="00E94AD0" w:rsidRDefault="00E2198D" w:rsidP="00E2198D">
      <w:pPr>
        <w:pStyle w:val="ExhibitText"/>
        <w:rPr>
          <w:lang w:val="en-GB"/>
        </w:rPr>
      </w:pPr>
    </w:p>
    <w:p w14:paraId="31363626" w14:textId="075792DB" w:rsidR="00FD58C4" w:rsidRPr="00E94AD0" w:rsidRDefault="00FD58C4" w:rsidP="00E2198D">
      <w:pPr>
        <w:pStyle w:val="ExhibitText"/>
        <w:rPr>
          <w:lang w:val="en-GB"/>
        </w:rPr>
      </w:pPr>
      <w:r w:rsidRPr="00E94AD0">
        <w:rPr>
          <w:lang w:val="en-GB"/>
        </w:rPr>
        <w:t>Inventory expensed during the three and six months ended September 30, 2019 was $123,247 and $219,643, respectively (three and six months ended September 30, 2018</w:t>
      </w:r>
      <w:r w:rsidR="0061403C">
        <w:rPr>
          <w:lang w:val="en-GB"/>
        </w:rPr>
        <w:t>—</w:t>
      </w:r>
      <w:r w:rsidRPr="00E94AD0">
        <w:rPr>
          <w:lang w:val="en-GB"/>
        </w:rPr>
        <w:t>$57,846 and $90,090, respectively). Included in inventory for the three and six months ended September 30, 2019 is an excess and obsolete inventory provision of $38,594, and other inventory charges of $48,030 and $66,832, respectively. Included in other inventory charges for the three and six months ended September 30, 2019 is $41,027 and $56,947</w:t>
      </w:r>
      <w:r w:rsidR="0061403C">
        <w:rPr>
          <w:lang w:val="en-GB"/>
        </w:rPr>
        <w:t>,</w:t>
      </w:r>
      <w:r w:rsidRPr="00E94AD0">
        <w:rPr>
          <w:lang w:val="en-GB"/>
        </w:rPr>
        <w:t xml:space="preserve"> respectively</w:t>
      </w:r>
      <w:r w:rsidR="0061403C">
        <w:rPr>
          <w:lang w:val="en-GB"/>
        </w:rPr>
        <w:t>,</w:t>
      </w:r>
      <w:r w:rsidRPr="00E94AD0">
        <w:rPr>
          <w:lang w:val="en-GB"/>
        </w:rPr>
        <w:t xml:space="preserve"> of net realizable value adjustments</w:t>
      </w:r>
      <w:r w:rsidR="0061403C">
        <w:rPr>
          <w:lang w:val="en-GB"/>
        </w:rPr>
        <w:t xml:space="preserve">; </w:t>
      </w:r>
      <w:r w:rsidRPr="00E94AD0">
        <w:rPr>
          <w:lang w:val="en-GB"/>
        </w:rPr>
        <w:t>$21,594 and $21,594 respectively</w:t>
      </w:r>
      <w:r w:rsidR="00716026">
        <w:rPr>
          <w:lang w:val="en-GB"/>
        </w:rPr>
        <w:t xml:space="preserve">, </w:t>
      </w:r>
      <w:r w:rsidRPr="00E94AD0">
        <w:rPr>
          <w:lang w:val="en-GB"/>
        </w:rPr>
        <w:t>of the fair value component of the excess and obsolete inventory provision</w:t>
      </w:r>
      <w:r w:rsidR="0061403C">
        <w:rPr>
          <w:lang w:val="en-GB"/>
        </w:rPr>
        <w:t xml:space="preserve">; </w:t>
      </w:r>
      <w:r w:rsidRPr="00E94AD0">
        <w:rPr>
          <w:lang w:val="en-GB"/>
        </w:rPr>
        <w:t>$2,187 and $5,069</w:t>
      </w:r>
      <w:r w:rsidR="0061403C">
        <w:rPr>
          <w:lang w:val="en-GB"/>
        </w:rPr>
        <w:t>,</w:t>
      </w:r>
      <w:r w:rsidRPr="00E94AD0">
        <w:rPr>
          <w:lang w:val="en-GB"/>
        </w:rPr>
        <w:t xml:space="preserve"> respectively</w:t>
      </w:r>
      <w:r w:rsidR="0061403C">
        <w:rPr>
          <w:lang w:val="en-GB"/>
        </w:rPr>
        <w:t>,</w:t>
      </w:r>
      <w:r w:rsidRPr="00E94AD0">
        <w:rPr>
          <w:lang w:val="en-GB"/>
        </w:rPr>
        <w:t xml:space="preserve"> of net write-offs of biological assets</w:t>
      </w:r>
      <w:r w:rsidR="0061403C">
        <w:rPr>
          <w:lang w:val="en-GB"/>
        </w:rPr>
        <w:t>;</w:t>
      </w:r>
      <w:r w:rsidRPr="00E94AD0">
        <w:rPr>
          <w:lang w:val="en-GB"/>
        </w:rPr>
        <w:t xml:space="preserve"> and ($16,778) and ($16,778)</w:t>
      </w:r>
      <w:r w:rsidR="0061403C">
        <w:rPr>
          <w:lang w:val="en-GB"/>
        </w:rPr>
        <w:t>,</w:t>
      </w:r>
      <w:r w:rsidRPr="00E94AD0">
        <w:rPr>
          <w:lang w:val="en-GB"/>
        </w:rPr>
        <w:t xml:space="preserve"> respectively</w:t>
      </w:r>
      <w:r w:rsidR="0061403C">
        <w:rPr>
          <w:lang w:val="en-GB"/>
        </w:rPr>
        <w:t>,</w:t>
      </w:r>
      <w:r w:rsidRPr="00E94AD0">
        <w:rPr>
          <w:lang w:val="en-GB"/>
        </w:rPr>
        <w:t xml:space="preserve"> of the fair value component of potential inventory returns. </w:t>
      </w:r>
    </w:p>
    <w:p w14:paraId="4F1A4621" w14:textId="77777777" w:rsidR="00E2198D" w:rsidRPr="00E94AD0" w:rsidRDefault="00E2198D" w:rsidP="00E2198D">
      <w:pPr>
        <w:pStyle w:val="ExhibitText"/>
        <w:rPr>
          <w:lang w:val="en-GB"/>
        </w:rPr>
      </w:pPr>
    </w:p>
    <w:p w14:paraId="07C82FA4" w14:textId="12240983" w:rsidR="00FD58C4" w:rsidRPr="00E94AD0" w:rsidRDefault="00FD58C4" w:rsidP="00E2198D">
      <w:pPr>
        <w:pStyle w:val="ExhibitText"/>
        <w:rPr>
          <w:lang w:val="en-GB"/>
        </w:rPr>
      </w:pPr>
      <w:r w:rsidRPr="00E94AD0">
        <w:rPr>
          <w:lang w:val="en-GB"/>
        </w:rPr>
        <w:t xml:space="preserve">The fair value changes in biological assets included in inventory sold for the three and six months ended September 30, 2019 </w:t>
      </w:r>
      <w:r w:rsidR="0061403C">
        <w:rPr>
          <w:lang w:val="en-GB"/>
        </w:rPr>
        <w:t>are</w:t>
      </w:r>
      <w:r w:rsidRPr="00E94AD0">
        <w:rPr>
          <w:lang w:val="en-GB"/>
        </w:rPr>
        <w:t xml:space="preserve"> $21,059 and $48,3</w:t>
      </w:r>
      <w:r w:rsidR="00DA2999">
        <w:rPr>
          <w:lang w:val="en-GB"/>
        </w:rPr>
        <w:t>87</w:t>
      </w:r>
      <w:r w:rsidR="0061403C">
        <w:rPr>
          <w:lang w:val="en-GB"/>
        </w:rPr>
        <w:t>, respectively</w:t>
      </w:r>
      <w:r w:rsidRPr="00E94AD0">
        <w:rPr>
          <w:lang w:val="en-GB"/>
        </w:rPr>
        <w:t xml:space="preserve">. </w:t>
      </w:r>
    </w:p>
    <w:p w14:paraId="501A0B6E" w14:textId="2C25EB66" w:rsidR="00E2198D" w:rsidRDefault="00E2198D" w:rsidP="00FD58C4">
      <w:pPr>
        <w:rPr>
          <w:lang w:val="en-GB"/>
        </w:rPr>
      </w:pPr>
    </w:p>
    <w:p w14:paraId="45C4851E" w14:textId="77777777" w:rsidR="00B778C2" w:rsidRPr="00E94AD0" w:rsidRDefault="00B778C2" w:rsidP="00FD58C4">
      <w:pPr>
        <w:rPr>
          <w:lang w:val="en-GB"/>
        </w:rPr>
      </w:pPr>
    </w:p>
    <w:p w14:paraId="79D827AD" w14:textId="4F5A7F83" w:rsidR="00FD58C4" w:rsidRPr="00E94AD0" w:rsidRDefault="00FD58C4" w:rsidP="00E2198D">
      <w:pPr>
        <w:pStyle w:val="Casehead2"/>
        <w:rPr>
          <w:lang w:val="en-GB"/>
        </w:rPr>
      </w:pPr>
      <w:r w:rsidRPr="00E94AD0">
        <w:rPr>
          <w:lang w:val="en-GB"/>
        </w:rPr>
        <w:t>9. INVESTMENTS IN EQUITY METHOD INVESTEES</w:t>
      </w:r>
    </w:p>
    <w:p w14:paraId="5DDAB415" w14:textId="77777777" w:rsidR="00E2198D" w:rsidRPr="00E94AD0" w:rsidRDefault="00E2198D" w:rsidP="00FD58C4">
      <w:pPr>
        <w:rPr>
          <w:rFonts w:asciiTheme="majorBidi" w:hAnsiTheme="majorBidi" w:cstheme="majorBidi"/>
          <w:b/>
          <w:lang w:val="en-GB"/>
        </w:rPr>
      </w:pPr>
    </w:p>
    <w:p w14:paraId="7477040B" w14:textId="12354C1D" w:rsidR="00FD58C4" w:rsidRPr="00E94AD0" w:rsidRDefault="00FD58C4" w:rsidP="00E2198D">
      <w:pPr>
        <w:pStyle w:val="ExhibitText"/>
        <w:rPr>
          <w:lang w:val="en-GB"/>
        </w:rPr>
      </w:pPr>
      <w:r w:rsidRPr="00E94AD0">
        <w:rPr>
          <w:lang w:val="en-GB"/>
        </w:rPr>
        <w:t xml:space="preserve">The following table outlines changes in the investments in associates that are accounted for using the equity method. In accordance with IAS 28, Investments in Associates and Joint Ventures, the Company has elected to account for its investments one quarter in arrears. Accordingly, certain of the figures in the following table, including the Company’s share of the investee’s net income (loss), are based on values at June 30, 2019 with adjustments for any significant transactions. </w:t>
      </w:r>
    </w:p>
    <w:p w14:paraId="21B59D26" w14:textId="77777777" w:rsidR="00E2198D" w:rsidRPr="00E94AD0" w:rsidRDefault="00E2198D" w:rsidP="005B1930">
      <w:pPr>
        <w:pStyle w:val="Footnote"/>
        <w:rPr>
          <w:lang w:val="en-GB"/>
        </w:rPr>
      </w:pPr>
    </w:p>
    <w:tbl>
      <w:tblPr>
        <w:tblW w:w="9345" w:type="dxa"/>
        <w:tblLook w:val="04A0" w:firstRow="1" w:lastRow="0" w:firstColumn="1" w:lastColumn="0" w:noHBand="0" w:noVBand="1"/>
        <w:tblCaption w:val="Exhibit 2 continued"/>
        <w:tblDescription w:val="Select Canopy Financial Statement Note Disclosures "/>
      </w:tblPr>
      <w:tblGrid>
        <w:gridCol w:w="918"/>
        <w:gridCol w:w="612"/>
        <w:gridCol w:w="1166"/>
        <w:gridCol w:w="1565"/>
        <w:gridCol w:w="951"/>
        <w:gridCol w:w="1099"/>
        <w:gridCol w:w="823"/>
        <w:gridCol w:w="1260"/>
        <w:gridCol w:w="951"/>
      </w:tblGrid>
      <w:tr w:rsidR="005B1930" w:rsidRPr="005B1930" w14:paraId="43496483" w14:textId="77777777" w:rsidTr="004C59EC">
        <w:trPr>
          <w:trHeight w:val="601"/>
        </w:trPr>
        <w:tc>
          <w:tcPr>
            <w:tcW w:w="1530" w:type="dxa"/>
            <w:gridSpan w:val="2"/>
            <w:tcBorders>
              <w:top w:val="nil"/>
              <w:left w:val="nil"/>
              <w:bottom w:val="single" w:sz="4" w:space="0" w:color="auto"/>
              <w:right w:val="nil"/>
            </w:tcBorders>
            <w:shd w:val="clear" w:color="auto" w:fill="auto"/>
            <w:noWrap/>
            <w:vAlign w:val="bottom"/>
            <w:hideMark/>
          </w:tcPr>
          <w:p w14:paraId="677FC69A" w14:textId="77777777" w:rsidR="005B1930" w:rsidRPr="005B1930" w:rsidRDefault="005B1930" w:rsidP="000A011E">
            <w:pPr>
              <w:rPr>
                <w:rFonts w:ascii="Arial" w:hAnsi="Arial" w:cs="Arial"/>
                <w:b/>
                <w:bCs/>
                <w:color w:val="000000"/>
                <w:sz w:val="18"/>
                <w:szCs w:val="18"/>
              </w:rPr>
            </w:pPr>
            <w:r w:rsidRPr="005B1930">
              <w:rPr>
                <w:rFonts w:ascii="Arial" w:hAnsi="Arial" w:cs="Arial"/>
                <w:b/>
                <w:bCs/>
                <w:color w:val="000000"/>
                <w:sz w:val="18"/>
                <w:szCs w:val="18"/>
              </w:rPr>
              <w:t>Entity</w:t>
            </w:r>
          </w:p>
        </w:tc>
        <w:tc>
          <w:tcPr>
            <w:tcW w:w="1166" w:type="dxa"/>
            <w:tcBorders>
              <w:top w:val="nil"/>
              <w:left w:val="nil"/>
              <w:bottom w:val="single" w:sz="4" w:space="0" w:color="auto"/>
              <w:right w:val="nil"/>
            </w:tcBorders>
            <w:shd w:val="clear" w:color="auto" w:fill="auto"/>
            <w:vAlign w:val="bottom"/>
            <w:hideMark/>
          </w:tcPr>
          <w:p w14:paraId="2BF2DD22" w14:textId="77777777" w:rsidR="005B1930" w:rsidRPr="005B1930" w:rsidRDefault="005B1930" w:rsidP="000A011E">
            <w:pPr>
              <w:rPr>
                <w:rFonts w:ascii="Arial" w:hAnsi="Arial" w:cs="Arial"/>
                <w:b/>
                <w:bCs/>
                <w:color w:val="000000"/>
                <w:sz w:val="18"/>
                <w:szCs w:val="18"/>
              </w:rPr>
            </w:pPr>
            <w:r w:rsidRPr="005B1930">
              <w:rPr>
                <w:rFonts w:ascii="Arial" w:hAnsi="Arial" w:cs="Arial"/>
                <w:b/>
                <w:bCs/>
                <w:color w:val="000000"/>
                <w:sz w:val="18"/>
                <w:szCs w:val="18"/>
              </w:rPr>
              <w:t>Instrument</w:t>
            </w:r>
          </w:p>
        </w:tc>
        <w:tc>
          <w:tcPr>
            <w:tcW w:w="1565" w:type="dxa"/>
            <w:tcBorders>
              <w:top w:val="nil"/>
              <w:left w:val="nil"/>
              <w:bottom w:val="single" w:sz="4" w:space="0" w:color="auto"/>
              <w:right w:val="nil"/>
            </w:tcBorders>
            <w:shd w:val="clear" w:color="auto" w:fill="auto"/>
            <w:vAlign w:val="bottom"/>
            <w:hideMark/>
          </w:tcPr>
          <w:p w14:paraId="1F1A3D5E" w14:textId="77777777" w:rsidR="005B1930" w:rsidRPr="005B1930" w:rsidRDefault="005B1930" w:rsidP="000A011E">
            <w:pPr>
              <w:jc w:val="right"/>
              <w:rPr>
                <w:rFonts w:ascii="Arial" w:hAnsi="Arial" w:cs="Arial"/>
                <w:b/>
                <w:bCs/>
                <w:color w:val="000000"/>
                <w:sz w:val="18"/>
                <w:szCs w:val="18"/>
              </w:rPr>
            </w:pPr>
            <w:r w:rsidRPr="005B1930">
              <w:rPr>
                <w:rFonts w:ascii="Arial" w:hAnsi="Arial" w:cs="Arial"/>
                <w:b/>
                <w:bCs/>
                <w:color w:val="000000"/>
                <w:sz w:val="18"/>
                <w:szCs w:val="18"/>
              </w:rPr>
              <w:t>Participating Share</w:t>
            </w:r>
          </w:p>
        </w:tc>
        <w:tc>
          <w:tcPr>
            <w:tcW w:w="951" w:type="dxa"/>
            <w:tcBorders>
              <w:top w:val="nil"/>
              <w:left w:val="nil"/>
              <w:bottom w:val="single" w:sz="4" w:space="0" w:color="auto"/>
              <w:right w:val="nil"/>
            </w:tcBorders>
            <w:shd w:val="clear" w:color="auto" w:fill="auto"/>
            <w:vAlign w:val="bottom"/>
            <w:hideMark/>
          </w:tcPr>
          <w:p w14:paraId="4CB0F4B9" w14:textId="77777777" w:rsidR="005B1930" w:rsidRPr="005B1930" w:rsidRDefault="005B1930" w:rsidP="000A011E">
            <w:pPr>
              <w:jc w:val="right"/>
              <w:rPr>
                <w:rFonts w:ascii="Arial" w:hAnsi="Arial" w:cs="Arial"/>
                <w:b/>
                <w:bCs/>
                <w:color w:val="000000"/>
                <w:sz w:val="18"/>
                <w:szCs w:val="18"/>
              </w:rPr>
            </w:pPr>
            <w:r w:rsidRPr="005B1930">
              <w:rPr>
                <w:rFonts w:ascii="Arial" w:hAnsi="Arial" w:cs="Arial"/>
                <w:b/>
                <w:bCs/>
                <w:color w:val="000000"/>
                <w:sz w:val="18"/>
                <w:szCs w:val="18"/>
              </w:rPr>
              <w:t>Balance at Mar 31, 2019</w:t>
            </w:r>
          </w:p>
        </w:tc>
        <w:tc>
          <w:tcPr>
            <w:tcW w:w="1099" w:type="dxa"/>
            <w:tcBorders>
              <w:top w:val="nil"/>
              <w:left w:val="nil"/>
              <w:bottom w:val="single" w:sz="4" w:space="0" w:color="auto"/>
              <w:right w:val="nil"/>
            </w:tcBorders>
            <w:shd w:val="clear" w:color="auto" w:fill="auto"/>
            <w:vAlign w:val="bottom"/>
            <w:hideMark/>
          </w:tcPr>
          <w:p w14:paraId="3BA9322D" w14:textId="77777777" w:rsidR="005B1930" w:rsidRPr="005B1930" w:rsidRDefault="005B1930" w:rsidP="000A011E">
            <w:pPr>
              <w:jc w:val="right"/>
              <w:rPr>
                <w:rFonts w:ascii="Arial" w:hAnsi="Arial" w:cs="Arial"/>
                <w:b/>
                <w:bCs/>
                <w:color w:val="000000"/>
                <w:sz w:val="18"/>
                <w:szCs w:val="18"/>
              </w:rPr>
            </w:pPr>
            <w:r w:rsidRPr="005B1930">
              <w:rPr>
                <w:rFonts w:ascii="Arial" w:hAnsi="Arial" w:cs="Arial"/>
                <w:b/>
                <w:bCs/>
                <w:color w:val="000000"/>
                <w:sz w:val="18"/>
                <w:szCs w:val="18"/>
              </w:rPr>
              <w:t>Additions</w:t>
            </w:r>
          </w:p>
        </w:tc>
        <w:tc>
          <w:tcPr>
            <w:tcW w:w="823" w:type="dxa"/>
            <w:tcBorders>
              <w:top w:val="nil"/>
              <w:left w:val="nil"/>
              <w:bottom w:val="single" w:sz="4" w:space="0" w:color="auto"/>
              <w:right w:val="nil"/>
            </w:tcBorders>
            <w:shd w:val="clear" w:color="auto" w:fill="auto"/>
            <w:vAlign w:val="bottom"/>
            <w:hideMark/>
          </w:tcPr>
          <w:p w14:paraId="64F6C16F" w14:textId="77777777" w:rsidR="005B1930" w:rsidRPr="005B1930" w:rsidRDefault="005B1930" w:rsidP="000A011E">
            <w:pPr>
              <w:jc w:val="right"/>
              <w:rPr>
                <w:rFonts w:ascii="Arial" w:hAnsi="Arial" w:cs="Arial"/>
                <w:b/>
                <w:bCs/>
                <w:color w:val="000000"/>
                <w:sz w:val="18"/>
                <w:szCs w:val="18"/>
              </w:rPr>
            </w:pPr>
            <w:r w:rsidRPr="005B1930">
              <w:rPr>
                <w:rFonts w:ascii="Arial" w:hAnsi="Arial" w:cs="Arial"/>
                <w:b/>
                <w:bCs/>
                <w:color w:val="000000"/>
                <w:sz w:val="18"/>
                <w:szCs w:val="18"/>
              </w:rPr>
              <w:t>Share of net loss</w:t>
            </w:r>
          </w:p>
        </w:tc>
        <w:tc>
          <w:tcPr>
            <w:tcW w:w="1260" w:type="dxa"/>
            <w:tcBorders>
              <w:top w:val="nil"/>
              <w:left w:val="nil"/>
              <w:bottom w:val="single" w:sz="4" w:space="0" w:color="auto"/>
              <w:right w:val="nil"/>
            </w:tcBorders>
            <w:shd w:val="clear" w:color="auto" w:fill="auto"/>
            <w:vAlign w:val="bottom"/>
            <w:hideMark/>
          </w:tcPr>
          <w:p w14:paraId="6967BE67" w14:textId="77777777" w:rsidR="005B1930" w:rsidRPr="005B1930" w:rsidRDefault="005B1930" w:rsidP="000A011E">
            <w:pPr>
              <w:jc w:val="right"/>
              <w:rPr>
                <w:rFonts w:ascii="Arial" w:hAnsi="Arial" w:cs="Arial"/>
                <w:b/>
                <w:bCs/>
                <w:color w:val="000000"/>
                <w:sz w:val="18"/>
                <w:szCs w:val="18"/>
              </w:rPr>
            </w:pPr>
            <w:r w:rsidRPr="005B1930">
              <w:rPr>
                <w:rFonts w:ascii="Arial" w:hAnsi="Arial" w:cs="Arial"/>
                <w:b/>
                <w:bCs/>
                <w:color w:val="000000"/>
                <w:sz w:val="18"/>
                <w:szCs w:val="18"/>
              </w:rPr>
              <w:t>Exchange Differences</w:t>
            </w:r>
          </w:p>
        </w:tc>
        <w:tc>
          <w:tcPr>
            <w:tcW w:w="951" w:type="dxa"/>
            <w:tcBorders>
              <w:top w:val="nil"/>
              <w:left w:val="nil"/>
              <w:bottom w:val="single" w:sz="4" w:space="0" w:color="auto"/>
              <w:right w:val="nil"/>
            </w:tcBorders>
            <w:shd w:val="clear" w:color="auto" w:fill="auto"/>
            <w:vAlign w:val="bottom"/>
            <w:hideMark/>
          </w:tcPr>
          <w:p w14:paraId="4C0051A7" w14:textId="77777777" w:rsidR="005B1930" w:rsidRPr="005B1930" w:rsidRDefault="005B1930" w:rsidP="000A011E">
            <w:pPr>
              <w:jc w:val="right"/>
              <w:rPr>
                <w:rFonts w:ascii="Arial" w:hAnsi="Arial" w:cs="Arial"/>
                <w:b/>
                <w:bCs/>
                <w:color w:val="000000"/>
                <w:sz w:val="18"/>
                <w:szCs w:val="18"/>
              </w:rPr>
            </w:pPr>
            <w:r w:rsidRPr="005B1930">
              <w:rPr>
                <w:rFonts w:ascii="Arial" w:hAnsi="Arial" w:cs="Arial"/>
                <w:b/>
                <w:bCs/>
                <w:color w:val="000000"/>
                <w:sz w:val="18"/>
                <w:szCs w:val="18"/>
              </w:rPr>
              <w:t>Balance at Sep 30, 2019</w:t>
            </w:r>
          </w:p>
        </w:tc>
      </w:tr>
      <w:tr w:rsidR="005B1930" w:rsidRPr="005B1930" w14:paraId="34D9A30D" w14:textId="77777777" w:rsidTr="004C59EC">
        <w:trPr>
          <w:trHeight w:val="112"/>
        </w:trPr>
        <w:tc>
          <w:tcPr>
            <w:tcW w:w="918" w:type="dxa"/>
            <w:tcBorders>
              <w:top w:val="nil"/>
              <w:left w:val="nil"/>
              <w:bottom w:val="nil"/>
              <w:right w:val="nil"/>
            </w:tcBorders>
            <w:shd w:val="clear" w:color="auto" w:fill="auto"/>
            <w:noWrap/>
            <w:vAlign w:val="bottom"/>
            <w:hideMark/>
          </w:tcPr>
          <w:p w14:paraId="71A1BE31" w14:textId="77777777" w:rsidR="005B1930" w:rsidRPr="005B1930" w:rsidRDefault="005B1930" w:rsidP="005B1930">
            <w:pPr>
              <w:jc w:val="center"/>
              <w:rPr>
                <w:rFonts w:ascii="Arial" w:hAnsi="Arial" w:cs="Arial"/>
                <w:b/>
                <w:bCs/>
                <w:color w:val="000000"/>
                <w:sz w:val="18"/>
                <w:szCs w:val="18"/>
              </w:rPr>
            </w:pPr>
          </w:p>
        </w:tc>
        <w:tc>
          <w:tcPr>
            <w:tcW w:w="612" w:type="dxa"/>
            <w:tcBorders>
              <w:top w:val="nil"/>
              <w:left w:val="nil"/>
              <w:bottom w:val="nil"/>
              <w:right w:val="nil"/>
            </w:tcBorders>
            <w:shd w:val="clear" w:color="auto" w:fill="auto"/>
            <w:noWrap/>
            <w:vAlign w:val="bottom"/>
            <w:hideMark/>
          </w:tcPr>
          <w:p w14:paraId="650A5E60" w14:textId="77777777" w:rsidR="005B1930" w:rsidRPr="005B1930" w:rsidRDefault="005B1930" w:rsidP="005B1930">
            <w:pPr>
              <w:rPr>
                <w:rFonts w:ascii="Arial" w:hAnsi="Arial" w:cs="Arial"/>
                <w:sz w:val="18"/>
                <w:szCs w:val="18"/>
              </w:rPr>
            </w:pPr>
          </w:p>
        </w:tc>
        <w:tc>
          <w:tcPr>
            <w:tcW w:w="1166" w:type="dxa"/>
            <w:tcBorders>
              <w:top w:val="nil"/>
              <w:left w:val="nil"/>
              <w:bottom w:val="nil"/>
              <w:right w:val="nil"/>
            </w:tcBorders>
            <w:shd w:val="clear" w:color="auto" w:fill="auto"/>
            <w:noWrap/>
            <w:vAlign w:val="bottom"/>
            <w:hideMark/>
          </w:tcPr>
          <w:p w14:paraId="59D37D63" w14:textId="77777777" w:rsidR="005B1930" w:rsidRPr="005B1930" w:rsidRDefault="005B1930" w:rsidP="005B1930">
            <w:pPr>
              <w:rPr>
                <w:rFonts w:ascii="Arial" w:hAnsi="Arial" w:cs="Arial"/>
                <w:sz w:val="18"/>
                <w:szCs w:val="18"/>
              </w:rPr>
            </w:pPr>
          </w:p>
        </w:tc>
        <w:tc>
          <w:tcPr>
            <w:tcW w:w="1565" w:type="dxa"/>
            <w:tcBorders>
              <w:top w:val="nil"/>
              <w:left w:val="nil"/>
              <w:bottom w:val="nil"/>
              <w:right w:val="nil"/>
            </w:tcBorders>
            <w:shd w:val="clear" w:color="auto" w:fill="auto"/>
            <w:noWrap/>
            <w:vAlign w:val="bottom"/>
            <w:hideMark/>
          </w:tcPr>
          <w:p w14:paraId="217E2A1D" w14:textId="77777777" w:rsidR="005B1930" w:rsidRPr="005B1930" w:rsidRDefault="005B1930" w:rsidP="005B1930">
            <w:pPr>
              <w:rPr>
                <w:rFonts w:ascii="Arial" w:hAnsi="Arial" w:cs="Arial"/>
                <w:sz w:val="18"/>
                <w:szCs w:val="18"/>
              </w:rPr>
            </w:pPr>
          </w:p>
        </w:tc>
        <w:tc>
          <w:tcPr>
            <w:tcW w:w="951" w:type="dxa"/>
            <w:tcBorders>
              <w:top w:val="nil"/>
              <w:left w:val="nil"/>
              <w:bottom w:val="nil"/>
              <w:right w:val="nil"/>
            </w:tcBorders>
            <w:shd w:val="clear" w:color="auto" w:fill="auto"/>
            <w:noWrap/>
            <w:vAlign w:val="bottom"/>
            <w:hideMark/>
          </w:tcPr>
          <w:p w14:paraId="00226AA3" w14:textId="77777777" w:rsidR="005B1930" w:rsidRPr="005B1930" w:rsidRDefault="005B1930" w:rsidP="005B1930">
            <w:pPr>
              <w:rPr>
                <w:rFonts w:ascii="Arial" w:hAnsi="Arial" w:cs="Arial"/>
                <w:sz w:val="18"/>
                <w:szCs w:val="18"/>
              </w:rPr>
            </w:pPr>
          </w:p>
        </w:tc>
        <w:tc>
          <w:tcPr>
            <w:tcW w:w="1099" w:type="dxa"/>
            <w:tcBorders>
              <w:top w:val="nil"/>
              <w:left w:val="nil"/>
              <w:bottom w:val="nil"/>
              <w:right w:val="nil"/>
            </w:tcBorders>
            <w:shd w:val="clear" w:color="auto" w:fill="auto"/>
            <w:noWrap/>
            <w:vAlign w:val="bottom"/>
            <w:hideMark/>
          </w:tcPr>
          <w:p w14:paraId="4361A95C" w14:textId="77777777" w:rsidR="005B1930" w:rsidRPr="005B1930" w:rsidRDefault="005B1930" w:rsidP="005B1930">
            <w:pPr>
              <w:rPr>
                <w:rFonts w:ascii="Arial" w:hAnsi="Arial" w:cs="Arial"/>
                <w:sz w:val="18"/>
                <w:szCs w:val="18"/>
              </w:rPr>
            </w:pPr>
          </w:p>
        </w:tc>
        <w:tc>
          <w:tcPr>
            <w:tcW w:w="823" w:type="dxa"/>
            <w:tcBorders>
              <w:top w:val="nil"/>
              <w:left w:val="nil"/>
              <w:bottom w:val="nil"/>
              <w:right w:val="nil"/>
            </w:tcBorders>
            <w:shd w:val="clear" w:color="auto" w:fill="auto"/>
            <w:noWrap/>
            <w:vAlign w:val="bottom"/>
            <w:hideMark/>
          </w:tcPr>
          <w:p w14:paraId="14AB0678" w14:textId="77777777" w:rsidR="005B1930" w:rsidRPr="005B1930" w:rsidRDefault="005B1930" w:rsidP="005B1930">
            <w:pPr>
              <w:rPr>
                <w:rFonts w:ascii="Arial" w:hAnsi="Arial" w:cs="Arial"/>
                <w:sz w:val="18"/>
                <w:szCs w:val="18"/>
              </w:rPr>
            </w:pPr>
          </w:p>
        </w:tc>
        <w:tc>
          <w:tcPr>
            <w:tcW w:w="1260" w:type="dxa"/>
            <w:tcBorders>
              <w:top w:val="nil"/>
              <w:left w:val="nil"/>
              <w:bottom w:val="nil"/>
              <w:right w:val="nil"/>
            </w:tcBorders>
            <w:shd w:val="clear" w:color="auto" w:fill="auto"/>
            <w:noWrap/>
            <w:vAlign w:val="bottom"/>
            <w:hideMark/>
          </w:tcPr>
          <w:p w14:paraId="0023D582" w14:textId="77777777" w:rsidR="005B1930" w:rsidRPr="005B1930" w:rsidRDefault="005B1930" w:rsidP="005B1930">
            <w:pPr>
              <w:rPr>
                <w:rFonts w:ascii="Arial" w:hAnsi="Arial" w:cs="Arial"/>
                <w:sz w:val="18"/>
                <w:szCs w:val="18"/>
              </w:rPr>
            </w:pPr>
          </w:p>
        </w:tc>
        <w:tc>
          <w:tcPr>
            <w:tcW w:w="951" w:type="dxa"/>
            <w:tcBorders>
              <w:top w:val="nil"/>
              <w:left w:val="nil"/>
              <w:bottom w:val="nil"/>
              <w:right w:val="nil"/>
            </w:tcBorders>
            <w:shd w:val="clear" w:color="auto" w:fill="auto"/>
            <w:noWrap/>
            <w:vAlign w:val="bottom"/>
            <w:hideMark/>
          </w:tcPr>
          <w:p w14:paraId="79C27A45" w14:textId="77777777" w:rsidR="005B1930" w:rsidRPr="005B1930" w:rsidRDefault="005B1930" w:rsidP="005B1930">
            <w:pPr>
              <w:rPr>
                <w:rFonts w:ascii="Arial" w:hAnsi="Arial" w:cs="Arial"/>
                <w:sz w:val="18"/>
                <w:szCs w:val="18"/>
              </w:rPr>
            </w:pPr>
          </w:p>
        </w:tc>
      </w:tr>
      <w:tr w:rsidR="005B1930" w:rsidRPr="005B1930" w14:paraId="3D7303BD" w14:textId="77777777" w:rsidTr="004C59EC">
        <w:trPr>
          <w:trHeight w:val="187"/>
        </w:trPr>
        <w:tc>
          <w:tcPr>
            <w:tcW w:w="1530" w:type="dxa"/>
            <w:gridSpan w:val="2"/>
            <w:tcBorders>
              <w:top w:val="nil"/>
              <w:left w:val="nil"/>
              <w:bottom w:val="nil"/>
              <w:right w:val="nil"/>
            </w:tcBorders>
            <w:shd w:val="clear" w:color="auto" w:fill="auto"/>
            <w:noWrap/>
            <w:vAlign w:val="bottom"/>
            <w:hideMark/>
          </w:tcPr>
          <w:p w14:paraId="1C5106DC" w14:textId="77777777" w:rsidR="005B1930" w:rsidRPr="005B1930" w:rsidRDefault="005B1930" w:rsidP="005B1930">
            <w:pPr>
              <w:rPr>
                <w:rFonts w:ascii="Arial" w:hAnsi="Arial" w:cs="Arial"/>
                <w:color w:val="000000"/>
                <w:sz w:val="18"/>
                <w:szCs w:val="18"/>
              </w:rPr>
            </w:pPr>
            <w:proofErr w:type="spellStart"/>
            <w:r w:rsidRPr="005B1930">
              <w:rPr>
                <w:rFonts w:ascii="Arial" w:hAnsi="Arial" w:cs="Arial"/>
                <w:color w:val="000000"/>
                <w:sz w:val="18"/>
                <w:szCs w:val="18"/>
              </w:rPr>
              <w:t>PharmHouse</w:t>
            </w:r>
            <w:proofErr w:type="spellEnd"/>
          </w:p>
        </w:tc>
        <w:tc>
          <w:tcPr>
            <w:tcW w:w="1166" w:type="dxa"/>
            <w:tcBorders>
              <w:top w:val="nil"/>
              <w:left w:val="nil"/>
              <w:bottom w:val="nil"/>
              <w:right w:val="nil"/>
            </w:tcBorders>
            <w:shd w:val="clear" w:color="auto" w:fill="auto"/>
            <w:noWrap/>
            <w:vAlign w:val="bottom"/>
            <w:hideMark/>
          </w:tcPr>
          <w:p w14:paraId="6B80F74B"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xml:space="preserve"> Shares </w:t>
            </w:r>
          </w:p>
        </w:tc>
        <w:tc>
          <w:tcPr>
            <w:tcW w:w="1565" w:type="dxa"/>
            <w:tcBorders>
              <w:top w:val="nil"/>
              <w:left w:val="nil"/>
              <w:bottom w:val="nil"/>
              <w:right w:val="nil"/>
            </w:tcBorders>
            <w:shd w:val="clear" w:color="auto" w:fill="auto"/>
            <w:noWrap/>
            <w:vAlign w:val="bottom"/>
            <w:hideMark/>
          </w:tcPr>
          <w:p w14:paraId="4D9BDC20"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49.0%</w:t>
            </w:r>
          </w:p>
        </w:tc>
        <w:tc>
          <w:tcPr>
            <w:tcW w:w="951" w:type="dxa"/>
            <w:tcBorders>
              <w:top w:val="nil"/>
              <w:left w:val="nil"/>
              <w:bottom w:val="nil"/>
              <w:right w:val="nil"/>
            </w:tcBorders>
            <w:shd w:val="clear" w:color="auto" w:fill="auto"/>
            <w:noWrap/>
            <w:vAlign w:val="bottom"/>
            <w:hideMark/>
          </w:tcPr>
          <w:p w14:paraId="6F589668" w14:textId="3DBAFF3E"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xml:space="preserve"> 39,278</w:t>
            </w:r>
          </w:p>
        </w:tc>
        <w:tc>
          <w:tcPr>
            <w:tcW w:w="1099" w:type="dxa"/>
            <w:tcBorders>
              <w:top w:val="nil"/>
              <w:left w:val="nil"/>
              <w:bottom w:val="nil"/>
              <w:right w:val="nil"/>
            </w:tcBorders>
            <w:shd w:val="clear" w:color="auto" w:fill="auto"/>
            <w:noWrap/>
            <w:vAlign w:val="bottom"/>
            <w:hideMark/>
          </w:tcPr>
          <w:p w14:paraId="348F0B5E" w14:textId="74D39EAE"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823" w:type="dxa"/>
            <w:tcBorders>
              <w:top w:val="nil"/>
              <w:left w:val="nil"/>
              <w:bottom w:val="nil"/>
              <w:right w:val="nil"/>
            </w:tcBorders>
            <w:shd w:val="clear" w:color="auto" w:fill="auto"/>
            <w:noWrap/>
            <w:vAlign w:val="bottom"/>
            <w:hideMark/>
          </w:tcPr>
          <w:p w14:paraId="6EB3EB17"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(695)</w:t>
            </w:r>
          </w:p>
        </w:tc>
        <w:tc>
          <w:tcPr>
            <w:tcW w:w="1260" w:type="dxa"/>
            <w:tcBorders>
              <w:top w:val="nil"/>
              <w:left w:val="nil"/>
              <w:bottom w:val="nil"/>
              <w:right w:val="nil"/>
            </w:tcBorders>
            <w:shd w:val="clear" w:color="auto" w:fill="auto"/>
            <w:noWrap/>
            <w:vAlign w:val="bottom"/>
            <w:hideMark/>
          </w:tcPr>
          <w:p w14:paraId="074EB850" w14:textId="415F13C0"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951" w:type="dxa"/>
            <w:tcBorders>
              <w:top w:val="nil"/>
              <w:left w:val="nil"/>
              <w:bottom w:val="nil"/>
              <w:right w:val="nil"/>
            </w:tcBorders>
            <w:shd w:val="clear" w:color="auto" w:fill="auto"/>
            <w:noWrap/>
            <w:vAlign w:val="bottom"/>
            <w:hideMark/>
          </w:tcPr>
          <w:p w14:paraId="7201785A" w14:textId="411AB1F8"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38,583</w:t>
            </w:r>
          </w:p>
        </w:tc>
      </w:tr>
      <w:tr w:rsidR="005B1930" w:rsidRPr="005B1930" w14:paraId="7E542C77" w14:textId="77777777" w:rsidTr="004C59EC">
        <w:trPr>
          <w:trHeight w:val="187"/>
        </w:trPr>
        <w:tc>
          <w:tcPr>
            <w:tcW w:w="1530" w:type="dxa"/>
            <w:gridSpan w:val="2"/>
            <w:tcBorders>
              <w:top w:val="nil"/>
              <w:left w:val="nil"/>
              <w:bottom w:val="nil"/>
              <w:right w:val="nil"/>
            </w:tcBorders>
            <w:shd w:val="clear" w:color="auto" w:fill="auto"/>
            <w:noWrap/>
            <w:vAlign w:val="bottom"/>
            <w:hideMark/>
          </w:tcPr>
          <w:p w14:paraId="00634AFF" w14:textId="77777777" w:rsidR="005B1930" w:rsidRPr="005B1930" w:rsidRDefault="005B1930" w:rsidP="005B1930">
            <w:pPr>
              <w:rPr>
                <w:rFonts w:ascii="Arial" w:hAnsi="Arial" w:cs="Arial"/>
                <w:color w:val="000000"/>
                <w:sz w:val="18"/>
                <w:szCs w:val="18"/>
              </w:rPr>
            </w:pPr>
            <w:proofErr w:type="spellStart"/>
            <w:r w:rsidRPr="005B1930">
              <w:rPr>
                <w:rFonts w:ascii="Arial" w:hAnsi="Arial" w:cs="Arial"/>
                <w:color w:val="000000"/>
                <w:sz w:val="18"/>
                <w:szCs w:val="18"/>
              </w:rPr>
              <w:t>Agripharm</w:t>
            </w:r>
            <w:proofErr w:type="spellEnd"/>
          </w:p>
        </w:tc>
        <w:tc>
          <w:tcPr>
            <w:tcW w:w="1166" w:type="dxa"/>
            <w:tcBorders>
              <w:top w:val="nil"/>
              <w:left w:val="nil"/>
              <w:bottom w:val="nil"/>
              <w:right w:val="nil"/>
            </w:tcBorders>
            <w:shd w:val="clear" w:color="auto" w:fill="auto"/>
            <w:noWrap/>
            <w:vAlign w:val="bottom"/>
            <w:hideMark/>
          </w:tcPr>
          <w:p w14:paraId="7C40CA3C"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xml:space="preserve"> Shares </w:t>
            </w:r>
          </w:p>
        </w:tc>
        <w:tc>
          <w:tcPr>
            <w:tcW w:w="1565" w:type="dxa"/>
            <w:tcBorders>
              <w:top w:val="nil"/>
              <w:left w:val="nil"/>
              <w:bottom w:val="nil"/>
              <w:right w:val="nil"/>
            </w:tcBorders>
            <w:shd w:val="clear" w:color="auto" w:fill="auto"/>
            <w:noWrap/>
            <w:vAlign w:val="bottom"/>
            <w:hideMark/>
          </w:tcPr>
          <w:p w14:paraId="5C9B6971"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40.0%</w:t>
            </w:r>
          </w:p>
        </w:tc>
        <w:tc>
          <w:tcPr>
            <w:tcW w:w="951" w:type="dxa"/>
            <w:tcBorders>
              <w:top w:val="nil"/>
              <w:left w:val="nil"/>
              <w:bottom w:val="nil"/>
              <w:right w:val="nil"/>
            </w:tcBorders>
            <w:shd w:val="clear" w:color="auto" w:fill="auto"/>
            <w:noWrap/>
            <w:vAlign w:val="bottom"/>
            <w:hideMark/>
          </w:tcPr>
          <w:p w14:paraId="5128EFD6" w14:textId="49DEB980"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36,127</w:t>
            </w:r>
          </w:p>
        </w:tc>
        <w:tc>
          <w:tcPr>
            <w:tcW w:w="1099" w:type="dxa"/>
            <w:tcBorders>
              <w:top w:val="nil"/>
              <w:left w:val="nil"/>
              <w:bottom w:val="nil"/>
              <w:right w:val="nil"/>
            </w:tcBorders>
            <w:shd w:val="clear" w:color="auto" w:fill="auto"/>
            <w:noWrap/>
            <w:vAlign w:val="bottom"/>
            <w:hideMark/>
          </w:tcPr>
          <w:p w14:paraId="2A85D224" w14:textId="757B6674"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823" w:type="dxa"/>
            <w:tcBorders>
              <w:top w:val="nil"/>
              <w:left w:val="nil"/>
              <w:bottom w:val="nil"/>
              <w:right w:val="nil"/>
            </w:tcBorders>
            <w:shd w:val="clear" w:color="auto" w:fill="auto"/>
            <w:noWrap/>
            <w:vAlign w:val="bottom"/>
            <w:hideMark/>
          </w:tcPr>
          <w:p w14:paraId="6ADB6A0B"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(1,593)</w:t>
            </w:r>
          </w:p>
        </w:tc>
        <w:tc>
          <w:tcPr>
            <w:tcW w:w="1260" w:type="dxa"/>
            <w:tcBorders>
              <w:top w:val="nil"/>
              <w:left w:val="nil"/>
              <w:bottom w:val="nil"/>
              <w:right w:val="nil"/>
            </w:tcBorders>
            <w:shd w:val="clear" w:color="auto" w:fill="auto"/>
            <w:noWrap/>
            <w:vAlign w:val="bottom"/>
            <w:hideMark/>
          </w:tcPr>
          <w:p w14:paraId="7E802652" w14:textId="778579B3"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951" w:type="dxa"/>
            <w:tcBorders>
              <w:top w:val="nil"/>
              <w:left w:val="nil"/>
              <w:bottom w:val="nil"/>
              <w:right w:val="nil"/>
            </w:tcBorders>
            <w:shd w:val="clear" w:color="auto" w:fill="auto"/>
            <w:noWrap/>
            <w:vAlign w:val="bottom"/>
            <w:hideMark/>
          </w:tcPr>
          <w:p w14:paraId="154B2196" w14:textId="382A5B63"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34,534</w:t>
            </w:r>
          </w:p>
        </w:tc>
      </w:tr>
      <w:tr w:rsidR="005B1930" w:rsidRPr="005B1930" w14:paraId="7FC2A346" w14:textId="77777777" w:rsidTr="004C59EC">
        <w:trPr>
          <w:trHeight w:val="187"/>
        </w:trPr>
        <w:tc>
          <w:tcPr>
            <w:tcW w:w="1530" w:type="dxa"/>
            <w:gridSpan w:val="2"/>
            <w:tcBorders>
              <w:top w:val="nil"/>
              <w:left w:val="nil"/>
              <w:bottom w:val="nil"/>
              <w:right w:val="nil"/>
            </w:tcBorders>
            <w:shd w:val="clear" w:color="auto" w:fill="auto"/>
            <w:noWrap/>
            <w:vAlign w:val="bottom"/>
            <w:hideMark/>
          </w:tcPr>
          <w:p w14:paraId="7E3ABB2D"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Beckley Canopy Therapeutics</w:t>
            </w:r>
          </w:p>
        </w:tc>
        <w:tc>
          <w:tcPr>
            <w:tcW w:w="1166" w:type="dxa"/>
            <w:tcBorders>
              <w:top w:val="nil"/>
              <w:left w:val="nil"/>
              <w:bottom w:val="nil"/>
              <w:right w:val="nil"/>
            </w:tcBorders>
            <w:shd w:val="clear" w:color="auto" w:fill="auto"/>
            <w:noWrap/>
            <w:vAlign w:val="bottom"/>
            <w:hideMark/>
          </w:tcPr>
          <w:p w14:paraId="2E2BA78F"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xml:space="preserve"> Shares </w:t>
            </w:r>
          </w:p>
        </w:tc>
        <w:tc>
          <w:tcPr>
            <w:tcW w:w="1565" w:type="dxa"/>
            <w:tcBorders>
              <w:top w:val="nil"/>
              <w:left w:val="nil"/>
              <w:bottom w:val="nil"/>
              <w:right w:val="nil"/>
            </w:tcBorders>
            <w:shd w:val="clear" w:color="auto" w:fill="auto"/>
            <w:noWrap/>
            <w:vAlign w:val="bottom"/>
            <w:hideMark/>
          </w:tcPr>
          <w:p w14:paraId="5BC7D650"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42.2%</w:t>
            </w:r>
          </w:p>
        </w:tc>
        <w:tc>
          <w:tcPr>
            <w:tcW w:w="951" w:type="dxa"/>
            <w:tcBorders>
              <w:top w:val="nil"/>
              <w:left w:val="nil"/>
              <w:bottom w:val="nil"/>
              <w:right w:val="nil"/>
            </w:tcBorders>
            <w:shd w:val="clear" w:color="auto" w:fill="auto"/>
            <w:noWrap/>
            <w:vAlign w:val="bottom"/>
            <w:hideMark/>
          </w:tcPr>
          <w:p w14:paraId="1C75B233" w14:textId="0728991C"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xml:space="preserve">11,653 </w:t>
            </w:r>
          </w:p>
        </w:tc>
        <w:tc>
          <w:tcPr>
            <w:tcW w:w="1099" w:type="dxa"/>
            <w:tcBorders>
              <w:top w:val="nil"/>
              <w:left w:val="nil"/>
              <w:bottom w:val="nil"/>
              <w:right w:val="nil"/>
            </w:tcBorders>
            <w:shd w:val="clear" w:color="auto" w:fill="auto"/>
            <w:noWrap/>
            <w:vAlign w:val="bottom"/>
            <w:hideMark/>
          </w:tcPr>
          <w:p w14:paraId="6A422105" w14:textId="1A166A0D"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823" w:type="dxa"/>
            <w:tcBorders>
              <w:top w:val="nil"/>
              <w:left w:val="nil"/>
              <w:bottom w:val="nil"/>
              <w:right w:val="nil"/>
            </w:tcBorders>
            <w:shd w:val="clear" w:color="auto" w:fill="auto"/>
            <w:noWrap/>
            <w:vAlign w:val="bottom"/>
            <w:hideMark/>
          </w:tcPr>
          <w:p w14:paraId="05F9BC80"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(385)</w:t>
            </w:r>
          </w:p>
        </w:tc>
        <w:tc>
          <w:tcPr>
            <w:tcW w:w="1260" w:type="dxa"/>
            <w:tcBorders>
              <w:top w:val="nil"/>
              <w:left w:val="nil"/>
              <w:bottom w:val="nil"/>
              <w:right w:val="nil"/>
            </w:tcBorders>
            <w:shd w:val="clear" w:color="auto" w:fill="auto"/>
            <w:noWrap/>
            <w:vAlign w:val="bottom"/>
            <w:hideMark/>
          </w:tcPr>
          <w:p w14:paraId="58C11B64" w14:textId="569AB6C5"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951" w:type="dxa"/>
            <w:tcBorders>
              <w:top w:val="nil"/>
              <w:left w:val="nil"/>
              <w:bottom w:val="nil"/>
              <w:right w:val="nil"/>
            </w:tcBorders>
            <w:shd w:val="clear" w:color="auto" w:fill="auto"/>
            <w:noWrap/>
            <w:vAlign w:val="bottom"/>
            <w:hideMark/>
          </w:tcPr>
          <w:p w14:paraId="0344C192" w14:textId="290BB490"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11,268</w:t>
            </w:r>
          </w:p>
        </w:tc>
      </w:tr>
      <w:tr w:rsidR="005B1930" w:rsidRPr="005B1930" w14:paraId="7C37D30B" w14:textId="77777777" w:rsidTr="004C59EC">
        <w:trPr>
          <w:trHeight w:val="99"/>
        </w:trPr>
        <w:tc>
          <w:tcPr>
            <w:tcW w:w="1530" w:type="dxa"/>
            <w:gridSpan w:val="2"/>
            <w:tcBorders>
              <w:top w:val="nil"/>
              <w:left w:val="nil"/>
              <w:bottom w:val="nil"/>
              <w:right w:val="nil"/>
            </w:tcBorders>
            <w:shd w:val="clear" w:color="auto" w:fill="auto"/>
            <w:noWrap/>
            <w:vAlign w:val="bottom"/>
            <w:hideMark/>
          </w:tcPr>
          <w:p w14:paraId="68FEBF32" w14:textId="77777777" w:rsidR="005B1930" w:rsidRPr="005B1930" w:rsidRDefault="005B1930" w:rsidP="005B1930">
            <w:pPr>
              <w:rPr>
                <w:rFonts w:ascii="Arial" w:hAnsi="Arial" w:cs="Arial"/>
                <w:color w:val="000000"/>
                <w:sz w:val="18"/>
                <w:szCs w:val="18"/>
              </w:rPr>
            </w:pPr>
            <w:proofErr w:type="spellStart"/>
            <w:r w:rsidRPr="005B1930">
              <w:rPr>
                <w:rFonts w:ascii="Arial" w:hAnsi="Arial" w:cs="Arial"/>
                <w:color w:val="000000"/>
                <w:sz w:val="18"/>
                <w:szCs w:val="18"/>
              </w:rPr>
              <w:t>CanpaR</w:t>
            </w:r>
            <w:proofErr w:type="spellEnd"/>
          </w:p>
        </w:tc>
        <w:tc>
          <w:tcPr>
            <w:tcW w:w="1166" w:type="dxa"/>
            <w:tcBorders>
              <w:top w:val="nil"/>
              <w:left w:val="nil"/>
              <w:bottom w:val="nil"/>
              <w:right w:val="nil"/>
            </w:tcBorders>
            <w:shd w:val="clear" w:color="auto" w:fill="auto"/>
            <w:noWrap/>
            <w:vAlign w:val="bottom"/>
            <w:hideMark/>
          </w:tcPr>
          <w:p w14:paraId="0FF9E15F"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xml:space="preserve"> Shares </w:t>
            </w:r>
          </w:p>
        </w:tc>
        <w:tc>
          <w:tcPr>
            <w:tcW w:w="1565" w:type="dxa"/>
            <w:tcBorders>
              <w:top w:val="nil"/>
              <w:left w:val="nil"/>
              <w:bottom w:val="nil"/>
              <w:right w:val="nil"/>
            </w:tcBorders>
            <w:shd w:val="clear" w:color="auto" w:fill="auto"/>
            <w:noWrap/>
            <w:vAlign w:val="bottom"/>
            <w:hideMark/>
          </w:tcPr>
          <w:p w14:paraId="0047A4D3"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49.1%</w:t>
            </w:r>
          </w:p>
        </w:tc>
        <w:tc>
          <w:tcPr>
            <w:tcW w:w="951" w:type="dxa"/>
            <w:tcBorders>
              <w:top w:val="nil"/>
              <w:left w:val="nil"/>
              <w:bottom w:val="nil"/>
              <w:right w:val="nil"/>
            </w:tcBorders>
            <w:shd w:val="clear" w:color="auto" w:fill="auto"/>
            <w:noWrap/>
            <w:vAlign w:val="bottom"/>
            <w:hideMark/>
          </w:tcPr>
          <w:p w14:paraId="578AE5AD" w14:textId="02B2B96E"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xml:space="preserve">18,062 </w:t>
            </w:r>
          </w:p>
        </w:tc>
        <w:tc>
          <w:tcPr>
            <w:tcW w:w="1099" w:type="dxa"/>
            <w:tcBorders>
              <w:top w:val="nil"/>
              <w:left w:val="nil"/>
              <w:bottom w:val="nil"/>
              <w:right w:val="nil"/>
            </w:tcBorders>
            <w:shd w:val="clear" w:color="auto" w:fill="auto"/>
            <w:noWrap/>
            <w:vAlign w:val="bottom"/>
            <w:hideMark/>
          </w:tcPr>
          <w:p w14:paraId="069A1271" w14:textId="68EF3C94"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823" w:type="dxa"/>
            <w:tcBorders>
              <w:top w:val="nil"/>
              <w:left w:val="nil"/>
              <w:bottom w:val="nil"/>
              <w:right w:val="nil"/>
            </w:tcBorders>
            <w:shd w:val="clear" w:color="auto" w:fill="auto"/>
            <w:noWrap/>
            <w:vAlign w:val="bottom"/>
            <w:hideMark/>
          </w:tcPr>
          <w:p w14:paraId="5FC22CD3"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(259)</w:t>
            </w:r>
          </w:p>
        </w:tc>
        <w:tc>
          <w:tcPr>
            <w:tcW w:w="1260" w:type="dxa"/>
            <w:tcBorders>
              <w:top w:val="nil"/>
              <w:left w:val="nil"/>
              <w:bottom w:val="nil"/>
              <w:right w:val="nil"/>
            </w:tcBorders>
            <w:shd w:val="clear" w:color="auto" w:fill="auto"/>
            <w:noWrap/>
            <w:vAlign w:val="bottom"/>
            <w:hideMark/>
          </w:tcPr>
          <w:p w14:paraId="373E8833" w14:textId="08628F64"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w:t>
            </w:r>
          </w:p>
        </w:tc>
        <w:tc>
          <w:tcPr>
            <w:tcW w:w="951" w:type="dxa"/>
            <w:tcBorders>
              <w:top w:val="nil"/>
              <w:left w:val="nil"/>
              <w:bottom w:val="nil"/>
              <w:right w:val="nil"/>
            </w:tcBorders>
            <w:shd w:val="clear" w:color="auto" w:fill="auto"/>
            <w:noWrap/>
            <w:vAlign w:val="bottom"/>
            <w:hideMark/>
          </w:tcPr>
          <w:p w14:paraId="74FBD56E" w14:textId="194FE4DD"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17,803</w:t>
            </w:r>
          </w:p>
        </w:tc>
      </w:tr>
      <w:tr w:rsidR="005B1930" w:rsidRPr="005B1930" w14:paraId="23CBF24C" w14:textId="77777777" w:rsidTr="004C59EC">
        <w:trPr>
          <w:trHeight w:val="187"/>
        </w:trPr>
        <w:tc>
          <w:tcPr>
            <w:tcW w:w="1530" w:type="dxa"/>
            <w:gridSpan w:val="2"/>
            <w:tcBorders>
              <w:top w:val="nil"/>
              <w:left w:val="nil"/>
              <w:bottom w:val="nil"/>
              <w:right w:val="nil"/>
            </w:tcBorders>
            <w:shd w:val="clear" w:color="auto" w:fill="auto"/>
            <w:noWrap/>
            <w:vAlign w:val="bottom"/>
            <w:hideMark/>
          </w:tcPr>
          <w:p w14:paraId="04A85765" w14:textId="20E449B5"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Other</w:t>
            </w:r>
          </w:p>
        </w:tc>
        <w:tc>
          <w:tcPr>
            <w:tcW w:w="1166" w:type="dxa"/>
            <w:tcBorders>
              <w:top w:val="nil"/>
              <w:left w:val="nil"/>
              <w:bottom w:val="nil"/>
              <w:right w:val="nil"/>
            </w:tcBorders>
            <w:shd w:val="clear" w:color="auto" w:fill="auto"/>
            <w:noWrap/>
            <w:vAlign w:val="bottom"/>
            <w:hideMark/>
          </w:tcPr>
          <w:p w14:paraId="492D5DB0"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xml:space="preserve"> Shares </w:t>
            </w:r>
          </w:p>
        </w:tc>
        <w:tc>
          <w:tcPr>
            <w:tcW w:w="1565" w:type="dxa"/>
            <w:vMerge w:val="restart"/>
            <w:tcBorders>
              <w:top w:val="nil"/>
              <w:left w:val="nil"/>
              <w:bottom w:val="single" w:sz="4" w:space="0" w:color="000000"/>
              <w:right w:val="nil"/>
            </w:tcBorders>
            <w:shd w:val="clear" w:color="auto" w:fill="auto"/>
            <w:vAlign w:val="bottom"/>
            <w:hideMark/>
          </w:tcPr>
          <w:p w14:paraId="6C6FF1EA" w14:textId="007F4463"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18.2% to</w:t>
            </w:r>
            <w:r w:rsidR="006F2629">
              <w:rPr>
                <w:rFonts w:ascii="Arial" w:hAnsi="Arial" w:cs="Arial"/>
                <w:color w:val="000000"/>
                <w:sz w:val="18"/>
                <w:szCs w:val="18"/>
              </w:rPr>
              <w:br/>
            </w:r>
            <w:r w:rsidRPr="005B1930">
              <w:rPr>
                <w:rFonts w:ascii="Arial" w:hAnsi="Arial" w:cs="Arial"/>
                <w:color w:val="000000"/>
                <w:sz w:val="18"/>
                <w:szCs w:val="18"/>
              </w:rPr>
              <w:t>66.7%</w:t>
            </w:r>
          </w:p>
        </w:tc>
        <w:tc>
          <w:tcPr>
            <w:tcW w:w="951" w:type="dxa"/>
            <w:tcBorders>
              <w:top w:val="nil"/>
              <w:left w:val="nil"/>
              <w:bottom w:val="nil"/>
              <w:right w:val="nil"/>
            </w:tcBorders>
            <w:shd w:val="clear" w:color="auto" w:fill="auto"/>
            <w:noWrap/>
            <w:vAlign w:val="bottom"/>
            <w:hideMark/>
          </w:tcPr>
          <w:p w14:paraId="1DA09B11" w14:textId="2D6F381F"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7,265</w:t>
            </w:r>
          </w:p>
        </w:tc>
        <w:tc>
          <w:tcPr>
            <w:tcW w:w="1099" w:type="dxa"/>
            <w:tcBorders>
              <w:top w:val="nil"/>
              <w:left w:val="nil"/>
              <w:bottom w:val="nil"/>
              <w:right w:val="nil"/>
            </w:tcBorders>
            <w:shd w:val="clear" w:color="auto" w:fill="auto"/>
            <w:noWrap/>
            <w:vAlign w:val="bottom"/>
            <w:hideMark/>
          </w:tcPr>
          <w:p w14:paraId="356994CC" w14:textId="7226462D"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4,719</w:t>
            </w:r>
          </w:p>
        </w:tc>
        <w:tc>
          <w:tcPr>
            <w:tcW w:w="823" w:type="dxa"/>
            <w:tcBorders>
              <w:top w:val="nil"/>
              <w:left w:val="nil"/>
              <w:bottom w:val="nil"/>
              <w:right w:val="nil"/>
            </w:tcBorders>
            <w:shd w:val="clear" w:color="auto" w:fill="auto"/>
            <w:noWrap/>
            <w:vAlign w:val="bottom"/>
            <w:hideMark/>
          </w:tcPr>
          <w:p w14:paraId="2E7E23BD"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(1,072)</w:t>
            </w:r>
          </w:p>
        </w:tc>
        <w:tc>
          <w:tcPr>
            <w:tcW w:w="1260" w:type="dxa"/>
            <w:tcBorders>
              <w:top w:val="nil"/>
              <w:left w:val="nil"/>
              <w:bottom w:val="nil"/>
              <w:right w:val="nil"/>
            </w:tcBorders>
            <w:shd w:val="clear" w:color="auto" w:fill="auto"/>
            <w:noWrap/>
            <w:vAlign w:val="bottom"/>
            <w:hideMark/>
          </w:tcPr>
          <w:p w14:paraId="382DC408"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(54)</w:t>
            </w:r>
          </w:p>
        </w:tc>
        <w:tc>
          <w:tcPr>
            <w:tcW w:w="951" w:type="dxa"/>
            <w:tcBorders>
              <w:top w:val="nil"/>
              <w:left w:val="nil"/>
              <w:bottom w:val="nil"/>
              <w:right w:val="nil"/>
            </w:tcBorders>
            <w:shd w:val="clear" w:color="auto" w:fill="auto"/>
            <w:noWrap/>
            <w:vAlign w:val="bottom"/>
            <w:hideMark/>
          </w:tcPr>
          <w:p w14:paraId="4EC62D7D" w14:textId="1EC8D2E9"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10,858</w:t>
            </w:r>
          </w:p>
        </w:tc>
      </w:tr>
      <w:tr w:rsidR="005B1930" w:rsidRPr="005B1930" w14:paraId="61A9CC53" w14:textId="77777777" w:rsidTr="004C59EC">
        <w:trPr>
          <w:trHeight w:val="125"/>
        </w:trPr>
        <w:tc>
          <w:tcPr>
            <w:tcW w:w="918" w:type="dxa"/>
            <w:tcBorders>
              <w:top w:val="nil"/>
              <w:left w:val="nil"/>
              <w:bottom w:val="single" w:sz="4" w:space="0" w:color="auto"/>
              <w:right w:val="nil"/>
            </w:tcBorders>
            <w:shd w:val="clear" w:color="auto" w:fill="auto"/>
            <w:noWrap/>
            <w:vAlign w:val="bottom"/>
            <w:hideMark/>
          </w:tcPr>
          <w:p w14:paraId="621B17F0"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w:t>
            </w:r>
          </w:p>
        </w:tc>
        <w:tc>
          <w:tcPr>
            <w:tcW w:w="612" w:type="dxa"/>
            <w:tcBorders>
              <w:top w:val="nil"/>
              <w:left w:val="nil"/>
              <w:bottom w:val="single" w:sz="4" w:space="0" w:color="auto"/>
              <w:right w:val="nil"/>
            </w:tcBorders>
            <w:shd w:val="clear" w:color="auto" w:fill="auto"/>
            <w:noWrap/>
            <w:vAlign w:val="bottom"/>
            <w:hideMark/>
          </w:tcPr>
          <w:p w14:paraId="44723338"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w:t>
            </w:r>
          </w:p>
        </w:tc>
        <w:tc>
          <w:tcPr>
            <w:tcW w:w="1166" w:type="dxa"/>
            <w:tcBorders>
              <w:top w:val="nil"/>
              <w:left w:val="nil"/>
              <w:bottom w:val="single" w:sz="4" w:space="0" w:color="auto"/>
              <w:right w:val="nil"/>
            </w:tcBorders>
            <w:shd w:val="clear" w:color="auto" w:fill="auto"/>
            <w:noWrap/>
            <w:vAlign w:val="bottom"/>
            <w:hideMark/>
          </w:tcPr>
          <w:p w14:paraId="6C23CDCC" w14:textId="77777777" w:rsidR="005B1930" w:rsidRPr="005B1930" w:rsidRDefault="005B1930" w:rsidP="005B1930">
            <w:pPr>
              <w:rPr>
                <w:rFonts w:ascii="Arial" w:hAnsi="Arial" w:cs="Arial"/>
                <w:b/>
                <w:bCs/>
                <w:color w:val="000000"/>
                <w:sz w:val="18"/>
                <w:szCs w:val="18"/>
              </w:rPr>
            </w:pPr>
            <w:r w:rsidRPr="005B1930">
              <w:rPr>
                <w:rFonts w:ascii="Arial" w:hAnsi="Arial" w:cs="Arial"/>
                <w:b/>
                <w:bCs/>
                <w:color w:val="000000"/>
                <w:sz w:val="18"/>
                <w:szCs w:val="18"/>
              </w:rPr>
              <w:t> </w:t>
            </w:r>
          </w:p>
        </w:tc>
        <w:tc>
          <w:tcPr>
            <w:tcW w:w="1565" w:type="dxa"/>
            <w:vMerge/>
            <w:tcBorders>
              <w:top w:val="nil"/>
              <w:left w:val="nil"/>
              <w:bottom w:val="single" w:sz="4" w:space="0" w:color="000000"/>
              <w:right w:val="nil"/>
            </w:tcBorders>
            <w:vAlign w:val="center"/>
            <w:hideMark/>
          </w:tcPr>
          <w:p w14:paraId="349AFEE0" w14:textId="77777777" w:rsidR="005B1930" w:rsidRPr="005B1930" w:rsidRDefault="005B1930" w:rsidP="00E05E7C">
            <w:pPr>
              <w:jc w:val="right"/>
              <w:rPr>
                <w:rFonts w:ascii="Arial" w:hAnsi="Arial" w:cs="Arial"/>
                <w:color w:val="000000"/>
                <w:sz w:val="18"/>
                <w:szCs w:val="18"/>
              </w:rPr>
            </w:pPr>
          </w:p>
        </w:tc>
        <w:tc>
          <w:tcPr>
            <w:tcW w:w="951" w:type="dxa"/>
            <w:tcBorders>
              <w:top w:val="nil"/>
              <w:left w:val="nil"/>
              <w:bottom w:val="single" w:sz="4" w:space="0" w:color="auto"/>
              <w:right w:val="nil"/>
            </w:tcBorders>
            <w:shd w:val="clear" w:color="auto" w:fill="auto"/>
            <w:noWrap/>
            <w:vAlign w:val="bottom"/>
            <w:hideMark/>
          </w:tcPr>
          <w:p w14:paraId="3930A347"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w:t>
            </w:r>
          </w:p>
        </w:tc>
        <w:tc>
          <w:tcPr>
            <w:tcW w:w="1099" w:type="dxa"/>
            <w:tcBorders>
              <w:top w:val="nil"/>
              <w:left w:val="nil"/>
              <w:bottom w:val="single" w:sz="4" w:space="0" w:color="auto"/>
              <w:right w:val="nil"/>
            </w:tcBorders>
            <w:shd w:val="clear" w:color="auto" w:fill="auto"/>
            <w:noWrap/>
            <w:vAlign w:val="bottom"/>
            <w:hideMark/>
          </w:tcPr>
          <w:p w14:paraId="19F4B4B6"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w:t>
            </w:r>
          </w:p>
        </w:tc>
        <w:tc>
          <w:tcPr>
            <w:tcW w:w="823" w:type="dxa"/>
            <w:tcBorders>
              <w:top w:val="nil"/>
              <w:left w:val="nil"/>
              <w:bottom w:val="single" w:sz="4" w:space="0" w:color="auto"/>
              <w:right w:val="nil"/>
            </w:tcBorders>
            <w:shd w:val="clear" w:color="auto" w:fill="auto"/>
            <w:noWrap/>
            <w:vAlign w:val="bottom"/>
            <w:hideMark/>
          </w:tcPr>
          <w:p w14:paraId="5BC55C65"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14:paraId="3D7663F6" w14:textId="4823B16A" w:rsidR="005B1930" w:rsidRPr="005B1930" w:rsidRDefault="005B1930" w:rsidP="00E05E7C">
            <w:pPr>
              <w:jc w:val="right"/>
              <w:rPr>
                <w:rFonts w:ascii="Arial" w:hAnsi="Arial" w:cs="Arial"/>
                <w:color w:val="000000"/>
                <w:sz w:val="18"/>
                <w:szCs w:val="18"/>
              </w:rPr>
            </w:pPr>
          </w:p>
        </w:tc>
        <w:tc>
          <w:tcPr>
            <w:tcW w:w="951" w:type="dxa"/>
            <w:tcBorders>
              <w:top w:val="nil"/>
              <w:left w:val="nil"/>
              <w:bottom w:val="single" w:sz="4" w:space="0" w:color="auto"/>
              <w:right w:val="nil"/>
            </w:tcBorders>
            <w:shd w:val="clear" w:color="auto" w:fill="auto"/>
            <w:noWrap/>
            <w:vAlign w:val="bottom"/>
            <w:hideMark/>
          </w:tcPr>
          <w:p w14:paraId="01E5A2F9" w14:textId="77777777"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 </w:t>
            </w:r>
          </w:p>
        </w:tc>
      </w:tr>
      <w:tr w:rsidR="005B1930" w:rsidRPr="005B1930" w14:paraId="6CF770BE" w14:textId="77777777" w:rsidTr="004C59EC">
        <w:trPr>
          <w:trHeight w:val="187"/>
        </w:trPr>
        <w:tc>
          <w:tcPr>
            <w:tcW w:w="918" w:type="dxa"/>
            <w:tcBorders>
              <w:top w:val="nil"/>
              <w:left w:val="nil"/>
              <w:bottom w:val="nil"/>
              <w:right w:val="nil"/>
            </w:tcBorders>
            <w:shd w:val="clear" w:color="auto" w:fill="auto"/>
            <w:noWrap/>
            <w:vAlign w:val="bottom"/>
            <w:hideMark/>
          </w:tcPr>
          <w:p w14:paraId="4A1069E4" w14:textId="77777777" w:rsidR="005B1930" w:rsidRPr="005B1930" w:rsidRDefault="005B1930" w:rsidP="005B1930">
            <w:pPr>
              <w:rPr>
                <w:rFonts w:ascii="Arial" w:hAnsi="Arial" w:cs="Arial"/>
                <w:b/>
                <w:bCs/>
                <w:color w:val="000000"/>
                <w:sz w:val="18"/>
                <w:szCs w:val="18"/>
              </w:rPr>
            </w:pPr>
          </w:p>
        </w:tc>
        <w:tc>
          <w:tcPr>
            <w:tcW w:w="612" w:type="dxa"/>
            <w:tcBorders>
              <w:top w:val="nil"/>
              <w:left w:val="nil"/>
              <w:bottom w:val="nil"/>
              <w:right w:val="nil"/>
            </w:tcBorders>
            <w:shd w:val="clear" w:color="auto" w:fill="auto"/>
            <w:noWrap/>
            <w:vAlign w:val="bottom"/>
            <w:hideMark/>
          </w:tcPr>
          <w:p w14:paraId="72BB2338" w14:textId="77777777" w:rsidR="005B1930" w:rsidRPr="005B1930" w:rsidRDefault="005B1930" w:rsidP="005B1930">
            <w:pPr>
              <w:rPr>
                <w:rFonts w:ascii="Arial" w:hAnsi="Arial" w:cs="Arial"/>
                <w:sz w:val="18"/>
                <w:szCs w:val="18"/>
              </w:rPr>
            </w:pPr>
          </w:p>
        </w:tc>
        <w:tc>
          <w:tcPr>
            <w:tcW w:w="1166" w:type="dxa"/>
            <w:tcBorders>
              <w:top w:val="nil"/>
              <w:left w:val="nil"/>
              <w:bottom w:val="nil"/>
              <w:right w:val="nil"/>
            </w:tcBorders>
            <w:shd w:val="clear" w:color="auto" w:fill="auto"/>
            <w:noWrap/>
            <w:vAlign w:val="bottom"/>
            <w:hideMark/>
          </w:tcPr>
          <w:p w14:paraId="104321EB" w14:textId="77777777" w:rsidR="005B1930" w:rsidRPr="005B1930" w:rsidRDefault="005B1930" w:rsidP="005B1930">
            <w:pPr>
              <w:rPr>
                <w:rFonts w:ascii="Arial" w:hAnsi="Arial" w:cs="Arial"/>
                <w:sz w:val="18"/>
                <w:szCs w:val="18"/>
              </w:rPr>
            </w:pPr>
          </w:p>
        </w:tc>
        <w:tc>
          <w:tcPr>
            <w:tcW w:w="1565" w:type="dxa"/>
            <w:tcBorders>
              <w:top w:val="nil"/>
              <w:left w:val="nil"/>
              <w:bottom w:val="nil"/>
              <w:right w:val="nil"/>
            </w:tcBorders>
            <w:shd w:val="clear" w:color="auto" w:fill="auto"/>
            <w:noWrap/>
            <w:vAlign w:val="bottom"/>
            <w:hideMark/>
          </w:tcPr>
          <w:p w14:paraId="7A78F089" w14:textId="77777777" w:rsidR="005B1930" w:rsidRPr="005B1930" w:rsidRDefault="005B1930" w:rsidP="00E05E7C">
            <w:pPr>
              <w:jc w:val="right"/>
              <w:rPr>
                <w:rFonts w:ascii="Arial" w:hAnsi="Arial" w:cs="Arial"/>
                <w:sz w:val="18"/>
                <w:szCs w:val="18"/>
              </w:rPr>
            </w:pPr>
          </w:p>
        </w:tc>
        <w:tc>
          <w:tcPr>
            <w:tcW w:w="951" w:type="dxa"/>
            <w:tcBorders>
              <w:top w:val="nil"/>
              <w:left w:val="nil"/>
              <w:bottom w:val="nil"/>
              <w:right w:val="nil"/>
            </w:tcBorders>
            <w:shd w:val="clear" w:color="auto" w:fill="auto"/>
            <w:noWrap/>
            <w:vAlign w:val="bottom"/>
            <w:hideMark/>
          </w:tcPr>
          <w:p w14:paraId="0CB0B281" w14:textId="77777777" w:rsidR="005B1930" w:rsidRPr="005B1930" w:rsidRDefault="005B1930" w:rsidP="00E05E7C">
            <w:pPr>
              <w:jc w:val="right"/>
              <w:rPr>
                <w:rFonts w:ascii="Arial" w:hAnsi="Arial" w:cs="Arial"/>
                <w:sz w:val="18"/>
                <w:szCs w:val="18"/>
              </w:rPr>
            </w:pPr>
          </w:p>
        </w:tc>
        <w:tc>
          <w:tcPr>
            <w:tcW w:w="1099" w:type="dxa"/>
            <w:tcBorders>
              <w:top w:val="nil"/>
              <w:left w:val="nil"/>
              <w:bottom w:val="nil"/>
              <w:right w:val="nil"/>
            </w:tcBorders>
            <w:shd w:val="clear" w:color="auto" w:fill="auto"/>
            <w:noWrap/>
            <w:vAlign w:val="bottom"/>
            <w:hideMark/>
          </w:tcPr>
          <w:p w14:paraId="71BCC6B8" w14:textId="77777777" w:rsidR="005B1930" w:rsidRPr="005B1930" w:rsidRDefault="005B1930" w:rsidP="00E05E7C">
            <w:pPr>
              <w:jc w:val="right"/>
              <w:rPr>
                <w:rFonts w:ascii="Arial" w:hAnsi="Arial" w:cs="Arial"/>
                <w:sz w:val="18"/>
                <w:szCs w:val="18"/>
              </w:rPr>
            </w:pPr>
          </w:p>
        </w:tc>
        <w:tc>
          <w:tcPr>
            <w:tcW w:w="823" w:type="dxa"/>
            <w:tcBorders>
              <w:top w:val="nil"/>
              <w:left w:val="nil"/>
              <w:bottom w:val="nil"/>
              <w:right w:val="nil"/>
            </w:tcBorders>
            <w:shd w:val="clear" w:color="auto" w:fill="auto"/>
            <w:noWrap/>
            <w:vAlign w:val="bottom"/>
            <w:hideMark/>
          </w:tcPr>
          <w:p w14:paraId="72206219" w14:textId="77777777" w:rsidR="005B1930" w:rsidRPr="005B1930" w:rsidRDefault="005B1930" w:rsidP="00E05E7C">
            <w:pPr>
              <w:jc w:val="right"/>
              <w:rPr>
                <w:rFonts w:ascii="Arial" w:hAnsi="Arial" w:cs="Arial"/>
                <w:sz w:val="18"/>
                <w:szCs w:val="18"/>
              </w:rPr>
            </w:pPr>
          </w:p>
        </w:tc>
        <w:tc>
          <w:tcPr>
            <w:tcW w:w="1260" w:type="dxa"/>
            <w:tcBorders>
              <w:top w:val="nil"/>
              <w:left w:val="nil"/>
              <w:bottom w:val="nil"/>
              <w:right w:val="nil"/>
            </w:tcBorders>
            <w:shd w:val="clear" w:color="auto" w:fill="auto"/>
            <w:noWrap/>
            <w:vAlign w:val="bottom"/>
            <w:hideMark/>
          </w:tcPr>
          <w:p w14:paraId="5F605097" w14:textId="77777777" w:rsidR="005B1930" w:rsidRPr="005B1930" w:rsidRDefault="005B1930" w:rsidP="00E05E7C">
            <w:pPr>
              <w:jc w:val="right"/>
              <w:rPr>
                <w:rFonts w:ascii="Arial" w:hAnsi="Arial" w:cs="Arial"/>
                <w:sz w:val="18"/>
                <w:szCs w:val="18"/>
              </w:rPr>
            </w:pPr>
          </w:p>
        </w:tc>
        <w:tc>
          <w:tcPr>
            <w:tcW w:w="951" w:type="dxa"/>
            <w:tcBorders>
              <w:top w:val="nil"/>
              <w:left w:val="nil"/>
              <w:bottom w:val="nil"/>
              <w:right w:val="nil"/>
            </w:tcBorders>
            <w:shd w:val="clear" w:color="auto" w:fill="auto"/>
            <w:noWrap/>
            <w:vAlign w:val="bottom"/>
            <w:hideMark/>
          </w:tcPr>
          <w:p w14:paraId="0D00A646" w14:textId="77777777" w:rsidR="005B1930" w:rsidRPr="005B1930" w:rsidRDefault="005B1930" w:rsidP="00E05E7C">
            <w:pPr>
              <w:jc w:val="right"/>
              <w:rPr>
                <w:rFonts w:ascii="Arial" w:hAnsi="Arial" w:cs="Arial"/>
                <w:sz w:val="18"/>
                <w:szCs w:val="18"/>
              </w:rPr>
            </w:pPr>
          </w:p>
        </w:tc>
      </w:tr>
      <w:tr w:rsidR="005B1930" w:rsidRPr="005B1930" w14:paraId="1FE06C8E" w14:textId="77777777" w:rsidTr="004C59EC">
        <w:trPr>
          <w:trHeight w:val="187"/>
        </w:trPr>
        <w:tc>
          <w:tcPr>
            <w:tcW w:w="918" w:type="dxa"/>
            <w:tcBorders>
              <w:top w:val="nil"/>
              <w:left w:val="nil"/>
              <w:bottom w:val="single" w:sz="4" w:space="0" w:color="auto"/>
              <w:right w:val="nil"/>
            </w:tcBorders>
            <w:shd w:val="clear" w:color="auto" w:fill="auto"/>
            <w:noWrap/>
            <w:vAlign w:val="bottom"/>
            <w:hideMark/>
          </w:tcPr>
          <w:p w14:paraId="6BAD1465"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w:t>
            </w:r>
          </w:p>
        </w:tc>
        <w:tc>
          <w:tcPr>
            <w:tcW w:w="612" w:type="dxa"/>
            <w:tcBorders>
              <w:top w:val="nil"/>
              <w:left w:val="nil"/>
              <w:bottom w:val="single" w:sz="4" w:space="0" w:color="auto"/>
              <w:right w:val="nil"/>
            </w:tcBorders>
            <w:shd w:val="clear" w:color="auto" w:fill="auto"/>
            <w:noWrap/>
            <w:vAlign w:val="bottom"/>
            <w:hideMark/>
          </w:tcPr>
          <w:p w14:paraId="69F44BC4" w14:textId="77777777" w:rsidR="005B1930" w:rsidRPr="005B1930" w:rsidRDefault="005B1930" w:rsidP="005B1930">
            <w:pPr>
              <w:rPr>
                <w:rFonts w:ascii="Arial" w:hAnsi="Arial" w:cs="Arial"/>
                <w:color w:val="000000"/>
                <w:sz w:val="18"/>
                <w:szCs w:val="18"/>
              </w:rPr>
            </w:pPr>
            <w:r w:rsidRPr="005B1930">
              <w:rPr>
                <w:rFonts w:ascii="Arial" w:hAnsi="Arial" w:cs="Arial"/>
                <w:color w:val="000000"/>
                <w:sz w:val="18"/>
                <w:szCs w:val="18"/>
              </w:rPr>
              <w:t> </w:t>
            </w:r>
          </w:p>
        </w:tc>
        <w:tc>
          <w:tcPr>
            <w:tcW w:w="1166" w:type="dxa"/>
            <w:tcBorders>
              <w:top w:val="nil"/>
              <w:left w:val="nil"/>
              <w:bottom w:val="single" w:sz="4" w:space="0" w:color="auto"/>
              <w:right w:val="nil"/>
            </w:tcBorders>
            <w:shd w:val="clear" w:color="auto" w:fill="auto"/>
            <w:noWrap/>
            <w:vAlign w:val="bottom"/>
            <w:hideMark/>
          </w:tcPr>
          <w:p w14:paraId="5C0B9FC1" w14:textId="77777777" w:rsidR="005B1930" w:rsidRPr="005B1930" w:rsidRDefault="005B1930" w:rsidP="005B1930">
            <w:pPr>
              <w:rPr>
                <w:rFonts w:ascii="Arial" w:hAnsi="Arial" w:cs="Arial"/>
                <w:b/>
                <w:bCs/>
                <w:color w:val="000000"/>
                <w:sz w:val="18"/>
                <w:szCs w:val="18"/>
              </w:rPr>
            </w:pPr>
            <w:r w:rsidRPr="005B1930">
              <w:rPr>
                <w:rFonts w:ascii="Arial" w:hAnsi="Arial" w:cs="Arial"/>
                <w:b/>
                <w:bCs/>
                <w:color w:val="000000"/>
                <w:sz w:val="18"/>
                <w:szCs w:val="18"/>
              </w:rPr>
              <w:t> </w:t>
            </w:r>
          </w:p>
        </w:tc>
        <w:tc>
          <w:tcPr>
            <w:tcW w:w="1565" w:type="dxa"/>
            <w:tcBorders>
              <w:top w:val="nil"/>
              <w:left w:val="nil"/>
              <w:bottom w:val="single" w:sz="4" w:space="0" w:color="auto"/>
              <w:right w:val="nil"/>
            </w:tcBorders>
            <w:shd w:val="clear" w:color="auto" w:fill="auto"/>
            <w:noWrap/>
            <w:vAlign w:val="bottom"/>
            <w:hideMark/>
          </w:tcPr>
          <w:p w14:paraId="44FC8B20"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w:t>
            </w:r>
          </w:p>
        </w:tc>
        <w:tc>
          <w:tcPr>
            <w:tcW w:w="951" w:type="dxa"/>
            <w:tcBorders>
              <w:top w:val="nil"/>
              <w:left w:val="nil"/>
              <w:bottom w:val="single" w:sz="4" w:space="0" w:color="auto"/>
              <w:right w:val="nil"/>
            </w:tcBorders>
            <w:shd w:val="clear" w:color="auto" w:fill="auto"/>
            <w:noWrap/>
            <w:vAlign w:val="bottom"/>
            <w:hideMark/>
          </w:tcPr>
          <w:p w14:paraId="27722690" w14:textId="3FC050AE"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 xml:space="preserve">112,385 </w:t>
            </w:r>
          </w:p>
        </w:tc>
        <w:tc>
          <w:tcPr>
            <w:tcW w:w="1099" w:type="dxa"/>
            <w:tcBorders>
              <w:top w:val="nil"/>
              <w:left w:val="nil"/>
              <w:bottom w:val="single" w:sz="4" w:space="0" w:color="auto"/>
              <w:right w:val="nil"/>
            </w:tcBorders>
            <w:shd w:val="clear" w:color="auto" w:fill="auto"/>
            <w:noWrap/>
            <w:vAlign w:val="bottom"/>
            <w:hideMark/>
          </w:tcPr>
          <w:p w14:paraId="613E3748" w14:textId="793127D4"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4,719</w:t>
            </w:r>
          </w:p>
        </w:tc>
        <w:tc>
          <w:tcPr>
            <w:tcW w:w="823" w:type="dxa"/>
            <w:tcBorders>
              <w:top w:val="nil"/>
              <w:left w:val="nil"/>
              <w:bottom w:val="single" w:sz="4" w:space="0" w:color="auto"/>
              <w:right w:val="nil"/>
            </w:tcBorders>
            <w:shd w:val="clear" w:color="auto" w:fill="auto"/>
            <w:noWrap/>
            <w:vAlign w:val="bottom"/>
            <w:hideMark/>
          </w:tcPr>
          <w:p w14:paraId="2ADB9E3F"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(4,004)</w:t>
            </w:r>
          </w:p>
        </w:tc>
        <w:tc>
          <w:tcPr>
            <w:tcW w:w="1260" w:type="dxa"/>
            <w:tcBorders>
              <w:top w:val="nil"/>
              <w:left w:val="nil"/>
              <w:bottom w:val="single" w:sz="4" w:space="0" w:color="auto"/>
              <w:right w:val="nil"/>
            </w:tcBorders>
            <w:shd w:val="clear" w:color="auto" w:fill="auto"/>
            <w:noWrap/>
            <w:vAlign w:val="bottom"/>
            <w:hideMark/>
          </w:tcPr>
          <w:p w14:paraId="4652AF9A" w14:textId="77777777" w:rsidR="005B1930" w:rsidRPr="005B1930" w:rsidRDefault="005B1930" w:rsidP="00E05E7C">
            <w:pPr>
              <w:jc w:val="right"/>
              <w:rPr>
                <w:rFonts w:ascii="Arial" w:hAnsi="Arial" w:cs="Arial"/>
                <w:color w:val="000000"/>
                <w:sz w:val="18"/>
                <w:szCs w:val="18"/>
              </w:rPr>
            </w:pPr>
            <w:r w:rsidRPr="005B1930">
              <w:rPr>
                <w:rFonts w:ascii="Arial" w:hAnsi="Arial" w:cs="Arial"/>
                <w:color w:val="000000"/>
                <w:sz w:val="18"/>
                <w:szCs w:val="18"/>
              </w:rPr>
              <w:t>(54)</w:t>
            </w:r>
          </w:p>
        </w:tc>
        <w:tc>
          <w:tcPr>
            <w:tcW w:w="951" w:type="dxa"/>
            <w:tcBorders>
              <w:top w:val="nil"/>
              <w:left w:val="nil"/>
              <w:bottom w:val="single" w:sz="4" w:space="0" w:color="auto"/>
              <w:right w:val="nil"/>
            </w:tcBorders>
            <w:shd w:val="clear" w:color="auto" w:fill="auto"/>
            <w:noWrap/>
            <w:vAlign w:val="bottom"/>
            <w:hideMark/>
          </w:tcPr>
          <w:p w14:paraId="6D27832E" w14:textId="58239217" w:rsidR="005B1930" w:rsidRPr="005B1930" w:rsidRDefault="005B1930" w:rsidP="00E05E7C">
            <w:pPr>
              <w:jc w:val="right"/>
              <w:rPr>
                <w:rFonts w:ascii="Arial" w:hAnsi="Arial" w:cs="Arial"/>
                <w:b/>
                <w:bCs/>
                <w:color w:val="000000"/>
                <w:sz w:val="18"/>
                <w:szCs w:val="18"/>
              </w:rPr>
            </w:pPr>
            <w:r w:rsidRPr="005B1930">
              <w:rPr>
                <w:rFonts w:ascii="Arial" w:hAnsi="Arial" w:cs="Arial"/>
                <w:b/>
                <w:bCs/>
                <w:color w:val="000000"/>
                <w:sz w:val="18"/>
                <w:szCs w:val="18"/>
              </w:rPr>
              <w:t xml:space="preserve">113,046 </w:t>
            </w:r>
          </w:p>
        </w:tc>
      </w:tr>
    </w:tbl>
    <w:p w14:paraId="6078CDA0" w14:textId="77777777" w:rsidR="00E2198D" w:rsidRPr="00E94AD0" w:rsidRDefault="00E2198D">
      <w:pPr>
        <w:spacing w:after="200" w:line="276" w:lineRule="auto"/>
        <w:rPr>
          <w:rFonts w:ascii="Arial" w:hAnsi="Arial" w:cs="Arial"/>
          <w:b/>
          <w:caps/>
          <w:lang w:val="en-GB"/>
        </w:rPr>
      </w:pPr>
      <w:r w:rsidRPr="00E94AD0">
        <w:rPr>
          <w:lang w:val="en-GB"/>
        </w:rPr>
        <w:br w:type="page"/>
      </w:r>
    </w:p>
    <w:p w14:paraId="651ECF05" w14:textId="697D2F1C" w:rsidR="00E2198D" w:rsidRPr="00E94AD0" w:rsidRDefault="00E2198D" w:rsidP="00E2198D">
      <w:pPr>
        <w:pStyle w:val="ExhibitHeading"/>
        <w:rPr>
          <w:lang w:val="en-GB"/>
        </w:rPr>
      </w:pPr>
      <w:r w:rsidRPr="00E94AD0">
        <w:rPr>
          <w:lang w:val="en-GB"/>
        </w:rPr>
        <w:lastRenderedPageBreak/>
        <w:t>EXHIBIT 2 (Continued)</w:t>
      </w:r>
    </w:p>
    <w:p w14:paraId="1A82CDBB" w14:textId="77777777" w:rsidR="00E2198D" w:rsidRPr="00E94AD0" w:rsidRDefault="00E2198D" w:rsidP="00B219CA">
      <w:pPr>
        <w:pStyle w:val="Footnote"/>
        <w:rPr>
          <w:lang w:val="en-GB"/>
        </w:rPr>
      </w:pPr>
    </w:p>
    <w:p w14:paraId="6F9D9BC0" w14:textId="69F8E0E2" w:rsidR="00E2198D" w:rsidRPr="00E94AD0" w:rsidRDefault="00E2198D" w:rsidP="00E2198D">
      <w:pPr>
        <w:pStyle w:val="Casehead2"/>
        <w:rPr>
          <w:lang w:val="en-GB"/>
        </w:rPr>
      </w:pPr>
      <w:r w:rsidRPr="00E94AD0">
        <w:rPr>
          <w:lang w:val="en-GB"/>
        </w:rPr>
        <w:t>12. INTANGIBLE ASSETS AND GOODWILL</w:t>
      </w:r>
    </w:p>
    <w:p w14:paraId="0BD837CA" w14:textId="77777777" w:rsidR="00E2198D" w:rsidRPr="00E94AD0" w:rsidRDefault="00E2198D" w:rsidP="00B219CA">
      <w:pPr>
        <w:pStyle w:val="Footnote"/>
        <w:rPr>
          <w:lang w:val="en-GB"/>
        </w:rPr>
      </w:pPr>
    </w:p>
    <w:p w14:paraId="0C6CFA95" w14:textId="77777777" w:rsidR="00E2198D" w:rsidRPr="00E94AD0" w:rsidRDefault="00E2198D" w:rsidP="00E2198D">
      <w:pPr>
        <w:pStyle w:val="ExhibitText"/>
        <w:rPr>
          <w:lang w:val="en-GB"/>
        </w:rPr>
      </w:pPr>
      <w:r w:rsidRPr="00E94AD0">
        <w:rPr>
          <w:lang w:val="en-GB"/>
        </w:rPr>
        <w:t>The Company’s intangible assets are comprised of the following:</w:t>
      </w:r>
    </w:p>
    <w:tbl>
      <w:tblPr>
        <w:tblW w:w="8822" w:type="dxa"/>
        <w:tblLook w:val="04A0" w:firstRow="1" w:lastRow="0" w:firstColumn="1" w:lastColumn="0" w:noHBand="0" w:noVBand="1"/>
        <w:tblCaption w:val="Exhibit 2 Continued"/>
        <w:tblDescription w:val="Select Canopy Financial Statement Note Disclosures "/>
      </w:tblPr>
      <w:tblGrid>
        <w:gridCol w:w="272"/>
        <w:gridCol w:w="4540"/>
        <w:gridCol w:w="272"/>
        <w:gridCol w:w="1962"/>
        <w:gridCol w:w="1960"/>
      </w:tblGrid>
      <w:tr w:rsidR="005B1930" w:rsidRPr="005B1930" w14:paraId="0715FE8F" w14:textId="77777777" w:rsidTr="005B1930">
        <w:trPr>
          <w:trHeight w:val="300"/>
        </w:trPr>
        <w:tc>
          <w:tcPr>
            <w:tcW w:w="160" w:type="dxa"/>
            <w:tcBorders>
              <w:top w:val="nil"/>
              <w:left w:val="nil"/>
              <w:bottom w:val="nil"/>
              <w:right w:val="nil"/>
            </w:tcBorders>
            <w:shd w:val="clear" w:color="auto" w:fill="auto"/>
            <w:noWrap/>
            <w:vAlign w:val="bottom"/>
            <w:hideMark/>
          </w:tcPr>
          <w:p w14:paraId="27E10970" w14:textId="77777777" w:rsidR="005B1930" w:rsidRPr="005B1930" w:rsidRDefault="005B1930" w:rsidP="005B1930">
            <w:pPr>
              <w:rPr>
                <w:rFonts w:ascii="Arial" w:hAnsi="Arial" w:cs="Arial"/>
              </w:rPr>
            </w:pPr>
          </w:p>
        </w:tc>
        <w:tc>
          <w:tcPr>
            <w:tcW w:w="4540" w:type="dxa"/>
            <w:tcBorders>
              <w:top w:val="nil"/>
              <w:left w:val="nil"/>
              <w:bottom w:val="nil"/>
              <w:right w:val="nil"/>
            </w:tcBorders>
            <w:shd w:val="clear" w:color="auto" w:fill="auto"/>
            <w:noWrap/>
            <w:vAlign w:val="bottom"/>
            <w:hideMark/>
          </w:tcPr>
          <w:p w14:paraId="7F33E307" w14:textId="77777777" w:rsidR="005B1930" w:rsidRPr="005B1930" w:rsidRDefault="005B1930" w:rsidP="005B1930">
            <w:pPr>
              <w:rPr>
                <w:rFonts w:ascii="Arial" w:hAnsi="Arial" w:cs="Arial"/>
              </w:rPr>
            </w:pPr>
          </w:p>
        </w:tc>
        <w:tc>
          <w:tcPr>
            <w:tcW w:w="200" w:type="dxa"/>
            <w:tcBorders>
              <w:top w:val="nil"/>
              <w:left w:val="nil"/>
              <w:bottom w:val="nil"/>
              <w:right w:val="nil"/>
            </w:tcBorders>
            <w:shd w:val="clear" w:color="auto" w:fill="auto"/>
            <w:noWrap/>
            <w:vAlign w:val="bottom"/>
            <w:hideMark/>
          </w:tcPr>
          <w:p w14:paraId="04997F7A" w14:textId="77777777" w:rsidR="005B1930" w:rsidRPr="005B1930" w:rsidRDefault="005B1930" w:rsidP="005B1930">
            <w:pPr>
              <w:rPr>
                <w:rFonts w:ascii="Arial" w:hAnsi="Arial" w:cs="Arial"/>
              </w:rPr>
            </w:pPr>
          </w:p>
        </w:tc>
        <w:tc>
          <w:tcPr>
            <w:tcW w:w="1962" w:type="dxa"/>
            <w:tcBorders>
              <w:top w:val="nil"/>
              <w:left w:val="nil"/>
              <w:bottom w:val="nil"/>
              <w:right w:val="nil"/>
            </w:tcBorders>
            <w:shd w:val="clear" w:color="auto" w:fill="auto"/>
            <w:noWrap/>
            <w:vAlign w:val="bottom"/>
            <w:hideMark/>
          </w:tcPr>
          <w:p w14:paraId="0FBC2F95"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September 30,</w:t>
            </w:r>
          </w:p>
        </w:tc>
        <w:tc>
          <w:tcPr>
            <w:tcW w:w="1960" w:type="dxa"/>
            <w:tcBorders>
              <w:top w:val="nil"/>
              <w:left w:val="nil"/>
              <w:bottom w:val="nil"/>
              <w:right w:val="nil"/>
            </w:tcBorders>
            <w:shd w:val="clear" w:color="auto" w:fill="auto"/>
            <w:noWrap/>
            <w:vAlign w:val="bottom"/>
            <w:hideMark/>
          </w:tcPr>
          <w:p w14:paraId="417A2CD0" w14:textId="77777777" w:rsidR="005B1930" w:rsidRPr="005B1930" w:rsidRDefault="005B1930" w:rsidP="005B1930">
            <w:pPr>
              <w:jc w:val="right"/>
              <w:rPr>
                <w:rFonts w:ascii="Arial" w:hAnsi="Arial" w:cs="Arial"/>
                <w:color w:val="000000"/>
              </w:rPr>
            </w:pPr>
            <w:r w:rsidRPr="005B1930">
              <w:rPr>
                <w:rFonts w:ascii="Arial" w:hAnsi="Arial" w:cs="Arial"/>
                <w:color w:val="000000"/>
              </w:rPr>
              <w:t>March 31,</w:t>
            </w:r>
          </w:p>
        </w:tc>
      </w:tr>
      <w:tr w:rsidR="005B1930" w:rsidRPr="005B1930" w14:paraId="4AD7A5A3" w14:textId="77777777" w:rsidTr="005B1930">
        <w:trPr>
          <w:trHeight w:val="300"/>
        </w:trPr>
        <w:tc>
          <w:tcPr>
            <w:tcW w:w="160" w:type="dxa"/>
            <w:tcBorders>
              <w:top w:val="nil"/>
              <w:left w:val="nil"/>
              <w:bottom w:val="single" w:sz="4" w:space="0" w:color="auto"/>
              <w:right w:val="nil"/>
            </w:tcBorders>
            <w:shd w:val="clear" w:color="auto" w:fill="auto"/>
            <w:noWrap/>
            <w:vAlign w:val="bottom"/>
            <w:hideMark/>
          </w:tcPr>
          <w:p w14:paraId="71D36300"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4540" w:type="dxa"/>
            <w:tcBorders>
              <w:top w:val="nil"/>
              <w:left w:val="nil"/>
              <w:bottom w:val="single" w:sz="4" w:space="0" w:color="auto"/>
              <w:right w:val="nil"/>
            </w:tcBorders>
            <w:shd w:val="clear" w:color="auto" w:fill="auto"/>
            <w:noWrap/>
            <w:vAlign w:val="bottom"/>
            <w:hideMark/>
          </w:tcPr>
          <w:p w14:paraId="5589F9E6"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200" w:type="dxa"/>
            <w:tcBorders>
              <w:top w:val="nil"/>
              <w:left w:val="nil"/>
              <w:bottom w:val="single" w:sz="4" w:space="0" w:color="auto"/>
              <w:right w:val="nil"/>
            </w:tcBorders>
            <w:shd w:val="clear" w:color="auto" w:fill="auto"/>
            <w:noWrap/>
            <w:vAlign w:val="bottom"/>
            <w:hideMark/>
          </w:tcPr>
          <w:p w14:paraId="2944D2FC"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505ECCA3"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2019</w:t>
            </w:r>
          </w:p>
        </w:tc>
        <w:tc>
          <w:tcPr>
            <w:tcW w:w="1960" w:type="dxa"/>
            <w:tcBorders>
              <w:top w:val="nil"/>
              <w:left w:val="nil"/>
              <w:bottom w:val="single" w:sz="4" w:space="0" w:color="auto"/>
              <w:right w:val="nil"/>
            </w:tcBorders>
            <w:shd w:val="clear" w:color="auto" w:fill="auto"/>
            <w:noWrap/>
            <w:vAlign w:val="bottom"/>
            <w:hideMark/>
          </w:tcPr>
          <w:p w14:paraId="5FDD60CE" w14:textId="77777777" w:rsidR="005B1930" w:rsidRPr="005B1930" w:rsidRDefault="005B1930" w:rsidP="005B1930">
            <w:pPr>
              <w:jc w:val="right"/>
              <w:rPr>
                <w:rFonts w:ascii="Arial" w:hAnsi="Arial" w:cs="Arial"/>
                <w:color w:val="000000"/>
              </w:rPr>
            </w:pPr>
            <w:r w:rsidRPr="005B1930">
              <w:rPr>
                <w:rFonts w:ascii="Arial" w:hAnsi="Arial" w:cs="Arial"/>
                <w:color w:val="000000"/>
              </w:rPr>
              <w:t>2019</w:t>
            </w:r>
          </w:p>
        </w:tc>
      </w:tr>
      <w:tr w:rsidR="005B1930" w:rsidRPr="005B1930" w14:paraId="01D45BDE" w14:textId="77777777" w:rsidTr="005B1930">
        <w:trPr>
          <w:trHeight w:val="300"/>
        </w:trPr>
        <w:tc>
          <w:tcPr>
            <w:tcW w:w="160" w:type="dxa"/>
            <w:tcBorders>
              <w:top w:val="nil"/>
              <w:left w:val="nil"/>
              <w:bottom w:val="nil"/>
              <w:right w:val="nil"/>
            </w:tcBorders>
            <w:shd w:val="clear" w:color="auto" w:fill="auto"/>
            <w:noWrap/>
            <w:vAlign w:val="bottom"/>
            <w:hideMark/>
          </w:tcPr>
          <w:p w14:paraId="4DFA4025" w14:textId="77777777" w:rsidR="005B1930" w:rsidRPr="005B1930" w:rsidRDefault="005B1930" w:rsidP="005B1930">
            <w:pPr>
              <w:jc w:val="right"/>
              <w:rPr>
                <w:rFonts w:ascii="Arial" w:hAnsi="Arial" w:cs="Arial"/>
                <w:color w:val="000000"/>
              </w:rPr>
            </w:pPr>
          </w:p>
        </w:tc>
        <w:tc>
          <w:tcPr>
            <w:tcW w:w="4540" w:type="dxa"/>
            <w:tcBorders>
              <w:top w:val="nil"/>
              <w:left w:val="nil"/>
              <w:bottom w:val="nil"/>
              <w:right w:val="nil"/>
            </w:tcBorders>
            <w:shd w:val="clear" w:color="auto" w:fill="auto"/>
            <w:noWrap/>
            <w:vAlign w:val="bottom"/>
            <w:hideMark/>
          </w:tcPr>
          <w:p w14:paraId="147BB4CB" w14:textId="77777777" w:rsidR="005B1930" w:rsidRPr="005B1930" w:rsidRDefault="005B1930" w:rsidP="005B1930">
            <w:pPr>
              <w:rPr>
                <w:rFonts w:ascii="Arial" w:hAnsi="Arial" w:cs="Arial"/>
              </w:rPr>
            </w:pPr>
          </w:p>
        </w:tc>
        <w:tc>
          <w:tcPr>
            <w:tcW w:w="200" w:type="dxa"/>
            <w:tcBorders>
              <w:top w:val="nil"/>
              <w:left w:val="nil"/>
              <w:bottom w:val="nil"/>
              <w:right w:val="nil"/>
            </w:tcBorders>
            <w:shd w:val="clear" w:color="auto" w:fill="auto"/>
            <w:noWrap/>
            <w:vAlign w:val="bottom"/>
            <w:hideMark/>
          </w:tcPr>
          <w:p w14:paraId="68D3920E" w14:textId="77777777" w:rsidR="005B1930" w:rsidRPr="005B1930" w:rsidRDefault="005B1930" w:rsidP="005B1930">
            <w:pPr>
              <w:rPr>
                <w:rFonts w:ascii="Arial" w:hAnsi="Arial" w:cs="Arial"/>
              </w:rPr>
            </w:pPr>
          </w:p>
        </w:tc>
        <w:tc>
          <w:tcPr>
            <w:tcW w:w="1962" w:type="dxa"/>
            <w:tcBorders>
              <w:top w:val="nil"/>
              <w:left w:val="nil"/>
              <w:bottom w:val="nil"/>
              <w:right w:val="nil"/>
            </w:tcBorders>
            <w:shd w:val="clear" w:color="auto" w:fill="auto"/>
            <w:noWrap/>
            <w:vAlign w:val="bottom"/>
            <w:hideMark/>
          </w:tcPr>
          <w:p w14:paraId="179719C6" w14:textId="77777777" w:rsidR="005B1930" w:rsidRPr="005B1930" w:rsidRDefault="005B1930" w:rsidP="005B1930">
            <w:pPr>
              <w:rPr>
                <w:rFonts w:ascii="Arial" w:hAnsi="Arial" w:cs="Arial"/>
              </w:rPr>
            </w:pPr>
          </w:p>
        </w:tc>
        <w:tc>
          <w:tcPr>
            <w:tcW w:w="1960" w:type="dxa"/>
            <w:tcBorders>
              <w:top w:val="nil"/>
              <w:left w:val="nil"/>
              <w:bottom w:val="nil"/>
              <w:right w:val="nil"/>
            </w:tcBorders>
            <w:shd w:val="clear" w:color="auto" w:fill="auto"/>
            <w:noWrap/>
            <w:vAlign w:val="bottom"/>
            <w:hideMark/>
          </w:tcPr>
          <w:p w14:paraId="1AC48FFB" w14:textId="77777777" w:rsidR="005B1930" w:rsidRPr="005B1930" w:rsidRDefault="005B1930" w:rsidP="005B1930">
            <w:pPr>
              <w:rPr>
                <w:rFonts w:ascii="Arial" w:hAnsi="Arial" w:cs="Arial"/>
              </w:rPr>
            </w:pPr>
          </w:p>
        </w:tc>
      </w:tr>
      <w:tr w:rsidR="005B1930" w:rsidRPr="005B1930" w14:paraId="6DE41BAC"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4AD4F24B" w14:textId="77777777" w:rsidR="005B1930" w:rsidRPr="005B1930" w:rsidRDefault="005B1930" w:rsidP="005B1930">
            <w:pPr>
              <w:rPr>
                <w:rFonts w:ascii="Arial" w:hAnsi="Arial" w:cs="Arial"/>
                <w:color w:val="000000"/>
              </w:rPr>
            </w:pPr>
            <w:r w:rsidRPr="005B1930">
              <w:rPr>
                <w:rFonts w:ascii="Arial" w:hAnsi="Arial" w:cs="Arial"/>
                <w:color w:val="000000"/>
              </w:rPr>
              <w:t>Health Canada licenses</w:t>
            </w:r>
          </w:p>
        </w:tc>
        <w:tc>
          <w:tcPr>
            <w:tcW w:w="200" w:type="dxa"/>
            <w:tcBorders>
              <w:top w:val="nil"/>
              <w:left w:val="nil"/>
              <w:bottom w:val="nil"/>
              <w:right w:val="nil"/>
            </w:tcBorders>
            <w:shd w:val="clear" w:color="auto" w:fill="auto"/>
            <w:noWrap/>
            <w:vAlign w:val="bottom"/>
            <w:hideMark/>
          </w:tcPr>
          <w:p w14:paraId="66600C40"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0DC2DE67" w14:textId="48447896" w:rsidR="005B1930" w:rsidRPr="005B1930" w:rsidRDefault="005B1930" w:rsidP="00E05E7C">
            <w:pPr>
              <w:jc w:val="right"/>
              <w:rPr>
                <w:rFonts w:ascii="Arial" w:hAnsi="Arial" w:cs="Arial"/>
                <w:b/>
                <w:bCs/>
                <w:color w:val="000000"/>
              </w:rPr>
            </w:pPr>
            <w:r w:rsidRPr="005B1930">
              <w:rPr>
                <w:rFonts w:ascii="Arial" w:hAnsi="Arial" w:cs="Arial"/>
                <w:b/>
                <w:bCs/>
                <w:color w:val="000000"/>
              </w:rPr>
              <w:t xml:space="preserve"> $64,600</w:t>
            </w:r>
          </w:p>
        </w:tc>
        <w:tc>
          <w:tcPr>
            <w:tcW w:w="1960" w:type="dxa"/>
            <w:tcBorders>
              <w:top w:val="nil"/>
              <w:left w:val="nil"/>
              <w:bottom w:val="nil"/>
              <w:right w:val="nil"/>
            </w:tcBorders>
            <w:shd w:val="clear" w:color="auto" w:fill="auto"/>
            <w:noWrap/>
            <w:vAlign w:val="bottom"/>
            <w:hideMark/>
          </w:tcPr>
          <w:p w14:paraId="07DABF28" w14:textId="467464F2" w:rsidR="005B1930" w:rsidRPr="005B1930" w:rsidRDefault="005B1930" w:rsidP="00E05E7C">
            <w:pPr>
              <w:jc w:val="right"/>
              <w:rPr>
                <w:rFonts w:ascii="Arial" w:hAnsi="Arial" w:cs="Arial"/>
                <w:color w:val="000000"/>
              </w:rPr>
            </w:pPr>
            <w:r w:rsidRPr="005B1930">
              <w:rPr>
                <w:rFonts w:ascii="Arial" w:hAnsi="Arial" w:cs="Arial"/>
                <w:color w:val="000000"/>
              </w:rPr>
              <w:t xml:space="preserve"> $64,600</w:t>
            </w:r>
          </w:p>
        </w:tc>
      </w:tr>
      <w:tr w:rsidR="005B1930" w:rsidRPr="005B1930" w14:paraId="112672BC"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630693E3" w14:textId="77777777" w:rsidR="005B1930" w:rsidRPr="005B1930" w:rsidRDefault="005B1930" w:rsidP="005B1930">
            <w:pPr>
              <w:rPr>
                <w:rFonts w:ascii="Arial" w:hAnsi="Arial" w:cs="Arial"/>
                <w:color w:val="000000"/>
              </w:rPr>
            </w:pPr>
            <w:r w:rsidRPr="005B1930">
              <w:rPr>
                <w:rFonts w:ascii="Arial" w:hAnsi="Arial" w:cs="Arial"/>
                <w:color w:val="000000"/>
              </w:rPr>
              <w:t>Acquired brands</w:t>
            </w:r>
          </w:p>
        </w:tc>
        <w:tc>
          <w:tcPr>
            <w:tcW w:w="200" w:type="dxa"/>
            <w:tcBorders>
              <w:top w:val="nil"/>
              <w:left w:val="nil"/>
              <w:bottom w:val="nil"/>
              <w:right w:val="nil"/>
            </w:tcBorders>
            <w:shd w:val="clear" w:color="auto" w:fill="auto"/>
            <w:noWrap/>
            <w:vAlign w:val="bottom"/>
            <w:hideMark/>
          </w:tcPr>
          <w:p w14:paraId="0E6455CB"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3A3BF68F"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63,534</w:t>
            </w:r>
          </w:p>
        </w:tc>
        <w:tc>
          <w:tcPr>
            <w:tcW w:w="1960" w:type="dxa"/>
            <w:tcBorders>
              <w:top w:val="nil"/>
              <w:left w:val="nil"/>
              <w:bottom w:val="nil"/>
              <w:right w:val="nil"/>
            </w:tcBorders>
            <w:shd w:val="clear" w:color="auto" w:fill="auto"/>
            <w:noWrap/>
            <w:vAlign w:val="bottom"/>
            <w:hideMark/>
          </w:tcPr>
          <w:p w14:paraId="296E8D10" w14:textId="77777777" w:rsidR="005B1930" w:rsidRPr="005B1930" w:rsidRDefault="005B1930" w:rsidP="00E05E7C">
            <w:pPr>
              <w:jc w:val="right"/>
              <w:rPr>
                <w:rFonts w:ascii="Arial" w:hAnsi="Arial" w:cs="Arial"/>
                <w:color w:val="000000"/>
              </w:rPr>
            </w:pPr>
            <w:r w:rsidRPr="005B1930">
              <w:rPr>
                <w:rFonts w:ascii="Arial" w:hAnsi="Arial" w:cs="Arial"/>
                <w:color w:val="000000"/>
              </w:rPr>
              <w:t>64,374</w:t>
            </w:r>
          </w:p>
        </w:tc>
      </w:tr>
      <w:tr w:rsidR="005B1930" w:rsidRPr="005B1930" w14:paraId="0F8A85F3"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0B0C5A8F" w14:textId="77777777" w:rsidR="005B1930" w:rsidRPr="005B1930" w:rsidRDefault="005B1930" w:rsidP="005B1930">
            <w:pPr>
              <w:rPr>
                <w:rFonts w:ascii="Arial" w:hAnsi="Arial" w:cs="Arial"/>
                <w:color w:val="000000"/>
              </w:rPr>
            </w:pPr>
            <w:r w:rsidRPr="005B1930">
              <w:rPr>
                <w:rFonts w:ascii="Arial" w:hAnsi="Arial" w:cs="Arial"/>
                <w:color w:val="000000"/>
              </w:rPr>
              <w:t>Licensed brands</w:t>
            </w:r>
          </w:p>
        </w:tc>
        <w:tc>
          <w:tcPr>
            <w:tcW w:w="200" w:type="dxa"/>
            <w:tcBorders>
              <w:top w:val="nil"/>
              <w:left w:val="nil"/>
              <w:bottom w:val="nil"/>
              <w:right w:val="nil"/>
            </w:tcBorders>
            <w:shd w:val="clear" w:color="auto" w:fill="auto"/>
            <w:noWrap/>
            <w:vAlign w:val="bottom"/>
            <w:hideMark/>
          </w:tcPr>
          <w:p w14:paraId="73FAE5A1"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7B484ED7"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68,432</w:t>
            </w:r>
          </w:p>
        </w:tc>
        <w:tc>
          <w:tcPr>
            <w:tcW w:w="1960" w:type="dxa"/>
            <w:tcBorders>
              <w:top w:val="nil"/>
              <w:left w:val="nil"/>
              <w:bottom w:val="nil"/>
              <w:right w:val="nil"/>
            </w:tcBorders>
            <w:shd w:val="clear" w:color="auto" w:fill="auto"/>
            <w:noWrap/>
            <w:vAlign w:val="bottom"/>
            <w:hideMark/>
          </w:tcPr>
          <w:p w14:paraId="200589F7" w14:textId="77777777" w:rsidR="005B1930" w:rsidRPr="005B1930" w:rsidRDefault="005B1930" w:rsidP="00E05E7C">
            <w:pPr>
              <w:jc w:val="right"/>
              <w:rPr>
                <w:rFonts w:ascii="Arial" w:hAnsi="Arial" w:cs="Arial"/>
                <w:color w:val="000000"/>
              </w:rPr>
            </w:pPr>
            <w:r w:rsidRPr="005B1930">
              <w:rPr>
                <w:rFonts w:ascii="Arial" w:hAnsi="Arial" w:cs="Arial"/>
                <w:color w:val="000000"/>
              </w:rPr>
              <w:t>57,802</w:t>
            </w:r>
          </w:p>
        </w:tc>
      </w:tr>
      <w:tr w:rsidR="005B1930" w:rsidRPr="005B1930" w14:paraId="18C197A7"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50417E1D" w14:textId="77777777" w:rsidR="005B1930" w:rsidRPr="005B1930" w:rsidRDefault="005B1930" w:rsidP="005B1930">
            <w:pPr>
              <w:rPr>
                <w:rFonts w:ascii="Arial" w:hAnsi="Arial" w:cs="Arial"/>
                <w:color w:val="000000"/>
              </w:rPr>
            </w:pPr>
            <w:r w:rsidRPr="005B1930">
              <w:rPr>
                <w:rFonts w:ascii="Arial" w:hAnsi="Arial" w:cs="Arial"/>
                <w:color w:val="000000"/>
              </w:rPr>
              <w:t>Distribution channel</w:t>
            </w:r>
          </w:p>
        </w:tc>
        <w:tc>
          <w:tcPr>
            <w:tcW w:w="200" w:type="dxa"/>
            <w:tcBorders>
              <w:top w:val="nil"/>
              <w:left w:val="nil"/>
              <w:bottom w:val="nil"/>
              <w:right w:val="nil"/>
            </w:tcBorders>
            <w:shd w:val="clear" w:color="auto" w:fill="auto"/>
            <w:noWrap/>
            <w:vAlign w:val="bottom"/>
            <w:hideMark/>
          </w:tcPr>
          <w:p w14:paraId="7B8FF945"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5D5ACAFE"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42,446</w:t>
            </w:r>
          </w:p>
        </w:tc>
        <w:tc>
          <w:tcPr>
            <w:tcW w:w="1960" w:type="dxa"/>
            <w:tcBorders>
              <w:top w:val="nil"/>
              <w:left w:val="nil"/>
              <w:bottom w:val="nil"/>
              <w:right w:val="nil"/>
            </w:tcBorders>
            <w:shd w:val="clear" w:color="auto" w:fill="auto"/>
            <w:noWrap/>
            <w:vAlign w:val="bottom"/>
            <w:hideMark/>
          </w:tcPr>
          <w:p w14:paraId="7F2A6715" w14:textId="77777777" w:rsidR="005B1930" w:rsidRPr="005B1930" w:rsidRDefault="005B1930" w:rsidP="00E05E7C">
            <w:pPr>
              <w:jc w:val="right"/>
              <w:rPr>
                <w:rFonts w:ascii="Arial" w:hAnsi="Arial" w:cs="Arial"/>
                <w:color w:val="000000"/>
              </w:rPr>
            </w:pPr>
            <w:r w:rsidRPr="005B1930">
              <w:rPr>
                <w:rFonts w:ascii="Arial" w:hAnsi="Arial" w:cs="Arial"/>
                <w:color w:val="000000"/>
              </w:rPr>
              <w:t>42,400</w:t>
            </w:r>
          </w:p>
        </w:tc>
      </w:tr>
      <w:tr w:rsidR="005B1930" w:rsidRPr="005B1930" w14:paraId="3E4CED6C"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55E3A16E" w14:textId="77777777" w:rsidR="005B1930" w:rsidRPr="005B1930" w:rsidRDefault="005B1930" w:rsidP="005B1930">
            <w:pPr>
              <w:rPr>
                <w:rFonts w:ascii="Arial" w:hAnsi="Arial" w:cs="Arial"/>
                <w:color w:val="000000"/>
              </w:rPr>
            </w:pPr>
            <w:r w:rsidRPr="005B1930">
              <w:rPr>
                <w:rFonts w:ascii="Arial" w:hAnsi="Arial" w:cs="Arial"/>
                <w:color w:val="000000"/>
              </w:rPr>
              <w:t>Operating licenses</w:t>
            </w:r>
          </w:p>
        </w:tc>
        <w:tc>
          <w:tcPr>
            <w:tcW w:w="200" w:type="dxa"/>
            <w:tcBorders>
              <w:top w:val="nil"/>
              <w:left w:val="nil"/>
              <w:bottom w:val="nil"/>
              <w:right w:val="nil"/>
            </w:tcBorders>
            <w:shd w:val="clear" w:color="auto" w:fill="auto"/>
            <w:noWrap/>
            <w:vAlign w:val="bottom"/>
            <w:hideMark/>
          </w:tcPr>
          <w:p w14:paraId="18B4E8E8"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6F57CDFE"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150,853</w:t>
            </w:r>
          </w:p>
        </w:tc>
        <w:tc>
          <w:tcPr>
            <w:tcW w:w="1960" w:type="dxa"/>
            <w:tcBorders>
              <w:top w:val="nil"/>
              <w:left w:val="nil"/>
              <w:bottom w:val="nil"/>
              <w:right w:val="nil"/>
            </w:tcBorders>
            <w:shd w:val="clear" w:color="auto" w:fill="auto"/>
            <w:noWrap/>
            <w:vAlign w:val="bottom"/>
            <w:hideMark/>
          </w:tcPr>
          <w:p w14:paraId="16866E94" w14:textId="77777777" w:rsidR="005B1930" w:rsidRPr="005B1930" w:rsidRDefault="005B1930" w:rsidP="00E05E7C">
            <w:pPr>
              <w:jc w:val="right"/>
              <w:rPr>
                <w:rFonts w:ascii="Arial" w:hAnsi="Arial" w:cs="Arial"/>
                <w:color w:val="000000"/>
              </w:rPr>
            </w:pPr>
            <w:r w:rsidRPr="005B1930">
              <w:rPr>
                <w:rFonts w:ascii="Arial" w:hAnsi="Arial" w:cs="Arial"/>
                <w:color w:val="000000"/>
              </w:rPr>
              <w:t>152,402</w:t>
            </w:r>
          </w:p>
        </w:tc>
      </w:tr>
      <w:tr w:rsidR="005B1930" w:rsidRPr="005B1930" w14:paraId="38F21DB6"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283D10EB" w14:textId="77777777" w:rsidR="005B1930" w:rsidRPr="005B1930" w:rsidRDefault="005B1930" w:rsidP="005B1930">
            <w:pPr>
              <w:rPr>
                <w:rFonts w:ascii="Arial" w:hAnsi="Arial" w:cs="Arial"/>
                <w:color w:val="000000"/>
              </w:rPr>
            </w:pPr>
            <w:r w:rsidRPr="005B1930">
              <w:rPr>
                <w:rFonts w:ascii="Arial" w:hAnsi="Arial" w:cs="Arial"/>
                <w:color w:val="000000"/>
              </w:rPr>
              <w:t>Intellectual property</w:t>
            </w:r>
          </w:p>
        </w:tc>
        <w:tc>
          <w:tcPr>
            <w:tcW w:w="200" w:type="dxa"/>
            <w:tcBorders>
              <w:top w:val="nil"/>
              <w:left w:val="nil"/>
              <w:bottom w:val="nil"/>
              <w:right w:val="nil"/>
            </w:tcBorders>
            <w:shd w:val="clear" w:color="auto" w:fill="auto"/>
            <w:noWrap/>
            <w:vAlign w:val="bottom"/>
            <w:hideMark/>
          </w:tcPr>
          <w:p w14:paraId="49BEC231"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362C9BD5"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151,634</w:t>
            </w:r>
          </w:p>
        </w:tc>
        <w:tc>
          <w:tcPr>
            <w:tcW w:w="1960" w:type="dxa"/>
            <w:tcBorders>
              <w:top w:val="nil"/>
              <w:left w:val="nil"/>
              <w:bottom w:val="nil"/>
              <w:right w:val="nil"/>
            </w:tcBorders>
            <w:shd w:val="clear" w:color="auto" w:fill="auto"/>
            <w:noWrap/>
            <w:vAlign w:val="bottom"/>
            <w:hideMark/>
          </w:tcPr>
          <w:p w14:paraId="6862FF89" w14:textId="77777777" w:rsidR="005B1930" w:rsidRPr="005B1930" w:rsidRDefault="005B1930" w:rsidP="00E05E7C">
            <w:pPr>
              <w:jc w:val="right"/>
              <w:rPr>
                <w:rFonts w:ascii="Arial" w:hAnsi="Arial" w:cs="Arial"/>
                <w:color w:val="000000"/>
              </w:rPr>
            </w:pPr>
            <w:r w:rsidRPr="005B1930">
              <w:rPr>
                <w:rFonts w:ascii="Arial" w:hAnsi="Arial" w:cs="Arial"/>
                <w:color w:val="000000"/>
              </w:rPr>
              <w:t>153,797</w:t>
            </w:r>
          </w:p>
        </w:tc>
      </w:tr>
      <w:tr w:rsidR="005B1930" w:rsidRPr="005B1930" w14:paraId="4CA6573C"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3B6A9B05" w14:textId="77777777" w:rsidR="005B1930" w:rsidRPr="005B1930" w:rsidRDefault="005B1930" w:rsidP="005B1930">
            <w:pPr>
              <w:rPr>
                <w:rFonts w:ascii="Arial" w:hAnsi="Arial" w:cs="Arial"/>
                <w:color w:val="000000"/>
              </w:rPr>
            </w:pPr>
            <w:r w:rsidRPr="005B1930">
              <w:rPr>
                <w:rFonts w:ascii="Arial" w:hAnsi="Arial" w:cs="Arial"/>
                <w:color w:val="000000"/>
              </w:rPr>
              <w:t>Software and domain names</w:t>
            </w:r>
          </w:p>
        </w:tc>
        <w:tc>
          <w:tcPr>
            <w:tcW w:w="200" w:type="dxa"/>
            <w:tcBorders>
              <w:top w:val="nil"/>
              <w:left w:val="nil"/>
              <w:bottom w:val="nil"/>
              <w:right w:val="nil"/>
            </w:tcBorders>
            <w:shd w:val="clear" w:color="auto" w:fill="auto"/>
            <w:noWrap/>
            <w:vAlign w:val="bottom"/>
            <w:hideMark/>
          </w:tcPr>
          <w:p w14:paraId="03C9E8BC"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73F22692"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13,282</w:t>
            </w:r>
          </w:p>
        </w:tc>
        <w:tc>
          <w:tcPr>
            <w:tcW w:w="1960" w:type="dxa"/>
            <w:tcBorders>
              <w:top w:val="nil"/>
              <w:left w:val="nil"/>
              <w:bottom w:val="nil"/>
              <w:right w:val="nil"/>
            </w:tcBorders>
            <w:shd w:val="clear" w:color="auto" w:fill="auto"/>
            <w:noWrap/>
            <w:vAlign w:val="bottom"/>
            <w:hideMark/>
          </w:tcPr>
          <w:p w14:paraId="2BBEAAAC" w14:textId="77777777" w:rsidR="005B1930" w:rsidRPr="005B1930" w:rsidRDefault="005B1930" w:rsidP="00E05E7C">
            <w:pPr>
              <w:jc w:val="right"/>
              <w:rPr>
                <w:rFonts w:ascii="Arial" w:hAnsi="Arial" w:cs="Arial"/>
                <w:color w:val="000000"/>
              </w:rPr>
            </w:pPr>
            <w:r w:rsidRPr="005B1930">
              <w:rPr>
                <w:rFonts w:ascii="Arial" w:hAnsi="Arial" w:cs="Arial"/>
                <w:color w:val="000000"/>
              </w:rPr>
              <w:t>9,701</w:t>
            </w:r>
          </w:p>
        </w:tc>
      </w:tr>
      <w:tr w:rsidR="005B1930" w:rsidRPr="005B1930" w14:paraId="0FE541B2" w14:textId="77777777" w:rsidTr="005B1930">
        <w:trPr>
          <w:trHeight w:val="300"/>
        </w:trPr>
        <w:tc>
          <w:tcPr>
            <w:tcW w:w="4700" w:type="dxa"/>
            <w:gridSpan w:val="2"/>
            <w:tcBorders>
              <w:top w:val="nil"/>
              <w:left w:val="nil"/>
              <w:bottom w:val="nil"/>
              <w:right w:val="nil"/>
            </w:tcBorders>
            <w:shd w:val="clear" w:color="auto" w:fill="auto"/>
            <w:noWrap/>
            <w:vAlign w:val="bottom"/>
            <w:hideMark/>
          </w:tcPr>
          <w:p w14:paraId="246D6EF7" w14:textId="77777777" w:rsidR="005B1930" w:rsidRPr="005B1930" w:rsidRDefault="005B1930" w:rsidP="005B1930">
            <w:pPr>
              <w:rPr>
                <w:rFonts w:ascii="Arial" w:hAnsi="Arial" w:cs="Arial"/>
                <w:color w:val="000000"/>
              </w:rPr>
            </w:pPr>
            <w:r w:rsidRPr="005B1930">
              <w:rPr>
                <w:rFonts w:ascii="Arial" w:hAnsi="Arial" w:cs="Arial"/>
                <w:color w:val="000000"/>
              </w:rPr>
              <w:t>Intangibles in process</w:t>
            </w:r>
          </w:p>
        </w:tc>
        <w:tc>
          <w:tcPr>
            <w:tcW w:w="200" w:type="dxa"/>
            <w:tcBorders>
              <w:top w:val="nil"/>
              <w:left w:val="nil"/>
              <w:bottom w:val="nil"/>
              <w:right w:val="nil"/>
            </w:tcBorders>
            <w:shd w:val="clear" w:color="auto" w:fill="auto"/>
            <w:noWrap/>
            <w:vAlign w:val="bottom"/>
            <w:hideMark/>
          </w:tcPr>
          <w:p w14:paraId="1546CF3A" w14:textId="77777777" w:rsidR="005B1930" w:rsidRPr="005B1930" w:rsidRDefault="005B1930" w:rsidP="005B1930">
            <w:pPr>
              <w:rPr>
                <w:rFonts w:ascii="Arial" w:hAnsi="Arial" w:cs="Arial"/>
                <w:color w:val="000000"/>
              </w:rPr>
            </w:pPr>
          </w:p>
        </w:tc>
        <w:tc>
          <w:tcPr>
            <w:tcW w:w="1962" w:type="dxa"/>
            <w:tcBorders>
              <w:top w:val="nil"/>
              <w:left w:val="nil"/>
              <w:bottom w:val="nil"/>
              <w:right w:val="nil"/>
            </w:tcBorders>
            <w:shd w:val="clear" w:color="auto" w:fill="auto"/>
            <w:noWrap/>
            <w:vAlign w:val="bottom"/>
            <w:hideMark/>
          </w:tcPr>
          <w:p w14:paraId="5888A136"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4,637</w:t>
            </w:r>
          </w:p>
        </w:tc>
        <w:tc>
          <w:tcPr>
            <w:tcW w:w="1960" w:type="dxa"/>
            <w:tcBorders>
              <w:top w:val="nil"/>
              <w:left w:val="nil"/>
              <w:bottom w:val="nil"/>
              <w:right w:val="nil"/>
            </w:tcBorders>
            <w:shd w:val="clear" w:color="auto" w:fill="auto"/>
            <w:noWrap/>
            <w:vAlign w:val="bottom"/>
            <w:hideMark/>
          </w:tcPr>
          <w:p w14:paraId="0C9D76DA" w14:textId="77777777" w:rsidR="005B1930" w:rsidRPr="005B1930" w:rsidRDefault="005B1930" w:rsidP="00E05E7C">
            <w:pPr>
              <w:jc w:val="right"/>
              <w:rPr>
                <w:rFonts w:ascii="Arial" w:hAnsi="Arial" w:cs="Arial"/>
                <w:color w:val="000000"/>
              </w:rPr>
            </w:pPr>
            <w:r w:rsidRPr="005B1930">
              <w:rPr>
                <w:rFonts w:ascii="Arial" w:hAnsi="Arial" w:cs="Arial"/>
                <w:color w:val="000000"/>
              </w:rPr>
              <w:t>4,122</w:t>
            </w:r>
          </w:p>
        </w:tc>
      </w:tr>
      <w:tr w:rsidR="005B1930" w:rsidRPr="005B1930" w14:paraId="464BFF64" w14:textId="77777777" w:rsidTr="005B1930">
        <w:trPr>
          <w:trHeight w:val="300"/>
        </w:trPr>
        <w:tc>
          <w:tcPr>
            <w:tcW w:w="160" w:type="dxa"/>
            <w:tcBorders>
              <w:top w:val="nil"/>
              <w:left w:val="nil"/>
              <w:bottom w:val="single" w:sz="4" w:space="0" w:color="auto"/>
              <w:right w:val="nil"/>
            </w:tcBorders>
            <w:shd w:val="clear" w:color="auto" w:fill="auto"/>
            <w:noWrap/>
            <w:vAlign w:val="bottom"/>
            <w:hideMark/>
          </w:tcPr>
          <w:p w14:paraId="6915FB7D"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4540" w:type="dxa"/>
            <w:tcBorders>
              <w:top w:val="nil"/>
              <w:left w:val="nil"/>
              <w:bottom w:val="single" w:sz="4" w:space="0" w:color="auto"/>
              <w:right w:val="nil"/>
            </w:tcBorders>
            <w:shd w:val="clear" w:color="auto" w:fill="auto"/>
            <w:noWrap/>
            <w:vAlign w:val="bottom"/>
            <w:hideMark/>
          </w:tcPr>
          <w:p w14:paraId="0B5DE299"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200" w:type="dxa"/>
            <w:tcBorders>
              <w:top w:val="nil"/>
              <w:left w:val="nil"/>
              <w:bottom w:val="single" w:sz="4" w:space="0" w:color="auto"/>
              <w:right w:val="nil"/>
            </w:tcBorders>
            <w:shd w:val="clear" w:color="auto" w:fill="auto"/>
            <w:noWrap/>
            <w:vAlign w:val="bottom"/>
            <w:hideMark/>
          </w:tcPr>
          <w:p w14:paraId="2BCAC88C"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1D7C68D8"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 </w:t>
            </w:r>
          </w:p>
        </w:tc>
        <w:tc>
          <w:tcPr>
            <w:tcW w:w="1960" w:type="dxa"/>
            <w:tcBorders>
              <w:top w:val="nil"/>
              <w:left w:val="nil"/>
              <w:bottom w:val="single" w:sz="4" w:space="0" w:color="auto"/>
              <w:right w:val="nil"/>
            </w:tcBorders>
            <w:shd w:val="clear" w:color="auto" w:fill="auto"/>
            <w:noWrap/>
            <w:vAlign w:val="bottom"/>
            <w:hideMark/>
          </w:tcPr>
          <w:p w14:paraId="48CEF2F8" w14:textId="77777777" w:rsidR="005B1930" w:rsidRPr="005B1930" w:rsidRDefault="005B1930" w:rsidP="00E05E7C">
            <w:pPr>
              <w:jc w:val="right"/>
              <w:rPr>
                <w:rFonts w:ascii="Arial" w:hAnsi="Arial" w:cs="Arial"/>
                <w:color w:val="000000"/>
              </w:rPr>
            </w:pPr>
            <w:r w:rsidRPr="005B1930">
              <w:rPr>
                <w:rFonts w:ascii="Arial" w:hAnsi="Arial" w:cs="Arial"/>
                <w:color w:val="000000"/>
              </w:rPr>
              <w:t> </w:t>
            </w:r>
          </w:p>
        </w:tc>
      </w:tr>
      <w:tr w:rsidR="005B1930" w:rsidRPr="005B1930" w14:paraId="5835F8FA" w14:textId="77777777" w:rsidTr="005B1930">
        <w:trPr>
          <w:trHeight w:val="150"/>
        </w:trPr>
        <w:tc>
          <w:tcPr>
            <w:tcW w:w="160" w:type="dxa"/>
            <w:tcBorders>
              <w:top w:val="nil"/>
              <w:left w:val="nil"/>
              <w:bottom w:val="nil"/>
              <w:right w:val="nil"/>
            </w:tcBorders>
            <w:shd w:val="clear" w:color="auto" w:fill="auto"/>
            <w:noWrap/>
            <w:vAlign w:val="bottom"/>
            <w:hideMark/>
          </w:tcPr>
          <w:p w14:paraId="6C917D5C" w14:textId="77777777" w:rsidR="005B1930" w:rsidRPr="005B1930" w:rsidRDefault="005B1930" w:rsidP="005B1930">
            <w:pPr>
              <w:rPr>
                <w:rFonts w:ascii="Arial" w:hAnsi="Arial" w:cs="Arial"/>
                <w:color w:val="000000"/>
              </w:rPr>
            </w:pPr>
          </w:p>
        </w:tc>
        <w:tc>
          <w:tcPr>
            <w:tcW w:w="4540" w:type="dxa"/>
            <w:tcBorders>
              <w:top w:val="nil"/>
              <w:left w:val="nil"/>
              <w:bottom w:val="nil"/>
              <w:right w:val="nil"/>
            </w:tcBorders>
            <w:shd w:val="clear" w:color="auto" w:fill="auto"/>
            <w:noWrap/>
            <w:vAlign w:val="bottom"/>
            <w:hideMark/>
          </w:tcPr>
          <w:p w14:paraId="2483310D" w14:textId="77777777" w:rsidR="005B1930" w:rsidRPr="005B1930" w:rsidRDefault="005B1930" w:rsidP="005B1930">
            <w:pPr>
              <w:rPr>
                <w:rFonts w:ascii="Arial" w:hAnsi="Arial" w:cs="Arial"/>
              </w:rPr>
            </w:pPr>
          </w:p>
        </w:tc>
        <w:tc>
          <w:tcPr>
            <w:tcW w:w="200" w:type="dxa"/>
            <w:tcBorders>
              <w:top w:val="nil"/>
              <w:left w:val="nil"/>
              <w:bottom w:val="nil"/>
              <w:right w:val="nil"/>
            </w:tcBorders>
            <w:shd w:val="clear" w:color="auto" w:fill="auto"/>
            <w:noWrap/>
            <w:vAlign w:val="bottom"/>
            <w:hideMark/>
          </w:tcPr>
          <w:p w14:paraId="57FD98A9" w14:textId="77777777" w:rsidR="005B1930" w:rsidRPr="005B1930" w:rsidRDefault="005B1930" w:rsidP="005B1930">
            <w:pPr>
              <w:rPr>
                <w:rFonts w:ascii="Arial" w:hAnsi="Arial" w:cs="Arial"/>
              </w:rPr>
            </w:pPr>
          </w:p>
        </w:tc>
        <w:tc>
          <w:tcPr>
            <w:tcW w:w="1962" w:type="dxa"/>
            <w:tcBorders>
              <w:top w:val="nil"/>
              <w:left w:val="nil"/>
              <w:bottom w:val="nil"/>
              <w:right w:val="nil"/>
            </w:tcBorders>
            <w:shd w:val="clear" w:color="auto" w:fill="auto"/>
            <w:noWrap/>
            <w:vAlign w:val="bottom"/>
            <w:hideMark/>
          </w:tcPr>
          <w:p w14:paraId="36D67C8A" w14:textId="77777777" w:rsidR="005B1930" w:rsidRPr="005B1930" w:rsidRDefault="005B1930" w:rsidP="00E05E7C">
            <w:pPr>
              <w:jc w:val="right"/>
              <w:rPr>
                <w:rFonts w:ascii="Arial" w:hAnsi="Arial" w:cs="Arial"/>
              </w:rPr>
            </w:pPr>
          </w:p>
        </w:tc>
        <w:tc>
          <w:tcPr>
            <w:tcW w:w="1960" w:type="dxa"/>
            <w:tcBorders>
              <w:top w:val="nil"/>
              <w:left w:val="nil"/>
              <w:bottom w:val="nil"/>
              <w:right w:val="nil"/>
            </w:tcBorders>
            <w:shd w:val="clear" w:color="auto" w:fill="auto"/>
            <w:noWrap/>
            <w:vAlign w:val="bottom"/>
            <w:hideMark/>
          </w:tcPr>
          <w:p w14:paraId="5D74783F" w14:textId="77777777" w:rsidR="005B1930" w:rsidRPr="005B1930" w:rsidRDefault="005B1930" w:rsidP="00E05E7C">
            <w:pPr>
              <w:jc w:val="right"/>
              <w:rPr>
                <w:rFonts w:ascii="Arial" w:hAnsi="Arial" w:cs="Arial"/>
              </w:rPr>
            </w:pPr>
          </w:p>
        </w:tc>
      </w:tr>
      <w:tr w:rsidR="005B1930" w:rsidRPr="005B1930" w14:paraId="5F023A48" w14:textId="77777777" w:rsidTr="005B1930">
        <w:trPr>
          <w:trHeight w:val="300"/>
        </w:trPr>
        <w:tc>
          <w:tcPr>
            <w:tcW w:w="160" w:type="dxa"/>
            <w:tcBorders>
              <w:top w:val="nil"/>
              <w:left w:val="nil"/>
              <w:bottom w:val="nil"/>
              <w:right w:val="nil"/>
            </w:tcBorders>
            <w:shd w:val="clear" w:color="auto" w:fill="auto"/>
            <w:noWrap/>
            <w:vAlign w:val="bottom"/>
            <w:hideMark/>
          </w:tcPr>
          <w:p w14:paraId="299D84D6" w14:textId="77777777" w:rsidR="005B1930" w:rsidRPr="005B1930" w:rsidRDefault="005B1930" w:rsidP="005B1930">
            <w:pPr>
              <w:rPr>
                <w:rFonts w:ascii="Arial" w:hAnsi="Arial" w:cs="Arial"/>
              </w:rPr>
            </w:pPr>
          </w:p>
        </w:tc>
        <w:tc>
          <w:tcPr>
            <w:tcW w:w="4540" w:type="dxa"/>
            <w:tcBorders>
              <w:top w:val="nil"/>
              <w:left w:val="nil"/>
              <w:bottom w:val="nil"/>
              <w:right w:val="nil"/>
            </w:tcBorders>
            <w:shd w:val="clear" w:color="auto" w:fill="auto"/>
            <w:noWrap/>
            <w:vAlign w:val="bottom"/>
            <w:hideMark/>
          </w:tcPr>
          <w:p w14:paraId="1AFDBC71" w14:textId="77777777" w:rsidR="005B1930" w:rsidRPr="005B1930" w:rsidRDefault="005B1930" w:rsidP="005B1930">
            <w:pPr>
              <w:rPr>
                <w:rFonts w:ascii="Arial" w:hAnsi="Arial" w:cs="Arial"/>
              </w:rPr>
            </w:pPr>
          </w:p>
        </w:tc>
        <w:tc>
          <w:tcPr>
            <w:tcW w:w="200" w:type="dxa"/>
            <w:tcBorders>
              <w:top w:val="nil"/>
              <w:left w:val="nil"/>
              <w:bottom w:val="nil"/>
              <w:right w:val="nil"/>
            </w:tcBorders>
            <w:shd w:val="clear" w:color="auto" w:fill="auto"/>
            <w:noWrap/>
            <w:vAlign w:val="bottom"/>
            <w:hideMark/>
          </w:tcPr>
          <w:p w14:paraId="13330575" w14:textId="77777777" w:rsidR="005B1930" w:rsidRPr="005B1930" w:rsidRDefault="005B1930" w:rsidP="005B1930">
            <w:pPr>
              <w:rPr>
                <w:rFonts w:ascii="Arial" w:hAnsi="Arial" w:cs="Arial"/>
              </w:rPr>
            </w:pPr>
          </w:p>
        </w:tc>
        <w:tc>
          <w:tcPr>
            <w:tcW w:w="1962" w:type="dxa"/>
            <w:tcBorders>
              <w:top w:val="nil"/>
              <w:left w:val="nil"/>
              <w:bottom w:val="nil"/>
              <w:right w:val="nil"/>
            </w:tcBorders>
            <w:shd w:val="clear" w:color="auto" w:fill="auto"/>
            <w:noWrap/>
            <w:vAlign w:val="bottom"/>
            <w:hideMark/>
          </w:tcPr>
          <w:p w14:paraId="27651B25"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559,418</w:t>
            </w:r>
          </w:p>
        </w:tc>
        <w:tc>
          <w:tcPr>
            <w:tcW w:w="1960" w:type="dxa"/>
            <w:tcBorders>
              <w:top w:val="nil"/>
              <w:left w:val="nil"/>
              <w:bottom w:val="nil"/>
              <w:right w:val="nil"/>
            </w:tcBorders>
            <w:shd w:val="clear" w:color="auto" w:fill="auto"/>
            <w:noWrap/>
            <w:vAlign w:val="bottom"/>
            <w:hideMark/>
          </w:tcPr>
          <w:p w14:paraId="6CCF1269" w14:textId="77777777" w:rsidR="005B1930" w:rsidRPr="005B1930" w:rsidRDefault="005B1930" w:rsidP="00E05E7C">
            <w:pPr>
              <w:jc w:val="right"/>
              <w:rPr>
                <w:rFonts w:ascii="Arial" w:hAnsi="Arial" w:cs="Arial"/>
                <w:color w:val="000000"/>
              </w:rPr>
            </w:pPr>
            <w:r w:rsidRPr="005B1930">
              <w:rPr>
                <w:rFonts w:ascii="Arial" w:hAnsi="Arial" w:cs="Arial"/>
                <w:color w:val="000000"/>
              </w:rPr>
              <w:t>549,198</w:t>
            </w:r>
          </w:p>
        </w:tc>
      </w:tr>
      <w:tr w:rsidR="005B1930" w:rsidRPr="005B1930" w14:paraId="491FBFDA" w14:textId="77777777" w:rsidTr="005B1930">
        <w:trPr>
          <w:trHeight w:val="300"/>
        </w:trPr>
        <w:tc>
          <w:tcPr>
            <w:tcW w:w="4700" w:type="dxa"/>
            <w:gridSpan w:val="2"/>
            <w:tcBorders>
              <w:top w:val="nil"/>
              <w:left w:val="nil"/>
              <w:bottom w:val="single" w:sz="4" w:space="0" w:color="auto"/>
              <w:right w:val="nil"/>
            </w:tcBorders>
            <w:shd w:val="clear" w:color="auto" w:fill="auto"/>
            <w:noWrap/>
            <w:vAlign w:val="bottom"/>
            <w:hideMark/>
          </w:tcPr>
          <w:p w14:paraId="7382CAF9" w14:textId="77777777" w:rsidR="005B1930" w:rsidRPr="005B1930" w:rsidRDefault="005B1930" w:rsidP="005B1930">
            <w:pPr>
              <w:rPr>
                <w:rFonts w:ascii="Arial" w:hAnsi="Arial" w:cs="Arial"/>
                <w:color w:val="000000"/>
              </w:rPr>
            </w:pPr>
            <w:r w:rsidRPr="005B1930">
              <w:rPr>
                <w:rFonts w:ascii="Arial" w:hAnsi="Arial" w:cs="Arial"/>
                <w:color w:val="000000"/>
              </w:rPr>
              <w:t>Less: accumulated amortization</w:t>
            </w:r>
          </w:p>
        </w:tc>
        <w:tc>
          <w:tcPr>
            <w:tcW w:w="200" w:type="dxa"/>
            <w:tcBorders>
              <w:top w:val="nil"/>
              <w:left w:val="nil"/>
              <w:bottom w:val="single" w:sz="4" w:space="0" w:color="auto"/>
              <w:right w:val="nil"/>
            </w:tcBorders>
            <w:shd w:val="clear" w:color="auto" w:fill="auto"/>
            <w:noWrap/>
            <w:vAlign w:val="bottom"/>
            <w:hideMark/>
          </w:tcPr>
          <w:p w14:paraId="7BB1A518"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6917869F"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(45,385)</w:t>
            </w:r>
          </w:p>
        </w:tc>
        <w:tc>
          <w:tcPr>
            <w:tcW w:w="1960" w:type="dxa"/>
            <w:tcBorders>
              <w:top w:val="nil"/>
              <w:left w:val="nil"/>
              <w:bottom w:val="single" w:sz="4" w:space="0" w:color="auto"/>
              <w:right w:val="nil"/>
            </w:tcBorders>
            <w:shd w:val="clear" w:color="auto" w:fill="auto"/>
            <w:noWrap/>
            <w:vAlign w:val="bottom"/>
            <w:hideMark/>
          </w:tcPr>
          <w:p w14:paraId="46947A2C" w14:textId="77777777" w:rsidR="005B1930" w:rsidRPr="005B1930" w:rsidRDefault="005B1930" w:rsidP="00E05E7C">
            <w:pPr>
              <w:jc w:val="right"/>
              <w:rPr>
                <w:rFonts w:ascii="Arial" w:hAnsi="Arial" w:cs="Arial"/>
                <w:color w:val="000000"/>
              </w:rPr>
            </w:pPr>
            <w:r w:rsidRPr="005B1930">
              <w:rPr>
                <w:rFonts w:ascii="Arial" w:hAnsi="Arial" w:cs="Arial"/>
                <w:color w:val="000000"/>
              </w:rPr>
              <w:t>(29,642)</w:t>
            </w:r>
          </w:p>
        </w:tc>
      </w:tr>
      <w:tr w:rsidR="005B1930" w:rsidRPr="005B1930" w14:paraId="12D1594E" w14:textId="77777777" w:rsidTr="005B1930">
        <w:trPr>
          <w:trHeight w:val="300"/>
        </w:trPr>
        <w:tc>
          <w:tcPr>
            <w:tcW w:w="4700" w:type="dxa"/>
            <w:gridSpan w:val="2"/>
            <w:tcBorders>
              <w:top w:val="single" w:sz="4" w:space="0" w:color="auto"/>
              <w:left w:val="nil"/>
              <w:bottom w:val="single" w:sz="4" w:space="0" w:color="auto"/>
              <w:right w:val="nil"/>
            </w:tcBorders>
            <w:shd w:val="clear" w:color="auto" w:fill="auto"/>
            <w:noWrap/>
            <w:vAlign w:val="bottom"/>
            <w:hideMark/>
          </w:tcPr>
          <w:p w14:paraId="620FEE2D" w14:textId="77777777" w:rsidR="005B1930" w:rsidRPr="005B1930" w:rsidRDefault="005B1930" w:rsidP="005B1930">
            <w:pPr>
              <w:rPr>
                <w:rFonts w:ascii="Arial" w:hAnsi="Arial" w:cs="Arial"/>
                <w:color w:val="000000"/>
              </w:rPr>
            </w:pPr>
            <w:r w:rsidRPr="005B1930">
              <w:rPr>
                <w:rFonts w:ascii="Arial" w:hAnsi="Arial" w:cs="Arial"/>
                <w:color w:val="000000"/>
              </w:rPr>
              <w:t>Net book value</w:t>
            </w:r>
          </w:p>
        </w:tc>
        <w:tc>
          <w:tcPr>
            <w:tcW w:w="200" w:type="dxa"/>
            <w:tcBorders>
              <w:top w:val="nil"/>
              <w:left w:val="nil"/>
              <w:bottom w:val="single" w:sz="4" w:space="0" w:color="auto"/>
              <w:right w:val="nil"/>
            </w:tcBorders>
            <w:shd w:val="clear" w:color="auto" w:fill="auto"/>
            <w:noWrap/>
            <w:vAlign w:val="bottom"/>
            <w:hideMark/>
          </w:tcPr>
          <w:p w14:paraId="18312857"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62" w:type="dxa"/>
            <w:tcBorders>
              <w:top w:val="nil"/>
              <w:left w:val="nil"/>
              <w:bottom w:val="single" w:sz="4" w:space="0" w:color="auto"/>
              <w:right w:val="nil"/>
            </w:tcBorders>
            <w:shd w:val="clear" w:color="auto" w:fill="auto"/>
            <w:noWrap/>
            <w:vAlign w:val="bottom"/>
            <w:hideMark/>
          </w:tcPr>
          <w:p w14:paraId="30E54BFA" w14:textId="05D2F986" w:rsidR="005B1930" w:rsidRPr="005B1930" w:rsidRDefault="005B1930" w:rsidP="00E05E7C">
            <w:pPr>
              <w:jc w:val="right"/>
              <w:rPr>
                <w:rFonts w:ascii="Arial" w:hAnsi="Arial" w:cs="Arial"/>
                <w:b/>
                <w:bCs/>
                <w:color w:val="000000"/>
              </w:rPr>
            </w:pPr>
            <w:r w:rsidRPr="005B1930">
              <w:rPr>
                <w:rFonts w:ascii="Arial" w:hAnsi="Arial" w:cs="Arial"/>
                <w:b/>
                <w:bCs/>
                <w:color w:val="000000"/>
              </w:rPr>
              <w:t xml:space="preserve"> $514,033</w:t>
            </w:r>
          </w:p>
        </w:tc>
        <w:tc>
          <w:tcPr>
            <w:tcW w:w="1960" w:type="dxa"/>
            <w:tcBorders>
              <w:top w:val="nil"/>
              <w:left w:val="nil"/>
              <w:bottom w:val="single" w:sz="4" w:space="0" w:color="auto"/>
              <w:right w:val="nil"/>
            </w:tcBorders>
            <w:shd w:val="clear" w:color="auto" w:fill="auto"/>
            <w:noWrap/>
            <w:vAlign w:val="bottom"/>
            <w:hideMark/>
          </w:tcPr>
          <w:p w14:paraId="67A07C67" w14:textId="09BB33CB" w:rsidR="005B1930" w:rsidRPr="005B1930" w:rsidRDefault="005B1930" w:rsidP="00E05E7C">
            <w:pPr>
              <w:jc w:val="right"/>
              <w:rPr>
                <w:rFonts w:ascii="Arial" w:hAnsi="Arial" w:cs="Arial"/>
                <w:color w:val="000000"/>
              </w:rPr>
            </w:pPr>
            <w:r w:rsidRPr="005B1930">
              <w:rPr>
                <w:rFonts w:ascii="Arial" w:hAnsi="Arial" w:cs="Arial"/>
                <w:color w:val="000000"/>
              </w:rPr>
              <w:t xml:space="preserve"> $519,556</w:t>
            </w:r>
          </w:p>
        </w:tc>
      </w:tr>
    </w:tbl>
    <w:p w14:paraId="4BD5D3E9" w14:textId="7D266053" w:rsidR="00E2198D" w:rsidRPr="00E94AD0" w:rsidRDefault="00E2198D" w:rsidP="00B219CA">
      <w:pPr>
        <w:pStyle w:val="Footnote"/>
        <w:rPr>
          <w:lang w:val="en-GB"/>
        </w:rPr>
      </w:pPr>
    </w:p>
    <w:p w14:paraId="652F6ACF" w14:textId="4CB2F802" w:rsidR="00E2198D" w:rsidRPr="00E94AD0" w:rsidRDefault="00E2198D" w:rsidP="00FD70C8">
      <w:pPr>
        <w:pStyle w:val="ExhibitText"/>
        <w:rPr>
          <w:lang w:val="en-GB"/>
        </w:rPr>
      </w:pPr>
      <w:r w:rsidRPr="00E94AD0">
        <w:rPr>
          <w:lang w:val="en-GB"/>
        </w:rPr>
        <w:t>The net change in goodwill is as follows:</w:t>
      </w:r>
    </w:p>
    <w:p w14:paraId="08E13D12" w14:textId="77777777" w:rsidR="00FD70C8" w:rsidRPr="00E94AD0" w:rsidRDefault="00FD70C8" w:rsidP="00B219CA">
      <w:pPr>
        <w:pStyle w:val="Footnote"/>
        <w:rPr>
          <w:lang w:val="en-GB"/>
        </w:rPr>
      </w:pPr>
    </w:p>
    <w:tbl>
      <w:tblPr>
        <w:tblW w:w="9090" w:type="dxa"/>
        <w:tblLook w:val="04A0" w:firstRow="1" w:lastRow="0" w:firstColumn="1" w:lastColumn="0" w:noHBand="0" w:noVBand="1"/>
      </w:tblPr>
      <w:tblGrid>
        <w:gridCol w:w="4683"/>
        <w:gridCol w:w="272"/>
        <w:gridCol w:w="1913"/>
        <w:gridCol w:w="2222"/>
      </w:tblGrid>
      <w:tr w:rsidR="005B1930" w:rsidRPr="005B1930" w14:paraId="27EB1A8E" w14:textId="77777777" w:rsidTr="008120F0">
        <w:trPr>
          <w:trHeight w:val="214"/>
        </w:trPr>
        <w:tc>
          <w:tcPr>
            <w:tcW w:w="4683" w:type="dxa"/>
            <w:tcBorders>
              <w:top w:val="nil"/>
              <w:left w:val="nil"/>
              <w:bottom w:val="single" w:sz="4" w:space="0" w:color="auto"/>
              <w:right w:val="nil"/>
            </w:tcBorders>
            <w:shd w:val="clear" w:color="auto" w:fill="auto"/>
            <w:noWrap/>
            <w:vAlign w:val="bottom"/>
            <w:hideMark/>
          </w:tcPr>
          <w:p w14:paraId="2018F258" w14:textId="77777777" w:rsidR="005B1930" w:rsidRPr="005B1930" w:rsidRDefault="005B1930" w:rsidP="005B1930">
            <w:pPr>
              <w:rPr>
                <w:rFonts w:ascii="Arial" w:hAnsi="Arial" w:cs="Arial"/>
                <w:color w:val="000000"/>
              </w:rPr>
            </w:pPr>
            <w:r w:rsidRPr="005B1930">
              <w:rPr>
                <w:rFonts w:ascii="Arial" w:hAnsi="Arial" w:cs="Arial"/>
                <w:color w:val="000000"/>
              </w:rPr>
              <w:t>Goodwill</w:t>
            </w:r>
          </w:p>
        </w:tc>
        <w:tc>
          <w:tcPr>
            <w:tcW w:w="272" w:type="dxa"/>
            <w:tcBorders>
              <w:top w:val="nil"/>
              <w:left w:val="nil"/>
              <w:bottom w:val="single" w:sz="4" w:space="0" w:color="auto"/>
              <w:right w:val="nil"/>
            </w:tcBorders>
            <w:shd w:val="clear" w:color="auto" w:fill="auto"/>
            <w:noWrap/>
            <w:vAlign w:val="bottom"/>
            <w:hideMark/>
          </w:tcPr>
          <w:p w14:paraId="7815D7B5"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13" w:type="dxa"/>
            <w:tcBorders>
              <w:top w:val="nil"/>
              <w:left w:val="nil"/>
              <w:bottom w:val="single" w:sz="4" w:space="0" w:color="auto"/>
              <w:right w:val="nil"/>
            </w:tcBorders>
            <w:shd w:val="clear" w:color="auto" w:fill="auto"/>
            <w:noWrap/>
            <w:vAlign w:val="bottom"/>
            <w:hideMark/>
          </w:tcPr>
          <w:p w14:paraId="79012E5D" w14:textId="77777777" w:rsidR="005B1930" w:rsidRPr="005B1930" w:rsidRDefault="005B1930" w:rsidP="005B1930">
            <w:pPr>
              <w:rPr>
                <w:rFonts w:ascii="Arial" w:hAnsi="Arial" w:cs="Arial"/>
                <w:b/>
                <w:bCs/>
                <w:color w:val="000000"/>
              </w:rPr>
            </w:pPr>
            <w:r w:rsidRPr="005B1930">
              <w:rPr>
                <w:rFonts w:ascii="Arial" w:hAnsi="Arial" w:cs="Arial"/>
                <w:b/>
                <w:bCs/>
                <w:color w:val="000000"/>
              </w:rPr>
              <w:t> </w:t>
            </w:r>
          </w:p>
        </w:tc>
        <w:tc>
          <w:tcPr>
            <w:tcW w:w="2222" w:type="dxa"/>
            <w:tcBorders>
              <w:top w:val="nil"/>
              <w:left w:val="nil"/>
              <w:bottom w:val="single" w:sz="4" w:space="0" w:color="auto"/>
              <w:right w:val="nil"/>
            </w:tcBorders>
            <w:shd w:val="clear" w:color="auto" w:fill="auto"/>
            <w:noWrap/>
            <w:vAlign w:val="bottom"/>
            <w:hideMark/>
          </w:tcPr>
          <w:p w14:paraId="3D5CB07A" w14:textId="77777777" w:rsidR="005B1930" w:rsidRPr="005B1930" w:rsidRDefault="005B1930" w:rsidP="005B1930">
            <w:pPr>
              <w:rPr>
                <w:rFonts w:ascii="Arial" w:hAnsi="Arial" w:cs="Arial"/>
                <w:b/>
                <w:bCs/>
                <w:color w:val="000000"/>
              </w:rPr>
            </w:pPr>
            <w:r w:rsidRPr="005B1930">
              <w:rPr>
                <w:rFonts w:ascii="Arial" w:hAnsi="Arial" w:cs="Arial"/>
                <w:b/>
                <w:bCs/>
                <w:color w:val="000000"/>
              </w:rPr>
              <w:t> </w:t>
            </w:r>
          </w:p>
        </w:tc>
      </w:tr>
      <w:tr w:rsidR="005B1930" w:rsidRPr="005B1930" w14:paraId="62A4F2B2" w14:textId="77777777" w:rsidTr="008120F0">
        <w:trPr>
          <w:trHeight w:val="214"/>
        </w:trPr>
        <w:tc>
          <w:tcPr>
            <w:tcW w:w="4683" w:type="dxa"/>
            <w:tcBorders>
              <w:top w:val="single" w:sz="4" w:space="0" w:color="auto"/>
              <w:left w:val="nil"/>
              <w:bottom w:val="single" w:sz="4" w:space="0" w:color="auto"/>
              <w:right w:val="nil"/>
            </w:tcBorders>
            <w:shd w:val="clear" w:color="auto" w:fill="auto"/>
            <w:noWrap/>
            <w:vAlign w:val="bottom"/>
            <w:hideMark/>
          </w:tcPr>
          <w:p w14:paraId="01667216" w14:textId="77777777" w:rsidR="005B1930" w:rsidRPr="005B1930" w:rsidRDefault="005B1930" w:rsidP="005B1930">
            <w:pPr>
              <w:rPr>
                <w:rFonts w:ascii="Arial" w:hAnsi="Arial" w:cs="Arial"/>
                <w:color w:val="000000"/>
              </w:rPr>
            </w:pPr>
            <w:r w:rsidRPr="005B1930">
              <w:rPr>
                <w:rFonts w:ascii="Arial" w:hAnsi="Arial" w:cs="Arial"/>
                <w:color w:val="000000"/>
              </w:rPr>
              <w:t>As at March 31, 2019</w:t>
            </w:r>
          </w:p>
        </w:tc>
        <w:tc>
          <w:tcPr>
            <w:tcW w:w="272" w:type="dxa"/>
            <w:tcBorders>
              <w:top w:val="nil"/>
              <w:left w:val="nil"/>
              <w:bottom w:val="single" w:sz="4" w:space="0" w:color="auto"/>
              <w:right w:val="nil"/>
            </w:tcBorders>
            <w:shd w:val="clear" w:color="auto" w:fill="auto"/>
            <w:noWrap/>
            <w:vAlign w:val="bottom"/>
            <w:hideMark/>
          </w:tcPr>
          <w:p w14:paraId="523367D2"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13" w:type="dxa"/>
            <w:tcBorders>
              <w:top w:val="nil"/>
              <w:left w:val="nil"/>
              <w:bottom w:val="single" w:sz="4" w:space="0" w:color="auto"/>
              <w:right w:val="nil"/>
            </w:tcBorders>
            <w:shd w:val="clear" w:color="auto" w:fill="auto"/>
            <w:noWrap/>
            <w:vAlign w:val="bottom"/>
            <w:hideMark/>
          </w:tcPr>
          <w:p w14:paraId="1922B51D" w14:textId="77777777" w:rsidR="005B1930" w:rsidRPr="005B1930" w:rsidRDefault="005B1930" w:rsidP="005B1930">
            <w:pPr>
              <w:rPr>
                <w:rFonts w:ascii="Arial" w:hAnsi="Arial" w:cs="Arial"/>
                <w:b/>
                <w:bCs/>
                <w:color w:val="000000"/>
              </w:rPr>
            </w:pPr>
            <w:r w:rsidRPr="005B1930">
              <w:rPr>
                <w:rFonts w:ascii="Arial" w:hAnsi="Arial" w:cs="Arial"/>
                <w:b/>
                <w:bCs/>
                <w:color w:val="000000"/>
              </w:rPr>
              <w:t> </w:t>
            </w:r>
          </w:p>
        </w:tc>
        <w:tc>
          <w:tcPr>
            <w:tcW w:w="2222" w:type="dxa"/>
            <w:tcBorders>
              <w:top w:val="nil"/>
              <w:left w:val="nil"/>
              <w:bottom w:val="single" w:sz="4" w:space="0" w:color="auto"/>
              <w:right w:val="nil"/>
            </w:tcBorders>
            <w:shd w:val="clear" w:color="auto" w:fill="auto"/>
            <w:noWrap/>
            <w:vAlign w:val="bottom"/>
            <w:hideMark/>
          </w:tcPr>
          <w:p w14:paraId="638AE5F6" w14:textId="6DBEA95E" w:rsidR="005B1930" w:rsidRPr="005B1930" w:rsidRDefault="005B1930" w:rsidP="00E05E7C">
            <w:pPr>
              <w:jc w:val="right"/>
              <w:rPr>
                <w:rFonts w:ascii="Arial" w:hAnsi="Arial" w:cs="Arial"/>
                <w:color w:val="000000"/>
              </w:rPr>
            </w:pPr>
            <w:r w:rsidRPr="005B1930">
              <w:rPr>
                <w:rFonts w:ascii="Arial" w:hAnsi="Arial" w:cs="Arial"/>
                <w:color w:val="000000"/>
              </w:rPr>
              <w:t xml:space="preserve"> $1,544,055</w:t>
            </w:r>
          </w:p>
        </w:tc>
      </w:tr>
      <w:tr w:rsidR="005B1930" w:rsidRPr="005B1930" w14:paraId="19C6DADE" w14:textId="77777777" w:rsidTr="008120F0">
        <w:trPr>
          <w:trHeight w:val="214"/>
        </w:trPr>
        <w:tc>
          <w:tcPr>
            <w:tcW w:w="4683" w:type="dxa"/>
            <w:tcBorders>
              <w:top w:val="nil"/>
              <w:left w:val="nil"/>
              <w:bottom w:val="nil"/>
              <w:right w:val="nil"/>
            </w:tcBorders>
            <w:shd w:val="clear" w:color="auto" w:fill="auto"/>
            <w:noWrap/>
            <w:vAlign w:val="bottom"/>
            <w:hideMark/>
          </w:tcPr>
          <w:p w14:paraId="6CFF78D1" w14:textId="77777777" w:rsidR="005B1930" w:rsidRPr="005B1930" w:rsidRDefault="005B1930" w:rsidP="005B1930">
            <w:pPr>
              <w:rPr>
                <w:rFonts w:ascii="Arial" w:hAnsi="Arial" w:cs="Arial"/>
                <w:color w:val="000000"/>
              </w:rPr>
            </w:pPr>
            <w:r w:rsidRPr="005B1930">
              <w:rPr>
                <w:rFonts w:ascii="Arial" w:hAnsi="Arial" w:cs="Arial"/>
                <w:color w:val="000000"/>
              </w:rPr>
              <w:t>Additions from acquisitions of subsidiaries</w:t>
            </w:r>
          </w:p>
        </w:tc>
        <w:tc>
          <w:tcPr>
            <w:tcW w:w="272" w:type="dxa"/>
            <w:tcBorders>
              <w:top w:val="nil"/>
              <w:left w:val="nil"/>
              <w:bottom w:val="nil"/>
              <w:right w:val="nil"/>
            </w:tcBorders>
            <w:shd w:val="clear" w:color="auto" w:fill="auto"/>
            <w:noWrap/>
            <w:vAlign w:val="bottom"/>
            <w:hideMark/>
          </w:tcPr>
          <w:p w14:paraId="1FCAE82F" w14:textId="77777777" w:rsidR="005B1930" w:rsidRPr="005B1930" w:rsidRDefault="005B1930" w:rsidP="005B1930">
            <w:pPr>
              <w:rPr>
                <w:rFonts w:ascii="Arial" w:hAnsi="Arial" w:cs="Arial"/>
                <w:color w:val="000000"/>
              </w:rPr>
            </w:pPr>
          </w:p>
        </w:tc>
        <w:tc>
          <w:tcPr>
            <w:tcW w:w="1913" w:type="dxa"/>
            <w:tcBorders>
              <w:top w:val="nil"/>
              <w:left w:val="nil"/>
              <w:bottom w:val="nil"/>
              <w:right w:val="nil"/>
            </w:tcBorders>
            <w:shd w:val="clear" w:color="auto" w:fill="auto"/>
            <w:noWrap/>
            <w:vAlign w:val="bottom"/>
            <w:hideMark/>
          </w:tcPr>
          <w:p w14:paraId="463A0919" w14:textId="77777777" w:rsidR="005B1930" w:rsidRPr="005B1930" w:rsidRDefault="005B1930" w:rsidP="005B1930">
            <w:pPr>
              <w:rPr>
                <w:rFonts w:ascii="Arial" w:hAnsi="Arial" w:cs="Arial"/>
              </w:rPr>
            </w:pPr>
          </w:p>
        </w:tc>
        <w:tc>
          <w:tcPr>
            <w:tcW w:w="2222" w:type="dxa"/>
            <w:tcBorders>
              <w:top w:val="nil"/>
              <w:left w:val="nil"/>
              <w:bottom w:val="nil"/>
              <w:right w:val="nil"/>
            </w:tcBorders>
            <w:shd w:val="clear" w:color="auto" w:fill="auto"/>
            <w:noWrap/>
            <w:vAlign w:val="bottom"/>
            <w:hideMark/>
          </w:tcPr>
          <w:p w14:paraId="3B7BDC7F" w14:textId="77777777" w:rsidR="005B1930" w:rsidRPr="005B1930" w:rsidRDefault="005B1930" w:rsidP="00E05E7C">
            <w:pPr>
              <w:jc w:val="right"/>
              <w:rPr>
                <w:rFonts w:ascii="Arial" w:hAnsi="Arial" w:cs="Arial"/>
                <w:color w:val="000000"/>
              </w:rPr>
            </w:pPr>
            <w:r w:rsidRPr="005B1930">
              <w:rPr>
                <w:rFonts w:ascii="Arial" w:hAnsi="Arial" w:cs="Arial"/>
                <w:color w:val="000000"/>
              </w:rPr>
              <w:t>388,586</w:t>
            </w:r>
          </w:p>
        </w:tc>
      </w:tr>
      <w:tr w:rsidR="005B1930" w:rsidRPr="005B1930" w14:paraId="46967B1E" w14:textId="77777777" w:rsidTr="008120F0">
        <w:trPr>
          <w:trHeight w:val="214"/>
        </w:trPr>
        <w:tc>
          <w:tcPr>
            <w:tcW w:w="4683" w:type="dxa"/>
            <w:tcBorders>
              <w:top w:val="nil"/>
              <w:left w:val="nil"/>
              <w:bottom w:val="single" w:sz="4" w:space="0" w:color="auto"/>
              <w:right w:val="nil"/>
            </w:tcBorders>
            <w:shd w:val="clear" w:color="auto" w:fill="auto"/>
            <w:noWrap/>
            <w:vAlign w:val="bottom"/>
            <w:hideMark/>
          </w:tcPr>
          <w:p w14:paraId="7CC72B3F" w14:textId="77777777" w:rsidR="005B1930" w:rsidRPr="005B1930" w:rsidRDefault="005B1930" w:rsidP="005B1930">
            <w:pPr>
              <w:rPr>
                <w:rFonts w:ascii="Arial" w:hAnsi="Arial" w:cs="Arial"/>
                <w:color w:val="000000"/>
              </w:rPr>
            </w:pPr>
            <w:r w:rsidRPr="005B1930">
              <w:rPr>
                <w:rFonts w:ascii="Arial" w:hAnsi="Arial" w:cs="Arial"/>
                <w:color w:val="000000"/>
              </w:rPr>
              <w:t>Exchange differences</w:t>
            </w:r>
          </w:p>
        </w:tc>
        <w:tc>
          <w:tcPr>
            <w:tcW w:w="272" w:type="dxa"/>
            <w:tcBorders>
              <w:top w:val="nil"/>
              <w:left w:val="nil"/>
              <w:bottom w:val="single" w:sz="4" w:space="0" w:color="auto"/>
              <w:right w:val="nil"/>
            </w:tcBorders>
            <w:shd w:val="clear" w:color="auto" w:fill="auto"/>
            <w:noWrap/>
            <w:vAlign w:val="bottom"/>
            <w:hideMark/>
          </w:tcPr>
          <w:p w14:paraId="7FD2FD5A"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13" w:type="dxa"/>
            <w:tcBorders>
              <w:top w:val="nil"/>
              <w:left w:val="nil"/>
              <w:bottom w:val="single" w:sz="4" w:space="0" w:color="auto"/>
              <w:right w:val="nil"/>
            </w:tcBorders>
            <w:shd w:val="clear" w:color="auto" w:fill="auto"/>
            <w:noWrap/>
            <w:vAlign w:val="bottom"/>
            <w:hideMark/>
          </w:tcPr>
          <w:p w14:paraId="5C4E746F" w14:textId="77777777" w:rsidR="005B1930" w:rsidRPr="005B1930" w:rsidRDefault="005B1930" w:rsidP="005B1930">
            <w:pPr>
              <w:rPr>
                <w:rFonts w:ascii="Arial" w:hAnsi="Arial" w:cs="Arial"/>
                <w:b/>
                <w:bCs/>
                <w:color w:val="000000"/>
              </w:rPr>
            </w:pPr>
            <w:r w:rsidRPr="005B1930">
              <w:rPr>
                <w:rFonts w:ascii="Arial" w:hAnsi="Arial" w:cs="Arial"/>
                <w:b/>
                <w:bCs/>
                <w:color w:val="000000"/>
              </w:rPr>
              <w:t> </w:t>
            </w:r>
          </w:p>
        </w:tc>
        <w:tc>
          <w:tcPr>
            <w:tcW w:w="2222" w:type="dxa"/>
            <w:tcBorders>
              <w:top w:val="nil"/>
              <w:left w:val="nil"/>
              <w:bottom w:val="single" w:sz="4" w:space="0" w:color="auto"/>
              <w:right w:val="nil"/>
            </w:tcBorders>
            <w:shd w:val="clear" w:color="auto" w:fill="auto"/>
            <w:noWrap/>
            <w:vAlign w:val="bottom"/>
            <w:hideMark/>
          </w:tcPr>
          <w:p w14:paraId="48D5A136" w14:textId="77777777" w:rsidR="005B1930" w:rsidRPr="005B1930" w:rsidRDefault="005B1930" w:rsidP="00E05E7C">
            <w:pPr>
              <w:jc w:val="right"/>
              <w:rPr>
                <w:rFonts w:ascii="Arial" w:hAnsi="Arial" w:cs="Arial"/>
                <w:color w:val="000000"/>
              </w:rPr>
            </w:pPr>
            <w:r w:rsidRPr="005B1930">
              <w:rPr>
                <w:rFonts w:ascii="Arial" w:hAnsi="Arial" w:cs="Arial"/>
                <w:color w:val="000000"/>
              </w:rPr>
              <w:t>(20,157)</w:t>
            </w:r>
          </w:p>
        </w:tc>
      </w:tr>
      <w:tr w:rsidR="005B1930" w:rsidRPr="005B1930" w14:paraId="302317E1" w14:textId="77777777" w:rsidTr="008120F0">
        <w:trPr>
          <w:trHeight w:val="90"/>
        </w:trPr>
        <w:tc>
          <w:tcPr>
            <w:tcW w:w="4683" w:type="dxa"/>
            <w:tcBorders>
              <w:top w:val="nil"/>
              <w:left w:val="nil"/>
              <w:bottom w:val="single" w:sz="4" w:space="0" w:color="auto"/>
              <w:right w:val="nil"/>
            </w:tcBorders>
            <w:shd w:val="clear" w:color="auto" w:fill="auto"/>
            <w:noWrap/>
            <w:vAlign w:val="bottom"/>
            <w:hideMark/>
          </w:tcPr>
          <w:p w14:paraId="15368003" w14:textId="77777777" w:rsidR="005B1930" w:rsidRPr="005B1930" w:rsidRDefault="005B1930" w:rsidP="005B1930">
            <w:pPr>
              <w:rPr>
                <w:rFonts w:ascii="Arial" w:hAnsi="Arial" w:cs="Arial"/>
                <w:b/>
                <w:bCs/>
                <w:color w:val="000000"/>
              </w:rPr>
            </w:pPr>
            <w:r w:rsidRPr="005B1930">
              <w:rPr>
                <w:rFonts w:ascii="Arial" w:hAnsi="Arial" w:cs="Arial"/>
                <w:b/>
                <w:bCs/>
                <w:color w:val="000000"/>
              </w:rPr>
              <w:t>As at September 30, 2019</w:t>
            </w:r>
          </w:p>
        </w:tc>
        <w:tc>
          <w:tcPr>
            <w:tcW w:w="272" w:type="dxa"/>
            <w:tcBorders>
              <w:top w:val="nil"/>
              <w:left w:val="nil"/>
              <w:bottom w:val="single" w:sz="4" w:space="0" w:color="auto"/>
              <w:right w:val="nil"/>
            </w:tcBorders>
            <w:shd w:val="clear" w:color="auto" w:fill="auto"/>
            <w:noWrap/>
            <w:vAlign w:val="bottom"/>
            <w:hideMark/>
          </w:tcPr>
          <w:p w14:paraId="66D9A7D6"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913" w:type="dxa"/>
            <w:tcBorders>
              <w:top w:val="nil"/>
              <w:left w:val="nil"/>
              <w:bottom w:val="single" w:sz="4" w:space="0" w:color="auto"/>
              <w:right w:val="nil"/>
            </w:tcBorders>
            <w:shd w:val="clear" w:color="auto" w:fill="auto"/>
            <w:noWrap/>
            <w:vAlign w:val="bottom"/>
            <w:hideMark/>
          </w:tcPr>
          <w:p w14:paraId="4708B826" w14:textId="77777777" w:rsidR="005B1930" w:rsidRPr="005B1930" w:rsidRDefault="005B1930" w:rsidP="005B1930">
            <w:pPr>
              <w:rPr>
                <w:rFonts w:ascii="Arial" w:hAnsi="Arial" w:cs="Arial"/>
                <w:b/>
                <w:bCs/>
                <w:color w:val="000000"/>
              </w:rPr>
            </w:pPr>
            <w:r w:rsidRPr="005B1930">
              <w:rPr>
                <w:rFonts w:ascii="Arial" w:hAnsi="Arial" w:cs="Arial"/>
                <w:b/>
                <w:bCs/>
                <w:color w:val="000000"/>
              </w:rPr>
              <w:t> </w:t>
            </w:r>
          </w:p>
        </w:tc>
        <w:tc>
          <w:tcPr>
            <w:tcW w:w="2222" w:type="dxa"/>
            <w:tcBorders>
              <w:top w:val="nil"/>
              <w:left w:val="nil"/>
              <w:bottom w:val="single" w:sz="4" w:space="0" w:color="auto"/>
              <w:right w:val="nil"/>
            </w:tcBorders>
            <w:shd w:val="clear" w:color="auto" w:fill="auto"/>
            <w:noWrap/>
            <w:vAlign w:val="bottom"/>
            <w:hideMark/>
          </w:tcPr>
          <w:p w14:paraId="348D69DD" w14:textId="7A518408" w:rsidR="005B1930" w:rsidRPr="005B1930" w:rsidRDefault="005B1930" w:rsidP="00E05E7C">
            <w:pPr>
              <w:jc w:val="right"/>
              <w:rPr>
                <w:rFonts w:ascii="Arial" w:hAnsi="Arial" w:cs="Arial"/>
                <w:b/>
                <w:bCs/>
                <w:color w:val="000000"/>
              </w:rPr>
            </w:pPr>
            <w:r w:rsidRPr="005B1930">
              <w:rPr>
                <w:rFonts w:ascii="Arial" w:hAnsi="Arial" w:cs="Arial"/>
                <w:b/>
                <w:bCs/>
                <w:color w:val="000000"/>
              </w:rPr>
              <w:t xml:space="preserve"> $1,912,484</w:t>
            </w:r>
          </w:p>
        </w:tc>
      </w:tr>
    </w:tbl>
    <w:p w14:paraId="0774C439" w14:textId="77777777" w:rsidR="00E2198D" w:rsidRDefault="00E2198D" w:rsidP="00B219CA">
      <w:pPr>
        <w:pStyle w:val="Footnote"/>
        <w:rPr>
          <w:lang w:val="en-GB"/>
        </w:rPr>
      </w:pPr>
    </w:p>
    <w:p w14:paraId="76AE29EA" w14:textId="77777777" w:rsidR="000641FB" w:rsidRDefault="000641FB" w:rsidP="00B219CA">
      <w:pPr>
        <w:pStyle w:val="Footnote"/>
        <w:rPr>
          <w:lang w:val="en-GB"/>
        </w:rPr>
      </w:pPr>
    </w:p>
    <w:p w14:paraId="25986333" w14:textId="656E217B" w:rsidR="00E2198D" w:rsidRPr="00E94AD0" w:rsidRDefault="00E2198D" w:rsidP="00E2198D">
      <w:pPr>
        <w:pStyle w:val="Casehead2"/>
        <w:rPr>
          <w:lang w:val="en-GB"/>
        </w:rPr>
      </w:pPr>
      <w:r w:rsidRPr="00E94AD0">
        <w:rPr>
          <w:lang w:val="en-GB"/>
        </w:rPr>
        <w:t>16. SHARE CAPITAL – CANOPY GROWTH</w:t>
      </w:r>
    </w:p>
    <w:p w14:paraId="4D0768BD" w14:textId="77777777" w:rsidR="00E2198D" w:rsidRPr="00E94AD0" w:rsidRDefault="00E2198D" w:rsidP="00B219CA">
      <w:pPr>
        <w:pStyle w:val="Footnote"/>
        <w:rPr>
          <w:lang w:val="en-GB"/>
        </w:rPr>
      </w:pPr>
    </w:p>
    <w:p w14:paraId="6222609C" w14:textId="0645364A" w:rsidR="00E2198D" w:rsidRDefault="00E2198D" w:rsidP="00E2198D">
      <w:pPr>
        <w:pStyle w:val="ExhibitText"/>
        <w:rPr>
          <w:lang w:val="en-GB"/>
        </w:rPr>
      </w:pPr>
      <w:r w:rsidRPr="00E94AD0">
        <w:rPr>
          <w:lang w:val="en-GB"/>
        </w:rPr>
        <w:t>The following is a summary of the outstanding stock options as at September 30, 2019:</w:t>
      </w:r>
    </w:p>
    <w:p w14:paraId="28406D1E" w14:textId="77777777" w:rsidR="005B1930" w:rsidRPr="00E94AD0" w:rsidRDefault="005B1930" w:rsidP="00E2198D">
      <w:pPr>
        <w:pStyle w:val="ExhibitText"/>
        <w:rPr>
          <w:lang w:val="en-GB"/>
        </w:rPr>
      </w:pPr>
    </w:p>
    <w:tbl>
      <w:tblPr>
        <w:tblW w:w="9145" w:type="dxa"/>
        <w:tblLook w:val="04A0" w:firstRow="1" w:lastRow="0" w:firstColumn="1" w:lastColumn="0" w:noHBand="0" w:noVBand="1"/>
        <w:tblCaption w:val="Exhibit 2 continued"/>
        <w:tblDescription w:val="Select Canopy Financial Statement Note Disclosures "/>
      </w:tblPr>
      <w:tblGrid>
        <w:gridCol w:w="272"/>
        <w:gridCol w:w="1899"/>
        <w:gridCol w:w="272"/>
        <w:gridCol w:w="1614"/>
        <w:gridCol w:w="1612"/>
        <w:gridCol w:w="272"/>
        <w:gridCol w:w="1614"/>
        <w:gridCol w:w="1612"/>
      </w:tblGrid>
      <w:tr w:rsidR="005B1930" w:rsidRPr="005B1930" w14:paraId="0ED00B38" w14:textId="77777777" w:rsidTr="008F5B5F">
        <w:trPr>
          <w:trHeight w:val="192"/>
          <w:tblHeader/>
        </w:trPr>
        <w:tc>
          <w:tcPr>
            <w:tcW w:w="265" w:type="dxa"/>
            <w:tcBorders>
              <w:top w:val="nil"/>
              <w:left w:val="nil"/>
              <w:bottom w:val="single" w:sz="4" w:space="0" w:color="auto"/>
              <w:right w:val="nil"/>
            </w:tcBorders>
            <w:shd w:val="clear" w:color="auto" w:fill="auto"/>
            <w:noWrap/>
            <w:vAlign w:val="bottom"/>
            <w:hideMark/>
          </w:tcPr>
          <w:p w14:paraId="1DF1DC87"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899" w:type="dxa"/>
            <w:tcBorders>
              <w:top w:val="nil"/>
              <w:left w:val="nil"/>
              <w:bottom w:val="single" w:sz="4" w:space="0" w:color="auto"/>
              <w:right w:val="nil"/>
            </w:tcBorders>
            <w:shd w:val="clear" w:color="auto" w:fill="auto"/>
            <w:noWrap/>
            <w:vAlign w:val="bottom"/>
            <w:hideMark/>
          </w:tcPr>
          <w:p w14:paraId="62A5D725"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265" w:type="dxa"/>
            <w:tcBorders>
              <w:top w:val="nil"/>
              <w:left w:val="nil"/>
              <w:bottom w:val="single" w:sz="4" w:space="0" w:color="auto"/>
              <w:right w:val="nil"/>
            </w:tcBorders>
            <w:shd w:val="clear" w:color="auto" w:fill="auto"/>
            <w:noWrap/>
            <w:vAlign w:val="bottom"/>
            <w:hideMark/>
          </w:tcPr>
          <w:p w14:paraId="0F3B97D0"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3226" w:type="dxa"/>
            <w:gridSpan w:val="2"/>
            <w:tcBorders>
              <w:top w:val="nil"/>
              <w:left w:val="nil"/>
              <w:bottom w:val="single" w:sz="4" w:space="0" w:color="auto"/>
              <w:right w:val="nil"/>
            </w:tcBorders>
            <w:shd w:val="clear" w:color="auto" w:fill="auto"/>
            <w:noWrap/>
            <w:vAlign w:val="bottom"/>
            <w:hideMark/>
          </w:tcPr>
          <w:p w14:paraId="7C3BB337" w14:textId="77777777" w:rsidR="005B1930" w:rsidRPr="005B1930" w:rsidRDefault="005B1930" w:rsidP="005B1930">
            <w:pPr>
              <w:jc w:val="center"/>
              <w:rPr>
                <w:rFonts w:ascii="Arial" w:hAnsi="Arial" w:cs="Arial"/>
                <w:b/>
                <w:bCs/>
                <w:color w:val="000000"/>
              </w:rPr>
            </w:pPr>
            <w:r w:rsidRPr="005B1930">
              <w:rPr>
                <w:rFonts w:ascii="Arial" w:hAnsi="Arial" w:cs="Arial"/>
                <w:b/>
                <w:bCs/>
                <w:color w:val="000000"/>
              </w:rPr>
              <w:t>Options Outstanding</w:t>
            </w:r>
          </w:p>
        </w:tc>
        <w:tc>
          <w:tcPr>
            <w:tcW w:w="264" w:type="dxa"/>
            <w:tcBorders>
              <w:top w:val="nil"/>
              <w:left w:val="nil"/>
              <w:bottom w:val="single" w:sz="4" w:space="0" w:color="auto"/>
              <w:right w:val="nil"/>
            </w:tcBorders>
            <w:shd w:val="clear" w:color="auto" w:fill="auto"/>
            <w:noWrap/>
            <w:vAlign w:val="bottom"/>
            <w:hideMark/>
          </w:tcPr>
          <w:p w14:paraId="19574F13"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 </w:t>
            </w:r>
          </w:p>
        </w:tc>
        <w:tc>
          <w:tcPr>
            <w:tcW w:w="3226" w:type="dxa"/>
            <w:gridSpan w:val="2"/>
            <w:tcBorders>
              <w:top w:val="nil"/>
              <w:left w:val="nil"/>
              <w:bottom w:val="single" w:sz="4" w:space="0" w:color="auto"/>
              <w:right w:val="nil"/>
            </w:tcBorders>
            <w:shd w:val="clear" w:color="auto" w:fill="auto"/>
            <w:noWrap/>
            <w:vAlign w:val="bottom"/>
            <w:hideMark/>
          </w:tcPr>
          <w:p w14:paraId="45815CC0" w14:textId="77777777" w:rsidR="005B1930" w:rsidRPr="005B1930" w:rsidRDefault="005B1930" w:rsidP="005B1930">
            <w:pPr>
              <w:jc w:val="center"/>
              <w:rPr>
                <w:rFonts w:ascii="Arial" w:hAnsi="Arial" w:cs="Arial"/>
                <w:b/>
                <w:bCs/>
                <w:color w:val="000000"/>
              </w:rPr>
            </w:pPr>
            <w:r w:rsidRPr="005B1930">
              <w:rPr>
                <w:rFonts w:ascii="Arial" w:hAnsi="Arial" w:cs="Arial"/>
                <w:b/>
                <w:bCs/>
                <w:color w:val="000000"/>
              </w:rPr>
              <w:t>Options Exercisable</w:t>
            </w:r>
          </w:p>
        </w:tc>
      </w:tr>
      <w:tr w:rsidR="005B1930" w:rsidRPr="005B1930" w14:paraId="03285E7D" w14:textId="77777777" w:rsidTr="008F5B5F">
        <w:trPr>
          <w:trHeight w:val="192"/>
          <w:tblHeader/>
        </w:trPr>
        <w:tc>
          <w:tcPr>
            <w:tcW w:w="265" w:type="dxa"/>
            <w:tcBorders>
              <w:top w:val="nil"/>
              <w:left w:val="nil"/>
              <w:bottom w:val="nil"/>
              <w:right w:val="nil"/>
            </w:tcBorders>
            <w:shd w:val="clear" w:color="auto" w:fill="auto"/>
            <w:noWrap/>
            <w:vAlign w:val="bottom"/>
            <w:hideMark/>
          </w:tcPr>
          <w:p w14:paraId="5E4B122C" w14:textId="77777777" w:rsidR="005B1930" w:rsidRPr="005B1930" w:rsidRDefault="005B1930" w:rsidP="005B1930">
            <w:pPr>
              <w:jc w:val="center"/>
              <w:rPr>
                <w:rFonts w:ascii="Arial" w:hAnsi="Arial" w:cs="Arial"/>
                <w:b/>
                <w:bCs/>
                <w:color w:val="000000"/>
              </w:rPr>
            </w:pPr>
          </w:p>
        </w:tc>
        <w:tc>
          <w:tcPr>
            <w:tcW w:w="1899" w:type="dxa"/>
            <w:tcBorders>
              <w:top w:val="nil"/>
              <w:left w:val="nil"/>
              <w:bottom w:val="nil"/>
              <w:right w:val="nil"/>
            </w:tcBorders>
            <w:shd w:val="clear" w:color="auto" w:fill="auto"/>
            <w:noWrap/>
            <w:vAlign w:val="bottom"/>
            <w:hideMark/>
          </w:tcPr>
          <w:p w14:paraId="01050FFC" w14:textId="77777777" w:rsidR="005B1930" w:rsidRPr="005B1930" w:rsidRDefault="005B1930" w:rsidP="005B1930">
            <w:pPr>
              <w:rPr>
                <w:rFonts w:ascii="Arial" w:hAnsi="Arial" w:cs="Arial"/>
              </w:rPr>
            </w:pPr>
          </w:p>
        </w:tc>
        <w:tc>
          <w:tcPr>
            <w:tcW w:w="265" w:type="dxa"/>
            <w:tcBorders>
              <w:top w:val="nil"/>
              <w:left w:val="nil"/>
              <w:bottom w:val="nil"/>
              <w:right w:val="nil"/>
            </w:tcBorders>
            <w:shd w:val="clear" w:color="auto" w:fill="auto"/>
            <w:noWrap/>
            <w:vAlign w:val="bottom"/>
            <w:hideMark/>
          </w:tcPr>
          <w:p w14:paraId="3A42DC89" w14:textId="77777777" w:rsidR="005B1930" w:rsidRPr="005B1930" w:rsidRDefault="005B1930" w:rsidP="005B1930">
            <w:pPr>
              <w:rPr>
                <w:rFonts w:ascii="Arial" w:hAnsi="Arial" w:cs="Arial"/>
              </w:rPr>
            </w:pPr>
          </w:p>
        </w:tc>
        <w:tc>
          <w:tcPr>
            <w:tcW w:w="1614" w:type="dxa"/>
            <w:tcBorders>
              <w:top w:val="nil"/>
              <w:left w:val="nil"/>
              <w:bottom w:val="nil"/>
              <w:right w:val="nil"/>
            </w:tcBorders>
            <w:shd w:val="clear" w:color="auto" w:fill="auto"/>
            <w:noWrap/>
            <w:vAlign w:val="bottom"/>
            <w:hideMark/>
          </w:tcPr>
          <w:p w14:paraId="32135122" w14:textId="77777777" w:rsidR="005B1930" w:rsidRPr="005B1930" w:rsidRDefault="005B1930" w:rsidP="005B1930">
            <w:pPr>
              <w:rPr>
                <w:rFonts w:ascii="Arial" w:hAnsi="Arial" w:cs="Arial"/>
              </w:rPr>
            </w:pPr>
          </w:p>
        </w:tc>
        <w:tc>
          <w:tcPr>
            <w:tcW w:w="1611" w:type="dxa"/>
            <w:tcBorders>
              <w:top w:val="nil"/>
              <w:left w:val="nil"/>
              <w:bottom w:val="nil"/>
              <w:right w:val="nil"/>
            </w:tcBorders>
            <w:shd w:val="clear" w:color="auto" w:fill="auto"/>
            <w:noWrap/>
            <w:vAlign w:val="bottom"/>
            <w:hideMark/>
          </w:tcPr>
          <w:p w14:paraId="2A1C50BB" w14:textId="77777777" w:rsidR="005B1930" w:rsidRPr="005B1930" w:rsidRDefault="005B1930" w:rsidP="005B1930">
            <w:pPr>
              <w:rPr>
                <w:rFonts w:ascii="Arial" w:hAnsi="Arial" w:cs="Arial"/>
              </w:rPr>
            </w:pPr>
          </w:p>
        </w:tc>
        <w:tc>
          <w:tcPr>
            <w:tcW w:w="264" w:type="dxa"/>
            <w:tcBorders>
              <w:top w:val="nil"/>
              <w:left w:val="nil"/>
              <w:bottom w:val="nil"/>
              <w:right w:val="nil"/>
            </w:tcBorders>
            <w:shd w:val="clear" w:color="auto" w:fill="auto"/>
            <w:noWrap/>
            <w:vAlign w:val="bottom"/>
            <w:hideMark/>
          </w:tcPr>
          <w:p w14:paraId="1B51E56F" w14:textId="77777777" w:rsidR="005B1930" w:rsidRPr="005B1930" w:rsidRDefault="005B1930" w:rsidP="005B1930">
            <w:pPr>
              <w:rPr>
                <w:rFonts w:ascii="Arial" w:hAnsi="Arial" w:cs="Arial"/>
              </w:rPr>
            </w:pPr>
          </w:p>
        </w:tc>
        <w:tc>
          <w:tcPr>
            <w:tcW w:w="1614" w:type="dxa"/>
            <w:tcBorders>
              <w:top w:val="nil"/>
              <w:left w:val="nil"/>
              <w:bottom w:val="nil"/>
              <w:right w:val="nil"/>
            </w:tcBorders>
            <w:shd w:val="clear" w:color="auto" w:fill="auto"/>
            <w:noWrap/>
            <w:vAlign w:val="bottom"/>
            <w:hideMark/>
          </w:tcPr>
          <w:p w14:paraId="2FDBA273" w14:textId="77777777" w:rsidR="005B1930" w:rsidRPr="005B1930" w:rsidRDefault="005B1930" w:rsidP="005B1930">
            <w:pPr>
              <w:rPr>
                <w:rFonts w:ascii="Arial" w:hAnsi="Arial" w:cs="Arial"/>
              </w:rPr>
            </w:pPr>
          </w:p>
        </w:tc>
        <w:tc>
          <w:tcPr>
            <w:tcW w:w="1611" w:type="dxa"/>
            <w:tcBorders>
              <w:top w:val="nil"/>
              <w:left w:val="nil"/>
              <w:bottom w:val="nil"/>
              <w:right w:val="nil"/>
            </w:tcBorders>
            <w:shd w:val="clear" w:color="auto" w:fill="auto"/>
            <w:noWrap/>
            <w:vAlign w:val="bottom"/>
            <w:hideMark/>
          </w:tcPr>
          <w:p w14:paraId="17F3E86D" w14:textId="77777777" w:rsidR="005B1930" w:rsidRPr="005B1930" w:rsidRDefault="005B1930" w:rsidP="005B1930">
            <w:pPr>
              <w:rPr>
                <w:rFonts w:ascii="Arial" w:hAnsi="Arial" w:cs="Arial"/>
              </w:rPr>
            </w:pPr>
          </w:p>
        </w:tc>
      </w:tr>
      <w:tr w:rsidR="005B1930" w:rsidRPr="005B1930" w14:paraId="5A949B78" w14:textId="77777777" w:rsidTr="008F5B5F">
        <w:trPr>
          <w:trHeight w:val="771"/>
          <w:tblHeader/>
        </w:trPr>
        <w:tc>
          <w:tcPr>
            <w:tcW w:w="265" w:type="dxa"/>
            <w:tcBorders>
              <w:top w:val="nil"/>
              <w:left w:val="nil"/>
              <w:bottom w:val="nil"/>
              <w:right w:val="nil"/>
            </w:tcBorders>
            <w:shd w:val="clear" w:color="auto" w:fill="auto"/>
            <w:vAlign w:val="bottom"/>
            <w:hideMark/>
          </w:tcPr>
          <w:p w14:paraId="3EBDA06D" w14:textId="77777777" w:rsidR="005B1930" w:rsidRPr="005B1930" w:rsidRDefault="005B1930" w:rsidP="005B1930">
            <w:pPr>
              <w:rPr>
                <w:rFonts w:ascii="Arial" w:hAnsi="Arial" w:cs="Arial"/>
              </w:rPr>
            </w:pPr>
          </w:p>
        </w:tc>
        <w:tc>
          <w:tcPr>
            <w:tcW w:w="1899" w:type="dxa"/>
            <w:tcBorders>
              <w:top w:val="nil"/>
              <w:left w:val="nil"/>
              <w:bottom w:val="nil"/>
              <w:right w:val="nil"/>
            </w:tcBorders>
            <w:shd w:val="clear" w:color="auto" w:fill="auto"/>
            <w:vAlign w:val="bottom"/>
            <w:hideMark/>
          </w:tcPr>
          <w:p w14:paraId="0BC0463A" w14:textId="77777777" w:rsidR="005B1930" w:rsidRPr="00C8482F" w:rsidRDefault="005B1930" w:rsidP="000A011E">
            <w:pPr>
              <w:jc w:val="center"/>
              <w:rPr>
                <w:rFonts w:ascii="Arial" w:hAnsi="Arial" w:cs="Arial"/>
                <w:b/>
                <w:color w:val="000000"/>
              </w:rPr>
            </w:pPr>
            <w:r w:rsidRPr="00C8482F">
              <w:rPr>
                <w:rFonts w:ascii="Arial" w:hAnsi="Arial" w:cs="Arial"/>
                <w:b/>
                <w:color w:val="000000"/>
              </w:rPr>
              <w:t>Range of Exercise Prices</w:t>
            </w:r>
          </w:p>
        </w:tc>
        <w:tc>
          <w:tcPr>
            <w:tcW w:w="265" w:type="dxa"/>
            <w:tcBorders>
              <w:top w:val="nil"/>
              <w:left w:val="nil"/>
              <w:bottom w:val="nil"/>
              <w:right w:val="nil"/>
            </w:tcBorders>
            <w:shd w:val="clear" w:color="auto" w:fill="auto"/>
            <w:vAlign w:val="bottom"/>
            <w:hideMark/>
          </w:tcPr>
          <w:p w14:paraId="6A52D444" w14:textId="77777777" w:rsidR="005B1930" w:rsidRPr="00C8482F" w:rsidRDefault="005B1930" w:rsidP="000A011E">
            <w:pPr>
              <w:jc w:val="center"/>
              <w:rPr>
                <w:rFonts w:ascii="Arial" w:hAnsi="Arial" w:cs="Arial"/>
                <w:b/>
                <w:color w:val="000000"/>
              </w:rPr>
            </w:pPr>
          </w:p>
        </w:tc>
        <w:tc>
          <w:tcPr>
            <w:tcW w:w="1614" w:type="dxa"/>
            <w:tcBorders>
              <w:top w:val="nil"/>
              <w:left w:val="nil"/>
              <w:bottom w:val="nil"/>
              <w:right w:val="nil"/>
            </w:tcBorders>
            <w:shd w:val="clear" w:color="auto" w:fill="auto"/>
            <w:vAlign w:val="bottom"/>
            <w:hideMark/>
          </w:tcPr>
          <w:p w14:paraId="06A6338F" w14:textId="77777777" w:rsidR="005B1930" w:rsidRPr="00C8482F" w:rsidRDefault="005B1930" w:rsidP="000A011E">
            <w:pPr>
              <w:jc w:val="right"/>
              <w:rPr>
                <w:rFonts w:ascii="Arial" w:hAnsi="Arial" w:cs="Arial"/>
                <w:b/>
                <w:color w:val="000000"/>
              </w:rPr>
            </w:pPr>
            <w:r w:rsidRPr="00C8482F">
              <w:rPr>
                <w:rFonts w:ascii="Arial" w:hAnsi="Arial" w:cs="Arial"/>
                <w:b/>
                <w:color w:val="000000"/>
              </w:rPr>
              <w:t xml:space="preserve"> Outstanding at Sep 30, 2019 </w:t>
            </w:r>
          </w:p>
        </w:tc>
        <w:tc>
          <w:tcPr>
            <w:tcW w:w="1611" w:type="dxa"/>
            <w:tcBorders>
              <w:top w:val="nil"/>
              <w:left w:val="nil"/>
              <w:bottom w:val="nil"/>
              <w:right w:val="nil"/>
            </w:tcBorders>
            <w:shd w:val="clear" w:color="auto" w:fill="auto"/>
            <w:vAlign w:val="bottom"/>
            <w:hideMark/>
          </w:tcPr>
          <w:p w14:paraId="3114BC48" w14:textId="77777777" w:rsidR="005B1930" w:rsidRPr="00C8482F" w:rsidRDefault="005B1930" w:rsidP="000A011E">
            <w:pPr>
              <w:jc w:val="right"/>
              <w:rPr>
                <w:rFonts w:ascii="Arial" w:hAnsi="Arial" w:cs="Arial"/>
                <w:b/>
                <w:color w:val="000000"/>
              </w:rPr>
            </w:pPr>
            <w:r w:rsidRPr="00C8482F">
              <w:rPr>
                <w:rFonts w:ascii="Arial" w:hAnsi="Arial" w:cs="Arial"/>
                <w:b/>
                <w:color w:val="000000"/>
              </w:rPr>
              <w:t xml:space="preserve"> Weighted Average Remaining Life (years) </w:t>
            </w:r>
          </w:p>
        </w:tc>
        <w:tc>
          <w:tcPr>
            <w:tcW w:w="264" w:type="dxa"/>
            <w:tcBorders>
              <w:top w:val="nil"/>
              <w:left w:val="nil"/>
              <w:bottom w:val="nil"/>
              <w:right w:val="nil"/>
            </w:tcBorders>
            <w:shd w:val="clear" w:color="auto" w:fill="auto"/>
            <w:vAlign w:val="bottom"/>
            <w:hideMark/>
          </w:tcPr>
          <w:p w14:paraId="0387ED01" w14:textId="77777777" w:rsidR="005B1930" w:rsidRPr="00C8482F" w:rsidRDefault="005B1930" w:rsidP="000A011E">
            <w:pPr>
              <w:jc w:val="right"/>
              <w:rPr>
                <w:rFonts w:ascii="Arial" w:hAnsi="Arial" w:cs="Arial"/>
                <w:b/>
                <w:color w:val="000000"/>
              </w:rPr>
            </w:pPr>
          </w:p>
        </w:tc>
        <w:tc>
          <w:tcPr>
            <w:tcW w:w="1614" w:type="dxa"/>
            <w:tcBorders>
              <w:top w:val="nil"/>
              <w:left w:val="nil"/>
              <w:bottom w:val="nil"/>
              <w:right w:val="nil"/>
            </w:tcBorders>
            <w:shd w:val="clear" w:color="auto" w:fill="auto"/>
            <w:vAlign w:val="bottom"/>
            <w:hideMark/>
          </w:tcPr>
          <w:p w14:paraId="109BE07C" w14:textId="77777777" w:rsidR="005B1930" w:rsidRPr="00C8482F" w:rsidRDefault="005B1930" w:rsidP="000A011E">
            <w:pPr>
              <w:jc w:val="right"/>
              <w:rPr>
                <w:rFonts w:ascii="Arial" w:hAnsi="Arial" w:cs="Arial"/>
                <w:b/>
                <w:color w:val="000000"/>
              </w:rPr>
            </w:pPr>
            <w:r w:rsidRPr="00C8482F">
              <w:rPr>
                <w:rFonts w:ascii="Arial" w:hAnsi="Arial" w:cs="Arial"/>
                <w:b/>
                <w:color w:val="000000"/>
              </w:rPr>
              <w:t xml:space="preserve"> Exercisable at Sep 30, 2019 </w:t>
            </w:r>
          </w:p>
        </w:tc>
        <w:tc>
          <w:tcPr>
            <w:tcW w:w="1611" w:type="dxa"/>
            <w:tcBorders>
              <w:top w:val="nil"/>
              <w:left w:val="nil"/>
              <w:bottom w:val="nil"/>
              <w:right w:val="nil"/>
            </w:tcBorders>
            <w:shd w:val="clear" w:color="auto" w:fill="auto"/>
            <w:vAlign w:val="bottom"/>
            <w:hideMark/>
          </w:tcPr>
          <w:p w14:paraId="46FFB376" w14:textId="77777777" w:rsidR="005B1930" w:rsidRPr="00C8482F" w:rsidRDefault="005B1930" w:rsidP="000A011E">
            <w:pPr>
              <w:jc w:val="right"/>
              <w:rPr>
                <w:rFonts w:ascii="Arial" w:hAnsi="Arial" w:cs="Arial"/>
                <w:b/>
                <w:color w:val="000000"/>
              </w:rPr>
            </w:pPr>
            <w:r w:rsidRPr="00C8482F">
              <w:rPr>
                <w:rFonts w:ascii="Arial" w:hAnsi="Arial" w:cs="Arial"/>
                <w:b/>
                <w:color w:val="000000"/>
              </w:rPr>
              <w:t xml:space="preserve"> Weighted Average Remaining Life (years) </w:t>
            </w:r>
          </w:p>
        </w:tc>
      </w:tr>
      <w:tr w:rsidR="005B1930" w:rsidRPr="005B1930" w14:paraId="5D4F5EB2" w14:textId="77777777" w:rsidTr="008F5B5F">
        <w:trPr>
          <w:trHeight w:val="96"/>
          <w:tblHeader/>
        </w:trPr>
        <w:tc>
          <w:tcPr>
            <w:tcW w:w="265" w:type="dxa"/>
            <w:tcBorders>
              <w:top w:val="nil"/>
              <w:left w:val="nil"/>
              <w:bottom w:val="nil"/>
              <w:right w:val="nil"/>
            </w:tcBorders>
            <w:shd w:val="clear" w:color="auto" w:fill="auto"/>
            <w:vAlign w:val="bottom"/>
            <w:hideMark/>
          </w:tcPr>
          <w:p w14:paraId="121D3020" w14:textId="77777777" w:rsidR="005B1930" w:rsidRPr="005B1930" w:rsidRDefault="005B1930" w:rsidP="005B1930">
            <w:pPr>
              <w:jc w:val="center"/>
              <w:rPr>
                <w:rFonts w:ascii="Arial" w:hAnsi="Arial" w:cs="Arial"/>
                <w:color w:val="000000"/>
              </w:rPr>
            </w:pPr>
          </w:p>
        </w:tc>
        <w:tc>
          <w:tcPr>
            <w:tcW w:w="1899" w:type="dxa"/>
            <w:tcBorders>
              <w:top w:val="nil"/>
              <w:left w:val="nil"/>
              <w:bottom w:val="nil"/>
              <w:right w:val="nil"/>
            </w:tcBorders>
            <w:shd w:val="clear" w:color="auto" w:fill="auto"/>
            <w:vAlign w:val="bottom"/>
            <w:hideMark/>
          </w:tcPr>
          <w:p w14:paraId="04CBF3D3" w14:textId="77777777" w:rsidR="005B1930" w:rsidRPr="005B1930" w:rsidRDefault="005B1930" w:rsidP="005B1930">
            <w:pPr>
              <w:jc w:val="center"/>
              <w:rPr>
                <w:rFonts w:ascii="Arial" w:hAnsi="Arial" w:cs="Arial"/>
              </w:rPr>
            </w:pPr>
          </w:p>
        </w:tc>
        <w:tc>
          <w:tcPr>
            <w:tcW w:w="265" w:type="dxa"/>
            <w:tcBorders>
              <w:top w:val="nil"/>
              <w:left w:val="nil"/>
              <w:bottom w:val="nil"/>
              <w:right w:val="nil"/>
            </w:tcBorders>
            <w:shd w:val="clear" w:color="auto" w:fill="auto"/>
            <w:vAlign w:val="bottom"/>
            <w:hideMark/>
          </w:tcPr>
          <w:p w14:paraId="1F55A1F9" w14:textId="77777777" w:rsidR="005B1930" w:rsidRPr="005B1930" w:rsidRDefault="005B1930" w:rsidP="005B1930">
            <w:pPr>
              <w:jc w:val="center"/>
              <w:rPr>
                <w:rFonts w:ascii="Arial" w:hAnsi="Arial" w:cs="Arial"/>
              </w:rPr>
            </w:pPr>
          </w:p>
        </w:tc>
        <w:tc>
          <w:tcPr>
            <w:tcW w:w="1614" w:type="dxa"/>
            <w:tcBorders>
              <w:top w:val="nil"/>
              <w:left w:val="nil"/>
              <w:bottom w:val="nil"/>
              <w:right w:val="nil"/>
            </w:tcBorders>
            <w:shd w:val="clear" w:color="auto" w:fill="auto"/>
            <w:vAlign w:val="bottom"/>
            <w:hideMark/>
          </w:tcPr>
          <w:p w14:paraId="33338967" w14:textId="77777777" w:rsidR="005B1930" w:rsidRPr="005B1930" w:rsidRDefault="005B1930" w:rsidP="005B1930">
            <w:pPr>
              <w:jc w:val="center"/>
              <w:rPr>
                <w:rFonts w:ascii="Arial" w:hAnsi="Arial" w:cs="Arial"/>
              </w:rPr>
            </w:pPr>
          </w:p>
        </w:tc>
        <w:tc>
          <w:tcPr>
            <w:tcW w:w="1611" w:type="dxa"/>
            <w:tcBorders>
              <w:top w:val="nil"/>
              <w:left w:val="nil"/>
              <w:bottom w:val="nil"/>
              <w:right w:val="nil"/>
            </w:tcBorders>
            <w:shd w:val="clear" w:color="auto" w:fill="auto"/>
            <w:vAlign w:val="bottom"/>
            <w:hideMark/>
          </w:tcPr>
          <w:p w14:paraId="5B2AF3E2" w14:textId="77777777" w:rsidR="005B1930" w:rsidRPr="005B1930" w:rsidRDefault="005B1930" w:rsidP="005B1930">
            <w:pPr>
              <w:jc w:val="center"/>
              <w:rPr>
                <w:rFonts w:ascii="Arial" w:hAnsi="Arial" w:cs="Arial"/>
              </w:rPr>
            </w:pPr>
          </w:p>
        </w:tc>
        <w:tc>
          <w:tcPr>
            <w:tcW w:w="264" w:type="dxa"/>
            <w:tcBorders>
              <w:top w:val="nil"/>
              <w:left w:val="nil"/>
              <w:bottom w:val="nil"/>
              <w:right w:val="nil"/>
            </w:tcBorders>
            <w:shd w:val="clear" w:color="auto" w:fill="auto"/>
            <w:vAlign w:val="bottom"/>
            <w:hideMark/>
          </w:tcPr>
          <w:p w14:paraId="19DAF92C" w14:textId="77777777" w:rsidR="005B1930" w:rsidRPr="005B1930" w:rsidRDefault="005B1930" w:rsidP="005B1930">
            <w:pPr>
              <w:jc w:val="center"/>
              <w:rPr>
                <w:rFonts w:ascii="Arial" w:hAnsi="Arial" w:cs="Arial"/>
              </w:rPr>
            </w:pPr>
          </w:p>
        </w:tc>
        <w:tc>
          <w:tcPr>
            <w:tcW w:w="1614" w:type="dxa"/>
            <w:tcBorders>
              <w:top w:val="nil"/>
              <w:left w:val="nil"/>
              <w:bottom w:val="nil"/>
              <w:right w:val="nil"/>
            </w:tcBorders>
            <w:shd w:val="clear" w:color="auto" w:fill="auto"/>
            <w:vAlign w:val="bottom"/>
            <w:hideMark/>
          </w:tcPr>
          <w:p w14:paraId="0095DF2F" w14:textId="77777777" w:rsidR="005B1930" w:rsidRPr="005B1930" w:rsidRDefault="005B1930" w:rsidP="005B1930">
            <w:pPr>
              <w:jc w:val="center"/>
              <w:rPr>
                <w:rFonts w:ascii="Arial" w:hAnsi="Arial" w:cs="Arial"/>
              </w:rPr>
            </w:pPr>
          </w:p>
        </w:tc>
        <w:tc>
          <w:tcPr>
            <w:tcW w:w="1611" w:type="dxa"/>
            <w:tcBorders>
              <w:top w:val="nil"/>
              <w:left w:val="nil"/>
              <w:bottom w:val="nil"/>
              <w:right w:val="nil"/>
            </w:tcBorders>
            <w:shd w:val="clear" w:color="auto" w:fill="auto"/>
            <w:vAlign w:val="bottom"/>
            <w:hideMark/>
          </w:tcPr>
          <w:p w14:paraId="109FCB85" w14:textId="77777777" w:rsidR="005B1930" w:rsidRPr="005B1930" w:rsidRDefault="005B1930" w:rsidP="005B1930">
            <w:pPr>
              <w:jc w:val="center"/>
              <w:rPr>
                <w:rFonts w:ascii="Arial" w:hAnsi="Arial" w:cs="Arial"/>
              </w:rPr>
            </w:pPr>
          </w:p>
        </w:tc>
      </w:tr>
      <w:tr w:rsidR="005B1930" w:rsidRPr="005B1930" w14:paraId="1D73B5FE" w14:textId="77777777" w:rsidTr="008F5B5F">
        <w:trPr>
          <w:trHeight w:val="192"/>
          <w:tblHeader/>
        </w:trPr>
        <w:tc>
          <w:tcPr>
            <w:tcW w:w="265" w:type="dxa"/>
            <w:tcBorders>
              <w:top w:val="nil"/>
              <w:left w:val="nil"/>
              <w:bottom w:val="nil"/>
              <w:right w:val="nil"/>
            </w:tcBorders>
            <w:shd w:val="clear" w:color="auto" w:fill="auto"/>
            <w:vAlign w:val="bottom"/>
            <w:hideMark/>
          </w:tcPr>
          <w:p w14:paraId="48F0AC8A" w14:textId="77777777" w:rsidR="005B1930" w:rsidRPr="005B1930" w:rsidRDefault="005B1930" w:rsidP="005B1930">
            <w:pPr>
              <w:jc w:val="center"/>
              <w:rPr>
                <w:rFonts w:ascii="Arial" w:hAnsi="Arial" w:cs="Arial"/>
              </w:rPr>
            </w:pPr>
          </w:p>
        </w:tc>
        <w:tc>
          <w:tcPr>
            <w:tcW w:w="1899" w:type="dxa"/>
            <w:tcBorders>
              <w:top w:val="nil"/>
              <w:left w:val="nil"/>
              <w:bottom w:val="nil"/>
              <w:right w:val="nil"/>
            </w:tcBorders>
            <w:shd w:val="clear" w:color="auto" w:fill="auto"/>
            <w:vAlign w:val="bottom"/>
            <w:hideMark/>
          </w:tcPr>
          <w:p w14:paraId="5418126F" w14:textId="77777777" w:rsidR="005B1930" w:rsidRPr="005B1930" w:rsidRDefault="005B1930" w:rsidP="00E05E7C">
            <w:pPr>
              <w:jc w:val="right"/>
              <w:rPr>
                <w:rFonts w:ascii="Arial" w:hAnsi="Arial" w:cs="Arial"/>
                <w:color w:val="000000"/>
              </w:rPr>
            </w:pPr>
            <w:r w:rsidRPr="005B1930">
              <w:rPr>
                <w:rFonts w:ascii="Arial" w:hAnsi="Arial" w:cs="Arial"/>
                <w:color w:val="000000"/>
              </w:rPr>
              <w:t>$1.32 - $27.94</w:t>
            </w:r>
          </w:p>
        </w:tc>
        <w:tc>
          <w:tcPr>
            <w:tcW w:w="265" w:type="dxa"/>
            <w:tcBorders>
              <w:top w:val="nil"/>
              <w:left w:val="nil"/>
              <w:bottom w:val="nil"/>
              <w:right w:val="nil"/>
            </w:tcBorders>
            <w:shd w:val="clear" w:color="auto" w:fill="auto"/>
            <w:vAlign w:val="bottom"/>
            <w:hideMark/>
          </w:tcPr>
          <w:p w14:paraId="3A88002B"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vAlign w:val="bottom"/>
            <w:hideMark/>
          </w:tcPr>
          <w:p w14:paraId="0E7B5547" w14:textId="6029EFB3" w:rsidR="005B1930" w:rsidRPr="005B1930" w:rsidRDefault="005B1930" w:rsidP="00E05E7C">
            <w:pPr>
              <w:jc w:val="right"/>
              <w:rPr>
                <w:rFonts w:ascii="Arial" w:hAnsi="Arial" w:cs="Arial"/>
                <w:color w:val="000000"/>
              </w:rPr>
            </w:pPr>
            <w:r w:rsidRPr="005B1930">
              <w:rPr>
                <w:rFonts w:ascii="Arial" w:hAnsi="Arial" w:cs="Arial"/>
                <w:color w:val="000000"/>
              </w:rPr>
              <w:t xml:space="preserve">6,155,483 </w:t>
            </w:r>
          </w:p>
        </w:tc>
        <w:tc>
          <w:tcPr>
            <w:tcW w:w="1611" w:type="dxa"/>
            <w:tcBorders>
              <w:top w:val="nil"/>
              <w:left w:val="nil"/>
              <w:bottom w:val="nil"/>
              <w:right w:val="nil"/>
            </w:tcBorders>
            <w:shd w:val="clear" w:color="auto" w:fill="auto"/>
            <w:vAlign w:val="bottom"/>
            <w:hideMark/>
          </w:tcPr>
          <w:p w14:paraId="2C834E99" w14:textId="69BA5B3A" w:rsidR="005B1930" w:rsidRPr="005B1930" w:rsidRDefault="005B1930" w:rsidP="00E05E7C">
            <w:pPr>
              <w:jc w:val="right"/>
              <w:rPr>
                <w:rFonts w:ascii="Arial" w:hAnsi="Arial" w:cs="Arial"/>
                <w:color w:val="000000"/>
              </w:rPr>
            </w:pPr>
            <w:r w:rsidRPr="005B1930">
              <w:rPr>
                <w:rFonts w:ascii="Arial" w:hAnsi="Arial" w:cs="Arial"/>
                <w:color w:val="000000"/>
              </w:rPr>
              <w:t>3.56</w:t>
            </w:r>
          </w:p>
        </w:tc>
        <w:tc>
          <w:tcPr>
            <w:tcW w:w="264" w:type="dxa"/>
            <w:tcBorders>
              <w:top w:val="nil"/>
              <w:left w:val="nil"/>
              <w:bottom w:val="nil"/>
              <w:right w:val="nil"/>
            </w:tcBorders>
            <w:shd w:val="clear" w:color="auto" w:fill="auto"/>
            <w:vAlign w:val="bottom"/>
            <w:hideMark/>
          </w:tcPr>
          <w:p w14:paraId="446B1A33"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vAlign w:val="bottom"/>
            <w:hideMark/>
          </w:tcPr>
          <w:p w14:paraId="5BD8EF77" w14:textId="4682231E" w:rsidR="005B1930" w:rsidRPr="005B1930" w:rsidRDefault="005B1930" w:rsidP="00E05E7C">
            <w:pPr>
              <w:jc w:val="right"/>
              <w:rPr>
                <w:rFonts w:ascii="Arial" w:hAnsi="Arial" w:cs="Arial"/>
                <w:color w:val="000000"/>
              </w:rPr>
            </w:pPr>
            <w:r w:rsidRPr="005B1930">
              <w:rPr>
                <w:rFonts w:ascii="Arial" w:hAnsi="Arial" w:cs="Arial"/>
                <w:color w:val="000000"/>
              </w:rPr>
              <w:t>2,888,874</w:t>
            </w:r>
          </w:p>
        </w:tc>
        <w:tc>
          <w:tcPr>
            <w:tcW w:w="1611" w:type="dxa"/>
            <w:tcBorders>
              <w:top w:val="nil"/>
              <w:left w:val="nil"/>
              <w:bottom w:val="nil"/>
              <w:right w:val="nil"/>
            </w:tcBorders>
            <w:shd w:val="clear" w:color="auto" w:fill="auto"/>
            <w:vAlign w:val="bottom"/>
            <w:hideMark/>
          </w:tcPr>
          <w:p w14:paraId="2C679960" w14:textId="1C209512" w:rsidR="005B1930" w:rsidRPr="005B1930" w:rsidRDefault="005B1930" w:rsidP="00E05E7C">
            <w:pPr>
              <w:jc w:val="right"/>
              <w:rPr>
                <w:rFonts w:ascii="Arial" w:hAnsi="Arial" w:cs="Arial"/>
                <w:color w:val="000000"/>
              </w:rPr>
            </w:pPr>
            <w:r w:rsidRPr="005B1930">
              <w:rPr>
                <w:rFonts w:ascii="Arial" w:hAnsi="Arial" w:cs="Arial"/>
                <w:color w:val="000000"/>
              </w:rPr>
              <w:t>3.30</w:t>
            </w:r>
          </w:p>
        </w:tc>
      </w:tr>
      <w:tr w:rsidR="005B1930" w:rsidRPr="005B1930" w14:paraId="78475560" w14:textId="77777777" w:rsidTr="008F5B5F">
        <w:trPr>
          <w:trHeight w:val="192"/>
          <w:tblHeader/>
        </w:trPr>
        <w:tc>
          <w:tcPr>
            <w:tcW w:w="265" w:type="dxa"/>
            <w:tcBorders>
              <w:top w:val="nil"/>
              <w:left w:val="nil"/>
              <w:bottom w:val="nil"/>
              <w:right w:val="nil"/>
            </w:tcBorders>
            <w:shd w:val="clear" w:color="auto" w:fill="auto"/>
            <w:noWrap/>
            <w:vAlign w:val="bottom"/>
            <w:hideMark/>
          </w:tcPr>
          <w:p w14:paraId="7B199B00" w14:textId="77777777" w:rsidR="005B1930" w:rsidRPr="005B1930" w:rsidRDefault="005B1930" w:rsidP="005B1930">
            <w:pPr>
              <w:jc w:val="center"/>
              <w:rPr>
                <w:rFonts w:ascii="Arial" w:hAnsi="Arial" w:cs="Arial"/>
                <w:color w:val="000000"/>
              </w:rPr>
            </w:pPr>
          </w:p>
        </w:tc>
        <w:tc>
          <w:tcPr>
            <w:tcW w:w="1899" w:type="dxa"/>
            <w:tcBorders>
              <w:top w:val="nil"/>
              <w:left w:val="nil"/>
              <w:bottom w:val="nil"/>
              <w:right w:val="nil"/>
            </w:tcBorders>
            <w:shd w:val="clear" w:color="auto" w:fill="auto"/>
            <w:noWrap/>
            <w:vAlign w:val="bottom"/>
            <w:hideMark/>
          </w:tcPr>
          <w:p w14:paraId="205C4504" w14:textId="77777777" w:rsidR="005B1930" w:rsidRPr="005B1930" w:rsidRDefault="005B1930" w:rsidP="00E05E7C">
            <w:pPr>
              <w:jc w:val="right"/>
              <w:rPr>
                <w:rFonts w:ascii="Arial" w:hAnsi="Arial" w:cs="Arial"/>
                <w:color w:val="000000"/>
              </w:rPr>
            </w:pPr>
            <w:r w:rsidRPr="005B1930">
              <w:rPr>
                <w:rFonts w:ascii="Arial" w:hAnsi="Arial" w:cs="Arial"/>
                <w:color w:val="000000"/>
              </w:rPr>
              <w:t>$27.95 - $35.00</w:t>
            </w:r>
          </w:p>
        </w:tc>
        <w:tc>
          <w:tcPr>
            <w:tcW w:w="265" w:type="dxa"/>
            <w:tcBorders>
              <w:top w:val="nil"/>
              <w:left w:val="nil"/>
              <w:bottom w:val="nil"/>
              <w:right w:val="nil"/>
            </w:tcBorders>
            <w:shd w:val="clear" w:color="auto" w:fill="auto"/>
            <w:noWrap/>
            <w:vAlign w:val="bottom"/>
            <w:hideMark/>
          </w:tcPr>
          <w:p w14:paraId="0ED0613B"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noWrap/>
            <w:vAlign w:val="bottom"/>
            <w:hideMark/>
          </w:tcPr>
          <w:p w14:paraId="6B2EBF71" w14:textId="6FD8DA69" w:rsidR="005B1930" w:rsidRPr="005B1930" w:rsidRDefault="005B1930" w:rsidP="00E05E7C">
            <w:pPr>
              <w:jc w:val="right"/>
              <w:rPr>
                <w:rFonts w:ascii="Arial" w:hAnsi="Arial" w:cs="Arial"/>
                <w:color w:val="000000"/>
              </w:rPr>
            </w:pPr>
            <w:r w:rsidRPr="005B1930">
              <w:rPr>
                <w:rFonts w:ascii="Arial" w:hAnsi="Arial" w:cs="Arial"/>
                <w:color w:val="000000"/>
              </w:rPr>
              <w:t xml:space="preserve">3,666,663 </w:t>
            </w:r>
          </w:p>
        </w:tc>
        <w:tc>
          <w:tcPr>
            <w:tcW w:w="1611" w:type="dxa"/>
            <w:tcBorders>
              <w:top w:val="nil"/>
              <w:left w:val="nil"/>
              <w:bottom w:val="nil"/>
              <w:right w:val="nil"/>
            </w:tcBorders>
            <w:shd w:val="clear" w:color="auto" w:fill="auto"/>
            <w:noWrap/>
            <w:vAlign w:val="bottom"/>
            <w:hideMark/>
          </w:tcPr>
          <w:p w14:paraId="7B7335ED" w14:textId="2D4AB2A3" w:rsidR="005B1930" w:rsidRPr="005B1930" w:rsidRDefault="005B1930" w:rsidP="00E05E7C">
            <w:pPr>
              <w:jc w:val="right"/>
              <w:rPr>
                <w:rFonts w:ascii="Arial" w:hAnsi="Arial" w:cs="Arial"/>
                <w:color w:val="000000"/>
              </w:rPr>
            </w:pPr>
            <w:r w:rsidRPr="005B1930">
              <w:rPr>
                <w:rFonts w:ascii="Arial" w:hAnsi="Arial" w:cs="Arial"/>
                <w:color w:val="000000"/>
              </w:rPr>
              <w:t>4.78</w:t>
            </w:r>
          </w:p>
        </w:tc>
        <w:tc>
          <w:tcPr>
            <w:tcW w:w="264" w:type="dxa"/>
            <w:tcBorders>
              <w:top w:val="nil"/>
              <w:left w:val="nil"/>
              <w:bottom w:val="nil"/>
              <w:right w:val="nil"/>
            </w:tcBorders>
            <w:shd w:val="clear" w:color="auto" w:fill="auto"/>
            <w:noWrap/>
            <w:vAlign w:val="bottom"/>
            <w:hideMark/>
          </w:tcPr>
          <w:p w14:paraId="0DE8CA40"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noWrap/>
            <w:vAlign w:val="bottom"/>
            <w:hideMark/>
          </w:tcPr>
          <w:p w14:paraId="36A3A42F" w14:textId="098A1882" w:rsidR="005B1930" w:rsidRPr="005B1930" w:rsidRDefault="005B1930" w:rsidP="00E05E7C">
            <w:pPr>
              <w:jc w:val="right"/>
              <w:rPr>
                <w:rFonts w:ascii="Arial" w:hAnsi="Arial" w:cs="Arial"/>
                <w:color w:val="000000"/>
              </w:rPr>
            </w:pPr>
            <w:r w:rsidRPr="005B1930">
              <w:rPr>
                <w:rFonts w:ascii="Arial" w:hAnsi="Arial" w:cs="Arial"/>
                <w:color w:val="000000"/>
              </w:rPr>
              <w:t>609,686</w:t>
            </w:r>
          </w:p>
        </w:tc>
        <w:tc>
          <w:tcPr>
            <w:tcW w:w="1611" w:type="dxa"/>
            <w:tcBorders>
              <w:top w:val="nil"/>
              <w:left w:val="nil"/>
              <w:bottom w:val="nil"/>
              <w:right w:val="nil"/>
            </w:tcBorders>
            <w:shd w:val="clear" w:color="auto" w:fill="auto"/>
            <w:noWrap/>
            <w:vAlign w:val="bottom"/>
            <w:hideMark/>
          </w:tcPr>
          <w:p w14:paraId="3EDE7BFC" w14:textId="290394CE" w:rsidR="005B1930" w:rsidRPr="005B1930" w:rsidRDefault="005B1930" w:rsidP="00E05E7C">
            <w:pPr>
              <w:jc w:val="right"/>
              <w:rPr>
                <w:rFonts w:ascii="Arial" w:hAnsi="Arial" w:cs="Arial"/>
                <w:color w:val="000000"/>
              </w:rPr>
            </w:pPr>
            <w:r w:rsidRPr="005B1930">
              <w:rPr>
                <w:rFonts w:ascii="Arial" w:hAnsi="Arial" w:cs="Arial"/>
                <w:color w:val="000000"/>
              </w:rPr>
              <w:t>4.41</w:t>
            </w:r>
          </w:p>
        </w:tc>
      </w:tr>
      <w:tr w:rsidR="005B1930" w:rsidRPr="005B1930" w14:paraId="4291C684" w14:textId="77777777" w:rsidTr="008F5B5F">
        <w:trPr>
          <w:trHeight w:val="192"/>
          <w:tblHeader/>
        </w:trPr>
        <w:tc>
          <w:tcPr>
            <w:tcW w:w="265" w:type="dxa"/>
            <w:tcBorders>
              <w:top w:val="nil"/>
              <w:left w:val="nil"/>
              <w:bottom w:val="nil"/>
              <w:right w:val="nil"/>
            </w:tcBorders>
            <w:shd w:val="clear" w:color="auto" w:fill="auto"/>
            <w:noWrap/>
            <w:vAlign w:val="bottom"/>
            <w:hideMark/>
          </w:tcPr>
          <w:p w14:paraId="63A3341E" w14:textId="77777777" w:rsidR="005B1930" w:rsidRPr="005B1930" w:rsidRDefault="005B1930" w:rsidP="005B1930">
            <w:pPr>
              <w:rPr>
                <w:rFonts w:ascii="Arial" w:hAnsi="Arial" w:cs="Arial"/>
                <w:color w:val="000000"/>
              </w:rPr>
            </w:pPr>
          </w:p>
        </w:tc>
        <w:tc>
          <w:tcPr>
            <w:tcW w:w="1899" w:type="dxa"/>
            <w:tcBorders>
              <w:top w:val="nil"/>
              <w:left w:val="nil"/>
              <w:bottom w:val="nil"/>
              <w:right w:val="nil"/>
            </w:tcBorders>
            <w:shd w:val="clear" w:color="auto" w:fill="auto"/>
            <w:vAlign w:val="bottom"/>
            <w:hideMark/>
          </w:tcPr>
          <w:p w14:paraId="071340A3" w14:textId="77777777" w:rsidR="005B1930" w:rsidRPr="005B1930" w:rsidRDefault="005B1930" w:rsidP="00E05E7C">
            <w:pPr>
              <w:jc w:val="right"/>
              <w:rPr>
                <w:rFonts w:ascii="Arial" w:hAnsi="Arial" w:cs="Arial"/>
                <w:color w:val="000000"/>
              </w:rPr>
            </w:pPr>
            <w:r w:rsidRPr="005B1930">
              <w:rPr>
                <w:rFonts w:ascii="Arial" w:hAnsi="Arial" w:cs="Arial"/>
                <w:color w:val="000000"/>
              </w:rPr>
              <w:t>$35.01 - $38.88</w:t>
            </w:r>
          </w:p>
        </w:tc>
        <w:tc>
          <w:tcPr>
            <w:tcW w:w="265" w:type="dxa"/>
            <w:tcBorders>
              <w:top w:val="nil"/>
              <w:left w:val="nil"/>
              <w:bottom w:val="nil"/>
              <w:right w:val="nil"/>
            </w:tcBorders>
            <w:shd w:val="clear" w:color="auto" w:fill="auto"/>
            <w:noWrap/>
            <w:vAlign w:val="bottom"/>
            <w:hideMark/>
          </w:tcPr>
          <w:p w14:paraId="08A3699C"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noWrap/>
            <w:vAlign w:val="bottom"/>
            <w:hideMark/>
          </w:tcPr>
          <w:p w14:paraId="00174896" w14:textId="41A40EDD" w:rsidR="005B1930" w:rsidRPr="005B1930" w:rsidRDefault="005B1930" w:rsidP="00E05E7C">
            <w:pPr>
              <w:jc w:val="right"/>
              <w:rPr>
                <w:rFonts w:ascii="Arial" w:hAnsi="Arial" w:cs="Arial"/>
                <w:color w:val="000000"/>
              </w:rPr>
            </w:pPr>
            <w:r w:rsidRPr="005B1930">
              <w:rPr>
                <w:rFonts w:ascii="Arial" w:hAnsi="Arial" w:cs="Arial"/>
                <w:color w:val="000000"/>
              </w:rPr>
              <w:t xml:space="preserve">7,815,201 </w:t>
            </w:r>
          </w:p>
        </w:tc>
        <w:tc>
          <w:tcPr>
            <w:tcW w:w="1611" w:type="dxa"/>
            <w:tcBorders>
              <w:top w:val="nil"/>
              <w:left w:val="nil"/>
              <w:bottom w:val="nil"/>
              <w:right w:val="nil"/>
            </w:tcBorders>
            <w:shd w:val="clear" w:color="auto" w:fill="auto"/>
            <w:noWrap/>
            <w:vAlign w:val="bottom"/>
            <w:hideMark/>
          </w:tcPr>
          <w:p w14:paraId="18485DD7" w14:textId="25B3E6A4" w:rsidR="005B1930" w:rsidRPr="005B1930" w:rsidRDefault="005B1930" w:rsidP="00E05E7C">
            <w:pPr>
              <w:jc w:val="right"/>
              <w:rPr>
                <w:rFonts w:ascii="Arial" w:hAnsi="Arial" w:cs="Arial"/>
                <w:color w:val="000000"/>
              </w:rPr>
            </w:pPr>
            <w:r w:rsidRPr="005B1930">
              <w:rPr>
                <w:rFonts w:ascii="Arial" w:hAnsi="Arial" w:cs="Arial"/>
                <w:color w:val="000000"/>
              </w:rPr>
              <w:t>5.29</w:t>
            </w:r>
          </w:p>
        </w:tc>
        <w:tc>
          <w:tcPr>
            <w:tcW w:w="264" w:type="dxa"/>
            <w:tcBorders>
              <w:top w:val="nil"/>
              <w:left w:val="nil"/>
              <w:bottom w:val="nil"/>
              <w:right w:val="nil"/>
            </w:tcBorders>
            <w:shd w:val="clear" w:color="auto" w:fill="auto"/>
            <w:noWrap/>
            <w:vAlign w:val="bottom"/>
            <w:hideMark/>
          </w:tcPr>
          <w:p w14:paraId="2B44AF30"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noWrap/>
            <w:vAlign w:val="bottom"/>
            <w:hideMark/>
          </w:tcPr>
          <w:p w14:paraId="0501A0C6" w14:textId="11DAE834" w:rsidR="005B1930" w:rsidRPr="005B1930" w:rsidRDefault="005B1930" w:rsidP="00E05E7C">
            <w:pPr>
              <w:jc w:val="right"/>
              <w:rPr>
                <w:rFonts w:ascii="Arial" w:hAnsi="Arial" w:cs="Arial"/>
                <w:color w:val="000000"/>
              </w:rPr>
            </w:pPr>
            <w:r w:rsidRPr="005B1930">
              <w:rPr>
                <w:rFonts w:ascii="Arial" w:hAnsi="Arial" w:cs="Arial"/>
                <w:color w:val="000000"/>
              </w:rPr>
              <w:t>500,000</w:t>
            </w:r>
          </w:p>
        </w:tc>
        <w:tc>
          <w:tcPr>
            <w:tcW w:w="1611" w:type="dxa"/>
            <w:tcBorders>
              <w:top w:val="nil"/>
              <w:left w:val="nil"/>
              <w:bottom w:val="nil"/>
              <w:right w:val="nil"/>
            </w:tcBorders>
            <w:shd w:val="clear" w:color="auto" w:fill="auto"/>
            <w:noWrap/>
            <w:vAlign w:val="bottom"/>
            <w:hideMark/>
          </w:tcPr>
          <w:p w14:paraId="2A816F26" w14:textId="09705E55" w:rsidR="005B1930" w:rsidRPr="005B1930" w:rsidRDefault="005B1930" w:rsidP="00E05E7C">
            <w:pPr>
              <w:jc w:val="right"/>
              <w:rPr>
                <w:rFonts w:ascii="Arial" w:hAnsi="Arial" w:cs="Arial"/>
                <w:color w:val="000000"/>
              </w:rPr>
            </w:pPr>
            <w:r w:rsidRPr="005B1930">
              <w:rPr>
                <w:rFonts w:ascii="Arial" w:hAnsi="Arial" w:cs="Arial"/>
                <w:color w:val="000000"/>
              </w:rPr>
              <w:t>5.23</w:t>
            </w:r>
          </w:p>
        </w:tc>
      </w:tr>
      <w:tr w:rsidR="005B1930" w:rsidRPr="005B1930" w14:paraId="4503355E" w14:textId="77777777" w:rsidTr="008F5B5F">
        <w:trPr>
          <w:trHeight w:val="192"/>
          <w:tblHeader/>
        </w:trPr>
        <w:tc>
          <w:tcPr>
            <w:tcW w:w="265" w:type="dxa"/>
            <w:tcBorders>
              <w:top w:val="nil"/>
              <w:left w:val="nil"/>
              <w:bottom w:val="nil"/>
              <w:right w:val="nil"/>
            </w:tcBorders>
            <w:shd w:val="clear" w:color="auto" w:fill="auto"/>
            <w:noWrap/>
            <w:vAlign w:val="bottom"/>
            <w:hideMark/>
          </w:tcPr>
          <w:p w14:paraId="6D799B41" w14:textId="77777777" w:rsidR="005B1930" w:rsidRPr="005B1930" w:rsidRDefault="005B1930" w:rsidP="005B1930">
            <w:pPr>
              <w:rPr>
                <w:rFonts w:ascii="Arial" w:hAnsi="Arial" w:cs="Arial"/>
                <w:color w:val="000000"/>
              </w:rPr>
            </w:pPr>
          </w:p>
        </w:tc>
        <w:tc>
          <w:tcPr>
            <w:tcW w:w="1899" w:type="dxa"/>
            <w:tcBorders>
              <w:top w:val="nil"/>
              <w:left w:val="nil"/>
              <w:bottom w:val="nil"/>
              <w:right w:val="nil"/>
            </w:tcBorders>
            <w:shd w:val="clear" w:color="auto" w:fill="auto"/>
            <w:vAlign w:val="bottom"/>
            <w:hideMark/>
          </w:tcPr>
          <w:p w14:paraId="6D45FCA1" w14:textId="77777777" w:rsidR="005B1930" w:rsidRPr="005B1930" w:rsidRDefault="005B1930" w:rsidP="00E05E7C">
            <w:pPr>
              <w:jc w:val="right"/>
              <w:rPr>
                <w:rFonts w:ascii="Arial" w:hAnsi="Arial" w:cs="Arial"/>
                <w:color w:val="000000"/>
              </w:rPr>
            </w:pPr>
            <w:r w:rsidRPr="005B1930">
              <w:rPr>
                <w:rFonts w:ascii="Arial" w:hAnsi="Arial" w:cs="Arial"/>
                <w:color w:val="000000"/>
              </w:rPr>
              <w:t>$38.89 - $42.84</w:t>
            </w:r>
          </w:p>
        </w:tc>
        <w:tc>
          <w:tcPr>
            <w:tcW w:w="265" w:type="dxa"/>
            <w:tcBorders>
              <w:top w:val="nil"/>
              <w:left w:val="nil"/>
              <w:bottom w:val="nil"/>
              <w:right w:val="nil"/>
            </w:tcBorders>
            <w:shd w:val="clear" w:color="auto" w:fill="auto"/>
            <w:noWrap/>
            <w:vAlign w:val="bottom"/>
            <w:hideMark/>
          </w:tcPr>
          <w:p w14:paraId="30F99B9C"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noWrap/>
            <w:vAlign w:val="bottom"/>
            <w:hideMark/>
          </w:tcPr>
          <w:p w14:paraId="72D37188" w14:textId="3EA5FF5B" w:rsidR="005B1930" w:rsidRPr="005B1930" w:rsidRDefault="005B1930" w:rsidP="00E05E7C">
            <w:pPr>
              <w:jc w:val="right"/>
              <w:rPr>
                <w:rFonts w:ascii="Arial" w:hAnsi="Arial" w:cs="Arial"/>
                <w:color w:val="000000"/>
              </w:rPr>
            </w:pPr>
            <w:r w:rsidRPr="005B1930">
              <w:rPr>
                <w:rFonts w:ascii="Arial" w:hAnsi="Arial" w:cs="Arial"/>
                <w:color w:val="000000"/>
              </w:rPr>
              <w:t xml:space="preserve">6,267,481 </w:t>
            </w:r>
          </w:p>
        </w:tc>
        <w:tc>
          <w:tcPr>
            <w:tcW w:w="1611" w:type="dxa"/>
            <w:tcBorders>
              <w:top w:val="nil"/>
              <w:left w:val="nil"/>
              <w:bottom w:val="nil"/>
              <w:right w:val="nil"/>
            </w:tcBorders>
            <w:shd w:val="clear" w:color="auto" w:fill="auto"/>
            <w:noWrap/>
            <w:vAlign w:val="bottom"/>
            <w:hideMark/>
          </w:tcPr>
          <w:p w14:paraId="34B761A6" w14:textId="01A3E9BD" w:rsidR="005B1930" w:rsidRPr="005B1930" w:rsidRDefault="005B1930" w:rsidP="00E05E7C">
            <w:pPr>
              <w:jc w:val="right"/>
              <w:rPr>
                <w:rFonts w:ascii="Arial" w:hAnsi="Arial" w:cs="Arial"/>
                <w:color w:val="000000"/>
              </w:rPr>
            </w:pPr>
            <w:r w:rsidRPr="005B1930">
              <w:rPr>
                <w:rFonts w:ascii="Arial" w:hAnsi="Arial" w:cs="Arial"/>
                <w:color w:val="000000"/>
              </w:rPr>
              <w:t>4.89</w:t>
            </w:r>
          </w:p>
        </w:tc>
        <w:tc>
          <w:tcPr>
            <w:tcW w:w="264" w:type="dxa"/>
            <w:tcBorders>
              <w:top w:val="nil"/>
              <w:left w:val="nil"/>
              <w:bottom w:val="nil"/>
              <w:right w:val="nil"/>
            </w:tcBorders>
            <w:shd w:val="clear" w:color="auto" w:fill="auto"/>
            <w:noWrap/>
            <w:vAlign w:val="bottom"/>
            <w:hideMark/>
          </w:tcPr>
          <w:p w14:paraId="7A29DEDD" w14:textId="77777777" w:rsidR="005B1930" w:rsidRPr="005B1930" w:rsidRDefault="005B1930" w:rsidP="00E05E7C">
            <w:pPr>
              <w:jc w:val="right"/>
              <w:rPr>
                <w:rFonts w:ascii="Arial" w:hAnsi="Arial" w:cs="Arial"/>
                <w:color w:val="000000"/>
              </w:rPr>
            </w:pPr>
          </w:p>
        </w:tc>
        <w:tc>
          <w:tcPr>
            <w:tcW w:w="1614" w:type="dxa"/>
            <w:tcBorders>
              <w:top w:val="nil"/>
              <w:left w:val="nil"/>
              <w:bottom w:val="nil"/>
              <w:right w:val="nil"/>
            </w:tcBorders>
            <w:shd w:val="clear" w:color="auto" w:fill="auto"/>
            <w:noWrap/>
            <w:vAlign w:val="bottom"/>
            <w:hideMark/>
          </w:tcPr>
          <w:p w14:paraId="3357C204" w14:textId="160AD67B" w:rsidR="005B1930" w:rsidRPr="005B1930" w:rsidRDefault="005B1930" w:rsidP="00E05E7C">
            <w:pPr>
              <w:jc w:val="right"/>
              <w:rPr>
                <w:rFonts w:ascii="Arial" w:hAnsi="Arial" w:cs="Arial"/>
                <w:color w:val="000000"/>
              </w:rPr>
            </w:pPr>
            <w:r w:rsidRPr="005B1930">
              <w:rPr>
                <w:rFonts w:ascii="Arial" w:hAnsi="Arial" w:cs="Arial"/>
                <w:color w:val="000000"/>
              </w:rPr>
              <w:t>1,439,214</w:t>
            </w:r>
          </w:p>
        </w:tc>
        <w:tc>
          <w:tcPr>
            <w:tcW w:w="1611" w:type="dxa"/>
            <w:tcBorders>
              <w:top w:val="nil"/>
              <w:left w:val="nil"/>
              <w:bottom w:val="nil"/>
              <w:right w:val="nil"/>
            </w:tcBorders>
            <w:shd w:val="clear" w:color="auto" w:fill="auto"/>
            <w:noWrap/>
            <w:vAlign w:val="bottom"/>
            <w:hideMark/>
          </w:tcPr>
          <w:p w14:paraId="48BAE580" w14:textId="36DF9EE6" w:rsidR="005B1930" w:rsidRPr="005B1930" w:rsidRDefault="005B1930" w:rsidP="00E05E7C">
            <w:pPr>
              <w:jc w:val="right"/>
              <w:rPr>
                <w:rFonts w:ascii="Arial" w:hAnsi="Arial" w:cs="Arial"/>
                <w:color w:val="000000"/>
              </w:rPr>
            </w:pPr>
            <w:r w:rsidRPr="005B1930">
              <w:rPr>
                <w:rFonts w:ascii="Arial" w:hAnsi="Arial" w:cs="Arial"/>
                <w:color w:val="000000"/>
              </w:rPr>
              <w:t>4.56</w:t>
            </w:r>
          </w:p>
        </w:tc>
      </w:tr>
      <w:tr w:rsidR="005B1930" w:rsidRPr="005B1930" w14:paraId="3538A6F6" w14:textId="77777777" w:rsidTr="008F5B5F">
        <w:trPr>
          <w:trHeight w:val="192"/>
          <w:tblHeader/>
        </w:trPr>
        <w:tc>
          <w:tcPr>
            <w:tcW w:w="265" w:type="dxa"/>
            <w:tcBorders>
              <w:top w:val="nil"/>
              <w:left w:val="nil"/>
              <w:bottom w:val="single" w:sz="4" w:space="0" w:color="auto"/>
              <w:right w:val="nil"/>
            </w:tcBorders>
            <w:shd w:val="clear" w:color="auto" w:fill="auto"/>
            <w:noWrap/>
            <w:vAlign w:val="bottom"/>
            <w:hideMark/>
          </w:tcPr>
          <w:p w14:paraId="27233722"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899" w:type="dxa"/>
            <w:tcBorders>
              <w:top w:val="nil"/>
              <w:left w:val="nil"/>
              <w:bottom w:val="single" w:sz="4" w:space="0" w:color="auto"/>
              <w:right w:val="nil"/>
            </w:tcBorders>
            <w:shd w:val="clear" w:color="auto" w:fill="auto"/>
            <w:noWrap/>
            <w:vAlign w:val="bottom"/>
            <w:hideMark/>
          </w:tcPr>
          <w:p w14:paraId="0D06E0FB" w14:textId="77777777" w:rsidR="005B1930" w:rsidRPr="005B1930" w:rsidRDefault="005B1930" w:rsidP="00E05E7C">
            <w:pPr>
              <w:jc w:val="right"/>
              <w:rPr>
                <w:rFonts w:ascii="Arial" w:hAnsi="Arial" w:cs="Arial"/>
                <w:color w:val="000000"/>
              </w:rPr>
            </w:pPr>
            <w:r w:rsidRPr="005B1930">
              <w:rPr>
                <w:rFonts w:ascii="Arial" w:hAnsi="Arial" w:cs="Arial"/>
                <w:color w:val="000000"/>
              </w:rPr>
              <w:t>$42.85 - $67.64</w:t>
            </w:r>
          </w:p>
        </w:tc>
        <w:tc>
          <w:tcPr>
            <w:tcW w:w="265" w:type="dxa"/>
            <w:tcBorders>
              <w:top w:val="nil"/>
              <w:left w:val="nil"/>
              <w:bottom w:val="single" w:sz="4" w:space="0" w:color="auto"/>
              <w:right w:val="nil"/>
            </w:tcBorders>
            <w:shd w:val="clear" w:color="auto" w:fill="auto"/>
            <w:noWrap/>
            <w:vAlign w:val="bottom"/>
            <w:hideMark/>
          </w:tcPr>
          <w:p w14:paraId="5BF1B78D" w14:textId="77777777" w:rsidR="005B1930" w:rsidRPr="005B1930" w:rsidRDefault="005B1930" w:rsidP="00E05E7C">
            <w:pPr>
              <w:jc w:val="right"/>
              <w:rPr>
                <w:rFonts w:ascii="Arial" w:hAnsi="Arial" w:cs="Arial"/>
                <w:color w:val="000000"/>
              </w:rPr>
            </w:pPr>
            <w:r w:rsidRPr="005B1930">
              <w:rPr>
                <w:rFonts w:ascii="Arial" w:hAnsi="Arial" w:cs="Arial"/>
                <w:color w:val="000000"/>
              </w:rPr>
              <w:t> </w:t>
            </w:r>
          </w:p>
        </w:tc>
        <w:tc>
          <w:tcPr>
            <w:tcW w:w="1614" w:type="dxa"/>
            <w:tcBorders>
              <w:top w:val="nil"/>
              <w:left w:val="nil"/>
              <w:bottom w:val="single" w:sz="4" w:space="0" w:color="auto"/>
              <w:right w:val="nil"/>
            </w:tcBorders>
            <w:shd w:val="clear" w:color="auto" w:fill="auto"/>
            <w:noWrap/>
            <w:vAlign w:val="bottom"/>
            <w:hideMark/>
          </w:tcPr>
          <w:p w14:paraId="631B892B" w14:textId="62107DBE" w:rsidR="005B1930" w:rsidRPr="005B1930" w:rsidRDefault="005B1930" w:rsidP="00E05E7C">
            <w:pPr>
              <w:jc w:val="right"/>
              <w:rPr>
                <w:rFonts w:ascii="Arial" w:hAnsi="Arial" w:cs="Arial"/>
                <w:color w:val="000000"/>
              </w:rPr>
            </w:pPr>
            <w:r w:rsidRPr="005B1930">
              <w:rPr>
                <w:rFonts w:ascii="Arial" w:hAnsi="Arial" w:cs="Arial"/>
                <w:color w:val="000000"/>
              </w:rPr>
              <w:t xml:space="preserve">9,008,146 </w:t>
            </w:r>
          </w:p>
        </w:tc>
        <w:tc>
          <w:tcPr>
            <w:tcW w:w="1611" w:type="dxa"/>
            <w:tcBorders>
              <w:top w:val="nil"/>
              <w:left w:val="nil"/>
              <w:bottom w:val="single" w:sz="4" w:space="0" w:color="auto"/>
              <w:right w:val="nil"/>
            </w:tcBorders>
            <w:shd w:val="clear" w:color="auto" w:fill="auto"/>
            <w:noWrap/>
            <w:vAlign w:val="bottom"/>
            <w:hideMark/>
          </w:tcPr>
          <w:p w14:paraId="326A1482" w14:textId="084AA811" w:rsidR="005B1930" w:rsidRPr="005B1930" w:rsidRDefault="005B1930" w:rsidP="00E05E7C">
            <w:pPr>
              <w:jc w:val="right"/>
              <w:rPr>
                <w:rFonts w:ascii="Arial" w:hAnsi="Arial" w:cs="Arial"/>
                <w:color w:val="000000"/>
              </w:rPr>
            </w:pPr>
            <w:r w:rsidRPr="005B1930">
              <w:rPr>
                <w:rFonts w:ascii="Arial" w:hAnsi="Arial" w:cs="Arial"/>
                <w:color w:val="000000"/>
              </w:rPr>
              <w:t>5.42</w:t>
            </w:r>
          </w:p>
        </w:tc>
        <w:tc>
          <w:tcPr>
            <w:tcW w:w="264" w:type="dxa"/>
            <w:tcBorders>
              <w:top w:val="nil"/>
              <w:left w:val="nil"/>
              <w:bottom w:val="single" w:sz="4" w:space="0" w:color="auto"/>
              <w:right w:val="nil"/>
            </w:tcBorders>
            <w:shd w:val="clear" w:color="auto" w:fill="auto"/>
            <w:noWrap/>
            <w:vAlign w:val="bottom"/>
            <w:hideMark/>
          </w:tcPr>
          <w:p w14:paraId="2AA1898F" w14:textId="77777777" w:rsidR="005B1930" w:rsidRPr="005B1930" w:rsidRDefault="005B1930" w:rsidP="00E05E7C">
            <w:pPr>
              <w:jc w:val="right"/>
              <w:rPr>
                <w:rFonts w:ascii="Arial" w:hAnsi="Arial" w:cs="Arial"/>
                <w:b/>
                <w:bCs/>
                <w:color w:val="000000"/>
              </w:rPr>
            </w:pPr>
            <w:r w:rsidRPr="005B1930">
              <w:rPr>
                <w:rFonts w:ascii="Arial" w:hAnsi="Arial" w:cs="Arial"/>
                <w:b/>
                <w:bCs/>
                <w:color w:val="000000"/>
              </w:rPr>
              <w:t> </w:t>
            </w:r>
          </w:p>
        </w:tc>
        <w:tc>
          <w:tcPr>
            <w:tcW w:w="1614" w:type="dxa"/>
            <w:tcBorders>
              <w:top w:val="nil"/>
              <w:left w:val="nil"/>
              <w:bottom w:val="single" w:sz="4" w:space="0" w:color="auto"/>
              <w:right w:val="nil"/>
            </w:tcBorders>
            <w:shd w:val="clear" w:color="auto" w:fill="auto"/>
            <w:noWrap/>
            <w:vAlign w:val="bottom"/>
            <w:hideMark/>
          </w:tcPr>
          <w:p w14:paraId="1226ED9F" w14:textId="38D2DA04" w:rsidR="005B1930" w:rsidRPr="005B1930" w:rsidRDefault="005B1930" w:rsidP="00E05E7C">
            <w:pPr>
              <w:jc w:val="right"/>
              <w:rPr>
                <w:rFonts w:ascii="Arial" w:hAnsi="Arial" w:cs="Arial"/>
                <w:color w:val="000000"/>
              </w:rPr>
            </w:pPr>
            <w:r w:rsidRPr="005B1930">
              <w:rPr>
                <w:rFonts w:ascii="Arial" w:hAnsi="Arial" w:cs="Arial"/>
                <w:color w:val="000000"/>
              </w:rPr>
              <w:t>853,363</w:t>
            </w:r>
          </w:p>
        </w:tc>
        <w:tc>
          <w:tcPr>
            <w:tcW w:w="1611" w:type="dxa"/>
            <w:tcBorders>
              <w:top w:val="nil"/>
              <w:left w:val="nil"/>
              <w:bottom w:val="single" w:sz="4" w:space="0" w:color="auto"/>
              <w:right w:val="nil"/>
            </w:tcBorders>
            <w:shd w:val="clear" w:color="auto" w:fill="auto"/>
            <w:noWrap/>
            <w:vAlign w:val="bottom"/>
            <w:hideMark/>
          </w:tcPr>
          <w:p w14:paraId="7A76A8DA" w14:textId="3BDFA3FD" w:rsidR="005B1930" w:rsidRPr="005B1930" w:rsidRDefault="005B1930" w:rsidP="00E05E7C">
            <w:pPr>
              <w:jc w:val="right"/>
              <w:rPr>
                <w:rFonts w:ascii="Arial" w:hAnsi="Arial" w:cs="Arial"/>
                <w:color w:val="000000"/>
              </w:rPr>
            </w:pPr>
            <w:r w:rsidRPr="005B1930">
              <w:rPr>
                <w:rFonts w:ascii="Arial" w:hAnsi="Arial" w:cs="Arial"/>
                <w:color w:val="000000"/>
              </w:rPr>
              <w:t>4.99</w:t>
            </w:r>
          </w:p>
        </w:tc>
      </w:tr>
      <w:tr w:rsidR="005B1930" w:rsidRPr="005B1930" w14:paraId="250ACC5D" w14:textId="77777777" w:rsidTr="008F5B5F">
        <w:trPr>
          <w:trHeight w:val="96"/>
          <w:tblHeader/>
        </w:trPr>
        <w:tc>
          <w:tcPr>
            <w:tcW w:w="265" w:type="dxa"/>
            <w:tcBorders>
              <w:top w:val="nil"/>
              <w:left w:val="nil"/>
              <w:bottom w:val="nil"/>
              <w:right w:val="nil"/>
            </w:tcBorders>
            <w:shd w:val="clear" w:color="auto" w:fill="auto"/>
            <w:noWrap/>
            <w:vAlign w:val="bottom"/>
            <w:hideMark/>
          </w:tcPr>
          <w:p w14:paraId="5969F745" w14:textId="77777777" w:rsidR="005B1930" w:rsidRPr="005B1930" w:rsidRDefault="005B1930" w:rsidP="005B1930">
            <w:pPr>
              <w:rPr>
                <w:rFonts w:ascii="Arial" w:hAnsi="Arial" w:cs="Arial"/>
                <w:color w:val="000000"/>
              </w:rPr>
            </w:pPr>
          </w:p>
        </w:tc>
        <w:tc>
          <w:tcPr>
            <w:tcW w:w="1899" w:type="dxa"/>
            <w:tcBorders>
              <w:top w:val="nil"/>
              <w:left w:val="nil"/>
              <w:bottom w:val="nil"/>
              <w:right w:val="nil"/>
            </w:tcBorders>
            <w:shd w:val="clear" w:color="auto" w:fill="auto"/>
            <w:noWrap/>
            <w:vAlign w:val="bottom"/>
            <w:hideMark/>
          </w:tcPr>
          <w:p w14:paraId="513FEBFB" w14:textId="77777777" w:rsidR="005B1930" w:rsidRPr="005B1930" w:rsidRDefault="005B1930" w:rsidP="00E05E7C">
            <w:pPr>
              <w:jc w:val="right"/>
              <w:rPr>
                <w:rFonts w:ascii="Arial" w:hAnsi="Arial" w:cs="Arial"/>
              </w:rPr>
            </w:pPr>
          </w:p>
        </w:tc>
        <w:tc>
          <w:tcPr>
            <w:tcW w:w="265" w:type="dxa"/>
            <w:tcBorders>
              <w:top w:val="nil"/>
              <w:left w:val="nil"/>
              <w:bottom w:val="nil"/>
              <w:right w:val="nil"/>
            </w:tcBorders>
            <w:shd w:val="clear" w:color="auto" w:fill="auto"/>
            <w:noWrap/>
            <w:vAlign w:val="bottom"/>
            <w:hideMark/>
          </w:tcPr>
          <w:p w14:paraId="1C4CD4D4" w14:textId="77777777" w:rsidR="005B1930" w:rsidRPr="005B1930" w:rsidRDefault="005B1930" w:rsidP="00E05E7C">
            <w:pPr>
              <w:jc w:val="right"/>
              <w:rPr>
                <w:rFonts w:ascii="Arial" w:hAnsi="Arial" w:cs="Arial"/>
              </w:rPr>
            </w:pPr>
          </w:p>
        </w:tc>
        <w:tc>
          <w:tcPr>
            <w:tcW w:w="1614" w:type="dxa"/>
            <w:tcBorders>
              <w:top w:val="nil"/>
              <w:left w:val="nil"/>
              <w:bottom w:val="nil"/>
              <w:right w:val="nil"/>
            </w:tcBorders>
            <w:shd w:val="clear" w:color="auto" w:fill="auto"/>
            <w:noWrap/>
            <w:vAlign w:val="bottom"/>
            <w:hideMark/>
          </w:tcPr>
          <w:p w14:paraId="4A8D77EC" w14:textId="77777777" w:rsidR="005B1930" w:rsidRPr="005B1930" w:rsidRDefault="005B1930" w:rsidP="00E05E7C">
            <w:pPr>
              <w:jc w:val="right"/>
              <w:rPr>
                <w:rFonts w:ascii="Arial" w:hAnsi="Arial" w:cs="Arial"/>
              </w:rPr>
            </w:pPr>
          </w:p>
        </w:tc>
        <w:tc>
          <w:tcPr>
            <w:tcW w:w="1611" w:type="dxa"/>
            <w:tcBorders>
              <w:top w:val="nil"/>
              <w:left w:val="nil"/>
              <w:bottom w:val="nil"/>
              <w:right w:val="nil"/>
            </w:tcBorders>
            <w:shd w:val="clear" w:color="auto" w:fill="auto"/>
            <w:noWrap/>
            <w:vAlign w:val="bottom"/>
            <w:hideMark/>
          </w:tcPr>
          <w:p w14:paraId="303E6756" w14:textId="77777777" w:rsidR="005B1930" w:rsidRPr="005B1930" w:rsidRDefault="005B1930" w:rsidP="00E05E7C">
            <w:pPr>
              <w:jc w:val="right"/>
              <w:rPr>
                <w:rFonts w:ascii="Arial" w:hAnsi="Arial" w:cs="Arial"/>
              </w:rPr>
            </w:pPr>
          </w:p>
        </w:tc>
        <w:tc>
          <w:tcPr>
            <w:tcW w:w="264" w:type="dxa"/>
            <w:tcBorders>
              <w:top w:val="nil"/>
              <w:left w:val="nil"/>
              <w:bottom w:val="nil"/>
              <w:right w:val="nil"/>
            </w:tcBorders>
            <w:shd w:val="clear" w:color="auto" w:fill="auto"/>
            <w:noWrap/>
            <w:vAlign w:val="bottom"/>
            <w:hideMark/>
          </w:tcPr>
          <w:p w14:paraId="650F1679" w14:textId="77777777" w:rsidR="005B1930" w:rsidRPr="005B1930" w:rsidRDefault="005B1930" w:rsidP="00E05E7C">
            <w:pPr>
              <w:jc w:val="right"/>
              <w:rPr>
                <w:rFonts w:ascii="Arial" w:hAnsi="Arial" w:cs="Arial"/>
              </w:rPr>
            </w:pPr>
          </w:p>
        </w:tc>
        <w:tc>
          <w:tcPr>
            <w:tcW w:w="1614" w:type="dxa"/>
            <w:tcBorders>
              <w:top w:val="nil"/>
              <w:left w:val="nil"/>
              <w:bottom w:val="nil"/>
              <w:right w:val="nil"/>
            </w:tcBorders>
            <w:shd w:val="clear" w:color="auto" w:fill="auto"/>
            <w:noWrap/>
            <w:vAlign w:val="bottom"/>
            <w:hideMark/>
          </w:tcPr>
          <w:p w14:paraId="0EDDFDB2" w14:textId="77777777" w:rsidR="005B1930" w:rsidRPr="005B1930" w:rsidRDefault="005B1930" w:rsidP="00E05E7C">
            <w:pPr>
              <w:jc w:val="right"/>
              <w:rPr>
                <w:rFonts w:ascii="Arial" w:hAnsi="Arial" w:cs="Arial"/>
              </w:rPr>
            </w:pPr>
          </w:p>
        </w:tc>
        <w:tc>
          <w:tcPr>
            <w:tcW w:w="1611" w:type="dxa"/>
            <w:tcBorders>
              <w:top w:val="nil"/>
              <w:left w:val="nil"/>
              <w:bottom w:val="nil"/>
              <w:right w:val="nil"/>
            </w:tcBorders>
            <w:shd w:val="clear" w:color="auto" w:fill="auto"/>
            <w:noWrap/>
            <w:vAlign w:val="bottom"/>
            <w:hideMark/>
          </w:tcPr>
          <w:p w14:paraId="755A520E" w14:textId="77777777" w:rsidR="005B1930" w:rsidRPr="005B1930" w:rsidRDefault="005B1930" w:rsidP="00E05E7C">
            <w:pPr>
              <w:jc w:val="right"/>
              <w:rPr>
                <w:rFonts w:ascii="Arial" w:hAnsi="Arial" w:cs="Arial"/>
              </w:rPr>
            </w:pPr>
          </w:p>
        </w:tc>
      </w:tr>
      <w:tr w:rsidR="005B1930" w:rsidRPr="005B1930" w14:paraId="2CB3BC22" w14:textId="77777777" w:rsidTr="008F5B5F">
        <w:trPr>
          <w:trHeight w:val="192"/>
          <w:tblHeader/>
        </w:trPr>
        <w:tc>
          <w:tcPr>
            <w:tcW w:w="265" w:type="dxa"/>
            <w:tcBorders>
              <w:top w:val="nil"/>
              <w:left w:val="nil"/>
              <w:bottom w:val="single" w:sz="4" w:space="0" w:color="auto"/>
              <w:right w:val="nil"/>
            </w:tcBorders>
            <w:shd w:val="clear" w:color="auto" w:fill="auto"/>
            <w:noWrap/>
            <w:vAlign w:val="bottom"/>
            <w:hideMark/>
          </w:tcPr>
          <w:p w14:paraId="2A4EC734"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899" w:type="dxa"/>
            <w:tcBorders>
              <w:top w:val="nil"/>
              <w:left w:val="nil"/>
              <w:bottom w:val="single" w:sz="4" w:space="0" w:color="auto"/>
              <w:right w:val="nil"/>
            </w:tcBorders>
            <w:shd w:val="clear" w:color="auto" w:fill="auto"/>
            <w:noWrap/>
            <w:vAlign w:val="bottom"/>
            <w:hideMark/>
          </w:tcPr>
          <w:p w14:paraId="2B3CF14E" w14:textId="77777777" w:rsidR="005B1930" w:rsidRPr="005B1930" w:rsidRDefault="005B1930" w:rsidP="00E05E7C">
            <w:pPr>
              <w:jc w:val="right"/>
              <w:rPr>
                <w:rFonts w:ascii="Arial" w:hAnsi="Arial" w:cs="Arial"/>
                <w:color w:val="000000"/>
              </w:rPr>
            </w:pPr>
            <w:r w:rsidRPr="005B1930">
              <w:rPr>
                <w:rFonts w:ascii="Arial" w:hAnsi="Arial" w:cs="Arial"/>
                <w:color w:val="000000"/>
              </w:rPr>
              <w:t> </w:t>
            </w:r>
          </w:p>
        </w:tc>
        <w:tc>
          <w:tcPr>
            <w:tcW w:w="265" w:type="dxa"/>
            <w:tcBorders>
              <w:top w:val="nil"/>
              <w:left w:val="nil"/>
              <w:bottom w:val="single" w:sz="4" w:space="0" w:color="auto"/>
              <w:right w:val="nil"/>
            </w:tcBorders>
            <w:shd w:val="clear" w:color="auto" w:fill="auto"/>
            <w:noWrap/>
            <w:vAlign w:val="bottom"/>
            <w:hideMark/>
          </w:tcPr>
          <w:p w14:paraId="5C0207E3" w14:textId="77777777" w:rsidR="005B1930" w:rsidRPr="005B1930" w:rsidRDefault="005B1930" w:rsidP="00E05E7C">
            <w:pPr>
              <w:jc w:val="right"/>
              <w:rPr>
                <w:rFonts w:ascii="Arial" w:hAnsi="Arial" w:cs="Arial"/>
                <w:color w:val="000000"/>
              </w:rPr>
            </w:pPr>
            <w:r w:rsidRPr="005B1930">
              <w:rPr>
                <w:rFonts w:ascii="Arial" w:hAnsi="Arial" w:cs="Arial"/>
                <w:color w:val="000000"/>
              </w:rPr>
              <w:t> </w:t>
            </w:r>
          </w:p>
        </w:tc>
        <w:tc>
          <w:tcPr>
            <w:tcW w:w="1614" w:type="dxa"/>
            <w:tcBorders>
              <w:top w:val="nil"/>
              <w:left w:val="nil"/>
              <w:bottom w:val="single" w:sz="4" w:space="0" w:color="auto"/>
              <w:right w:val="nil"/>
            </w:tcBorders>
            <w:shd w:val="clear" w:color="auto" w:fill="auto"/>
            <w:noWrap/>
            <w:vAlign w:val="bottom"/>
            <w:hideMark/>
          </w:tcPr>
          <w:p w14:paraId="54F58567" w14:textId="77777777" w:rsidR="005B1930" w:rsidRPr="005B1930" w:rsidRDefault="005B1930" w:rsidP="00E05E7C">
            <w:pPr>
              <w:jc w:val="right"/>
              <w:rPr>
                <w:rFonts w:ascii="Arial" w:hAnsi="Arial" w:cs="Arial"/>
                <w:color w:val="000000"/>
              </w:rPr>
            </w:pPr>
            <w:r w:rsidRPr="005B1930">
              <w:rPr>
                <w:rFonts w:ascii="Arial" w:hAnsi="Arial" w:cs="Arial"/>
                <w:color w:val="000000"/>
              </w:rPr>
              <w:t>32,912,974</w:t>
            </w:r>
          </w:p>
        </w:tc>
        <w:tc>
          <w:tcPr>
            <w:tcW w:w="1611" w:type="dxa"/>
            <w:tcBorders>
              <w:top w:val="nil"/>
              <w:left w:val="nil"/>
              <w:bottom w:val="single" w:sz="4" w:space="0" w:color="auto"/>
              <w:right w:val="nil"/>
            </w:tcBorders>
            <w:shd w:val="clear" w:color="auto" w:fill="auto"/>
            <w:noWrap/>
            <w:vAlign w:val="bottom"/>
            <w:hideMark/>
          </w:tcPr>
          <w:p w14:paraId="6A0B9682" w14:textId="0DA2F0DD" w:rsidR="005B1930" w:rsidRPr="005B1930" w:rsidRDefault="005B1930" w:rsidP="00E05E7C">
            <w:pPr>
              <w:jc w:val="right"/>
              <w:rPr>
                <w:rFonts w:ascii="Arial" w:hAnsi="Arial" w:cs="Arial"/>
                <w:color w:val="000000"/>
              </w:rPr>
            </w:pPr>
            <w:r w:rsidRPr="005B1930">
              <w:rPr>
                <w:rFonts w:ascii="Arial" w:hAnsi="Arial" w:cs="Arial"/>
                <w:color w:val="000000"/>
              </w:rPr>
              <w:t>4.87</w:t>
            </w:r>
          </w:p>
        </w:tc>
        <w:tc>
          <w:tcPr>
            <w:tcW w:w="264" w:type="dxa"/>
            <w:tcBorders>
              <w:top w:val="nil"/>
              <w:left w:val="nil"/>
              <w:bottom w:val="single" w:sz="4" w:space="0" w:color="auto"/>
              <w:right w:val="nil"/>
            </w:tcBorders>
            <w:shd w:val="clear" w:color="auto" w:fill="auto"/>
            <w:noWrap/>
            <w:vAlign w:val="bottom"/>
            <w:hideMark/>
          </w:tcPr>
          <w:p w14:paraId="5999EE1D" w14:textId="3EFEFA7E" w:rsidR="005B1930" w:rsidRPr="005B1930" w:rsidRDefault="005B1930" w:rsidP="00E05E7C">
            <w:pPr>
              <w:jc w:val="right"/>
              <w:rPr>
                <w:rFonts w:ascii="Arial" w:hAnsi="Arial" w:cs="Arial"/>
                <w:b/>
                <w:bCs/>
                <w:color w:val="000000"/>
              </w:rPr>
            </w:pPr>
          </w:p>
        </w:tc>
        <w:tc>
          <w:tcPr>
            <w:tcW w:w="1614" w:type="dxa"/>
            <w:tcBorders>
              <w:top w:val="nil"/>
              <w:left w:val="nil"/>
              <w:bottom w:val="single" w:sz="4" w:space="0" w:color="auto"/>
              <w:right w:val="nil"/>
            </w:tcBorders>
            <w:shd w:val="clear" w:color="auto" w:fill="auto"/>
            <w:noWrap/>
            <w:vAlign w:val="bottom"/>
            <w:hideMark/>
          </w:tcPr>
          <w:p w14:paraId="0150B62A" w14:textId="77777777" w:rsidR="005B1930" w:rsidRPr="005B1930" w:rsidRDefault="005B1930" w:rsidP="00E05E7C">
            <w:pPr>
              <w:jc w:val="right"/>
              <w:rPr>
                <w:rFonts w:ascii="Arial" w:hAnsi="Arial" w:cs="Arial"/>
                <w:color w:val="000000"/>
              </w:rPr>
            </w:pPr>
            <w:r w:rsidRPr="005B1930">
              <w:rPr>
                <w:rFonts w:ascii="Arial" w:hAnsi="Arial" w:cs="Arial"/>
                <w:color w:val="000000"/>
              </w:rPr>
              <w:t>6,291,137</w:t>
            </w:r>
          </w:p>
        </w:tc>
        <w:tc>
          <w:tcPr>
            <w:tcW w:w="1611" w:type="dxa"/>
            <w:tcBorders>
              <w:top w:val="nil"/>
              <w:left w:val="nil"/>
              <w:bottom w:val="single" w:sz="4" w:space="0" w:color="auto"/>
              <w:right w:val="nil"/>
            </w:tcBorders>
            <w:shd w:val="clear" w:color="auto" w:fill="auto"/>
            <w:noWrap/>
            <w:vAlign w:val="bottom"/>
            <w:hideMark/>
          </w:tcPr>
          <w:p w14:paraId="106924C1" w14:textId="56DC940E" w:rsidR="005B1930" w:rsidRPr="005B1930" w:rsidRDefault="005B1930" w:rsidP="00E05E7C">
            <w:pPr>
              <w:jc w:val="right"/>
              <w:rPr>
                <w:rFonts w:ascii="Arial" w:hAnsi="Arial" w:cs="Arial"/>
                <w:color w:val="000000"/>
              </w:rPr>
            </w:pPr>
            <w:r w:rsidRPr="005B1930">
              <w:rPr>
                <w:rFonts w:ascii="Arial" w:hAnsi="Arial" w:cs="Arial"/>
                <w:color w:val="000000"/>
              </w:rPr>
              <w:t>4.08</w:t>
            </w:r>
          </w:p>
        </w:tc>
      </w:tr>
    </w:tbl>
    <w:p w14:paraId="1F486287" w14:textId="36F89016" w:rsidR="00E2198D" w:rsidRPr="00E94AD0" w:rsidRDefault="00E2198D">
      <w:pPr>
        <w:spacing w:after="200" w:line="276" w:lineRule="auto"/>
        <w:rPr>
          <w:rFonts w:asciiTheme="majorBidi" w:hAnsiTheme="majorBidi" w:cstheme="majorBidi"/>
          <w:lang w:val="en-GB"/>
        </w:rPr>
      </w:pPr>
      <w:r w:rsidRPr="00E94AD0">
        <w:rPr>
          <w:rFonts w:asciiTheme="majorBidi" w:hAnsiTheme="majorBidi" w:cstheme="majorBidi"/>
          <w:lang w:val="en-GB"/>
        </w:rPr>
        <w:br w:type="page"/>
      </w:r>
    </w:p>
    <w:p w14:paraId="226A72D4" w14:textId="02853F4F" w:rsidR="00E2198D" w:rsidRPr="00E94AD0" w:rsidRDefault="00E2198D" w:rsidP="00E2198D">
      <w:pPr>
        <w:pStyle w:val="ExhibitHeading"/>
        <w:rPr>
          <w:lang w:val="en-GB"/>
        </w:rPr>
      </w:pPr>
      <w:r w:rsidRPr="00E94AD0">
        <w:rPr>
          <w:lang w:val="en-GB"/>
        </w:rPr>
        <w:lastRenderedPageBreak/>
        <w:t>EXHIBIT 2 (Continued)</w:t>
      </w:r>
    </w:p>
    <w:p w14:paraId="78BC7AEC" w14:textId="77777777" w:rsidR="00E2198D" w:rsidRPr="00E94AD0" w:rsidRDefault="00E2198D" w:rsidP="00E2198D">
      <w:pPr>
        <w:pStyle w:val="ExhibitText"/>
        <w:rPr>
          <w:lang w:val="en-GB"/>
        </w:rPr>
      </w:pPr>
    </w:p>
    <w:p w14:paraId="687A85F6" w14:textId="68C3FE5D" w:rsidR="00E2198D" w:rsidRPr="00E94AD0" w:rsidRDefault="00E2198D" w:rsidP="00E2198D">
      <w:pPr>
        <w:pStyle w:val="ExhibitText"/>
        <w:rPr>
          <w:lang w:val="en-GB"/>
        </w:rPr>
      </w:pPr>
      <w:r w:rsidRPr="00E94AD0">
        <w:rPr>
          <w:lang w:val="en-GB"/>
        </w:rPr>
        <w:t>In determining the amount of share-based compensation related to options issued during the period, the Company used the Black-Scholes option pricing model to establish the fair value of options granted during the six months ended September 30, 2019 and 2018 on their measurement date by applying the following assumptions:</w:t>
      </w:r>
    </w:p>
    <w:p w14:paraId="42021D56" w14:textId="77777777" w:rsidR="00E2198D" w:rsidRPr="00E94AD0" w:rsidRDefault="00E2198D" w:rsidP="00E2198D">
      <w:pPr>
        <w:jc w:val="both"/>
        <w:rPr>
          <w:rFonts w:asciiTheme="majorBidi" w:hAnsiTheme="majorBidi" w:cstheme="majorBid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2 continued"/>
        <w:tblDescription w:val="Select Canopy Financial Statement Note Disclosures "/>
      </w:tblPr>
      <w:tblGrid>
        <w:gridCol w:w="4531"/>
        <w:gridCol w:w="2410"/>
        <w:gridCol w:w="2409"/>
      </w:tblGrid>
      <w:tr w:rsidR="00E2198D" w:rsidRPr="00E94AD0" w14:paraId="74EEF3A3" w14:textId="77777777" w:rsidTr="008F5B5F">
        <w:trPr>
          <w:tblHeader/>
        </w:trPr>
        <w:tc>
          <w:tcPr>
            <w:tcW w:w="4531" w:type="dxa"/>
          </w:tcPr>
          <w:p w14:paraId="3F722E45" w14:textId="77777777" w:rsidR="00E2198D" w:rsidRPr="00E94AD0" w:rsidRDefault="00E2198D" w:rsidP="00E2198D">
            <w:pPr>
              <w:pStyle w:val="ExhibitText"/>
              <w:rPr>
                <w:lang w:val="en-GB"/>
              </w:rPr>
            </w:pPr>
          </w:p>
        </w:tc>
        <w:tc>
          <w:tcPr>
            <w:tcW w:w="2410" w:type="dxa"/>
          </w:tcPr>
          <w:p w14:paraId="1A65E93B" w14:textId="77777777" w:rsidR="00E2198D" w:rsidRPr="00E94AD0" w:rsidRDefault="00E2198D" w:rsidP="000A011E">
            <w:pPr>
              <w:pStyle w:val="ExhibitText"/>
              <w:jc w:val="right"/>
              <w:rPr>
                <w:b/>
                <w:lang w:val="en-GB"/>
              </w:rPr>
            </w:pPr>
            <w:r w:rsidRPr="00E94AD0">
              <w:rPr>
                <w:b/>
                <w:lang w:val="en-GB"/>
              </w:rPr>
              <w:t>September 30, 2019</w:t>
            </w:r>
          </w:p>
        </w:tc>
        <w:tc>
          <w:tcPr>
            <w:tcW w:w="2409" w:type="dxa"/>
          </w:tcPr>
          <w:p w14:paraId="52B13FF1" w14:textId="77777777" w:rsidR="00E2198D" w:rsidRPr="00E94AD0" w:rsidRDefault="00E2198D" w:rsidP="000A011E">
            <w:pPr>
              <w:pStyle w:val="ExhibitText"/>
              <w:jc w:val="right"/>
              <w:rPr>
                <w:lang w:val="en-GB"/>
              </w:rPr>
            </w:pPr>
            <w:r w:rsidRPr="00E94AD0">
              <w:rPr>
                <w:lang w:val="en-GB"/>
              </w:rPr>
              <w:t>September 30, 2018</w:t>
            </w:r>
          </w:p>
        </w:tc>
      </w:tr>
      <w:tr w:rsidR="00E2198D" w:rsidRPr="00E94AD0" w14:paraId="37B4C395" w14:textId="77777777" w:rsidTr="008F5B5F">
        <w:trPr>
          <w:tblHeader/>
        </w:trPr>
        <w:tc>
          <w:tcPr>
            <w:tcW w:w="4531" w:type="dxa"/>
          </w:tcPr>
          <w:p w14:paraId="0E05B46C" w14:textId="77777777" w:rsidR="00E2198D" w:rsidRPr="00E94AD0" w:rsidRDefault="00E2198D" w:rsidP="00E2198D">
            <w:pPr>
              <w:pStyle w:val="ExhibitText"/>
              <w:rPr>
                <w:lang w:val="en-GB"/>
              </w:rPr>
            </w:pPr>
            <w:r w:rsidRPr="00E94AD0">
              <w:rPr>
                <w:lang w:val="en-GB"/>
              </w:rPr>
              <w:t>Risk-free interest rate</w:t>
            </w:r>
          </w:p>
        </w:tc>
        <w:tc>
          <w:tcPr>
            <w:tcW w:w="2410" w:type="dxa"/>
          </w:tcPr>
          <w:p w14:paraId="0BE73E9F" w14:textId="77777777" w:rsidR="00E2198D" w:rsidRPr="00E94AD0" w:rsidRDefault="00E2198D" w:rsidP="00C8482F">
            <w:pPr>
              <w:pStyle w:val="ExhibitText"/>
              <w:jc w:val="right"/>
              <w:rPr>
                <w:b/>
                <w:lang w:val="en-GB"/>
              </w:rPr>
            </w:pPr>
            <w:r w:rsidRPr="00E94AD0">
              <w:rPr>
                <w:b/>
                <w:lang w:val="en-GB"/>
              </w:rPr>
              <w:t>1.44%</w:t>
            </w:r>
          </w:p>
        </w:tc>
        <w:tc>
          <w:tcPr>
            <w:tcW w:w="2409" w:type="dxa"/>
          </w:tcPr>
          <w:p w14:paraId="415A13C2" w14:textId="77777777" w:rsidR="00E2198D" w:rsidRPr="00E94AD0" w:rsidRDefault="00E2198D" w:rsidP="00C8482F">
            <w:pPr>
              <w:pStyle w:val="ExhibitText"/>
              <w:jc w:val="right"/>
              <w:rPr>
                <w:lang w:val="en-GB"/>
              </w:rPr>
            </w:pPr>
            <w:r w:rsidRPr="00E94AD0">
              <w:rPr>
                <w:lang w:val="en-GB"/>
              </w:rPr>
              <w:t>2.18%</w:t>
            </w:r>
          </w:p>
        </w:tc>
      </w:tr>
      <w:tr w:rsidR="00E2198D" w:rsidRPr="00E94AD0" w14:paraId="16A9BF57" w14:textId="77777777" w:rsidTr="008F5B5F">
        <w:trPr>
          <w:tblHeader/>
        </w:trPr>
        <w:tc>
          <w:tcPr>
            <w:tcW w:w="4531" w:type="dxa"/>
          </w:tcPr>
          <w:p w14:paraId="2CBFF742" w14:textId="77777777" w:rsidR="00E2198D" w:rsidRPr="00E94AD0" w:rsidRDefault="00E2198D" w:rsidP="00E2198D">
            <w:pPr>
              <w:pStyle w:val="ExhibitText"/>
              <w:rPr>
                <w:lang w:val="en-GB"/>
              </w:rPr>
            </w:pPr>
            <w:r w:rsidRPr="00E94AD0">
              <w:rPr>
                <w:lang w:val="en-GB"/>
              </w:rPr>
              <w:t>Expected life of options (years)</w:t>
            </w:r>
          </w:p>
        </w:tc>
        <w:tc>
          <w:tcPr>
            <w:tcW w:w="2410" w:type="dxa"/>
          </w:tcPr>
          <w:p w14:paraId="5B7D676E" w14:textId="77777777" w:rsidR="00E2198D" w:rsidRPr="00E94AD0" w:rsidRDefault="00E2198D" w:rsidP="00C8482F">
            <w:pPr>
              <w:pStyle w:val="ExhibitText"/>
              <w:jc w:val="right"/>
              <w:rPr>
                <w:b/>
                <w:lang w:val="en-GB"/>
              </w:rPr>
            </w:pPr>
            <w:r w:rsidRPr="00E94AD0">
              <w:rPr>
                <w:b/>
                <w:lang w:val="en-GB"/>
              </w:rPr>
              <w:t>3 – 5</w:t>
            </w:r>
          </w:p>
        </w:tc>
        <w:tc>
          <w:tcPr>
            <w:tcW w:w="2409" w:type="dxa"/>
          </w:tcPr>
          <w:p w14:paraId="74F5D999" w14:textId="77777777" w:rsidR="00E2198D" w:rsidRPr="00E94AD0" w:rsidRDefault="00E2198D" w:rsidP="00C8482F">
            <w:pPr>
              <w:pStyle w:val="ExhibitText"/>
              <w:jc w:val="right"/>
              <w:rPr>
                <w:lang w:val="en-GB"/>
              </w:rPr>
            </w:pPr>
            <w:r w:rsidRPr="00E94AD0">
              <w:rPr>
                <w:lang w:val="en-GB"/>
              </w:rPr>
              <w:t>2 – 5</w:t>
            </w:r>
          </w:p>
        </w:tc>
      </w:tr>
      <w:tr w:rsidR="00E2198D" w:rsidRPr="00E94AD0" w14:paraId="5650D106" w14:textId="77777777" w:rsidTr="008F5B5F">
        <w:trPr>
          <w:tblHeader/>
        </w:trPr>
        <w:tc>
          <w:tcPr>
            <w:tcW w:w="4531" w:type="dxa"/>
          </w:tcPr>
          <w:p w14:paraId="091E30B8" w14:textId="77777777" w:rsidR="00E2198D" w:rsidRPr="00E94AD0" w:rsidRDefault="00E2198D" w:rsidP="00E2198D">
            <w:pPr>
              <w:pStyle w:val="ExhibitText"/>
              <w:rPr>
                <w:lang w:val="en-GB"/>
              </w:rPr>
            </w:pPr>
            <w:r w:rsidRPr="00E94AD0">
              <w:rPr>
                <w:lang w:val="en-GB"/>
              </w:rPr>
              <w:t>Expected annualized volatility</w:t>
            </w:r>
          </w:p>
        </w:tc>
        <w:tc>
          <w:tcPr>
            <w:tcW w:w="2410" w:type="dxa"/>
          </w:tcPr>
          <w:p w14:paraId="663FBA97" w14:textId="77777777" w:rsidR="00E2198D" w:rsidRPr="00E94AD0" w:rsidRDefault="00E2198D" w:rsidP="00C8482F">
            <w:pPr>
              <w:pStyle w:val="ExhibitText"/>
              <w:jc w:val="right"/>
              <w:rPr>
                <w:b/>
                <w:lang w:val="en-GB"/>
              </w:rPr>
            </w:pPr>
            <w:r w:rsidRPr="00E94AD0">
              <w:rPr>
                <w:b/>
                <w:lang w:val="en-GB"/>
              </w:rPr>
              <w:t>72%</w:t>
            </w:r>
          </w:p>
        </w:tc>
        <w:tc>
          <w:tcPr>
            <w:tcW w:w="2409" w:type="dxa"/>
          </w:tcPr>
          <w:p w14:paraId="35E61217" w14:textId="77777777" w:rsidR="00E2198D" w:rsidRPr="00E94AD0" w:rsidRDefault="00E2198D" w:rsidP="00C8482F">
            <w:pPr>
              <w:pStyle w:val="ExhibitText"/>
              <w:jc w:val="right"/>
              <w:rPr>
                <w:lang w:val="en-GB"/>
              </w:rPr>
            </w:pPr>
            <w:r w:rsidRPr="00E94AD0">
              <w:rPr>
                <w:lang w:val="en-GB"/>
              </w:rPr>
              <w:t>76%</w:t>
            </w:r>
          </w:p>
        </w:tc>
      </w:tr>
      <w:tr w:rsidR="00E2198D" w:rsidRPr="00E94AD0" w14:paraId="64673F0E" w14:textId="77777777" w:rsidTr="008F5B5F">
        <w:trPr>
          <w:tblHeader/>
        </w:trPr>
        <w:tc>
          <w:tcPr>
            <w:tcW w:w="4531" w:type="dxa"/>
          </w:tcPr>
          <w:p w14:paraId="756FB6C2" w14:textId="77777777" w:rsidR="00E2198D" w:rsidRPr="00E94AD0" w:rsidRDefault="00E2198D" w:rsidP="00E2198D">
            <w:pPr>
              <w:pStyle w:val="ExhibitText"/>
              <w:rPr>
                <w:lang w:val="en-GB"/>
              </w:rPr>
            </w:pPr>
            <w:r w:rsidRPr="00E94AD0">
              <w:rPr>
                <w:lang w:val="en-GB"/>
              </w:rPr>
              <w:t>Expected forfeiture rate</w:t>
            </w:r>
          </w:p>
        </w:tc>
        <w:tc>
          <w:tcPr>
            <w:tcW w:w="2410" w:type="dxa"/>
          </w:tcPr>
          <w:p w14:paraId="59C319AD" w14:textId="77777777" w:rsidR="00E2198D" w:rsidRPr="00E94AD0" w:rsidRDefault="00E2198D" w:rsidP="00C8482F">
            <w:pPr>
              <w:pStyle w:val="ExhibitText"/>
              <w:jc w:val="right"/>
              <w:rPr>
                <w:b/>
                <w:lang w:val="en-GB"/>
              </w:rPr>
            </w:pPr>
            <w:r w:rsidRPr="00E94AD0">
              <w:rPr>
                <w:b/>
                <w:lang w:val="en-GB"/>
              </w:rPr>
              <w:t>11%</w:t>
            </w:r>
          </w:p>
        </w:tc>
        <w:tc>
          <w:tcPr>
            <w:tcW w:w="2409" w:type="dxa"/>
          </w:tcPr>
          <w:p w14:paraId="2CBCDC96" w14:textId="77777777" w:rsidR="00E2198D" w:rsidRPr="00E94AD0" w:rsidRDefault="00E2198D" w:rsidP="00C8482F">
            <w:pPr>
              <w:pStyle w:val="ExhibitText"/>
              <w:jc w:val="right"/>
              <w:rPr>
                <w:lang w:val="en-GB"/>
              </w:rPr>
            </w:pPr>
            <w:r w:rsidRPr="00E94AD0">
              <w:rPr>
                <w:lang w:val="en-GB"/>
              </w:rPr>
              <w:t>11%</w:t>
            </w:r>
          </w:p>
        </w:tc>
      </w:tr>
      <w:tr w:rsidR="00E2198D" w:rsidRPr="00E94AD0" w14:paraId="5FF3B9D1" w14:textId="77777777" w:rsidTr="008F5B5F">
        <w:trPr>
          <w:tblHeader/>
        </w:trPr>
        <w:tc>
          <w:tcPr>
            <w:tcW w:w="4531" w:type="dxa"/>
          </w:tcPr>
          <w:p w14:paraId="67EAF0BF" w14:textId="77777777" w:rsidR="00E2198D" w:rsidRPr="00E94AD0" w:rsidRDefault="00E2198D" w:rsidP="00E2198D">
            <w:pPr>
              <w:pStyle w:val="ExhibitText"/>
              <w:rPr>
                <w:lang w:val="en-GB"/>
              </w:rPr>
            </w:pPr>
            <w:r w:rsidRPr="00E94AD0">
              <w:rPr>
                <w:lang w:val="en-GB"/>
              </w:rPr>
              <w:t>Expected dividend yield</w:t>
            </w:r>
          </w:p>
        </w:tc>
        <w:tc>
          <w:tcPr>
            <w:tcW w:w="2410" w:type="dxa"/>
          </w:tcPr>
          <w:p w14:paraId="3B22C879" w14:textId="77777777" w:rsidR="00E2198D" w:rsidRPr="00E94AD0" w:rsidRDefault="00E2198D" w:rsidP="00C8482F">
            <w:pPr>
              <w:pStyle w:val="ExhibitText"/>
              <w:jc w:val="right"/>
              <w:rPr>
                <w:b/>
                <w:lang w:val="en-GB"/>
              </w:rPr>
            </w:pPr>
            <w:r w:rsidRPr="00E94AD0">
              <w:rPr>
                <w:b/>
                <w:lang w:val="en-GB"/>
              </w:rPr>
              <w:t>Nil</w:t>
            </w:r>
          </w:p>
        </w:tc>
        <w:tc>
          <w:tcPr>
            <w:tcW w:w="2409" w:type="dxa"/>
          </w:tcPr>
          <w:p w14:paraId="407191D0" w14:textId="77777777" w:rsidR="00E2198D" w:rsidRPr="00E94AD0" w:rsidRDefault="00E2198D" w:rsidP="00C8482F">
            <w:pPr>
              <w:pStyle w:val="ExhibitText"/>
              <w:jc w:val="right"/>
              <w:rPr>
                <w:lang w:val="en-GB"/>
              </w:rPr>
            </w:pPr>
            <w:r w:rsidRPr="00E94AD0">
              <w:rPr>
                <w:lang w:val="en-GB"/>
              </w:rPr>
              <w:t>Nil</w:t>
            </w:r>
          </w:p>
        </w:tc>
      </w:tr>
      <w:tr w:rsidR="00E2198D" w:rsidRPr="00E94AD0" w14:paraId="3BA3AF52" w14:textId="77777777" w:rsidTr="008F5B5F">
        <w:trPr>
          <w:tblHeader/>
        </w:trPr>
        <w:tc>
          <w:tcPr>
            <w:tcW w:w="4531" w:type="dxa"/>
          </w:tcPr>
          <w:p w14:paraId="242C7E4A" w14:textId="77777777" w:rsidR="00E2198D" w:rsidRPr="00E94AD0" w:rsidRDefault="00E2198D" w:rsidP="00E2198D">
            <w:pPr>
              <w:pStyle w:val="ExhibitText"/>
              <w:rPr>
                <w:lang w:val="en-GB"/>
              </w:rPr>
            </w:pPr>
            <w:r w:rsidRPr="00E94AD0">
              <w:rPr>
                <w:lang w:val="en-GB"/>
              </w:rPr>
              <w:t>Black-Scholes value of each option</w:t>
            </w:r>
          </w:p>
        </w:tc>
        <w:tc>
          <w:tcPr>
            <w:tcW w:w="2410" w:type="dxa"/>
          </w:tcPr>
          <w:p w14:paraId="59F59DEB" w14:textId="77777777" w:rsidR="00E2198D" w:rsidRPr="00E94AD0" w:rsidRDefault="00E2198D" w:rsidP="00C8482F">
            <w:pPr>
              <w:pStyle w:val="ExhibitText"/>
              <w:jc w:val="right"/>
              <w:rPr>
                <w:b/>
                <w:lang w:val="en-GB"/>
              </w:rPr>
            </w:pPr>
            <w:r w:rsidRPr="00E94AD0">
              <w:rPr>
                <w:b/>
                <w:lang w:val="en-GB"/>
              </w:rPr>
              <w:t>$22.57</w:t>
            </w:r>
          </w:p>
        </w:tc>
        <w:tc>
          <w:tcPr>
            <w:tcW w:w="2409" w:type="dxa"/>
          </w:tcPr>
          <w:p w14:paraId="3EB833B0" w14:textId="77777777" w:rsidR="00E2198D" w:rsidRPr="00E94AD0" w:rsidRDefault="00E2198D" w:rsidP="00C8482F">
            <w:pPr>
              <w:pStyle w:val="ExhibitText"/>
              <w:jc w:val="right"/>
              <w:rPr>
                <w:lang w:val="en-GB"/>
              </w:rPr>
            </w:pPr>
            <w:r w:rsidRPr="00E94AD0">
              <w:rPr>
                <w:lang w:val="en-GB"/>
              </w:rPr>
              <w:t>$29.13</w:t>
            </w:r>
          </w:p>
        </w:tc>
      </w:tr>
    </w:tbl>
    <w:p w14:paraId="1189A21A" w14:textId="77777777" w:rsidR="00E2198D" w:rsidRPr="00E94AD0" w:rsidRDefault="00E2198D" w:rsidP="00E2198D">
      <w:pPr>
        <w:rPr>
          <w:lang w:val="en-GB"/>
        </w:rPr>
      </w:pPr>
    </w:p>
    <w:p w14:paraId="4BB1A37D" w14:textId="77777777" w:rsidR="00E2198D" w:rsidRPr="00E94AD0" w:rsidRDefault="00E2198D" w:rsidP="00E2198D">
      <w:pPr>
        <w:pStyle w:val="ExhibitText"/>
        <w:rPr>
          <w:lang w:val="en-GB"/>
        </w:rPr>
      </w:pPr>
    </w:p>
    <w:p w14:paraId="681C7398" w14:textId="78D9DED4" w:rsidR="00E2198D" w:rsidRPr="00E94AD0" w:rsidRDefault="00E2198D" w:rsidP="00E2198D">
      <w:pPr>
        <w:pStyle w:val="ExhibitText"/>
        <w:rPr>
          <w:lang w:val="en-GB"/>
        </w:rPr>
      </w:pPr>
      <w:r w:rsidRPr="00E94AD0">
        <w:rPr>
          <w:lang w:val="en-GB"/>
        </w:rPr>
        <w:t xml:space="preserve">Volatility was estimated using the historical volatility of the Company. The expected life in years represents the period of time that options granted are expected to be outstanding. The risk-free rate was based on the zero coupon Canada government bonds with a remaining term equal to the expected life of the options. </w:t>
      </w:r>
    </w:p>
    <w:p w14:paraId="594664D9" w14:textId="77777777" w:rsidR="00E2198D" w:rsidRPr="00E94AD0" w:rsidRDefault="00E2198D" w:rsidP="00E2198D">
      <w:pPr>
        <w:jc w:val="both"/>
        <w:rPr>
          <w:rFonts w:asciiTheme="majorBidi" w:hAnsiTheme="majorBidi" w:cstheme="majorBidi"/>
          <w:lang w:val="en-GB"/>
        </w:rPr>
      </w:pPr>
    </w:p>
    <w:p w14:paraId="268B783F" w14:textId="77777777" w:rsidR="00E2198D" w:rsidRPr="00E94AD0" w:rsidRDefault="00E2198D" w:rsidP="00E2198D">
      <w:pPr>
        <w:pStyle w:val="Casehead2"/>
        <w:rPr>
          <w:lang w:val="en-GB"/>
        </w:rPr>
      </w:pPr>
      <w:r w:rsidRPr="00E94AD0">
        <w:rPr>
          <w:lang w:val="en-GB"/>
        </w:rPr>
        <w:t>19. REVENUE</w:t>
      </w:r>
    </w:p>
    <w:p w14:paraId="64B3AAE0" w14:textId="77777777" w:rsidR="00E2198D" w:rsidRPr="00E94AD0" w:rsidRDefault="00E2198D" w:rsidP="00E2198D">
      <w:pPr>
        <w:rPr>
          <w:rFonts w:asciiTheme="majorBidi" w:hAnsiTheme="majorBidi" w:cstheme="majorBidi"/>
          <w:lang w:val="en-GB"/>
        </w:rPr>
      </w:pPr>
    </w:p>
    <w:p w14:paraId="4F90BD30" w14:textId="5BAF4663" w:rsidR="00E2198D" w:rsidRPr="00E94AD0" w:rsidRDefault="00E2198D" w:rsidP="00E2198D">
      <w:pPr>
        <w:pStyle w:val="ExhibitText"/>
        <w:rPr>
          <w:lang w:val="en-GB"/>
        </w:rPr>
      </w:pPr>
      <w:r w:rsidRPr="00E94AD0">
        <w:rPr>
          <w:lang w:val="en-GB"/>
        </w:rPr>
        <w:t>Revenues are disaggregated as follows:</w:t>
      </w:r>
    </w:p>
    <w:p w14:paraId="6E2C3D32" w14:textId="77777777" w:rsidR="00E2198D" w:rsidRPr="00E94AD0" w:rsidRDefault="00E2198D" w:rsidP="00E2198D">
      <w:pPr>
        <w:rPr>
          <w:rFonts w:asciiTheme="majorBidi" w:hAnsiTheme="majorBidi" w:cstheme="majorBidi"/>
          <w:lang w:val="en-GB"/>
        </w:rPr>
      </w:pPr>
    </w:p>
    <w:tbl>
      <w:tblPr>
        <w:tblW w:w="9096" w:type="dxa"/>
        <w:tblLook w:val="04A0" w:firstRow="1" w:lastRow="0" w:firstColumn="1" w:lastColumn="0" w:noHBand="0" w:noVBand="1"/>
        <w:tblCaption w:val="Exhibit 2 continued"/>
        <w:tblDescription w:val="Select Canopy Financial Statement Note Disclosures "/>
      </w:tblPr>
      <w:tblGrid>
        <w:gridCol w:w="272"/>
        <w:gridCol w:w="2649"/>
        <w:gridCol w:w="272"/>
        <w:gridCol w:w="1386"/>
        <w:gridCol w:w="1475"/>
        <w:gridCol w:w="272"/>
        <w:gridCol w:w="1373"/>
        <w:gridCol w:w="1475"/>
      </w:tblGrid>
      <w:tr w:rsidR="005B1930" w:rsidRPr="005B1930" w14:paraId="79E4E45B" w14:textId="77777777" w:rsidTr="008F5B5F">
        <w:trPr>
          <w:trHeight w:val="204"/>
          <w:tblHeader/>
        </w:trPr>
        <w:tc>
          <w:tcPr>
            <w:tcW w:w="246" w:type="dxa"/>
            <w:tcBorders>
              <w:top w:val="nil"/>
              <w:left w:val="nil"/>
              <w:bottom w:val="nil"/>
              <w:right w:val="nil"/>
            </w:tcBorders>
            <w:shd w:val="clear" w:color="auto" w:fill="auto"/>
            <w:noWrap/>
            <w:vAlign w:val="bottom"/>
            <w:hideMark/>
          </w:tcPr>
          <w:p w14:paraId="163B61F7" w14:textId="77777777" w:rsidR="005B1930" w:rsidRPr="005B1930" w:rsidRDefault="005B1930" w:rsidP="005B1930">
            <w:pPr>
              <w:rPr>
                <w:rFonts w:ascii="Arial" w:hAnsi="Arial" w:cs="Arial"/>
              </w:rPr>
            </w:pPr>
          </w:p>
        </w:tc>
        <w:tc>
          <w:tcPr>
            <w:tcW w:w="2649" w:type="dxa"/>
            <w:tcBorders>
              <w:top w:val="nil"/>
              <w:left w:val="nil"/>
              <w:bottom w:val="nil"/>
              <w:right w:val="nil"/>
            </w:tcBorders>
            <w:shd w:val="clear" w:color="auto" w:fill="auto"/>
            <w:noWrap/>
            <w:vAlign w:val="bottom"/>
            <w:hideMark/>
          </w:tcPr>
          <w:p w14:paraId="7F29FDA5"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08F496A2" w14:textId="77777777" w:rsidR="005B1930" w:rsidRPr="005B1930" w:rsidRDefault="005B1930" w:rsidP="005B1930">
            <w:pPr>
              <w:rPr>
                <w:rFonts w:ascii="Arial" w:hAnsi="Arial" w:cs="Arial"/>
              </w:rPr>
            </w:pPr>
          </w:p>
        </w:tc>
        <w:tc>
          <w:tcPr>
            <w:tcW w:w="2861" w:type="dxa"/>
            <w:gridSpan w:val="2"/>
            <w:tcBorders>
              <w:top w:val="nil"/>
              <w:left w:val="nil"/>
              <w:bottom w:val="single" w:sz="4" w:space="0" w:color="auto"/>
              <w:right w:val="nil"/>
            </w:tcBorders>
            <w:shd w:val="clear" w:color="auto" w:fill="auto"/>
            <w:noWrap/>
            <w:vAlign w:val="bottom"/>
            <w:hideMark/>
          </w:tcPr>
          <w:p w14:paraId="2A4389B6" w14:textId="77777777" w:rsidR="005B1930" w:rsidRPr="005B1930" w:rsidRDefault="005B1930" w:rsidP="005B1930">
            <w:pPr>
              <w:jc w:val="center"/>
              <w:rPr>
                <w:rFonts w:ascii="Arial" w:hAnsi="Arial" w:cs="Arial"/>
                <w:b/>
                <w:bCs/>
                <w:color w:val="000000"/>
              </w:rPr>
            </w:pPr>
            <w:r w:rsidRPr="005B1930">
              <w:rPr>
                <w:rFonts w:ascii="Arial" w:hAnsi="Arial" w:cs="Arial"/>
                <w:b/>
                <w:bCs/>
                <w:color w:val="000000"/>
              </w:rPr>
              <w:t>Three months ended</w:t>
            </w:r>
          </w:p>
        </w:tc>
        <w:tc>
          <w:tcPr>
            <w:tcW w:w="246" w:type="dxa"/>
            <w:tcBorders>
              <w:top w:val="nil"/>
              <w:left w:val="nil"/>
              <w:bottom w:val="nil"/>
              <w:right w:val="nil"/>
            </w:tcBorders>
            <w:shd w:val="clear" w:color="auto" w:fill="auto"/>
            <w:noWrap/>
            <w:vAlign w:val="bottom"/>
            <w:hideMark/>
          </w:tcPr>
          <w:p w14:paraId="7C06E22E" w14:textId="77777777" w:rsidR="005B1930" w:rsidRPr="005B1930" w:rsidRDefault="005B1930" w:rsidP="005B1930">
            <w:pPr>
              <w:jc w:val="center"/>
              <w:rPr>
                <w:rFonts w:ascii="Arial" w:hAnsi="Arial" w:cs="Arial"/>
                <w:b/>
                <w:bCs/>
                <w:color w:val="000000"/>
              </w:rPr>
            </w:pPr>
          </w:p>
        </w:tc>
        <w:tc>
          <w:tcPr>
            <w:tcW w:w="2848" w:type="dxa"/>
            <w:gridSpan w:val="2"/>
            <w:tcBorders>
              <w:top w:val="nil"/>
              <w:left w:val="nil"/>
              <w:bottom w:val="single" w:sz="4" w:space="0" w:color="auto"/>
              <w:right w:val="nil"/>
            </w:tcBorders>
            <w:shd w:val="clear" w:color="auto" w:fill="auto"/>
            <w:vAlign w:val="bottom"/>
            <w:hideMark/>
          </w:tcPr>
          <w:p w14:paraId="2F200176" w14:textId="77777777" w:rsidR="005B1930" w:rsidRPr="005B1930" w:rsidRDefault="005B1930" w:rsidP="005B1930">
            <w:pPr>
              <w:jc w:val="center"/>
              <w:rPr>
                <w:rFonts w:ascii="Arial" w:hAnsi="Arial" w:cs="Arial"/>
                <w:b/>
                <w:bCs/>
                <w:color w:val="000000"/>
              </w:rPr>
            </w:pPr>
            <w:r w:rsidRPr="005B1930">
              <w:rPr>
                <w:rFonts w:ascii="Arial" w:hAnsi="Arial" w:cs="Arial"/>
                <w:b/>
                <w:bCs/>
                <w:color w:val="000000"/>
              </w:rPr>
              <w:t>Six months ended</w:t>
            </w:r>
          </w:p>
        </w:tc>
      </w:tr>
      <w:tr w:rsidR="005B1930" w:rsidRPr="005B1930" w14:paraId="095E553E" w14:textId="77777777" w:rsidTr="008F5B5F">
        <w:trPr>
          <w:trHeight w:val="204"/>
          <w:tblHeader/>
        </w:trPr>
        <w:tc>
          <w:tcPr>
            <w:tcW w:w="246" w:type="dxa"/>
            <w:tcBorders>
              <w:top w:val="nil"/>
              <w:left w:val="nil"/>
              <w:bottom w:val="nil"/>
              <w:right w:val="nil"/>
            </w:tcBorders>
            <w:shd w:val="clear" w:color="auto" w:fill="auto"/>
            <w:noWrap/>
            <w:vAlign w:val="bottom"/>
            <w:hideMark/>
          </w:tcPr>
          <w:p w14:paraId="5D1964C1" w14:textId="77777777" w:rsidR="005B1930" w:rsidRPr="005B1930" w:rsidRDefault="005B1930" w:rsidP="005B1930">
            <w:pPr>
              <w:jc w:val="center"/>
              <w:rPr>
                <w:rFonts w:ascii="Arial" w:hAnsi="Arial" w:cs="Arial"/>
                <w:b/>
                <w:bCs/>
                <w:color w:val="000000"/>
              </w:rPr>
            </w:pPr>
          </w:p>
        </w:tc>
        <w:tc>
          <w:tcPr>
            <w:tcW w:w="2649" w:type="dxa"/>
            <w:tcBorders>
              <w:top w:val="nil"/>
              <w:left w:val="nil"/>
              <w:bottom w:val="nil"/>
              <w:right w:val="nil"/>
            </w:tcBorders>
            <w:shd w:val="clear" w:color="auto" w:fill="auto"/>
            <w:noWrap/>
            <w:vAlign w:val="bottom"/>
            <w:hideMark/>
          </w:tcPr>
          <w:p w14:paraId="323B16F5"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1FEC7C7D" w14:textId="77777777" w:rsidR="005B1930" w:rsidRPr="005B1930" w:rsidRDefault="005B1930" w:rsidP="005B1930">
            <w:pPr>
              <w:rPr>
                <w:rFonts w:ascii="Arial" w:hAnsi="Arial" w:cs="Arial"/>
              </w:rPr>
            </w:pPr>
          </w:p>
        </w:tc>
        <w:tc>
          <w:tcPr>
            <w:tcW w:w="1386" w:type="dxa"/>
            <w:tcBorders>
              <w:top w:val="nil"/>
              <w:left w:val="nil"/>
              <w:bottom w:val="nil"/>
              <w:right w:val="nil"/>
            </w:tcBorders>
            <w:shd w:val="clear" w:color="auto" w:fill="auto"/>
            <w:noWrap/>
            <w:vAlign w:val="bottom"/>
            <w:hideMark/>
          </w:tcPr>
          <w:p w14:paraId="4E7085D3"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September 30,</w:t>
            </w:r>
          </w:p>
        </w:tc>
        <w:tc>
          <w:tcPr>
            <w:tcW w:w="1475" w:type="dxa"/>
            <w:tcBorders>
              <w:top w:val="nil"/>
              <w:left w:val="nil"/>
              <w:bottom w:val="nil"/>
              <w:right w:val="nil"/>
            </w:tcBorders>
            <w:shd w:val="clear" w:color="auto" w:fill="auto"/>
            <w:noWrap/>
            <w:vAlign w:val="bottom"/>
            <w:hideMark/>
          </w:tcPr>
          <w:p w14:paraId="4DCAD541" w14:textId="77777777" w:rsidR="005B1930" w:rsidRPr="005B1930" w:rsidRDefault="005B1930" w:rsidP="005B1930">
            <w:pPr>
              <w:jc w:val="right"/>
              <w:rPr>
                <w:rFonts w:ascii="Arial" w:hAnsi="Arial" w:cs="Arial"/>
                <w:color w:val="000000"/>
              </w:rPr>
            </w:pPr>
            <w:r w:rsidRPr="005B1930">
              <w:rPr>
                <w:rFonts w:ascii="Arial" w:hAnsi="Arial" w:cs="Arial"/>
                <w:color w:val="000000"/>
              </w:rPr>
              <w:t>September 30,</w:t>
            </w:r>
          </w:p>
        </w:tc>
        <w:tc>
          <w:tcPr>
            <w:tcW w:w="246" w:type="dxa"/>
            <w:tcBorders>
              <w:top w:val="nil"/>
              <w:left w:val="nil"/>
              <w:bottom w:val="nil"/>
              <w:right w:val="nil"/>
            </w:tcBorders>
            <w:shd w:val="clear" w:color="auto" w:fill="auto"/>
            <w:noWrap/>
            <w:vAlign w:val="bottom"/>
            <w:hideMark/>
          </w:tcPr>
          <w:p w14:paraId="79640423" w14:textId="77777777" w:rsidR="005B1930" w:rsidRPr="005B1930" w:rsidRDefault="005B1930" w:rsidP="005B1930">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0CFFB7A4"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September 30,</w:t>
            </w:r>
          </w:p>
        </w:tc>
        <w:tc>
          <w:tcPr>
            <w:tcW w:w="1475" w:type="dxa"/>
            <w:tcBorders>
              <w:top w:val="nil"/>
              <w:left w:val="nil"/>
              <w:bottom w:val="nil"/>
              <w:right w:val="nil"/>
            </w:tcBorders>
            <w:shd w:val="clear" w:color="auto" w:fill="auto"/>
            <w:noWrap/>
            <w:vAlign w:val="bottom"/>
            <w:hideMark/>
          </w:tcPr>
          <w:p w14:paraId="4934CB0C" w14:textId="77777777" w:rsidR="005B1930" w:rsidRPr="005B1930" w:rsidRDefault="005B1930" w:rsidP="005B1930">
            <w:pPr>
              <w:jc w:val="right"/>
              <w:rPr>
                <w:rFonts w:ascii="Arial" w:hAnsi="Arial" w:cs="Arial"/>
                <w:color w:val="000000"/>
              </w:rPr>
            </w:pPr>
            <w:r w:rsidRPr="005B1930">
              <w:rPr>
                <w:rFonts w:ascii="Arial" w:hAnsi="Arial" w:cs="Arial"/>
                <w:color w:val="000000"/>
              </w:rPr>
              <w:t>September 30,</w:t>
            </w:r>
          </w:p>
        </w:tc>
      </w:tr>
      <w:tr w:rsidR="005B1930" w:rsidRPr="005B1930" w14:paraId="647E2197" w14:textId="77777777" w:rsidTr="008F5B5F">
        <w:trPr>
          <w:trHeight w:val="204"/>
          <w:tblHeader/>
        </w:trPr>
        <w:tc>
          <w:tcPr>
            <w:tcW w:w="246" w:type="dxa"/>
            <w:tcBorders>
              <w:top w:val="nil"/>
              <w:left w:val="nil"/>
              <w:bottom w:val="single" w:sz="4" w:space="0" w:color="auto"/>
              <w:right w:val="nil"/>
            </w:tcBorders>
            <w:shd w:val="clear" w:color="auto" w:fill="auto"/>
            <w:noWrap/>
            <w:vAlign w:val="bottom"/>
            <w:hideMark/>
          </w:tcPr>
          <w:p w14:paraId="02F8E2C0"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2649" w:type="dxa"/>
            <w:tcBorders>
              <w:top w:val="nil"/>
              <w:left w:val="nil"/>
              <w:bottom w:val="single" w:sz="4" w:space="0" w:color="auto"/>
              <w:right w:val="nil"/>
            </w:tcBorders>
            <w:shd w:val="clear" w:color="auto" w:fill="auto"/>
            <w:noWrap/>
            <w:vAlign w:val="bottom"/>
            <w:hideMark/>
          </w:tcPr>
          <w:p w14:paraId="211F8E35"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246" w:type="dxa"/>
            <w:tcBorders>
              <w:top w:val="nil"/>
              <w:left w:val="nil"/>
              <w:bottom w:val="single" w:sz="4" w:space="0" w:color="auto"/>
              <w:right w:val="nil"/>
            </w:tcBorders>
            <w:shd w:val="clear" w:color="auto" w:fill="auto"/>
            <w:noWrap/>
            <w:vAlign w:val="bottom"/>
            <w:hideMark/>
          </w:tcPr>
          <w:p w14:paraId="529F5269"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386" w:type="dxa"/>
            <w:tcBorders>
              <w:top w:val="nil"/>
              <w:left w:val="nil"/>
              <w:bottom w:val="single" w:sz="4" w:space="0" w:color="auto"/>
              <w:right w:val="nil"/>
            </w:tcBorders>
            <w:shd w:val="clear" w:color="auto" w:fill="auto"/>
            <w:noWrap/>
            <w:vAlign w:val="bottom"/>
            <w:hideMark/>
          </w:tcPr>
          <w:p w14:paraId="452957BE"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2019</w:t>
            </w:r>
          </w:p>
        </w:tc>
        <w:tc>
          <w:tcPr>
            <w:tcW w:w="1475" w:type="dxa"/>
            <w:tcBorders>
              <w:top w:val="nil"/>
              <w:left w:val="nil"/>
              <w:bottom w:val="single" w:sz="4" w:space="0" w:color="auto"/>
              <w:right w:val="nil"/>
            </w:tcBorders>
            <w:shd w:val="clear" w:color="auto" w:fill="auto"/>
            <w:noWrap/>
            <w:vAlign w:val="bottom"/>
            <w:hideMark/>
          </w:tcPr>
          <w:p w14:paraId="5E17E671" w14:textId="77777777" w:rsidR="005B1930" w:rsidRPr="005B1930" w:rsidRDefault="005B1930" w:rsidP="005B1930">
            <w:pPr>
              <w:jc w:val="right"/>
              <w:rPr>
                <w:rFonts w:ascii="Arial" w:hAnsi="Arial" w:cs="Arial"/>
                <w:color w:val="000000"/>
              </w:rPr>
            </w:pPr>
            <w:r w:rsidRPr="005B1930">
              <w:rPr>
                <w:rFonts w:ascii="Arial" w:hAnsi="Arial" w:cs="Arial"/>
                <w:color w:val="000000"/>
              </w:rPr>
              <w:t>2018</w:t>
            </w:r>
          </w:p>
        </w:tc>
        <w:tc>
          <w:tcPr>
            <w:tcW w:w="246" w:type="dxa"/>
            <w:tcBorders>
              <w:top w:val="nil"/>
              <w:left w:val="nil"/>
              <w:bottom w:val="single" w:sz="4" w:space="0" w:color="auto"/>
              <w:right w:val="nil"/>
            </w:tcBorders>
            <w:shd w:val="clear" w:color="auto" w:fill="auto"/>
            <w:noWrap/>
            <w:vAlign w:val="bottom"/>
            <w:hideMark/>
          </w:tcPr>
          <w:p w14:paraId="55F075C2"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373" w:type="dxa"/>
            <w:tcBorders>
              <w:top w:val="nil"/>
              <w:left w:val="nil"/>
              <w:bottom w:val="single" w:sz="4" w:space="0" w:color="auto"/>
              <w:right w:val="nil"/>
            </w:tcBorders>
            <w:shd w:val="clear" w:color="auto" w:fill="auto"/>
            <w:noWrap/>
            <w:vAlign w:val="bottom"/>
            <w:hideMark/>
          </w:tcPr>
          <w:p w14:paraId="04E28539" w14:textId="77777777" w:rsidR="005B1930" w:rsidRPr="005B1930" w:rsidRDefault="005B1930" w:rsidP="005B1930">
            <w:pPr>
              <w:jc w:val="right"/>
              <w:rPr>
                <w:rFonts w:ascii="Arial" w:hAnsi="Arial" w:cs="Arial"/>
                <w:b/>
                <w:bCs/>
                <w:color w:val="000000"/>
              </w:rPr>
            </w:pPr>
            <w:r w:rsidRPr="005B1930">
              <w:rPr>
                <w:rFonts w:ascii="Arial" w:hAnsi="Arial" w:cs="Arial"/>
                <w:b/>
                <w:bCs/>
                <w:color w:val="000000"/>
              </w:rPr>
              <w:t>2019</w:t>
            </w:r>
          </w:p>
        </w:tc>
        <w:tc>
          <w:tcPr>
            <w:tcW w:w="1475" w:type="dxa"/>
            <w:tcBorders>
              <w:top w:val="nil"/>
              <w:left w:val="nil"/>
              <w:bottom w:val="single" w:sz="4" w:space="0" w:color="auto"/>
              <w:right w:val="nil"/>
            </w:tcBorders>
            <w:shd w:val="clear" w:color="auto" w:fill="auto"/>
            <w:noWrap/>
            <w:vAlign w:val="bottom"/>
            <w:hideMark/>
          </w:tcPr>
          <w:p w14:paraId="011D84D9" w14:textId="77777777" w:rsidR="005B1930" w:rsidRPr="005B1930" w:rsidRDefault="005B1930" w:rsidP="005B1930">
            <w:pPr>
              <w:jc w:val="right"/>
              <w:rPr>
                <w:rFonts w:ascii="Arial" w:hAnsi="Arial" w:cs="Arial"/>
                <w:color w:val="000000"/>
              </w:rPr>
            </w:pPr>
            <w:r w:rsidRPr="005B1930">
              <w:rPr>
                <w:rFonts w:ascii="Arial" w:hAnsi="Arial" w:cs="Arial"/>
                <w:color w:val="000000"/>
              </w:rPr>
              <w:t>2018</w:t>
            </w:r>
          </w:p>
        </w:tc>
      </w:tr>
      <w:tr w:rsidR="005B1930" w:rsidRPr="005B1930" w14:paraId="38450080" w14:textId="77777777" w:rsidTr="008F5B5F">
        <w:trPr>
          <w:trHeight w:val="204"/>
          <w:tblHeader/>
        </w:trPr>
        <w:tc>
          <w:tcPr>
            <w:tcW w:w="246" w:type="dxa"/>
            <w:tcBorders>
              <w:top w:val="nil"/>
              <w:left w:val="nil"/>
              <w:bottom w:val="nil"/>
              <w:right w:val="nil"/>
            </w:tcBorders>
            <w:shd w:val="clear" w:color="auto" w:fill="auto"/>
            <w:noWrap/>
            <w:vAlign w:val="bottom"/>
            <w:hideMark/>
          </w:tcPr>
          <w:p w14:paraId="55DB96DD" w14:textId="77777777" w:rsidR="005B1930" w:rsidRPr="005B1930" w:rsidRDefault="005B1930" w:rsidP="005B1930">
            <w:pPr>
              <w:jc w:val="right"/>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64378F00"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4275D05C" w14:textId="77777777" w:rsidR="005B1930" w:rsidRPr="005B1930" w:rsidRDefault="005B1930" w:rsidP="005B1930">
            <w:pPr>
              <w:rPr>
                <w:rFonts w:ascii="Arial" w:hAnsi="Arial" w:cs="Arial"/>
              </w:rPr>
            </w:pPr>
          </w:p>
        </w:tc>
        <w:tc>
          <w:tcPr>
            <w:tcW w:w="1386" w:type="dxa"/>
            <w:tcBorders>
              <w:top w:val="nil"/>
              <w:left w:val="nil"/>
              <w:bottom w:val="nil"/>
              <w:right w:val="nil"/>
            </w:tcBorders>
            <w:shd w:val="clear" w:color="auto" w:fill="auto"/>
            <w:noWrap/>
            <w:vAlign w:val="bottom"/>
            <w:hideMark/>
          </w:tcPr>
          <w:p w14:paraId="3CC73FB3" w14:textId="77777777" w:rsidR="005B1930" w:rsidRPr="005B1930" w:rsidRDefault="005B1930" w:rsidP="005B1930">
            <w:pPr>
              <w:rPr>
                <w:rFonts w:ascii="Arial" w:hAnsi="Arial" w:cs="Arial"/>
              </w:rPr>
            </w:pPr>
          </w:p>
        </w:tc>
        <w:tc>
          <w:tcPr>
            <w:tcW w:w="1475" w:type="dxa"/>
            <w:tcBorders>
              <w:top w:val="nil"/>
              <w:left w:val="nil"/>
              <w:bottom w:val="nil"/>
              <w:right w:val="nil"/>
            </w:tcBorders>
            <w:shd w:val="clear" w:color="auto" w:fill="auto"/>
            <w:noWrap/>
            <w:vAlign w:val="bottom"/>
            <w:hideMark/>
          </w:tcPr>
          <w:p w14:paraId="42E38D8B"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2EB9ED55" w14:textId="77777777" w:rsidR="005B1930" w:rsidRPr="005B1930" w:rsidRDefault="005B1930" w:rsidP="005B1930">
            <w:pPr>
              <w:rPr>
                <w:rFonts w:ascii="Arial" w:hAnsi="Arial" w:cs="Arial"/>
              </w:rPr>
            </w:pPr>
          </w:p>
        </w:tc>
        <w:tc>
          <w:tcPr>
            <w:tcW w:w="1373" w:type="dxa"/>
            <w:tcBorders>
              <w:top w:val="nil"/>
              <w:left w:val="nil"/>
              <w:bottom w:val="nil"/>
              <w:right w:val="nil"/>
            </w:tcBorders>
            <w:shd w:val="clear" w:color="auto" w:fill="auto"/>
            <w:noWrap/>
            <w:vAlign w:val="bottom"/>
            <w:hideMark/>
          </w:tcPr>
          <w:p w14:paraId="2DD29592" w14:textId="77777777" w:rsidR="005B1930" w:rsidRPr="005B1930" w:rsidRDefault="005B1930" w:rsidP="005B1930">
            <w:pPr>
              <w:rPr>
                <w:rFonts w:ascii="Arial" w:hAnsi="Arial" w:cs="Arial"/>
              </w:rPr>
            </w:pPr>
          </w:p>
        </w:tc>
        <w:tc>
          <w:tcPr>
            <w:tcW w:w="1475" w:type="dxa"/>
            <w:tcBorders>
              <w:top w:val="nil"/>
              <w:left w:val="nil"/>
              <w:bottom w:val="nil"/>
              <w:right w:val="nil"/>
            </w:tcBorders>
            <w:shd w:val="clear" w:color="auto" w:fill="auto"/>
            <w:noWrap/>
            <w:vAlign w:val="bottom"/>
            <w:hideMark/>
          </w:tcPr>
          <w:p w14:paraId="02C0C4A8" w14:textId="77777777" w:rsidR="005B1930" w:rsidRPr="005B1930" w:rsidRDefault="005B1930" w:rsidP="005B1930">
            <w:pPr>
              <w:rPr>
                <w:rFonts w:ascii="Arial" w:hAnsi="Arial" w:cs="Arial"/>
              </w:rPr>
            </w:pPr>
          </w:p>
        </w:tc>
      </w:tr>
      <w:tr w:rsidR="005B1930" w:rsidRPr="005B1930" w14:paraId="2E476DC9" w14:textId="77777777" w:rsidTr="008F5B5F">
        <w:trPr>
          <w:trHeight w:val="204"/>
          <w:tblHeader/>
        </w:trPr>
        <w:tc>
          <w:tcPr>
            <w:tcW w:w="2895" w:type="dxa"/>
            <w:gridSpan w:val="2"/>
            <w:tcBorders>
              <w:top w:val="nil"/>
              <w:left w:val="nil"/>
              <w:bottom w:val="nil"/>
              <w:right w:val="nil"/>
            </w:tcBorders>
            <w:shd w:val="clear" w:color="auto" w:fill="auto"/>
            <w:noWrap/>
            <w:vAlign w:val="bottom"/>
            <w:hideMark/>
          </w:tcPr>
          <w:p w14:paraId="4A31136E" w14:textId="77777777" w:rsidR="005B1930" w:rsidRPr="005B1930" w:rsidRDefault="005B1930" w:rsidP="005B1930">
            <w:pPr>
              <w:rPr>
                <w:rFonts w:ascii="Arial" w:hAnsi="Arial" w:cs="Arial"/>
                <w:color w:val="000000"/>
              </w:rPr>
            </w:pPr>
            <w:r w:rsidRPr="005B1930">
              <w:rPr>
                <w:rFonts w:ascii="Arial" w:hAnsi="Arial" w:cs="Arial"/>
                <w:color w:val="000000"/>
              </w:rPr>
              <w:t>Recreational revenue</w:t>
            </w:r>
          </w:p>
        </w:tc>
        <w:tc>
          <w:tcPr>
            <w:tcW w:w="246" w:type="dxa"/>
            <w:tcBorders>
              <w:top w:val="nil"/>
              <w:left w:val="nil"/>
              <w:bottom w:val="nil"/>
              <w:right w:val="nil"/>
            </w:tcBorders>
            <w:shd w:val="clear" w:color="auto" w:fill="auto"/>
            <w:noWrap/>
            <w:vAlign w:val="bottom"/>
            <w:hideMark/>
          </w:tcPr>
          <w:p w14:paraId="57C34724"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798D044B" w14:textId="77777777" w:rsidR="005B1930" w:rsidRPr="005B1930" w:rsidRDefault="005B1930" w:rsidP="005B1930">
            <w:pPr>
              <w:rPr>
                <w:rFonts w:ascii="Arial" w:hAnsi="Arial" w:cs="Arial"/>
              </w:rPr>
            </w:pPr>
          </w:p>
        </w:tc>
        <w:tc>
          <w:tcPr>
            <w:tcW w:w="1475" w:type="dxa"/>
            <w:tcBorders>
              <w:top w:val="nil"/>
              <w:left w:val="nil"/>
              <w:bottom w:val="nil"/>
              <w:right w:val="nil"/>
            </w:tcBorders>
            <w:shd w:val="clear" w:color="auto" w:fill="auto"/>
            <w:noWrap/>
            <w:vAlign w:val="bottom"/>
            <w:hideMark/>
          </w:tcPr>
          <w:p w14:paraId="31EAB7BE"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1497CFAA" w14:textId="77777777" w:rsidR="005B1930" w:rsidRPr="005B1930" w:rsidRDefault="005B1930" w:rsidP="005B1930">
            <w:pPr>
              <w:rPr>
                <w:rFonts w:ascii="Arial" w:hAnsi="Arial" w:cs="Arial"/>
              </w:rPr>
            </w:pPr>
          </w:p>
        </w:tc>
        <w:tc>
          <w:tcPr>
            <w:tcW w:w="1373" w:type="dxa"/>
            <w:tcBorders>
              <w:top w:val="nil"/>
              <w:left w:val="nil"/>
              <w:bottom w:val="nil"/>
              <w:right w:val="nil"/>
            </w:tcBorders>
            <w:shd w:val="clear" w:color="auto" w:fill="auto"/>
            <w:noWrap/>
            <w:vAlign w:val="bottom"/>
            <w:hideMark/>
          </w:tcPr>
          <w:p w14:paraId="1F0665DB" w14:textId="77777777" w:rsidR="005B1930" w:rsidRPr="005B1930" w:rsidRDefault="005B1930" w:rsidP="005B1930">
            <w:pPr>
              <w:rPr>
                <w:rFonts w:ascii="Arial" w:hAnsi="Arial" w:cs="Arial"/>
              </w:rPr>
            </w:pPr>
          </w:p>
        </w:tc>
        <w:tc>
          <w:tcPr>
            <w:tcW w:w="1475" w:type="dxa"/>
            <w:tcBorders>
              <w:top w:val="nil"/>
              <w:left w:val="nil"/>
              <w:bottom w:val="nil"/>
              <w:right w:val="nil"/>
            </w:tcBorders>
            <w:shd w:val="clear" w:color="auto" w:fill="auto"/>
            <w:noWrap/>
            <w:vAlign w:val="bottom"/>
            <w:hideMark/>
          </w:tcPr>
          <w:p w14:paraId="537E45C5" w14:textId="77777777" w:rsidR="005B1930" w:rsidRPr="005B1930" w:rsidRDefault="005B1930" w:rsidP="005B1930">
            <w:pPr>
              <w:rPr>
                <w:rFonts w:ascii="Arial" w:hAnsi="Arial" w:cs="Arial"/>
              </w:rPr>
            </w:pPr>
          </w:p>
        </w:tc>
      </w:tr>
      <w:tr w:rsidR="005B1930" w:rsidRPr="005B1930" w14:paraId="152902D2" w14:textId="77777777" w:rsidTr="008F5B5F">
        <w:trPr>
          <w:trHeight w:val="204"/>
          <w:tblHeader/>
        </w:trPr>
        <w:tc>
          <w:tcPr>
            <w:tcW w:w="246" w:type="dxa"/>
            <w:tcBorders>
              <w:top w:val="nil"/>
              <w:left w:val="nil"/>
              <w:bottom w:val="nil"/>
              <w:right w:val="nil"/>
            </w:tcBorders>
            <w:shd w:val="clear" w:color="auto" w:fill="auto"/>
            <w:noWrap/>
            <w:vAlign w:val="bottom"/>
            <w:hideMark/>
          </w:tcPr>
          <w:p w14:paraId="054B7BFC" w14:textId="77777777" w:rsidR="005B1930" w:rsidRPr="005B1930" w:rsidRDefault="005B1930" w:rsidP="005B1930">
            <w:pPr>
              <w:rPr>
                <w:rFonts w:ascii="Arial" w:hAnsi="Arial" w:cs="Arial"/>
              </w:rPr>
            </w:pPr>
          </w:p>
        </w:tc>
        <w:tc>
          <w:tcPr>
            <w:tcW w:w="2649" w:type="dxa"/>
            <w:tcBorders>
              <w:top w:val="nil"/>
              <w:left w:val="nil"/>
              <w:bottom w:val="nil"/>
              <w:right w:val="nil"/>
            </w:tcBorders>
            <w:shd w:val="clear" w:color="auto" w:fill="auto"/>
            <w:noWrap/>
            <w:vAlign w:val="bottom"/>
            <w:hideMark/>
          </w:tcPr>
          <w:p w14:paraId="3BE01C5C" w14:textId="77777777" w:rsidR="005B1930" w:rsidRPr="005B1930" w:rsidRDefault="005B1930" w:rsidP="005B1930">
            <w:pPr>
              <w:rPr>
                <w:rFonts w:ascii="Arial" w:hAnsi="Arial" w:cs="Arial"/>
                <w:color w:val="000000"/>
              </w:rPr>
            </w:pPr>
            <w:r w:rsidRPr="005B1930">
              <w:rPr>
                <w:rFonts w:ascii="Arial" w:hAnsi="Arial" w:cs="Arial"/>
                <w:color w:val="000000"/>
              </w:rPr>
              <w:t>Business to business</w:t>
            </w:r>
          </w:p>
        </w:tc>
        <w:tc>
          <w:tcPr>
            <w:tcW w:w="246" w:type="dxa"/>
            <w:tcBorders>
              <w:top w:val="nil"/>
              <w:left w:val="nil"/>
              <w:bottom w:val="nil"/>
              <w:right w:val="nil"/>
            </w:tcBorders>
            <w:shd w:val="clear" w:color="auto" w:fill="auto"/>
            <w:noWrap/>
            <w:vAlign w:val="bottom"/>
            <w:hideMark/>
          </w:tcPr>
          <w:p w14:paraId="1FACB689"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3FE379B1" w14:textId="390E7ADD" w:rsidR="005B1930" w:rsidRPr="005B1930" w:rsidRDefault="005B1930" w:rsidP="000A011E">
            <w:pPr>
              <w:jc w:val="right"/>
              <w:rPr>
                <w:rFonts w:ascii="Arial" w:hAnsi="Arial" w:cs="Arial"/>
                <w:b/>
                <w:bCs/>
                <w:color w:val="000000"/>
              </w:rPr>
            </w:pPr>
            <w:r w:rsidRPr="005B1930">
              <w:rPr>
                <w:rFonts w:ascii="Arial" w:hAnsi="Arial" w:cs="Arial"/>
                <w:b/>
                <w:bCs/>
                <w:color w:val="000000"/>
              </w:rPr>
              <w:t>$49,404</w:t>
            </w:r>
          </w:p>
        </w:tc>
        <w:tc>
          <w:tcPr>
            <w:tcW w:w="1475" w:type="dxa"/>
            <w:tcBorders>
              <w:top w:val="nil"/>
              <w:left w:val="nil"/>
              <w:bottom w:val="nil"/>
              <w:right w:val="nil"/>
            </w:tcBorders>
            <w:shd w:val="clear" w:color="auto" w:fill="auto"/>
            <w:noWrap/>
            <w:vAlign w:val="bottom"/>
            <w:hideMark/>
          </w:tcPr>
          <w:p w14:paraId="14C03F90" w14:textId="1AC6BE46" w:rsidR="005B1930" w:rsidRPr="005B1930" w:rsidRDefault="005B1930" w:rsidP="000A011E">
            <w:pPr>
              <w:jc w:val="right"/>
              <w:rPr>
                <w:rFonts w:ascii="Arial" w:hAnsi="Arial" w:cs="Arial"/>
                <w:color w:val="000000"/>
              </w:rPr>
            </w:pPr>
            <w:r w:rsidRPr="005B1930">
              <w:rPr>
                <w:rFonts w:ascii="Arial" w:hAnsi="Arial" w:cs="Arial"/>
                <w:color w:val="000000"/>
              </w:rPr>
              <w:t>$</w:t>
            </w:r>
            <w:r w:rsidR="006F2629">
              <w:rPr>
                <w:rFonts w:ascii="Arial" w:hAnsi="Arial" w:cs="Arial"/>
                <w:color w:val="000000"/>
              </w:rPr>
              <w:t xml:space="preserve"> </w:t>
            </w:r>
            <w:r w:rsidRPr="005B1930">
              <w:rPr>
                <w:rFonts w:ascii="Arial" w:hAnsi="Arial" w:cs="Arial"/>
                <w:color w:val="000000"/>
              </w:rPr>
              <w:t>-</w:t>
            </w:r>
          </w:p>
        </w:tc>
        <w:tc>
          <w:tcPr>
            <w:tcW w:w="246" w:type="dxa"/>
            <w:tcBorders>
              <w:top w:val="nil"/>
              <w:left w:val="nil"/>
              <w:bottom w:val="nil"/>
              <w:right w:val="nil"/>
            </w:tcBorders>
            <w:shd w:val="clear" w:color="auto" w:fill="auto"/>
            <w:noWrap/>
            <w:vAlign w:val="bottom"/>
            <w:hideMark/>
          </w:tcPr>
          <w:p w14:paraId="2E533CFF"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4A57D9A1" w14:textId="0946B2F6" w:rsidR="005B1930" w:rsidRPr="005B1930" w:rsidRDefault="005B1930" w:rsidP="000A011E">
            <w:pPr>
              <w:jc w:val="right"/>
              <w:rPr>
                <w:rFonts w:ascii="Arial" w:hAnsi="Arial" w:cs="Arial"/>
                <w:b/>
                <w:bCs/>
                <w:color w:val="000000"/>
              </w:rPr>
            </w:pPr>
            <w:r w:rsidRPr="005B1930">
              <w:rPr>
                <w:rFonts w:ascii="Arial" w:hAnsi="Arial" w:cs="Arial"/>
                <w:b/>
                <w:bCs/>
                <w:color w:val="000000"/>
              </w:rPr>
              <w:t>$107,829</w:t>
            </w:r>
          </w:p>
        </w:tc>
        <w:tc>
          <w:tcPr>
            <w:tcW w:w="1475" w:type="dxa"/>
            <w:tcBorders>
              <w:top w:val="nil"/>
              <w:left w:val="nil"/>
              <w:bottom w:val="nil"/>
              <w:right w:val="nil"/>
            </w:tcBorders>
            <w:shd w:val="clear" w:color="auto" w:fill="auto"/>
            <w:noWrap/>
            <w:vAlign w:val="bottom"/>
            <w:hideMark/>
          </w:tcPr>
          <w:p w14:paraId="2744CAE9" w14:textId="557E3242" w:rsidR="005B1930" w:rsidRPr="005B1930" w:rsidRDefault="005B1930" w:rsidP="000A011E">
            <w:pPr>
              <w:jc w:val="right"/>
              <w:rPr>
                <w:rFonts w:ascii="Arial" w:hAnsi="Arial" w:cs="Arial"/>
                <w:color w:val="000000"/>
              </w:rPr>
            </w:pPr>
            <w:r w:rsidRPr="005B1930">
              <w:rPr>
                <w:rFonts w:ascii="Arial" w:hAnsi="Arial" w:cs="Arial"/>
                <w:color w:val="000000"/>
              </w:rPr>
              <w:t>$ -</w:t>
            </w:r>
          </w:p>
        </w:tc>
      </w:tr>
      <w:tr w:rsidR="005B1930" w:rsidRPr="005B1930" w14:paraId="65B38CED" w14:textId="77777777" w:rsidTr="008F5B5F">
        <w:trPr>
          <w:trHeight w:val="204"/>
          <w:tblHeader/>
        </w:trPr>
        <w:tc>
          <w:tcPr>
            <w:tcW w:w="246" w:type="dxa"/>
            <w:tcBorders>
              <w:top w:val="nil"/>
              <w:left w:val="nil"/>
              <w:bottom w:val="nil"/>
              <w:right w:val="nil"/>
            </w:tcBorders>
            <w:shd w:val="clear" w:color="auto" w:fill="auto"/>
            <w:noWrap/>
            <w:vAlign w:val="bottom"/>
            <w:hideMark/>
          </w:tcPr>
          <w:p w14:paraId="615DF247" w14:textId="77777777" w:rsidR="005B1930" w:rsidRPr="005B1930" w:rsidRDefault="005B1930" w:rsidP="005B1930">
            <w:pPr>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6C246C46" w14:textId="77777777" w:rsidR="005B1930" w:rsidRPr="005B1930" w:rsidRDefault="005B1930" w:rsidP="005B1930">
            <w:pPr>
              <w:rPr>
                <w:rFonts w:ascii="Arial" w:hAnsi="Arial" w:cs="Arial"/>
                <w:color w:val="000000"/>
              </w:rPr>
            </w:pPr>
            <w:r w:rsidRPr="005B1930">
              <w:rPr>
                <w:rFonts w:ascii="Arial" w:hAnsi="Arial" w:cs="Arial"/>
                <w:color w:val="000000"/>
              </w:rPr>
              <w:t>Business to consumer</w:t>
            </w:r>
          </w:p>
        </w:tc>
        <w:tc>
          <w:tcPr>
            <w:tcW w:w="246" w:type="dxa"/>
            <w:tcBorders>
              <w:top w:val="nil"/>
              <w:left w:val="nil"/>
              <w:bottom w:val="nil"/>
              <w:right w:val="nil"/>
            </w:tcBorders>
            <w:shd w:val="clear" w:color="auto" w:fill="auto"/>
            <w:noWrap/>
            <w:vAlign w:val="bottom"/>
            <w:hideMark/>
          </w:tcPr>
          <w:p w14:paraId="4C5ABB81"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4FD82A4A" w14:textId="224601F1" w:rsidR="005B1930" w:rsidRPr="005B1930" w:rsidRDefault="005B1930" w:rsidP="000A011E">
            <w:pPr>
              <w:jc w:val="right"/>
              <w:rPr>
                <w:rFonts w:ascii="Arial" w:hAnsi="Arial" w:cs="Arial"/>
                <w:b/>
                <w:bCs/>
                <w:color w:val="000000"/>
              </w:rPr>
            </w:pPr>
            <w:r w:rsidRPr="005B1930">
              <w:rPr>
                <w:rFonts w:ascii="Arial" w:hAnsi="Arial" w:cs="Arial"/>
                <w:b/>
                <w:bCs/>
                <w:color w:val="000000"/>
              </w:rPr>
              <w:t>13,100</w:t>
            </w:r>
          </w:p>
        </w:tc>
        <w:tc>
          <w:tcPr>
            <w:tcW w:w="1475" w:type="dxa"/>
            <w:tcBorders>
              <w:top w:val="nil"/>
              <w:left w:val="nil"/>
              <w:bottom w:val="nil"/>
              <w:right w:val="nil"/>
            </w:tcBorders>
            <w:shd w:val="clear" w:color="auto" w:fill="auto"/>
            <w:noWrap/>
            <w:vAlign w:val="bottom"/>
            <w:hideMark/>
          </w:tcPr>
          <w:p w14:paraId="32DB3E56" w14:textId="1A7BCF27" w:rsidR="005B1930" w:rsidRPr="005B1930" w:rsidRDefault="005B1930" w:rsidP="000A011E">
            <w:pPr>
              <w:jc w:val="right"/>
              <w:rPr>
                <w:rFonts w:ascii="Arial" w:hAnsi="Arial" w:cs="Arial"/>
                <w:color w:val="000000"/>
              </w:rPr>
            </w:pPr>
            <w:r w:rsidRPr="005B1930">
              <w:rPr>
                <w:rFonts w:ascii="Arial" w:hAnsi="Arial" w:cs="Arial"/>
                <w:color w:val="000000"/>
              </w:rPr>
              <w:t>-</w:t>
            </w:r>
          </w:p>
        </w:tc>
        <w:tc>
          <w:tcPr>
            <w:tcW w:w="246" w:type="dxa"/>
            <w:tcBorders>
              <w:top w:val="nil"/>
              <w:left w:val="nil"/>
              <w:bottom w:val="nil"/>
              <w:right w:val="nil"/>
            </w:tcBorders>
            <w:shd w:val="clear" w:color="auto" w:fill="auto"/>
            <w:noWrap/>
            <w:vAlign w:val="bottom"/>
            <w:hideMark/>
          </w:tcPr>
          <w:p w14:paraId="1FF340D6"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520B122E" w14:textId="27D09DE9" w:rsidR="005B1930" w:rsidRPr="005B1930" w:rsidRDefault="005B1930" w:rsidP="000A011E">
            <w:pPr>
              <w:jc w:val="right"/>
              <w:rPr>
                <w:rFonts w:ascii="Arial" w:hAnsi="Arial" w:cs="Arial"/>
                <w:b/>
                <w:bCs/>
                <w:color w:val="000000"/>
              </w:rPr>
            </w:pPr>
            <w:r w:rsidRPr="005B1930">
              <w:rPr>
                <w:rFonts w:ascii="Arial" w:hAnsi="Arial" w:cs="Arial"/>
                <w:b/>
                <w:bCs/>
                <w:color w:val="000000"/>
              </w:rPr>
              <w:t>23,738</w:t>
            </w:r>
          </w:p>
        </w:tc>
        <w:tc>
          <w:tcPr>
            <w:tcW w:w="1475" w:type="dxa"/>
            <w:tcBorders>
              <w:top w:val="nil"/>
              <w:left w:val="nil"/>
              <w:bottom w:val="nil"/>
              <w:right w:val="nil"/>
            </w:tcBorders>
            <w:shd w:val="clear" w:color="auto" w:fill="auto"/>
            <w:noWrap/>
            <w:vAlign w:val="bottom"/>
            <w:hideMark/>
          </w:tcPr>
          <w:p w14:paraId="0DC550A5" w14:textId="0B3BB981" w:rsidR="005B1930" w:rsidRPr="005B1930" w:rsidRDefault="005B1930" w:rsidP="000A011E">
            <w:pPr>
              <w:jc w:val="right"/>
              <w:rPr>
                <w:rFonts w:ascii="Arial" w:hAnsi="Arial" w:cs="Arial"/>
                <w:color w:val="000000"/>
              </w:rPr>
            </w:pPr>
            <w:r w:rsidRPr="005B1930">
              <w:rPr>
                <w:rFonts w:ascii="Arial" w:hAnsi="Arial" w:cs="Arial"/>
                <w:color w:val="000000"/>
              </w:rPr>
              <w:t>-</w:t>
            </w:r>
          </w:p>
        </w:tc>
      </w:tr>
      <w:tr w:rsidR="005B1930" w:rsidRPr="005B1930" w14:paraId="2ECD7055" w14:textId="77777777" w:rsidTr="008F5B5F">
        <w:trPr>
          <w:trHeight w:val="204"/>
          <w:tblHeader/>
        </w:trPr>
        <w:tc>
          <w:tcPr>
            <w:tcW w:w="246" w:type="dxa"/>
            <w:tcBorders>
              <w:top w:val="nil"/>
              <w:left w:val="nil"/>
              <w:bottom w:val="nil"/>
              <w:right w:val="nil"/>
            </w:tcBorders>
            <w:shd w:val="clear" w:color="auto" w:fill="auto"/>
            <w:noWrap/>
            <w:vAlign w:val="bottom"/>
            <w:hideMark/>
          </w:tcPr>
          <w:p w14:paraId="343248C6" w14:textId="77777777" w:rsidR="005B1930" w:rsidRPr="005B1930" w:rsidRDefault="005B1930" w:rsidP="005B1930">
            <w:pPr>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081EA442" w14:textId="77777777" w:rsidR="005B1930" w:rsidRPr="005B1930" w:rsidRDefault="005B1930" w:rsidP="005B1930">
            <w:pPr>
              <w:rPr>
                <w:rFonts w:ascii="Arial" w:hAnsi="Arial" w:cs="Arial"/>
                <w:color w:val="000000"/>
              </w:rPr>
            </w:pPr>
            <w:r w:rsidRPr="005B1930">
              <w:rPr>
                <w:rFonts w:ascii="Arial" w:hAnsi="Arial" w:cs="Arial"/>
                <w:color w:val="000000"/>
              </w:rPr>
              <w:t>Other revenue adjustments</w:t>
            </w:r>
          </w:p>
        </w:tc>
        <w:tc>
          <w:tcPr>
            <w:tcW w:w="246" w:type="dxa"/>
            <w:tcBorders>
              <w:top w:val="nil"/>
              <w:left w:val="nil"/>
              <w:bottom w:val="nil"/>
              <w:right w:val="nil"/>
            </w:tcBorders>
            <w:shd w:val="clear" w:color="auto" w:fill="auto"/>
            <w:noWrap/>
            <w:vAlign w:val="bottom"/>
            <w:hideMark/>
          </w:tcPr>
          <w:p w14:paraId="1A9020AA"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2641E570" w14:textId="77777777" w:rsidR="005B1930" w:rsidRPr="005B1930" w:rsidRDefault="005B1930" w:rsidP="000A011E">
            <w:pPr>
              <w:jc w:val="right"/>
              <w:rPr>
                <w:rFonts w:ascii="Arial" w:hAnsi="Arial" w:cs="Arial"/>
                <w:b/>
                <w:bCs/>
                <w:color w:val="000000"/>
              </w:rPr>
            </w:pPr>
            <w:r w:rsidRPr="005B1930">
              <w:rPr>
                <w:rFonts w:ascii="Arial" w:hAnsi="Arial" w:cs="Arial"/>
                <w:b/>
                <w:bCs/>
                <w:color w:val="000000"/>
              </w:rPr>
              <w:t>(32,727)</w:t>
            </w:r>
          </w:p>
        </w:tc>
        <w:tc>
          <w:tcPr>
            <w:tcW w:w="1475" w:type="dxa"/>
            <w:tcBorders>
              <w:top w:val="nil"/>
              <w:left w:val="nil"/>
              <w:bottom w:val="nil"/>
              <w:right w:val="nil"/>
            </w:tcBorders>
            <w:shd w:val="clear" w:color="auto" w:fill="auto"/>
            <w:noWrap/>
            <w:vAlign w:val="bottom"/>
            <w:hideMark/>
          </w:tcPr>
          <w:p w14:paraId="490BBEB2" w14:textId="655AFBF8" w:rsidR="005B1930" w:rsidRPr="005B1930" w:rsidRDefault="005B1930" w:rsidP="000A011E">
            <w:pPr>
              <w:jc w:val="right"/>
              <w:rPr>
                <w:rFonts w:ascii="Arial" w:hAnsi="Arial" w:cs="Arial"/>
                <w:color w:val="000000"/>
              </w:rPr>
            </w:pPr>
            <w:r w:rsidRPr="005B1930">
              <w:rPr>
                <w:rFonts w:ascii="Arial" w:hAnsi="Arial" w:cs="Arial"/>
                <w:color w:val="000000"/>
              </w:rPr>
              <w:t>-</w:t>
            </w:r>
          </w:p>
        </w:tc>
        <w:tc>
          <w:tcPr>
            <w:tcW w:w="246" w:type="dxa"/>
            <w:tcBorders>
              <w:top w:val="nil"/>
              <w:left w:val="nil"/>
              <w:bottom w:val="nil"/>
              <w:right w:val="nil"/>
            </w:tcBorders>
            <w:shd w:val="clear" w:color="auto" w:fill="auto"/>
            <w:noWrap/>
            <w:vAlign w:val="bottom"/>
            <w:hideMark/>
          </w:tcPr>
          <w:p w14:paraId="629F97AA"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1F8A4F45" w14:textId="77777777" w:rsidR="005B1930" w:rsidRPr="005B1930" w:rsidRDefault="005B1930" w:rsidP="000A011E">
            <w:pPr>
              <w:jc w:val="right"/>
              <w:rPr>
                <w:rFonts w:ascii="Arial" w:hAnsi="Arial" w:cs="Arial"/>
                <w:b/>
                <w:bCs/>
                <w:color w:val="000000"/>
              </w:rPr>
            </w:pPr>
            <w:r w:rsidRPr="005B1930">
              <w:rPr>
                <w:rFonts w:ascii="Arial" w:hAnsi="Arial" w:cs="Arial"/>
                <w:b/>
                <w:bCs/>
                <w:color w:val="000000"/>
              </w:rPr>
              <w:t>(40,727)</w:t>
            </w:r>
          </w:p>
        </w:tc>
        <w:tc>
          <w:tcPr>
            <w:tcW w:w="1475" w:type="dxa"/>
            <w:tcBorders>
              <w:top w:val="nil"/>
              <w:left w:val="nil"/>
              <w:bottom w:val="nil"/>
              <w:right w:val="nil"/>
            </w:tcBorders>
            <w:shd w:val="clear" w:color="auto" w:fill="auto"/>
            <w:noWrap/>
            <w:vAlign w:val="bottom"/>
            <w:hideMark/>
          </w:tcPr>
          <w:p w14:paraId="180FBCDF" w14:textId="2796ED95" w:rsidR="005B1930" w:rsidRPr="005B1930" w:rsidRDefault="005B1930" w:rsidP="000A011E">
            <w:pPr>
              <w:jc w:val="right"/>
              <w:rPr>
                <w:rFonts w:ascii="Arial" w:hAnsi="Arial" w:cs="Arial"/>
                <w:color w:val="000000"/>
              </w:rPr>
            </w:pPr>
            <w:r w:rsidRPr="005B1930">
              <w:rPr>
                <w:rFonts w:ascii="Arial" w:hAnsi="Arial" w:cs="Arial"/>
                <w:color w:val="000000"/>
              </w:rPr>
              <w:t>-</w:t>
            </w:r>
          </w:p>
        </w:tc>
      </w:tr>
      <w:tr w:rsidR="005B1930" w:rsidRPr="005B1930" w14:paraId="43D73945" w14:textId="77777777" w:rsidTr="008F5B5F">
        <w:trPr>
          <w:trHeight w:val="204"/>
          <w:tblHeader/>
        </w:trPr>
        <w:tc>
          <w:tcPr>
            <w:tcW w:w="2895" w:type="dxa"/>
            <w:gridSpan w:val="2"/>
            <w:tcBorders>
              <w:top w:val="nil"/>
              <w:left w:val="nil"/>
              <w:bottom w:val="nil"/>
              <w:right w:val="nil"/>
            </w:tcBorders>
            <w:shd w:val="clear" w:color="auto" w:fill="auto"/>
            <w:noWrap/>
            <w:vAlign w:val="bottom"/>
            <w:hideMark/>
          </w:tcPr>
          <w:p w14:paraId="1A5B44FF" w14:textId="77777777" w:rsidR="005B1930" w:rsidRPr="005B1930" w:rsidRDefault="005B1930" w:rsidP="005B1930">
            <w:pPr>
              <w:rPr>
                <w:rFonts w:ascii="Arial" w:hAnsi="Arial" w:cs="Arial"/>
                <w:color w:val="000000"/>
              </w:rPr>
            </w:pPr>
            <w:r w:rsidRPr="005B1930">
              <w:rPr>
                <w:rFonts w:ascii="Arial" w:hAnsi="Arial" w:cs="Arial"/>
                <w:color w:val="000000"/>
              </w:rPr>
              <w:t>Medical revenue</w:t>
            </w:r>
          </w:p>
        </w:tc>
        <w:tc>
          <w:tcPr>
            <w:tcW w:w="246" w:type="dxa"/>
            <w:tcBorders>
              <w:top w:val="nil"/>
              <w:left w:val="nil"/>
              <w:bottom w:val="nil"/>
              <w:right w:val="nil"/>
            </w:tcBorders>
            <w:shd w:val="clear" w:color="auto" w:fill="auto"/>
            <w:noWrap/>
            <w:vAlign w:val="bottom"/>
            <w:hideMark/>
          </w:tcPr>
          <w:p w14:paraId="3A72B57E"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5DA967DB" w14:textId="77777777" w:rsidR="005B1930" w:rsidRPr="005B1930" w:rsidRDefault="005B1930" w:rsidP="000A011E">
            <w:pPr>
              <w:jc w:val="right"/>
              <w:rPr>
                <w:rFonts w:ascii="Arial" w:hAnsi="Arial" w:cs="Arial"/>
              </w:rPr>
            </w:pPr>
          </w:p>
        </w:tc>
        <w:tc>
          <w:tcPr>
            <w:tcW w:w="1475" w:type="dxa"/>
            <w:tcBorders>
              <w:top w:val="nil"/>
              <w:left w:val="nil"/>
              <w:bottom w:val="nil"/>
              <w:right w:val="nil"/>
            </w:tcBorders>
            <w:shd w:val="clear" w:color="auto" w:fill="auto"/>
            <w:noWrap/>
            <w:vAlign w:val="bottom"/>
            <w:hideMark/>
          </w:tcPr>
          <w:p w14:paraId="47022888" w14:textId="77777777" w:rsidR="005B1930" w:rsidRPr="005B1930" w:rsidRDefault="005B1930" w:rsidP="000A011E">
            <w:pPr>
              <w:jc w:val="right"/>
              <w:rPr>
                <w:rFonts w:ascii="Arial" w:hAnsi="Arial" w:cs="Arial"/>
              </w:rPr>
            </w:pPr>
          </w:p>
        </w:tc>
        <w:tc>
          <w:tcPr>
            <w:tcW w:w="246" w:type="dxa"/>
            <w:tcBorders>
              <w:top w:val="nil"/>
              <w:left w:val="nil"/>
              <w:bottom w:val="nil"/>
              <w:right w:val="nil"/>
            </w:tcBorders>
            <w:shd w:val="clear" w:color="auto" w:fill="auto"/>
            <w:noWrap/>
            <w:vAlign w:val="bottom"/>
            <w:hideMark/>
          </w:tcPr>
          <w:p w14:paraId="38D9B96E" w14:textId="77777777" w:rsidR="005B1930" w:rsidRPr="005B1930" w:rsidRDefault="005B1930" w:rsidP="000A011E">
            <w:pPr>
              <w:jc w:val="right"/>
              <w:rPr>
                <w:rFonts w:ascii="Arial" w:hAnsi="Arial" w:cs="Arial"/>
              </w:rPr>
            </w:pPr>
          </w:p>
        </w:tc>
        <w:tc>
          <w:tcPr>
            <w:tcW w:w="1373" w:type="dxa"/>
            <w:tcBorders>
              <w:top w:val="nil"/>
              <w:left w:val="nil"/>
              <w:bottom w:val="nil"/>
              <w:right w:val="nil"/>
            </w:tcBorders>
            <w:shd w:val="clear" w:color="auto" w:fill="auto"/>
            <w:noWrap/>
            <w:vAlign w:val="bottom"/>
            <w:hideMark/>
          </w:tcPr>
          <w:p w14:paraId="13AB8A81" w14:textId="77777777" w:rsidR="005B1930" w:rsidRPr="005B1930" w:rsidRDefault="005B1930" w:rsidP="000A011E">
            <w:pPr>
              <w:jc w:val="right"/>
              <w:rPr>
                <w:rFonts w:ascii="Arial" w:hAnsi="Arial" w:cs="Arial"/>
              </w:rPr>
            </w:pPr>
          </w:p>
        </w:tc>
        <w:tc>
          <w:tcPr>
            <w:tcW w:w="1475" w:type="dxa"/>
            <w:tcBorders>
              <w:top w:val="nil"/>
              <w:left w:val="nil"/>
              <w:bottom w:val="nil"/>
              <w:right w:val="nil"/>
            </w:tcBorders>
            <w:shd w:val="clear" w:color="auto" w:fill="auto"/>
            <w:noWrap/>
            <w:vAlign w:val="bottom"/>
            <w:hideMark/>
          </w:tcPr>
          <w:p w14:paraId="36ED2CAA" w14:textId="77777777" w:rsidR="005B1930" w:rsidRPr="005B1930" w:rsidRDefault="005B1930" w:rsidP="000A011E">
            <w:pPr>
              <w:jc w:val="right"/>
              <w:rPr>
                <w:rFonts w:ascii="Arial" w:hAnsi="Arial" w:cs="Arial"/>
              </w:rPr>
            </w:pPr>
          </w:p>
        </w:tc>
      </w:tr>
      <w:tr w:rsidR="005B1930" w:rsidRPr="005B1930" w14:paraId="05406E9B" w14:textId="77777777" w:rsidTr="008F5B5F">
        <w:trPr>
          <w:trHeight w:val="204"/>
          <w:tblHeader/>
        </w:trPr>
        <w:tc>
          <w:tcPr>
            <w:tcW w:w="246" w:type="dxa"/>
            <w:tcBorders>
              <w:top w:val="nil"/>
              <w:left w:val="nil"/>
              <w:bottom w:val="nil"/>
              <w:right w:val="nil"/>
            </w:tcBorders>
            <w:shd w:val="clear" w:color="auto" w:fill="auto"/>
            <w:noWrap/>
            <w:vAlign w:val="bottom"/>
            <w:hideMark/>
          </w:tcPr>
          <w:p w14:paraId="32BCD8CB" w14:textId="77777777" w:rsidR="005B1930" w:rsidRPr="005B1930" w:rsidRDefault="005B1930" w:rsidP="005B1930">
            <w:pPr>
              <w:rPr>
                <w:rFonts w:ascii="Arial" w:hAnsi="Arial" w:cs="Arial"/>
              </w:rPr>
            </w:pPr>
          </w:p>
        </w:tc>
        <w:tc>
          <w:tcPr>
            <w:tcW w:w="2649" w:type="dxa"/>
            <w:tcBorders>
              <w:top w:val="nil"/>
              <w:left w:val="nil"/>
              <w:bottom w:val="nil"/>
              <w:right w:val="nil"/>
            </w:tcBorders>
            <w:shd w:val="clear" w:color="auto" w:fill="auto"/>
            <w:noWrap/>
            <w:vAlign w:val="bottom"/>
            <w:hideMark/>
          </w:tcPr>
          <w:p w14:paraId="11D5BD97" w14:textId="77777777" w:rsidR="005B1930" w:rsidRPr="005B1930" w:rsidRDefault="005B1930" w:rsidP="005B1930">
            <w:pPr>
              <w:rPr>
                <w:rFonts w:ascii="Arial" w:hAnsi="Arial" w:cs="Arial"/>
                <w:color w:val="000000"/>
              </w:rPr>
            </w:pPr>
            <w:r w:rsidRPr="005B1930">
              <w:rPr>
                <w:rFonts w:ascii="Arial" w:hAnsi="Arial" w:cs="Arial"/>
                <w:color w:val="000000"/>
              </w:rPr>
              <w:t>Canadian</w:t>
            </w:r>
          </w:p>
        </w:tc>
        <w:tc>
          <w:tcPr>
            <w:tcW w:w="246" w:type="dxa"/>
            <w:tcBorders>
              <w:top w:val="nil"/>
              <w:left w:val="nil"/>
              <w:bottom w:val="nil"/>
              <w:right w:val="nil"/>
            </w:tcBorders>
            <w:shd w:val="clear" w:color="auto" w:fill="auto"/>
            <w:noWrap/>
            <w:vAlign w:val="bottom"/>
            <w:hideMark/>
          </w:tcPr>
          <w:p w14:paraId="4FD6F52A"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048825A7" w14:textId="72C53751" w:rsidR="005B1930" w:rsidRPr="005B1930" w:rsidRDefault="005B1930" w:rsidP="000A011E">
            <w:pPr>
              <w:jc w:val="right"/>
              <w:rPr>
                <w:rFonts w:ascii="Arial" w:hAnsi="Arial" w:cs="Arial"/>
                <w:b/>
                <w:bCs/>
                <w:color w:val="000000"/>
              </w:rPr>
            </w:pPr>
            <w:r w:rsidRPr="005B1930">
              <w:rPr>
                <w:rFonts w:ascii="Arial" w:hAnsi="Arial" w:cs="Arial"/>
                <w:b/>
                <w:bCs/>
                <w:color w:val="000000"/>
              </w:rPr>
              <w:t>14,149</w:t>
            </w:r>
          </w:p>
        </w:tc>
        <w:tc>
          <w:tcPr>
            <w:tcW w:w="1475" w:type="dxa"/>
            <w:tcBorders>
              <w:top w:val="nil"/>
              <w:left w:val="nil"/>
              <w:bottom w:val="nil"/>
              <w:right w:val="nil"/>
            </w:tcBorders>
            <w:shd w:val="clear" w:color="auto" w:fill="auto"/>
            <w:noWrap/>
            <w:vAlign w:val="bottom"/>
            <w:hideMark/>
          </w:tcPr>
          <w:p w14:paraId="76191F87" w14:textId="6E814BCE" w:rsidR="005B1930" w:rsidRPr="005B1930" w:rsidRDefault="005B1930" w:rsidP="000A011E">
            <w:pPr>
              <w:jc w:val="right"/>
              <w:rPr>
                <w:rFonts w:ascii="Arial" w:hAnsi="Arial" w:cs="Arial"/>
                <w:color w:val="000000"/>
              </w:rPr>
            </w:pPr>
            <w:r w:rsidRPr="005B1930">
              <w:rPr>
                <w:rFonts w:ascii="Arial" w:hAnsi="Arial" w:cs="Arial"/>
                <w:color w:val="000000"/>
              </w:rPr>
              <w:t>19,903</w:t>
            </w:r>
          </w:p>
        </w:tc>
        <w:tc>
          <w:tcPr>
            <w:tcW w:w="246" w:type="dxa"/>
            <w:tcBorders>
              <w:top w:val="nil"/>
              <w:left w:val="nil"/>
              <w:bottom w:val="nil"/>
              <w:right w:val="nil"/>
            </w:tcBorders>
            <w:shd w:val="clear" w:color="auto" w:fill="auto"/>
            <w:noWrap/>
            <w:vAlign w:val="bottom"/>
            <w:hideMark/>
          </w:tcPr>
          <w:p w14:paraId="3CDB7029"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496AA0F2" w14:textId="334F6F81" w:rsidR="005B1930" w:rsidRPr="005B1930" w:rsidRDefault="005B1930" w:rsidP="000A011E">
            <w:pPr>
              <w:jc w:val="right"/>
              <w:rPr>
                <w:rFonts w:ascii="Arial" w:hAnsi="Arial" w:cs="Arial"/>
                <w:b/>
                <w:bCs/>
                <w:color w:val="000000"/>
              </w:rPr>
            </w:pPr>
            <w:r w:rsidRPr="005B1930">
              <w:rPr>
                <w:rFonts w:ascii="Arial" w:hAnsi="Arial" w:cs="Arial"/>
                <w:b/>
                <w:bCs/>
                <w:color w:val="000000"/>
              </w:rPr>
              <w:t>27,200</w:t>
            </w:r>
          </w:p>
        </w:tc>
        <w:tc>
          <w:tcPr>
            <w:tcW w:w="1475" w:type="dxa"/>
            <w:tcBorders>
              <w:top w:val="nil"/>
              <w:left w:val="nil"/>
              <w:bottom w:val="nil"/>
              <w:right w:val="nil"/>
            </w:tcBorders>
            <w:shd w:val="clear" w:color="auto" w:fill="auto"/>
            <w:noWrap/>
            <w:vAlign w:val="bottom"/>
            <w:hideMark/>
          </w:tcPr>
          <w:p w14:paraId="1AAD4BC4" w14:textId="028137F8" w:rsidR="005B1930" w:rsidRPr="005B1930" w:rsidRDefault="005B1930" w:rsidP="000A011E">
            <w:pPr>
              <w:jc w:val="right"/>
              <w:rPr>
                <w:rFonts w:ascii="Arial" w:hAnsi="Arial" w:cs="Arial"/>
                <w:color w:val="000000"/>
              </w:rPr>
            </w:pPr>
            <w:r w:rsidRPr="005B1930">
              <w:rPr>
                <w:rFonts w:ascii="Arial" w:hAnsi="Arial" w:cs="Arial"/>
                <w:color w:val="000000"/>
              </w:rPr>
              <w:t>41,267</w:t>
            </w:r>
          </w:p>
        </w:tc>
      </w:tr>
      <w:tr w:rsidR="005B1930" w:rsidRPr="005B1930" w14:paraId="0369D626" w14:textId="77777777" w:rsidTr="008F5B5F">
        <w:trPr>
          <w:trHeight w:val="204"/>
          <w:tblHeader/>
        </w:trPr>
        <w:tc>
          <w:tcPr>
            <w:tcW w:w="246" w:type="dxa"/>
            <w:tcBorders>
              <w:top w:val="nil"/>
              <w:left w:val="nil"/>
              <w:bottom w:val="nil"/>
              <w:right w:val="nil"/>
            </w:tcBorders>
            <w:shd w:val="clear" w:color="auto" w:fill="auto"/>
            <w:noWrap/>
            <w:vAlign w:val="bottom"/>
            <w:hideMark/>
          </w:tcPr>
          <w:p w14:paraId="13DFDFF7" w14:textId="77777777" w:rsidR="005B1930" w:rsidRPr="005B1930" w:rsidRDefault="005B1930" w:rsidP="005B1930">
            <w:pPr>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0E9FCE4A" w14:textId="77777777" w:rsidR="005B1930" w:rsidRPr="005B1930" w:rsidRDefault="005B1930" w:rsidP="005B1930">
            <w:pPr>
              <w:rPr>
                <w:rFonts w:ascii="Arial" w:hAnsi="Arial" w:cs="Arial"/>
                <w:color w:val="000000"/>
              </w:rPr>
            </w:pPr>
            <w:r w:rsidRPr="005B1930">
              <w:rPr>
                <w:rFonts w:ascii="Arial" w:hAnsi="Arial" w:cs="Arial"/>
                <w:color w:val="000000"/>
              </w:rPr>
              <w:t>International</w:t>
            </w:r>
          </w:p>
        </w:tc>
        <w:tc>
          <w:tcPr>
            <w:tcW w:w="246" w:type="dxa"/>
            <w:tcBorders>
              <w:top w:val="nil"/>
              <w:left w:val="nil"/>
              <w:bottom w:val="nil"/>
              <w:right w:val="nil"/>
            </w:tcBorders>
            <w:shd w:val="clear" w:color="auto" w:fill="auto"/>
            <w:noWrap/>
            <w:vAlign w:val="bottom"/>
            <w:hideMark/>
          </w:tcPr>
          <w:p w14:paraId="23B9B245"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25F8BC30" w14:textId="12E8042E" w:rsidR="005B1930" w:rsidRPr="005B1930" w:rsidRDefault="005B1930" w:rsidP="000A011E">
            <w:pPr>
              <w:jc w:val="right"/>
              <w:rPr>
                <w:rFonts w:ascii="Arial" w:hAnsi="Arial" w:cs="Arial"/>
                <w:b/>
                <w:bCs/>
                <w:color w:val="000000"/>
              </w:rPr>
            </w:pPr>
            <w:r w:rsidRPr="005B1930">
              <w:rPr>
                <w:rFonts w:ascii="Arial" w:hAnsi="Arial" w:cs="Arial"/>
                <w:b/>
                <w:bCs/>
                <w:color w:val="000000"/>
              </w:rPr>
              <w:t>18,090</w:t>
            </w:r>
          </w:p>
        </w:tc>
        <w:tc>
          <w:tcPr>
            <w:tcW w:w="1475" w:type="dxa"/>
            <w:tcBorders>
              <w:top w:val="nil"/>
              <w:left w:val="nil"/>
              <w:bottom w:val="nil"/>
              <w:right w:val="nil"/>
            </w:tcBorders>
            <w:shd w:val="clear" w:color="auto" w:fill="auto"/>
            <w:noWrap/>
            <w:vAlign w:val="bottom"/>
            <w:hideMark/>
          </w:tcPr>
          <w:p w14:paraId="52583CFA" w14:textId="7146218F" w:rsidR="005B1930" w:rsidRPr="005B1930" w:rsidRDefault="005B1930" w:rsidP="000A011E">
            <w:pPr>
              <w:jc w:val="right"/>
              <w:rPr>
                <w:rFonts w:ascii="Arial" w:hAnsi="Arial" w:cs="Arial"/>
                <w:color w:val="000000"/>
              </w:rPr>
            </w:pPr>
            <w:r w:rsidRPr="005B1930">
              <w:rPr>
                <w:rFonts w:ascii="Arial" w:hAnsi="Arial" w:cs="Arial"/>
                <w:color w:val="000000"/>
              </w:rPr>
              <w:t>2,222</w:t>
            </w:r>
          </w:p>
        </w:tc>
        <w:tc>
          <w:tcPr>
            <w:tcW w:w="246" w:type="dxa"/>
            <w:tcBorders>
              <w:top w:val="nil"/>
              <w:left w:val="nil"/>
              <w:bottom w:val="nil"/>
              <w:right w:val="nil"/>
            </w:tcBorders>
            <w:shd w:val="clear" w:color="auto" w:fill="auto"/>
            <w:noWrap/>
            <w:vAlign w:val="bottom"/>
            <w:hideMark/>
          </w:tcPr>
          <w:p w14:paraId="1E281DDC"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040E4F00" w14:textId="097563CF" w:rsidR="005B1930" w:rsidRPr="005B1930" w:rsidRDefault="005B1930" w:rsidP="000A011E">
            <w:pPr>
              <w:jc w:val="right"/>
              <w:rPr>
                <w:rFonts w:ascii="Arial" w:hAnsi="Arial" w:cs="Arial"/>
                <w:b/>
                <w:bCs/>
                <w:color w:val="000000"/>
              </w:rPr>
            </w:pPr>
            <w:r w:rsidRPr="005B1930">
              <w:rPr>
                <w:rFonts w:ascii="Arial" w:hAnsi="Arial" w:cs="Arial"/>
                <w:b/>
                <w:bCs/>
                <w:color w:val="000000"/>
              </w:rPr>
              <w:t>28,586</w:t>
            </w:r>
          </w:p>
        </w:tc>
        <w:tc>
          <w:tcPr>
            <w:tcW w:w="1475" w:type="dxa"/>
            <w:tcBorders>
              <w:top w:val="nil"/>
              <w:left w:val="nil"/>
              <w:bottom w:val="nil"/>
              <w:right w:val="nil"/>
            </w:tcBorders>
            <w:shd w:val="clear" w:color="auto" w:fill="auto"/>
            <w:noWrap/>
            <w:vAlign w:val="bottom"/>
            <w:hideMark/>
          </w:tcPr>
          <w:p w14:paraId="33F970D1" w14:textId="64253578" w:rsidR="005B1930" w:rsidRPr="005B1930" w:rsidRDefault="005B1930" w:rsidP="000A011E">
            <w:pPr>
              <w:jc w:val="right"/>
              <w:rPr>
                <w:rFonts w:ascii="Arial" w:hAnsi="Arial" w:cs="Arial"/>
                <w:color w:val="000000"/>
              </w:rPr>
            </w:pPr>
            <w:r w:rsidRPr="005B1930">
              <w:rPr>
                <w:rFonts w:ascii="Arial" w:hAnsi="Arial" w:cs="Arial"/>
                <w:color w:val="000000"/>
              </w:rPr>
              <w:t>5,592</w:t>
            </w:r>
          </w:p>
        </w:tc>
      </w:tr>
      <w:tr w:rsidR="005B1930" w:rsidRPr="005B1930" w14:paraId="64F807DA" w14:textId="77777777" w:rsidTr="008F5B5F">
        <w:trPr>
          <w:trHeight w:val="204"/>
          <w:tblHeader/>
        </w:trPr>
        <w:tc>
          <w:tcPr>
            <w:tcW w:w="2895" w:type="dxa"/>
            <w:gridSpan w:val="2"/>
            <w:tcBorders>
              <w:top w:val="nil"/>
              <w:left w:val="nil"/>
              <w:bottom w:val="single" w:sz="4" w:space="0" w:color="auto"/>
              <w:right w:val="nil"/>
            </w:tcBorders>
            <w:shd w:val="clear" w:color="auto" w:fill="auto"/>
            <w:noWrap/>
            <w:vAlign w:val="bottom"/>
            <w:hideMark/>
          </w:tcPr>
          <w:p w14:paraId="0E492994" w14:textId="77777777" w:rsidR="005B1930" w:rsidRPr="005B1930" w:rsidRDefault="005B1930" w:rsidP="005B1930">
            <w:pPr>
              <w:rPr>
                <w:rFonts w:ascii="Arial" w:hAnsi="Arial" w:cs="Arial"/>
                <w:color w:val="000000"/>
              </w:rPr>
            </w:pPr>
            <w:r w:rsidRPr="005B1930">
              <w:rPr>
                <w:rFonts w:ascii="Arial" w:hAnsi="Arial" w:cs="Arial"/>
                <w:color w:val="000000"/>
              </w:rPr>
              <w:t>Other revenue</w:t>
            </w:r>
          </w:p>
        </w:tc>
        <w:tc>
          <w:tcPr>
            <w:tcW w:w="246" w:type="dxa"/>
            <w:tcBorders>
              <w:top w:val="nil"/>
              <w:left w:val="nil"/>
              <w:bottom w:val="single" w:sz="4" w:space="0" w:color="auto"/>
              <w:right w:val="nil"/>
            </w:tcBorders>
            <w:shd w:val="clear" w:color="auto" w:fill="auto"/>
            <w:noWrap/>
            <w:vAlign w:val="bottom"/>
            <w:hideMark/>
          </w:tcPr>
          <w:p w14:paraId="27CCC7F7"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386" w:type="dxa"/>
            <w:tcBorders>
              <w:top w:val="nil"/>
              <w:left w:val="nil"/>
              <w:bottom w:val="single" w:sz="4" w:space="0" w:color="auto"/>
              <w:right w:val="nil"/>
            </w:tcBorders>
            <w:shd w:val="clear" w:color="auto" w:fill="auto"/>
            <w:noWrap/>
            <w:vAlign w:val="bottom"/>
            <w:hideMark/>
          </w:tcPr>
          <w:p w14:paraId="76202738" w14:textId="69F525F6" w:rsidR="005B1930" w:rsidRPr="005B1930" w:rsidRDefault="005B1930" w:rsidP="000A011E">
            <w:pPr>
              <w:jc w:val="right"/>
              <w:rPr>
                <w:rFonts w:ascii="Arial" w:hAnsi="Arial" w:cs="Arial"/>
                <w:b/>
                <w:bCs/>
                <w:color w:val="000000"/>
              </w:rPr>
            </w:pPr>
            <w:r w:rsidRPr="005B1930">
              <w:rPr>
                <w:rFonts w:ascii="Arial" w:hAnsi="Arial" w:cs="Arial"/>
                <w:b/>
                <w:bCs/>
                <w:color w:val="000000"/>
              </w:rPr>
              <w:t>23,605</w:t>
            </w:r>
          </w:p>
        </w:tc>
        <w:tc>
          <w:tcPr>
            <w:tcW w:w="1475" w:type="dxa"/>
            <w:tcBorders>
              <w:top w:val="nil"/>
              <w:left w:val="nil"/>
              <w:bottom w:val="single" w:sz="4" w:space="0" w:color="auto"/>
              <w:right w:val="nil"/>
            </w:tcBorders>
            <w:shd w:val="clear" w:color="auto" w:fill="auto"/>
            <w:noWrap/>
            <w:vAlign w:val="bottom"/>
            <w:hideMark/>
          </w:tcPr>
          <w:p w14:paraId="4A8D7D0A" w14:textId="2A825161" w:rsidR="005B1930" w:rsidRPr="005B1930" w:rsidRDefault="005B1930" w:rsidP="000A011E">
            <w:pPr>
              <w:jc w:val="right"/>
              <w:rPr>
                <w:rFonts w:ascii="Arial" w:hAnsi="Arial" w:cs="Arial"/>
                <w:color w:val="000000"/>
              </w:rPr>
            </w:pPr>
            <w:r w:rsidRPr="005B1930">
              <w:rPr>
                <w:rFonts w:ascii="Arial" w:hAnsi="Arial" w:cs="Arial"/>
                <w:color w:val="000000"/>
              </w:rPr>
              <w:t>1,202</w:t>
            </w:r>
          </w:p>
        </w:tc>
        <w:tc>
          <w:tcPr>
            <w:tcW w:w="246" w:type="dxa"/>
            <w:tcBorders>
              <w:top w:val="nil"/>
              <w:left w:val="nil"/>
              <w:bottom w:val="single" w:sz="4" w:space="0" w:color="auto"/>
              <w:right w:val="nil"/>
            </w:tcBorders>
            <w:shd w:val="clear" w:color="auto" w:fill="auto"/>
            <w:noWrap/>
            <w:vAlign w:val="bottom"/>
            <w:hideMark/>
          </w:tcPr>
          <w:p w14:paraId="3102BF7A" w14:textId="77777777" w:rsidR="005B1930" w:rsidRPr="005B1930" w:rsidRDefault="005B1930" w:rsidP="000A011E">
            <w:pPr>
              <w:jc w:val="right"/>
              <w:rPr>
                <w:rFonts w:ascii="Arial" w:hAnsi="Arial" w:cs="Arial"/>
                <w:color w:val="000000"/>
              </w:rPr>
            </w:pPr>
            <w:r w:rsidRPr="005B1930">
              <w:rPr>
                <w:rFonts w:ascii="Arial" w:hAnsi="Arial" w:cs="Arial"/>
                <w:color w:val="000000"/>
              </w:rPr>
              <w:t> </w:t>
            </w:r>
          </w:p>
        </w:tc>
        <w:tc>
          <w:tcPr>
            <w:tcW w:w="1373" w:type="dxa"/>
            <w:tcBorders>
              <w:top w:val="nil"/>
              <w:left w:val="nil"/>
              <w:bottom w:val="single" w:sz="4" w:space="0" w:color="auto"/>
              <w:right w:val="nil"/>
            </w:tcBorders>
            <w:shd w:val="clear" w:color="auto" w:fill="auto"/>
            <w:noWrap/>
            <w:vAlign w:val="bottom"/>
            <w:hideMark/>
          </w:tcPr>
          <w:p w14:paraId="517872CD" w14:textId="7782BBA9" w:rsidR="005B1930" w:rsidRPr="005B1930" w:rsidRDefault="005B1930" w:rsidP="000A011E">
            <w:pPr>
              <w:jc w:val="right"/>
              <w:rPr>
                <w:rFonts w:ascii="Arial" w:hAnsi="Arial" w:cs="Arial"/>
                <w:b/>
                <w:bCs/>
                <w:color w:val="000000"/>
              </w:rPr>
            </w:pPr>
            <w:r w:rsidRPr="005B1930">
              <w:rPr>
                <w:rFonts w:ascii="Arial" w:hAnsi="Arial" w:cs="Arial"/>
                <w:b/>
                <w:bCs/>
                <w:color w:val="000000"/>
              </w:rPr>
              <w:t>42,386</w:t>
            </w:r>
          </w:p>
        </w:tc>
        <w:tc>
          <w:tcPr>
            <w:tcW w:w="1475" w:type="dxa"/>
            <w:tcBorders>
              <w:top w:val="nil"/>
              <w:left w:val="nil"/>
              <w:bottom w:val="single" w:sz="4" w:space="0" w:color="auto"/>
              <w:right w:val="nil"/>
            </w:tcBorders>
            <w:shd w:val="clear" w:color="auto" w:fill="auto"/>
            <w:noWrap/>
            <w:vAlign w:val="bottom"/>
            <w:hideMark/>
          </w:tcPr>
          <w:p w14:paraId="14D90741" w14:textId="324CC829" w:rsidR="005B1930" w:rsidRPr="005B1930" w:rsidRDefault="005B1930" w:rsidP="000A011E">
            <w:pPr>
              <w:jc w:val="right"/>
              <w:rPr>
                <w:rFonts w:ascii="Arial" w:hAnsi="Arial" w:cs="Arial"/>
                <w:color w:val="000000"/>
              </w:rPr>
            </w:pPr>
            <w:r w:rsidRPr="005B1930">
              <w:rPr>
                <w:rFonts w:ascii="Arial" w:hAnsi="Arial" w:cs="Arial"/>
                <w:color w:val="000000"/>
              </w:rPr>
              <w:t>2,384</w:t>
            </w:r>
          </w:p>
        </w:tc>
      </w:tr>
      <w:tr w:rsidR="005B1930" w:rsidRPr="005B1930" w14:paraId="3BEB7A8C" w14:textId="77777777" w:rsidTr="008F5B5F">
        <w:trPr>
          <w:trHeight w:val="204"/>
          <w:tblHeader/>
        </w:trPr>
        <w:tc>
          <w:tcPr>
            <w:tcW w:w="246" w:type="dxa"/>
            <w:tcBorders>
              <w:top w:val="nil"/>
              <w:left w:val="nil"/>
              <w:bottom w:val="nil"/>
              <w:right w:val="nil"/>
            </w:tcBorders>
            <w:shd w:val="clear" w:color="auto" w:fill="auto"/>
            <w:noWrap/>
            <w:vAlign w:val="bottom"/>
            <w:hideMark/>
          </w:tcPr>
          <w:p w14:paraId="1A521BBA" w14:textId="77777777" w:rsidR="005B1930" w:rsidRPr="005B1930" w:rsidRDefault="005B1930" w:rsidP="005B1930">
            <w:pPr>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5AFE66C4"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6CB94FE2" w14:textId="77777777" w:rsidR="005B1930" w:rsidRPr="005B1930" w:rsidRDefault="005B1930" w:rsidP="005B1930">
            <w:pPr>
              <w:rPr>
                <w:rFonts w:ascii="Arial" w:hAnsi="Arial" w:cs="Arial"/>
              </w:rPr>
            </w:pPr>
          </w:p>
        </w:tc>
        <w:tc>
          <w:tcPr>
            <w:tcW w:w="1386" w:type="dxa"/>
            <w:tcBorders>
              <w:top w:val="nil"/>
              <w:left w:val="nil"/>
              <w:bottom w:val="nil"/>
              <w:right w:val="nil"/>
            </w:tcBorders>
            <w:shd w:val="clear" w:color="auto" w:fill="auto"/>
            <w:noWrap/>
            <w:vAlign w:val="bottom"/>
            <w:hideMark/>
          </w:tcPr>
          <w:p w14:paraId="1C3A7369" w14:textId="77777777" w:rsidR="005B1930" w:rsidRPr="005B1930" w:rsidRDefault="005B1930" w:rsidP="000A011E">
            <w:pPr>
              <w:jc w:val="right"/>
              <w:rPr>
                <w:rFonts w:ascii="Arial" w:hAnsi="Arial" w:cs="Arial"/>
              </w:rPr>
            </w:pPr>
          </w:p>
        </w:tc>
        <w:tc>
          <w:tcPr>
            <w:tcW w:w="1475" w:type="dxa"/>
            <w:tcBorders>
              <w:top w:val="nil"/>
              <w:left w:val="nil"/>
              <w:bottom w:val="nil"/>
              <w:right w:val="nil"/>
            </w:tcBorders>
            <w:shd w:val="clear" w:color="auto" w:fill="auto"/>
            <w:noWrap/>
            <w:vAlign w:val="bottom"/>
            <w:hideMark/>
          </w:tcPr>
          <w:p w14:paraId="096A429D" w14:textId="77777777" w:rsidR="005B1930" w:rsidRPr="005B1930" w:rsidRDefault="005B1930" w:rsidP="000A011E">
            <w:pPr>
              <w:jc w:val="right"/>
              <w:rPr>
                <w:rFonts w:ascii="Arial" w:hAnsi="Arial" w:cs="Arial"/>
              </w:rPr>
            </w:pPr>
          </w:p>
        </w:tc>
        <w:tc>
          <w:tcPr>
            <w:tcW w:w="246" w:type="dxa"/>
            <w:tcBorders>
              <w:top w:val="nil"/>
              <w:left w:val="nil"/>
              <w:bottom w:val="nil"/>
              <w:right w:val="nil"/>
            </w:tcBorders>
            <w:shd w:val="clear" w:color="auto" w:fill="auto"/>
            <w:noWrap/>
            <w:vAlign w:val="bottom"/>
            <w:hideMark/>
          </w:tcPr>
          <w:p w14:paraId="4C8A2EBE" w14:textId="77777777" w:rsidR="005B1930" w:rsidRPr="005B1930" w:rsidRDefault="005B1930" w:rsidP="000A011E">
            <w:pPr>
              <w:jc w:val="right"/>
              <w:rPr>
                <w:rFonts w:ascii="Arial" w:hAnsi="Arial" w:cs="Arial"/>
              </w:rPr>
            </w:pPr>
          </w:p>
        </w:tc>
        <w:tc>
          <w:tcPr>
            <w:tcW w:w="1373" w:type="dxa"/>
            <w:tcBorders>
              <w:top w:val="nil"/>
              <w:left w:val="nil"/>
              <w:bottom w:val="nil"/>
              <w:right w:val="nil"/>
            </w:tcBorders>
            <w:shd w:val="clear" w:color="auto" w:fill="auto"/>
            <w:noWrap/>
            <w:vAlign w:val="bottom"/>
            <w:hideMark/>
          </w:tcPr>
          <w:p w14:paraId="6C300138" w14:textId="77777777" w:rsidR="005B1930" w:rsidRPr="005B1930" w:rsidRDefault="005B1930" w:rsidP="000A011E">
            <w:pPr>
              <w:jc w:val="right"/>
              <w:rPr>
                <w:rFonts w:ascii="Arial" w:hAnsi="Arial" w:cs="Arial"/>
              </w:rPr>
            </w:pPr>
          </w:p>
        </w:tc>
        <w:tc>
          <w:tcPr>
            <w:tcW w:w="1475" w:type="dxa"/>
            <w:tcBorders>
              <w:top w:val="nil"/>
              <w:left w:val="nil"/>
              <w:bottom w:val="nil"/>
              <w:right w:val="nil"/>
            </w:tcBorders>
            <w:shd w:val="clear" w:color="auto" w:fill="auto"/>
            <w:noWrap/>
            <w:vAlign w:val="bottom"/>
            <w:hideMark/>
          </w:tcPr>
          <w:p w14:paraId="08ABA527" w14:textId="77777777" w:rsidR="005B1930" w:rsidRPr="005B1930" w:rsidRDefault="005B1930" w:rsidP="000A011E">
            <w:pPr>
              <w:jc w:val="right"/>
              <w:rPr>
                <w:rFonts w:ascii="Arial" w:hAnsi="Arial" w:cs="Arial"/>
              </w:rPr>
            </w:pPr>
          </w:p>
        </w:tc>
      </w:tr>
      <w:tr w:rsidR="005B1930" w:rsidRPr="005B1930" w14:paraId="5112F182" w14:textId="77777777" w:rsidTr="008F5B5F">
        <w:trPr>
          <w:trHeight w:val="204"/>
          <w:tblHeader/>
        </w:trPr>
        <w:tc>
          <w:tcPr>
            <w:tcW w:w="2895" w:type="dxa"/>
            <w:gridSpan w:val="2"/>
            <w:tcBorders>
              <w:top w:val="nil"/>
              <w:left w:val="nil"/>
              <w:bottom w:val="nil"/>
              <w:right w:val="nil"/>
            </w:tcBorders>
            <w:shd w:val="clear" w:color="auto" w:fill="auto"/>
            <w:noWrap/>
            <w:vAlign w:val="bottom"/>
            <w:hideMark/>
          </w:tcPr>
          <w:p w14:paraId="53C91B3C" w14:textId="77777777" w:rsidR="005B1930" w:rsidRPr="005B1930" w:rsidRDefault="005B1930" w:rsidP="005B1930">
            <w:pPr>
              <w:rPr>
                <w:rFonts w:ascii="Arial" w:hAnsi="Arial" w:cs="Arial"/>
                <w:color w:val="000000"/>
              </w:rPr>
            </w:pPr>
            <w:r w:rsidRPr="005B1930">
              <w:rPr>
                <w:rFonts w:ascii="Arial" w:hAnsi="Arial" w:cs="Arial"/>
                <w:color w:val="000000"/>
              </w:rPr>
              <w:t>Gross revenue</w:t>
            </w:r>
          </w:p>
        </w:tc>
        <w:tc>
          <w:tcPr>
            <w:tcW w:w="246" w:type="dxa"/>
            <w:tcBorders>
              <w:top w:val="nil"/>
              <w:left w:val="nil"/>
              <w:bottom w:val="nil"/>
              <w:right w:val="nil"/>
            </w:tcBorders>
            <w:shd w:val="clear" w:color="auto" w:fill="auto"/>
            <w:noWrap/>
            <w:vAlign w:val="bottom"/>
            <w:hideMark/>
          </w:tcPr>
          <w:p w14:paraId="6526A67C"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16CDCD26" w14:textId="7CBE329E" w:rsidR="005B1930" w:rsidRPr="005B1930" w:rsidRDefault="005B1930" w:rsidP="000A011E">
            <w:pPr>
              <w:jc w:val="right"/>
              <w:rPr>
                <w:rFonts w:ascii="Arial" w:hAnsi="Arial" w:cs="Arial"/>
                <w:b/>
                <w:bCs/>
                <w:color w:val="000000"/>
              </w:rPr>
            </w:pPr>
            <w:r w:rsidRPr="005B1930">
              <w:rPr>
                <w:rFonts w:ascii="Arial" w:hAnsi="Arial" w:cs="Arial"/>
                <w:b/>
                <w:bCs/>
                <w:color w:val="000000"/>
              </w:rPr>
              <w:t>85,621</w:t>
            </w:r>
          </w:p>
        </w:tc>
        <w:tc>
          <w:tcPr>
            <w:tcW w:w="1475" w:type="dxa"/>
            <w:tcBorders>
              <w:top w:val="nil"/>
              <w:left w:val="nil"/>
              <w:bottom w:val="nil"/>
              <w:right w:val="nil"/>
            </w:tcBorders>
            <w:shd w:val="clear" w:color="auto" w:fill="auto"/>
            <w:noWrap/>
            <w:vAlign w:val="bottom"/>
            <w:hideMark/>
          </w:tcPr>
          <w:p w14:paraId="7043E612" w14:textId="6478B567" w:rsidR="005B1930" w:rsidRPr="005B1930" w:rsidRDefault="005B1930" w:rsidP="000A011E">
            <w:pPr>
              <w:jc w:val="right"/>
              <w:rPr>
                <w:rFonts w:ascii="Arial" w:hAnsi="Arial" w:cs="Arial"/>
                <w:color w:val="000000"/>
              </w:rPr>
            </w:pPr>
            <w:r w:rsidRPr="005B1930">
              <w:rPr>
                <w:rFonts w:ascii="Arial" w:hAnsi="Arial" w:cs="Arial"/>
                <w:color w:val="000000"/>
              </w:rPr>
              <w:t>23,327</w:t>
            </w:r>
          </w:p>
        </w:tc>
        <w:tc>
          <w:tcPr>
            <w:tcW w:w="246" w:type="dxa"/>
            <w:tcBorders>
              <w:top w:val="nil"/>
              <w:left w:val="nil"/>
              <w:bottom w:val="nil"/>
              <w:right w:val="nil"/>
            </w:tcBorders>
            <w:shd w:val="clear" w:color="auto" w:fill="auto"/>
            <w:noWrap/>
            <w:vAlign w:val="bottom"/>
            <w:hideMark/>
          </w:tcPr>
          <w:p w14:paraId="77DE3460"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228C4030" w14:textId="3A4C9A84" w:rsidR="005B1930" w:rsidRPr="005B1930" w:rsidRDefault="005B1930" w:rsidP="000A011E">
            <w:pPr>
              <w:jc w:val="right"/>
              <w:rPr>
                <w:rFonts w:ascii="Arial" w:hAnsi="Arial" w:cs="Arial"/>
                <w:b/>
                <w:bCs/>
                <w:color w:val="000000"/>
              </w:rPr>
            </w:pPr>
            <w:r w:rsidRPr="005B1930">
              <w:rPr>
                <w:rFonts w:ascii="Arial" w:hAnsi="Arial" w:cs="Arial"/>
                <w:b/>
                <w:bCs/>
                <w:color w:val="000000"/>
              </w:rPr>
              <w:t>189,012</w:t>
            </w:r>
          </w:p>
        </w:tc>
        <w:tc>
          <w:tcPr>
            <w:tcW w:w="1475" w:type="dxa"/>
            <w:tcBorders>
              <w:top w:val="nil"/>
              <w:left w:val="nil"/>
              <w:bottom w:val="nil"/>
              <w:right w:val="nil"/>
            </w:tcBorders>
            <w:shd w:val="clear" w:color="auto" w:fill="auto"/>
            <w:noWrap/>
            <w:vAlign w:val="bottom"/>
            <w:hideMark/>
          </w:tcPr>
          <w:p w14:paraId="798727E8" w14:textId="46A7A709" w:rsidR="005B1930" w:rsidRPr="005B1930" w:rsidRDefault="005B1930" w:rsidP="000A011E">
            <w:pPr>
              <w:jc w:val="right"/>
              <w:rPr>
                <w:rFonts w:ascii="Arial" w:hAnsi="Arial" w:cs="Arial"/>
                <w:color w:val="000000"/>
              </w:rPr>
            </w:pPr>
            <w:r w:rsidRPr="005B1930">
              <w:rPr>
                <w:rFonts w:ascii="Arial" w:hAnsi="Arial" w:cs="Arial"/>
                <w:color w:val="000000"/>
              </w:rPr>
              <w:t>49,243</w:t>
            </w:r>
          </w:p>
        </w:tc>
      </w:tr>
      <w:tr w:rsidR="005B1930" w:rsidRPr="005B1930" w14:paraId="021790DC" w14:textId="77777777" w:rsidTr="008F5B5F">
        <w:trPr>
          <w:trHeight w:val="204"/>
          <w:tblHeader/>
        </w:trPr>
        <w:tc>
          <w:tcPr>
            <w:tcW w:w="246" w:type="dxa"/>
            <w:tcBorders>
              <w:top w:val="nil"/>
              <w:left w:val="nil"/>
              <w:bottom w:val="nil"/>
              <w:right w:val="nil"/>
            </w:tcBorders>
            <w:shd w:val="clear" w:color="auto" w:fill="auto"/>
            <w:noWrap/>
            <w:vAlign w:val="bottom"/>
            <w:hideMark/>
          </w:tcPr>
          <w:p w14:paraId="5EC7D660" w14:textId="77777777" w:rsidR="005B1930" w:rsidRPr="005B1930" w:rsidRDefault="005B1930" w:rsidP="005B1930">
            <w:pPr>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33780C06" w14:textId="77777777" w:rsidR="005B1930" w:rsidRPr="005B1930" w:rsidRDefault="005B1930" w:rsidP="005B1930">
            <w:pPr>
              <w:rPr>
                <w:rFonts w:ascii="Arial" w:hAnsi="Arial" w:cs="Arial"/>
                <w:color w:val="000000"/>
              </w:rPr>
            </w:pPr>
            <w:r w:rsidRPr="005B1930">
              <w:rPr>
                <w:rFonts w:ascii="Arial" w:hAnsi="Arial" w:cs="Arial"/>
                <w:color w:val="000000"/>
              </w:rPr>
              <w:t>Excise taxes</w:t>
            </w:r>
          </w:p>
        </w:tc>
        <w:tc>
          <w:tcPr>
            <w:tcW w:w="246" w:type="dxa"/>
            <w:tcBorders>
              <w:top w:val="nil"/>
              <w:left w:val="nil"/>
              <w:bottom w:val="nil"/>
              <w:right w:val="nil"/>
            </w:tcBorders>
            <w:shd w:val="clear" w:color="auto" w:fill="auto"/>
            <w:noWrap/>
            <w:vAlign w:val="bottom"/>
            <w:hideMark/>
          </w:tcPr>
          <w:p w14:paraId="1F721248" w14:textId="77777777" w:rsidR="005B1930" w:rsidRPr="005B1930" w:rsidRDefault="005B1930" w:rsidP="005B1930">
            <w:pPr>
              <w:rPr>
                <w:rFonts w:ascii="Arial" w:hAnsi="Arial" w:cs="Arial"/>
                <w:color w:val="000000"/>
              </w:rPr>
            </w:pPr>
          </w:p>
        </w:tc>
        <w:tc>
          <w:tcPr>
            <w:tcW w:w="1386" w:type="dxa"/>
            <w:tcBorders>
              <w:top w:val="nil"/>
              <w:left w:val="nil"/>
              <w:bottom w:val="nil"/>
              <w:right w:val="nil"/>
            </w:tcBorders>
            <w:shd w:val="clear" w:color="auto" w:fill="auto"/>
            <w:noWrap/>
            <w:vAlign w:val="bottom"/>
            <w:hideMark/>
          </w:tcPr>
          <w:p w14:paraId="76340E4C" w14:textId="27A8D8F4" w:rsidR="005B1930" w:rsidRPr="005B1930" w:rsidRDefault="005B1930" w:rsidP="000A011E">
            <w:pPr>
              <w:jc w:val="right"/>
              <w:rPr>
                <w:rFonts w:ascii="Arial" w:hAnsi="Arial" w:cs="Arial"/>
                <w:b/>
                <w:bCs/>
                <w:color w:val="000000"/>
              </w:rPr>
            </w:pPr>
            <w:r w:rsidRPr="005B1930">
              <w:rPr>
                <w:rFonts w:ascii="Arial" w:hAnsi="Arial" w:cs="Arial"/>
                <w:b/>
                <w:bCs/>
                <w:color w:val="000000"/>
              </w:rPr>
              <w:t>9,008</w:t>
            </w:r>
          </w:p>
        </w:tc>
        <w:tc>
          <w:tcPr>
            <w:tcW w:w="1475" w:type="dxa"/>
            <w:tcBorders>
              <w:top w:val="nil"/>
              <w:left w:val="nil"/>
              <w:bottom w:val="nil"/>
              <w:right w:val="nil"/>
            </w:tcBorders>
            <w:shd w:val="clear" w:color="auto" w:fill="auto"/>
            <w:noWrap/>
            <w:vAlign w:val="bottom"/>
            <w:hideMark/>
          </w:tcPr>
          <w:p w14:paraId="46157803" w14:textId="11B13ECE" w:rsidR="005B1930" w:rsidRPr="005B1930" w:rsidRDefault="005B1930" w:rsidP="000A011E">
            <w:pPr>
              <w:jc w:val="right"/>
              <w:rPr>
                <w:rFonts w:ascii="Arial" w:hAnsi="Arial" w:cs="Arial"/>
                <w:color w:val="000000"/>
              </w:rPr>
            </w:pPr>
            <w:r w:rsidRPr="005B1930">
              <w:rPr>
                <w:rFonts w:ascii="Arial" w:hAnsi="Arial" w:cs="Arial"/>
                <w:color w:val="000000"/>
              </w:rPr>
              <w:t>-</w:t>
            </w:r>
          </w:p>
        </w:tc>
        <w:tc>
          <w:tcPr>
            <w:tcW w:w="246" w:type="dxa"/>
            <w:tcBorders>
              <w:top w:val="nil"/>
              <w:left w:val="nil"/>
              <w:bottom w:val="nil"/>
              <w:right w:val="nil"/>
            </w:tcBorders>
            <w:shd w:val="clear" w:color="auto" w:fill="auto"/>
            <w:noWrap/>
            <w:vAlign w:val="bottom"/>
            <w:hideMark/>
          </w:tcPr>
          <w:p w14:paraId="40A9F56A" w14:textId="77777777" w:rsidR="005B1930" w:rsidRPr="005B1930" w:rsidRDefault="005B1930" w:rsidP="000A011E">
            <w:pPr>
              <w:jc w:val="right"/>
              <w:rPr>
                <w:rFonts w:ascii="Arial" w:hAnsi="Arial" w:cs="Arial"/>
                <w:color w:val="000000"/>
              </w:rPr>
            </w:pPr>
          </w:p>
        </w:tc>
        <w:tc>
          <w:tcPr>
            <w:tcW w:w="1373" w:type="dxa"/>
            <w:tcBorders>
              <w:top w:val="nil"/>
              <w:left w:val="nil"/>
              <w:bottom w:val="nil"/>
              <w:right w:val="nil"/>
            </w:tcBorders>
            <w:shd w:val="clear" w:color="auto" w:fill="auto"/>
            <w:noWrap/>
            <w:vAlign w:val="bottom"/>
            <w:hideMark/>
          </w:tcPr>
          <w:p w14:paraId="5338B3AE" w14:textId="77777777" w:rsidR="005B1930" w:rsidRPr="005B1930" w:rsidRDefault="005B1930" w:rsidP="000A011E">
            <w:pPr>
              <w:jc w:val="right"/>
              <w:rPr>
                <w:rFonts w:ascii="Arial" w:hAnsi="Arial" w:cs="Arial"/>
                <w:b/>
                <w:bCs/>
                <w:color w:val="000000"/>
              </w:rPr>
            </w:pPr>
            <w:r w:rsidRPr="005B1930">
              <w:rPr>
                <w:rFonts w:ascii="Arial" w:hAnsi="Arial" w:cs="Arial"/>
                <w:b/>
                <w:bCs/>
                <w:color w:val="000000"/>
              </w:rPr>
              <w:t>21917</w:t>
            </w:r>
          </w:p>
        </w:tc>
        <w:tc>
          <w:tcPr>
            <w:tcW w:w="1475" w:type="dxa"/>
            <w:tcBorders>
              <w:top w:val="nil"/>
              <w:left w:val="nil"/>
              <w:bottom w:val="nil"/>
              <w:right w:val="nil"/>
            </w:tcBorders>
            <w:shd w:val="clear" w:color="auto" w:fill="auto"/>
            <w:noWrap/>
            <w:vAlign w:val="bottom"/>
            <w:hideMark/>
          </w:tcPr>
          <w:p w14:paraId="415201B0" w14:textId="2926393A" w:rsidR="005B1930" w:rsidRPr="005B1930" w:rsidRDefault="005B1930" w:rsidP="000A011E">
            <w:pPr>
              <w:jc w:val="right"/>
              <w:rPr>
                <w:rFonts w:ascii="Arial" w:hAnsi="Arial" w:cs="Arial"/>
                <w:color w:val="000000"/>
              </w:rPr>
            </w:pPr>
            <w:r w:rsidRPr="005B1930">
              <w:rPr>
                <w:rFonts w:ascii="Arial" w:hAnsi="Arial" w:cs="Arial"/>
                <w:color w:val="000000"/>
              </w:rPr>
              <w:t>-</w:t>
            </w:r>
          </w:p>
        </w:tc>
      </w:tr>
      <w:tr w:rsidR="005B1930" w:rsidRPr="005B1930" w14:paraId="1D0471B5" w14:textId="77777777" w:rsidTr="008F5B5F">
        <w:trPr>
          <w:trHeight w:val="204"/>
          <w:tblHeader/>
        </w:trPr>
        <w:tc>
          <w:tcPr>
            <w:tcW w:w="246" w:type="dxa"/>
            <w:tcBorders>
              <w:top w:val="nil"/>
              <w:left w:val="nil"/>
              <w:bottom w:val="nil"/>
              <w:right w:val="nil"/>
            </w:tcBorders>
            <w:shd w:val="clear" w:color="auto" w:fill="auto"/>
            <w:noWrap/>
            <w:vAlign w:val="bottom"/>
            <w:hideMark/>
          </w:tcPr>
          <w:p w14:paraId="5D1D0C2E" w14:textId="77777777" w:rsidR="005B1930" w:rsidRPr="005B1930" w:rsidRDefault="005B1930" w:rsidP="005B1930">
            <w:pPr>
              <w:rPr>
                <w:rFonts w:ascii="Arial" w:hAnsi="Arial" w:cs="Arial"/>
                <w:color w:val="000000"/>
              </w:rPr>
            </w:pPr>
          </w:p>
        </w:tc>
        <w:tc>
          <w:tcPr>
            <w:tcW w:w="2649" w:type="dxa"/>
            <w:tcBorders>
              <w:top w:val="nil"/>
              <w:left w:val="nil"/>
              <w:bottom w:val="nil"/>
              <w:right w:val="nil"/>
            </w:tcBorders>
            <w:shd w:val="clear" w:color="auto" w:fill="auto"/>
            <w:noWrap/>
            <w:vAlign w:val="bottom"/>
            <w:hideMark/>
          </w:tcPr>
          <w:p w14:paraId="3E692CC3" w14:textId="77777777" w:rsidR="005B1930" w:rsidRPr="005B1930" w:rsidRDefault="005B1930" w:rsidP="005B1930">
            <w:pPr>
              <w:rPr>
                <w:rFonts w:ascii="Arial" w:hAnsi="Arial" w:cs="Arial"/>
              </w:rPr>
            </w:pPr>
          </w:p>
        </w:tc>
        <w:tc>
          <w:tcPr>
            <w:tcW w:w="246" w:type="dxa"/>
            <w:tcBorders>
              <w:top w:val="nil"/>
              <w:left w:val="nil"/>
              <w:bottom w:val="nil"/>
              <w:right w:val="nil"/>
            </w:tcBorders>
            <w:shd w:val="clear" w:color="auto" w:fill="auto"/>
            <w:noWrap/>
            <w:vAlign w:val="bottom"/>
            <w:hideMark/>
          </w:tcPr>
          <w:p w14:paraId="63E6FC78" w14:textId="77777777" w:rsidR="005B1930" w:rsidRPr="005B1930" w:rsidRDefault="005B1930" w:rsidP="005B1930">
            <w:pPr>
              <w:rPr>
                <w:rFonts w:ascii="Arial" w:hAnsi="Arial" w:cs="Arial"/>
              </w:rPr>
            </w:pPr>
          </w:p>
        </w:tc>
        <w:tc>
          <w:tcPr>
            <w:tcW w:w="1386" w:type="dxa"/>
            <w:tcBorders>
              <w:top w:val="nil"/>
              <w:left w:val="nil"/>
              <w:bottom w:val="nil"/>
              <w:right w:val="nil"/>
            </w:tcBorders>
            <w:shd w:val="clear" w:color="auto" w:fill="auto"/>
            <w:noWrap/>
            <w:vAlign w:val="bottom"/>
            <w:hideMark/>
          </w:tcPr>
          <w:p w14:paraId="2F707A4F" w14:textId="77777777" w:rsidR="005B1930" w:rsidRPr="005B1930" w:rsidRDefault="005B1930" w:rsidP="000A011E">
            <w:pPr>
              <w:jc w:val="right"/>
              <w:rPr>
                <w:rFonts w:ascii="Arial" w:hAnsi="Arial" w:cs="Arial"/>
              </w:rPr>
            </w:pPr>
          </w:p>
        </w:tc>
        <w:tc>
          <w:tcPr>
            <w:tcW w:w="1475" w:type="dxa"/>
            <w:tcBorders>
              <w:top w:val="nil"/>
              <w:left w:val="nil"/>
              <w:bottom w:val="nil"/>
              <w:right w:val="nil"/>
            </w:tcBorders>
            <w:shd w:val="clear" w:color="auto" w:fill="auto"/>
            <w:noWrap/>
            <w:vAlign w:val="bottom"/>
            <w:hideMark/>
          </w:tcPr>
          <w:p w14:paraId="09110610" w14:textId="77777777" w:rsidR="005B1930" w:rsidRPr="005B1930" w:rsidRDefault="005B1930" w:rsidP="000A011E">
            <w:pPr>
              <w:jc w:val="right"/>
              <w:rPr>
                <w:rFonts w:ascii="Arial" w:hAnsi="Arial" w:cs="Arial"/>
              </w:rPr>
            </w:pPr>
          </w:p>
        </w:tc>
        <w:tc>
          <w:tcPr>
            <w:tcW w:w="246" w:type="dxa"/>
            <w:tcBorders>
              <w:top w:val="nil"/>
              <w:left w:val="nil"/>
              <w:bottom w:val="nil"/>
              <w:right w:val="nil"/>
            </w:tcBorders>
            <w:shd w:val="clear" w:color="auto" w:fill="auto"/>
            <w:noWrap/>
            <w:vAlign w:val="bottom"/>
            <w:hideMark/>
          </w:tcPr>
          <w:p w14:paraId="6D2253B9" w14:textId="77777777" w:rsidR="005B1930" w:rsidRPr="005B1930" w:rsidRDefault="005B1930" w:rsidP="000A011E">
            <w:pPr>
              <w:jc w:val="right"/>
              <w:rPr>
                <w:rFonts w:ascii="Arial" w:hAnsi="Arial" w:cs="Arial"/>
              </w:rPr>
            </w:pPr>
          </w:p>
        </w:tc>
        <w:tc>
          <w:tcPr>
            <w:tcW w:w="1373" w:type="dxa"/>
            <w:tcBorders>
              <w:top w:val="nil"/>
              <w:left w:val="nil"/>
              <w:bottom w:val="nil"/>
              <w:right w:val="nil"/>
            </w:tcBorders>
            <w:shd w:val="clear" w:color="auto" w:fill="auto"/>
            <w:noWrap/>
            <w:vAlign w:val="bottom"/>
            <w:hideMark/>
          </w:tcPr>
          <w:p w14:paraId="58F2DE16" w14:textId="77777777" w:rsidR="005B1930" w:rsidRPr="005B1930" w:rsidRDefault="005B1930" w:rsidP="000A011E">
            <w:pPr>
              <w:jc w:val="right"/>
              <w:rPr>
                <w:rFonts w:ascii="Arial" w:hAnsi="Arial" w:cs="Arial"/>
              </w:rPr>
            </w:pPr>
          </w:p>
        </w:tc>
        <w:tc>
          <w:tcPr>
            <w:tcW w:w="1475" w:type="dxa"/>
            <w:tcBorders>
              <w:top w:val="nil"/>
              <w:left w:val="nil"/>
              <w:bottom w:val="nil"/>
              <w:right w:val="nil"/>
            </w:tcBorders>
            <w:shd w:val="clear" w:color="auto" w:fill="auto"/>
            <w:noWrap/>
            <w:vAlign w:val="bottom"/>
            <w:hideMark/>
          </w:tcPr>
          <w:p w14:paraId="783ED1D3" w14:textId="77777777" w:rsidR="005B1930" w:rsidRPr="005B1930" w:rsidRDefault="005B1930" w:rsidP="000A011E">
            <w:pPr>
              <w:jc w:val="right"/>
              <w:rPr>
                <w:rFonts w:ascii="Arial" w:hAnsi="Arial" w:cs="Arial"/>
              </w:rPr>
            </w:pPr>
          </w:p>
        </w:tc>
      </w:tr>
      <w:tr w:rsidR="005B1930" w:rsidRPr="005B1930" w14:paraId="07849390" w14:textId="77777777" w:rsidTr="008F5B5F">
        <w:trPr>
          <w:trHeight w:val="204"/>
          <w:tblHeader/>
        </w:trPr>
        <w:tc>
          <w:tcPr>
            <w:tcW w:w="2895" w:type="dxa"/>
            <w:gridSpan w:val="2"/>
            <w:tcBorders>
              <w:top w:val="nil"/>
              <w:left w:val="nil"/>
              <w:bottom w:val="single" w:sz="4" w:space="0" w:color="auto"/>
              <w:right w:val="nil"/>
            </w:tcBorders>
            <w:shd w:val="clear" w:color="auto" w:fill="auto"/>
            <w:noWrap/>
            <w:vAlign w:val="bottom"/>
            <w:hideMark/>
          </w:tcPr>
          <w:p w14:paraId="4E8AEF84" w14:textId="77777777" w:rsidR="005B1930" w:rsidRPr="005B1930" w:rsidRDefault="005B1930" w:rsidP="005B1930">
            <w:pPr>
              <w:rPr>
                <w:rFonts w:ascii="Arial" w:hAnsi="Arial" w:cs="Arial"/>
                <w:color w:val="000000"/>
              </w:rPr>
            </w:pPr>
            <w:r w:rsidRPr="005B1930">
              <w:rPr>
                <w:rFonts w:ascii="Arial" w:hAnsi="Arial" w:cs="Arial"/>
                <w:color w:val="000000"/>
              </w:rPr>
              <w:t>Net revenue</w:t>
            </w:r>
          </w:p>
        </w:tc>
        <w:tc>
          <w:tcPr>
            <w:tcW w:w="246" w:type="dxa"/>
            <w:tcBorders>
              <w:top w:val="nil"/>
              <w:left w:val="nil"/>
              <w:bottom w:val="single" w:sz="4" w:space="0" w:color="auto"/>
              <w:right w:val="nil"/>
            </w:tcBorders>
            <w:shd w:val="clear" w:color="auto" w:fill="auto"/>
            <w:noWrap/>
            <w:vAlign w:val="bottom"/>
            <w:hideMark/>
          </w:tcPr>
          <w:p w14:paraId="43136EB9" w14:textId="77777777" w:rsidR="005B1930" w:rsidRPr="005B1930" w:rsidRDefault="005B1930" w:rsidP="005B1930">
            <w:pPr>
              <w:rPr>
                <w:rFonts w:ascii="Arial" w:hAnsi="Arial" w:cs="Arial"/>
                <w:color w:val="000000"/>
              </w:rPr>
            </w:pPr>
            <w:r w:rsidRPr="005B1930">
              <w:rPr>
                <w:rFonts w:ascii="Arial" w:hAnsi="Arial" w:cs="Arial"/>
                <w:color w:val="000000"/>
              </w:rPr>
              <w:t> </w:t>
            </w:r>
          </w:p>
        </w:tc>
        <w:tc>
          <w:tcPr>
            <w:tcW w:w="1386" w:type="dxa"/>
            <w:tcBorders>
              <w:top w:val="nil"/>
              <w:left w:val="nil"/>
              <w:bottom w:val="single" w:sz="4" w:space="0" w:color="auto"/>
              <w:right w:val="nil"/>
            </w:tcBorders>
            <w:shd w:val="clear" w:color="auto" w:fill="auto"/>
            <w:noWrap/>
            <w:vAlign w:val="bottom"/>
            <w:hideMark/>
          </w:tcPr>
          <w:p w14:paraId="5B8B8BE4" w14:textId="1397BE5E" w:rsidR="005B1930" w:rsidRPr="005B1930" w:rsidRDefault="005B1930" w:rsidP="000A011E">
            <w:pPr>
              <w:jc w:val="right"/>
              <w:rPr>
                <w:rFonts w:ascii="Arial" w:hAnsi="Arial" w:cs="Arial"/>
                <w:b/>
                <w:bCs/>
                <w:color w:val="000000"/>
              </w:rPr>
            </w:pPr>
            <w:r w:rsidRPr="005B1930">
              <w:rPr>
                <w:rFonts w:ascii="Arial" w:hAnsi="Arial" w:cs="Arial"/>
                <w:b/>
                <w:bCs/>
                <w:color w:val="000000"/>
              </w:rPr>
              <w:t>$76,613</w:t>
            </w:r>
          </w:p>
        </w:tc>
        <w:tc>
          <w:tcPr>
            <w:tcW w:w="1475" w:type="dxa"/>
            <w:tcBorders>
              <w:top w:val="nil"/>
              <w:left w:val="nil"/>
              <w:bottom w:val="single" w:sz="4" w:space="0" w:color="auto"/>
              <w:right w:val="nil"/>
            </w:tcBorders>
            <w:shd w:val="clear" w:color="auto" w:fill="auto"/>
            <w:noWrap/>
            <w:vAlign w:val="bottom"/>
            <w:hideMark/>
          </w:tcPr>
          <w:p w14:paraId="13829E1F" w14:textId="05D40EFB" w:rsidR="005B1930" w:rsidRPr="005B1930" w:rsidRDefault="005B1930" w:rsidP="000A011E">
            <w:pPr>
              <w:jc w:val="right"/>
              <w:rPr>
                <w:rFonts w:ascii="Arial" w:hAnsi="Arial" w:cs="Arial"/>
                <w:color w:val="000000"/>
              </w:rPr>
            </w:pPr>
            <w:r w:rsidRPr="005B1930">
              <w:rPr>
                <w:rFonts w:ascii="Arial" w:hAnsi="Arial" w:cs="Arial"/>
                <w:color w:val="000000"/>
              </w:rPr>
              <w:t>$23,327</w:t>
            </w:r>
          </w:p>
        </w:tc>
        <w:tc>
          <w:tcPr>
            <w:tcW w:w="246" w:type="dxa"/>
            <w:tcBorders>
              <w:top w:val="nil"/>
              <w:left w:val="nil"/>
              <w:bottom w:val="single" w:sz="4" w:space="0" w:color="auto"/>
              <w:right w:val="nil"/>
            </w:tcBorders>
            <w:shd w:val="clear" w:color="auto" w:fill="auto"/>
            <w:noWrap/>
            <w:vAlign w:val="bottom"/>
            <w:hideMark/>
          </w:tcPr>
          <w:p w14:paraId="14F8BB25" w14:textId="77777777" w:rsidR="005B1930" w:rsidRPr="005B1930" w:rsidRDefault="005B1930" w:rsidP="000A011E">
            <w:pPr>
              <w:jc w:val="right"/>
              <w:rPr>
                <w:rFonts w:ascii="Arial" w:hAnsi="Arial" w:cs="Arial"/>
                <w:b/>
                <w:bCs/>
                <w:color w:val="000000"/>
              </w:rPr>
            </w:pPr>
            <w:r w:rsidRPr="005B1930">
              <w:rPr>
                <w:rFonts w:ascii="Arial" w:hAnsi="Arial" w:cs="Arial"/>
                <w:b/>
                <w:bCs/>
                <w:color w:val="000000"/>
              </w:rPr>
              <w:t> </w:t>
            </w:r>
          </w:p>
        </w:tc>
        <w:tc>
          <w:tcPr>
            <w:tcW w:w="1373" w:type="dxa"/>
            <w:tcBorders>
              <w:top w:val="nil"/>
              <w:left w:val="nil"/>
              <w:bottom w:val="single" w:sz="4" w:space="0" w:color="auto"/>
              <w:right w:val="nil"/>
            </w:tcBorders>
            <w:shd w:val="clear" w:color="auto" w:fill="auto"/>
            <w:noWrap/>
            <w:vAlign w:val="bottom"/>
            <w:hideMark/>
          </w:tcPr>
          <w:p w14:paraId="2530308B" w14:textId="645F6257" w:rsidR="005B1930" w:rsidRPr="005B1930" w:rsidRDefault="005B1930" w:rsidP="000A011E">
            <w:pPr>
              <w:jc w:val="right"/>
              <w:rPr>
                <w:rFonts w:ascii="Arial" w:hAnsi="Arial" w:cs="Arial"/>
                <w:b/>
                <w:bCs/>
                <w:color w:val="000000"/>
              </w:rPr>
            </w:pPr>
            <w:r w:rsidRPr="005B1930">
              <w:rPr>
                <w:rFonts w:ascii="Arial" w:hAnsi="Arial" w:cs="Arial"/>
                <w:b/>
                <w:bCs/>
                <w:color w:val="000000"/>
              </w:rPr>
              <w:t>$167,095</w:t>
            </w:r>
          </w:p>
        </w:tc>
        <w:tc>
          <w:tcPr>
            <w:tcW w:w="1475" w:type="dxa"/>
            <w:tcBorders>
              <w:top w:val="nil"/>
              <w:left w:val="nil"/>
              <w:bottom w:val="single" w:sz="4" w:space="0" w:color="auto"/>
              <w:right w:val="nil"/>
            </w:tcBorders>
            <w:shd w:val="clear" w:color="auto" w:fill="auto"/>
            <w:noWrap/>
            <w:vAlign w:val="bottom"/>
            <w:hideMark/>
          </w:tcPr>
          <w:p w14:paraId="44C2FD84" w14:textId="28BFE275" w:rsidR="005B1930" w:rsidRPr="005B1930" w:rsidRDefault="005B1930" w:rsidP="000A011E">
            <w:pPr>
              <w:jc w:val="right"/>
              <w:rPr>
                <w:rFonts w:ascii="Arial" w:hAnsi="Arial" w:cs="Arial"/>
                <w:color w:val="000000"/>
              </w:rPr>
            </w:pPr>
            <w:r w:rsidRPr="005B1930">
              <w:rPr>
                <w:rFonts w:ascii="Arial" w:hAnsi="Arial" w:cs="Arial"/>
                <w:color w:val="000000"/>
              </w:rPr>
              <w:t>$49,243</w:t>
            </w:r>
          </w:p>
        </w:tc>
      </w:tr>
    </w:tbl>
    <w:p w14:paraId="7EB6AC08" w14:textId="4AA6EAE2" w:rsidR="00E2198D" w:rsidRPr="00E94AD0" w:rsidRDefault="00E2198D" w:rsidP="00FD70C8">
      <w:pPr>
        <w:jc w:val="center"/>
        <w:rPr>
          <w:rFonts w:asciiTheme="majorBidi" w:hAnsiTheme="majorBidi" w:cstheme="majorBidi"/>
          <w:lang w:val="en-GB"/>
        </w:rPr>
      </w:pPr>
    </w:p>
    <w:p w14:paraId="286A59E1" w14:textId="77777777" w:rsidR="00E2198D" w:rsidRPr="00E94AD0" w:rsidRDefault="00E2198D" w:rsidP="00E2198D">
      <w:pPr>
        <w:pStyle w:val="ExhibitText"/>
        <w:rPr>
          <w:lang w:val="en-GB"/>
        </w:rPr>
      </w:pPr>
    </w:p>
    <w:p w14:paraId="40F2A7B1" w14:textId="608F030A" w:rsidR="00E2198D" w:rsidRPr="00E94AD0" w:rsidRDefault="00E2198D" w:rsidP="00E2198D">
      <w:pPr>
        <w:pStyle w:val="ExhibitText"/>
        <w:rPr>
          <w:lang w:val="en-GB"/>
        </w:rPr>
      </w:pPr>
      <w:r w:rsidRPr="00E94AD0">
        <w:rPr>
          <w:lang w:val="en-GB"/>
        </w:rPr>
        <w:t>The Company records an allowance for estimated returns and price adjustments to ensure that recognized revenue reflects the consideration that the Company expects to receive. The allowance is based on historical experience and Management’s expectation of future returns and price adjustments. Net revenue reflects actual returns and the allowance for estimated returns and price adjustments in the amounts of $3</w:t>
      </w:r>
      <w:r w:rsidR="00C83781">
        <w:rPr>
          <w:lang w:val="en-GB"/>
        </w:rPr>
        <w:t>2</w:t>
      </w:r>
      <w:r w:rsidRPr="00E94AD0">
        <w:rPr>
          <w:lang w:val="en-GB"/>
        </w:rPr>
        <w:t>,727 and $40,727 for the three and six months ended September 30, 2019,</w:t>
      </w:r>
      <w:r w:rsidR="0086472A">
        <w:rPr>
          <w:lang w:val="en-GB"/>
        </w:rPr>
        <w:t xml:space="preserve"> respectively;</w:t>
      </w:r>
      <w:r w:rsidRPr="00E94AD0">
        <w:rPr>
          <w:lang w:val="en-GB"/>
        </w:rPr>
        <w:t xml:space="preserve"> the liability for estimated returns and price adjustments was $37,790. </w:t>
      </w:r>
    </w:p>
    <w:p w14:paraId="7A857A80" w14:textId="77777777" w:rsidR="00F30CFB" w:rsidRDefault="00F30CFB">
      <w:pPr>
        <w:spacing w:after="200" w:line="276" w:lineRule="auto"/>
        <w:rPr>
          <w:rFonts w:ascii="Arial" w:hAnsi="Arial" w:cs="Arial"/>
          <w:b/>
          <w:caps/>
          <w:lang w:val="en-GB"/>
        </w:rPr>
      </w:pPr>
      <w:r>
        <w:rPr>
          <w:lang w:val="en-GB"/>
        </w:rPr>
        <w:br w:type="page"/>
      </w:r>
    </w:p>
    <w:p w14:paraId="58A26E75" w14:textId="1C3D662D" w:rsidR="009D6DBF" w:rsidRPr="00E94AD0" w:rsidRDefault="009D6DBF" w:rsidP="009D6DBF">
      <w:pPr>
        <w:pStyle w:val="ExhibitHeading"/>
        <w:rPr>
          <w:lang w:val="en-GB"/>
        </w:rPr>
      </w:pPr>
      <w:r w:rsidRPr="00E94AD0">
        <w:rPr>
          <w:lang w:val="en-GB"/>
        </w:rPr>
        <w:lastRenderedPageBreak/>
        <w:t>EXHIBIT 2 (Continued)</w:t>
      </w:r>
    </w:p>
    <w:p w14:paraId="4A813687" w14:textId="77777777" w:rsidR="009D6DBF" w:rsidRDefault="009D6DBF" w:rsidP="00E2198D">
      <w:pPr>
        <w:pStyle w:val="Casehead2"/>
        <w:rPr>
          <w:lang w:val="en-GB"/>
        </w:rPr>
      </w:pPr>
    </w:p>
    <w:p w14:paraId="381803A6" w14:textId="099594FC" w:rsidR="00E2198D" w:rsidRPr="00E94AD0" w:rsidRDefault="00E2198D" w:rsidP="00E2198D">
      <w:pPr>
        <w:pStyle w:val="Casehead2"/>
        <w:rPr>
          <w:lang w:val="en-GB"/>
        </w:rPr>
      </w:pPr>
      <w:r w:rsidRPr="00E94AD0">
        <w:rPr>
          <w:lang w:val="en-GB"/>
        </w:rPr>
        <w:t>25. ACREAGE TRANSACTIONS</w:t>
      </w:r>
    </w:p>
    <w:p w14:paraId="63F6A973" w14:textId="77777777" w:rsidR="00E2198D" w:rsidRPr="00E94AD0" w:rsidRDefault="00E2198D" w:rsidP="00E2198D">
      <w:pPr>
        <w:rPr>
          <w:rFonts w:asciiTheme="majorBidi" w:hAnsiTheme="majorBidi" w:cstheme="majorBidi"/>
          <w:b/>
          <w:lang w:val="en-GB"/>
        </w:rPr>
      </w:pPr>
    </w:p>
    <w:p w14:paraId="0C50C2B0" w14:textId="54C6A6B7" w:rsidR="00E2198D" w:rsidRPr="00E94AD0" w:rsidRDefault="00E2198D" w:rsidP="00E2198D">
      <w:pPr>
        <w:pStyle w:val="Casehead2"/>
        <w:rPr>
          <w:lang w:val="en-GB"/>
        </w:rPr>
      </w:pPr>
      <w:r w:rsidRPr="00E94AD0">
        <w:rPr>
          <w:lang w:val="en-GB"/>
        </w:rPr>
        <w:t>(a) Acreage Call Option</w:t>
      </w:r>
    </w:p>
    <w:p w14:paraId="1AAE306D" w14:textId="77777777" w:rsidR="00E2198D" w:rsidRPr="00E94AD0" w:rsidRDefault="00E2198D" w:rsidP="00E2198D">
      <w:pPr>
        <w:jc w:val="both"/>
        <w:rPr>
          <w:rFonts w:asciiTheme="majorBidi" w:hAnsiTheme="majorBidi" w:cstheme="majorBidi"/>
          <w:lang w:val="en-GB"/>
        </w:rPr>
      </w:pPr>
    </w:p>
    <w:p w14:paraId="11498314" w14:textId="66F395A5" w:rsidR="00E2198D" w:rsidRPr="00E94AD0" w:rsidRDefault="00E2198D" w:rsidP="00E2198D">
      <w:pPr>
        <w:pStyle w:val="ExhibitText"/>
        <w:rPr>
          <w:lang w:val="en-GB"/>
        </w:rPr>
      </w:pPr>
      <w:r w:rsidRPr="00E94AD0">
        <w:rPr>
          <w:lang w:val="en-GB"/>
        </w:rPr>
        <w:t>On June 27, 2019 (the “Effective Date”) Canopy Growth and Acreage Holdings Inc. (“Acreage</w:t>
      </w:r>
      <w:r w:rsidR="00665115">
        <w:rPr>
          <w:lang w:val="en-GB"/>
        </w:rPr>
        <w:t>”</w:t>
      </w:r>
      <w:r w:rsidRPr="00E94AD0">
        <w:rPr>
          <w:lang w:val="en-GB"/>
        </w:rPr>
        <w:t xml:space="preserve">) completed a Plan of Arrangement (the “Arrangement”). Pursuant to the terms of the Arrangement, shareholders of Acreage Shares and holders of certain securities convertible into Acreage shares as of June 26, 2019 received an immediate aggregate total payment of US$300 million ($395,190) in exchange for granting Canopy Growth an option (the “Call Option”) to acquire 100% of the shares of Acreage, with a requirement to do so at such time as the occurrence or waiver of changes in United States federal law to permit the general cultivation, distribution, and possession of marijuana or to remove the regulation of such activities from the federal laws of the United States (the “Acreage Triggering Event”). If the Acreage Triggering Event is not satisfied by December 27, 2026, the Arrangement will terminate. </w:t>
      </w:r>
    </w:p>
    <w:p w14:paraId="2E1A5EFC" w14:textId="77777777" w:rsidR="00E2198D" w:rsidRPr="00E94AD0" w:rsidRDefault="00E2198D" w:rsidP="00E2198D">
      <w:pPr>
        <w:jc w:val="both"/>
        <w:rPr>
          <w:rFonts w:asciiTheme="majorBidi" w:hAnsiTheme="majorBidi" w:cstheme="majorBidi"/>
          <w:lang w:val="en-GB"/>
        </w:rPr>
      </w:pPr>
    </w:p>
    <w:p w14:paraId="4C363F07" w14:textId="77777777" w:rsidR="00E2198D" w:rsidRPr="00E94AD0" w:rsidRDefault="00E2198D" w:rsidP="005C6A3A">
      <w:pPr>
        <w:pStyle w:val="Casehead2"/>
        <w:rPr>
          <w:lang w:val="en-GB"/>
        </w:rPr>
      </w:pPr>
      <w:r w:rsidRPr="00E94AD0">
        <w:rPr>
          <w:lang w:val="en-GB"/>
        </w:rPr>
        <w:t>(b) Amendment to the Constellation Investor Rights Agreement and warrants</w:t>
      </w:r>
    </w:p>
    <w:p w14:paraId="48D00233" w14:textId="77777777" w:rsidR="00E2198D" w:rsidRPr="00E94AD0" w:rsidRDefault="00E2198D" w:rsidP="00E2198D">
      <w:pPr>
        <w:pStyle w:val="ExhibitText"/>
        <w:rPr>
          <w:lang w:val="en-GB"/>
        </w:rPr>
      </w:pPr>
    </w:p>
    <w:p w14:paraId="581CC230" w14:textId="739D0736" w:rsidR="00E2198D" w:rsidRPr="00E94AD0" w:rsidRDefault="00E2198D" w:rsidP="00E2198D">
      <w:pPr>
        <w:pStyle w:val="ExhibitText"/>
        <w:rPr>
          <w:lang w:val="en-GB"/>
        </w:rPr>
      </w:pPr>
      <w:r w:rsidRPr="00E94AD0">
        <w:rPr>
          <w:lang w:val="en-GB"/>
        </w:rPr>
        <w:t>On November 1, 2018 Canopy Growth issued 104,500,000 common shares from treasury and two tranches of warrants to a subsidiary of Constellation Brands, Inc. (“Constellation”) in exchange for proceeds of $5</w:t>
      </w:r>
      <w:r w:rsidR="00DA2999">
        <w:rPr>
          <w:lang w:val="en-GB"/>
        </w:rPr>
        <w:t>.072 billion</w:t>
      </w:r>
      <w:bookmarkStart w:id="0" w:name="_GoBack"/>
      <w:bookmarkEnd w:id="0"/>
      <w:r w:rsidRPr="00E94AD0">
        <w:rPr>
          <w:lang w:val="en-GB"/>
        </w:rPr>
        <w:t xml:space="preserve"> and entered into an Amended and Restated Investor Rights Agreement. The first tranche warrants (“Tranche A Warrants”) allowed Constellation to acquire 88.5 million additional shares of Canopy Growth for a fixed price of $50.40 per share. The second tranche warrants (“Final Warrants”) allowed for the purchase of 51.3 million additional shares at a price equal to the 5-day volume-weighted average price immediately prior to exercise. The Final Warrants could only be exercised if the Tranche A Warrants had been exercised in full. Both the Tranche A Warrants and the Final Warrants expire on November 1, 2021. Canopy Growth accounted for the Tranche A Warrants as equity instruments with a value of $1,505,351 and the Final Warrants as derivative liabilities with a nominal value.</w:t>
      </w:r>
    </w:p>
    <w:p w14:paraId="625292B0" w14:textId="77777777" w:rsidR="00E2198D" w:rsidRPr="00E94AD0" w:rsidRDefault="00E2198D" w:rsidP="00E2198D">
      <w:pPr>
        <w:pStyle w:val="ExhibitText"/>
        <w:rPr>
          <w:lang w:val="en-GB"/>
        </w:rPr>
      </w:pPr>
    </w:p>
    <w:p w14:paraId="14D24F52" w14:textId="77777777" w:rsidR="00E2198D" w:rsidRPr="00E94AD0" w:rsidRDefault="00E2198D" w:rsidP="00E2198D">
      <w:pPr>
        <w:pStyle w:val="ExhibitText"/>
        <w:rPr>
          <w:lang w:val="en-GB"/>
        </w:rPr>
      </w:pPr>
      <w:r w:rsidRPr="00E94AD0">
        <w:rPr>
          <w:lang w:val="en-GB"/>
        </w:rPr>
        <w:t>On June 27, 2019 Constellation and Canopy Growth entered into the Second Amended and Restated Investor Rights Agreement and Consent Agreement. In contemplation of these agreements, Canopy Growth also amended the terms of the Tranche A Warrants and Final Warrants as follows:</w:t>
      </w:r>
    </w:p>
    <w:p w14:paraId="6339A70C" w14:textId="77777777" w:rsidR="00E2198D" w:rsidRPr="00E94AD0" w:rsidRDefault="00E2198D" w:rsidP="00E2198D">
      <w:pPr>
        <w:autoSpaceDE w:val="0"/>
        <w:autoSpaceDN w:val="0"/>
        <w:adjustRightInd w:val="0"/>
        <w:jc w:val="both"/>
        <w:rPr>
          <w:rFonts w:asciiTheme="majorBidi" w:hAnsiTheme="majorBidi" w:cstheme="majorBidi"/>
          <w:lang w:val="en-GB"/>
        </w:rPr>
      </w:pPr>
    </w:p>
    <w:p w14:paraId="35CA6248" w14:textId="77777777" w:rsidR="00E2198D" w:rsidRPr="00E94AD0" w:rsidRDefault="00E2198D" w:rsidP="00E2198D">
      <w:pPr>
        <w:pStyle w:val="ExhibitText"/>
        <w:numPr>
          <w:ilvl w:val="0"/>
          <w:numId w:val="14"/>
        </w:numPr>
        <w:rPr>
          <w:lang w:val="en-GB"/>
        </w:rPr>
      </w:pPr>
      <w:r w:rsidRPr="00E94AD0">
        <w:rPr>
          <w:lang w:val="en-GB"/>
        </w:rPr>
        <w:t>Extended the term of the Tranche A Warrants to November 1, 2023 and the term of the Final Warrants to November 1, 2026</w:t>
      </w:r>
    </w:p>
    <w:p w14:paraId="302945B7" w14:textId="77777777" w:rsidR="00E2198D" w:rsidRPr="00E94AD0" w:rsidRDefault="00E2198D" w:rsidP="00E2198D">
      <w:pPr>
        <w:pStyle w:val="ExhibitText"/>
        <w:numPr>
          <w:ilvl w:val="0"/>
          <w:numId w:val="14"/>
        </w:numPr>
        <w:rPr>
          <w:lang w:val="en-GB"/>
        </w:rPr>
      </w:pPr>
      <w:r w:rsidRPr="00E94AD0">
        <w:rPr>
          <w:lang w:val="en-GB"/>
        </w:rPr>
        <w:t>The Final Warrants were also replaced by two tranches of warrants (the “Tranche B Warrants” and “Tranche C Warrants”) with different terms:</w:t>
      </w:r>
    </w:p>
    <w:p w14:paraId="3A6443FD" w14:textId="77777777" w:rsidR="00E2198D" w:rsidRPr="00E94AD0" w:rsidRDefault="00E2198D" w:rsidP="00E2198D">
      <w:pPr>
        <w:pStyle w:val="ExhibitText"/>
        <w:numPr>
          <w:ilvl w:val="1"/>
          <w:numId w:val="14"/>
        </w:numPr>
        <w:rPr>
          <w:lang w:val="en-GB"/>
        </w:rPr>
      </w:pPr>
      <w:r w:rsidRPr="00E94AD0">
        <w:rPr>
          <w:lang w:val="en-GB"/>
        </w:rPr>
        <w:t>Tranche B Warrants allow Constellation to acquire 38.5 million shares of Canopy Growth at a fixed price of $76.68 per share.</w:t>
      </w:r>
    </w:p>
    <w:p w14:paraId="339117D4" w14:textId="77777777" w:rsidR="00E2198D" w:rsidRPr="00E94AD0" w:rsidRDefault="00E2198D" w:rsidP="00E2198D">
      <w:pPr>
        <w:pStyle w:val="ExhibitText"/>
        <w:numPr>
          <w:ilvl w:val="1"/>
          <w:numId w:val="14"/>
        </w:numPr>
        <w:rPr>
          <w:lang w:val="en-GB"/>
        </w:rPr>
      </w:pPr>
      <w:r w:rsidRPr="00E94AD0">
        <w:rPr>
          <w:lang w:val="en-GB"/>
        </w:rPr>
        <w:t>Tranche C Warrants allow Constellation to acquire 12.8 million shares of Canopy Growth at a price equal to the 5-day-volume weighted average price immediately prior to exercise.</w:t>
      </w:r>
    </w:p>
    <w:p w14:paraId="604BEE77" w14:textId="77777777" w:rsidR="00E2198D" w:rsidRPr="00E94AD0" w:rsidRDefault="00E2198D" w:rsidP="00E2198D">
      <w:pPr>
        <w:pStyle w:val="ExhibitText"/>
        <w:numPr>
          <w:ilvl w:val="0"/>
          <w:numId w:val="14"/>
        </w:numPr>
        <w:rPr>
          <w:lang w:val="en-GB"/>
        </w:rPr>
      </w:pPr>
      <w:r w:rsidRPr="00E94AD0">
        <w:rPr>
          <w:lang w:val="en-GB"/>
        </w:rPr>
        <w:t>In connection with the Tranche B Warrants and the Tranche C Warrants, Canopy Growth will provide Constellation with a share repurchase credit of up to $1.583 billion on the aggregate exercise price of the Tranche B Warrants and Tranche C Warrants in the event that Canopy Growth does not repurchase the lesser of (i) 27,378,866 common shares, and (ii) common shares with a value of $1.583 billion, during the period commencing on June 27, 2019 and ending on the date that is 24 months after the date that Constellation exercises all of the Tranche A Warrants.</w:t>
      </w:r>
    </w:p>
    <w:p w14:paraId="5C082BE3" w14:textId="77777777" w:rsidR="00E2198D" w:rsidRPr="00E94AD0" w:rsidRDefault="00E2198D" w:rsidP="00E2198D">
      <w:pPr>
        <w:autoSpaceDE w:val="0"/>
        <w:autoSpaceDN w:val="0"/>
        <w:adjustRightInd w:val="0"/>
        <w:jc w:val="both"/>
        <w:rPr>
          <w:rFonts w:asciiTheme="majorBidi" w:hAnsiTheme="majorBidi" w:cstheme="majorBidi"/>
          <w:lang w:val="en-GB"/>
        </w:rPr>
      </w:pPr>
    </w:p>
    <w:p w14:paraId="08A45BFF" w14:textId="31B8DDCE" w:rsidR="00665115" w:rsidRDefault="00E2198D" w:rsidP="00E2198D">
      <w:pPr>
        <w:pStyle w:val="ExhibitText"/>
        <w:rPr>
          <w:lang w:val="en-GB"/>
        </w:rPr>
      </w:pPr>
      <w:r w:rsidRPr="00E94AD0">
        <w:rPr>
          <w:lang w:val="en-GB"/>
        </w:rPr>
        <w:t xml:space="preserve">The modifications to the Tranche A Warrants did not change their classification and they continue to be recorded at their initial carrying value, as equity instruments, under IAS 32, </w:t>
      </w:r>
      <w:r w:rsidRPr="00E94AD0">
        <w:rPr>
          <w:i/>
          <w:iCs/>
          <w:lang w:val="en-GB"/>
        </w:rPr>
        <w:t xml:space="preserve">Financial Instruments: Presentation </w:t>
      </w:r>
      <w:r w:rsidRPr="00E94AD0">
        <w:rPr>
          <w:lang w:val="en-GB"/>
        </w:rPr>
        <w:t xml:space="preserve">(“IAS 32”). The extension of the term of the Tranche A Warrants resulted in additional value being attributed to those warrants. On June 27, 2019 the fair value of the Tranche A Warrants was estimated to be $2,585,961 using a Black Scholes model and assuming a volatility of 67.69%. </w:t>
      </w:r>
    </w:p>
    <w:p w14:paraId="1388FC8D" w14:textId="77777777" w:rsidR="00665115" w:rsidRDefault="00665115">
      <w:pPr>
        <w:spacing w:after="200" w:line="276" w:lineRule="auto"/>
        <w:rPr>
          <w:rFonts w:ascii="Arial" w:hAnsi="Arial" w:cs="Arial"/>
          <w:lang w:val="en-GB"/>
        </w:rPr>
      </w:pPr>
      <w:r>
        <w:rPr>
          <w:lang w:val="en-GB"/>
        </w:rPr>
        <w:br w:type="page"/>
      </w:r>
    </w:p>
    <w:p w14:paraId="7A65992D" w14:textId="77777777" w:rsidR="00665115" w:rsidRPr="00E94AD0" w:rsidRDefault="00665115" w:rsidP="00665115">
      <w:pPr>
        <w:pStyle w:val="ExhibitHeading"/>
        <w:rPr>
          <w:lang w:val="en-GB"/>
        </w:rPr>
      </w:pPr>
      <w:r w:rsidRPr="00E94AD0">
        <w:rPr>
          <w:lang w:val="en-GB"/>
        </w:rPr>
        <w:lastRenderedPageBreak/>
        <w:t>EXHIBIT 2 (Continued)</w:t>
      </w:r>
    </w:p>
    <w:p w14:paraId="080F59A8" w14:textId="77777777" w:rsidR="00665115" w:rsidRDefault="00665115" w:rsidP="00E2198D">
      <w:pPr>
        <w:pStyle w:val="ExhibitText"/>
        <w:rPr>
          <w:lang w:val="en-GB"/>
        </w:rPr>
      </w:pPr>
    </w:p>
    <w:p w14:paraId="40888971" w14:textId="0D87E716" w:rsidR="00E2198D" w:rsidRPr="00E94AD0" w:rsidRDefault="00C8482F" w:rsidP="00E2198D">
      <w:pPr>
        <w:pStyle w:val="ExhibitText"/>
        <w:rPr>
          <w:lang w:val="en-GB"/>
        </w:rPr>
      </w:pPr>
      <w:r>
        <w:rPr>
          <w:lang w:val="en-GB"/>
        </w:rPr>
        <w:t xml:space="preserve">The </w:t>
      </w:r>
      <w:r w:rsidR="00E2198D" w:rsidRPr="00E94AD0">
        <w:rPr>
          <w:lang w:val="en-GB"/>
        </w:rPr>
        <w:t>Tranche B Warrants meet the fixed-for-fixed criterion and, as a result, the Tranche B Warrants are classified as equity</w:t>
      </w:r>
      <w:r w:rsidR="00891009">
        <w:rPr>
          <w:lang w:val="en-GB"/>
        </w:rPr>
        <w:t xml:space="preserve"> </w:t>
      </w:r>
      <w:r w:rsidR="00E2198D" w:rsidRPr="00E94AD0">
        <w:rPr>
          <w:lang w:val="en-GB"/>
        </w:rPr>
        <w:t xml:space="preserve">instruments in accordance with IAS 32. Since the amendment results in Canopy Growth issuing equity instruments to Constellation to extinguish derivative liabilities, under IFRIC Interpretation 19, </w:t>
      </w:r>
      <w:r w:rsidR="00E2198D" w:rsidRPr="00E94AD0">
        <w:rPr>
          <w:i/>
          <w:iCs/>
          <w:lang w:val="en-GB"/>
        </w:rPr>
        <w:t>Extinguishing Financial Liabilities with Equity Instruments</w:t>
      </w:r>
      <w:r w:rsidR="00E2198D" w:rsidRPr="00E94AD0">
        <w:rPr>
          <w:lang w:val="en-GB"/>
        </w:rPr>
        <w:t>, the fair value of an equity instrument is measured and compared to the carrying value of the liability that is extinguished with the difference recognized in net income (loss). On June 27, 2019</w:t>
      </w:r>
      <w:r w:rsidR="00891009">
        <w:rPr>
          <w:lang w:val="en-GB"/>
        </w:rPr>
        <w:t>,</w:t>
      </w:r>
      <w:r w:rsidR="00E2198D" w:rsidRPr="00E94AD0">
        <w:rPr>
          <w:lang w:val="en-GB"/>
        </w:rPr>
        <w:t xml:space="preserve"> the fair value of the Tranche B Warrants was estimated to be $1,176,350 using a Black Scholes model and assuming a volatility of 65.18%, and the Company recorded a loss on extinguishment of the derivative liabilities of $1,176,350 in the consolidated </w:t>
      </w:r>
      <w:r w:rsidR="007D50C6">
        <w:rPr>
          <w:lang w:val="en-GB"/>
        </w:rPr>
        <w:t>S</w:t>
      </w:r>
      <w:r w:rsidR="00E2198D" w:rsidRPr="00E94AD0">
        <w:rPr>
          <w:lang w:val="en-GB"/>
        </w:rPr>
        <w:t xml:space="preserve">tatements of </w:t>
      </w:r>
      <w:r w:rsidR="007D50C6">
        <w:rPr>
          <w:lang w:val="en-GB"/>
        </w:rPr>
        <w:t>O</w:t>
      </w:r>
      <w:r w:rsidR="00E2198D" w:rsidRPr="00E94AD0">
        <w:rPr>
          <w:lang w:val="en-GB"/>
        </w:rPr>
        <w:t>perations.</w:t>
      </w:r>
    </w:p>
    <w:p w14:paraId="510D960E" w14:textId="77777777" w:rsidR="00E2198D" w:rsidRPr="00E94AD0" w:rsidRDefault="00E2198D" w:rsidP="00E2198D">
      <w:pPr>
        <w:autoSpaceDE w:val="0"/>
        <w:autoSpaceDN w:val="0"/>
        <w:adjustRightInd w:val="0"/>
        <w:jc w:val="both"/>
        <w:rPr>
          <w:rFonts w:asciiTheme="majorBidi" w:hAnsiTheme="majorBidi" w:cstheme="majorBidi"/>
          <w:lang w:val="en-GB"/>
        </w:rPr>
      </w:pPr>
    </w:p>
    <w:p w14:paraId="11428768" w14:textId="1700ECC0" w:rsidR="00E2198D" w:rsidRPr="00E94AD0" w:rsidRDefault="00E2198D" w:rsidP="00E2198D">
      <w:pPr>
        <w:pStyle w:val="ExhibitText"/>
        <w:rPr>
          <w:lang w:val="en-GB"/>
        </w:rPr>
      </w:pPr>
      <w:r w:rsidRPr="00E94AD0">
        <w:rPr>
          <w:lang w:val="en-GB"/>
        </w:rPr>
        <w:t>The Tranche C Warrants are accounted for as derivative liabilities. Therefore, 12.8 million of the Final Warrants were derecognized and 12.8 million Tranche C Warrants were recognized as new derivative liabilities. There is no impact to net income (loss) as the fair values of the Final Warrants and Tranche C Warrants are both $nil</w:t>
      </w:r>
      <w:r w:rsidR="00630F14">
        <w:rPr>
          <w:lang w:val="en-GB"/>
        </w:rPr>
        <w:t>.</w:t>
      </w:r>
    </w:p>
    <w:p w14:paraId="40515EF9" w14:textId="77777777" w:rsidR="00E2198D" w:rsidRPr="00E94AD0" w:rsidRDefault="00E2198D" w:rsidP="00E2198D">
      <w:pPr>
        <w:pStyle w:val="ExhibitText"/>
        <w:rPr>
          <w:lang w:val="en-GB"/>
        </w:rPr>
      </w:pPr>
    </w:p>
    <w:p w14:paraId="5F1D202F" w14:textId="57CB21DD" w:rsidR="00E2198D" w:rsidRDefault="00E2198D" w:rsidP="00E2198D">
      <w:pPr>
        <w:pStyle w:val="ExhibitText"/>
        <w:rPr>
          <w:lang w:val="en-GB"/>
        </w:rPr>
      </w:pPr>
      <w:r w:rsidRPr="00E94AD0">
        <w:rPr>
          <w:lang w:val="en-GB"/>
        </w:rPr>
        <w:t>The share repurchase credit feature is a separate financial liability under IAS 32 and was measured on initial recognition at its fair value of $1,274,544. Management has estimated the fair value by discounting the expected cash outflows using a discount rate of 4.08%. As Constellation is the holder of Canopy Growth common shares and the share repurchase credit feature is not a derivative instrument, the effect of the transaction has been recognized directly in Shareholders’ equity. Subsequently, the financial liability is being measured at amortized cost, which was $1,288,079 at September 30, 2019. If the Company revises its estimates of the timing of payments it shall adjust the carrying amount of the financial liability to reflect actual and revised estimated contractual cashflows with the corresponding adjustment being recognized in net income (loss)</w:t>
      </w:r>
      <w:r w:rsidR="00630F14">
        <w:rPr>
          <w:lang w:val="en-GB"/>
        </w:rPr>
        <w:t>.</w:t>
      </w:r>
    </w:p>
    <w:p w14:paraId="26DF066F" w14:textId="5506A06C" w:rsidR="00630F14" w:rsidRDefault="00630F14" w:rsidP="00E2198D">
      <w:pPr>
        <w:pStyle w:val="ExhibitText"/>
        <w:rPr>
          <w:lang w:val="en-GB"/>
        </w:rPr>
      </w:pPr>
    </w:p>
    <w:p w14:paraId="74A5D7CB" w14:textId="737FB4A1" w:rsidR="00E2198D" w:rsidRPr="00E94AD0" w:rsidRDefault="009D6DBF" w:rsidP="00630F14">
      <w:pPr>
        <w:pStyle w:val="Footnote"/>
        <w:rPr>
          <w:lang w:val="en-GB"/>
        </w:rPr>
      </w:pPr>
      <w:r>
        <w:rPr>
          <w:lang w:val="en-GB"/>
        </w:rPr>
        <w:t xml:space="preserve">Source: </w:t>
      </w:r>
      <w:r>
        <w:t xml:space="preserve">Canopy Growth Corporation, </w:t>
      </w:r>
      <w:r w:rsidRPr="00136023">
        <w:rPr>
          <w:i/>
          <w:iCs/>
        </w:rPr>
        <w:t>Condensed Interim Consolidated Financial Statements (Unaudited) for the Three and Six Months Ended September 30, 2019 and 2018</w:t>
      </w:r>
      <w:r>
        <w:t>,</w:t>
      </w:r>
      <w:r w:rsidR="00295969">
        <w:t xml:space="preserve"> 6–30,</w:t>
      </w:r>
      <w:r>
        <w:t xml:space="preserve"> accessed July 25, 2020, </w:t>
      </w:r>
      <w:r w:rsidRPr="00A022C4">
        <w:t>www.canopygrowth.com/wp-content/uploads/2020/06/Q2-FY2020-Financial-Statements-Final.pdf</w:t>
      </w:r>
      <w:r>
        <w:t>.</w:t>
      </w:r>
    </w:p>
    <w:p w14:paraId="2EFF1FAC" w14:textId="1CEB0DCF" w:rsidR="005C6A3A" w:rsidRDefault="005C6A3A" w:rsidP="00E2198D">
      <w:pPr>
        <w:pStyle w:val="Casehead1"/>
        <w:rPr>
          <w:lang w:val="en-GB"/>
        </w:rPr>
      </w:pPr>
    </w:p>
    <w:p w14:paraId="007D774C" w14:textId="77777777" w:rsidR="00630F14" w:rsidRPr="00E94AD0" w:rsidRDefault="00630F14" w:rsidP="00E2198D">
      <w:pPr>
        <w:pStyle w:val="Casehead1"/>
        <w:rPr>
          <w:lang w:val="en-GB"/>
        </w:rPr>
      </w:pPr>
    </w:p>
    <w:p w14:paraId="3A40F7A5" w14:textId="77777777" w:rsidR="009D6DBF" w:rsidRDefault="009D6DBF">
      <w:pPr>
        <w:spacing w:after="200" w:line="276" w:lineRule="auto"/>
        <w:rPr>
          <w:rFonts w:ascii="Arial" w:hAnsi="Arial" w:cs="Arial"/>
          <w:b/>
          <w:caps/>
          <w:lang w:val="en-GB"/>
        </w:rPr>
      </w:pPr>
      <w:r>
        <w:rPr>
          <w:lang w:val="en-GB"/>
        </w:rPr>
        <w:br w:type="page"/>
      </w:r>
    </w:p>
    <w:p w14:paraId="2A858B44" w14:textId="5B5AC4AD" w:rsidR="00E2198D" w:rsidRPr="00E94AD0" w:rsidRDefault="00E2198D" w:rsidP="00E2198D">
      <w:pPr>
        <w:pStyle w:val="ExhibitHeading"/>
        <w:rPr>
          <w:lang w:val="en-GB"/>
        </w:rPr>
      </w:pPr>
      <w:r w:rsidRPr="00E94AD0">
        <w:rPr>
          <w:lang w:val="en-GB"/>
        </w:rPr>
        <w:lastRenderedPageBreak/>
        <w:t>EXHIBIT 3: ILLUSTRATION OF CANOPY AND BROADER INDUSTRY SHARE PRICES</w:t>
      </w:r>
    </w:p>
    <w:p w14:paraId="71F9991E" w14:textId="77777777" w:rsidR="00E2198D" w:rsidRPr="00E94AD0" w:rsidRDefault="00E2198D" w:rsidP="00E2198D">
      <w:pPr>
        <w:pStyle w:val="ExhibitText"/>
        <w:rPr>
          <w:lang w:val="en-GB"/>
        </w:rPr>
      </w:pPr>
    </w:p>
    <w:p w14:paraId="603C7D8D" w14:textId="77777777" w:rsidR="00E2198D" w:rsidRPr="00E94AD0" w:rsidRDefault="00E2198D" w:rsidP="00E2198D">
      <w:pPr>
        <w:jc w:val="center"/>
        <w:rPr>
          <w:b/>
          <w:lang w:val="en-GB"/>
        </w:rPr>
      </w:pPr>
      <w:r w:rsidRPr="00E94AD0">
        <w:rPr>
          <w:noProof/>
          <w:lang w:val="en-GB" w:eastAsia="en-GB"/>
        </w:rPr>
        <w:drawing>
          <wp:inline distT="0" distB="0" distL="0" distR="0" wp14:anchorId="0BA97FDD" wp14:editId="56FC8F60">
            <wp:extent cx="4718304" cy="3410712"/>
            <wp:effectExtent l="0" t="0" r="6350" b="0"/>
            <wp:docPr id="38" name="Picture 38" descr="Graph illustration of Canopy and broader industry share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8304" cy="3410712"/>
                    </a:xfrm>
                    <a:prstGeom prst="rect">
                      <a:avLst/>
                    </a:prstGeom>
                  </pic:spPr>
                </pic:pic>
              </a:graphicData>
            </a:graphic>
          </wp:inline>
        </w:drawing>
      </w:r>
    </w:p>
    <w:p w14:paraId="632A0BFE" w14:textId="725AE35E" w:rsidR="009D6DBF" w:rsidRDefault="009D6DBF" w:rsidP="00136023">
      <w:pPr>
        <w:pStyle w:val="Footnote"/>
        <w:rPr>
          <w:lang w:val="en-GB"/>
        </w:rPr>
      </w:pPr>
      <w:r>
        <w:rPr>
          <w:lang w:val="en-GB"/>
        </w:rPr>
        <w:t xml:space="preserve">Source: </w:t>
      </w:r>
      <w:r>
        <w:t xml:space="preserve">Chart prepared by </w:t>
      </w:r>
      <w:r w:rsidR="0063190F">
        <w:t xml:space="preserve">the </w:t>
      </w:r>
      <w:r>
        <w:t>case authors</w:t>
      </w:r>
      <w:r w:rsidR="0063190F">
        <w:t xml:space="preserve"> with unit price data from </w:t>
      </w:r>
      <w:r w:rsidR="00E419FB">
        <w:t>“</w:t>
      </w:r>
      <w:r w:rsidR="0063190F">
        <w:t>Canopy Growth Corporation (WEED.TO),</w:t>
      </w:r>
      <w:r w:rsidR="00E419FB">
        <w:t xml:space="preserve">” </w:t>
      </w:r>
      <w:r w:rsidR="00AB21DC">
        <w:t>Y</w:t>
      </w:r>
      <w:r w:rsidR="00E419FB">
        <w:t xml:space="preserve">ahoo! </w:t>
      </w:r>
      <w:r w:rsidR="00AB21DC">
        <w:t>F</w:t>
      </w:r>
      <w:r w:rsidR="00E419FB">
        <w:t>inance,</w:t>
      </w:r>
      <w:r w:rsidR="0063190F">
        <w:t xml:space="preserve"> accessed February 25, 2021</w:t>
      </w:r>
      <w:r w:rsidR="00E419FB">
        <w:t xml:space="preserve">, </w:t>
      </w:r>
      <w:r w:rsidR="00E419FB" w:rsidRPr="00E419FB">
        <w:t>https://ca.finance.yahoo.com/quote/WEED.TO/</w:t>
      </w:r>
      <w:r w:rsidR="0063190F">
        <w:t xml:space="preserve">; </w:t>
      </w:r>
      <w:r w:rsidR="00E419FB">
        <w:t>“</w:t>
      </w:r>
      <w:r w:rsidR="0063190F">
        <w:t>Horizons Marijuana Life Sciences Index ETF (HMMJ.TO),</w:t>
      </w:r>
      <w:r w:rsidR="00E419FB">
        <w:t xml:space="preserve">” </w:t>
      </w:r>
      <w:r w:rsidR="00AB21DC">
        <w:t>Y</w:t>
      </w:r>
      <w:r w:rsidR="0063190F">
        <w:t>ahoo</w:t>
      </w:r>
      <w:r w:rsidR="00E419FB">
        <w:t xml:space="preserve">! </w:t>
      </w:r>
      <w:r w:rsidR="00AB21DC">
        <w:t>F</w:t>
      </w:r>
      <w:r w:rsidR="0063190F">
        <w:t>inance, accessed February 25, 2021</w:t>
      </w:r>
      <w:r w:rsidR="00E419FB">
        <w:t xml:space="preserve">, </w:t>
      </w:r>
      <w:r w:rsidR="00E419FB" w:rsidRPr="00E419FB">
        <w:t>https://ca.finance.yahoo.com/quote/HMMJ.TO/</w:t>
      </w:r>
      <w:r>
        <w:t>.</w:t>
      </w:r>
    </w:p>
    <w:p w14:paraId="6B502B4F" w14:textId="6C21C378" w:rsidR="0075625E" w:rsidRDefault="0075625E" w:rsidP="00E2198D">
      <w:pPr>
        <w:pStyle w:val="Casehead1"/>
        <w:rPr>
          <w:lang w:val="en-GB"/>
        </w:rPr>
      </w:pPr>
    </w:p>
    <w:p w14:paraId="6654C35C" w14:textId="77777777" w:rsidR="006B5787" w:rsidRPr="00E94AD0" w:rsidRDefault="006B5787" w:rsidP="00E2198D">
      <w:pPr>
        <w:pStyle w:val="Casehead1"/>
        <w:rPr>
          <w:lang w:val="en-GB"/>
        </w:rPr>
      </w:pPr>
    </w:p>
    <w:p w14:paraId="43EC8BA1" w14:textId="386AB3F2" w:rsidR="00E2198D" w:rsidRPr="00E94AD0" w:rsidRDefault="00E2198D" w:rsidP="005C6A3A">
      <w:pPr>
        <w:pStyle w:val="ExhibitHeading"/>
        <w:rPr>
          <w:lang w:val="en-GB"/>
        </w:rPr>
      </w:pPr>
      <w:r w:rsidRPr="00E94AD0">
        <w:rPr>
          <w:lang w:val="en-GB"/>
        </w:rPr>
        <w:t xml:space="preserve">EXHIBIT 4: FOWLER’S NOTES </w:t>
      </w:r>
      <w:r w:rsidR="00666B97">
        <w:rPr>
          <w:lang w:val="en-GB"/>
        </w:rPr>
        <w:t>from</w:t>
      </w:r>
      <w:r w:rsidRPr="00E94AD0">
        <w:rPr>
          <w:lang w:val="en-GB"/>
        </w:rPr>
        <w:t xml:space="preserve"> THE </w:t>
      </w:r>
      <w:r w:rsidRPr="00136023">
        <w:rPr>
          <w:i/>
          <w:iCs/>
          <w:lang w:val="en-GB"/>
        </w:rPr>
        <w:t>CPA CANADA HANDBOOK</w:t>
      </w:r>
    </w:p>
    <w:p w14:paraId="3FAD8C95" w14:textId="77777777" w:rsidR="005C6A3A" w:rsidRPr="00E94AD0" w:rsidRDefault="005C6A3A" w:rsidP="005C6A3A">
      <w:pPr>
        <w:pStyle w:val="ExhibitText"/>
        <w:rPr>
          <w:lang w:val="en-GB"/>
        </w:rPr>
      </w:pPr>
    </w:p>
    <w:p w14:paraId="64B57D4C" w14:textId="77777777" w:rsidR="00E2198D" w:rsidRPr="00E94AD0" w:rsidRDefault="00E2198D" w:rsidP="00E2198D">
      <w:pPr>
        <w:rPr>
          <w:rFonts w:ascii="Arial" w:hAnsi="Arial" w:cs="Arial"/>
          <w:b/>
          <w:i/>
          <w:lang w:val="en-GB"/>
        </w:rPr>
      </w:pPr>
      <w:r w:rsidRPr="00E94AD0">
        <w:rPr>
          <w:rFonts w:ascii="Arial" w:hAnsi="Arial" w:cs="Arial"/>
          <w:b/>
          <w:i/>
          <w:lang w:val="en-GB"/>
        </w:rPr>
        <w:t>Agriculture (IAS 41)</w:t>
      </w:r>
    </w:p>
    <w:p w14:paraId="2194B656" w14:textId="65662FE0" w:rsidR="00E2198D" w:rsidRPr="00E94AD0" w:rsidRDefault="00E2198D" w:rsidP="00E2198D">
      <w:pPr>
        <w:pStyle w:val="ListParagraph"/>
        <w:numPr>
          <w:ilvl w:val="0"/>
          <w:numId w:val="15"/>
        </w:numPr>
        <w:spacing w:after="160"/>
        <w:jc w:val="left"/>
        <w:rPr>
          <w:rFonts w:ascii="Arial" w:hAnsi="Arial" w:cs="Arial"/>
          <w:sz w:val="20"/>
          <w:szCs w:val="20"/>
          <w:lang w:val="en-GB"/>
        </w:rPr>
      </w:pPr>
      <w:r w:rsidRPr="00E94AD0">
        <w:rPr>
          <w:rFonts w:ascii="Arial" w:hAnsi="Arial" w:cs="Arial"/>
          <w:b/>
          <w:sz w:val="20"/>
          <w:szCs w:val="20"/>
          <w:lang w:val="en-GB"/>
        </w:rPr>
        <w:t>IAS 41.5</w:t>
      </w:r>
      <w:r w:rsidRPr="00E94AD0">
        <w:rPr>
          <w:rFonts w:ascii="Arial" w:hAnsi="Arial" w:cs="Arial"/>
          <w:sz w:val="20"/>
          <w:szCs w:val="20"/>
          <w:lang w:val="en-GB"/>
        </w:rPr>
        <w:t xml:space="preserve"> – </w:t>
      </w:r>
      <w:r w:rsidRPr="00E94AD0">
        <w:rPr>
          <w:rFonts w:ascii="Arial" w:hAnsi="Arial" w:cs="Arial"/>
          <w:i/>
          <w:sz w:val="20"/>
          <w:szCs w:val="20"/>
          <w:lang w:val="en-GB"/>
        </w:rPr>
        <w:t xml:space="preserve">Biological Asset </w:t>
      </w:r>
      <w:r w:rsidRPr="00E94AD0">
        <w:rPr>
          <w:rFonts w:ascii="Arial" w:hAnsi="Arial" w:cs="Arial"/>
          <w:sz w:val="20"/>
          <w:szCs w:val="20"/>
          <w:lang w:val="en-GB"/>
        </w:rPr>
        <w:t xml:space="preserve">– A </w:t>
      </w:r>
      <w:r w:rsidRPr="00E94AD0">
        <w:rPr>
          <w:rFonts w:ascii="Arial" w:hAnsi="Arial" w:cs="Arial"/>
          <w:i/>
          <w:sz w:val="20"/>
          <w:szCs w:val="20"/>
          <w:lang w:val="en-GB"/>
        </w:rPr>
        <w:t>Biological Asset</w:t>
      </w:r>
      <w:r w:rsidRPr="00E94AD0">
        <w:rPr>
          <w:rFonts w:ascii="Arial" w:hAnsi="Arial" w:cs="Arial"/>
          <w:sz w:val="20"/>
          <w:szCs w:val="20"/>
          <w:lang w:val="en-GB"/>
        </w:rPr>
        <w:t xml:space="preserve"> is a living animal or plant</w:t>
      </w:r>
    </w:p>
    <w:p w14:paraId="6123C008" w14:textId="2926101A" w:rsidR="00E2198D" w:rsidRPr="00E94AD0" w:rsidRDefault="00E2198D" w:rsidP="00E2198D">
      <w:pPr>
        <w:pStyle w:val="ListParagraph"/>
        <w:numPr>
          <w:ilvl w:val="0"/>
          <w:numId w:val="15"/>
        </w:numPr>
        <w:spacing w:after="160"/>
        <w:jc w:val="left"/>
        <w:rPr>
          <w:rFonts w:ascii="Arial" w:hAnsi="Arial" w:cs="Arial"/>
          <w:sz w:val="20"/>
          <w:szCs w:val="20"/>
          <w:lang w:val="en-GB"/>
        </w:rPr>
      </w:pPr>
      <w:r w:rsidRPr="00E94AD0">
        <w:rPr>
          <w:rFonts w:ascii="Arial" w:hAnsi="Arial" w:cs="Arial"/>
          <w:b/>
          <w:sz w:val="20"/>
          <w:szCs w:val="20"/>
          <w:lang w:val="en-GB"/>
        </w:rPr>
        <w:t>IAS 41.5</w:t>
      </w:r>
      <w:r w:rsidRPr="00E94AD0">
        <w:rPr>
          <w:rFonts w:ascii="Arial" w:hAnsi="Arial" w:cs="Arial"/>
          <w:sz w:val="20"/>
          <w:szCs w:val="20"/>
          <w:lang w:val="en-GB"/>
        </w:rPr>
        <w:t xml:space="preserve"> – </w:t>
      </w:r>
      <w:r w:rsidRPr="00E94AD0">
        <w:rPr>
          <w:rFonts w:ascii="Arial" w:hAnsi="Arial" w:cs="Arial"/>
          <w:i/>
          <w:sz w:val="20"/>
          <w:szCs w:val="20"/>
          <w:lang w:val="en-GB"/>
        </w:rPr>
        <w:t>Agricultural Produce –</w:t>
      </w:r>
      <w:r w:rsidRPr="00E94AD0">
        <w:rPr>
          <w:rFonts w:ascii="Arial" w:hAnsi="Arial" w:cs="Arial"/>
          <w:sz w:val="20"/>
          <w:szCs w:val="20"/>
          <w:lang w:val="en-GB"/>
        </w:rPr>
        <w:t xml:space="preserve"> </w:t>
      </w:r>
      <w:r w:rsidRPr="00E94AD0">
        <w:rPr>
          <w:rFonts w:ascii="Arial" w:hAnsi="Arial" w:cs="Arial"/>
          <w:i/>
          <w:sz w:val="20"/>
          <w:szCs w:val="20"/>
          <w:lang w:val="en-GB"/>
        </w:rPr>
        <w:t xml:space="preserve">Agricultural Produce </w:t>
      </w:r>
      <w:r w:rsidRPr="00E94AD0">
        <w:rPr>
          <w:rFonts w:ascii="Arial" w:hAnsi="Arial" w:cs="Arial"/>
          <w:sz w:val="20"/>
          <w:szCs w:val="20"/>
          <w:lang w:val="en-GB"/>
        </w:rPr>
        <w:t xml:space="preserve">is the harvested produce of the entity’s </w:t>
      </w:r>
      <w:r w:rsidRPr="00E94AD0">
        <w:rPr>
          <w:rFonts w:ascii="Arial" w:hAnsi="Arial" w:cs="Arial"/>
          <w:i/>
          <w:sz w:val="20"/>
          <w:szCs w:val="20"/>
          <w:lang w:val="en-GB"/>
        </w:rPr>
        <w:t>Biological Assets</w:t>
      </w:r>
    </w:p>
    <w:p w14:paraId="338AD4FD" w14:textId="4536E0D2" w:rsidR="00E2198D" w:rsidRPr="00E94AD0" w:rsidRDefault="00E2198D" w:rsidP="00E2198D">
      <w:pPr>
        <w:pStyle w:val="ListParagraph"/>
        <w:numPr>
          <w:ilvl w:val="0"/>
          <w:numId w:val="15"/>
        </w:numPr>
        <w:spacing w:after="160"/>
        <w:jc w:val="left"/>
        <w:rPr>
          <w:rFonts w:ascii="Arial" w:hAnsi="Arial" w:cs="Arial"/>
          <w:sz w:val="20"/>
          <w:szCs w:val="20"/>
          <w:lang w:val="en-GB"/>
        </w:rPr>
      </w:pPr>
      <w:r w:rsidRPr="00E94AD0">
        <w:rPr>
          <w:rFonts w:ascii="Arial" w:hAnsi="Arial" w:cs="Arial"/>
          <w:b/>
          <w:sz w:val="20"/>
          <w:szCs w:val="20"/>
          <w:lang w:val="en-GB"/>
        </w:rPr>
        <w:t>IAS 41.8</w:t>
      </w:r>
      <w:r w:rsidRPr="00E94AD0">
        <w:rPr>
          <w:rFonts w:ascii="Arial" w:hAnsi="Arial" w:cs="Arial"/>
          <w:sz w:val="20"/>
          <w:szCs w:val="20"/>
          <w:lang w:val="en-GB"/>
        </w:rPr>
        <w:t xml:space="preserve"> – </w:t>
      </w:r>
      <w:r w:rsidRPr="00E94AD0">
        <w:rPr>
          <w:rFonts w:ascii="Arial" w:hAnsi="Arial" w:cs="Arial"/>
          <w:i/>
          <w:sz w:val="20"/>
          <w:szCs w:val="20"/>
          <w:lang w:val="en-GB"/>
        </w:rPr>
        <w:t xml:space="preserve">Fair Value – </w:t>
      </w:r>
      <w:r w:rsidRPr="00E94AD0">
        <w:rPr>
          <w:rFonts w:ascii="Arial" w:hAnsi="Arial" w:cs="Arial"/>
          <w:sz w:val="20"/>
          <w:szCs w:val="20"/>
          <w:lang w:val="en-GB"/>
        </w:rPr>
        <w:t>is the price that would be received to sell an asset or paid to transfer a liability in an orderly transaction between market participants at the measurement date</w:t>
      </w:r>
    </w:p>
    <w:p w14:paraId="7019BED5" w14:textId="0C8C3E02" w:rsidR="00E2198D" w:rsidRPr="00E94AD0" w:rsidRDefault="00E2198D" w:rsidP="00E2198D">
      <w:pPr>
        <w:pStyle w:val="ListParagraph"/>
        <w:numPr>
          <w:ilvl w:val="0"/>
          <w:numId w:val="15"/>
        </w:numPr>
        <w:spacing w:after="160"/>
        <w:jc w:val="left"/>
        <w:rPr>
          <w:rFonts w:ascii="Arial" w:hAnsi="Arial" w:cs="Arial"/>
          <w:sz w:val="20"/>
          <w:szCs w:val="20"/>
          <w:lang w:val="en-GB"/>
        </w:rPr>
      </w:pPr>
      <w:r w:rsidRPr="00E94AD0">
        <w:rPr>
          <w:rFonts w:ascii="Arial" w:hAnsi="Arial" w:cs="Arial"/>
          <w:b/>
          <w:sz w:val="20"/>
          <w:szCs w:val="20"/>
          <w:lang w:val="en-GB"/>
        </w:rPr>
        <w:t>IAS 41.12</w:t>
      </w:r>
      <w:r w:rsidRPr="00E94AD0">
        <w:rPr>
          <w:rFonts w:ascii="Arial" w:hAnsi="Arial" w:cs="Arial"/>
          <w:sz w:val="20"/>
          <w:szCs w:val="20"/>
          <w:lang w:val="en-GB"/>
        </w:rPr>
        <w:t xml:space="preserve"> – A </w:t>
      </w:r>
      <w:r w:rsidRPr="00E94AD0">
        <w:rPr>
          <w:rFonts w:ascii="Arial" w:hAnsi="Arial" w:cs="Arial"/>
          <w:i/>
          <w:sz w:val="20"/>
          <w:szCs w:val="20"/>
          <w:lang w:val="en-GB"/>
        </w:rPr>
        <w:t>Biological Asset</w:t>
      </w:r>
      <w:r w:rsidRPr="00E94AD0">
        <w:rPr>
          <w:rFonts w:ascii="Arial" w:hAnsi="Arial" w:cs="Arial"/>
          <w:sz w:val="20"/>
          <w:szCs w:val="20"/>
          <w:lang w:val="en-GB"/>
        </w:rPr>
        <w:t xml:space="preserve"> shall be measured on initial recognition and at the end of each reporting period at its </w:t>
      </w:r>
      <w:r w:rsidRPr="00E94AD0">
        <w:rPr>
          <w:rFonts w:ascii="Arial" w:hAnsi="Arial" w:cs="Arial"/>
          <w:i/>
          <w:sz w:val="20"/>
          <w:szCs w:val="20"/>
          <w:lang w:val="en-GB"/>
        </w:rPr>
        <w:t>Fair Value</w:t>
      </w:r>
      <w:r w:rsidRPr="00E94AD0">
        <w:rPr>
          <w:rFonts w:ascii="Arial" w:hAnsi="Arial" w:cs="Arial"/>
          <w:sz w:val="20"/>
          <w:szCs w:val="20"/>
          <w:lang w:val="en-GB"/>
        </w:rPr>
        <w:t xml:space="preserve"> less costs to sell, except for the case where the </w:t>
      </w:r>
      <w:r w:rsidRPr="00E94AD0">
        <w:rPr>
          <w:rFonts w:ascii="Arial" w:hAnsi="Arial" w:cs="Arial"/>
          <w:i/>
          <w:sz w:val="20"/>
          <w:szCs w:val="20"/>
          <w:lang w:val="en-GB"/>
        </w:rPr>
        <w:t>Fair Value</w:t>
      </w:r>
      <w:r w:rsidRPr="00E94AD0">
        <w:rPr>
          <w:rFonts w:ascii="Arial" w:hAnsi="Arial" w:cs="Arial"/>
          <w:sz w:val="20"/>
          <w:szCs w:val="20"/>
          <w:lang w:val="en-GB"/>
        </w:rPr>
        <w:t xml:space="preserve"> cannot be measured reliably</w:t>
      </w:r>
    </w:p>
    <w:p w14:paraId="26BAD1D0" w14:textId="0093E2E1" w:rsidR="00E2198D" w:rsidRPr="00E94AD0" w:rsidRDefault="00E2198D" w:rsidP="00E2198D">
      <w:pPr>
        <w:pStyle w:val="ListParagraph"/>
        <w:numPr>
          <w:ilvl w:val="0"/>
          <w:numId w:val="15"/>
        </w:numPr>
        <w:spacing w:after="160"/>
        <w:jc w:val="left"/>
        <w:rPr>
          <w:rFonts w:ascii="Arial" w:hAnsi="Arial" w:cs="Arial"/>
          <w:sz w:val="20"/>
          <w:szCs w:val="20"/>
          <w:lang w:val="en-GB"/>
        </w:rPr>
      </w:pPr>
      <w:r w:rsidRPr="00E94AD0">
        <w:rPr>
          <w:rFonts w:ascii="Arial" w:hAnsi="Arial" w:cs="Arial"/>
          <w:b/>
          <w:sz w:val="20"/>
          <w:szCs w:val="20"/>
          <w:lang w:val="en-GB"/>
        </w:rPr>
        <w:t>IAS 41</w:t>
      </w:r>
      <w:r w:rsidRPr="00E94AD0">
        <w:rPr>
          <w:rFonts w:ascii="Arial" w:hAnsi="Arial" w:cs="Arial"/>
          <w:sz w:val="20"/>
          <w:szCs w:val="20"/>
          <w:lang w:val="en-GB"/>
        </w:rPr>
        <w:t>.</w:t>
      </w:r>
      <w:r w:rsidRPr="00E94AD0">
        <w:rPr>
          <w:rFonts w:ascii="Arial" w:hAnsi="Arial" w:cs="Arial"/>
          <w:b/>
          <w:sz w:val="20"/>
          <w:szCs w:val="20"/>
          <w:lang w:val="en-GB"/>
        </w:rPr>
        <w:t xml:space="preserve">13 </w:t>
      </w:r>
      <w:r w:rsidRPr="00E94AD0">
        <w:rPr>
          <w:rFonts w:ascii="Arial" w:hAnsi="Arial" w:cs="Arial"/>
          <w:sz w:val="20"/>
          <w:szCs w:val="20"/>
          <w:lang w:val="en-GB"/>
        </w:rPr>
        <w:t xml:space="preserve">– </w:t>
      </w:r>
      <w:r w:rsidRPr="00E94AD0">
        <w:rPr>
          <w:rFonts w:ascii="Arial" w:hAnsi="Arial" w:cs="Arial"/>
          <w:i/>
          <w:sz w:val="20"/>
          <w:szCs w:val="20"/>
          <w:lang w:val="en-GB"/>
        </w:rPr>
        <w:t>Agricultural Produce</w:t>
      </w:r>
      <w:r w:rsidRPr="00E94AD0">
        <w:rPr>
          <w:rFonts w:ascii="Arial" w:hAnsi="Arial" w:cs="Arial"/>
          <w:sz w:val="20"/>
          <w:szCs w:val="20"/>
          <w:lang w:val="en-GB"/>
        </w:rPr>
        <w:t xml:space="preserve"> harvested from an entity’s </w:t>
      </w:r>
      <w:r w:rsidRPr="00E94AD0">
        <w:rPr>
          <w:rFonts w:ascii="Arial" w:hAnsi="Arial" w:cs="Arial"/>
          <w:i/>
          <w:sz w:val="20"/>
          <w:szCs w:val="20"/>
          <w:lang w:val="en-GB"/>
        </w:rPr>
        <w:t>Biological Assets</w:t>
      </w:r>
      <w:r w:rsidRPr="00E94AD0">
        <w:rPr>
          <w:rFonts w:ascii="Arial" w:hAnsi="Arial" w:cs="Arial"/>
          <w:sz w:val="20"/>
          <w:szCs w:val="20"/>
          <w:lang w:val="en-GB"/>
        </w:rPr>
        <w:t xml:space="preserve"> shall be measured at its </w:t>
      </w:r>
      <w:r w:rsidRPr="00E94AD0">
        <w:rPr>
          <w:rFonts w:ascii="Arial" w:hAnsi="Arial" w:cs="Arial"/>
          <w:i/>
          <w:sz w:val="20"/>
          <w:szCs w:val="20"/>
          <w:lang w:val="en-GB"/>
        </w:rPr>
        <w:t>Fair Value</w:t>
      </w:r>
      <w:r w:rsidRPr="00E94AD0">
        <w:rPr>
          <w:rFonts w:ascii="Arial" w:hAnsi="Arial" w:cs="Arial"/>
          <w:sz w:val="20"/>
          <w:szCs w:val="20"/>
          <w:lang w:val="en-GB"/>
        </w:rPr>
        <w:t xml:space="preserve"> less costs to sell at the point of harvest. </w:t>
      </w:r>
    </w:p>
    <w:p w14:paraId="680FE9B5" w14:textId="44738C68" w:rsidR="00E2198D" w:rsidRPr="00E94AD0" w:rsidRDefault="00E2198D" w:rsidP="00E2198D">
      <w:pPr>
        <w:pStyle w:val="ListParagraph"/>
        <w:numPr>
          <w:ilvl w:val="0"/>
          <w:numId w:val="15"/>
        </w:numPr>
        <w:spacing w:after="160"/>
        <w:jc w:val="left"/>
        <w:rPr>
          <w:rFonts w:ascii="Arial" w:hAnsi="Arial" w:cs="Arial"/>
          <w:sz w:val="20"/>
          <w:szCs w:val="20"/>
          <w:lang w:val="en-GB"/>
        </w:rPr>
      </w:pPr>
      <w:r w:rsidRPr="00E94AD0">
        <w:rPr>
          <w:rFonts w:ascii="Arial" w:hAnsi="Arial" w:cs="Arial"/>
          <w:b/>
          <w:sz w:val="20"/>
          <w:szCs w:val="20"/>
          <w:lang w:val="en-GB"/>
        </w:rPr>
        <w:t>IAS 41.26</w:t>
      </w:r>
      <w:r w:rsidRPr="00E94AD0">
        <w:rPr>
          <w:rFonts w:ascii="Arial" w:hAnsi="Arial" w:cs="Arial"/>
          <w:sz w:val="20"/>
          <w:szCs w:val="20"/>
          <w:lang w:val="en-GB"/>
        </w:rPr>
        <w:t xml:space="preserve"> – A gain or loss arising on initial recognition of a </w:t>
      </w:r>
      <w:r w:rsidRPr="00E94AD0">
        <w:rPr>
          <w:rFonts w:ascii="Arial" w:hAnsi="Arial" w:cs="Arial"/>
          <w:i/>
          <w:sz w:val="20"/>
          <w:szCs w:val="20"/>
          <w:lang w:val="en-GB"/>
        </w:rPr>
        <w:t>Biological Asset</w:t>
      </w:r>
      <w:r w:rsidRPr="00E94AD0">
        <w:rPr>
          <w:rFonts w:ascii="Arial" w:hAnsi="Arial" w:cs="Arial"/>
          <w:sz w:val="20"/>
          <w:szCs w:val="20"/>
          <w:lang w:val="en-GB"/>
        </w:rPr>
        <w:t xml:space="preserve"> at </w:t>
      </w:r>
      <w:r w:rsidRPr="00E94AD0">
        <w:rPr>
          <w:rFonts w:ascii="Arial" w:hAnsi="Arial" w:cs="Arial"/>
          <w:i/>
          <w:sz w:val="20"/>
          <w:szCs w:val="20"/>
          <w:lang w:val="en-GB"/>
        </w:rPr>
        <w:t>Fair Value</w:t>
      </w:r>
      <w:r w:rsidRPr="00E94AD0">
        <w:rPr>
          <w:rFonts w:ascii="Arial" w:hAnsi="Arial" w:cs="Arial"/>
          <w:sz w:val="20"/>
          <w:szCs w:val="20"/>
          <w:lang w:val="en-GB"/>
        </w:rPr>
        <w:t xml:space="preserve"> less costs to sell and from a change in </w:t>
      </w:r>
      <w:r w:rsidRPr="00E94AD0">
        <w:rPr>
          <w:rFonts w:ascii="Arial" w:hAnsi="Arial" w:cs="Arial"/>
          <w:i/>
          <w:sz w:val="20"/>
          <w:szCs w:val="20"/>
          <w:lang w:val="en-GB"/>
        </w:rPr>
        <w:t>Fair Value</w:t>
      </w:r>
      <w:r w:rsidRPr="00E94AD0">
        <w:rPr>
          <w:rFonts w:ascii="Arial" w:hAnsi="Arial" w:cs="Arial"/>
          <w:sz w:val="20"/>
          <w:szCs w:val="20"/>
          <w:lang w:val="en-GB"/>
        </w:rPr>
        <w:t xml:space="preserve"> less costs to sell of a biological asset </w:t>
      </w:r>
      <w:r w:rsidRPr="00E94AD0">
        <w:rPr>
          <w:rFonts w:ascii="Arial" w:hAnsi="Arial" w:cs="Arial"/>
          <w:sz w:val="20"/>
          <w:szCs w:val="20"/>
          <w:u w:val="single"/>
          <w:lang w:val="en-GB"/>
        </w:rPr>
        <w:t>shall be included in profit or loss for the period in which it arises</w:t>
      </w:r>
      <w:r w:rsidRPr="00E94AD0">
        <w:rPr>
          <w:rFonts w:ascii="Arial" w:hAnsi="Arial" w:cs="Arial"/>
          <w:sz w:val="20"/>
          <w:szCs w:val="20"/>
          <w:lang w:val="en-GB"/>
        </w:rPr>
        <w:t xml:space="preserve">. </w:t>
      </w:r>
    </w:p>
    <w:p w14:paraId="4585BA17" w14:textId="77777777" w:rsidR="00E2198D" w:rsidRPr="00E94AD0" w:rsidRDefault="00E2198D" w:rsidP="00E2198D">
      <w:pPr>
        <w:rPr>
          <w:rFonts w:ascii="Arial" w:hAnsi="Arial" w:cs="Arial"/>
          <w:b/>
          <w:lang w:val="en-GB"/>
        </w:rPr>
      </w:pPr>
      <w:r w:rsidRPr="00E94AD0">
        <w:rPr>
          <w:rFonts w:ascii="Arial" w:hAnsi="Arial" w:cs="Arial"/>
          <w:b/>
          <w:i/>
          <w:lang w:val="en-GB"/>
        </w:rPr>
        <w:t>Investments in Associates and Joint Ventures (IAS 28)</w:t>
      </w:r>
    </w:p>
    <w:p w14:paraId="183219DC" w14:textId="797E9DAC" w:rsidR="00157FB5" w:rsidRDefault="00E2198D" w:rsidP="00157FB5">
      <w:pPr>
        <w:pStyle w:val="ListParagraph"/>
        <w:numPr>
          <w:ilvl w:val="0"/>
          <w:numId w:val="16"/>
        </w:numPr>
        <w:spacing w:after="160"/>
        <w:jc w:val="left"/>
        <w:rPr>
          <w:rFonts w:ascii="Arial" w:hAnsi="Arial" w:cs="Arial"/>
          <w:sz w:val="20"/>
          <w:szCs w:val="20"/>
          <w:lang w:val="en-GB"/>
        </w:rPr>
      </w:pPr>
      <w:r w:rsidRPr="00E94AD0">
        <w:rPr>
          <w:rFonts w:ascii="Arial" w:hAnsi="Arial" w:cs="Arial"/>
          <w:b/>
          <w:sz w:val="20"/>
          <w:szCs w:val="20"/>
          <w:lang w:val="en-GB"/>
        </w:rPr>
        <w:t>IAS 28.5</w:t>
      </w:r>
      <w:r w:rsidRPr="00E94AD0">
        <w:rPr>
          <w:rFonts w:ascii="Arial" w:hAnsi="Arial" w:cs="Arial"/>
          <w:sz w:val="20"/>
          <w:szCs w:val="20"/>
          <w:lang w:val="en-GB"/>
        </w:rPr>
        <w:t xml:space="preserve"> – </w:t>
      </w:r>
      <w:r w:rsidRPr="00E94AD0">
        <w:rPr>
          <w:rFonts w:ascii="Arial" w:hAnsi="Arial" w:cs="Arial"/>
          <w:i/>
          <w:sz w:val="20"/>
          <w:szCs w:val="20"/>
          <w:lang w:val="en-GB"/>
        </w:rPr>
        <w:t>Significant Influence</w:t>
      </w:r>
      <w:r w:rsidRPr="00E94AD0">
        <w:rPr>
          <w:rFonts w:ascii="Arial" w:hAnsi="Arial" w:cs="Arial"/>
          <w:sz w:val="20"/>
          <w:szCs w:val="20"/>
          <w:lang w:val="en-GB"/>
        </w:rPr>
        <w:t xml:space="preserve"> – If an entity holds, directly or indirectly (</w:t>
      </w:r>
      <w:r w:rsidR="00AA1A8C" w:rsidRPr="00E94AD0">
        <w:rPr>
          <w:rFonts w:ascii="Arial" w:hAnsi="Arial" w:cs="Arial"/>
          <w:sz w:val="20"/>
          <w:szCs w:val="20"/>
          <w:lang w:val="en-GB"/>
        </w:rPr>
        <w:t>e.g.</w:t>
      </w:r>
      <w:r w:rsidRPr="00E94AD0">
        <w:rPr>
          <w:rFonts w:ascii="Arial" w:hAnsi="Arial" w:cs="Arial"/>
          <w:sz w:val="20"/>
          <w:szCs w:val="20"/>
          <w:lang w:val="en-GB"/>
        </w:rPr>
        <w:t xml:space="preserve"> through subsidiaries), 20 per cent or more of the voting power of the investee, it is presumed that the entity has significant influence, unless it can be clearly demonstrated this is not the case. Conversely, if the entity holds directly or indirectly (</w:t>
      </w:r>
      <w:r w:rsidR="00AA1A8C" w:rsidRPr="00E94AD0">
        <w:rPr>
          <w:rFonts w:ascii="Arial" w:hAnsi="Arial" w:cs="Arial"/>
          <w:sz w:val="20"/>
          <w:szCs w:val="20"/>
          <w:lang w:val="en-GB"/>
        </w:rPr>
        <w:t>e.g.</w:t>
      </w:r>
      <w:r w:rsidRPr="00E94AD0">
        <w:rPr>
          <w:rFonts w:ascii="Arial" w:hAnsi="Arial" w:cs="Arial"/>
          <w:sz w:val="20"/>
          <w:szCs w:val="20"/>
          <w:lang w:val="en-GB"/>
        </w:rPr>
        <w:t xml:space="preserve"> through subsidiaries), less than 20 per cent of the voting power of the investee, it is presumed that the entity does not have significant influence, unless such influence can be clearly demonstrated. </w:t>
      </w:r>
    </w:p>
    <w:p w14:paraId="241D8651" w14:textId="06DEDE24" w:rsidR="00E539EF" w:rsidRDefault="00E539EF" w:rsidP="00157FB5">
      <w:pPr>
        <w:pStyle w:val="ExhibitHeading"/>
        <w:rPr>
          <w:lang w:val="en-GB"/>
        </w:rPr>
      </w:pPr>
      <w:r w:rsidRPr="00157FB5">
        <w:rPr>
          <w:lang w:val="en-GB"/>
        </w:rPr>
        <w:lastRenderedPageBreak/>
        <w:t>exhibit 4 (continued)</w:t>
      </w:r>
    </w:p>
    <w:p w14:paraId="2EFCB3EA" w14:textId="77777777" w:rsidR="00157FB5" w:rsidRPr="00157FB5" w:rsidRDefault="00157FB5" w:rsidP="00157FB5">
      <w:pPr>
        <w:pStyle w:val="Footnote"/>
        <w:rPr>
          <w:lang w:val="en-GB"/>
        </w:rPr>
      </w:pPr>
    </w:p>
    <w:p w14:paraId="742E1817" w14:textId="0A6E6C80" w:rsidR="00E2198D" w:rsidRPr="00E94AD0" w:rsidRDefault="00E2198D" w:rsidP="00C8482F">
      <w:pPr>
        <w:pStyle w:val="ListParagraph"/>
        <w:numPr>
          <w:ilvl w:val="0"/>
          <w:numId w:val="16"/>
        </w:numPr>
        <w:jc w:val="left"/>
        <w:rPr>
          <w:rFonts w:ascii="Arial" w:hAnsi="Arial" w:cs="Arial"/>
          <w:sz w:val="20"/>
          <w:szCs w:val="20"/>
          <w:lang w:val="en-GB"/>
        </w:rPr>
      </w:pPr>
      <w:r w:rsidRPr="00E94AD0">
        <w:rPr>
          <w:rFonts w:ascii="Arial" w:hAnsi="Arial" w:cs="Arial"/>
          <w:b/>
          <w:sz w:val="20"/>
          <w:szCs w:val="20"/>
          <w:lang w:val="en-GB"/>
        </w:rPr>
        <w:t>IAS 28.6</w:t>
      </w:r>
      <w:r w:rsidRPr="00E94AD0">
        <w:rPr>
          <w:rFonts w:ascii="Arial" w:hAnsi="Arial" w:cs="Arial"/>
          <w:sz w:val="20"/>
          <w:szCs w:val="20"/>
          <w:lang w:val="en-GB"/>
        </w:rPr>
        <w:t xml:space="preserve"> – </w:t>
      </w:r>
      <w:r w:rsidRPr="00E94AD0">
        <w:rPr>
          <w:rFonts w:ascii="Arial" w:hAnsi="Arial" w:cs="Arial"/>
          <w:i/>
          <w:sz w:val="20"/>
          <w:szCs w:val="20"/>
          <w:lang w:val="en-GB"/>
        </w:rPr>
        <w:t>Significant influence</w:t>
      </w:r>
      <w:r w:rsidRPr="00E94AD0">
        <w:rPr>
          <w:rFonts w:ascii="Arial" w:hAnsi="Arial" w:cs="Arial"/>
          <w:sz w:val="20"/>
          <w:szCs w:val="20"/>
          <w:lang w:val="en-GB"/>
        </w:rPr>
        <w:t xml:space="preserve"> – the existence of significant influence by an entity is usually evidenced in one or more of the following ways:</w:t>
      </w:r>
    </w:p>
    <w:p w14:paraId="275F0EFC" w14:textId="77777777" w:rsidR="00E2198D" w:rsidRPr="00E94AD0" w:rsidRDefault="00E2198D" w:rsidP="00C8482F">
      <w:pPr>
        <w:pStyle w:val="ListParagraph"/>
        <w:numPr>
          <w:ilvl w:val="1"/>
          <w:numId w:val="16"/>
        </w:numPr>
        <w:jc w:val="left"/>
        <w:rPr>
          <w:rFonts w:ascii="Arial" w:hAnsi="Arial" w:cs="Arial"/>
          <w:sz w:val="20"/>
          <w:szCs w:val="20"/>
          <w:lang w:val="en-GB"/>
        </w:rPr>
      </w:pPr>
      <w:r w:rsidRPr="00E94AD0">
        <w:rPr>
          <w:rFonts w:ascii="Arial" w:hAnsi="Arial" w:cs="Arial"/>
          <w:sz w:val="20"/>
          <w:szCs w:val="20"/>
          <w:lang w:val="en-GB"/>
        </w:rPr>
        <w:t>(a) representation on the board of directors or equivalent governing body of the investee;</w:t>
      </w:r>
    </w:p>
    <w:p w14:paraId="04CEB14B" w14:textId="77777777" w:rsidR="00E2198D" w:rsidRPr="00E94AD0" w:rsidRDefault="00E2198D" w:rsidP="00C8482F">
      <w:pPr>
        <w:pStyle w:val="ListParagraph"/>
        <w:numPr>
          <w:ilvl w:val="1"/>
          <w:numId w:val="16"/>
        </w:numPr>
        <w:jc w:val="left"/>
        <w:rPr>
          <w:rFonts w:ascii="Arial" w:hAnsi="Arial" w:cs="Arial"/>
          <w:sz w:val="20"/>
          <w:szCs w:val="20"/>
          <w:lang w:val="en-GB"/>
        </w:rPr>
      </w:pPr>
      <w:r w:rsidRPr="00E94AD0">
        <w:rPr>
          <w:rFonts w:ascii="Arial" w:hAnsi="Arial" w:cs="Arial"/>
          <w:sz w:val="20"/>
          <w:szCs w:val="20"/>
          <w:lang w:val="en-GB"/>
        </w:rPr>
        <w:t>(b) participation in policy-making processes, including participation in decisions about dividends or other distributions;</w:t>
      </w:r>
    </w:p>
    <w:p w14:paraId="08743243" w14:textId="77777777" w:rsidR="00E2198D" w:rsidRPr="00E94AD0" w:rsidRDefault="00E2198D" w:rsidP="00C8482F">
      <w:pPr>
        <w:pStyle w:val="ListParagraph"/>
        <w:numPr>
          <w:ilvl w:val="1"/>
          <w:numId w:val="16"/>
        </w:numPr>
        <w:jc w:val="left"/>
        <w:rPr>
          <w:rFonts w:ascii="Arial" w:hAnsi="Arial" w:cs="Arial"/>
          <w:sz w:val="20"/>
          <w:szCs w:val="20"/>
          <w:lang w:val="en-GB"/>
        </w:rPr>
      </w:pPr>
      <w:r w:rsidRPr="00E94AD0">
        <w:rPr>
          <w:rFonts w:ascii="Arial" w:hAnsi="Arial" w:cs="Arial"/>
          <w:sz w:val="20"/>
          <w:szCs w:val="20"/>
          <w:lang w:val="en-GB"/>
        </w:rPr>
        <w:t>(c) material transactions between the entity and its investee;</w:t>
      </w:r>
    </w:p>
    <w:p w14:paraId="6CB8E7AA" w14:textId="77777777" w:rsidR="00E2198D" w:rsidRPr="00E94AD0" w:rsidRDefault="00E2198D" w:rsidP="00C8482F">
      <w:pPr>
        <w:pStyle w:val="ListParagraph"/>
        <w:numPr>
          <w:ilvl w:val="1"/>
          <w:numId w:val="16"/>
        </w:numPr>
        <w:jc w:val="left"/>
        <w:rPr>
          <w:rFonts w:ascii="Arial" w:hAnsi="Arial" w:cs="Arial"/>
          <w:sz w:val="20"/>
          <w:szCs w:val="20"/>
          <w:lang w:val="en-GB"/>
        </w:rPr>
      </w:pPr>
      <w:r w:rsidRPr="00E94AD0">
        <w:rPr>
          <w:rFonts w:ascii="Arial" w:hAnsi="Arial" w:cs="Arial"/>
          <w:sz w:val="20"/>
          <w:szCs w:val="20"/>
          <w:lang w:val="en-GB"/>
        </w:rPr>
        <w:t>(d) interchange of managerial personnel; or</w:t>
      </w:r>
    </w:p>
    <w:p w14:paraId="0C9C4EDC" w14:textId="77777777" w:rsidR="00E2198D" w:rsidRPr="00E94AD0" w:rsidRDefault="00E2198D" w:rsidP="00C8482F">
      <w:pPr>
        <w:pStyle w:val="ListParagraph"/>
        <w:numPr>
          <w:ilvl w:val="1"/>
          <w:numId w:val="16"/>
        </w:numPr>
        <w:jc w:val="left"/>
        <w:rPr>
          <w:rFonts w:ascii="Arial" w:hAnsi="Arial" w:cs="Arial"/>
          <w:sz w:val="20"/>
          <w:szCs w:val="20"/>
          <w:lang w:val="en-GB"/>
        </w:rPr>
      </w:pPr>
      <w:r w:rsidRPr="00E94AD0">
        <w:rPr>
          <w:rFonts w:ascii="Arial" w:hAnsi="Arial" w:cs="Arial"/>
          <w:sz w:val="20"/>
          <w:szCs w:val="20"/>
          <w:lang w:val="en-GB"/>
        </w:rPr>
        <w:t>(e) provision of essential technical information</w:t>
      </w:r>
    </w:p>
    <w:p w14:paraId="638A0930" w14:textId="7AAD3C39" w:rsidR="00E2198D" w:rsidRPr="00E94AD0" w:rsidRDefault="00E2198D" w:rsidP="00C8482F">
      <w:pPr>
        <w:pStyle w:val="ListParagraph"/>
        <w:numPr>
          <w:ilvl w:val="0"/>
          <w:numId w:val="16"/>
        </w:numPr>
        <w:jc w:val="left"/>
        <w:rPr>
          <w:rFonts w:ascii="Arial" w:hAnsi="Arial" w:cs="Arial"/>
          <w:sz w:val="20"/>
          <w:szCs w:val="20"/>
          <w:lang w:val="en-GB"/>
        </w:rPr>
      </w:pPr>
      <w:r w:rsidRPr="00E94AD0">
        <w:rPr>
          <w:rFonts w:ascii="Arial" w:hAnsi="Arial" w:cs="Arial"/>
          <w:b/>
          <w:sz w:val="20"/>
          <w:szCs w:val="20"/>
          <w:lang w:val="en-GB"/>
        </w:rPr>
        <w:t>IAS 28.10</w:t>
      </w:r>
      <w:r w:rsidRPr="00E94AD0">
        <w:rPr>
          <w:rFonts w:ascii="Arial" w:hAnsi="Arial" w:cs="Arial"/>
          <w:sz w:val="20"/>
          <w:szCs w:val="20"/>
          <w:lang w:val="en-GB"/>
        </w:rPr>
        <w:t xml:space="preserve"> – </w:t>
      </w:r>
      <w:r w:rsidRPr="00E94AD0">
        <w:rPr>
          <w:rFonts w:ascii="Arial" w:hAnsi="Arial" w:cs="Arial"/>
          <w:i/>
          <w:sz w:val="20"/>
          <w:szCs w:val="20"/>
          <w:lang w:val="en-GB"/>
        </w:rPr>
        <w:t>equity method</w:t>
      </w:r>
      <w:r w:rsidRPr="00E94AD0">
        <w:rPr>
          <w:rFonts w:ascii="Arial" w:hAnsi="Arial" w:cs="Arial"/>
          <w:sz w:val="20"/>
          <w:szCs w:val="20"/>
          <w:lang w:val="en-GB"/>
        </w:rPr>
        <w:t xml:space="preserve"> – under the equity method, on initial recognition the investment in an associate or joint venture is recognized at cost, and the carrying amount is increased or decreased to recognize the investor’s share of the profit or loss of the investee after the date of acquisition. The investor’s share of the investee’s profit or loss is recognized in the investor’s profit or loss. Distributions received from an investee reduce the carrying amount of the investment. </w:t>
      </w:r>
    </w:p>
    <w:p w14:paraId="77C5A8B1" w14:textId="77777777" w:rsidR="00AA1A8C" w:rsidRPr="00C8482F" w:rsidRDefault="00AA1A8C" w:rsidP="00E2198D">
      <w:pPr>
        <w:rPr>
          <w:rFonts w:ascii="Arial" w:hAnsi="Arial" w:cs="Arial"/>
          <w:b/>
          <w:i/>
          <w:sz w:val="16"/>
          <w:lang w:val="en-GB"/>
        </w:rPr>
      </w:pPr>
    </w:p>
    <w:p w14:paraId="418F6A47" w14:textId="3CB49BB1" w:rsidR="00E2198D" w:rsidRPr="00E94AD0" w:rsidRDefault="00E2198D" w:rsidP="00E2198D">
      <w:pPr>
        <w:rPr>
          <w:rFonts w:ascii="Arial" w:hAnsi="Arial" w:cs="Arial"/>
          <w:lang w:val="en-GB"/>
        </w:rPr>
      </w:pPr>
      <w:r w:rsidRPr="00E94AD0">
        <w:rPr>
          <w:rFonts w:ascii="Arial" w:hAnsi="Arial" w:cs="Arial"/>
          <w:b/>
          <w:i/>
          <w:lang w:val="en-GB"/>
        </w:rPr>
        <w:t>Impairment of Assets (IAS 36)</w:t>
      </w:r>
    </w:p>
    <w:p w14:paraId="35ECF897" w14:textId="1F4220CE" w:rsidR="00E2198D" w:rsidRPr="00C8482F" w:rsidRDefault="00E2198D" w:rsidP="00E2198D">
      <w:pPr>
        <w:pStyle w:val="ListParagraph"/>
        <w:numPr>
          <w:ilvl w:val="0"/>
          <w:numId w:val="16"/>
        </w:numPr>
        <w:spacing w:after="160"/>
        <w:jc w:val="left"/>
        <w:rPr>
          <w:rFonts w:ascii="Arial" w:hAnsi="Arial" w:cs="Arial"/>
          <w:spacing w:val="-2"/>
          <w:sz w:val="20"/>
          <w:szCs w:val="20"/>
          <w:lang w:val="en-GB"/>
        </w:rPr>
      </w:pPr>
      <w:r w:rsidRPr="00C8482F">
        <w:rPr>
          <w:rFonts w:ascii="Arial" w:hAnsi="Arial" w:cs="Arial"/>
          <w:b/>
          <w:spacing w:val="-2"/>
          <w:sz w:val="20"/>
          <w:szCs w:val="20"/>
          <w:lang w:val="en-GB"/>
        </w:rPr>
        <w:t>IAS 36.6</w:t>
      </w:r>
      <w:r w:rsidRPr="00C8482F">
        <w:rPr>
          <w:rFonts w:ascii="Arial" w:hAnsi="Arial" w:cs="Arial"/>
          <w:b/>
          <w:i/>
          <w:spacing w:val="-2"/>
          <w:sz w:val="20"/>
          <w:szCs w:val="20"/>
          <w:lang w:val="en-GB"/>
        </w:rPr>
        <w:t xml:space="preserve"> </w:t>
      </w:r>
      <w:r w:rsidRPr="00C8482F">
        <w:rPr>
          <w:rFonts w:ascii="Arial" w:hAnsi="Arial" w:cs="Arial"/>
          <w:spacing w:val="-2"/>
          <w:sz w:val="20"/>
          <w:szCs w:val="20"/>
          <w:lang w:val="en-GB"/>
        </w:rPr>
        <w:t xml:space="preserve">– </w:t>
      </w:r>
      <w:r w:rsidRPr="00C8482F">
        <w:rPr>
          <w:rFonts w:ascii="Arial" w:hAnsi="Arial" w:cs="Arial"/>
          <w:i/>
          <w:spacing w:val="-2"/>
          <w:sz w:val="20"/>
          <w:szCs w:val="20"/>
          <w:lang w:val="en-GB"/>
        </w:rPr>
        <w:t>Carrying Amount</w:t>
      </w:r>
      <w:r w:rsidRPr="00C8482F">
        <w:rPr>
          <w:rFonts w:ascii="Arial" w:hAnsi="Arial" w:cs="Arial"/>
          <w:spacing w:val="-2"/>
          <w:sz w:val="20"/>
          <w:szCs w:val="20"/>
          <w:lang w:val="en-GB"/>
        </w:rPr>
        <w:t xml:space="preserve"> – a </w:t>
      </w:r>
      <w:r w:rsidRPr="00C8482F">
        <w:rPr>
          <w:rFonts w:ascii="Arial" w:hAnsi="Arial" w:cs="Arial"/>
          <w:i/>
          <w:spacing w:val="-2"/>
          <w:sz w:val="20"/>
          <w:szCs w:val="20"/>
          <w:lang w:val="en-GB"/>
        </w:rPr>
        <w:t>Carrying Amount</w:t>
      </w:r>
      <w:r w:rsidRPr="00C8482F">
        <w:rPr>
          <w:rFonts w:ascii="Arial" w:hAnsi="Arial" w:cs="Arial"/>
          <w:spacing w:val="-2"/>
          <w:sz w:val="20"/>
          <w:szCs w:val="20"/>
          <w:lang w:val="en-GB"/>
        </w:rPr>
        <w:t xml:space="preserve"> is the amount at which an asset is recognized after deducing any accumulated depreciation (amortization) and accumulated </w:t>
      </w:r>
      <w:r w:rsidRPr="00C8482F">
        <w:rPr>
          <w:rFonts w:ascii="Arial" w:hAnsi="Arial" w:cs="Arial"/>
          <w:i/>
          <w:spacing w:val="-2"/>
          <w:sz w:val="20"/>
          <w:szCs w:val="20"/>
          <w:lang w:val="en-GB"/>
        </w:rPr>
        <w:t>Impairment Losses</w:t>
      </w:r>
      <w:r w:rsidRPr="00C8482F">
        <w:rPr>
          <w:rFonts w:ascii="Arial" w:hAnsi="Arial" w:cs="Arial"/>
          <w:spacing w:val="-2"/>
          <w:sz w:val="20"/>
          <w:szCs w:val="20"/>
          <w:lang w:val="en-GB"/>
        </w:rPr>
        <w:t xml:space="preserve"> thereon</w:t>
      </w:r>
    </w:p>
    <w:p w14:paraId="5F0987AE" w14:textId="31AD6FFF" w:rsidR="00E2198D" w:rsidRPr="00E94AD0" w:rsidRDefault="00E2198D" w:rsidP="00E2198D">
      <w:pPr>
        <w:pStyle w:val="ListParagraph"/>
        <w:numPr>
          <w:ilvl w:val="0"/>
          <w:numId w:val="16"/>
        </w:numPr>
        <w:spacing w:after="160"/>
        <w:jc w:val="left"/>
        <w:rPr>
          <w:rFonts w:ascii="Arial" w:hAnsi="Arial" w:cs="Arial"/>
          <w:sz w:val="20"/>
          <w:szCs w:val="20"/>
          <w:lang w:val="en-GB"/>
        </w:rPr>
      </w:pPr>
      <w:r w:rsidRPr="00E94AD0">
        <w:rPr>
          <w:rFonts w:ascii="Arial" w:hAnsi="Arial" w:cs="Arial"/>
          <w:b/>
          <w:sz w:val="20"/>
          <w:szCs w:val="20"/>
          <w:lang w:val="en-GB"/>
        </w:rPr>
        <w:t xml:space="preserve">IAS 36.6 </w:t>
      </w:r>
      <w:r w:rsidRPr="00E94AD0">
        <w:rPr>
          <w:rFonts w:ascii="Arial" w:hAnsi="Arial" w:cs="Arial"/>
          <w:sz w:val="20"/>
          <w:szCs w:val="20"/>
          <w:lang w:val="en-GB"/>
        </w:rPr>
        <w:t xml:space="preserve">– </w:t>
      </w:r>
      <w:r w:rsidRPr="00E94AD0">
        <w:rPr>
          <w:rFonts w:ascii="Arial" w:hAnsi="Arial" w:cs="Arial"/>
          <w:i/>
          <w:sz w:val="20"/>
          <w:szCs w:val="20"/>
          <w:lang w:val="en-GB"/>
        </w:rPr>
        <w:t>Cash-generating Unit</w:t>
      </w:r>
      <w:r w:rsidRPr="00E94AD0">
        <w:rPr>
          <w:rFonts w:ascii="Arial" w:hAnsi="Arial" w:cs="Arial"/>
          <w:sz w:val="20"/>
          <w:szCs w:val="20"/>
          <w:lang w:val="en-GB"/>
        </w:rPr>
        <w:t xml:space="preserve"> – A </w:t>
      </w:r>
      <w:r w:rsidRPr="00E94AD0">
        <w:rPr>
          <w:rFonts w:ascii="Arial" w:hAnsi="Arial" w:cs="Arial"/>
          <w:i/>
          <w:sz w:val="20"/>
          <w:szCs w:val="20"/>
          <w:lang w:val="en-GB"/>
        </w:rPr>
        <w:t xml:space="preserve">Cash-generating Unit </w:t>
      </w:r>
      <w:r w:rsidRPr="00E94AD0">
        <w:rPr>
          <w:rFonts w:ascii="Arial" w:hAnsi="Arial" w:cs="Arial"/>
          <w:sz w:val="20"/>
          <w:szCs w:val="20"/>
          <w:lang w:val="en-GB"/>
        </w:rPr>
        <w:t>is the smallest identifiable group of assets that generates cash inflows largely independent of cash inflows from other assets or groups of assets</w:t>
      </w:r>
    </w:p>
    <w:p w14:paraId="0BA6FB5A" w14:textId="6F086708" w:rsidR="00E2198D" w:rsidRPr="00E94AD0" w:rsidRDefault="00E2198D" w:rsidP="00E2198D">
      <w:pPr>
        <w:pStyle w:val="ListParagraph"/>
        <w:numPr>
          <w:ilvl w:val="0"/>
          <w:numId w:val="16"/>
        </w:numPr>
        <w:spacing w:after="160"/>
        <w:jc w:val="left"/>
        <w:rPr>
          <w:rFonts w:ascii="Arial" w:hAnsi="Arial" w:cs="Arial"/>
          <w:sz w:val="20"/>
          <w:szCs w:val="20"/>
          <w:lang w:val="en-GB"/>
        </w:rPr>
      </w:pPr>
      <w:r w:rsidRPr="00E94AD0">
        <w:rPr>
          <w:rFonts w:ascii="Arial" w:hAnsi="Arial" w:cs="Arial"/>
          <w:b/>
          <w:sz w:val="20"/>
          <w:szCs w:val="20"/>
          <w:lang w:val="en-GB"/>
        </w:rPr>
        <w:t>IAS 36.6</w:t>
      </w:r>
      <w:r w:rsidRPr="00E94AD0">
        <w:rPr>
          <w:rFonts w:ascii="Arial" w:hAnsi="Arial" w:cs="Arial"/>
          <w:sz w:val="20"/>
          <w:szCs w:val="20"/>
          <w:lang w:val="en-GB"/>
        </w:rPr>
        <w:t xml:space="preserve"> – </w:t>
      </w:r>
      <w:r w:rsidRPr="00E94AD0">
        <w:rPr>
          <w:rFonts w:ascii="Arial" w:hAnsi="Arial" w:cs="Arial"/>
          <w:i/>
          <w:sz w:val="20"/>
          <w:szCs w:val="20"/>
          <w:lang w:val="en-GB"/>
        </w:rPr>
        <w:t>Impairment Loss</w:t>
      </w:r>
      <w:r w:rsidRPr="00E94AD0">
        <w:rPr>
          <w:rFonts w:ascii="Arial" w:hAnsi="Arial" w:cs="Arial"/>
          <w:sz w:val="20"/>
          <w:szCs w:val="20"/>
          <w:lang w:val="en-GB"/>
        </w:rPr>
        <w:t xml:space="preserve"> – an </w:t>
      </w:r>
      <w:r w:rsidRPr="00E94AD0">
        <w:rPr>
          <w:rFonts w:ascii="Arial" w:hAnsi="Arial" w:cs="Arial"/>
          <w:i/>
          <w:sz w:val="20"/>
          <w:szCs w:val="20"/>
          <w:lang w:val="en-GB"/>
        </w:rPr>
        <w:t>Impairment Loss</w:t>
      </w:r>
      <w:r w:rsidRPr="00E94AD0">
        <w:rPr>
          <w:rFonts w:ascii="Arial" w:hAnsi="Arial" w:cs="Arial"/>
          <w:sz w:val="20"/>
          <w:szCs w:val="20"/>
          <w:lang w:val="en-GB"/>
        </w:rPr>
        <w:t xml:space="preserve"> is the amount by which the carrying amount of an asset or cash-generating unit exceeds its </w:t>
      </w:r>
      <w:r w:rsidRPr="00E94AD0">
        <w:rPr>
          <w:rFonts w:ascii="Arial" w:hAnsi="Arial" w:cs="Arial"/>
          <w:i/>
          <w:sz w:val="20"/>
          <w:szCs w:val="20"/>
          <w:lang w:val="en-GB"/>
        </w:rPr>
        <w:t>Recoverable Amount</w:t>
      </w:r>
      <w:r w:rsidRPr="00E94AD0">
        <w:rPr>
          <w:rFonts w:ascii="Arial" w:hAnsi="Arial" w:cs="Arial"/>
          <w:sz w:val="20"/>
          <w:szCs w:val="20"/>
          <w:lang w:val="en-GB"/>
        </w:rPr>
        <w:t>.</w:t>
      </w:r>
    </w:p>
    <w:p w14:paraId="200556B5" w14:textId="43CE9CBF" w:rsidR="00E2198D" w:rsidRPr="00E94AD0" w:rsidRDefault="00E2198D" w:rsidP="00E2198D">
      <w:pPr>
        <w:pStyle w:val="ListParagraph"/>
        <w:numPr>
          <w:ilvl w:val="0"/>
          <w:numId w:val="16"/>
        </w:numPr>
        <w:spacing w:after="160"/>
        <w:jc w:val="left"/>
        <w:rPr>
          <w:rFonts w:ascii="Arial" w:hAnsi="Arial" w:cs="Arial"/>
          <w:sz w:val="20"/>
          <w:szCs w:val="20"/>
          <w:lang w:val="en-GB"/>
        </w:rPr>
      </w:pPr>
      <w:r w:rsidRPr="00E94AD0">
        <w:rPr>
          <w:rFonts w:ascii="Arial" w:hAnsi="Arial" w:cs="Arial"/>
          <w:b/>
          <w:sz w:val="20"/>
          <w:szCs w:val="20"/>
          <w:lang w:val="en-GB"/>
        </w:rPr>
        <w:t>IAS 36</w:t>
      </w:r>
      <w:r w:rsidRPr="00E94AD0">
        <w:rPr>
          <w:rFonts w:ascii="Arial" w:hAnsi="Arial" w:cs="Arial"/>
          <w:sz w:val="20"/>
          <w:szCs w:val="20"/>
          <w:lang w:val="en-GB"/>
        </w:rPr>
        <w:t>.</w:t>
      </w:r>
      <w:r w:rsidRPr="00E94AD0">
        <w:rPr>
          <w:rFonts w:ascii="Arial" w:hAnsi="Arial" w:cs="Arial"/>
          <w:b/>
          <w:sz w:val="20"/>
          <w:szCs w:val="20"/>
          <w:lang w:val="en-GB"/>
        </w:rPr>
        <w:t xml:space="preserve">6 </w:t>
      </w:r>
      <w:r w:rsidRPr="00E94AD0">
        <w:rPr>
          <w:rFonts w:ascii="Arial" w:hAnsi="Arial" w:cs="Arial"/>
          <w:sz w:val="20"/>
          <w:szCs w:val="20"/>
          <w:lang w:val="en-GB"/>
        </w:rPr>
        <w:t xml:space="preserve">– </w:t>
      </w:r>
      <w:r w:rsidRPr="00E94AD0">
        <w:rPr>
          <w:rFonts w:ascii="Arial" w:hAnsi="Arial" w:cs="Arial"/>
          <w:i/>
          <w:sz w:val="20"/>
          <w:szCs w:val="20"/>
          <w:lang w:val="en-GB"/>
        </w:rPr>
        <w:t>Recoverable Amount</w:t>
      </w:r>
      <w:r w:rsidRPr="00E94AD0">
        <w:rPr>
          <w:rFonts w:ascii="Arial" w:hAnsi="Arial" w:cs="Arial"/>
          <w:sz w:val="20"/>
          <w:szCs w:val="20"/>
          <w:lang w:val="en-GB"/>
        </w:rPr>
        <w:t xml:space="preserve"> – the </w:t>
      </w:r>
      <w:r w:rsidRPr="00E94AD0">
        <w:rPr>
          <w:rFonts w:ascii="Arial" w:hAnsi="Arial" w:cs="Arial"/>
          <w:i/>
          <w:sz w:val="20"/>
          <w:szCs w:val="20"/>
          <w:lang w:val="en-GB"/>
        </w:rPr>
        <w:t>Recoverable Amount</w:t>
      </w:r>
      <w:r w:rsidRPr="00E94AD0">
        <w:rPr>
          <w:rFonts w:ascii="Arial" w:hAnsi="Arial" w:cs="Arial"/>
          <w:sz w:val="20"/>
          <w:szCs w:val="20"/>
          <w:lang w:val="en-GB"/>
        </w:rPr>
        <w:t xml:space="preserve"> of an asset or cash-generating unit is the higher of its fair value less costs of disposal and its </w:t>
      </w:r>
      <w:r w:rsidRPr="00E94AD0">
        <w:rPr>
          <w:rFonts w:ascii="Arial" w:hAnsi="Arial" w:cs="Arial"/>
          <w:i/>
          <w:sz w:val="20"/>
          <w:szCs w:val="20"/>
          <w:lang w:val="en-GB"/>
        </w:rPr>
        <w:t>Value in Use</w:t>
      </w:r>
    </w:p>
    <w:p w14:paraId="07DC1B46" w14:textId="4B169887" w:rsidR="00E2198D" w:rsidRPr="00E94AD0" w:rsidRDefault="00E2198D" w:rsidP="00E2198D">
      <w:pPr>
        <w:pStyle w:val="ListParagraph"/>
        <w:numPr>
          <w:ilvl w:val="0"/>
          <w:numId w:val="16"/>
        </w:numPr>
        <w:spacing w:after="160"/>
        <w:jc w:val="left"/>
        <w:rPr>
          <w:rFonts w:ascii="Arial" w:hAnsi="Arial" w:cs="Arial"/>
          <w:sz w:val="20"/>
          <w:szCs w:val="20"/>
          <w:lang w:val="en-GB"/>
        </w:rPr>
      </w:pPr>
      <w:r w:rsidRPr="00E94AD0">
        <w:rPr>
          <w:rFonts w:ascii="Arial" w:hAnsi="Arial" w:cs="Arial"/>
          <w:b/>
          <w:sz w:val="20"/>
          <w:szCs w:val="20"/>
          <w:lang w:val="en-GB"/>
        </w:rPr>
        <w:t>IAS 36</w:t>
      </w:r>
      <w:r w:rsidRPr="00E94AD0">
        <w:rPr>
          <w:rFonts w:ascii="Arial" w:hAnsi="Arial" w:cs="Arial"/>
          <w:sz w:val="20"/>
          <w:szCs w:val="20"/>
          <w:lang w:val="en-GB"/>
        </w:rPr>
        <w:t>.</w:t>
      </w:r>
      <w:r w:rsidRPr="00E94AD0">
        <w:rPr>
          <w:rFonts w:ascii="Arial" w:hAnsi="Arial" w:cs="Arial"/>
          <w:b/>
          <w:sz w:val="20"/>
          <w:szCs w:val="20"/>
          <w:lang w:val="en-GB"/>
        </w:rPr>
        <w:t xml:space="preserve">6 </w:t>
      </w:r>
      <w:r w:rsidRPr="00E94AD0">
        <w:rPr>
          <w:rFonts w:ascii="Arial" w:hAnsi="Arial" w:cs="Arial"/>
          <w:sz w:val="20"/>
          <w:szCs w:val="20"/>
          <w:lang w:val="en-GB"/>
        </w:rPr>
        <w:t xml:space="preserve">– </w:t>
      </w:r>
      <w:r w:rsidRPr="00E94AD0">
        <w:rPr>
          <w:rFonts w:ascii="Arial" w:hAnsi="Arial" w:cs="Arial"/>
          <w:i/>
          <w:sz w:val="20"/>
          <w:szCs w:val="20"/>
          <w:lang w:val="en-GB"/>
        </w:rPr>
        <w:t>Value in Use – Value in Use</w:t>
      </w:r>
      <w:r w:rsidRPr="00E94AD0">
        <w:rPr>
          <w:rFonts w:ascii="Arial" w:hAnsi="Arial" w:cs="Arial"/>
          <w:sz w:val="20"/>
          <w:szCs w:val="20"/>
          <w:lang w:val="en-GB"/>
        </w:rPr>
        <w:t xml:space="preserve"> is the present value of future cash flows expected to be derived from an asset or cash-generating unit. </w:t>
      </w:r>
    </w:p>
    <w:p w14:paraId="220F04C7" w14:textId="69E9AE3A" w:rsidR="00E2198D" w:rsidRPr="00E94AD0" w:rsidRDefault="00E2198D" w:rsidP="00157FB5">
      <w:pPr>
        <w:pStyle w:val="ListParagraph"/>
        <w:numPr>
          <w:ilvl w:val="0"/>
          <w:numId w:val="16"/>
        </w:numPr>
        <w:jc w:val="left"/>
        <w:rPr>
          <w:rFonts w:ascii="Arial" w:hAnsi="Arial" w:cs="Arial"/>
          <w:sz w:val="20"/>
          <w:szCs w:val="20"/>
          <w:lang w:val="en-GB"/>
        </w:rPr>
      </w:pPr>
      <w:r w:rsidRPr="00E94AD0">
        <w:rPr>
          <w:rFonts w:ascii="Arial" w:hAnsi="Arial" w:cs="Arial"/>
          <w:b/>
          <w:sz w:val="20"/>
          <w:szCs w:val="20"/>
          <w:lang w:val="en-GB"/>
        </w:rPr>
        <w:t>IAS 36.12</w:t>
      </w:r>
      <w:r w:rsidRPr="00E94AD0">
        <w:rPr>
          <w:rFonts w:ascii="Arial" w:hAnsi="Arial" w:cs="Arial"/>
          <w:sz w:val="20"/>
          <w:szCs w:val="20"/>
          <w:lang w:val="en-GB"/>
        </w:rPr>
        <w:t xml:space="preserve"> – In assessing whether there is any indication that an asset may be impaired, an entity shall consider, as a minimum, the following indications:</w:t>
      </w:r>
    </w:p>
    <w:p w14:paraId="3537108C" w14:textId="42FF642B" w:rsidR="00E2198D" w:rsidRPr="00157FB5" w:rsidRDefault="00E2198D" w:rsidP="00157FB5">
      <w:pPr>
        <w:pStyle w:val="ExhibitText"/>
        <w:numPr>
          <w:ilvl w:val="0"/>
          <w:numId w:val="20"/>
        </w:numPr>
        <w:rPr>
          <w:lang w:val="en-GB"/>
        </w:rPr>
      </w:pPr>
      <w:r w:rsidRPr="00157FB5">
        <w:rPr>
          <w:lang w:val="en-GB"/>
        </w:rPr>
        <w:t>There are observable indications that the asset's value has declined during the period significantly more than would be expected as a result of the passage of time or normal use.</w:t>
      </w:r>
    </w:p>
    <w:p w14:paraId="1C82A4ED" w14:textId="0BDB70AA" w:rsidR="00E2198D" w:rsidRPr="00157FB5" w:rsidRDefault="00E2198D" w:rsidP="00157FB5">
      <w:pPr>
        <w:pStyle w:val="ExhibitText"/>
        <w:numPr>
          <w:ilvl w:val="0"/>
          <w:numId w:val="20"/>
        </w:numPr>
        <w:rPr>
          <w:lang w:val="en-GB"/>
        </w:rPr>
      </w:pPr>
      <w:r w:rsidRPr="00157FB5">
        <w:rPr>
          <w:lang w:val="en-GB"/>
        </w:rPr>
        <w:t>Significant changes with an adverse effect on the entity have taken place during the period, or will take place in the near future, in the technological, market, economic or legal environment in which the entity operates or in the market to which an asset is dedicated.</w:t>
      </w:r>
    </w:p>
    <w:p w14:paraId="5AFDD84F" w14:textId="7C7DCFF8" w:rsidR="00E2198D" w:rsidRPr="00157FB5" w:rsidRDefault="00E2198D" w:rsidP="00157FB5">
      <w:pPr>
        <w:pStyle w:val="ExhibitText"/>
        <w:numPr>
          <w:ilvl w:val="0"/>
          <w:numId w:val="20"/>
        </w:numPr>
        <w:rPr>
          <w:lang w:val="en-GB"/>
        </w:rPr>
      </w:pPr>
      <w:r w:rsidRPr="00157FB5">
        <w:rPr>
          <w:lang w:val="en-GB"/>
        </w:rPr>
        <w:t>Market interest rates or other market rates of return on investments have increased during the period, and those increases are likely to affect the discount rate used in calculating an asset's value in use and decrease the asset's recoverable amount materially.</w:t>
      </w:r>
    </w:p>
    <w:p w14:paraId="57604216" w14:textId="01A04F5D" w:rsidR="00E2198D" w:rsidRPr="00157FB5" w:rsidRDefault="00E2198D" w:rsidP="00157FB5">
      <w:pPr>
        <w:pStyle w:val="ExhibitText"/>
        <w:numPr>
          <w:ilvl w:val="0"/>
          <w:numId w:val="20"/>
        </w:numPr>
        <w:rPr>
          <w:lang w:val="en-GB"/>
        </w:rPr>
      </w:pPr>
      <w:r w:rsidRPr="00157FB5">
        <w:rPr>
          <w:lang w:val="en-GB"/>
        </w:rPr>
        <w:t>The carrying amount of the net assets of the entity is more than its market capitalization.</w:t>
      </w:r>
    </w:p>
    <w:p w14:paraId="22D43BB5" w14:textId="7E115668" w:rsidR="00E2198D" w:rsidRPr="00157FB5" w:rsidRDefault="00E2198D" w:rsidP="00157FB5">
      <w:pPr>
        <w:pStyle w:val="ExhibitText"/>
        <w:numPr>
          <w:ilvl w:val="0"/>
          <w:numId w:val="20"/>
        </w:numPr>
        <w:rPr>
          <w:lang w:val="en-GB"/>
        </w:rPr>
      </w:pPr>
      <w:r w:rsidRPr="00157FB5">
        <w:rPr>
          <w:lang w:val="en-GB"/>
        </w:rPr>
        <w:t>Evidence is available of obsolescence or physical damage of an asset</w:t>
      </w:r>
    </w:p>
    <w:p w14:paraId="43034FF1" w14:textId="7A2CD9C0" w:rsidR="00E2198D" w:rsidRPr="00157FB5" w:rsidRDefault="00E2198D" w:rsidP="00157FB5">
      <w:pPr>
        <w:pStyle w:val="ExhibitText"/>
        <w:numPr>
          <w:ilvl w:val="0"/>
          <w:numId w:val="20"/>
        </w:numPr>
        <w:rPr>
          <w:lang w:val="en-GB"/>
        </w:rPr>
      </w:pPr>
      <w:r w:rsidRPr="00157FB5">
        <w:rPr>
          <w:lang w:val="en-GB"/>
        </w:rPr>
        <w:t>Significant changes with an adverse effect on the entity have taken place during the period, or are expected to take place in the near future, in the extent to which, or manner in which, an asset is used or is expected to be used. These changes include the asset becoming idle, plans to discontinue or restructure the operation to which an asset belongs, plans to dispose of an asset before the previously expected date, and reassessing the useful life of an asset as finite rather than indefinite</w:t>
      </w:r>
    </w:p>
    <w:p w14:paraId="711EAB70" w14:textId="25AA9DCD" w:rsidR="00E2198D" w:rsidRDefault="00E2198D" w:rsidP="00157FB5">
      <w:pPr>
        <w:pStyle w:val="ExhibitText"/>
        <w:numPr>
          <w:ilvl w:val="0"/>
          <w:numId w:val="20"/>
        </w:numPr>
        <w:rPr>
          <w:lang w:val="en-GB"/>
        </w:rPr>
      </w:pPr>
      <w:r w:rsidRPr="00157FB5">
        <w:rPr>
          <w:lang w:val="en-GB"/>
        </w:rPr>
        <w:t>Evidence is available from internal reporting that indicates that the economic performance of an asset is, or will be, worse than expected</w:t>
      </w:r>
    </w:p>
    <w:p w14:paraId="175E4082" w14:textId="77777777" w:rsidR="00157FB5" w:rsidRPr="00C8482F" w:rsidRDefault="00157FB5" w:rsidP="00157FB5">
      <w:pPr>
        <w:pStyle w:val="ExhibitText"/>
        <w:rPr>
          <w:sz w:val="16"/>
          <w:lang w:val="en-GB"/>
        </w:rPr>
      </w:pPr>
    </w:p>
    <w:p w14:paraId="74BDB11D" w14:textId="2A59582A" w:rsidR="007E518A" w:rsidRDefault="00E2198D" w:rsidP="00C51823">
      <w:pPr>
        <w:pStyle w:val="Casehead1"/>
        <w:rPr>
          <w:rFonts w:asciiTheme="majorBidi" w:hAnsiTheme="majorBidi" w:cstheme="majorBidi"/>
          <w:lang w:val="en-GB"/>
        </w:rPr>
      </w:pPr>
      <w:r w:rsidRPr="00E94AD0">
        <w:rPr>
          <w:lang w:val="en-GB"/>
        </w:rPr>
        <w:t>IAS 36.15 – This Standard requires Goodwill to be tested for impairment, at least annually</w:t>
      </w:r>
    </w:p>
    <w:p w14:paraId="59C37D6F" w14:textId="77777777" w:rsidR="006B5787" w:rsidRPr="00C8482F" w:rsidRDefault="006B5787" w:rsidP="007E518A">
      <w:pPr>
        <w:pStyle w:val="Footnote"/>
        <w:rPr>
          <w:sz w:val="16"/>
        </w:rPr>
      </w:pPr>
    </w:p>
    <w:p w14:paraId="13596E2D" w14:textId="6C798040" w:rsidR="00E2198D" w:rsidRPr="00E94AD0" w:rsidRDefault="007E518A" w:rsidP="007E518A">
      <w:pPr>
        <w:pStyle w:val="Footnote"/>
        <w:rPr>
          <w:rFonts w:asciiTheme="majorBidi" w:hAnsiTheme="majorBidi" w:cstheme="majorBidi"/>
          <w:b/>
          <w:caps/>
          <w:lang w:val="en-GB"/>
        </w:rPr>
      </w:pPr>
      <w:r>
        <w:t xml:space="preserve">Source: Adapted by the case authors from the Chartered Professional Accountants of Canada, </w:t>
      </w:r>
      <w:r>
        <w:rPr>
          <w:i/>
          <w:iCs/>
        </w:rPr>
        <w:t xml:space="preserve">CPA Canada </w:t>
      </w:r>
      <w:r w:rsidRPr="00136023">
        <w:rPr>
          <w:i/>
          <w:iCs/>
        </w:rPr>
        <w:t>Standards and Guidance Collection</w:t>
      </w:r>
      <w:r>
        <w:t xml:space="preserve"> (2020)</w:t>
      </w:r>
      <w:r w:rsidR="00B8536E">
        <w:t xml:space="preserve">, accessed February 25, 2021, </w:t>
      </w:r>
      <w:r w:rsidR="00B8536E" w:rsidRPr="00B8536E">
        <w:t>www.cpacanada.ca/en/business-and-accounting-resources/cpa-canada-handbook-the-standards-and-guidance-collection/cpa-canada-handbook-accounting</w:t>
      </w:r>
      <w:r>
        <w:t xml:space="preserve">. </w:t>
      </w:r>
      <w:r w:rsidR="00E2198D" w:rsidRPr="00E94AD0">
        <w:rPr>
          <w:rFonts w:asciiTheme="majorBidi" w:hAnsiTheme="majorBidi" w:cstheme="majorBidi"/>
          <w:lang w:val="en-GB"/>
        </w:rPr>
        <w:br w:type="page"/>
      </w:r>
    </w:p>
    <w:p w14:paraId="05E7FB6E" w14:textId="57F2909C" w:rsidR="00E2198D" w:rsidRDefault="00E2198D" w:rsidP="007F016B">
      <w:pPr>
        <w:pStyle w:val="ExhibitHeading"/>
        <w:rPr>
          <w:lang w:val="en-GB"/>
        </w:rPr>
      </w:pPr>
      <w:r w:rsidRPr="00E94AD0">
        <w:rPr>
          <w:lang w:val="en-GB"/>
        </w:rPr>
        <w:lastRenderedPageBreak/>
        <w:t xml:space="preserve">EXHIBIT 5: CANOPY BRANDS </w:t>
      </w:r>
    </w:p>
    <w:p w14:paraId="2FA5543F" w14:textId="58F22CC4" w:rsidR="00E2198D" w:rsidRPr="00E94AD0" w:rsidRDefault="00E2198D" w:rsidP="00D05E75">
      <w:pPr>
        <w:pStyle w:val="ExhibitText"/>
        <w:rPr>
          <w:lang w:val="en-GB"/>
        </w:rPr>
      </w:pPr>
    </w:p>
    <w:tbl>
      <w:tblPr>
        <w:tblStyle w:val="TableGrid"/>
        <w:tblW w:w="0" w:type="auto"/>
        <w:tblLook w:val="04A0" w:firstRow="1" w:lastRow="0" w:firstColumn="1" w:lastColumn="0" w:noHBand="0" w:noVBand="1"/>
        <w:tblCaption w:val="Exhibit 5"/>
        <w:tblDescription w:val="List of Canopy Brands"/>
      </w:tblPr>
      <w:tblGrid>
        <w:gridCol w:w="2972"/>
        <w:gridCol w:w="6378"/>
      </w:tblGrid>
      <w:tr w:rsidR="004E7CBE" w14:paraId="291E1A91" w14:textId="77777777" w:rsidTr="008F5B5F">
        <w:trPr>
          <w:tblHeader/>
        </w:trPr>
        <w:tc>
          <w:tcPr>
            <w:tcW w:w="2972" w:type="dxa"/>
          </w:tcPr>
          <w:p w14:paraId="506BF7E7" w14:textId="28A841B7" w:rsidR="004E7CBE" w:rsidRPr="003A2186" w:rsidRDefault="004E7CBE" w:rsidP="00352C6E">
            <w:pPr>
              <w:jc w:val="center"/>
              <w:rPr>
                <w:rFonts w:ascii="Arial" w:hAnsi="Arial" w:cs="Arial"/>
                <w:b/>
                <w:lang w:val="en-GB"/>
              </w:rPr>
            </w:pPr>
            <w:r w:rsidRPr="003A2186">
              <w:rPr>
                <w:rFonts w:ascii="Arial" w:hAnsi="Arial" w:cs="Arial"/>
                <w:b/>
                <w:lang w:val="en-GB"/>
              </w:rPr>
              <w:t>Brand Type</w:t>
            </w:r>
          </w:p>
        </w:tc>
        <w:tc>
          <w:tcPr>
            <w:tcW w:w="6378" w:type="dxa"/>
          </w:tcPr>
          <w:p w14:paraId="59122B90" w14:textId="3B8806E3" w:rsidR="004E7CBE" w:rsidRPr="003A2186" w:rsidRDefault="004E7CBE" w:rsidP="00352C6E">
            <w:pPr>
              <w:jc w:val="center"/>
              <w:rPr>
                <w:rFonts w:ascii="Arial" w:hAnsi="Arial" w:cs="Arial"/>
                <w:b/>
                <w:lang w:val="en-GB"/>
              </w:rPr>
            </w:pPr>
            <w:r w:rsidRPr="003A2186">
              <w:rPr>
                <w:rFonts w:ascii="Arial" w:hAnsi="Arial" w:cs="Arial"/>
                <w:b/>
                <w:lang w:val="en-GB"/>
              </w:rPr>
              <w:t>Brands</w:t>
            </w:r>
          </w:p>
        </w:tc>
      </w:tr>
      <w:tr w:rsidR="004E7CBE" w14:paraId="178B09AA" w14:textId="77777777" w:rsidTr="008F5B5F">
        <w:trPr>
          <w:tblHeader/>
        </w:trPr>
        <w:tc>
          <w:tcPr>
            <w:tcW w:w="2972" w:type="dxa"/>
          </w:tcPr>
          <w:p w14:paraId="02EDEBB2" w14:textId="607215DE" w:rsidR="004E7CBE" w:rsidRPr="003A2186" w:rsidRDefault="004E7CBE" w:rsidP="003A2186">
            <w:pPr>
              <w:rPr>
                <w:rFonts w:ascii="Arial" w:hAnsi="Arial" w:cs="Arial"/>
                <w:lang w:val="en-GB"/>
              </w:rPr>
            </w:pPr>
            <w:r w:rsidRPr="003A2186">
              <w:rPr>
                <w:rFonts w:ascii="Arial" w:hAnsi="Arial" w:cs="Arial"/>
                <w:lang w:val="en-GB"/>
              </w:rPr>
              <w:t>Core Brands</w:t>
            </w:r>
          </w:p>
        </w:tc>
        <w:tc>
          <w:tcPr>
            <w:tcW w:w="6378" w:type="dxa"/>
          </w:tcPr>
          <w:p w14:paraId="7D4EAD3A"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Tweed</w:t>
            </w:r>
          </w:p>
          <w:p w14:paraId="61E959CC"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Tokyo Smoke</w:t>
            </w:r>
          </w:p>
          <w:p w14:paraId="65C2A4F2"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VdP</w:t>
            </w:r>
          </w:p>
          <w:p w14:paraId="20CC1993"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Spectrum Therapeutics</w:t>
            </w:r>
          </w:p>
          <w:p w14:paraId="79EB4C0E"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Twd.</w:t>
            </w:r>
          </w:p>
          <w:p w14:paraId="441CBED5"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Doja</w:t>
            </w:r>
          </w:p>
          <w:p w14:paraId="750BE486"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Biosteel</w:t>
            </w:r>
          </w:p>
          <w:p w14:paraId="7C77B5EC" w14:textId="21C04D6A"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thisworks</w:t>
            </w:r>
          </w:p>
        </w:tc>
      </w:tr>
      <w:tr w:rsidR="004E7CBE" w14:paraId="51A85923" w14:textId="77777777" w:rsidTr="008F5B5F">
        <w:trPr>
          <w:tblHeader/>
        </w:trPr>
        <w:tc>
          <w:tcPr>
            <w:tcW w:w="2972" w:type="dxa"/>
          </w:tcPr>
          <w:p w14:paraId="4BFE6A97" w14:textId="644AE37C" w:rsidR="004E7CBE" w:rsidRPr="003A2186" w:rsidRDefault="004E7CBE" w:rsidP="003A2186">
            <w:pPr>
              <w:rPr>
                <w:rFonts w:ascii="Arial" w:hAnsi="Arial" w:cs="Arial"/>
                <w:lang w:val="en-GB"/>
              </w:rPr>
            </w:pPr>
            <w:r w:rsidRPr="003A2186">
              <w:rPr>
                <w:rFonts w:ascii="Arial" w:hAnsi="Arial" w:cs="Arial"/>
                <w:lang w:val="en-GB"/>
              </w:rPr>
              <w:t>Beverage and Edibles Brands</w:t>
            </w:r>
          </w:p>
        </w:tc>
        <w:tc>
          <w:tcPr>
            <w:tcW w:w="6378" w:type="dxa"/>
          </w:tcPr>
          <w:p w14:paraId="7A607D35" w14:textId="77777777" w:rsidR="004E7CBE" w:rsidRPr="00157FB5" w:rsidRDefault="004E7CBE" w:rsidP="003A2186">
            <w:pPr>
              <w:pStyle w:val="ListParagraph"/>
              <w:numPr>
                <w:ilvl w:val="0"/>
                <w:numId w:val="19"/>
              </w:numPr>
              <w:rPr>
                <w:rFonts w:ascii="Arial" w:hAnsi="Arial" w:cs="Arial"/>
                <w:b/>
                <w:sz w:val="20"/>
                <w:szCs w:val="20"/>
                <w:lang w:val="en-GB"/>
              </w:rPr>
            </w:pPr>
            <w:proofErr w:type="spellStart"/>
            <w:r w:rsidRPr="00157FB5">
              <w:rPr>
                <w:rFonts w:ascii="Arial" w:hAnsi="Arial" w:cs="Arial"/>
                <w:b/>
                <w:sz w:val="20"/>
                <w:szCs w:val="20"/>
                <w:lang w:val="en-GB"/>
              </w:rPr>
              <w:t>Quatreau</w:t>
            </w:r>
            <w:proofErr w:type="spellEnd"/>
          </w:p>
          <w:p w14:paraId="33DBACA4"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Deep Space</w:t>
            </w:r>
          </w:p>
          <w:p w14:paraId="7A4C06A8" w14:textId="0428B679"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Bean &amp; Bud</w:t>
            </w:r>
          </w:p>
        </w:tc>
      </w:tr>
      <w:tr w:rsidR="004E7CBE" w14:paraId="0A1F87FD" w14:textId="77777777" w:rsidTr="008F5B5F">
        <w:trPr>
          <w:tblHeader/>
        </w:trPr>
        <w:tc>
          <w:tcPr>
            <w:tcW w:w="2972" w:type="dxa"/>
          </w:tcPr>
          <w:p w14:paraId="4270622A" w14:textId="62B04D58" w:rsidR="004E7CBE" w:rsidRPr="003A2186" w:rsidRDefault="004E7CBE" w:rsidP="003A2186">
            <w:pPr>
              <w:rPr>
                <w:rFonts w:ascii="Arial" w:hAnsi="Arial" w:cs="Arial"/>
                <w:lang w:val="en-GB"/>
              </w:rPr>
            </w:pPr>
            <w:r w:rsidRPr="003A2186">
              <w:rPr>
                <w:rFonts w:ascii="Arial" w:hAnsi="Arial" w:cs="Arial"/>
                <w:lang w:val="en-GB"/>
              </w:rPr>
              <w:t>Affiliated Brands</w:t>
            </w:r>
          </w:p>
        </w:tc>
        <w:tc>
          <w:tcPr>
            <w:tcW w:w="6378" w:type="dxa"/>
          </w:tcPr>
          <w:p w14:paraId="676396F3"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Houseplant</w:t>
            </w:r>
          </w:p>
          <w:p w14:paraId="1B4E4930"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MoreLife Growth Co.</w:t>
            </w:r>
          </w:p>
          <w:p w14:paraId="03168D5A"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DNA Genetics</w:t>
            </w:r>
          </w:p>
          <w:p w14:paraId="51B98EC6" w14:textId="77777777"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LBS</w:t>
            </w:r>
          </w:p>
          <w:p w14:paraId="6C72C5EA" w14:textId="24073042" w:rsidR="004E7CBE" w:rsidRPr="00157FB5" w:rsidRDefault="004E7CBE" w:rsidP="003A2186">
            <w:pPr>
              <w:pStyle w:val="ListParagraph"/>
              <w:numPr>
                <w:ilvl w:val="0"/>
                <w:numId w:val="19"/>
              </w:numPr>
              <w:rPr>
                <w:rFonts w:ascii="Arial" w:hAnsi="Arial" w:cs="Arial"/>
                <w:b/>
                <w:sz w:val="20"/>
                <w:szCs w:val="20"/>
                <w:lang w:val="en-GB"/>
              </w:rPr>
            </w:pPr>
            <w:r w:rsidRPr="00157FB5">
              <w:rPr>
                <w:rFonts w:ascii="Arial" w:hAnsi="Arial" w:cs="Arial"/>
                <w:b/>
                <w:sz w:val="20"/>
                <w:szCs w:val="20"/>
                <w:lang w:val="en-GB"/>
              </w:rPr>
              <w:t>Green House Seed Co.</w:t>
            </w:r>
          </w:p>
        </w:tc>
      </w:tr>
      <w:tr w:rsidR="004E7CBE" w14:paraId="65F85993" w14:textId="77777777" w:rsidTr="008F5B5F">
        <w:trPr>
          <w:tblHeader/>
        </w:trPr>
        <w:tc>
          <w:tcPr>
            <w:tcW w:w="2972" w:type="dxa"/>
          </w:tcPr>
          <w:p w14:paraId="76B0B0A0" w14:textId="133955B1" w:rsidR="004E7CBE" w:rsidRPr="003A2186" w:rsidRDefault="004E7CBE" w:rsidP="003A2186">
            <w:pPr>
              <w:rPr>
                <w:rFonts w:ascii="Arial" w:hAnsi="Arial" w:cs="Arial"/>
                <w:lang w:val="en-GB"/>
              </w:rPr>
            </w:pPr>
            <w:r w:rsidRPr="003A2186">
              <w:rPr>
                <w:rFonts w:ascii="Arial" w:hAnsi="Arial" w:cs="Arial"/>
                <w:lang w:val="en-GB"/>
              </w:rPr>
              <w:t>Technology Brands</w:t>
            </w:r>
          </w:p>
        </w:tc>
        <w:tc>
          <w:tcPr>
            <w:tcW w:w="6378" w:type="dxa"/>
          </w:tcPr>
          <w:p w14:paraId="7374E168" w14:textId="6FA8D602" w:rsidR="004E7CBE" w:rsidRPr="00157FB5" w:rsidRDefault="004E7CBE" w:rsidP="003A2186">
            <w:pPr>
              <w:pStyle w:val="ListParagraph"/>
              <w:numPr>
                <w:ilvl w:val="0"/>
                <w:numId w:val="18"/>
              </w:numPr>
              <w:rPr>
                <w:rFonts w:ascii="Arial" w:hAnsi="Arial" w:cs="Arial"/>
                <w:b/>
                <w:sz w:val="20"/>
                <w:szCs w:val="20"/>
                <w:lang w:val="en-GB"/>
              </w:rPr>
            </w:pPr>
            <w:r w:rsidRPr="00157FB5">
              <w:rPr>
                <w:rFonts w:ascii="Arial" w:hAnsi="Arial" w:cs="Arial"/>
                <w:b/>
                <w:sz w:val="20"/>
                <w:szCs w:val="20"/>
                <w:lang w:val="en-GB"/>
              </w:rPr>
              <w:t>Storz &amp; Bickel</w:t>
            </w:r>
          </w:p>
        </w:tc>
      </w:tr>
      <w:tr w:rsidR="004E7CBE" w14:paraId="1B11B642" w14:textId="77777777" w:rsidTr="008F5B5F">
        <w:trPr>
          <w:tblHeader/>
        </w:trPr>
        <w:tc>
          <w:tcPr>
            <w:tcW w:w="2972" w:type="dxa"/>
          </w:tcPr>
          <w:p w14:paraId="039153EB" w14:textId="7CE0011B" w:rsidR="004E7CBE" w:rsidRPr="003A2186" w:rsidRDefault="004E7CBE" w:rsidP="003A2186">
            <w:pPr>
              <w:rPr>
                <w:rFonts w:ascii="Arial" w:hAnsi="Arial" w:cs="Arial"/>
                <w:lang w:val="en-GB"/>
              </w:rPr>
            </w:pPr>
            <w:r w:rsidRPr="003A2186">
              <w:rPr>
                <w:rFonts w:ascii="Arial" w:hAnsi="Arial" w:cs="Arial"/>
                <w:lang w:val="en-GB"/>
              </w:rPr>
              <w:t>Retail Platforms</w:t>
            </w:r>
          </w:p>
        </w:tc>
        <w:tc>
          <w:tcPr>
            <w:tcW w:w="6378" w:type="dxa"/>
          </w:tcPr>
          <w:p w14:paraId="76E02B1D" w14:textId="77777777" w:rsidR="004E7CBE" w:rsidRPr="00157FB5" w:rsidRDefault="004E7CBE" w:rsidP="003A2186">
            <w:pPr>
              <w:pStyle w:val="ListParagraph"/>
              <w:numPr>
                <w:ilvl w:val="0"/>
                <w:numId w:val="17"/>
              </w:numPr>
              <w:rPr>
                <w:rFonts w:ascii="Arial" w:hAnsi="Arial" w:cs="Arial"/>
                <w:b/>
                <w:sz w:val="20"/>
                <w:szCs w:val="20"/>
                <w:lang w:val="en-GB"/>
              </w:rPr>
            </w:pPr>
            <w:r w:rsidRPr="00157FB5">
              <w:rPr>
                <w:rFonts w:ascii="Arial" w:hAnsi="Arial" w:cs="Arial"/>
                <w:b/>
                <w:sz w:val="20"/>
                <w:szCs w:val="20"/>
                <w:lang w:val="en-GB"/>
              </w:rPr>
              <w:t>Tweed</w:t>
            </w:r>
          </w:p>
          <w:p w14:paraId="794D06FB" w14:textId="33CEF6D2" w:rsidR="004E7CBE" w:rsidRPr="00157FB5" w:rsidRDefault="004E7CBE" w:rsidP="003A2186">
            <w:pPr>
              <w:pStyle w:val="ListParagraph"/>
              <w:numPr>
                <w:ilvl w:val="0"/>
                <w:numId w:val="17"/>
              </w:numPr>
              <w:rPr>
                <w:rFonts w:ascii="Arial" w:hAnsi="Arial" w:cs="Arial"/>
                <w:b/>
                <w:sz w:val="20"/>
                <w:szCs w:val="20"/>
                <w:lang w:val="en-GB"/>
              </w:rPr>
            </w:pPr>
            <w:r w:rsidRPr="00157FB5">
              <w:rPr>
                <w:rFonts w:ascii="Arial" w:hAnsi="Arial" w:cs="Arial"/>
                <w:b/>
                <w:sz w:val="20"/>
                <w:szCs w:val="20"/>
                <w:lang w:val="en-GB"/>
              </w:rPr>
              <w:t>Tokyo Smoke</w:t>
            </w:r>
          </w:p>
        </w:tc>
      </w:tr>
    </w:tbl>
    <w:p w14:paraId="4BF4F849" w14:textId="0973D54F" w:rsidR="00E2198D" w:rsidRPr="00E94AD0" w:rsidRDefault="00E2198D" w:rsidP="00E2198D">
      <w:pPr>
        <w:jc w:val="center"/>
        <w:rPr>
          <w:b/>
          <w:lang w:val="en-GB"/>
        </w:rPr>
      </w:pPr>
    </w:p>
    <w:p w14:paraId="5B08A683" w14:textId="11BF5EDD" w:rsidR="007F016B" w:rsidRPr="007F016B" w:rsidRDefault="00BB1CC6" w:rsidP="007F016B">
      <w:pPr>
        <w:pStyle w:val="Footnote"/>
        <w:rPr>
          <w:iCs/>
          <w:lang w:val="en-GB"/>
        </w:rPr>
      </w:pPr>
      <w:r>
        <w:rPr>
          <w:iCs/>
          <w:lang w:val="en-GB"/>
        </w:rPr>
        <w:t xml:space="preserve">Source: </w:t>
      </w:r>
      <w:r>
        <w:t>Canopy Growth Co</w:t>
      </w:r>
      <w:r w:rsidR="00E24558">
        <w:t>r</w:t>
      </w:r>
      <w:r>
        <w:t xml:space="preserve">poration, </w:t>
      </w:r>
      <w:r w:rsidRPr="00BB1CC6">
        <w:rPr>
          <w:i/>
          <w:iCs/>
        </w:rPr>
        <w:t>Management’s Discussion and Analysis of Financial Condition and Results of Operations</w:t>
      </w:r>
      <w:r w:rsidR="00A83550" w:rsidRPr="00A83550">
        <w:rPr>
          <w:i/>
          <w:iCs/>
        </w:rPr>
        <w:t xml:space="preserve"> for the Year Ended March 31, 2020,</w:t>
      </w:r>
      <w:r w:rsidR="00A83550" w:rsidRPr="00B638C6">
        <w:t xml:space="preserve"> </w:t>
      </w:r>
      <w:r w:rsidR="00BC6089">
        <w:t xml:space="preserve">17–21, </w:t>
      </w:r>
      <w:r w:rsidR="00A83550" w:rsidRPr="00B638C6">
        <w:t>June 1, 2020</w:t>
      </w:r>
      <w:r w:rsidR="00A83550" w:rsidRPr="00A83550">
        <w:rPr>
          <w:i/>
          <w:iCs/>
        </w:rPr>
        <w:t>, a</w:t>
      </w:r>
      <w:r>
        <w:t>ccessed July 25, 2020,</w:t>
      </w:r>
      <w:r w:rsidRPr="00B638C6">
        <w:t xml:space="preserve"> </w:t>
      </w:r>
      <w:r w:rsidR="00A83550" w:rsidRPr="00B638C6">
        <w:t>www.canopygrowth.com/wp-content/uploads/2020/06/Q4-FY2020-MDA-FINAL.pdf</w:t>
      </w:r>
      <w:r>
        <w:t>.</w:t>
      </w:r>
    </w:p>
    <w:p w14:paraId="6623FB48" w14:textId="77777777" w:rsidR="007F016B" w:rsidRDefault="007F016B">
      <w:pPr>
        <w:spacing w:after="200" w:line="276" w:lineRule="auto"/>
        <w:rPr>
          <w:rFonts w:ascii="Arial" w:hAnsi="Arial" w:cs="Arial"/>
          <w:b/>
          <w:caps/>
          <w:lang w:val="en-GB"/>
        </w:rPr>
      </w:pPr>
      <w:r>
        <w:rPr>
          <w:lang w:val="en-GB"/>
        </w:rPr>
        <w:br w:type="page"/>
      </w:r>
    </w:p>
    <w:p w14:paraId="02E18150" w14:textId="7D2E96B2" w:rsidR="00E2198D" w:rsidRPr="00E94AD0" w:rsidRDefault="00E2198D" w:rsidP="005C6A3A">
      <w:pPr>
        <w:pStyle w:val="ExhibitHeading"/>
        <w:rPr>
          <w:lang w:val="en-GB"/>
        </w:rPr>
      </w:pPr>
      <w:r w:rsidRPr="00E94AD0">
        <w:rPr>
          <w:lang w:val="en-GB"/>
        </w:rPr>
        <w:lastRenderedPageBreak/>
        <w:t>EXHIBIT 6: RECENT CANOPY</w:t>
      </w:r>
      <w:r w:rsidR="004A6731">
        <w:rPr>
          <w:lang w:val="en-GB"/>
        </w:rPr>
        <w:t xml:space="preserve"> Growth Corporation</w:t>
      </w:r>
      <w:r w:rsidRPr="00E94AD0">
        <w:rPr>
          <w:lang w:val="en-GB"/>
        </w:rPr>
        <w:t xml:space="preserve"> ACQUISITIONS (</w:t>
      </w:r>
      <w:r w:rsidR="004A6731">
        <w:rPr>
          <w:lang w:val="en-GB"/>
        </w:rPr>
        <w:t>in CA</w:t>
      </w:r>
      <w:r w:rsidRPr="00E94AD0">
        <w:rPr>
          <w:lang w:val="en-GB"/>
        </w:rPr>
        <w:t>$</w:t>
      </w:r>
      <w:r w:rsidR="004A6731">
        <w:rPr>
          <w:lang w:val="en-GB"/>
        </w:rPr>
        <w:t xml:space="preserve"> Thousands</w:t>
      </w:r>
      <w:r w:rsidRPr="00E94AD0">
        <w:rPr>
          <w:lang w:val="en-GB"/>
        </w:rPr>
        <w:t>)</w:t>
      </w:r>
      <w:r w:rsidR="007F016B">
        <w:rPr>
          <w:lang w:val="en-GB"/>
        </w:rPr>
        <w:t xml:space="preserve">   </w:t>
      </w:r>
    </w:p>
    <w:p w14:paraId="202A7C62" w14:textId="77777777" w:rsidR="00E2198D" w:rsidRPr="00E94AD0" w:rsidRDefault="00E2198D" w:rsidP="005C6A3A">
      <w:pPr>
        <w:pStyle w:val="ExhibitText"/>
        <w:rPr>
          <w:lang w:val="en-GB"/>
        </w:rPr>
      </w:pPr>
    </w:p>
    <w:tbl>
      <w:tblPr>
        <w:tblStyle w:val="TableGrid"/>
        <w:tblW w:w="0" w:type="auto"/>
        <w:tblLayout w:type="fixed"/>
        <w:tblLook w:val="04A0" w:firstRow="1" w:lastRow="0" w:firstColumn="1" w:lastColumn="0" w:noHBand="0" w:noVBand="1"/>
        <w:tblCaption w:val="Exhibit 6"/>
        <w:tblDescription w:val="Recent Canopy Growth Corporation Acquisitions"/>
      </w:tblPr>
      <w:tblGrid>
        <w:gridCol w:w="4390"/>
        <w:gridCol w:w="1701"/>
        <w:gridCol w:w="1701"/>
        <w:gridCol w:w="1558"/>
      </w:tblGrid>
      <w:tr w:rsidR="00E2198D" w:rsidRPr="00E94AD0" w14:paraId="5388AA70" w14:textId="77777777" w:rsidTr="008F5B5F">
        <w:trPr>
          <w:tblHeader/>
        </w:trPr>
        <w:tc>
          <w:tcPr>
            <w:tcW w:w="4390" w:type="dxa"/>
            <w:tcBorders>
              <w:top w:val="nil"/>
              <w:left w:val="nil"/>
              <w:bottom w:val="single" w:sz="4" w:space="0" w:color="auto"/>
              <w:right w:val="nil"/>
            </w:tcBorders>
            <w:shd w:val="clear" w:color="auto" w:fill="auto"/>
          </w:tcPr>
          <w:p w14:paraId="18F2766D" w14:textId="77777777" w:rsidR="00E2198D" w:rsidRPr="00C8482F" w:rsidRDefault="00E2198D" w:rsidP="000A011E">
            <w:pPr>
              <w:rPr>
                <w:rFonts w:ascii="Arial" w:hAnsi="Arial" w:cs="Arial"/>
                <w:b/>
                <w:color w:val="000000" w:themeColor="text1"/>
                <w:lang w:val="en-GB"/>
              </w:rPr>
            </w:pPr>
            <w:r w:rsidRPr="00C8482F">
              <w:rPr>
                <w:rFonts w:ascii="Arial" w:hAnsi="Arial" w:cs="Arial"/>
                <w:b/>
                <w:color w:val="000000" w:themeColor="text1"/>
                <w:lang w:val="en-GB"/>
              </w:rPr>
              <w:t>Company Acquired</w:t>
            </w:r>
          </w:p>
        </w:tc>
        <w:tc>
          <w:tcPr>
            <w:tcW w:w="1701" w:type="dxa"/>
            <w:tcBorders>
              <w:top w:val="nil"/>
              <w:left w:val="nil"/>
              <w:bottom w:val="single" w:sz="4" w:space="0" w:color="auto"/>
              <w:right w:val="nil"/>
            </w:tcBorders>
            <w:shd w:val="clear" w:color="auto" w:fill="auto"/>
          </w:tcPr>
          <w:p w14:paraId="28B5EE45" w14:textId="77777777" w:rsidR="00E2198D" w:rsidRPr="00C8482F" w:rsidRDefault="00E2198D" w:rsidP="000A011E">
            <w:pPr>
              <w:jc w:val="right"/>
              <w:rPr>
                <w:rFonts w:ascii="Arial" w:hAnsi="Arial" w:cs="Arial"/>
                <w:b/>
                <w:color w:val="000000" w:themeColor="text1"/>
                <w:lang w:val="en-GB"/>
              </w:rPr>
            </w:pPr>
            <w:r w:rsidRPr="00C8482F">
              <w:rPr>
                <w:rFonts w:ascii="Arial" w:hAnsi="Arial" w:cs="Arial"/>
                <w:b/>
                <w:color w:val="000000" w:themeColor="text1"/>
                <w:lang w:val="en-GB"/>
              </w:rPr>
              <w:t>Date Acquired</w:t>
            </w:r>
          </w:p>
        </w:tc>
        <w:tc>
          <w:tcPr>
            <w:tcW w:w="1701" w:type="dxa"/>
            <w:tcBorders>
              <w:top w:val="nil"/>
              <w:left w:val="nil"/>
              <w:bottom w:val="single" w:sz="4" w:space="0" w:color="auto"/>
              <w:right w:val="nil"/>
            </w:tcBorders>
            <w:shd w:val="clear" w:color="auto" w:fill="auto"/>
          </w:tcPr>
          <w:p w14:paraId="66828928" w14:textId="77777777" w:rsidR="00E2198D" w:rsidRPr="00C8482F" w:rsidRDefault="00E2198D" w:rsidP="000A011E">
            <w:pPr>
              <w:jc w:val="right"/>
              <w:rPr>
                <w:rFonts w:ascii="Arial" w:hAnsi="Arial" w:cs="Arial"/>
                <w:b/>
                <w:color w:val="000000" w:themeColor="text1"/>
                <w:lang w:val="en-GB"/>
              </w:rPr>
            </w:pPr>
            <w:r w:rsidRPr="00C8482F">
              <w:rPr>
                <w:rFonts w:ascii="Arial" w:hAnsi="Arial" w:cs="Arial"/>
                <w:b/>
                <w:color w:val="000000" w:themeColor="text1"/>
                <w:lang w:val="en-GB"/>
              </w:rPr>
              <w:t>Consideration Paid</w:t>
            </w:r>
          </w:p>
        </w:tc>
        <w:tc>
          <w:tcPr>
            <w:tcW w:w="1558" w:type="dxa"/>
            <w:tcBorders>
              <w:top w:val="nil"/>
              <w:left w:val="nil"/>
              <w:bottom w:val="single" w:sz="4" w:space="0" w:color="auto"/>
              <w:right w:val="nil"/>
            </w:tcBorders>
            <w:shd w:val="clear" w:color="auto" w:fill="auto"/>
          </w:tcPr>
          <w:p w14:paraId="38D4B74C" w14:textId="77777777" w:rsidR="00E2198D" w:rsidRPr="00C8482F" w:rsidRDefault="00E2198D" w:rsidP="000A011E">
            <w:pPr>
              <w:jc w:val="right"/>
              <w:rPr>
                <w:rFonts w:ascii="Arial" w:hAnsi="Arial" w:cs="Arial"/>
                <w:b/>
                <w:color w:val="000000" w:themeColor="text1"/>
                <w:lang w:val="en-GB"/>
              </w:rPr>
            </w:pPr>
            <w:r w:rsidRPr="00C8482F">
              <w:rPr>
                <w:rFonts w:ascii="Arial" w:hAnsi="Arial" w:cs="Arial"/>
                <w:b/>
                <w:color w:val="000000" w:themeColor="text1"/>
                <w:lang w:val="en-GB"/>
              </w:rPr>
              <w:t>Goodwill Recognized</w:t>
            </w:r>
          </w:p>
        </w:tc>
      </w:tr>
      <w:tr w:rsidR="00E2198D" w:rsidRPr="00E94AD0" w14:paraId="48DA4BF7" w14:textId="77777777" w:rsidTr="008F5B5F">
        <w:trPr>
          <w:tblHeader/>
        </w:trPr>
        <w:tc>
          <w:tcPr>
            <w:tcW w:w="4390" w:type="dxa"/>
            <w:tcBorders>
              <w:top w:val="single" w:sz="4" w:space="0" w:color="auto"/>
              <w:left w:val="nil"/>
              <w:bottom w:val="nil"/>
              <w:right w:val="nil"/>
            </w:tcBorders>
          </w:tcPr>
          <w:p w14:paraId="76322BE5" w14:textId="77777777" w:rsidR="006B5787" w:rsidRDefault="006B5787" w:rsidP="004447B6">
            <w:pPr>
              <w:spacing w:line="276" w:lineRule="auto"/>
              <w:rPr>
                <w:rFonts w:ascii="Arial" w:hAnsi="Arial" w:cs="Arial"/>
                <w:lang w:val="en-GB"/>
              </w:rPr>
            </w:pPr>
          </w:p>
          <w:p w14:paraId="3CFF5DA2" w14:textId="12162265" w:rsidR="00E2198D" w:rsidRPr="00E94AD0" w:rsidRDefault="00E2198D" w:rsidP="004447B6">
            <w:pPr>
              <w:spacing w:line="276" w:lineRule="auto"/>
              <w:rPr>
                <w:rFonts w:ascii="Arial" w:hAnsi="Arial" w:cs="Arial"/>
                <w:lang w:val="en-GB"/>
              </w:rPr>
            </w:pPr>
            <w:r w:rsidRPr="00E94AD0">
              <w:rPr>
                <w:rFonts w:ascii="Arial" w:hAnsi="Arial" w:cs="Arial"/>
                <w:lang w:val="en-GB"/>
              </w:rPr>
              <w:t>TWP UK Holdings Ltd. (“This Works”)</w:t>
            </w:r>
          </w:p>
        </w:tc>
        <w:tc>
          <w:tcPr>
            <w:tcW w:w="1701" w:type="dxa"/>
            <w:tcBorders>
              <w:top w:val="single" w:sz="4" w:space="0" w:color="auto"/>
              <w:left w:val="nil"/>
              <w:bottom w:val="nil"/>
              <w:right w:val="nil"/>
            </w:tcBorders>
          </w:tcPr>
          <w:p w14:paraId="6A3389F1" w14:textId="77777777" w:rsidR="006B5787" w:rsidRDefault="006B5787" w:rsidP="000A011E">
            <w:pPr>
              <w:spacing w:line="276" w:lineRule="auto"/>
              <w:jc w:val="right"/>
              <w:rPr>
                <w:rFonts w:ascii="Arial" w:hAnsi="Arial" w:cs="Arial"/>
                <w:lang w:val="en-GB"/>
              </w:rPr>
            </w:pPr>
          </w:p>
          <w:p w14:paraId="2BB7EC9D" w14:textId="7DCADAA9"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May 21, 2019</w:t>
            </w:r>
          </w:p>
        </w:tc>
        <w:tc>
          <w:tcPr>
            <w:tcW w:w="1701" w:type="dxa"/>
            <w:tcBorders>
              <w:top w:val="single" w:sz="4" w:space="0" w:color="auto"/>
              <w:left w:val="nil"/>
              <w:bottom w:val="nil"/>
              <w:right w:val="nil"/>
            </w:tcBorders>
          </w:tcPr>
          <w:p w14:paraId="68084488" w14:textId="77777777" w:rsidR="006B5787" w:rsidRDefault="006B5787" w:rsidP="004447B6">
            <w:pPr>
              <w:spacing w:line="276" w:lineRule="auto"/>
              <w:jc w:val="right"/>
              <w:rPr>
                <w:rFonts w:ascii="Arial" w:hAnsi="Arial" w:cs="Arial"/>
                <w:lang w:val="en-GB"/>
              </w:rPr>
            </w:pPr>
          </w:p>
          <w:p w14:paraId="49FD17EE" w14:textId="563FC8D4"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$71,801</w:t>
            </w:r>
          </w:p>
        </w:tc>
        <w:tc>
          <w:tcPr>
            <w:tcW w:w="1558" w:type="dxa"/>
            <w:tcBorders>
              <w:top w:val="single" w:sz="4" w:space="0" w:color="auto"/>
              <w:left w:val="nil"/>
              <w:bottom w:val="nil"/>
              <w:right w:val="nil"/>
            </w:tcBorders>
          </w:tcPr>
          <w:p w14:paraId="6A820B36" w14:textId="77777777" w:rsidR="006B5787" w:rsidRDefault="006B5787" w:rsidP="004447B6">
            <w:pPr>
              <w:spacing w:line="276" w:lineRule="auto"/>
              <w:jc w:val="right"/>
              <w:rPr>
                <w:rFonts w:ascii="Arial" w:hAnsi="Arial" w:cs="Arial"/>
                <w:lang w:val="en-GB"/>
              </w:rPr>
            </w:pPr>
          </w:p>
          <w:p w14:paraId="0D8BD796" w14:textId="2039F53E"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$66,252</w:t>
            </w:r>
          </w:p>
        </w:tc>
      </w:tr>
      <w:tr w:rsidR="00E2198D" w:rsidRPr="00E94AD0" w14:paraId="6BD880BF" w14:textId="77777777" w:rsidTr="008F5B5F">
        <w:trPr>
          <w:tblHeader/>
        </w:trPr>
        <w:tc>
          <w:tcPr>
            <w:tcW w:w="4390" w:type="dxa"/>
            <w:tcBorders>
              <w:top w:val="nil"/>
              <w:left w:val="nil"/>
              <w:bottom w:val="nil"/>
              <w:right w:val="nil"/>
            </w:tcBorders>
          </w:tcPr>
          <w:p w14:paraId="79A11E97"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C3 Cannabinoid Compound Company (“C3”)</w:t>
            </w:r>
          </w:p>
        </w:tc>
        <w:tc>
          <w:tcPr>
            <w:tcW w:w="1701" w:type="dxa"/>
            <w:tcBorders>
              <w:top w:val="nil"/>
              <w:left w:val="nil"/>
              <w:bottom w:val="nil"/>
              <w:right w:val="nil"/>
            </w:tcBorders>
          </w:tcPr>
          <w:p w14:paraId="351F7B38"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Apr 30, 2019</w:t>
            </w:r>
          </w:p>
        </w:tc>
        <w:tc>
          <w:tcPr>
            <w:tcW w:w="1701" w:type="dxa"/>
            <w:tcBorders>
              <w:top w:val="nil"/>
              <w:left w:val="nil"/>
              <w:bottom w:val="single" w:sz="4" w:space="0" w:color="auto"/>
              <w:right w:val="nil"/>
            </w:tcBorders>
          </w:tcPr>
          <w:p w14:paraId="13C6F0A2"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348,664</w:t>
            </w:r>
          </w:p>
        </w:tc>
        <w:tc>
          <w:tcPr>
            <w:tcW w:w="1558" w:type="dxa"/>
            <w:tcBorders>
              <w:top w:val="nil"/>
              <w:left w:val="nil"/>
              <w:bottom w:val="single" w:sz="4" w:space="0" w:color="auto"/>
              <w:right w:val="nil"/>
            </w:tcBorders>
          </w:tcPr>
          <w:p w14:paraId="520A2FCC"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322,334</w:t>
            </w:r>
          </w:p>
        </w:tc>
      </w:tr>
      <w:tr w:rsidR="00E2198D" w:rsidRPr="00E94AD0" w14:paraId="6CA34005" w14:textId="77777777" w:rsidTr="008F5B5F">
        <w:trPr>
          <w:tblHeader/>
        </w:trPr>
        <w:tc>
          <w:tcPr>
            <w:tcW w:w="4390" w:type="dxa"/>
            <w:tcBorders>
              <w:top w:val="nil"/>
              <w:left w:val="nil"/>
              <w:bottom w:val="nil"/>
              <w:right w:val="nil"/>
            </w:tcBorders>
          </w:tcPr>
          <w:p w14:paraId="6BCFFED8" w14:textId="77777777" w:rsidR="00E2198D" w:rsidRPr="00E94AD0" w:rsidRDefault="00E2198D" w:rsidP="004447B6">
            <w:pPr>
              <w:spacing w:line="276" w:lineRule="auto"/>
              <w:rPr>
                <w:rFonts w:ascii="Arial" w:hAnsi="Arial" w:cs="Arial"/>
                <w:b/>
                <w:lang w:val="en-GB"/>
              </w:rPr>
            </w:pPr>
            <w:r w:rsidRPr="00E94AD0">
              <w:rPr>
                <w:rFonts w:ascii="Arial" w:hAnsi="Arial" w:cs="Arial"/>
                <w:b/>
                <w:lang w:val="en-GB"/>
              </w:rPr>
              <w:t>Total Fiscal 2020 year to date</w:t>
            </w:r>
          </w:p>
        </w:tc>
        <w:tc>
          <w:tcPr>
            <w:tcW w:w="1701" w:type="dxa"/>
            <w:tcBorders>
              <w:top w:val="nil"/>
              <w:left w:val="nil"/>
              <w:bottom w:val="nil"/>
              <w:right w:val="nil"/>
            </w:tcBorders>
          </w:tcPr>
          <w:p w14:paraId="25708E32" w14:textId="77777777" w:rsidR="00E2198D" w:rsidRPr="00E94AD0" w:rsidRDefault="00E2198D" w:rsidP="000A011E">
            <w:pPr>
              <w:spacing w:line="276" w:lineRule="auto"/>
              <w:jc w:val="right"/>
              <w:rPr>
                <w:rFonts w:ascii="Arial" w:hAnsi="Arial" w:cs="Arial"/>
                <w:lang w:val="en-GB"/>
              </w:rPr>
            </w:pPr>
          </w:p>
        </w:tc>
        <w:tc>
          <w:tcPr>
            <w:tcW w:w="1701" w:type="dxa"/>
            <w:tcBorders>
              <w:top w:val="single" w:sz="4" w:space="0" w:color="auto"/>
              <w:left w:val="nil"/>
              <w:bottom w:val="single" w:sz="4" w:space="0" w:color="auto"/>
              <w:right w:val="nil"/>
            </w:tcBorders>
          </w:tcPr>
          <w:p w14:paraId="6A0BD307"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$420,465</w:t>
            </w:r>
          </w:p>
        </w:tc>
        <w:tc>
          <w:tcPr>
            <w:tcW w:w="1558" w:type="dxa"/>
            <w:tcBorders>
              <w:top w:val="single" w:sz="4" w:space="0" w:color="auto"/>
              <w:left w:val="nil"/>
              <w:bottom w:val="single" w:sz="4" w:space="0" w:color="auto"/>
              <w:right w:val="nil"/>
            </w:tcBorders>
          </w:tcPr>
          <w:p w14:paraId="62AB9C97"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$388,586</w:t>
            </w:r>
          </w:p>
        </w:tc>
      </w:tr>
      <w:tr w:rsidR="00E2198D" w:rsidRPr="00E94AD0" w14:paraId="56D1D62C" w14:textId="77777777" w:rsidTr="008F5B5F">
        <w:trPr>
          <w:tblHeader/>
        </w:trPr>
        <w:tc>
          <w:tcPr>
            <w:tcW w:w="4390" w:type="dxa"/>
            <w:tcBorders>
              <w:top w:val="nil"/>
              <w:left w:val="nil"/>
              <w:bottom w:val="nil"/>
              <w:right w:val="nil"/>
            </w:tcBorders>
          </w:tcPr>
          <w:p w14:paraId="4DDBE0A0" w14:textId="77777777" w:rsidR="00E2198D" w:rsidRPr="00E94AD0" w:rsidRDefault="00E2198D" w:rsidP="004447B6">
            <w:pPr>
              <w:spacing w:line="276" w:lineRule="auto"/>
              <w:rPr>
                <w:rFonts w:ascii="Arial" w:hAnsi="Arial" w:cs="Arial"/>
                <w:lang w:val="en-GB"/>
              </w:rPr>
            </w:pPr>
          </w:p>
        </w:tc>
        <w:tc>
          <w:tcPr>
            <w:tcW w:w="1701" w:type="dxa"/>
            <w:tcBorders>
              <w:top w:val="nil"/>
              <w:left w:val="nil"/>
              <w:bottom w:val="nil"/>
              <w:right w:val="nil"/>
            </w:tcBorders>
          </w:tcPr>
          <w:p w14:paraId="074527AE" w14:textId="77777777" w:rsidR="00E2198D" w:rsidRPr="00E94AD0" w:rsidRDefault="00E2198D" w:rsidP="000A011E">
            <w:pPr>
              <w:spacing w:line="276" w:lineRule="auto"/>
              <w:jc w:val="right"/>
              <w:rPr>
                <w:rFonts w:ascii="Arial" w:hAnsi="Arial" w:cs="Arial"/>
                <w:lang w:val="en-GB"/>
              </w:rPr>
            </w:pPr>
          </w:p>
        </w:tc>
        <w:tc>
          <w:tcPr>
            <w:tcW w:w="1701" w:type="dxa"/>
            <w:tcBorders>
              <w:top w:val="single" w:sz="4" w:space="0" w:color="auto"/>
              <w:left w:val="nil"/>
              <w:bottom w:val="nil"/>
              <w:right w:val="nil"/>
            </w:tcBorders>
          </w:tcPr>
          <w:p w14:paraId="030FF19E" w14:textId="77777777" w:rsidR="00E2198D" w:rsidRPr="00E94AD0" w:rsidRDefault="00E2198D" w:rsidP="004447B6">
            <w:pPr>
              <w:spacing w:line="276" w:lineRule="auto"/>
              <w:jc w:val="right"/>
              <w:rPr>
                <w:rFonts w:ascii="Arial" w:hAnsi="Arial" w:cs="Arial"/>
                <w:lang w:val="en-GB"/>
              </w:rPr>
            </w:pPr>
          </w:p>
        </w:tc>
        <w:tc>
          <w:tcPr>
            <w:tcW w:w="1558" w:type="dxa"/>
            <w:tcBorders>
              <w:top w:val="single" w:sz="4" w:space="0" w:color="auto"/>
              <w:left w:val="nil"/>
              <w:bottom w:val="nil"/>
              <w:right w:val="nil"/>
            </w:tcBorders>
          </w:tcPr>
          <w:p w14:paraId="15B4DEBE" w14:textId="77777777" w:rsidR="00E2198D" w:rsidRPr="00E94AD0" w:rsidRDefault="00E2198D" w:rsidP="004447B6">
            <w:pPr>
              <w:spacing w:line="276" w:lineRule="auto"/>
              <w:jc w:val="right"/>
              <w:rPr>
                <w:rFonts w:ascii="Arial" w:hAnsi="Arial" w:cs="Arial"/>
                <w:lang w:val="en-GB"/>
              </w:rPr>
            </w:pPr>
          </w:p>
        </w:tc>
      </w:tr>
      <w:tr w:rsidR="00E2198D" w:rsidRPr="00E94AD0" w14:paraId="35A6EA34" w14:textId="77777777" w:rsidTr="008F5B5F">
        <w:trPr>
          <w:tblHeader/>
        </w:trPr>
        <w:tc>
          <w:tcPr>
            <w:tcW w:w="4390" w:type="dxa"/>
            <w:tcBorders>
              <w:top w:val="nil"/>
              <w:left w:val="nil"/>
              <w:bottom w:val="nil"/>
              <w:right w:val="nil"/>
            </w:tcBorders>
          </w:tcPr>
          <w:p w14:paraId="4B123AD6" w14:textId="77777777" w:rsidR="00E2198D" w:rsidRPr="003A2186" w:rsidRDefault="00E2198D" w:rsidP="004447B6">
            <w:pPr>
              <w:spacing w:line="276" w:lineRule="auto"/>
              <w:rPr>
                <w:rFonts w:ascii="Arial" w:hAnsi="Arial" w:cs="Arial"/>
                <w:lang w:val="es-ES"/>
              </w:rPr>
            </w:pPr>
            <w:r w:rsidRPr="003A2186">
              <w:rPr>
                <w:rFonts w:ascii="Arial" w:hAnsi="Arial" w:cs="Arial"/>
                <w:lang w:val="es-ES"/>
              </w:rPr>
              <w:t>Canamo y Fibras Naturales (“Cafina”)</w:t>
            </w:r>
          </w:p>
        </w:tc>
        <w:tc>
          <w:tcPr>
            <w:tcW w:w="1701" w:type="dxa"/>
            <w:tcBorders>
              <w:top w:val="nil"/>
              <w:left w:val="nil"/>
              <w:bottom w:val="nil"/>
              <w:right w:val="nil"/>
            </w:tcBorders>
          </w:tcPr>
          <w:p w14:paraId="15681051"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Mar 25, 2019</w:t>
            </w:r>
          </w:p>
        </w:tc>
        <w:tc>
          <w:tcPr>
            <w:tcW w:w="1701" w:type="dxa"/>
            <w:tcBorders>
              <w:top w:val="nil"/>
              <w:left w:val="nil"/>
              <w:bottom w:val="nil"/>
              <w:right w:val="nil"/>
            </w:tcBorders>
          </w:tcPr>
          <w:p w14:paraId="5446AE78"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$43,940</w:t>
            </w:r>
          </w:p>
        </w:tc>
        <w:tc>
          <w:tcPr>
            <w:tcW w:w="1558" w:type="dxa"/>
            <w:tcBorders>
              <w:top w:val="nil"/>
              <w:left w:val="nil"/>
              <w:bottom w:val="nil"/>
              <w:right w:val="nil"/>
            </w:tcBorders>
          </w:tcPr>
          <w:p w14:paraId="36A01087" w14:textId="17AB344A"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w:t>
            </w:r>
            <w:r w:rsidR="003C431A">
              <w:rPr>
                <w:rFonts w:ascii="Arial" w:hAnsi="Arial" w:cs="Arial"/>
                <w:lang w:val="en-GB"/>
              </w:rPr>
              <w:t xml:space="preserve"> </w:t>
            </w:r>
            <w:r w:rsidRPr="00E94AD0">
              <w:rPr>
                <w:rFonts w:ascii="Arial" w:hAnsi="Arial" w:cs="Arial"/>
                <w:lang w:val="en-GB"/>
              </w:rPr>
              <w:t>-</w:t>
            </w:r>
          </w:p>
        </w:tc>
      </w:tr>
      <w:tr w:rsidR="00E2198D" w:rsidRPr="00E94AD0" w14:paraId="20EF4089" w14:textId="77777777" w:rsidTr="008F5B5F">
        <w:trPr>
          <w:tblHeader/>
        </w:trPr>
        <w:tc>
          <w:tcPr>
            <w:tcW w:w="4390" w:type="dxa"/>
            <w:tcBorders>
              <w:top w:val="nil"/>
              <w:left w:val="nil"/>
              <w:bottom w:val="nil"/>
              <w:right w:val="nil"/>
            </w:tcBorders>
          </w:tcPr>
          <w:p w14:paraId="5F739A97" w14:textId="77777777" w:rsidR="00E2198D" w:rsidRPr="003A2186" w:rsidRDefault="00E2198D" w:rsidP="004447B6">
            <w:pPr>
              <w:spacing w:line="276" w:lineRule="auto"/>
              <w:rPr>
                <w:rFonts w:ascii="Arial" w:hAnsi="Arial" w:cs="Arial"/>
                <w:lang w:val="pl-PL"/>
              </w:rPr>
            </w:pPr>
            <w:r w:rsidRPr="003A2186">
              <w:rPr>
                <w:rFonts w:ascii="Arial" w:hAnsi="Arial" w:cs="Arial"/>
                <w:lang w:val="pl-PL"/>
              </w:rPr>
              <w:t>Storz &amp; Bickel GmbH (“S&amp;B”)</w:t>
            </w:r>
          </w:p>
        </w:tc>
        <w:tc>
          <w:tcPr>
            <w:tcW w:w="1701" w:type="dxa"/>
            <w:tcBorders>
              <w:top w:val="nil"/>
              <w:left w:val="nil"/>
              <w:bottom w:val="nil"/>
              <w:right w:val="nil"/>
            </w:tcBorders>
          </w:tcPr>
          <w:p w14:paraId="70FE7A8E"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Dec 6, 2018</w:t>
            </w:r>
          </w:p>
        </w:tc>
        <w:tc>
          <w:tcPr>
            <w:tcW w:w="1701" w:type="dxa"/>
            <w:tcBorders>
              <w:top w:val="nil"/>
              <w:left w:val="nil"/>
              <w:bottom w:val="nil"/>
              <w:right w:val="nil"/>
            </w:tcBorders>
          </w:tcPr>
          <w:p w14:paraId="6DB08268"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218,141</w:t>
            </w:r>
          </w:p>
        </w:tc>
        <w:tc>
          <w:tcPr>
            <w:tcW w:w="1558" w:type="dxa"/>
            <w:tcBorders>
              <w:top w:val="nil"/>
              <w:left w:val="nil"/>
              <w:bottom w:val="nil"/>
              <w:right w:val="nil"/>
            </w:tcBorders>
          </w:tcPr>
          <w:p w14:paraId="2787D47B"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117,175</w:t>
            </w:r>
          </w:p>
        </w:tc>
      </w:tr>
      <w:tr w:rsidR="00E2198D" w:rsidRPr="00E94AD0" w14:paraId="60426407" w14:textId="77777777" w:rsidTr="008F5B5F">
        <w:trPr>
          <w:tblHeader/>
        </w:trPr>
        <w:tc>
          <w:tcPr>
            <w:tcW w:w="4390" w:type="dxa"/>
            <w:tcBorders>
              <w:top w:val="nil"/>
              <w:left w:val="nil"/>
              <w:bottom w:val="nil"/>
              <w:right w:val="nil"/>
            </w:tcBorders>
          </w:tcPr>
          <w:p w14:paraId="158B970C"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Ebbu Inc. (“ebbu”)</w:t>
            </w:r>
          </w:p>
        </w:tc>
        <w:tc>
          <w:tcPr>
            <w:tcW w:w="1701" w:type="dxa"/>
            <w:tcBorders>
              <w:top w:val="nil"/>
              <w:left w:val="nil"/>
              <w:bottom w:val="nil"/>
              <w:right w:val="nil"/>
            </w:tcBorders>
          </w:tcPr>
          <w:p w14:paraId="272E6195"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Nov 23, 2018</w:t>
            </w:r>
          </w:p>
        </w:tc>
        <w:tc>
          <w:tcPr>
            <w:tcW w:w="1701" w:type="dxa"/>
            <w:tcBorders>
              <w:top w:val="nil"/>
              <w:left w:val="nil"/>
              <w:bottom w:val="nil"/>
              <w:right w:val="nil"/>
            </w:tcBorders>
          </w:tcPr>
          <w:p w14:paraId="396249C7"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366,176</w:t>
            </w:r>
          </w:p>
        </w:tc>
        <w:tc>
          <w:tcPr>
            <w:tcW w:w="1558" w:type="dxa"/>
            <w:tcBorders>
              <w:top w:val="nil"/>
              <w:left w:val="nil"/>
              <w:bottom w:val="nil"/>
              <w:right w:val="nil"/>
            </w:tcBorders>
          </w:tcPr>
          <w:p w14:paraId="0AB5170F"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327,013</w:t>
            </w:r>
          </w:p>
        </w:tc>
      </w:tr>
      <w:tr w:rsidR="00E2198D" w:rsidRPr="00E94AD0" w14:paraId="3DE53ED1" w14:textId="77777777" w:rsidTr="008F5B5F">
        <w:trPr>
          <w:tblHeader/>
        </w:trPr>
        <w:tc>
          <w:tcPr>
            <w:tcW w:w="4390" w:type="dxa"/>
            <w:tcBorders>
              <w:top w:val="nil"/>
              <w:left w:val="nil"/>
              <w:bottom w:val="nil"/>
              <w:right w:val="nil"/>
            </w:tcBorders>
          </w:tcPr>
          <w:p w14:paraId="6E04489E"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POS Holdings Inc. (“POS”)</w:t>
            </w:r>
          </w:p>
        </w:tc>
        <w:tc>
          <w:tcPr>
            <w:tcW w:w="1701" w:type="dxa"/>
            <w:tcBorders>
              <w:top w:val="nil"/>
              <w:left w:val="nil"/>
              <w:bottom w:val="nil"/>
              <w:right w:val="nil"/>
            </w:tcBorders>
          </w:tcPr>
          <w:p w14:paraId="3562BAB4"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Nov 23, 2018</w:t>
            </w:r>
          </w:p>
        </w:tc>
        <w:tc>
          <w:tcPr>
            <w:tcW w:w="1701" w:type="dxa"/>
            <w:tcBorders>
              <w:top w:val="nil"/>
              <w:left w:val="nil"/>
              <w:bottom w:val="nil"/>
              <w:right w:val="nil"/>
            </w:tcBorders>
          </w:tcPr>
          <w:p w14:paraId="27A1550C"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128,958</w:t>
            </w:r>
          </w:p>
        </w:tc>
        <w:tc>
          <w:tcPr>
            <w:tcW w:w="1558" w:type="dxa"/>
            <w:tcBorders>
              <w:top w:val="nil"/>
              <w:left w:val="nil"/>
              <w:bottom w:val="nil"/>
              <w:right w:val="nil"/>
            </w:tcBorders>
          </w:tcPr>
          <w:p w14:paraId="73487609"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93,248</w:t>
            </w:r>
          </w:p>
        </w:tc>
      </w:tr>
      <w:tr w:rsidR="00E2198D" w:rsidRPr="00E94AD0" w14:paraId="2A51A03A" w14:textId="77777777" w:rsidTr="008F5B5F">
        <w:trPr>
          <w:tblHeader/>
        </w:trPr>
        <w:tc>
          <w:tcPr>
            <w:tcW w:w="4390" w:type="dxa"/>
            <w:tcBorders>
              <w:top w:val="nil"/>
              <w:left w:val="nil"/>
              <w:bottom w:val="nil"/>
              <w:right w:val="nil"/>
            </w:tcBorders>
          </w:tcPr>
          <w:p w14:paraId="1EA7A208"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Hiku Brands</w:t>
            </w:r>
          </w:p>
        </w:tc>
        <w:tc>
          <w:tcPr>
            <w:tcW w:w="1701" w:type="dxa"/>
            <w:tcBorders>
              <w:top w:val="nil"/>
              <w:left w:val="nil"/>
              <w:bottom w:val="nil"/>
              <w:right w:val="nil"/>
            </w:tcBorders>
          </w:tcPr>
          <w:p w14:paraId="1FFFD909"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Sep 5, 2018</w:t>
            </w:r>
          </w:p>
        </w:tc>
        <w:tc>
          <w:tcPr>
            <w:tcW w:w="1701" w:type="dxa"/>
            <w:tcBorders>
              <w:top w:val="nil"/>
              <w:left w:val="nil"/>
              <w:bottom w:val="nil"/>
              <w:right w:val="nil"/>
            </w:tcBorders>
          </w:tcPr>
          <w:p w14:paraId="3535F6BA"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600,957</w:t>
            </w:r>
          </w:p>
        </w:tc>
        <w:tc>
          <w:tcPr>
            <w:tcW w:w="1558" w:type="dxa"/>
            <w:tcBorders>
              <w:top w:val="nil"/>
              <w:left w:val="nil"/>
              <w:bottom w:val="nil"/>
              <w:right w:val="nil"/>
            </w:tcBorders>
          </w:tcPr>
          <w:p w14:paraId="724709D8"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539,331</w:t>
            </w:r>
          </w:p>
        </w:tc>
      </w:tr>
      <w:tr w:rsidR="00E2198D" w:rsidRPr="00E94AD0" w14:paraId="6E4E7CC8" w14:textId="77777777" w:rsidTr="008F5B5F">
        <w:trPr>
          <w:tblHeader/>
        </w:trPr>
        <w:tc>
          <w:tcPr>
            <w:tcW w:w="4390" w:type="dxa"/>
            <w:tcBorders>
              <w:top w:val="nil"/>
              <w:left w:val="nil"/>
              <w:bottom w:val="nil"/>
              <w:right w:val="nil"/>
            </w:tcBorders>
          </w:tcPr>
          <w:p w14:paraId="187C952F"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Canopy Health Innovations (“CHI”)</w:t>
            </w:r>
          </w:p>
        </w:tc>
        <w:tc>
          <w:tcPr>
            <w:tcW w:w="1701" w:type="dxa"/>
            <w:tcBorders>
              <w:top w:val="nil"/>
              <w:left w:val="nil"/>
              <w:bottom w:val="nil"/>
              <w:right w:val="nil"/>
            </w:tcBorders>
          </w:tcPr>
          <w:p w14:paraId="7E73E3D1"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Aug 3, 2018</w:t>
            </w:r>
          </w:p>
        </w:tc>
        <w:tc>
          <w:tcPr>
            <w:tcW w:w="1701" w:type="dxa"/>
            <w:tcBorders>
              <w:top w:val="nil"/>
              <w:left w:val="nil"/>
              <w:bottom w:val="nil"/>
              <w:right w:val="nil"/>
            </w:tcBorders>
          </w:tcPr>
          <w:p w14:paraId="3EF7CE86"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168,915</w:t>
            </w:r>
          </w:p>
        </w:tc>
        <w:tc>
          <w:tcPr>
            <w:tcW w:w="1558" w:type="dxa"/>
            <w:tcBorders>
              <w:top w:val="nil"/>
              <w:left w:val="nil"/>
              <w:bottom w:val="nil"/>
              <w:right w:val="nil"/>
            </w:tcBorders>
          </w:tcPr>
          <w:p w14:paraId="43BABF6C"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137,445</w:t>
            </w:r>
          </w:p>
        </w:tc>
      </w:tr>
      <w:tr w:rsidR="00E2198D" w:rsidRPr="00E94AD0" w14:paraId="6F9E8EEE" w14:textId="77777777" w:rsidTr="008F5B5F">
        <w:trPr>
          <w:tblHeader/>
        </w:trPr>
        <w:tc>
          <w:tcPr>
            <w:tcW w:w="4390" w:type="dxa"/>
            <w:tcBorders>
              <w:top w:val="nil"/>
              <w:left w:val="nil"/>
              <w:bottom w:val="nil"/>
              <w:right w:val="nil"/>
            </w:tcBorders>
          </w:tcPr>
          <w:p w14:paraId="5415E9BC"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Spectrum Colombia</w:t>
            </w:r>
          </w:p>
        </w:tc>
        <w:tc>
          <w:tcPr>
            <w:tcW w:w="1701" w:type="dxa"/>
            <w:tcBorders>
              <w:top w:val="nil"/>
              <w:left w:val="nil"/>
              <w:bottom w:val="nil"/>
              <w:right w:val="nil"/>
            </w:tcBorders>
          </w:tcPr>
          <w:p w14:paraId="67B4AC7C"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Jul 5, 2018</w:t>
            </w:r>
          </w:p>
        </w:tc>
        <w:tc>
          <w:tcPr>
            <w:tcW w:w="1701" w:type="dxa"/>
            <w:tcBorders>
              <w:top w:val="nil"/>
              <w:left w:val="nil"/>
              <w:bottom w:val="nil"/>
              <w:right w:val="nil"/>
            </w:tcBorders>
          </w:tcPr>
          <w:p w14:paraId="1949ED10"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46,119</w:t>
            </w:r>
          </w:p>
        </w:tc>
        <w:tc>
          <w:tcPr>
            <w:tcW w:w="1558" w:type="dxa"/>
            <w:tcBorders>
              <w:top w:val="nil"/>
              <w:left w:val="nil"/>
              <w:bottom w:val="nil"/>
              <w:right w:val="nil"/>
            </w:tcBorders>
          </w:tcPr>
          <w:p w14:paraId="44183463"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14,002</w:t>
            </w:r>
          </w:p>
        </w:tc>
      </w:tr>
      <w:tr w:rsidR="00E2198D" w:rsidRPr="00E94AD0" w14:paraId="0D0F6601" w14:textId="77777777" w:rsidTr="008F5B5F">
        <w:trPr>
          <w:tblHeader/>
        </w:trPr>
        <w:tc>
          <w:tcPr>
            <w:tcW w:w="4390" w:type="dxa"/>
            <w:tcBorders>
              <w:top w:val="nil"/>
              <w:left w:val="nil"/>
              <w:bottom w:val="nil"/>
              <w:right w:val="nil"/>
            </w:tcBorders>
          </w:tcPr>
          <w:p w14:paraId="30DE3FEA"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DaddyCann Lesotho PTY Limited (“DCL”)</w:t>
            </w:r>
          </w:p>
        </w:tc>
        <w:tc>
          <w:tcPr>
            <w:tcW w:w="1701" w:type="dxa"/>
            <w:tcBorders>
              <w:top w:val="nil"/>
              <w:left w:val="nil"/>
              <w:bottom w:val="nil"/>
              <w:right w:val="nil"/>
            </w:tcBorders>
          </w:tcPr>
          <w:p w14:paraId="5946CCCC"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May 30, 2018</w:t>
            </w:r>
          </w:p>
        </w:tc>
        <w:tc>
          <w:tcPr>
            <w:tcW w:w="1701" w:type="dxa"/>
            <w:tcBorders>
              <w:top w:val="nil"/>
              <w:left w:val="nil"/>
              <w:bottom w:val="nil"/>
              <w:right w:val="nil"/>
            </w:tcBorders>
          </w:tcPr>
          <w:p w14:paraId="0C2B9151"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27,302</w:t>
            </w:r>
          </w:p>
        </w:tc>
        <w:tc>
          <w:tcPr>
            <w:tcW w:w="1558" w:type="dxa"/>
            <w:tcBorders>
              <w:top w:val="nil"/>
              <w:left w:val="nil"/>
              <w:bottom w:val="nil"/>
              <w:right w:val="nil"/>
            </w:tcBorders>
          </w:tcPr>
          <w:p w14:paraId="7E7296C8"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2,716</w:t>
            </w:r>
          </w:p>
        </w:tc>
      </w:tr>
      <w:tr w:rsidR="00E2198D" w:rsidRPr="00E94AD0" w14:paraId="60DF6F77" w14:textId="77777777" w:rsidTr="008F5B5F">
        <w:trPr>
          <w:tblHeader/>
        </w:trPr>
        <w:tc>
          <w:tcPr>
            <w:tcW w:w="4390" w:type="dxa"/>
            <w:tcBorders>
              <w:top w:val="nil"/>
              <w:left w:val="nil"/>
              <w:bottom w:val="nil"/>
              <w:right w:val="nil"/>
            </w:tcBorders>
          </w:tcPr>
          <w:p w14:paraId="22C8E4D8"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Other</w:t>
            </w:r>
          </w:p>
        </w:tc>
        <w:tc>
          <w:tcPr>
            <w:tcW w:w="1701" w:type="dxa"/>
            <w:tcBorders>
              <w:top w:val="nil"/>
              <w:left w:val="nil"/>
              <w:bottom w:val="nil"/>
              <w:right w:val="nil"/>
            </w:tcBorders>
          </w:tcPr>
          <w:p w14:paraId="0FFFF9F4"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Various</w:t>
            </w:r>
          </w:p>
        </w:tc>
        <w:tc>
          <w:tcPr>
            <w:tcW w:w="1701" w:type="dxa"/>
            <w:tcBorders>
              <w:top w:val="nil"/>
              <w:left w:val="nil"/>
              <w:bottom w:val="single" w:sz="4" w:space="0" w:color="auto"/>
              <w:right w:val="nil"/>
            </w:tcBorders>
          </w:tcPr>
          <w:p w14:paraId="6A24C40E"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1,568</w:t>
            </w:r>
          </w:p>
        </w:tc>
        <w:tc>
          <w:tcPr>
            <w:tcW w:w="1558" w:type="dxa"/>
            <w:tcBorders>
              <w:top w:val="nil"/>
              <w:left w:val="nil"/>
              <w:bottom w:val="single" w:sz="4" w:space="0" w:color="auto"/>
              <w:right w:val="nil"/>
            </w:tcBorders>
          </w:tcPr>
          <w:p w14:paraId="1F8232B1"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1,538</w:t>
            </w:r>
          </w:p>
        </w:tc>
      </w:tr>
      <w:tr w:rsidR="00E2198D" w:rsidRPr="00E94AD0" w14:paraId="7E4AA787" w14:textId="77777777" w:rsidTr="008F5B5F">
        <w:trPr>
          <w:tblHeader/>
        </w:trPr>
        <w:tc>
          <w:tcPr>
            <w:tcW w:w="4390" w:type="dxa"/>
            <w:tcBorders>
              <w:top w:val="nil"/>
              <w:left w:val="nil"/>
              <w:bottom w:val="nil"/>
              <w:right w:val="nil"/>
            </w:tcBorders>
          </w:tcPr>
          <w:p w14:paraId="76C406C9" w14:textId="77777777" w:rsidR="00E2198D" w:rsidRPr="00E94AD0" w:rsidRDefault="00E2198D" w:rsidP="004447B6">
            <w:pPr>
              <w:spacing w:line="276" w:lineRule="auto"/>
              <w:rPr>
                <w:rFonts w:ascii="Arial" w:hAnsi="Arial" w:cs="Arial"/>
                <w:b/>
                <w:lang w:val="en-GB"/>
              </w:rPr>
            </w:pPr>
            <w:r w:rsidRPr="00E94AD0">
              <w:rPr>
                <w:rFonts w:ascii="Arial" w:hAnsi="Arial" w:cs="Arial"/>
                <w:b/>
                <w:lang w:val="en-GB"/>
              </w:rPr>
              <w:t>Total Fiscal 2019</w:t>
            </w:r>
          </w:p>
        </w:tc>
        <w:tc>
          <w:tcPr>
            <w:tcW w:w="1701" w:type="dxa"/>
            <w:tcBorders>
              <w:top w:val="nil"/>
              <w:left w:val="nil"/>
              <w:bottom w:val="nil"/>
              <w:right w:val="nil"/>
            </w:tcBorders>
          </w:tcPr>
          <w:p w14:paraId="59455610" w14:textId="77777777" w:rsidR="00E2198D" w:rsidRPr="00E94AD0" w:rsidRDefault="00E2198D" w:rsidP="000A011E">
            <w:pPr>
              <w:spacing w:line="276" w:lineRule="auto"/>
              <w:jc w:val="right"/>
              <w:rPr>
                <w:rFonts w:ascii="Arial" w:hAnsi="Arial" w:cs="Arial"/>
                <w:lang w:val="en-GB"/>
              </w:rPr>
            </w:pPr>
          </w:p>
        </w:tc>
        <w:tc>
          <w:tcPr>
            <w:tcW w:w="1701" w:type="dxa"/>
            <w:tcBorders>
              <w:top w:val="single" w:sz="4" w:space="0" w:color="auto"/>
              <w:left w:val="nil"/>
              <w:bottom w:val="single" w:sz="4" w:space="0" w:color="auto"/>
              <w:right w:val="nil"/>
            </w:tcBorders>
          </w:tcPr>
          <w:p w14:paraId="54038631"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$1,602,076</w:t>
            </w:r>
          </w:p>
        </w:tc>
        <w:tc>
          <w:tcPr>
            <w:tcW w:w="1558" w:type="dxa"/>
            <w:tcBorders>
              <w:top w:val="single" w:sz="4" w:space="0" w:color="auto"/>
              <w:left w:val="nil"/>
              <w:bottom w:val="single" w:sz="4" w:space="0" w:color="auto"/>
              <w:right w:val="nil"/>
            </w:tcBorders>
          </w:tcPr>
          <w:p w14:paraId="263FF299"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$1,232,468</w:t>
            </w:r>
          </w:p>
        </w:tc>
      </w:tr>
      <w:tr w:rsidR="00E2198D" w:rsidRPr="00E94AD0" w14:paraId="5813A6BE" w14:textId="77777777" w:rsidTr="008F5B5F">
        <w:trPr>
          <w:tblHeader/>
        </w:trPr>
        <w:tc>
          <w:tcPr>
            <w:tcW w:w="4390" w:type="dxa"/>
            <w:tcBorders>
              <w:top w:val="nil"/>
              <w:left w:val="nil"/>
              <w:bottom w:val="nil"/>
              <w:right w:val="nil"/>
            </w:tcBorders>
          </w:tcPr>
          <w:p w14:paraId="1109DEFB" w14:textId="77777777" w:rsidR="00E2198D" w:rsidRPr="00E94AD0" w:rsidRDefault="00E2198D" w:rsidP="004447B6">
            <w:pPr>
              <w:spacing w:line="276" w:lineRule="auto"/>
              <w:rPr>
                <w:rFonts w:ascii="Arial" w:hAnsi="Arial" w:cs="Arial"/>
                <w:lang w:val="en-GB"/>
              </w:rPr>
            </w:pPr>
          </w:p>
        </w:tc>
        <w:tc>
          <w:tcPr>
            <w:tcW w:w="1701" w:type="dxa"/>
            <w:tcBorders>
              <w:top w:val="nil"/>
              <w:left w:val="nil"/>
              <w:bottom w:val="nil"/>
              <w:right w:val="nil"/>
            </w:tcBorders>
          </w:tcPr>
          <w:p w14:paraId="42BBFD41" w14:textId="77777777" w:rsidR="00E2198D" w:rsidRPr="00E94AD0" w:rsidRDefault="00E2198D" w:rsidP="000A011E">
            <w:pPr>
              <w:spacing w:line="276" w:lineRule="auto"/>
              <w:jc w:val="right"/>
              <w:rPr>
                <w:rFonts w:ascii="Arial" w:hAnsi="Arial" w:cs="Arial"/>
                <w:lang w:val="en-GB"/>
              </w:rPr>
            </w:pPr>
          </w:p>
        </w:tc>
        <w:tc>
          <w:tcPr>
            <w:tcW w:w="1701" w:type="dxa"/>
            <w:tcBorders>
              <w:top w:val="single" w:sz="4" w:space="0" w:color="auto"/>
              <w:left w:val="nil"/>
              <w:bottom w:val="nil"/>
              <w:right w:val="nil"/>
            </w:tcBorders>
          </w:tcPr>
          <w:p w14:paraId="40EF77B0" w14:textId="77777777" w:rsidR="00E2198D" w:rsidRPr="00E94AD0" w:rsidRDefault="00E2198D" w:rsidP="004447B6">
            <w:pPr>
              <w:spacing w:line="276" w:lineRule="auto"/>
              <w:jc w:val="right"/>
              <w:rPr>
                <w:rFonts w:ascii="Arial" w:hAnsi="Arial" w:cs="Arial"/>
                <w:lang w:val="en-GB"/>
              </w:rPr>
            </w:pPr>
          </w:p>
        </w:tc>
        <w:tc>
          <w:tcPr>
            <w:tcW w:w="1558" w:type="dxa"/>
            <w:tcBorders>
              <w:top w:val="single" w:sz="4" w:space="0" w:color="auto"/>
              <w:left w:val="nil"/>
              <w:bottom w:val="nil"/>
              <w:right w:val="nil"/>
            </w:tcBorders>
          </w:tcPr>
          <w:p w14:paraId="3DCF62F2" w14:textId="77777777" w:rsidR="00E2198D" w:rsidRPr="00E94AD0" w:rsidRDefault="00E2198D" w:rsidP="004447B6">
            <w:pPr>
              <w:spacing w:line="276" w:lineRule="auto"/>
              <w:jc w:val="right"/>
              <w:rPr>
                <w:rFonts w:ascii="Arial" w:hAnsi="Arial" w:cs="Arial"/>
                <w:lang w:val="en-GB"/>
              </w:rPr>
            </w:pPr>
          </w:p>
        </w:tc>
      </w:tr>
      <w:tr w:rsidR="00E2198D" w:rsidRPr="00E94AD0" w14:paraId="160F7AEC" w14:textId="77777777" w:rsidTr="008F5B5F">
        <w:trPr>
          <w:tblHeader/>
        </w:trPr>
        <w:tc>
          <w:tcPr>
            <w:tcW w:w="4390" w:type="dxa"/>
            <w:tcBorders>
              <w:top w:val="nil"/>
              <w:left w:val="nil"/>
              <w:bottom w:val="nil"/>
              <w:right w:val="nil"/>
            </w:tcBorders>
          </w:tcPr>
          <w:p w14:paraId="04F0B625" w14:textId="77777777" w:rsidR="00E2198D" w:rsidRPr="00E94AD0" w:rsidRDefault="00E2198D" w:rsidP="004447B6">
            <w:pPr>
              <w:spacing w:line="276" w:lineRule="auto"/>
              <w:rPr>
                <w:rFonts w:ascii="Arial" w:hAnsi="Arial" w:cs="Arial"/>
                <w:lang w:val="en-GB"/>
              </w:rPr>
            </w:pPr>
            <w:r w:rsidRPr="003A2186">
              <w:rPr>
                <w:rFonts w:ascii="Arial" w:hAnsi="Arial" w:cs="Arial"/>
                <w:lang w:val="fr-CA"/>
              </w:rPr>
              <w:t xml:space="preserve">Les Serres Vert Cannabis Inc. </w:t>
            </w:r>
            <w:r w:rsidRPr="00E94AD0">
              <w:rPr>
                <w:rFonts w:ascii="Arial" w:hAnsi="Arial" w:cs="Arial"/>
                <w:lang w:val="en-GB"/>
              </w:rPr>
              <w:t>(“Vert Mirabel”)</w:t>
            </w:r>
          </w:p>
        </w:tc>
        <w:tc>
          <w:tcPr>
            <w:tcW w:w="1701" w:type="dxa"/>
            <w:tcBorders>
              <w:top w:val="nil"/>
              <w:left w:val="nil"/>
              <w:bottom w:val="nil"/>
              <w:right w:val="nil"/>
            </w:tcBorders>
          </w:tcPr>
          <w:p w14:paraId="21886B3B"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Dec 18, 2017</w:t>
            </w:r>
          </w:p>
        </w:tc>
        <w:tc>
          <w:tcPr>
            <w:tcW w:w="1701" w:type="dxa"/>
            <w:tcBorders>
              <w:top w:val="nil"/>
              <w:left w:val="nil"/>
              <w:bottom w:val="nil"/>
              <w:right w:val="nil"/>
            </w:tcBorders>
          </w:tcPr>
          <w:p w14:paraId="09867C58" w14:textId="05845F1D"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w:t>
            </w:r>
            <w:r w:rsidR="003C431A">
              <w:rPr>
                <w:rFonts w:ascii="Arial" w:hAnsi="Arial" w:cs="Arial"/>
                <w:lang w:val="en-GB"/>
              </w:rPr>
              <w:t xml:space="preserve"> </w:t>
            </w:r>
            <w:r w:rsidRPr="00E94AD0">
              <w:rPr>
                <w:rFonts w:ascii="Arial" w:hAnsi="Arial" w:cs="Arial"/>
                <w:lang w:val="en-GB"/>
              </w:rPr>
              <w:t>-</w:t>
            </w:r>
          </w:p>
        </w:tc>
        <w:tc>
          <w:tcPr>
            <w:tcW w:w="1558" w:type="dxa"/>
            <w:tcBorders>
              <w:top w:val="nil"/>
              <w:left w:val="nil"/>
              <w:bottom w:val="nil"/>
              <w:right w:val="nil"/>
            </w:tcBorders>
          </w:tcPr>
          <w:p w14:paraId="075D0182"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$5,625</w:t>
            </w:r>
          </w:p>
        </w:tc>
      </w:tr>
      <w:tr w:rsidR="00E2198D" w:rsidRPr="00E94AD0" w14:paraId="717C597E" w14:textId="77777777" w:rsidTr="008F5B5F">
        <w:trPr>
          <w:tblHeader/>
        </w:trPr>
        <w:tc>
          <w:tcPr>
            <w:tcW w:w="4390" w:type="dxa"/>
            <w:tcBorders>
              <w:top w:val="nil"/>
              <w:left w:val="nil"/>
              <w:bottom w:val="nil"/>
              <w:right w:val="nil"/>
            </w:tcBorders>
          </w:tcPr>
          <w:p w14:paraId="6AEB6707"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 xml:space="preserve">Tweed JA Limited </w:t>
            </w:r>
          </w:p>
        </w:tc>
        <w:tc>
          <w:tcPr>
            <w:tcW w:w="1701" w:type="dxa"/>
            <w:tcBorders>
              <w:top w:val="nil"/>
              <w:left w:val="nil"/>
              <w:bottom w:val="nil"/>
              <w:right w:val="nil"/>
            </w:tcBorders>
          </w:tcPr>
          <w:p w14:paraId="63DC79B1"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Sep 6, 2017</w:t>
            </w:r>
          </w:p>
        </w:tc>
        <w:tc>
          <w:tcPr>
            <w:tcW w:w="1701" w:type="dxa"/>
            <w:tcBorders>
              <w:top w:val="nil"/>
              <w:left w:val="nil"/>
              <w:bottom w:val="nil"/>
              <w:right w:val="nil"/>
            </w:tcBorders>
          </w:tcPr>
          <w:p w14:paraId="1C3568C6"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3,769</w:t>
            </w:r>
          </w:p>
        </w:tc>
        <w:tc>
          <w:tcPr>
            <w:tcW w:w="1558" w:type="dxa"/>
            <w:tcBorders>
              <w:top w:val="nil"/>
              <w:left w:val="nil"/>
              <w:bottom w:val="nil"/>
              <w:right w:val="nil"/>
            </w:tcBorders>
          </w:tcPr>
          <w:p w14:paraId="480135DE"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1,835</w:t>
            </w:r>
          </w:p>
        </w:tc>
      </w:tr>
      <w:tr w:rsidR="00E2198D" w:rsidRPr="00E94AD0" w14:paraId="4E3F9F5C" w14:textId="77777777" w:rsidTr="008F5B5F">
        <w:trPr>
          <w:tblHeader/>
        </w:trPr>
        <w:tc>
          <w:tcPr>
            <w:tcW w:w="4390" w:type="dxa"/>
            <w:tcBorders>
              <w:top w:val="nil"/>
              <w:left w:val="nil"/>
              <w:bottom w:val="nil"/>
              <w:right w:val="nil"/>
            </w:tcBorders>
          </w:tcPr>
          <w:p w14:paraId="4A821A6E"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 xml:space="preserve">Tweed Grasslands Cannabis Inc. </w:t>
            </w:r>
          </w:p>
        </w:tc>
        <w:tc>
          <w:tcPr>
            <w:tcW w:w="1701" w:type="dxa"/>
            <w:tcBorders>
              <w:top w:val="nil"/>
              <w:left w:val="nil"/>
              <w:bottom w:val="nil"/>
              <w:right w:val="nil"/>
            </w:tcBorders>
          </w:tcPr>
          <w:p w14:paraId="7C3CB7E9"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May 1, 2017</w:t>
            </w:r>
          </w:p>
        </w:tc>
        <w:tc>
          <w:tcPr>
            <w:tcW w:w="1701" w:type="dxa"/>
            <w:tcBorders>
              <w:top w:val="nil"/>
              <w:left w:val="nil"/>
              <w:bottom w:val="nil"/>
              <w:right w:val="nil"/>
            </w:tcBorders>
          </w:tcPr>
          <w:p w14:paraId="40687090"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30,927</w:t>
            </w:r>
          </w:p>
        </w:tc>
        <w:tc>
          <w:tcPr>
            <w:tcW w:w="1558" w:type="dxa"/>
            <w:tcBorders>
              <w:top w:val="nil"/>
              <w:left w:val="nil"/>
              <w:bottom w:val="nil"/>
              <w:right w:val="nil"/>
            </w:tcBorders>
          </w:tcPr>
          <w:p w14:paraId="01B3152A"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29,736</w:t>
            </w:r>
          </w:p>
        </w:tc>
      </w:tr>
      <w:tr w:rsidR="00E2198D" w:rsidRPr="00E94AD0" w14:paraId="4E270F9B" w14:textId="77777777" w:rsidTr="008F5B5F">
        <w:trPr>
          <w:tblHeader/>
        </w:trPr>
        <w:tc>
          <w:tcPr>
            <w:tcW w:w="4390" w:type="dxa"/>
            <w:tcBorders>
              <w:top w:val="nil"/>
              <w:left w:val="nil"/>
              <w:bottom w:val="nil"/>
              <w:right w:val="nil"/>
            </w:tcBorders>
          </w:tcPr>
          <w:p w14:paraId="79D1619D" w14:textId="77777777" w:rsidR="00E2198D" w:rsidRPr="00E94AD0" w:rsidRDefault="00E2198D" w:rsidP="004447B6">
            <w:pPr>
              <w:spacing w:line="276" w:lineRule="auto"/>
              <w:rPr>
                <w:rFonts w:ascii="Arial" w:hAnsi="Arial" w:cs="Arial"/>
                <w:lang w:val="en-GB"/>
              </w:rPr>
            </w:pPr>
            <w:r w:rsidRPr="00E94AD0">
              <w:rPr>
                <w:rFonts w:ascii="Arial" w:hAnsi="Arial" w:cs="Arial"/>
                <w:lang w:val="en-GB"/>
              </w:rPr>
              <w:t>Other</w:t>
            </w:r>
          </w:p>
        </w:tc>
        <w:tc>
          <w:tcPr>
            <w:tcW w:w="1701" w:type="dxa"/>
            <w:tcBorders>
              <w:top w:val="nil"/>
              <w:left w:val="nil"/>
              <w:bottom w:val="nil"/>
              <w:right w:val="nil"/>
            </w:tcBorders>
          </w:tcPr>
          <w:p w14:paraId="709AC908" w14:textId="77777777" w:rsidR="00E2198D" w:rsidRPr="00E94AD0" w:rsidRDefault="00E2198D" w:rsidP="000A011E">
            <w:pPr>
              <w:spacing w:line="276" w:lineRule="auto"/>
              <w:jc w:val="right"/>
              <w:rPr>
                <w:rFonts w:ascii="Arial" w:hAnsi="Arial" w:cs="Arial"/>
                <w:lang w:val="en-GB"/>
              </w:rPr>
            </w:pPr>
            <w:r w:rsidRPr="00E94AD0">
              <w:rPr>
                <w:rFonts w:ascii="Arial" w:hAnsi="Arial" w:cs="Arial"/>
                <w:lang w:val="en-GB"/>
              </w:rPr>
              <w:t>Various</w:t>
            </w:r>
          </w:p>
        </w:tc>
        <w:tc>
          <w:tcPr>
            <w:tcW w:w="1701" w:type="dxa"/>
            <w:tcBorders>
              <w:top w:val="nil"/>
              <w:left w:val="nil"/>
              <w:bottom w:val="single" w:sz="4" w:space="0" w:color="auto"/>
              <w:right w:val="nil"/>
            </w:tcBorders>
          </w:tcPr>
          <w:p w14:paraId="7D1F21A0"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5,244</w:t>
            </w:r>
          </w:p>
        </w:tc>
        <w:tc>
          <w:tcPr>
            <w:tcW w:w="1558" w:type="dxa"/>
            <w:tcBorders>
              <w:top w:val="nil"/>
              <w:left w:val="nil"/>
              <w:bottom w:val="single" w:sz="4" w:space="0" w:color="auto"/>
              <w:right w:val="nil"/>
            </w:tcBorders>
          </w:tcPr>
          <w:p w14:paraId="2E5A02B8" w14:textId="77777777" w:rsidR="00E2198D" w:rsidRPr="00E94AD0" w:rsidRDefault="00E2198D" w:rsidP="004447B6">
            <w:pPr>
              <w:spacing w:line="276" w:lineRule="auto"/>
              <w:jc w:val="right"/>
              <w:rPr>
                <w:rFonts w:ascii="Arial" w:hAnsi="Arial" w:cs="Arial"/>
                <w:lang w:val="en-GB"/>
              </w:rPr>
            </w:pPr>
            <w:r w:rsidRPr="00E94AD0">
              <w:rPr>
                <w:rFonts w:ascii="Arial" w:hAnsi="Arial" w:cs="Arial"/>
                <w:lang w:val="en-GB"/>
              </w:rPr>
              <w:t>1,562</w:t>
            </w:r>
          </w:p>
        </w:tc>
      </w:tr>
      <w:tr w:rsidR="00E2198D" w:rsidRPr="00E94AD0" w14:paraId="16ECC9D6" w14:textId="77777777" w:rsidTr="008F5B5F">
        <w:trPr>
          <w:tblHeader/>
        </w:trPr>
        <w:tc>
          <w:tcPr>
            <w:tcW w:w="4390" w:type="dxa"/>
            <w:tcBorders>
              <w:top w:val="nil"/>
              <w:left w:val="nil"/>
              <w:bottom w:val="nil"/>
              <w:right w:val="nil"/>
            </w:tcBorders>
          </w:tcPr>
          <w:p w14:paraId="4B8E8114" w14:textId="77777777" w:rsidR="00E2198D" w:rsidRPr="00E94AD0" w:rsidRDefault="00E2198D" w:rsidP="004447B6">
            <w:pPr>
              <w:spacing w:line="276" w:lineRule="auto"/>
              <w:rPr>
                <w:rFonts w:ascii="Arial" w:hAnsi="Arial" w:cs="Arial"/>
                <w:b/>
                <w:lang w:val="en-GB"/>
              </w:rPr>
            </w:pPr>
            <w:r w:rsidRPr="00E94AD0">
              <w:rPr>
                <w:rFonts w:ascii="Arial" w:hAnsi="Arial" w:cs="Arial"/>
                <w:b/>
                <w:lang w:val="en-GB"/>
              </w:rPr>
              <w:t>Total Fiscal 2018</w:t>
            </w:r>
          </w:p>
        </w:tc>
        <w:tc>
          <w:tcPr>
            <w:tcW w:w="1701" w:type="dxa"/>
            <w:tcBorders>
              <w:top w:val="nil"/>
              <w:left w:val="nil"/>
              <w:bottom w:val="nil"/>
              <w:right w:val="nil"/>
            </w:tcBorders>
          </w:tcPr>
          <w:p w14:paraId="34FAB8F4" w14:textId="77777777" w:rsidR="00E2198D" w:rsidRPr="00E94AD0" w:rsidRDefault="00E2198D" w:rsidP="004447B6">
            <w:pPr>
              <w:spacing w:line="276" w:lineRule="auto"/>
              <w:jc w:val="center"/>
              <w:rPr>
                <w:rFonts w:ascii="Arial" w:hAnsi="Arial" w:cs="Arial"/>
                <w:b/>
                <w:lang w:val="en-GB"/>
              </w:rPr>
            </w:pPr>
          </w:p>
        </w:tc>
        <w:tc>
          <w:tcPr>
            <w:tcW w:w="1701" w:type="dxa"/>
            <w:tcBorders>
              <w:top w:val="single" w:sz="4" w:space="0" w:color="auto"/>
              <w:left w:val="nil"/>
              <w:bottom w:val="single" w:sz="4" w:space="0" w:color="auto"/>
              <w:right w:val="nil"/>
            </w:tcBorders>
          </w:tcPr>
          <w:p w14:paraId="11963692"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$39,940</w:t>
            </w:r>
          </w:p>
        </w:tc>
        <w:tc>
          <w:tcPr>
            <w:tcW w:w="1558" w:type="dxa"/>
            <w:tcBorders>
              <w:top w:val="single" w:sz="4" w:space="0" w:color="auto"/>
              <w:left w:val="nil"/>
              <w:bottom w:val="single" w:sz="4" w:space="0" w:color="auto"/>
              <w:right w:val="nil"/>
            </w:tcBorders>
          </w:tcPr>
          <w:p w14:paraId="4AB82EEB"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$38,758</w:t>
            </w:r>
          </w:p>
        </w:tc>
      </w:tr>
      <w:tr w:rsidR="00E2198D" w:rsidRPr="00E94AD0" w14:paraId="7B8B2FDE" w14:textId="77777777" w:rsidTr="008F5B5F">
        <w:trPr>
          <w:tblHeader/>
        </w:trPr>
        <w:tc>
          <w:tcPr>
            <w:tcW w:w="4390" w:type="dxa"/>
            <w:tcBorders>
              <w:top w:val="nil"/>
              <w:left w:val="nil"/>
              <w:bottom w:val="nil"/>
              <w:right w:val="nil"/>
            </w:tcBorders>
          </w:tcPr>
          <w:p w14:paraId="1507CFC4" w14:textId="77777777" w:rsidR="00E2198D" w:rsidRPr="00E94AD0" w:rsidRDefault="00E2198D" w:rsidP="004447B6">
            <w:pPr>
              <w:spacing w:line="276" w:lineRule="auto"/>
              <w:rPr>
                <w:rFonts w:ascii="Arial" w:hAnsi="Arial" w:cs="Arial"/>
                <w:b/>
                <w:lang w:val="en-GB"/>
              </w:rPr>
            </w:pPr>
            <w:r w:rsidRPr="00E94AD0">
              <w:rPr>
                <w:rFonts w:ascii="Arial" w:hAnsi="Arial" w:cs="Arial"/>
                <w:b/>
                <w:lang w:val="en-GB"/>
              </w:rPr>
              <w:t>Grand Total</w:t>
            </w:r>
          </w:p>
        </w:tc>
        <w:tc>
          <w:tcPr>
            <w:tcW w:w="1701" w:type="dxa"/>
            <w:tcBorders>
              <w:top w:val="nil"/>
              <w:left w:val="nil"/>
              <w:bottom w:val="nil"/>
              <w:right w:val="nil"/>
            </w:tcBorders>
          </w:tcPr>
          <w:p w14:paraId="67BA4E72" w14:textId="77777777" w:rsidR="00E2198D" w:rsidRPr="00E94AD0" w:rsidRDefault="00E2198D" w:rsidP="004447B6">
            <w:pPr>
              <w:spacing w:line="276" w:lineRule="auto"/>
              <w:jc w:val="center"/>
              <w:rPr>
                <w:rFonts w:ascii="Arial" w:hAnsi="Arial" w:cs="Arial"/>
                <w:b/>
                <w:lang w:val="en-GB"/>
              </w:rPr>
            </w:pPr>
          </w:p>
        </w:tc>
        <w:tc>
          <w:tcPr>
            <w:tcW w:w="1701" w:type="dxa"/>
            <w:tcBorders>
              <w:top w:val="single" w:sz="4" w:space="0" w:color="auto"/>
              <w:left w:val="nil"/>
              <w:bottom w:val="single" w:sz="4" w:space="0" w:color="auto"/>
              <w:right w:val="nil"/>
            </w:tcBorders>
          </w:tcPr>
          <w:p w14:paraId="716046C0"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$2,062,481</w:t>
            </w:r>
          </w:p>
        </w:tc>
        <w:tc>
          <w:tcPr>
            <w:tcW w:w="1558" w:type="dxa"/>
            <w:tcBorders>
              <w:top w:val="single" w:sz="4" w:space="0" w:color="auto"/>
              <w:left w:val="nil"/>
              <w:bottom w:val="single" w:sz="4" w:space="0" w:color="auto"/>
              <w:right w:val="nil"/>
            </w:tcBorders>
          </w:tcPr>
          <w:p w14:paraId="15871DB4" w14:textId="77777777" w:rsidR="00E2198D" w:rsidRPr="00E94AD0" w:rsidRDefault="00E2198D" w:rsidP="004447B6">
            <w:pPr>
              <w:spacing w:line="276" w:lineRule="auto"/>
              <w:jc w:val="right"/>
              <w:rPr>
                <w:rFonts w:ascii="Arial" w:hAnsi="Arial" w:cs="Arial"/>
                <w:b/>
                <w:lang w:val="en-GB"/>
              </w:rPr>
            </w:pPr>
            <w:r w:rsidRPr="00E94AD0">
              <w:rPr>
                <w:rFonts w:ascii="Arial" w:hAnsi="Arial" w:cs="Arial"/>
                <w:b/>
                <w:lang w:val="en-GB"/>
              </w:rPr>
              <w:t>$1,659,812</w:t>
            </w:r>
          </w:p>
        </w:tc>
      </w:tr>
      <w:tr w:rsidR="00E2198D" w:rsidRPr="00E94AD0" w14:paraId="5A53936B" w14:textId="77777777" w:rsidTr="008F5B5F">
        <w:trPr>
          <w:tblHeader/>
        </w:trPr>
        <w:tc>
          <w:tcPr>
            <w:tcW w:w="4390" w:type="dxa"/>
            <w:tcBorders>
              <w:top w:val="nil"/>
              <w:left w:val="nil"/>
              <w:bottom w:val="nil"/>
              <w:right w:val="nil"/>
            </w:tcBorders>
          </w:tcPr>
          <w:p w14:paraId="25B861AB" w14:textId="77777777" w:rsidR="00E2198D" w:rsidRPr="00E94AD0" w:rsidRDefault="00E2198D" w:rsidP="004447B6">
            <w:pPr>
              <w:spacing w:line="276" w:lineRule="auto"/>
              <w:rPr>
                <w:rFonts w:ascii="Arial" w:hAnsi="Arial" w:cs="Arial"/>
                <w:lang w:val="en-GB"/>
              </w:rPr>
            </w:pPr>
          </w:p>
        </w:tc>
        <w:tc>
          <w:tcPr>
            <w:tcW w:w="1701" w:type="dxa"/>
            <w:tcBorders>
              <w:top w:val="nil"/>
              <w:left w:val="nil"/>
              <w:bottom w:val="nil"/>
              <w:right w:val="nil"/>
            </w:tcBorders>
          </w:tcPr>
          <w:p w14:paraId="2D87A714" w14:textId="77777777" w:rsidR="00E2198D" w:rsidRPr="00E94AD0" w:rsidRDefault="00E2198D" w:rsidP="004447B6">
            <w:pPr>
              <w:spacing w:line="276" w:lineRule="auto"/>
              <w:jc w:val="center"/>
              <w:rPr>
                <w:rFonts w:ascii="Arial" w:hAnsi="Arial" w:cs="Arial"/>
                <w:b/>
                <w:lang w:val="en-GB"/>
              </w:rPr>
            </w:pPr>
          </w:p>
        </w:tc>
        <w:tc>
          <w:tcPr>
            <w:tcW w:w="1701" w:type="dxa"/>
            <w:tcBorders>
              <w:top w:val="single" w:sz="4" w:space="0" w:color="auto"/>
              <w:left w:val="nil"/>
              <w:bottom w:val="nil"/>
              <w:right w:val="nil"/>
            </w:tcBorders>
          </w:tcPr>
          <w:p w14:paraId="48216875" w14:textId="77777777" w:rsidR="00E2198D" w:rsidRPr="00E94AD0" w:rsidRDefault="00E2198D" w:rsidP="004447B6">
            <w:pPr>
              <w:spacing w:line="276" w:lineRule="auto"/>
              <w:jc w:val="right"/>
              <w:rPr>
                <w:rFonts w:ascii="Arial" w:hAnsi="Arial" w:cs="Arial"/>
                <w:lang w:val="en-GB"/>
              </w:rPr>
            </w:pPr>
          </w:p>
        </w:tc>
        <w:tc>
          <w:tcPr>
            <w:tcW w:w="1558" w:type="dxa"/>
            <w:tcBorders>
              <w:top w:val="single" w:sz="4" w:space="0" w:color="auto"/>
              <w:left w:val="nil"/>
              <w:bottom w:val="nil"/>
              <w:right w:val="nil"/>
            </w:tcBorders>
          </w:tcPr>
          <w:p w14:paraId="44B12134" w14:textId="77777777" w:rsidR="00E2198D" w:rsidRPr="00E94AD0" w:rsidRDefault="00E2198D" w:rsidP="004447B6">
            <w:pPr>
              <w:spacing w:line="276" w:lineRule="auto"/>
              <w:jc w:val="right"/>
              <w:rPr>
                <w:rFonts w:ascii="Arial" w:hAnsi="Arial" w:cs="Arial"/>
                <w:lang w:val="en-GB"/>
              </w:rPr>
            </w:pPr>
          </w:p>
        </w:tc>
      </w:tr>
    </w:tbl>
    <w:p w14:paraId="534B4D4E" w14:textId="644842D9" w:rsidR="005C6A3A" w:rsidRPr="00E94AD0" w:rsidRDefault="005C6A3A" w:rsidP="00E2198D">
      <w:pPr>
        <w:rPr>
          <w:b/>
          <w:lang w:val="en-GB"/>
        </w:rPr>
      </w:pPr>
    </w:p>
    <w:p w14:paraId="4339785E" w14:textId="2C937ADF" w:rsidR="005C6A3A" w:rsidRPr="00902A8D" w:rsidRDefault="007F016B" w:rsidP="00902A8D">
      <w:pPr>
        <w:pStyle w:val="Footnote"/>
        <w:rPr>
          <w:bCs/>
          <w:lang w:val="en-GB"/>
        </w:rPr>
      </w:pPr>
      <w:r w:rsidRPr="00902A8D">
        <w:rPr>
          <w:bCs/>
          <w:lang w:val="en-GB"/>
        </w:rPr>
        <w:t>Source:</w:t>
      </w:r>
      <w:r w:rsidR="00902A8D" w:rsidRPr="00902A8D">
        <w:rPr>
          <w:bCs/>
          <w:lang w:val="en-GB"/>
        </w:rPr>
        <w:t xml:space="preserve"> </w:t>
      </w:r>
      <w:r w:rsidR="00902A8D" w:rsidRPr="00902A8D">
        <w:rPr>
          <w:bCs/>
        </w:rPr>
        <w:t>Chart prepared by case authors</w:t>
      </w:r>
      <w:r w:rsidR="00902A8D">
        <w:rPr>
          <w:bCs/>
        </w:rPr>
        <w:t xml:space="preserve"> with i</w:t>
      </w:r>
      <w:r w:rsidR="00902A8D" w:rsidRPr="00902A8D">
        <w:rPr>
          <w:bCs/>
        </w:rPr>
        <w:t xml:space="preserve">nformation from </w:t>
      </w:r>
      <w:r w:rsidR="006B5787">
        <w:rPr>
          <w:bCs/>
        </w:rPr>
        <w:t xml:space="preserve">Canopy Growth Corporation, </w:t>
      </w:r>
      <w:r w:rsidR="006B5787" w:rsidRPr="006B5787">
        <w:rPr>
          <w:bCs/>
          <w:i/>
          <w:iCs/>
        </w:rPr>
        <w:t>Consolidated Financial Statements for the Years Ended March 31,</w:t>
      </w:r>
      <w:r w:rsidR="00CA5015">
        <w:rPr>
          <w:bCs/>
          <w:i/>
          <w:iCs/>
        </w:rPr>
        <w:t xml:space="preserve"> 2020,</w:t>
      </w:r>
      <w:r w:rsidR="006B5787" w:rsidRPr="006B5787">
        <w:rPr>
          <w:bCs/>
          <w:i/>
          <w:iCs/>
        </w:rPr>
        <w:t xml:space="preserve"> 201</w:t>
      </w:r>
      <w:r w:rsidR="006B5787">
        <w:rPr>
          <w:bCs/>
          <w:i/>
          <w:iCs/>
        </w:rPr>
        <w:t>9</w:t>
      </w:r>
      <w:r w:rsidR="006B5787" w:rsidRPr="006B5787">
        <w:rPr>
          <w:bCs/>
          <w:i/>
          <w:iCs/>
        </w:rPr>
        <w:t xml:space="preserve"> and 201</w:t>
      </w:r>
      <w:r w:rsidR="006B5787">
        <w:rPr>
          <w:bCs/>
          <w:i/>
          <w:iCs/>
        </w:rPr>
        <w:t>8</w:t>
      </w:r>
      <w:r w:rsidR="006B5787">
        <w:rPr>
          <w:bCs/>
        </w:rPr>
        <w:t xml:space="preserve">, accessed February 25, 2021, </w:t>
      </w:r>
      <w:r w:rsidR="006B5787" w:rsidRPr="006B5787">
        <w:rPr>
          <w:bCs/>
        </w:rPr>
        <w:t>www.canopygrowth.com/wp-content/uploads/2020/07/Canopy-Growth-Corporation_Q4_FY_2017_Financial-Statements-Amended_Final.pdf</w:t>
      </w:r>
      <w:r w:rsidR="00902A8D">
        <w:rPr>
          <w:bCs/>
        </w:rPr>
        <w:t xml:space="preserve">; Canopy Growth Corporation, </w:t>
      </w:r>
      <w:r w:rsidR="006B5787" w:rsidRPr="006B5787">
        <w:rPr>
          <w:bCs/>
          <w:i/>
          <w:iCs/>
        </w:rPr>
        <w:t>Amended and Restated Consolidated Financial Statements for the Years Ended March 31, 2017 and 2016</w:t>
      </w:r>
      <w:r w:rsidR="00902A8D">
        <w:rPr>
          <w:bCs/>
        </w:rPr>
        <w:t xml:space="preserve">, </w:t>
      </w:r>
      <w:r w:rsidR="008614D9">
        <w:rPr>
          <w:bCs/>
        </w:rPr>
        <w:t xml:space="preserve">November 13, 2017, </w:t>
      </w:r>
      <w:r w:rsidR="00902A8D">
        <w:rPr>
          <w:bCs/>
        </w:rPr>
        <w:t xml:space="preserve">accessed February 25, 2021, </w:t>
      </w:r>
      <w:r w:rsidR="006B5787" w:rsidRPr="006B5787">
        <w:rPr>
          <w:bCs/>
        </w:rPr>
        <w:t>www.canopygrowth.com/wp-content/uploads/2020/07/Canopy-Growth-Corporation_Q4_FY_2017_Financial-Statements-Amended_Final.pdf</w:t>
      </w:r>
      <w:r w:rsidR="00902A8D">
        <w:rPr>
          <w:bCs/>
        </w:rPr>
        <w:t>.</w:t>
      </w:r>
      <w:r w:rsidR="005C6A3A" w:rsidRPr="00902A8D">
        <w:rPr>
          <w:bCs/>
          <w:lang w:val="en-GB"/>
        </w:rPr>
        <w:br w:type="page"/>
      </w:r>
    </w:p>
    <w:p w14:paraId="18CFFE92" w14:textId="19548E25" w:rsidR="00D10C17" w:rsidRPr="00E94AD0" w:rsidRDefault="00D10C17" w:rsidP="00E2198D">
      <w:pPr>
        <w:pStyle w:val="Casehead1"/>
        <w:rPr>
          <w:lang w:val="en-GB"/>
        </w:rPr>
      </w:pPr>
      <w:r w:rsidRPr="00E94AD0">
        <w:rPr>
          <w:lang w:val="en-GB"/>
        </w:rPr>
        <w:lastRenderedPageBreak/>
        <w:t>Endnotes</w:t>
      </w:r>
    </w:p>
    <w:sectPr w:rsidR="00D10C17" w:rsidRPr="00E94AD0"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FA7D0" w14:textId="77777777" w:rsidR="00BD3901" w:rsidRDefault="00BD3901" w:rsidP="00D75295">
      <w:r>
        <w:separator/>
      </w:r>
    </w:p>
  </w:endnote>
  <w:endnote w:type="continuationSeparator" w:id="0">
    <w:p w14:paraId="5F3F64D2" w14:textId="77777777" w:rsidR="00BD3901" w:rsidRDefault="00BD3901" w:rsidP="00D75295">
      <w:r>
        <w:continuationSeparator/>
      </w:r>
    </w:p>
  </w:endnote>
  <w:endnote w:id="1">
    <w:p w14:paraId="3E78881F" w14:textId="09CAD89B" w:rsidR="00BD3901" w:rsidRPr="00D10C17" w:rsidRDefault="00BD3901" w:rsidP="00D10C17">
      <w:pPr>
        <w:pStyle w:val="Footnote"/>
      </w:pPr>
      <w:r w:rsidRPr="00D10C17">
        <w:rPr>
          <w:rStyle w:val="EndnoteReference"/>
        </w:rPr>
        <w:endnoteRef/>
      </w:r>
      <w:r w:rsidRPr="00D10C17">
        <w:t xml:space="preserve"> This case has been written on the basis of published sources only. Consequently, the interpretation and perspectives presented in this case are not necessarily those of Canopy Growth Corporation or any of its employees.</w:t>
      </w:r>
    </w:p>
  </w:endnote>
  <w:endnote w:id="2">
    <w:p w14:paraId="5C605B20" w14:textId="71B11827" w:rsidR="00BD3901" w:rsidRPr="00D10C17" w:rsidRDefault="00BD3901" w:rsidP="00D10C17">
      <w:pPr>
        <w:pStyle w:val="Footnote"/>
      </w:pPr>
      <w:r w:rsidRPr="00D10C17">
        <w:rPr>
          <w:rStyle w:val="EndnoteReference"/>
        </w:rPr>
        <w:endnoteRef/>
      </w:r>
      <w:r w:rsidRPr="00D10C17">
        <w:t xml:space="preserve"> </w:t>
      </w:r>
      <w:r>
        <w:t xml:space="preserve">Canopy Growth Corporation, </w:t>
      </w:r>
      <w:r w:rsidRPr="002C777E">
        <w:rPr>
          <w:i/>
          <w:iCs/>
        </w:rPr>
        <w:t>Management’s Discussion and Analysis of Financial Condition and Results of Operations</w:t>
      </w:r>
      <w:r w:rsidRPr="00286793">
        <w:rPr>
          <w:i/>
          <w:iCs/>
        </w:rPr>
        <w:t xml:space="preserve"> </w:t>
      </w:r>
      <w:r w:rsidRPr="00A83550">
        <w:rPr>
          <w:i/>
          <w:iCs/>
        </w:rPr>
        <w:t>for the Year Ended March 31, 2020,</w:t>
      </w:r>
      <w:r>
        <w:rPr>
          <w:iCs/>
        </w:rPr>
        <w:t xml:space="preserve"> 6,</w:t>
      </w:r>
      <w:r w:rsidRPr="00B638C6">
        <w:t xml:space="preserve"> June 1, 2020</w:t>
      </w:r>
      <w:r w:rsidRPr="00A83550">
        <w:rPr>
          <w:i/>
          <w:iCs/>
        </w:rPr>
        <w:t>, a</w:t>
      </w:r>
      <w:r>
        <w:t>ccessed July 25, 2020,</w:t>
      </w:r>
      <w:r w:rsidRPr="00B638C6">
        <w:t xml:space="preserve"> www.canopygrowth.com/wp-content/uploads/2020/06/Q4-FY2020-MDA-FINAL.pdf</w:t>
      </w:r>
      <w:r w:rsidRPr="00D10C17">
        <w:t>.</w:t>
      </w:r>
    </w:p>
  </w:endnote>
  <w:endnote w:id="3">
    <w:p w14:paraId="7794BA88" w14:textId="48426CB4" w:rsidR="00BD3901" w:rsidRPr="00D10C17" w:rsidRDefault="00BD3901" w:rsidP="00D10C17">
      <w:pPr>
        <w:pStyle w:val="Footnote"/>
      </w:pPr>
      <w:r w:rsidRPr="00D10C17">
        <w:rPr>
          <w:rStyle w:val="EndnoteReference"/>
        </w:rPr>
        <w:endnoteRef/>
      </w:r>
      <w:r w:rsidRPr="00D10C17">
        <w:t xml:space="preserve"> All currency amounts are in C</w:t>
      </w:r>
      <w:r>
        <w:t>A$</w:t>
      </w:r>
      <w:r w:rsidRPr="00D10C17">
        <w:t xml:space="preserve"> unless otherwise specified.</w:t>
      </w:r>
    </w:p>
  </w:endnote>
  <w:endnote w:id="4">
    <w:p w14:paraId="1FC4EBE5" w14:textId="4C1FF0BB" w:rsidR="00BD3901" w:rsidRPr="00D10C17" w:rsidRDefault="00BD3901" w:rsidP="00D10C17">
      <w:pPr>
        <w:pStyle w:val="Footnote"/>
      </w:pPr>
      <w:r w:rsidRPr="00D10C17">
        <w:rPr>
          <w:rStyle w:val="EndnoteReference"/>
        </w:rPr>
        <w:endnoteRef/>
      </w:r>
      <w:r w:rsidRPr="00D10C17">
        <w:t xml:space="preserve"> “The Retail Cannabis Market in Canada: A Portrait of the First Year</w:t>
      </w:r>
      <w:r>
        <w:t>,</w:t>
      </w:r>
      <w:r w:rsidRPr="00D10C17">
        <w:t>” Statistics Canada</w:t>
      </w:r>
      <w:r>
        <w:t>,</w:t>
      </w:r>
      <w:r w:rsidRPr="00D10C17">
        <w:t xml:space="preserve"> </w:t>
      </w:r>
      <w:r>
        <w:t>December 12, 2019, a</w:t>
      </w:r>
      <w:r w:rsidRPr="00D10C17">
        <w:t>ccessed July 19, 2020</w:t>
      </w:r>
      <w:r>
        <w:t xml:space="preserve">, </w:t>
      </w:r>
      <w:r w:rsidRPr="00286793">
        <w:t>www150.statcan.gc.ca/n1/pub/11-621-m/11-621-m2019005-eng.htm</w:t>
      </w:r>
      <w:r w:rsidRPr="00D10C17">
        <w:t>.</w:t>
      </w:r>
    </w:p>
  </w:endnote>
  <w:endnote w:id="5">
    <w:p w14:paraId="609A66AA" w14:textId="2DA61BD9" w:rsidR="00BD3901" w:rsidRPr="00D10C17" w:rsidRDefault="00BD3901" w:rsidP="00D10C17">
      <w:pPr>
        <w:pStyle w:val="Footnote"/>
      </w:pPr>
      <w:r w:rsidRPr="00D10C17">
        <w:rPr>
          <w:rStyle w:val="EndnoteReference"/>
        </w:rPr>
        <w:endnoteRef/>
      </w:r>
      <w:r w:rsidRPr="00D10C17">
        <w:t xml:space="preserve"> “National Cannabis Survey, </w:t>
      </w:r>
      <w:r>
        <w:t>T</w:t>
      </w:r>
      <w:r w:rsidRPr="00D10C17">
        <w:t xml:space="preserve">hird </w:t>
      </w:r>
      <w:r>
        <w:t>Q</w:t>
      </w:r>
      <w:r w:rsidRPr="00D10C17">
        <w:t>uarter 2019</w:t>
      </w:r>
      <w:r>
        <w:t>,</w:t>
      </w:r>
      <w:r w:rsidRPr="00D10C17">
        <w:t>” Statistics Canada</w:t>
      </w:r>
      <w:r>
        <w:t>,</w:t>
      </w:r>
      <w:r w:rsidRPr="00D10C17">
        <w:t xml:space="preserve"> </w:t>
      </w:r>
      <w:r>
        <w:t>October 30, 2019, a</w:t>
      </w:r>
      <w:r w:rsidRPr="00D10C17">
        <w:t>ccessed July 19, 2020</w:t>
      </w:r>
      <w:r>
        <w:t xml:space="preserve">, </w:t>
      </w:r>
      <w:r w:rsidRPr="00286793">
        <w:t>www150.statcan.gc.ca/n1/daily-quotidien/191030/dq191030a-eng.htm</w:t>
      </w:r>
      <w:r w:rsidRPr="00D10C17">
        <w:t>.</w:t>
      </w:r>
    </w:p>
  </w:endnote>
  <w:endnote w:id="6">
    <w:p w14:paraId="1E61639F" w14:textId="6D96500A" w:rsidR="00BD3901" w:rsidRPr="00D10C17" w:rsidRDefault="00BD3901" w:rsidP="00D10C17">
      <w:pPr>
        <w:pStyle w:val="Footnote"/>
      </w:pPr>
      <w:r w:rsidRPr="00D10C17">
        <w:rPr>
          <w:rStyle w:val="EndnoteReference"/>
        </w:rPr>
        <w:endnoteRef/>
      </w:r>
      <w:r w:rsidRPr="00D10C17">
        <w:t xml:space="preserve"> </w:t>
      </w:r>
      <w:r>
        <w:t xml:space="preserve">Deloitte, </w:t>
      </w:r>
      <w:r w:rsidRPr="002C777E">
        <w:rPr>
          <w:i/>
          <w:iCs/>
        </w:rPr>
        <w:t xml:space="preserve">A </w:t>
      </w:r>
      <w:r>
        <w:rPr>
          <w:i/>
          <w:iCs/>
        </w:rPr>
        <w:t>S</w:t>
      </w:r>
      <w:r w:rsidRPr="002C777E">
        <w:rPr>
          <w:i/>
          <w:iCs/>
        </w:rPr>
        <w:t>ociety in Transition, an Industry Ready to Bloom—2018 Cannabis Report</w:t>
      </w:r>
      <w:r>
        <w:t>, 5, a</w:t>
      </w:r>
      <w:r w:rsidRPr="00D10C17">
        <w:t>ccessed July 24, 2020</w:t>
      </w:r>
      <w:r>
        <w:t xml:space="preserve">, </w:t>
      </w:r>
      <w:r w:rsidRPr="00286793">
        <w:t>https://www2.deloitte.com/content/dam/Deloitte/ca/Documents/consulting/ca-cannabis-2018-report-en.PDF</w:t>
      </w:r>
      <w:r w:rsidRPr="00D10C17">
        <w:t xml:space="preserve">. </w:t>
      </w:r>
    </w:p>
  </w:endnote>
  <w:endnote w:id="7">
    <w:p w14:paraId="193798C4" w14:textId="6A6CA824" w:rsidR="00BD3901" w:rsidRPr="00D10C17" w:rsidRDefault="00BD3901" w:rsidP="00D10C17">
      <w:pPr>
        <w:pStyle w:val="Footnote"/>
      </w:pPr>
      <w:r w:rsidRPr="00D10C17">
        <w:rPr>
          <w:rStyle w:val="EndnoteReference"/>
        </w:rPr>
        <w:endnoteRef/>
      </w:r>
      <w:r w:rsidRPr="00D10C17">
        <w:t xml:space="preserve"> </w:t>
      </w:r>
      <w:r>
        <w:t>Canopy Growth Corporation, op. cit.,</w:t>
      </w:r>
      <w:r w:rsidRPr="00D10C17">
        <w:t xml:space="preserve"> 19.</w:t>
      </w:r>
      <w:r>
        <w:t xml:space="preserve"> </w:t>
      </w:r>
    </w:p>
  </w:endnote>
  <w:endnote w:id="8">
    <w:p w14:paraId="04EC4E0E" w14:textId="3124A0C7" w:rsidR="00BD3901" w:rsidRPr="00D10C17" w:rsidRDefault="00BD3901" w:rsidP="00D10C17">
      <w:pPr>
        <w:pStyle w:val="Footnote"/>
      </w:pPr>
      <w:r w:rsidRPr="00D10C17">
        <w:rPr>
          <w:rStyle w:val="EndnoteReference"/>
        </w:rPr>
        <w:endnoteRef/>
      </w:r>
      <w:r w:rsidRPr="00D10C17">
        <w:t xml:space="preserve"> </w:t>
      </w:r>
      <w:r w:rsidRPr="00D27C0D">
        <w:t>Peter Grinspoon</w:t>
      </w:r>
      <w:r>
        <w:t xml:space="preserve">, </w:t>
      </w:r>
      <w:r w:rsidRPr="00D10C17">
        <w:t>“Medical Marijuana</w:t>
      </w:r>
      <w:r>
        <w:t>,</w:t>
      </w:r>
      <w:r w:rsidRPr="00D10C17">
        <w:t>” Harvard Health Publishing</w:t>
      </w:r>
      <w:r>
        <w:t>: Harvard Medical School, April 10, 2020, a</w:t>
      </w:r>
      <w:r w:rsidRPr="00D10C17">
        <w:t>ccessed July 25, 2020</w:t>
      </w:r>
      <w:r>
        <w:t xml:space="preserve">, </w:t>
      </w:r>
      <w:r w:rsidRPr="00286793">
        <w:t>www.health.harvard.edu/blog/medical-marijuana-2018011513085</w:t>
      </w:r>
      <w:r w:rsidRPr="00D10C17">
        <w:t xml:space="preserve">. </w:t>
      </w:r>
    </w:p>
  </w:endnote>
  <w:endnote w:id="9">
    <w:p w14:paraId="787B210F" w14:textId="4C6E9CB6" w:rsidR="00BD3901" w:rsidRPr="00D10C17" w:rsidRDefault="00BD3901" w:rsidP="00D10C17">
      <w:pPr>
        <w:pStyle w:val="Footnote"/>
      </w:pPr>
      <w:r w:rsidRPr="00D10C17">
        <w:rPr>
          <w:rStyle w:val="EndnoteReference"/>
        </w:rPr>
        <w:endnoteRef/>
      </w:r>
      <w:r w:rsidRPr="00D10C17">
        <w:t xml:space="preserve"> </w:t>
      </w:r>
      <w:r>
        <w:t xml:space="preserve">The term “marijuana” is often spelled </w:t>
      </w:r>
      <w:r w:rsidRPr="00D10C17">
        <w:t>“</w:t>
      </w:r>
      <w:r>
        <w:t>m</w:t>
      </w:r>
      <w:r w:rsidRPr="00D10C17">
        <w:t>arihuana”</w:t>
      </w:r>
      <w:r>
        <w:t xml:space="preserve"> by government agencies: “</w:t>
      </w:r>
      <w:r w:rsidRPr="00D27C0D">
        <w:t xml:space="preserve">Why </w:t>
      </w:r>
      <w:r>
        <w:t>I</w:t>
      </w:r>
      <w:r w:rsidRPr="00D27C0D">
        <w:t xml:space="preserve">s </w:t>
      </w:r>
      <w:r>
        <w:t>M</w:t>
      </w:r>
      <w:r w:rsidRPr="00D27C0D">
        <w:t xml:space="preserve">arijuana </w:t>
      </w:r>
      <w:r>
        <w:t>S</w:t>
      </w:r>
      <w:r w:rsidRPr="00D27C0D">
        <w:t xml:space="preserve">ometimes </w:t>
      </w:r>
      <w:r>
        <w:t>S</w:t>
      </w:r>
      <w:r w:rsidRPr="00D27C0D">
        <w:t xml:space="preserve">pelled with an </w:t>
      </w:r>
      <w:r>
        <w:t>‘</w:t>
      </w:r>
      <w:r w:rsidRPr="00D27C0D">
        <w:t>h</w:t>
      </w:r>
      <w:r>
        <w:t>’</w:t>
      </w:r>
      <w:r w:rsidRPr="00D27C0D">
        <w:t xml:space="preserve"> and </w:t>
      </w:r>
      <w:r>
        <w:t>O</w:t>
      </w:r>
      <w:r w:rsidRPr="00D27C0D">
        <w:t xml:space="preserve">ther </w:t>
      </w:r>
      <w:r>
        <w:t>T</w:t>
      </w:r>
      <w:r w:rsidRPr="00D27C0D">
        <w:t xml:space="preserve">imes </w:t>
      </w:r>
      <w:r>
        <w:t>S</w:t>
      </w:r>
      <w:r w:rsidRPr="00D27C0D">
        <w:t xml:space="preserve">pelled with a </w:t>
      </w:r>
      <w:r>
        <w:t>‘</w:t>
      </w:r>
      <w:r w:rsidRPr="00D27C0D">
        <w:t>j</w:t>
      </w:r>
      <w:r>
        <w:t>,’</w:t>
      </w:r>
      <w:r w:rsidRPr="00D27C0D">
        <w:t>?</w:t>
      </w:r>
      <w:r>
        <w:t xml:space="preserve">” </w:t>
      </w:r>
      <w:r w:rsidRPr="00D27C0D">
        <w:t>Marijuana Regulatory Agency, accessed Fe</w:t>
      </w:r>
      <w:r>
        <w:t>b</w:t>
      </w:r>
      <w:r w:rsidRPr="00D27C0D">
        <w:t>ruary 25, 2021, www.michigan.gov/mra/0,9306,7-386-83746-449300--,00.html</w:t>
      </w:r>
      <w:r>
        <w:t>.</w:t>
      </w:r>
    </w:p>
  </w:endnote>
  <w:endnote w:id="10">
    <w:p w14:paraId="26B04293" w14:textId="4500D1A3" w:rsidR="00BD3901" w:rsidRPr="00D10C17" w:rsidRDefault="00BD3901" w:rsidP="00D10C17">
      <w:pPr>
        <w:pStyle w:val="Footnote"/>
      </w:pPr>
      <w:r w:rsidRPr="00D10C17">
        <w:rPr>
          <w:rStyle w:val="EndnoteReference"/>
        </w:rPr>
        <w:endnoteRef/>
      </w:r>
      <w:r w:rsidRPr="00D10C17">
        <w:t xml:space="preserve"> “History of Medical Marijuana</w:t>
      </w:r>
      <w:r>
        <w:t>,</w:t>
      </w:r>
      <w:r w:rsidRPr="00D10C17">
        <w:t xml:space="preserve">” </w:t>
      </w:r>
      <w:r>
        <w:t xml:space="preserve">MM+: </w:t>
      </w:r>
      <w:r w:rsidRPr="00D10C17">
        <w:t>Medicron</w:t>
      </w:r>
      <w:r>
        <w:t>,</w:t>
      </w:r>
      <w:r w:rsidRPr="00D10C17">
        <w:t xml:space="preserve"> </w:t>
      </w:r>
      <w:r>
        <w:t>a</w:t>
      </w:r>
      <w:r w:rsidRPr="00D10C17">
        <w:t>ccessed July 25, 2020</w:t>
      </w:r>
      <w:r>
        <w:t xml:space="preserve">, </w:t>
      </w:r>
      <w:r w:rsidRPr="00286793">
        <w:t>http://medicron.ca/pages/History+of+Medical+Marijuana/32</w:t>
      </w:r>
      <w:r w:rsidRPr="00D10C17">
        <w:t xml:space="preserve">. </w:t>
      </w:r>
    </w:p>
  </w:endnote>
  <w:endnote w:id="11">
    <w:p w14:paraId="52F6BA46" w14:textId="63B83F48" w:rsidR="00BD3901" w:rsidRPr="00D10C17" w:rsidRDefault="00BD3901" w:rsidP="00D10C17">
      <w:pPr>
        <w:pStyle w:val="Footnote"/>
      </w:pPr>
      <w:r w:rsidRPr="00D10C17">
        <w:rPr>
          <w:rStyle w:val="EndnoteReference"/>
        </w:rPr>
        <w:endnoteRef/>
      </w:r>
      <w:r w:rsidRPr="00D10C17">
        <w:t xml:space="preserve"> </w:t>
      </w:r>
      <w:r>
        <w:t>Canopy Growth Corporation, op. cit.,</w:t>
      </w:r>
      <w:r w:rsidRPr="00D10C17">
        <w:t xml:space="preserve"> </w:t>
      </w:r>
      <w:r>
        <w:t>6</w:t>
      </w:r>
      <w:r w:rsidRPr="00D10C17">
        <w:t>.</w:t>
      </w:r>
      <w:r>
        <w:t xml:space="preserve"> </w:t>
      </w:r>
    </w:p>
  </w:endnote>
  <w:endnote w:id="12">
    <w:p w14:paraId="5E54E419" w14:textId="4A7ABB8A" w:rsidR="00BD3901" w:rsidRPr="00D10C17" w:rsidRDefault="00BD3901" w:rsidP="00D10C17">
      <w:pPr>
        <w:pStyle w:val="Footnote"/>
      </w:pPr>
      <w:r w:rsidRPr="00D10C17">
        <w:rPr>
          <w:rStyle w:val="EndnoteReference"/>
        </w:rPr>
        <w:endnoteRef/>
      </w:r>
      <w:r w:rsidRPr="00D10C17">
        <w:t xml:space="preserve"> </w:t>
      </w:r>
      <w:r>
        <w:t xml:space="preserve">Deloitte, </w:t>
      </w:r>
      <w:r w:rsidRPr="002C777E">
        <w:rPr>
          <w:i/>
          <w:iCs/>
        </w:rPr>
        <w:t>Nurturing New Growth: Canada Gets Ready for Cannabis 2.0</w:t>
      </w:r>
      <w:r>
        <w:t>,</w:t>
      </w:r>
      <w:r w:rsidRPr="00D10C17">
        <w:t xml:space="preserve"> </w:t>
      </w:r>
      <w:r>
        <w:t>2, a</w:t>
      </w:r>
      <w:r w:rsidRPr="00D10C17">
        <w:t>ccessed July 25, 2020</w:t>
      </w:r>
      <w:r>
        <w:t xml:space="preserve">, </w:t>
      </w:r>
      <w:r w:rsidRPr="007355F0">
        <w:t>https://www2.deloitte.com/content/dam/Deloitte/ca/Documents/c-and-ip/ca-en-consumer-nurturing-new-growth-en-aoda-may31.pdf</w:t>
      </w:r>
      <w:r w:rsidRPr="00D10C17">
        <w:t>.</w:t>
      </w:r>
    </w:p>
  </w:endnote>
  <w:endnote w:id="13">
    <w:p w14:paraId="79BF76A9" w14:textId="1A2960A0" w:rsidR="00BD3901" w:rsidRPr="00D10C17" w:rsidRDefault="00BD3901" w:rsidP="00D10C17">
      <w:pPr>
        <w:pStyle w:val="Footnote"/>
      </w:pPr>
      <w:r w:rsidRPr="00D10C17">
        <w:rPr>
          <w:rStyle w:val="EndnoteReference"/>
        </w:rPr>
        <w:endnoteRef/>
      </w:r>
      <w:r w:rsidRPr="00D10C17">
        <w:t xml:space="preserve"> </w:t>
      </w:r>
      <w:r>
        <w:t>Ibid</w:t>
      </w:r>
      <w:r w:rsidRPr="00D10C17">
        <w:t>.</w:t>
      </w:r>
      <w:r>
        <w:t>, 4.</w:t>
      </w:r>
    </w:p>
  </w:endnote>
  <w:endnote w:id="14">
    <w:p w14:paraId="41381A98" w14:textId="406CA44E" w:rsidR="00BD3901" w:rsidRPr="00D10C17" w:rsidRDefault="00BD3901" w:rsidP="00D10C17">
      <w:pPr>
        <w:pStyle w:val="Footnote"/>
      </w:pPr>
      <w:r w:rsidRPr="00D10C17">
        <w:rPr>
          <w:rStyle w:val="EndnoteReference"/>
        </w:rPr>
        <w:endnoteRef/>
      </w:r>
      <w:r w:rsidRPr="00D10C17">
        <w:t xml:space="preserve"> </w:t>
      </w:r>
      <w:r w:rsidRPr="007355F0">
        <w:t>Selena Ross</w:t>
      </w:r>
      <w:r>
        <w:t xml:space="preserve">, </w:t>
      </w:r>
      <w:r w:rsidRPr="00D10C17">
        <w:t xml:space="preserve">“All </w:t>
      </w:r>
      <w:r>
        <w:t>E</w:t>
      </w:r>
      <w:r w:rsidRPr="00D10C17">
        <w:t xml:space="preserve">yes on Canada as </w:t>
      </w:r>
      <w:r>
        <w:t>F</w:t>
      </w:r>
      <w:r w:rsidRPr="00D10C17">
        <w:t xml:space="preserve">irst G7 </w:t>
      </w:r>
      <w:r>
        <w:t>N</w:t>
      </w:r>
      <w:r w:rsidRPr="00D10C17">
        <w:t xml:space="preserve">ation </w:t>
      </w:r>
      <w:r>
        <w:t>P</w:t>
      </w:r>
      <w:r w:rsidRPr="00D10C17">
        <w:t xml:space="preserve">repares to </w:t>
      </w:r>
      <w:r>
        <w:t>M</w:t>
      </w:r>
      <w:r w:rsidRPr="00D10C17">
        <w:t xml:space="preserve">ake </w:t>
      </w:r>
      <w:r>
        <w:t>M</w:t>
      </w:r>
      <w:r w:rsidRPr="00D10C17">
        <w:t xml:space="preserve">arijuana </w:t>
      </w:r>
      <w:r>
        <w:t>L</w:t>
      </w:r>
      <w:r w:rsidRPr="00D10C17">
        <w:t>egal</w:t>
      </w:r>
      <w:r>
        <w:t>,</w:t>
      </w:r>
      <w:r w:rsidRPr="00D10C17">
        <w:t xml:space="preserve">” </w:t>
      </w:r>
      <w:r w:rsidRPr="002C777E">
        <w:rPr>
          <w:i/>
          <w:iCs/>
        </w:rPr>
        <w:t>Guardian</w:t>
      </w:r>
      <w:r>
        <w:t>,</w:t>
      </w:r>
      <w:r w:rsidRPr="00D10C17">
        <w:t xml:space="preserve"> </w:t>
      </w:r>
      <w:r>
        <w:t>June 7, 2018, a</w:t>
      </w:r>
      <w:r w:rsidRPr="00D10C17">
        <w:t>ccessed July 25, 2020</w:t>
      </w:r>
      <w:r>
        <w:t xml:space="preserve">, </w:t>
      </w:r>
      <w:r w:rsidRPr="00D10C17">
        <w:t>www.theguardian.com/world/2018/jun/06/all-eyes-on-canada-as-first-g7-nation-prepares-to-make-marijuana-legal.</w:t>
      </w:r>
    </w:p>
  </w:endnote>
  <w:endnote w:id="15">
    <w:p w14:paraId="206113F6" w14:textId="34EA1DF1" w:rsidR="00BD3901" w:rsidRPr="00D10C17" w:rsidRDefault="00BD3901" w:rsidP="00D10C17">
      <w:pPr>
        <w:pStyle w:val="Footnote"/>
      </w:pPr>
      <w:r w:rsidRPr="00D10C17">
        <w:rPr>
          <w:rStyle w:val="EndnoteReference"/>
        </w:rPr>
        <w:endnoteRef/>
      </w:r>
      <w:r w:rsidRPr="00D10C17">
        <w:t xml:space="preserve"> “PwC Canada’s </w:t>
      </w:r>
      <w:r>
        <w:t>C</w:t>
      </w:r>
      <w:r w:rsidRPr="00D10C17">
        <w:t xml:space="preserve">annabis </w:t>
      </w:r>
      <w:r>
        <w:t>S</w:t>
      </w:r>
      <w:r w:rsidRPr="00D10C17">
        <w:t>eries: Chapter 7</w:t>
      </w:r>
      <w:r>
        <w:t>—</w:t>
      </w:r>
      <w:r w:rsidRPr="00D10C17">
        <w:t xml:space="preserve">Going Global: The </w:t>
      </w:r>
      <w:r>
        <w:t>L</w:t>
      </w:r>
      <w:r w:rsidRPr="00D10C17">
        <w:t xml:space="preserve">ure of </w:t>
      </w:r>
      <w:r>
        <w:t>I</w:t>
      </w:r>
      <w:r w:rsidRPr="00D10C17">
        <w:t xml:space="preserve">nternational </w:t>
      </w:r>
      <w:r>
        <w:t>M</w:t>
      </w:r>
      <w:r w:rsidRPr="00D10C17">
        <w:t xml:space="preserve">arkets and </w:t>
      </w:r>
      <w:r>
        <w:t>B</w:t>
      </w:r>
      <w:r w:rsidRPr="00D10C17">
        <w:t xml:space="preserve">enefits of a </w:t>
      </w:r>
      <w:r>
        <w:t>G</w:t>
      </w:r>
      <w:r w:rsidRPr="00D10C17">
        <w:t xml:space="preserve">lobal </w:t>
      </w:r>
      <w:r>
        <w:t>S</w:t>
      </w:r>
      <w:r w:rsidRPr="00D10C17">
        <w:t>trategy</w:t>
      </w:r>
      <w:r>
        <w:t>,</w:t>
      </w:r>
      <w:r w:rsidRPr="00D10C17">
        <w:t>”</w:t>
      </w:r>
      <w:r>
        <w:t xml:space="preserve"> </w:t>
      </w:r>
      <w:r w:rsidRPr="00D10C17">
        <w:t>PwC</w:t>
      </w:r>
      <w:r>
        <w:t xml:space="preserve"> </w:t>
      </w:r>
      <w:r w:rsidRPr="003F08B5">
        <w:sym w:font="Symbol" w:char="F0EF"/>
      </w:r>
      <w:r w:rsidRPr="00D10C17">
        <w:t xml:space="preserve"> Canada</w:t>
      </w:r>
      <w:r>
        <w:t>,</w:t>
      </w:r>
      <w:r w:rsidRPr="00D10C17">
        <w:t xml:space="preserve"> </w:t>
      </w:r>
      <w:r>
        <w:t>November 12, 2018, a</w:t>
      </w:r>
      <w:r w:rsidRPr="00D10C17">
        <w:t>ccessed September 13, 2020</w:t>
      </w:r>
      <w:r>
        <w:t xml:space="preserve">, </w:t>
      </w:r>
      <w:r w:rsidRPr="00286793">
        <w:t>www.pwc.com/ca/en/industries/cannabis/pwc-cannabis-series-chapter-7-lure-of-international-markets-benefits-strategic-plan.html</w:t>
      </w:r>
      <w:r w:rsidRPr="00D10C17">
        <w:t>.</w:t>
      </w:r>
    </w:p>
  </w:endnote>
  <w:endnote w:id="16">
    <w:p w14:paraId="47477692" w14:textId="079708B5" w:rsidR="00BD3901" w:rsidRPr="00D10C17" w:rsidRDefault="00BD3901" w:rsidP="00D10C17">
      <w:pPr>
        <w:pStyle w:val="Footnote"/>
      </w:pPr>
      <w:r w:rsidRPr="00D10C17">
        <w:rPr>
          <w:rStyle w:val="EndnoteReference"/>
        </w:rPr>
        <w:endnoteRef/>
      </w:r>
      <w:r w:rsidRPr="00D10C17">
        <w:t xml:space="preserve"> Ibid.</w:t>
      </w:r>
      <w:r>
        <w:t xml:space="preserve"> </w:t>
      </w:r>
    </w:p>
  </w:endnote>
  <w:endnote w:id="17">
    <w:p w14:paraId="1B9C8D57" w14:textId="50009C3E" w:rsidR="00BD3901" w:rsidRPr="00D10C17" w:rsidRDefault="00BD3901" w:rsidP="00D10C17">
      <w:pPr>
        <w:pStyle w:val="Footnote"/>
      </w:pPr>
      <w:r w:rsidRPr="00D10C17">
        <w:rPr>
          <w:rStyle w:val="EndnoteReference"/>
        </w:rPr>
        <w:endnoteRef/>
      </w:r>
      <w:r w:rsidRPr="00D10C17">
        <w:t xml:space="preserve"> </w:t>
      </w:r>
      <w:r>
        <w:t>Michael Hartman, Cannabis</w:t>
      </w:r>
      <w:r w:rsidRPr="00D10C17">
        <w:t xml:space="preserve"> Overview</w:t>
      </w:r>
      <w:r>
        <w:t>: Legalization,</w:t>
      </w:r>
      <w:r w:rsidRPr="00D10C17">
        <w:t xml:space="preserve">” </w:t>
      </w:r>
      <w:r>
        <w:t xml:space="preserve">NCSL: </w:t>
      </w:r>
      <w:r w:rsidRPr="00D10C17">
        <w:t>National Conference of State Legislatures</w:t>
      </w:r>
      <w:r>
        <w:t>, a</w:t>
      </w:r>
      <w:r w:rsidRPr="00D10C17">
        <w:t>ccessed September 13, 2020</w:t>
      </w:r>
      <w:r>
        <w:t xml:space="preserve">, </w:t>
      </w:r>
      <w:r w:rsidRPr="00286793">
        <w:t>www.ncsl.org/research/civil-and-criminal-justice/marijuana-overview.aspx</w:t>
      </w:r>
      <w:r w:rsidRPr="00D10C17">
        <w:t xml:space="preserve">. </w:t>
      </w:r>
    </w:p>
  </w:endnote>
  <w:endnote w:id="18">
    <w:p w14:paraId="5FE71553" w14:textId="71453392" w:rsidR="00BD3901" w:rsidRPr="00D10C17" w:rsidRDefault="00BD3901" w:rsidP="00D10C17">
      <w:pPr>
        <w:pStyle w:val="Footnote"/>
      </w:pPr>
      <w:r w:rsidRPr="00D10C17">
        <w:rPr>
          <w:rStyle w:val="EndnoteReference"/>
        </w:rPr>
        <w:endnoteRef/>
      </w:r>
      <w:r w:rsidRPr="00D10C17">
        <w:t xml:space="preserve"> Ibid.</w:t>
      </w:r>
      <w:r>
        <w:t xml:space="preserve"> </w:t>
      </w:r>
      <w:r w:rsidRPr="00D10C17">
        <w:t xml:space="preserve"> </w:t>
      </w:r>
    </w:p>
  </w:endnote>
  <w:endnote w:id="19">
    <w:p w14:paraId="0D72B577" w14:textId="16B2821F" w:rsidR="00BD3901" w:rsidRPr="00D10C17" w:rsidRDefault="00BD3901" w:rsidP="003A2186">
      <w:pPr>
        <w:pStyle w:val="Footnote"/>
      </w:pPr>
      <w:r w:rsidRPr="00D10C17">
        <w:rPr>
          <w:rStyle w:val="EndnoteReference"/>
        </w:rPr>
        <w:endnoteRef/>
      </w:r>
      <w:r w:rsidRPr="00D10C17">
        <w:t xml:space="preserve"> “PwC Canada’s </w:t>
      </w:r>
      <w:r>
        <w:t>C</w:t>
      </w:r>
      <w:r w:rsidRPr="00D10C17">
        <w:t xml:space="preserve">annabis </w:t>
      </w:r>
      <w:r>
        <w:t>S</w:t>
      </w:r>
      <w:r w:rsidRPr="00D10C17">
        <w:t>eries: Chapter 5</w:t>
      </w:r>
      <w:r>
        <w:t>—</w:t>
      </w:r>
      <w:r w:rsidRPr="00D10C17">
        <w:t xml:space="preserve">M&amp;A: High </w:t>
      </w:r>
      <w:r>
        <w:t>Y</w:t>
      </w:r>
      <w:r w:rsidRPr="00D10C17">
        <w:t xml:space="preserve">ields </w:t>
      </w:r>
      <w:r>
        <w:t>D</w:t>
      </w:r>
      <w:r w:rsidRPr="00D10C17">
        <w:t xml:space="preserve">rive a </w:t>
      </w:r>
      <w:r>
        <w:t>S</w:t>
      </w:r>
      <w:r w:rsidRPr="00D10C17">
        <w:t xml:space="preserve">urge in </w:t>
      </w:r>
      <w:r>
        <w:t>T</w:t>
      </w:r>
      <w:r w:rsidRPr="00D10C17">
        <w:t>ransactions</w:t>
      </w:r>
      <w:r>
        <w:t>,</w:t>
      </w:r>
      <w:r w:rsidRPr="00D10C17">
        <w:t xml:space="preserve">” PwC </w:t>
      </w:r>
      <w:r>
        <w:sym w:font="Symbol" w:char="F0EF"/>
      </w:r>
      <w:r>
        <w:t xml:space="preserve"> </w:t>
      </w:r>
      <w:r w:rsidRPr="00D10C17">
        <w:t>Canada</w:t>
      </w:r>
      <w:r>
        <w:t>,</w:t>
      </w:r>
      <w:r w:rsidRPr="00D10C17">
        <w:t xml:space="preserve"> </w:t>
      </w:r>
      <w:r>
        <w:t>a</w:t>
      </w:r>
      <w:r w:rsidRPr="00D10C17">
        <w:t>ccessed September 13, 2020</w:t>
      </w:r>
      <w:r>
        <w:t xml:space="preserve">, </w:t>
      </w:r>
      <w:r w:rsidRPr="00286793">
        <w:t>www.pwc.com/ca/en/industries/cannabis/pwc-cannabis-series-chapter-5-high-yields-drive-a-surge-in-transactions.html</w:t>
      </w:r>
      <w:r w:rsidRPr="00D10C17">
        <w:t xml:space="preserve">. </w:t>
      </w:r>
    </w:p>
  </w:endnote>
  <w:endnote w:id="20">
    <w:p w14:paraId="4936C0C5" w14:textId="06D86A91" w:rsidR="00BD3901" w:rsidRPr="00D10C17" w:rsidRDefault="00BD3901" w:rsidP="00D10C17">
      <w:pPr>
        <w:pStyle w:val="Footnote"/>
      </w:pPr>
      <w:r w:rsidRPr="00D10C17">
        <w:rPr>
          <w:rStyle w:val="EndnoteReference"/>
        </w:rPr>
        <w:endnoteRef/>
      </w:r>
      <w:r>
        <w:t xml:space="preserve"> </w:t>
      </w:r>
      <w:r w:rsidRPr="002F52E1">
        <w:t>J</w:t>
      </w:r>
      <w:r>
        <w:t>ames</w:t>
      </w:r>
      <w:r w:rsidRPr="002F52E1">
        <w:t xml:space="preserve"> C</w:t>
      </w:r>
      <w:r>
        <w:t>hen</w:t>
      </w:r>
      <w:r w:rsidRPr="002F52E1">
        <w:t xml:space="preserve"> and G</w:t>
      </w:r>
      <w:r>
        <w:t>ordon</w:t>
      </w:r>
      <w:r w:rsidRPr="002F52E1">
        <w:t xml:space="preserve"> S</w:t>
      </w:r>
      <w:r>
        <w:t>cott, “</w:t>
      </w:r>
      <w:r w:rsidRPr="00BA548D">
        <w:t>Warrant</w:t>
      </w:r>
      <w:r>
        <w:t xml:space="preserve">,” Investopedia, February 4, 2020, accessed October 3, 2020, </w:t>
      </w:r>
      <w:r w:rsidRPr="00286793">
        <w:t>www.investopedia.com/terms/w/warrant</w:t>
      </w:r>
      <w:r w:rsidRPr="00D10C17">
        <w:t>.</w:t>
      </w:r>
      <w:r>
        <w:t>asp.</w:t>
      </w:r>
    </w:p>
  </w:endnote>
  <w:endnote w:id="21">
    <w:p w14:paraId="548E1690" w14:textId="5705169F" w:rsidR="00BD3901" w:rsidRPr="00D10C17" w:rsidRDefault="00BD3901" w:rsidP="00D10C17">
      <w:pPr>
        <w:pStyle w:val="Footnote"/>
      </w:pPr>
      <w:r w:rsidRPr="00D10C17">
        <w:rPr>
          <w:rStyle w:val="EndnoteReference"/>
        </w:rPr>
        <w:endnoteRef/>
      </w:r>
      <w:r w:rsidRPr="00D10C17">
        <w:t xml:space="preserve"> </w:t>
      </w:r>
      <w:r w:rsidRPr="00BA548D">
        <w:t>J</w:t>
      </w:r>
      <w:r>
        <w:t>ason</w:t>
      </w:r>
      <w:r w:rsidRPr="00BA548D">
        <w:t xml:space="preserve"> F</w:t>
      </w:r>
      <w:r>
        <w:t>ernando</w:t>
      </w:r>
      <w:r w:rsidRPr="00BA548D">
        <w:t xml:space="preserve"> and G</w:t>
      </w:r>
      <w:r>
        <w:t>ordon</w:t>
      </w:r>
      <w:r w:rsidRPr="00BA548D">
        <w:t xml:space="preserve"> S</w:t>
      </w:r>
      <w:r>
        <w:t xml:space="preserve">cott, </w:t>
      </w:r>
      <w:r w:rsidRPr="00BA548D">
        <w:t>“Call Option Definition</w:t>
      </w:r>
      <w:r>
        <w:t>,</w:t>
      </w:r>
      <w:r w:rsidRPr="00BA548D">
        <w:t xml:space="preserve">” </w:t>
      </w:r>
      <w:r>
        <w:t>Investopedia, February 2, 2020, a</w:t>
      </w:r>
      <w:r w:rsidRPr="00D10C17">
        <w:t>ccessed November 28, 2020</w:t>
      </w:r>
      <w:r>
        <w:t xml:space="preserve">, </w:t>
      </w:r>
      <w:r w:rsidRPr="00286793">
        <w:t>www.investopedia.com/terms/c/calloption.asp</w:t>
      </w:r>
      <w:r w:rsidRPr="00D10C17">
        <w:t>.</w:t>
      </w:r>
    </w:p>
  </w:endnote>
  <w:endnote w:id="22">
    <w:p w14:paraId="6A0479B6" w14:textId="76A3DAEF" w:rsidR="00BD3901" w:rsidRPr="00D10C17" w:rsidRDefault="00BD3901" w:rsidP="00D10C17">
      <w:pPr>
        <w:pStyle w:val="Footnote"/>
      </w:pPr>
      <w:r w:rsidRPr="00D10C17">
        <w:rPr>
          <w:rStyle w:val="EndnoteReference"/>
        </w:rPr>
        <w:endnoteRef/>
      </w:r>
      <w:r w:rsidRPr="00D10C17">
        <w:t xml:space="preserve"> </w:t>
      </w:r>
      <w:r w:rsidRPr="003A26D3">
        <w:t xml:space="preserve">Sarah Ratchford, </w:t>
      </w:r>
      <w:r w:rsidRPr="00D10C17">
        <w:t>“Canopy Growth Corporation</w:t>
      </w:r>
      <w:r>
        <w:t>,</w:t>
      </w:r>
      <w:r w:rsidRPr="00D10C17">
        <w:t xml:space="preserve">” </w:t>
      </w:r>
      <w:r w:rsidRPr="002C777E">
        <w:rPr>
          <w:i/>
          <w:iCs/>
        </w:rPr>
        <w:t>The Canadian Encyclopedia</w:t>
      </w:r>
      <w:r>
        <w:t>,</w:t>
      </w:r>
      <w:r w:rsidRPr="00D10C17">
        <w:t xml:space="preserve"> </w:t>
      </w:r>
      <w:r w:rsidRPr="003A26D3">
        <w:t>February 20, 2019</w:t>
      </w:r>
      <w:r>
        <w:t>, a</w:t>
      </w:r>
      <w:r w:rsidRPr="00D10C17">
        <w:t>ccessed July 25, 2020</w:t>
      </w:r>
      <w:r>
        <w:t xml:space="preserve">, </w:t>
      </w:r>
      <w:r w:rsidRPr="00286793">
        <w:t>www.thecanadianencyclopedia.ca/en/article/canopy-growth-corporation</w:t>
      </w:r>
      <w:r w:rsidRPr="00D10C17">
        <w:t>.</w:t>
      </w:r>
      <w:r w:rsidRPr="00D10C17">
        <w:rPr>
          <w:rStyle w:val="Hyperlink"/>
          <w:color w:val="auto"/>
          <w:u w:val="none"/>
        </w:rPr>
        <w:t xml:space="preserve"> </w:t>
      </w:r>
    </w:p>
  </w:endnote>
  <w:endnote w:id="23">
    <w:p w14:paraId="48BE2E6E" w14:textId="635F6B13" w:rsidR="00BD3901" w:rsidRPr="00D10C17" w:rsidRDefault="00BD3901" w:rsidP="00D10C17">
      <w:pPr>
        <w:pStyle w:val="Footnote"/>
      </w:pPr>
      <w:r w:rsidRPr="00D10C17">
        <w:rPr>
          <w:rStyle w:val="EndnoteReference"/>
        </w:rPr>
        <w:endnoteRef/>
      </w:r>
      <w:r w:rsidRPr="00D10C17">
        <w:t xml:space="preserve"> Ibid.</w:t>
      </w:r>
      <w:r>
        <w:t xml:space="preserve"> </w:t>
      </w:r>
    </w:p>
  </w:endnote>
  <w:endnote w:id="24">
    <w:p w14:paraId="430820B5" w14:textId="0547ECDC" w:rsidR="00BD3901" w:rsidRPr="00D10C17" w:rsidRDefault="00BD3901" w:rsidP="00D10C17">
      <w:pPr>
        <w:pStyle w:val="Footnote"/>
      </w:pPr>
      <w:r w:rsidRPr="00D10C17">
        <w:rPr>
          <w:rStyle w:val="EndnoteReference"/>
        </w:rPr>
        <w:endnoteRef/>
      </w:r>
      <w:r w:rsidRPr="00D10C17">
        <w:t xml:space="preserve"> Ibid.</w:t>
      </w:r>
      <w:r>
        <w:t xml:space="preserve"> </w:t>
      </w:r>
    </w:p>
  </w:endnote>
  <w:endnote w:id="25">
    <w:p w14:paraId="29DB8510" w14:textId="2E81B488" w:rsidR="00BD3901" w:rsidRPr="00D10C17" w:rsidRDefault="00BD3901" w:rsidP="00D10C17">
      <w:pPr>
        <w:pStyle w:val="Footnote"/>
      </w:pPr>
      <w:r w:rsidRPr="00D10C17">
        <w:rPr>
          <w:rStyle w:val="EndnoteReference"/>
        </w:rPr>
        <w:endnoteRef/>
      </w:r>
      <w:r w:rsidRPr="00D10C17">
        <w:t xml:space="preserve"> </w:t>
      </w:r>
      <w:r>
        <w:t>Canopy Growth Corporation, op. cit.,</w:t>
      </w:r>
      <w:r w:rsidRPr="00D10C17">
        <w:t xml:space="preserve"> </w:t>
      </w:r>
      <w:r>
        <w:t>6</w:t>
      </w:r>
      <w:r w:rsidRPr="00D10C17">
        <w:t>.</w:t>
      </w:r>
      <w:r>
        <w:t xml:space="preserve"> </w:t>
      </w:r>
    </w:p>
  </w:endnote>
  <w:endnote w:id="26">
    <w:p w14:paraId="658C9153" w14:textId="403E1F4C" w:rsidR="00BD3901" w:rsidRPr="00D10C17" w:rsidRDefault="00BD3901" w:rsidP="00D10C17">
      <w:pPr>
        <w:pStyle w:val="Footnote"/>
      </w:pPr>
      <w:r w:rsidRPr="00D10C17">
        <w:rPr>
          <w:rStyle w:val="EndnoteReference"/>
        </w:rPr>
        <w:endnoteRef/>
      </w:r>
      <w:r w:rsidRPr="00D10C17">
        <w:t xml:space="preserve"> </w:t>
      </w:r>
      <w:r>
        <w:t>“</w:t>
      </w:r>
      <w:r w:rsidRPr="009E3BDB">
        <w:t>Constellation Brands to Invest $5 Billion C</w:t>
      </w:r>
      <w:r>
        <w:t>AD</w:t>
      </w:r>
      <w:r w:rsidRPr="009E3BDB">
        <w:t xml:space="preserve"> ($4 Billion U</w:t>
      </w:r>
      <w:r>
        <w:t>SD</w:t>
      </w:r>
      <w:r w:rsidRPr="009E3BDB">
        <w:t xml:space="preserve">) </w:t>
      </w:r>
      <w:r>
        <w:t>i</w:t>
      </w:r>
      <w:r w:rsidRPr="009E3BDB">
        <w:t xml:space="preserve">n Canopy Growth to Establish Transformative Global Position </w:t>
      </w:r>
      <w:r>
        <w:t>a</w:t>
      </w:r>
      <w:r w:rsidRPr="009E3BDB">
        <w:t>nd Alignment,</w:t>
      </w:r>
      <w:r>
        <w:t>”</w:t>
      </w:r>
      <w:r w:rsidRPr="009E3BDB">
        <w:t xml:space="preserve"> Constellation Brands</w:t>
      </w:r>
      <w:r>
        <w:t xml:space="preserve">, press release, </w:t>
      </w:r>
      <w:r w:rsidRPr="009E3BDB">
        <w:t>Aug</w:t>
      </w:r>
      <w:r>
        <w:t>ust</w:t>
      </w:r>
      <w:r w:rsidRPr="009E3BDB">
        <w:t xml:space="preserve"> 15,</w:t>
      </w:r>
      <w:r>
        <w:t xml:space="preserve"> 2018,</w:t>
      </w:r>
      <w:r w:rsidRPr="009E3BDB">
        <w:t xml:space="preserve"> </w:t>
      </w:r>
      <w:r>
        <w:t>a</w:t>
      </w:r>
      <w:r w:rsidRPr="00D10C17">
        <w:t>ccessed July 25, 2020</w:t>
      </w:r>
      <w:r>
        <w:t xml:space="preserve">, </w:t>
      </w:r>
      <w:r w:rsidRPr="00286793">
        <w:t>www.cbrands.com/news/articles/constellation-brands-to-invest-5-billion-cad-4-billion-usd-in-canopy-growth-to-establish-transformative-global-position-and-alignment</w:t>
      </w:r>
      <w:r w:rsidRPr="00D10C17">
        <w:t xml:space="preserve">. </w:t>
      </w:r>
    </w:p>
  </w:endnote>
  <w:endnote w:id="27">
    <w:p w14:paraId="5CB0072D" w14:textId="579FD501" w:rsidR="00BD3901" w:rsidRPr="00D10C17" w:rsidRDefault="00BD3901" w:rsidP="00D10C17">
      <w:pPr>
        <w:pStyle w:val="Footnote"/>
      </w:pPr>
      <w:r w:rsidRPr="00D10C17">
        <w:rPr>
          <w:rStyle w:val="EndnoteReference"/>
        </w:rPr>
        <w:endnoteRef/>
      </w:r>
      <w:r w:rsidRPr="00D10C17">
        <w:t xml:space="preserve"> </w:t>
      </w:r>
      <w:r>
        <w:t>Canopy Growth Corporation, op. cit.,</w:t>
      </w:r>
      <w:r w:rsidRPr="00D10C17">
        <w:t xml:space="preserve"> </w:t>
      </w:r>
      <w:r>
        <w:t>10.</w:t>
      </w:r>
    </w:p>
  </w:endnote>
  <w:endnote w:id="28">
    <w:p w14:paraId="6B531361" w14:textId="503CCC47" w:rsidR="00BD3901" w:rsidRPr="00D10C17" w:rsidRDefault="00BD3901" w:rsidP="003A2186">
      <w:pPr>
        <w:pStyle w:val="Footnote"/>
      </w:pPr>
      <w:r w:rsidRPr="00D10C17">
        <w:rPr>
          <w:rStyle w:val="EndnoteReference"/>
        </w:rPr>
        <w:endnoteRef/>
      </w:r>
      <w:r w:rsidRPr="00D10C17">
        <w:t xml:space="preserve"> Ibid</w:t>
      </w:r>
      <w:r>
        <w:t>.</w:t>
      </w:r>
    </w:p>
  </w:endnote>
  <w:endnote w:id="29">
    <w:p w14:paraId="4E4258B0" w14:textId="438D4F09" w:rsidR="00BD3901" w:rsidRPr="00D10C17" w:rsidRDefault="00BD3901" w:rsidP="00D10C17">
      <w:pPr>
        <w:pStyle w:val="Footnote"/>
      </w:pPr>
      <w:r w:rsidRPr="00D10C17">
        <w:rPr>
          <w:rStyle w:val="EndnoteReference"/>
        </w:rPr>
        <w:endnoteRef/>
      </w:r>
      <w:r w:rsidRPr="00D10C17">
        <w:t xml:space="preserve"> </w:t>
      </w:r>
      <w:r>
        <w:t>Canopy Growth Corporation, op. cit.,</w:t>
      </w:r>
      <w:r w:rsidRPr="00D10C17">
        <w:t xml:space="preserve"> </w:t>
      </w:r>
      <w:r>
        <w:t>11.</w:t>
      </w:r>
    </w:p>
  </w:endnote>
  <w:endnote w:id="30">
    <w:p w14:paraId="62512A5B" w14:textId="506E70B7" w:rsidR="00BD3901" w:rsidRPr="00D10C17" w:rsidRDefault="00BD3901" w:rsidP="00D10C17">
      <w:pPr>
        <w:pStyle w:val="Footnote"/>
      </w:pPr>
      <w:r w:rsidRPr="00D10C17">
        <w:rPr>
          <w:rStyle w:val="EndnoteReference"/>
        </w:rPr>
        <w:endnoteRef/>
      </w:r>
      <w:r w:rsidRPr="00D10C17">
        <w:t xml:space="preserve"> Th</w:t>
      </w:r>
      <w:r>
        <w:t>e total of th</w:t>
      </w:r>
      <w:r w:rsidRPr="00D10C17">
        <w:t xml:space="preserve">is revenue adjustment </w:t>
      </w:r>
      <w:r>
        <w:t>was</w:t>
      </w:r>
      <w:r w:rsidRPr="00D10C17">
        <w:t xml:space="preserve"> $40,727 for the six months ended September 30, 2019.</w:t>
      </w:r>
    </w:p>
  </w:endnote>
  <w:endnote w:id="31">
    <w:p w14:paraId="5ED2DDC4" w14:textId="46FB617A" w:rsidR="00BD3901" w:rsidRPr="00D10C17" w:rsidRDefault="00BD3901" w:rsidP="00D10C17">
      <w:pPr>
        <w:pStyle w:val="Footnote"/>
      </w:pPr>
      <w:r w:rsidRPr="00D10C17">
        <w:rPr>
          <w:rStyle w:val="EndnoteReference"/>
        </w:rPr>
        <w:endnoteRef/>
      </w:r>
      <w:r w:rsidRPr="00D10C17">
        <w:t xml:space="preserve"> </w:t>
      </w:r>
      <w:r>
        <w:t>Canopy Growth Corporation, op. cit.,</w:t>
      </w:r>
      <w:r w:rsidRPr="00D10C17">
        <w:t xml:space="preserve"> </w:t>
      </w:r>
      <w:r>
        <w:t>7</w:t>
      </w:r>
      <w:r w:rsidRPr="00D10C17">
        <w:t>.</w:t>
      </w:r>
      <w:r>
        <w:t xml:space="preserve"> </w:t>
      </w:r>
    </w:p>
  </w:endnote>
  <w:endnote w:id="32">
    <w:p w14:paraId="7D1AF1E4" w14:textId="77777777" w:rsidR="00BD3901" w:rsidRPr="00D10C17" w:rsidRDefault="00BD3901" w:rsidP="006615BE">
      <w:pPr>
        <w:pStyle w:val="Footnote"/>
      </w:pPr>
      <w:r w:rsidRPr="00D10C17">
        <w:rPr>
          <w:rStyle w:val="EndnoteReference"/>
        </w:rPr>
        <w:endnoteRef/>
      </w:r>
      <w:r w:rsidRPr="00D10C17">
        <w:t xml:space="preserve"> Ibid.</w:t>
      </w:r>
      <w:r>
        <w:t>, 7–8.</w:t>
      </w:r>
      <w:r w:rsidRPr="00D10C17">
        <w:t xml:space="preserve"> </w:t>
      </w:r>
      <w:r>
        <w:t xml:space="preserve"> </w:t>
      </w:r>
    </w:p>
  </w:endnote>
  <w:endnote w:id="33">
    <w:p w14:paraId="65CD2AD3" w14:textId="1D48FF48" w:rsidR="00BD3901" w:rsidRPr="00D05E75" w:rsidRDefault="00BD3901" w:rsidP="00D05E75">
      <w:pPr>
        <w:pStyle w:val="Footnote"/>
      </w:pPr>
      <w:r>
        <w:rPr>
          <w:rStyle w:val="EndnoteReference"/>
        </w:rPr>
        <w:endnoteRef/>
      </w:r>
      <w:r>
        <w:t xml:space="preserve"> Ibid. 29.</w:t>
      </w:r>
    </w:p>
  </w:endnote>
  <w:endnote w:id="34">
    <w:p w14:paraId="4528A86A" w14:textId="3822D09E" w:rsidR="00BD3901" w:rsidRPr="00D10C17" w:rsidRDefault="00BD3901" w:rsidP="00D10C17">
      <w:pPr>
        <w:pStyle w:val="Footnote"/>
      </w:pPr>
      <w:r w:rsidRPr="00D10C17">
        <w:rPr>
          <w:rStyle w:val="EndnoteReference"/>
        </w:rPr>
        <w:endnoteRef/>
      </w:r>
      <w:r w:rsidRPr="00D10C17">
        <w:t xml:space="preserve"> Ibid.</w:t>
      </w:r>
      <w:r>
        <w:t>, 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856F5" w14:textId="77777777" w:rsidR="00BD3901" w:rsidRDefault="00BD3901" w:rsidP="00D75295">
      <w:r>
        <w:separator/>
      </w:r>
    </w:p>
  </w:footnote>
  <w:footnote w:type="continuationSeparator" w:id="0">
    <w:p w14:paraId="642E9947" w14:textId="77777777" w:rsidR="00BD3901" w:rsidRDefault="00BD390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3A06BB1" w:rsidR="00BD3901" w:rsidRPr="00C92CC4" w:rsidRDefault="00BD390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13</w:t>
    </w:r>
    <w:r>
      <w:rPr>
        <w:rFonts w:ascii="Arial" w:hAnsi="Arial"/>
        <w:b/>
      </w:rPr>
      <w:fldChar w:fldCharType="end"/>
    </w:r>
    <w:r>
      <w:rPr>
        <w:rFonts w:ascii="Arial" w:hAnsi="Arial"/>
        <w:b/>
      </w:rPr>
      <w:tab/>
      <w:t>9B21B007</w:t>
    </w:r>
  </w:p>
  <w:p w14:paraId="2B53C0A0" w14:textId="04CCE5E9" w:rsidR="00BD3901" w:rsidRDefault="00BD3901" w:rsidP="00D13667">
    <w:pPr>
      <w:pStyle w:val="Header"/>
      <w:tabs>
        <w:tab w:val="clear" w:pos="4680"/>
      </w:tabs>
      <w:rPr>
        <w:sz w:val="18"/>
        <w:szCs w:val="18"/>
      </w:rPr>
    </w:pPr>
  </w:p>
  <w:p w14:paraId="439CCFCB" w14:textId="77777777" w:rsidR="00BD3901" w:rsidRDefault="00BD390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A4E"/>
    <w:multiLevelType w:val="hybridMultilevel"/>
    <w:tmpl w:val="7CE494BC"/>
    <w:lvl w:ilvl="0" w:tplc="10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825031"/>
    <w:multiLevelType w:val="hybridMultilevel"/>
    <w:tmpl w:val="7C761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5C734E"/>
    <w:multiLevelType w:val="hybridMultilevel"/>
    <w:tmpl w:val="EABE2F58"/>
    <w:lvl w:ilvl="0" w:tplc="61B4C78C">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630685"/>
    <w:multiLevelType w:val="hybridMultilevel"/>
    <w:tmpl w:val="5E3CC1AC"/>
    <w:lvl w:ilvl="0" w:tplc="D490333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4F1E71"/>
    <w:multiLevelType w:val="hybridMultilevel"/>
    <w:tmpl w:val="5D9C85F0"/>
    <w:lvl w:ilvl="0" w:tplc="10090001">
      <w:start w:val="1"/>
      <w:numFmt w:val="bullet"/>
      <w:lvlText w:val=""/>
      <w:lvlJc w:val="left"/>
      <w:pPr>
        <w:ind w:left="450" w:hanging="360"/>
      </w:pPr>
      <w:rPr>
        <w:rFonts w:ascii="Symbol" w:hAnsi="Symbol" w:hint="default"/>
      </w:rPr>
    </w:lvl>
    <w:lvl w:ilvl="1" w:tplc="10090003" w:tentative="1">
      <w:start w:val="1"/>
      <w:numFmt w:val="bullet"/>
      <w:lvlText w:val="o"/>
      <w:lvlJc w:val="left"/>
      <w:pPr>
        <w:ind w:left="1170" w:hanging="360"/>
      </w:pPr>
      <w:rPr>
        <w:rFonts w:ascii="Courier New" w:hAnsi="Courier New" w:cs="Courier New" w:hint="default"/>
      </w:rPr>
    </w:lvl>
    <w:lvl w:ilvl="2" w:tplc="10090005" w:tentative="1">
      <w:start w:val="1"/>
      <w:numFmt w:val="bullet"/>
      <w:lvlText w:val=""/>
      <w:lvlJc w:val="left"/>
      <w:pPr>
        <w:ind w:left="1890" w:hanging="360"/>
      </w:pPr>
      <w:rPr>
        <w:rFonts w:ascii="Wingdings" w:hAnsi="Wingdings" w:hint="default"/>
      </w:rPr>
    </w:lvl>
    <w:lvl w:ilvl="3" w:tplc="10090001" w:tentative="1">
      <w:start w:val="1"/>
      <w:numFmt w:val="bullet"/>
      <w:lvlText w:val=""/>
      <w:lvlJc w:val="left"/>
      <w:pPr>
        <w:ind w:left="2610" w:hanging="360"/>
      </w:pPr>
      <w:rPr>
        <w:rFonts w:ascii="Symbol" w:hAnsi="Symbol" w:hint="default"/>
      </w:rPr>
    </w:lvl>
    <w:lvl w:ilvl="4" w:tplc="10090003" w:tentative="1">
      <w:start w:val="1"/>
      <w:numFmt w:val="bullet"/>
      <w:lvlText w:val="o"/>
      <w:lvlJc w:val="left"/>
      <w:pPr>
        <w:ind w:left="3330" w:hanging="360"/>
      </w:pPr>
      <w:rPr>
        <w:rFonts w:ascii="Courier New" w:hAnsi="Courier New" w:cs="Courier New" w:hint="default"/>
      </w:rPr>
    </w:lvl>
    <w:lvl w:ilvl="5" w:tplc="10090005" w:tentative="1">
      <w:start w:val="1"/>
      <w:numFmt w:val="bullet"/>
      <w:lvlText w:val=""/>
      <w:lvlJc w:val="left"/>
      <w:pPr>
        <w:ind w:left="4050" w:hanging="360"/>
      </w:pPr>
      <w:rPr>
        <w:rFonts w:ascii="Wingdings" w:hAnsi="Wingdings" w:hint="default"/>
      </w:rPr>
    </w:lvl>
    <w:lvl w:ilvl="6" w:tplc="10090001" w:tentative="1">
      <w:start w:val="1"/>
      <w:numFmt w:val="bullet"/>
      <w:lvlText w:val=""/>
      <w:lvlJc w:val="left"/>
      <w:pPr>
        <w:ind w:left="4770" w:hanging="360"/>
      </w:pPr>
      <w:rPr>
        <w:rFonts w:ascii="Symbol" w:hAnsi="Symbol" w:hint="default"/>
      </w:rPr>
    </w:lvl>
    <w:lvl w:ilvl="7" w:tplc="10090003" w:tentative="1">
      <w:start w:val="1"/>
      <w:numFmt w:val="bullet"/>
      <w:lvlText w:val="o"/>
      <w:lvlJc w:val="left"/>
      <w:pPr>
        <w:ind w:left="5490" w:hanging="360"/>
      </w:pPr>
      <w:rPr>
        <w:rFonts w:ascii="Courier New" w:hAnsi="Courier New" w:cs="Courier New" w:hint="default"/>
      </w:rPr>
    </w:lvl>
    <w:lvl w:ilvl="8" w:tplc="10090005" w:tentative="1">
      <w:start w:val="1"/>
      <w:numFmt w:val="bullet"/>
      <w:lvlText w:val=""/>
      <w:lvlJc w:val="left"/>
      <w:pPr>
        <w:ind w:left="6210" w:hanging="360"/>
      </w:pPr>
      <w:rPr>
        <w:rFonts w:ascii="Wingdings" w:hAnsi="Wingdings" w:hint="default"/>
      </w:rPr>
    </w:lvl>
  </w:abstractNum>
  <w:abstractNum w:abstractNumId="9" w15:restartNumberingAfterBreak="0">
    <w:nsid w:val="5280401B"/>
    <w:multiLevelType w:val="hybridMultilevel"/>
    <w:tmpl w:val="3B20AFF2"/>
    <w:lvl w:ilvl="0" w:tplc="10090001">
      <w:start w:val="1"/>
      <w:numFmt w:val="bullet"/>
      <w:lvlText w:val=""/>
      <w:lvlJc w:val="left"/>
      <w:pPr>
        <w:ind w:left="450" w:hanging="360"/>
      </w:pPr>
      <w:rPr>
        <w:rFonts w:ascii="Symbol" w:hAnsi="Symbol" w:hint="default"/>
      </w:rPr>
    </w:lvl>
    <w:lvl w:ilvl="1" w:tplc="10090003">
      <w:start w:val="1"/>
      <w:numFmt w:val="bullet"/>
      <w:lvlText w:val="o"/>
      <w:lvlJc w:val="left"/>
      <w:pPr>
        <w:ind w:left="90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B112FD"/>
    <w:multiLevelType w:val="hybridMultilevel"/>
    <w:tmpl w:val="583436AE"/>
    <w:lvl w:ilvl="0" w:tplc="E6AE46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7501EA"/>
    <w:multiLevelType w:val="hybridMultilevel"/>
    <w:tmpl w:val="DCF2B314"/>
    <w:lvl w:ilvl="0" w:tplc="84AAD74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C0D2F"/>
    <w:multiLevelType w:val="hybridMultilevel"/>
    <w:tmpl w:val="23641A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5"/>
  </w:num>
  <w:num w:numId="4">
    <w:abstractNumId w:val="16"/>
  </w:num>
  <w:num w:numId="5">
    <w:abstractNumId w:val="6"/>
  </w:num>
  <w:num w:numId="6">
    <w:abstractNumId w:val="14"/>
  </w:num>
  <w:num w:numId="7">
    <w:abstractNumId w:val="1"/>
  </w:num>
  <w:num w:numId="8">
    <w:abstractNumId w:val="19"/>
  </w:num>
  <w:num w:numId="9">
    <w:abstractNumId w:val="15"/>
  </w:num>
  <w:num w:numId="10">
    <w:abstractNumId w:val="4"/>
  </w:num>
  <w:num w:numId="11">
    <w:abstractNumId w:val="12"/>
  </w:num>
  <w:num w:numId="12">
    <w:abstractNumId w:val="13"/>
  </w:num>
  <w:num w:numId="13">
    <w:abstractNumId w:val="20"/>
  </w:num>
  <w:num w:numId="14">
    <w:abstractNumId w:val="2"/>
  </w:num>
  <w:num w:numId="15">
    <w:abstractNumId w:val="8"/>
  </w:num>
  <w:num w:numId="16">
    <w:abstractNumId w:val="9"/>
  </w:num>
  <w:num w:numId="17">
    <w:abstractNumId w:val="17"/>
  </w:num>
  <w:num w:numId="18">
    <w:abstractNumId w:val="7"/>
  </w:num>
  <w:num w:numId="19">
    <w:abstractNumId w:val="3"/>
  </w:num>
  <w:num w:numId="20">
    <w:abstractNumId w:val="0"/>
  </w:num>
  <w:num w:numId="2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511B"/>
    <w:rsid w:val="00012E73"/>
    <w:rsid w:val="00013360"/>
    <w:rsid w:val="00016759"/>
    <w:rsid w:val="000216CE"/>
    <w:rsid w:val="000231A0"/>
    <w:rsid w:val="00024ED4"/>
    <w:rsid w:val="00025DC7"/>
    <w:rsid w:val="00031CAE"/>
    <w:rsid w:val="00035A85"/>
    <w:rsid w:val="00035F09"/>
    <w:rsid w:val="00041945"/>
    <w:rsid w:val="00043D2E"/>
    <w:rsid w:val="00044ECC"/>
    <w:rsid w:val="00052F86"/>
    <w:rsid w:val="000531D3"/>
    <w:rsid w:val="00055525"/>
    <w:rsid w:val="0005646B"/>
    <w:rsid w:val="000615D1"/>
    <w:rsid w:val="000641FB"/>
    <w:rsid w:val="0008102D"/>
    <w:rsid w:val="00086B26"/>
    <w:rsid w:val="00091B0D"/>
    <w:rsid w:val="00092E20"/>
    <w:rsid w:val="00094C0E"/>
    <w:rsid w:val="000A011E"/>
    <w:rsid w:val="000A146D"/>
    <w:rsid w:val="000A4B0A"/>
    <w:rsid w:val="000D2A2F"/>
    <w:rsid w:val="000D7091"/>
    <w:rsid w:val="000F0C22"/>
    <w:rsid w:val="000F6B09"/>
    <w:rsid w:val="000F6FDC"/>
    <w:rsid w:val="00104567"/>
    <w:rsid w:val="00104916"/>
    <w:rsid w:val="00104AA7"/>
    <w:rsid w:val="00110ADA"/>
    <w:rsid w:val="0012732D"/>
    <w:rsid w:val="00133C10"/>
    <w:rsid w:val="00136023"/>
    <w:rsid w:val="00143F25"/>
    <w:rsid w:val="00152682"/>
    <w:rsid w:val="00154FC9"/>
    <w:rsid w:val="00157FB5"/>
    <w:rsid w:val="00161357"/>
    <w:rsid w:val="00175CF5"/>
    <w:rsid w:val="001841DF"/>
    <w:rsid w:val="001901C0"/>
    <w:rsid w:val="0019241A"/>
    <w:rsid w:val="00192A18"/>
    <w:rsid w:val="001A22D1"/>
    <w:rsid w:val="001A2821"/>
    <w:rsid w:val="001A752D"/>
    <w:rsid w:val="001A757E"/>
    <w:rsid w:val="001B5032"/>
    <w:rsid w:val="001C7777"/>
    <w:rsid w:val="001D344B"/>
    <w:rsid w:val="001E364F"/>
    <w:rsid w:val="001E41AD"/>
    <w:rsid w:val="001F4222"/>
    <w:rsid w:val="00203AA1"/>
    <w:rsid w:val="002116EF"/>
    <w:rsid w:val="00213E98"/>
    <w:rsid w:val="002220ED"/>
    <w:rsid w:val="00230150"/>
    <w:rsid w:val="0023081A"/>
    <w:rsid w:val="00233111"/>
    <w:rsid w:val="00254792"/>
    <w:rsid w:val="00254C8F"/>
    <w:rsid w:val="00265FA8"/>
    <w:rsid w:val="00267E5C"/>
    <w:rsid w:val="00286793"/>
    <w:rsid w:val="00295969"/>
    <w:rsid w:val="002B3506"/>
    <w:rsid w:val="002B40FF"/>
    <w:rsid w:val="002C4E29"/>
    <w:rsid w:val="002C777E"/>
    <w:rsid w:val="002F178F"/>
    <w:rsid w:val="002F460C"/>
    <w:rsid w:val="002F48D6"/>
    <w:rsid w:val="00317391"/>
    <w:rsid w:val="00326216"/>
    <w:rsid w:val="003339E4"/>
    <w:rsid w:val="00334A2F"/>
    <w:rsid w:val="00336580"/>
    <w:rsid w:val="0035142E"/>
    <w:rsid w:val="00352C6E"/>
    <w:rsid w:val="00354899"/>
    <w:rsid w:val="00355FD6"/>
    <w:rsid w:val="00364A5C"/>
    <w:rsid w:val="003667D9"/>
    <w:rsid w:val="00373FB1"/>
    <w:rsid w:val="00384D17"/>
    <w:rsid w:val="00396C76"/>
    <w:rsid w:val="003A2186"/>
    <w:rsid w:val="003A26D3"/>
    <w:rsid w:val="003A5366"/>
    <w:rsid w:val="003A69F2"/>
    <w:rsid w:val="003B30D8"/>
    <w:rsid w:val="003B7EF2"/>
    <w:rsid w:val="003C3FA4"/>
    <w:rsid w:val="003C431A"/>
    <w:rsid w:val="003C55D3"/>
    <w:rsid w:val="003D0BA1"/>
    <w:rsid w:val="003F08B5"/>
    <w:rsid w:val="003F2B0C"/>
    <w:rsid w:val="004105B2"/>
    <w:rsid w:val="004109C3"/>
    <w:rsid w:val="0041145A"/>
    <w:rsid w:val="00412900"/>
    <w:rsid w:val="0041601D"/>
    <w:rsid w:val="0042180B"/>
    <w:rsid w:val="004221E4"/>
    <w:rsid w:val="004273F8"/>
    <w:rsid w:val="0043388A"/>
    <w:rsid w:val="00433B52"/>
    <w:rsid w:val="004355A3"/>
    <w:rsid w:val="004447B6"/>
    <w:rsid w:val="00446546"/>
    <w:rsid w:val="00452769"/>
    <w:rsid w:val="00454FA7"/>
    <w:rsid w:val="00465348"/>
    <w:rsid w:val="00484169"/>
    <w:rsid w:val="004979A5"/>
    <w:rsid w:val="004A25E0"/>
    <w:rsid w:val="004A6731"/>
    <w:rsid w:val="004A6E98"/>
    <w:rsid w:val="004B1CCB"/>
    <w:rsid w:val="004B632F"/>
    <w:rsid w:val="004C2D77"/>
    <w:rsid w:val="004C59EC"/>
    <w:rsid w:val="004D3FB1"/>
    <w:rsid w:val="004D6F21"/>
    <w:rsid w:val="004D73A5"/>
    <w:rsid w:val="004E7CBE"/>
    <w:rsid w:val="004F5154"/>
    <w:rsid w:val="005160F1"/>
    <w:rsid w:val="00516EBE"/>
    <w:rsid w:val="00524F2F"/>
    <w:rsid w:val="00527E5C"/>
    <w:rsid w:val="00532CF5"/>
    <w:rsid w:val="00541A68"/>
    <w:rsid w:val="005528CB"/>
    <w:rsid w:val="00557C8D"/>
    <w:rsid w:val="005665A9"/>
    <w:rsid w:val="00566771"/>
    <w:rsid w:val="00576EC1"/>
    <w:rsid w:val="00581E2E"/>
    <w:rsid w:val="00583D27"/>
    <w:rsid w:val="00584F15"/>
    <w:rsid w:val="005932EF"/>
    <w:rsid w:val="0059514B"/>
    <w:rsid w:val="00596EEC"/>
    <w:rsid w:val="005A1B0F"/>
    <w:rsid w:val="005A38A3"/>
    <w:rsid w:val="005B1930"/>
    <w:rsid w:val="005B2C34"/>
    <w:rsid w:val="005B4CE6"/>
    <w:rsid w:val="005B5EFE"/>
    <w:rsid w:val="005C6A3A"/>
    <w:rsid w:val="005E0DFD"/>
    <w:rsid w:val="0061403C"/>
    <w:rsid w:val="006163F7"/>
    <w:rsid w:val="00624BEB"/>
    <w:rsid w:val="00627C63"/>
    <w:rsid w:val="00630F14"/>
    <w:rsid w:val="0063190F"/>
    <w:rsid w:val="0063350B"/>
    <w:rsid w:val="006445CC"/>
    <w:rsid w:val="00652606"/>
    <w:rsid w:val="006615BE"/>
    <w:rsid w:val="00664F6E"/>
    <w:rsid w:val="00665115"/>
    <w:rsid w:val="00666B97"/>
    <w:rsid w:val="00690C3F"/>
    <w:rsid w:val="006946EE"/>
    <w:rsid w:val="006A0057"/>
    <w:rsid w:val="006A4C03"/>
    <w:rsid w:val="006A58A9"/>
    <w:rsid w:val="006A606D"/>
    <w:rsid w:val="006A74A1"/>
    <w:rsid w:val="006B5787"/>
    <w:rsid w:val="006C0371"/>
    <w:rsid w:val="006C08B6"/>
    <w:rsid w:val="006C0B1A"/>
    <w:rsid w:val="006C6065"/>
    <w:rsid w:val="006C7F9F"/>
    <w:rsid w:val="006E2F6D"/>
    <w:rsid w:val="006E58F6"/>
    <w:rsid w:val="006E77E1"/>
    <w:rsid w:val="006F131D"/>
    <w:rsid w:val="006F2300"/>
    <w:rsid w:val="006F2629"/>
    <w:rsid w:val="006F54D0"/>
    <w:rsid w:val="006F5B17"/>
    <w:rsid w:val="00710824"/>
    <w:rsid w:val="00711642"/>
    <w:rsid w:val="007133A2"/>
    <w:rsid w:val="00716026"/>
    <w:rsid w:val="007340EB"/>
    <w:rsid w:val="007355F0"/>
    <w:rsid w:val="007507C6"/>
    <w:rsid w:val="00751E0B"/>
    <w:rsid w:val="00752BCD"/>
    <w:rsid w:val="00754CF1"/>
    <w:rsid w:val="0075625E"/>
    <w:rsid w:val="00766DA1"/>
    <w:rsid w:val="00780D94"/>
    <w:rsid w:val="007866A6"/>
    <w:rsid w:val="007A130D"/>
    <w:rsid w:val="007C7998"/>
    <w:rsid w:val="007D1A2D"/>
    <w:rsid w:val="007D32E6"/>
    <w:rsid w:val="007D4102"/>
    <w:rsid w:val="007D4676"/>
    <w:rsid w:val="007D50C6"/>
    <w:rsid w:val="007D6840"/>
    <w:rsid w:val="007E4109"/>
    <w:rsid w:val="007E46D6"/>
    <w:rsid w:val="007E518A"/>
    <w:rsid w:val="007E54A7"/>
    <w:rsid w:val="007F016B"/>
    <w:rsid w:val="007F41C6"/>
    <w:rsid w:val="007F43B7"/>
    <w:rsid w:val="008120F0"/>
    <w:rsid w:val="00821FFC"/>
    <w:rsid w:val="008271CA"/>
    <w:rsid w:val="008467D5"/>
    <w:rsid w:val="00847B1E"/>
    <w:rsid w:val="008567F4"/>
    <w:rsid w:val="008614D9"/>
    <w:rsid w:val="00862C7D"/>
    <w:rsid w:val="00863044"/>
    <w:rsid w:val="0086472A"/>
    <w:rsid w:val="00891009"/>
    <w:rsid w:val="008A4DC4"/>
    <w:rsid w:val="008A5F44"/>
    <w:rsid w:val="008A6C58"/>
    <w:rsid w:val="008B438C"/>
    <w:rsid w:val="008C144E"/>
    <w:rsid w:val="008C1C3D"/>
    <w:rsid w:val="008D06CA"/>
    <w:rsid w:val="008D3A46"/>
    <w:rsid w:val="008F1F80"/>
    <w:rsid w:val="008F2385"/>
    <w:rsid w:val="008F5B5F"/>
    <w:rsid w:val="00902A8D"/>
    <w:rsid w:val="009067A4"/>
    <w:rsid w:val="00914D48"/>
    <w:rsid w:val="00926EC1"/>
    <w:rsid w:val="00930885"/>
    <w:rsid w:val="00933D68"/>
    <w:rsid w:val="009340DB"/>
    <w:rsid w:val="0094386E"/>
    <w:rsid w:val="0094618C"/>
    <w:rsid w:val="0095684B"/>
    <w:rsid w:val="00972498"/>
    <w:rsid w:val="00972C80"/>
    <w:rsid w:val="0097481F"/>
    <w:rsid w:val="00974CC6"/>
    <w:rsid w:val="00976AD4"/>
    <w:rsid w:val="00983058"/>
    <w:rsid w:val="00995547"/>
    <w:rsid w:val="009A312F"/>
    <w:rsid w:val="009A5348"/>
    <w:rsid w:val="009B0AB7"/>
    <w:rsid w:val="009C76D5"/>
    <w:rsid w:val="009D4304"/>
    <w:rsid w:val="009D6DBF"/>
    <w:rsid w:val="009E1122"/>
    <w:rsid w:val="009E13BB"/>
    <w:rsid w:val="009E3BDB"/>
    <w:rsid w:val="009F28CC"/>
    <w:rsid w:val="009F4330"/>
    <w:rsid w:val="009F7AA4"/>
    <w:rsid w:val="00A022C4"/>
    <w:rsid w:val="00A10AD7"/>
    <w:rsid w:val="00A15EA2"/>
    <w:rsid w:val="00A26C86"/>
    <w:rsid w:val="00A323B0"/>
    <w:rsid w:val="00A3777C"/>
    <w:rsid w:val="00A45063"/>
    <w:rsid w:val="00A559DB"/>
    <w:rsid w:val="00A569EA"/>
    <w:rsid w:val="00A665CC"/>
    <w:rsid w:val="00A676A0"/>
    <w:rsid w:val="00A809BF"/>
    <w:rsid w:val="00A83550"/>
    <w:rsid w:val="00A94C9B"/>
    <w:rsid w:val="00AA01E0"/>
    <w:rsid w:val="00AA1A8C"/>
    <w:rsid w:val="00AB21DC"/>
    <w:rsid w:val="00AD3330"/>
    <w:rsid w:val="00AD61C0"/>
    <w:rsid w:val="00AF35FC"/>
    <w:rsid w:val="00AF5556"/>
    <w:rsid w:val="00B03639"/>
    <w:rsid w:val="00B0652A"/>
    <w:rsid w:val="00B11894"/>
    <w:rsid w:val="00B219CA"/>
    <w:rsid w:val="00B4087C"/>
    <w:rsid w:val="00B40937"/>
    <w:rsid w:val="00B423EF"/>
    <w:rsid w:val="00B43C23"/>
    <w:rsid w:val="00B453DE"/>
    <w:rsid w:val="00B53ADF"/>
    <w:rsid w:val="00B5561D"/>
    <w:rsid w:val="00B62497"/>
    <w:rsid w:val="00B638C6"/>
    <w:rsid w:val="00B72597"/>
    <w:rsid w:val="00B7741E"/>
    <w:rsid w:val="00B778C2"/>
    <w:rsid w:val="00B8536E"/>
    <w:rsid w:val="00B87DC0"/>
    <w:rsid w:val="00B901F9"/>
    <w:rsid w:val="00BA5C7A"/>
    <w:rsid w:val="00BB1CC6"/>
    <w:rsid w:val="00BC360F"/>
    <w:rsid w:val="00BC4D98"/>
    <w:rsid w:val="00BC6089"/>
    <w:rsid w:val="00BD3901"/>
    <w:rsid w:val="00BD3F3B"/>
    <w:rsid w:val="00BD6EFB"/>
    <w:rsid w:val="00BE3DF5"/>
    <w:rsid w:val="00BF5EAB"/>
    <w:rsid w:val="00C02410"/>
    <w:rsid w:val="00C1584D"/>
    <w:rsid w:val="00C15BE2"/>
    <w:rsid w:val="00C3447F"/>
    <w:rsid w:val="00C44714"/>
    <w:rsid w:val="00C51823"/>
    <w:rsid w:val="00C67102"/>
    <w:rsid w:val="00C72385"/>
    <w:rsid w:val="00C81491"/>
    <w:rsid w:val="00C81676"/>
    <w:rsid w:val="00C83781"/>
    <w:rsid w:val="00C8482F"/>
    <w:rsid w:val="00C85C5D"/>
    <w:rsid w:val="00C92CC4"/>
    <w:rsid w:val="00CA0AFB"/>
    <w:rsid w:val="00CA2CE1"/>
    <w:rsid w:val="00CA3976"/>
    <w:rsid w:val="00CA5015"/>
    <w:rsid w:val="00CA50E3"/>
    <w:rsid w:val="00CA757B"/>
    <w:rsid w:val="00CC0682"/>
    <w:rsid w:val="00CC1787"/>
    <w:rsid w:val="00CC182C"/>
    <w:rsid w:val="00CD0824"/>
    <w:rsid w:val="00CD2908"/>
    <w:rsid w:val="00D03A82"/>
    <w:rsid w:val="00D0565C"/>
    <w:rsid w:val="00D05E75"/>
    <w:rsid w:val="00D10C17"/>
    <w:rsid w:val="00D12BC8"/>
    <w:rsid w:val="00D13667"/>
    <w:rsid w:val="00D15344"/>
    <w:rsid w:val="00D21FC1"/>
    <w:rsid w:val="00D23F57"/>
    <w:rsid w:val="00D27C0D"/>
    <w:rsid w:val="00D31BEC"/>
    <w:rsid w:val="00D63150"/>
    <w:rsid w:val="00D636BA"/>
    <w:rsid w:val="00D64A32"/>
    <w:rsid w:val="00D64EFC"/>
    <w:rsid w:val="00D75295"/>
    <w:rsid w:val="00D76CE9"/>
    <w:rsid w:val="00D8454F"/>
    <w:rsid w:val="00D9208D"/>
    <w:rsid w:val="00D93AF6"/>
    <w:rsid w:val="00D97F12"/>
    <w:rsid w:val="00DA2999"/>
    <w:rsid w:val="00DA2F84"/>
    <w:rsid w:val="00DA5D15"/>
    <w:rsid w:val="00DA6095"/>
    <w:rsid w:val="00DB2ADA"/>
    <w:rsid w:val="00DB42E7"/>
    <w:rsid w:val="00DC09D8"/>
    <w:rsid w:val="00DC1F54"/>
    <w:rsid w:val="00DD2819"/>
    <w:rsid w:val="00DD3D2C"/>
    <w:rsid w:val="00DE01A6"/>
    <w:rsid w:val="00DE7A98"/>
    <w:rsid w:val="00DF32C2"/>
    <w:rsid w:val="00DF7B9B"/>
    <w:rsid w:val="00E006EB"/>
    <w:rsid w:val="00E05E7C"/>
    <w:rsid w:val="00E169C4"/>
    <w:rsid w:val="00E2198D"/>
    <w:rsid w:val="00E24558"/>
    <w:rsid w:val="00E273C6"/>
    <w:rsid w:val="00E329D6"/>
    <w:rsid w:val="00E34EFB"/>
    <w:rsid w:val="00E354E4"/>
    <w:rsid w:val="00E419FB"/>
    <w:rsid w:val="00E41B7B"/>
    <w:rsid w:val="00E453DA"/>
    <w:rsid w:val="00E471A7"/>
    <w:rsid w:val="00E50681"/>
    <w:rsid w:val="00E539EF"/>
    <w:rsid w:val="00E5700E"/>
    <w:rsid w:val="00E578C9"/>
    <w:rsid w:val="00E61EF3"/>
    <w:rsid w:val="00E635CF"/>
    <w:rsid w:val="00E70901"/>
    <w:rsid w:val="00E87FC9"/>
    <w:rsid w:val="00E94AD0"/>
    <w:rsid w:val="00EB1E3B"/>
    <w:rsid w:val="00EC6E0A"/>
    <w:rsid w:val="00ED4E18"/>
    <w:rsid w:val="00ED7922"/>
    <w:rsid w:val="00EE02C4"/>
    <w:rsid w:val="00EE1F37"/>
    <w:rsid w:val="00EF319D"/>
    <w:rsid w:val="00F0159C"/>
    <w:rsid w:val="00F05BDA"/>
    <w:rsid w:val="00F105B7"/>
    <w:rsid w:val="00F13220"/>
    <w:rsid w:val="00F17A21"/>
    <w:rsid w:val="00F26A54"/>
    <w:rsid w:val="00F30CFB"/>
    <w:rsid w:val="00F36FC2"/>
    <w:rsid w:val="00F37B27"/>
    <w:rsid w:val="00F4362C"/>
    <w:rsid w:val="00F46556"/>
    <w:rsid w:val="00F50E91"/>
    <w:rsid w:val="00F56799"/>
    <w:rsid w:val="00F56BBC"/>
    <w:rsid w:val="00F57D29"/>
    <w:rsid w:val="00F60786"/>
    <w:rsid w:val="00F83B57"/>
    <w:rsid w:val="00F859DD"/>
    <w:rsid w:val="00F91BC7"/>
    <w:rsid w:val="00F96201"/>
    <w:rsid w:val="00FA10B6"/>
    <w:rsid w:val="00FA1BBC"/>
    <w:rsid w:val="00FB3900"/>
    <w:rsid w:val="00FC796F"/>
    <w:rsid w:val="00FD0B18"/>
    <w:rsid w:val="00FD2FAD"/>
    <w:rsid w:val="00FD58C4"/>
    <w:rsid w:val="00FD70C8"/>
    <w:rsid w:val="00FE714F"/>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9AA937"/>
  <w15:docId w15:val="{1F3A6702-A4C8-4BF4-ADB6-4CB621E0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3A2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603">
      <w:bodyDiv w:val="1"/>
      <w:marLeft w:val="0"/>
      <w:marRight w:val="0"/>
      <w:marTop w:val="0"/>
      <w:marBottom w:val="0"/>
      <w:divBdr>
        <w:top w:val="none" w:sz="0" w:space="0" w:color="auto"/>
        <w:left w:val="none" w:sz="0" w:space="0" w:color="auto"/>
        <w:bottom w:val="none" w:sz="0" w:space="0" w:color="auto"/>
        <w:right w:val="none" w:sz="0" w:space="0" w:color="auto"/>
      </w:divBdr>
    </w:div>
    <w:div w:id="104423580">
      <w:bodyDiv w:val="1"/>
      <w:marLeft w:val="0"/>
      <w:marRight w:val="0"/>
      <w:marTop w:val="0"/>
      <w:marBottom w:val="0"/>
      <w:divBdr>
        <w:top w:val="none" w:sz="0" w:space="0" w:color="auto"/>
        <w:left w:val="none" w:sz="0" w:space="0" w:color="auto"/>
        <w:bottom w:val="none" w:sz="0" w:space="0" w:color="auto"/>
        <w:right w:val="none" w:sz="0" w:space="0" w:color="auto"/>
      </w:divBdr>
    </w:div>
    <w:div w:id="154994495">
      <w:bodyDiv w:val="1"/>
      <w:marLeft w:val="0"/>
      <w:marRight w:val="0"/>
      <w:marTop w:val="0"/>
      <w:marBottom w:val="0"/>
      <w:divBdr>
        <w:top w:val="none" w:sz="0" w:space="0" w:color="auto"/>
        <w:left w:val="none" w:sz="0" w:space="0" w:color="auto"/>
        <w:bottom w:val="none" w:sz="0" w:space="0" w:color="auto"/>
        <w:right w:val="none" w:sz="0" w:space="0" w:color="auto"/>
      </w:divBdr>
    </w:div>
    <w:div w:id="316419032">
      <w:bodyDiv w:val="1"/>
      <w:marLeft w:val="0"/>
      <w:marRight w:val="0"/>
      <w:marTop w:val="0"/>
      <w:marBottom w:val="0"/>
      <w:divBdr>
        <w:top w:val="none" w:sz="0" w:space="0" w:color="auto"/>
        <w:left w:val="none" w:sz="0" w:space="0" w:color="auto"/>
        <w:bottom w:val="none" w:sz="0" w:space="0" w:color="auto"/>
        <w:right w:val="none" w:sz="0" w:space="0" w:color="auto"/>
      </w:divBdr>
    </w:div>
    <w:div w:id="490799352">
      <w:bodyDiv w:val="1"/>
      <w:marLeft w:val="0"/>
      <w:marRight w:val="0"/>
      <w:marTop w:val="0"/>
      <w:marBottom w:val="0"/>
      <w:divBdr>
        <w:top w:val="none" w:sz="0" w:space="0" w:color="auto"/>
        <w:left w:val="none" w:sz="0" w:space="0" w:color="auto"/>
        <w:bottom w:val="none" w:sz="0" w:space="0" w:color="auto"/>
        <w:right w:val="none" w:sz="0" w:space="0" w:color="auto"/>
      </w:divBdr>
    </w:div>
    <w:div w:id="708803180">
      <w:bodyDiv w:val="1"/>
      <w:marLeft w:val="0"/>
      <w:marRight w:val="0"/>
      <w:marTop w:val="0"/>
      <w:marBottom w:val="0"/>
      <w:divBdr>
        <w:top w:val="none" w:sz="0" w:space="0" w:color="auto"/>
        <w:left w:val="none" w:sz="0" w:space="0" w:color="auto"/>
        <w:bottom w:val="none" w:sz="0" w:space="0" w:color="auto"/>
        <w:right w:val="none" w:sz="0" w:space="0" w:color="auto"/>
      </w:divBdr>
    </w:div>
    <w:div w:id="1004092960">
      <w:bodyDiv w:val="1"/>
      <w:marLeft w:val="0"/>
      <w:marRight w:val="0"/>
      <w:marTop w:val="0"/>
      <w:marBottom w:val="0"/>
      <w:divBdr>
        <w:top w:val="none" w:sz="0" w:space="0" w:color="auto"/>
        <w:left w:val="none" w:sz="0" w:space="0" w:color="auto"/>
        <w:bottom w:val="none" w:sz="0" w:space="0" w:color="auto"/>
        <w:right w:val="none" w:sz="0" w:space="0" w:color="auto"/>
      </w:divBdr>
    </w:div>
    <w:div w:id="1026322382">
      <w:bodyDiv w:val="1"/>
      <w:marLeft w:val="0"/>
      <w:marRight w:val="0"/>
      <w:marTop w:val="0"/>
      <w:marBottom w:val="0"/>
      <w:divBdr>
        <w:top w:val="none" w:sz="0" w:space="0" w:color="auto"/>
        <w:left w:val="none" w:sz="0" w:space="0" w:color="auto"/>
        <w:bottom w:val="none" w:sz="0" w:space="0" w:color="auto"/>
        <w:right w:val="none" w:sz="0" w:space="0" w:color="auto"/>
      </w:divBdr>
    </w:div>
    <w:div w:id="1047796711">
      <w:bodyDiv w:val="1"/>
      <w:marLeft w:val="0"/>
      <w:marRight w:val="0"/>
      <w:marTop w:val="0"/>
      <w:marBottom w:val="0"/>
      <w:divBdr>
        <w:top w:val="none" w:sz="0" w:space="0" w:color="auto"/>
        <w:left w:val="none" w:sz="0" w:space="0" w:color="auto"/>
        <w:bottom w:val="none" w:sz="0" w:space="0" w:color="auto"/>
        <w:right w:val="none" w:sz="0" w:space="0" w:color="auto"/>
      </w:divBdr>
    </w:div>
    <w:div w:id="109100185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08483854">
      <w:bodyDiv w:val="1"/>
      <w:marLeft w:val="0"/>
      <w:marRight w:val="0"/>
      <w:marTop w:val="0"/>
      <w:marBottom w:val="0"/>
      <w:divBdr>
        <w:top w:val="none" w:sz="0" w:space="0" w:color="auto"/>
        <w:left w:val="none" w:sz="0" w:space="0" w:color="auto"/>
        <w:bottom w:val="none" w:sz="0" w:space="0" w:color="auto"/>
        <w:right w:val="none" w:sz="0" w:space="0" w:color="auto"/>
      </w:divBdr>
    </w:div>
    <w:div w:id="1733114166">
      <w:bodyDiv w:val="1"/>
      <w:marLeft w:val="0"/>
      <w:marRight w:val="0"/>
      <w:marTop w:val="0"/>
      <w:marBottom w:val="0"/>
      <w:divBdr>
        <w:top w:val="none" w:sz="0" w:space="0" w:color="auto"/>
        <w:left w:val="none" w:sz="0" w:space="0" w:color="auto"/>
        <w:bottom w:val="none" w:sz="0" w:space="0" w:color="auto"/>
        <w:right w:val="none" w:sz="0" w:space="0" w:color="auto"/>
      </w:divBdr>
    </w:div>
    <w:div w:id="1751191347">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C3AC-C94D-4584-9D28-C4E05FBB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7744</Words>
  <Characters>44146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9B21B007</vt:lpstr>
    </vt:vector>
  </TitlesOfParts>
  <Company>Ivey Business School</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9B21B007</dc:title>
  <dc:creator>smuir</dc:creator>
  <cp:lastModifiedBy>Product Coordinator</cp:lastModifiedBy>
  <cp:revision>2</cp:revision>
  <cp:lastPrinted>2015-03-04T20:34:00Z</cp:lastPrinted>
  <dcterms:created xsi:type="dcterms:W3CDTF">2022-04-26T18:26:00Z</dcterms:created>
  <dcterms:modified xsi:type="dcterms:W3CDTF">2022-04-26T18:26:00Z</dcterms:modified>
</cp:coreProperties>
</file>