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D1D9231" w:rsidR="003A5366" w:rsidRPr="000075CD" w:rsidRDefault="007910D6"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227E5B56" wp14:editId="0A2287D1">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7561A4A" w:rsidR="00C02410" w:rsidRPr="000075CD" w:rsidRDefault="00971022" w:rsidP="00C02410">
      <w:pPr>
        <w:pStyle w:val="ProductNumber"/>
        <w:rPr>
          <w:lang w:val="en-GB"/>
        </w:rPr>
      </w:pPr>
      <w:r>
        <w:rPr>
          <w:lang w:val="en-GB"/>
        </w:rPr>
        <w:t>9B21</w:t>
      </w:r>
      <w:r>
        <w:rPr>
          <w:lang w:val="en-GB"/>
        </w:rPr>
        <w:t>B008</w:t>
      </w:r>
    </w:p>
    <w:p w14:paraId="4E057522" w14:textId="7A113CB1" w:rsidR="00D75295" w:rsidRPr="000075CD" w:rsidRDefault="00D75295" w:rsidP="00D75295">
      <w:pPr>
        <w:jc w:val="right"/>
        <w:rPr>
          <w:rFonts w:ascii="Arial" w:hAnsi="Arial"/>
          <w:b/>
          <w:lang w:val="en-GB"/>
        </w:rPr>
      </w:pPr>
    </w:p>
    <w:p w14:paraId="02524312" w14:textId="77777777" w:rsidR="001901C0" w:rsidRPr="000075CD" w:rsidRDefault="001901C0" w:rsidP="00D75295">
      <w:pPr>
        <w:jc w:val="right"/>
        <w:rPr>
          <w:rFonts w:ascii="Arial" w:hAnsi="Arial"/>
          <w:b/>
          <w:lang w:val="en-GB"/>
        </w:rPr>
      </w:pPr>
    </w:p>
    <w:p w14:paraId="2F03D26A" w14:textId="7D034E6C" w:rsidR="00013360" w:rsidRPr="000075CD" w:rsidRDefault="00614898" w:rsidP="00013360">
      <w:pPr>
        <w:pStyle w:val="CaseTitle"/>
        <w:spacing w:after="0" w:line="240" w:lineRule="auto"/>
        <w:rPr>
          <w:sz w:val="20"/>
          <w:szCs w:val="20"/>
          <w:lang w:val="en-GB"/>
        </w:rPr>
      </w:pPr>
      <w:r w:rsidRPr="000075CD">
        <w:rPr>
          <w:lang w:val="en-GB"/>
        </w:rPr>
        <w:t>Shop Thursdays: POst Covid-19 Strategy</w:t>
      </w:r>
    </w:p>
    <w:p w14:paraId="40ABF6FD" w14:textId="77777777" w:rsidR="00CA3976" w:rsidRPr="000075CD" w:rsidRDefault="00CA3976" w:rsidP="00013360">
      <w:pPr>
        <w:pStyle w:val="CaseTitle"/>
        <w:spacing w:after="0" w:line="240" w:lineRule="auto"/>
        <w:rPr>
          <w:sz w:val="20"/>
          <w:szCs w:val="20"/>
          <w:lang w:val="en-GB"/>
        </w:rPr>
      </w:pPr>
    </w:p>
    <w:p w14:paraId="202F1085" w14:textId="77777777" w:rsidR="00013360" w:rsidRPr="000075CD" w:rsidRDefault="00013360" w:rsidP="00013360">
      <w:pPr>
        <w:pStyle w:val="CaseTitle"/>
        <w:spacing w:after="0" w:line="240" w:lineRule="auto"/>
        <w:rPr>
          <w:sz w:val="20"/>
          <w:szCs w:val="20"/>
          <w:lang w:val="en-GB"/>
        </w:rPr>
      </w:pPr>
    </w:p>
    <w:p w14:paraId="58B0C73F" w14:textId="336D6C72" w:rsidR="00086B26" w:rsidRPr="000075CD" w:rsidRDefault="00614898" w:rsidP="00086B26">
      <w:pPr>
        <w:pStyle w:val="StyleCopyrightStatementAfter0ptBottomSinglesolidline1"/>
        <w:rPr>
          <w:lang w:val="en-GB"/>
        </w:rPr>
      </w:pPr>
      <w:r w:rsidRPr="000075CD">
        <w:rPr>
          <w:lang w:val="en-GB"/>
        </w:rPr>
        <w:t>Holli Greenwald wrote this case under the supervision of Ian Dunn</w:t>
      </w:r>
      <w:r w:rsidR="00ED7922" w:rsidRPr="000075CD">
        <w:rPr>
          <w:rFonts w:cs="Arial"/>
          <w:szCs w:val="16"/>
          <w:lang w:val="en-GB"/>
        </w:rPr>
        <w:t xml:space="preserve"> </w:t>
      </w:r>
      <w:r w:rsidR="00086B26" w:rsidRPr="000075CD">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075CD" w:rsidRDefault="00086B26" w:rsidP="00086B26">
      <w:pPr>
        <w:pStyle w:val="StyleCopyrightStatementAfter0ptBottomSinglesolidline1"/>
        <w:rPr>
          <w:lang w:val="en-GB"/>
        </w:rPr>
      </w:pPr>
    </w:p>
    <w:p w14:paraId="1EEEBFE5" w14:textId="343E7915" w:rsidR="00A323B0" w:rsidRPr="000075CD" w:rsidRDefault="007910D6"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0075CD" w:rsidRDefault="003A5366" w:rsidP="00A323B0">
      <w:pPr>
        <w:pStyle w:val="StyleStyleCopyrightStatementAfter0ptBottomSinglesolid"/>
        <w:rPr>
          <w:rFonts w:cs="Arial"/>
          <w:szCs w:val="16"/>
          <w:lang w:val="en-GB"/>
        </w:rPr>
      </w:pPr>
    </w:p>
    <w:p w14:paraId="3922E14F" w14:textId="07F617A8" w:rsidR="00751E0B" w:rsidRPr="000075CD" w:rsidRDefault="007910D6"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075CD">
        <w:rPr>
          <w:rFonts w:cs="Arial"/>
          <w:iCs w:val="0"/>
          <w:color w:val="auto"/>
          <w:szCs w:val="16"/>
          <w:lang w:val="en-GB"/>
        </w:rPr>
        <w:tab/>
        <w:t xml:space="preserve">Version: </w:t>
      </w:r>
      <w:r w:rsidR="00614898" w:rsidRPr="000075CD">
        <w:rPr>
          <w:rFonts w:cs="Arial"/>
          <w:iCs w:val="0"/>
          <w:color w:val="auto"/>
          <w:szCs w:val="16"/>
          <w:lang w:val="en-GB"/>
        </w:rPr>
        <w:t>2021-</w:t>
      </w:r>
      <w:r w:rsidR="00FB7A78">
        <w:rPr>
          <w:rFonts w:cs="Arial"/>
          <w:iCs w:val="0"/>
          <w:color w:val="auto"/>
          <w:szCs w:val="16"/>
          <w:lang w:val="en-GB"/>
        </w:rPr>
        <w:t>04-</w:t>
      </w:r>
      <w:r w:rsidR="00971022">
        <w:rPr>
          <w:rFonts w:cs="Arial"/>
          <w:iCs w:val="0"/>
          <w:color w:val="auto"/>
          <w:szCs w:val="16"/>
          <w:lang w:val="en-GB"/>
        </w:rPr>
        <w:t>19</w:t>
      </w:r>
    </w:p>
    <w:p w14:paraId="0A2A54E4" w14:textId="77777777" w:rsidR="00751E0B" w:rsidRPr="00F27671" w:rsidRDefault="00751E0B" w:rsidP="00751E0B">
      <w:pPr>
        <w:pStyle w:val="StyleCopyrightStatementAfter0ptBottomSinglesolidline1"/>
        <w:rPr>
          <w:rFonts w:ascii="Times New Roman" w:hAnsi="Times New Roman"/>
          <w:i w:val="0"/>
          <w:sz w:val="22"/>
          <w:szCs w:val="22"/>
          <w:lang w:val="en-GB"/>
        </w:rPr>
      </w:pPr>
    </w:p>
    <w:p w14:paraId="2C183161" w14:textId="08BCE80D" w:rsidR="00B87DC0" w:rsidRPr="00F27671" w:rsidRDefault="00B87DC0" w:rsidP="002B40FF">
      <w:pPr>
        <w:pStyle w:val="Casehead1"/>
        <w:rPr>
          <w:rFonts w:ascii="Times New Roman" w:hAnsi="Times New Roman" w:cs="Times New Roman"/>
          <w:b w:val="0"/>
          <w:sz w:val="22"/>
          <w:szCs w:val="22"/>
          <w:lang w:val="en-GB"/>
        </w:rPr>
      </w:pPr>
    </w:p>
    <w:p w14:paraId="2A572275" w14:textId="482EB013" w:rsidR="00614898" w:rsidRPr="000075CD" w:rsidRDefault="00A05ED7" w:rsidP="008F0BD9">
      <w:pPr>
        <w:pStyle w:val="BodyTextMain"/>
        <w:rPr>
          <w:lang w:val="en-GB"/>
        </w:rPr>
      </w:pPr>
      <w:r>
        <w:rPr>
          <w:lang w:val="en-GB"/>
        </w:rPr>
        <w:t>In</w:t>
      </w:r>
      <w:r w:rsidR="00614898" w:rsidRPr="000075CD">
        <w:rPr>
          <w:lang w:val="en-GB"/>
        </w:rPr>
        <w:t xml:space="preserve"> June 2020</w:t>
      </w:r>
      <w:r w:rsidR="009B4767">
        <w:rPr>
          <w:lang w:val="en-GB"/>
        </w:rPr>
        <w:t>,</w:t>
      </w:r>
      <w:r w:rsidR="00614898" w:rsidRPr="000075CD">
        <w:rPr>
          <w:lang w:val="en-GB"/>
        </w:rPr>
        <w:t xml:space="preserve"> Gillian </w:t>
      </w:r>
      <w:proofErr w:type="spellStart"/>
      <w:r w:rsidR="00614898" w:rsidRPr="000075CD">
        <w:rPr>
          <w:lang w:val="en-GB"/>
        </w:rPr>
        <w:t>Piltz</w:t>
      </w:r>
      <w:proofErr w:type="spellEnd"/>
      <w:r w:rsidR="00614898" w:rsidRPr="000075CD">
        <w:rPr>
          <w:lang w:val="en-GB"/>
        </w:rPr>
        <w:t xml:space="preserve">, co-founder of Shop Thursdays (Thursdays), had just </w:t>
      </w:r>
      <w:r w:rsidR="009B4767">
        <w:rPr>
          <w:lang w:val="en-GB"/>
        </w:rPr>
        <w:t>ended</w:t>
      </w:r>
      <w:r w:rsidR="00614898" w:rsidRPr="000075CD">
        <w:rPr>
          <w:lang w:val="en-GB"/>
        </w:rPr>
        <w:t xml:space="preserve"> a conference call with her two business partners, Rita and James Benzacar. Thursdays was a retail boutique and lifestyle brand specializing in trendy womenswear. Like many retailers, Thursdays </w:t>
      </w:r>
      <w:r w:rsidR="009B4767">
        <w:rPr>
          <w:lang w:val="en-GB"/>
        </w:rPr>
        <w:t>had been</w:t>
      </w:r>
      <w:r w:rsidR="009B4767" w:rsidRPr="000075CD">
        <w:rPr>
          <w:lang w:val="en-GB"/>
        </w:rPr>
        <w:t xml:space="preserve"> </w:t>
      </w:r>
      <w:r w:rsidR="00614898" w:rsidRPr="000075CD">
        <w:rPr>
          <w:lang w:val="en-GB"/>
        </w:rPr>
        <w:t>forced to close its brick</w:t>
      </w:r>
      <w:r w:rsidR="009B4767">
        <w:rPr>
          <w:lang w:val="en-GB"/>
        </w:rPr>
        <w:t>-</w:t>
      </w:r>
      <w:r w:rsidR="00614898" w:rsidRPr="000075CD">
        <w:rPr>
          <w:lang w:val="en-GB"/>
        </w:rPr>
        <w:t>and</w:t>
      </w:r>
      <w:r w:rsidR="009B4767">
        <w:rPr>
          <w:lang w:val="en-GB"/>
        </w:rPr>
        <w:t>-</w:t>
      </w:r>
      <w:r w:rsidR="00614898" w:rsidRPr="000075CD">
        <w:rPr>
          <w:lang w:val="en-GB"/>
        </w:rPr>
        <w:t>mortar stores amid the global pandemic</w:t>
      </w:r>
      <w:r w:rsidR="00E26E1A">
        <w:rPr>
          <w:lang w:val="en-GB"/>
        </w:rPr>
        <w:t xml:space="preserve"> (COVID-19)</w:t>
      </w:r>
      <w:r w:rsidR="00614898" w:rsidRPr="000075CD">
        <w:rPr>
          <w:lang w:val="en-GB"/>
        </w:rPr>
        <w:t xml:space="preserve">. During this time, Thursdays </w:t>
      </w:r>
      <w:r w:rsidR="009B4767">
        <w:rPr>
          <w:lang w:val="en-GB"/>
        </w:rPr>
        <w:t>had seen</w:t>
      </w:r>
      <w:r w:rsidR="009B4767" w:rsidRPr="000075CD">
        <w:rPr>
          <w:lang w:val="en-GB"/>
        </w:rPr>
        <w:t xml:space="preserve"> </w:t>
      </w:r>
      <w:r w:rsidR="00614898" w:rsidRPr="000075CD">
        <w:rPr>
          <w:lang w:val="en-GB"/>
        </w:rPr>
        <w:t>a dramatic increase in online sales. Piltz had just finished reopening Thursdays’ retail storefront in Summerhill, Toronto</w:t>
      </w:r>
      <w:r w:rsidR="009B4767">
        <w:rPr>
          <w:lang w:val="en-GB"/>
        </w:rPr>
        <w:t>,</w:t>
      </w:r>
      <w:r w:rsidR="00614898" w:rsidRPr="000075CD">
        <w:rPr>
          <w:lang w:val="en-GB"/>
        </w:rPr>
        <w:t xml:space="preserve"> but was wondering what to do about Thursdays’ other location in </w:t>
      </w:r>
      <w:r w:rsidR="00614898" w:rsidRPr="000075CD">
        <w:rPr>
          <w:lang w:val="en-GB"/>
        </w:rPr>
        <w:t xml:space="preserve">the </w:t>
      </w:r>
      <w:r w:rsidR="00614898" w:rsidRPr="000075CD">
        <w:rPr>
          <w:lang w:val="en-GB"/>
        </w:rPr>
        <w:t xml:space="preserve">downtown financial core. </w:t>
      </w:r>
    </w:p>
    <w:p w14:paraId="6BD1BA05" w14:textId="77777777" w:rsidR="00614898" w:rsidRPr="000075CD" w:rsidRDefault="00614898" w:rsidP="008F0BD9">
      <w:pPr>
        <w:pStyle w:val="BodyTextMain"/>
        <w:rPr>
          <w:lang w:val="en-GB"/>
        </w:rPr>
      </w:pPr>
    </w:p>
    <w:p w14:paraId="67DA31A6" w14:textId="6F120819" w:rsidR="00614898" w:rsidRPr="000075CD" w:rsidRDefault="00614898" w:rsidP="008F0BD9">
      <w:pPr>
        <w:pStyle w:val="BodyTextMain"/>
        <w:rPr>
          <w:lang w:val="en-GB"/>
        </w:rPr>
      </w:pPr>
      <w:r w:rsidRPr="000075CD">
        <w:rPr>
          <w:lang w:val="en-GB"/>
        </w:rPr>
        <w:t xml:space="preserve">Given the recent success of online sales, Piltz was interested in different ways to continue to boost this segment of her business. She had dabbled with the idea of influencer marketing in the past and was aware of its potential to grow online sales in the women’s fashion industry. </w:t>
      </w:r>
      <w:r w:rsidR="009B4767">
        <w:rPr>
          <w:lang w:val="en-GB"/>
        </w:rPr>
        <w:t>However,</w:t>
      </w:r>
      <w:r w:rsidRPr="000075CD">
        <w:rPr>
          <w:lang w:val="en-GB"/>
        </w:rPr>
        <w:t xml:space="preserve"> to devote the time and financial resources to influencer marketing, Piltz felt she would need to close her second retail location. Considering the uncertain future of the retail industry, Piltz wondered what strategy would be in the best interest for Thursdays’ fiscal period ending May 31, 2021. </w:t>
      </w:r>
    </w:p>
    <w:p w14:paraId="38AF936F" w14:textId="77777777" w:rsidR="00614898" w:rsidRPr="000075CD" w:rsidRDefault="00614898" w:rsidP="008F0BD9">
      <w:pPr>
        <w:pStyle w:val="BodyTextMain"/>
        <w:rPr>
          <w:lang w:val="en-GB"/>
        </w:rPr>
      </w:pPr>
    </w:p>
    <w:p w14:paraId="42B7D2E7" w14:textId="77777777" w:rsidR="00614898" w:rsidRPr="000075CD" w:rsidRDefault="00614898" w:rsidP="008F0BD9">
      <w:pPr>
        <w:pStyle w:val="BodyTextMain"/>
        <w:rPr>
          <w:lang w:val="en-GB"/>
        </w:rPr>
      </w:pPr>
    </w:p>
    <w:p w14:paraId="2122CFFF" w14:textId="77777777" w:rsidR="00614898" w:rsidRPr="000075CD" w:rsidRDefault="00614898" w:rsidP="008F0BD9">
      <w:pPr>
        <w:pStyle w:val="Casehead1"/>
        <w:rPr>
          <w:lang w:val="en-GB"/>
        </w:rPr>
      </w:pPr>
      <w:r w:rsidRPr="000075CD">
        <w:rPr>
          <w:lang w:val="en-GB"/>
        </w:rPr>
        <w:t xml:space="preserve">COMPANY BACKGROUND </w:t>
      </w:r>
    </w:p>
    <w:p w14:paraId="4F922893" w14:textId="77777777" w:rsidR="00614898" w:rsidRPr="000075CD" w:rsidRDefault="00614898" w:rsidP="008F0BD9">
      <w:pPr>
        <w:pStyle w:val="BodyTextMain"/>
        <w:rPr>
          <w:lang w:val="en-GB"/>
        </w:rPr>
      </w:pPr>
    </w:p>
    <w:p w14:paraId="60C41AEA" w14:textId="77777777" w:rsidR="00614898" w:rsidRPr="000075CD" w:rsidRDefault="00614898" w:rsidP="008F0BD9">
      <w:pPr>
        <w:pStyle w:val="Casehead2"/>
        <w:rPr>
          <w:lang w:val="en-GB"/>
        </w:rPr>
      </w:pPr>
      <w:r w:rsidRPr="000075CD">
        <w:rPr>
          <w:lang w:val="en-GB"/>
        </w:rPr>
        <w:t>History</w:t>
      </w:r>
    </w:p>
    <w:p w14:paraId="5E496430" w14:textId="77777777" w:rsidR="00614898" w:rsidRPr="000075CD" w:rsidRDefault="00614898" w:rsidP="008F0BD9">
      <w:pPr>
        <w:pStyle w:val="BodyTextMain"/>
        <w:rPr>
          <w:lang w:val="en-GB"/>
        </w:rPr>
      </w:pPr>
    </w:p>
    <w:p w14:paraId="409575D5" w14:textId="151735E7" w:rsidR="00614898" w:rsidRPr="007910D6" w:rsidRDefault="00614898" w:rsidP="008F0BD9">
      <w:pPr>
        <w:pStyle w:val="BodyTextMain"/>
        <w:rPr>
          <w:spacing w:val="-2"/>
          <w:lang w:val="en-GB"/>
        </w:rPr>
      </w:pPr>
      <w:r w:rsidRPr="007910D6">
        <w:rPr>
          <w:spacing w:val="-2"/>
          <w:lang w:val="en-GB"/>
        </w:rPr>
        <w:t xml:space="preserve">Piltz </w:t>
      </w:r>
      <w:r w:rsidR="009B4767" w:rsidRPr="007910D6">
        <w:rPr>
          <w:spacing w:val="-2"/>
          <w:lang w:val="en-GB"/>
        </w:rPr>
        <w:t xml:space="preserve">had grown </w:t>
      </w:r>
      <w:r w:rsidRPr="007910D6">
        <w:rPr>
          <w:spacing w:val="-2"/>
          <w:lang w:val="en-GB"/>
        </w:rPr>
        <w:t>up surrounded by the fashion and wholesale industry. Her mother and uncle, Rita and James Benzacar</w:t>
      </w:r>
      <w:r w:rsidR="009525D0" w:rsidRPr="007910D6">
        <w:rPr>
          <w:spacing w:val="-2"/>
          <w:lang w:val="en-GB"/>
        </w:rPr>
        <w:t>,</w:t>
      </w:r>
      <w:r w:rsidRPr="007910D6">
        <w:rPr>
          <w:spacing w:val="-2"/>
          <w:lang w:val="en-GB"/>
        </w:rPr>
        <w:t xml:space="preserve"> had operated Rita Benzacar Sales Ltd., a fast</w:t>
      </w:r>
      <w:r w:rsidR="009525D0" w:rsidRPr="007910D6">
        <w:rPr>
          <w:spacing w:val="-2"/>
          <w:lang w:val="en-GB"/>
        </w:rPr>
        <w:t>-</w:t>
      </w:r>
      <w:r w:rsidRPr="007910D6">
        <w:rPr>
          <w:spacing w:val="-2"/>
          <w:lang w:val="en-GB"/>
        </w:rPr>
        <w:t>fashion wholesaler, since 1989. The company sourced and distributed women’s fashion, accessories</w:t>
      </w:r>
      <w:r w:rsidR="009B4767" w:rsidRPr="007910D6">
        <w:rPr>
          <w:spacing w:val="-2"/>
          <w:lang w:val="en-GB"/>
        </w:rPr>
        <w:t>,</w:t>
      </w:r>
      <w:r w:rsidRPr="007910D6">
        <w:rPr>
          <w:spacing w:val="-2"/>
          <w:lang w:val="en-GB"/>
        </w:rPr>
        <w:t xml:space="preserve"> and footwear to boutiques across Canada. Piltz </w:t>
      </w:r>
      <w:r w:rsidR="009525D0" w:rsidRPr="007910D6">
        <w:rPr>
          <w:spacing w:val="-2"/>
          <w:lang w:val="en-GB"/>
        </w:rPr>
        <w:t xml:space="preserve">had </w:t>
      </w:r>
      <w:r w:rsidRPr="007910D6">
        <w:rPr>
          <w:spacing w:val="-2"/>
          <w:lang w:val="en-GB"/>
        </w:rPr>
        <w:t xml:space="preserve">always </w:t>
      </w:r>
      <w:r w:rsidR="009525D0" w:rsidRPr="007910D6">
        <w:rPr>
          <w:spacing w:val="-2"/>
          <w:lang w:val="en-GB"/>
        </w:rPr>
        <w:t xml:space="preserve">been </w:t>
      </w:r>
      <w:r w:rsidRPr="007910D6">
        <w:rPr>
          <w:spacing w:val="-2"/>
          <w:lang w:val="en-GB"/>
        </w:rPr>
        <w:t xml:space="preserve">passionate about the industry and knew that one day she wanted to </w:t>
      </w:r>
      <w:r w:rsidR="009B4767" w:rsidRPr="007910D6">
        <w:rPr>
          <w:spacing w:val="-2"/>
          <w:lang w:val="en-GB"/>
        </w:rPr>
        <w:t xml:space="preserve">be </w:t>
      </w:r>
      <w:r w:rsidRPr="007910D6">
        <w:rPr>
          <w:spacing w:val="-2"/>
          <w:lang w:val="en-GB"/>
        </w:rPr>
        <w:t>involved in the family business.</w:t>
      </w:r>
    </w:p>
    <w:p w14:paraId="40D6318A" w14:textId="77777777" w:rsidR="00614898" w:rsidRPr="000075CD" w:rsidRDefault="00614898" w:rsidP="008F0BD9">
      <w:pPr>
        <w:pStyle w:val="BodyTextMain"/>
        <w:rPr>
          <w:lang w:val="en-GB"/>
        </w:rPr>
      </w:pPr>
    </w:p>
    <w:p w14:paraId="743747B5" w14:textId="77777777" w:rsidR="00614898" w:rsidRPr="000075CD" w:rsidRDefault="00614898" w:rsidP="008F0BD9">
      <w:pPr>
        <w:pStyle w:val="BodyTextMain"/>
        <w:rPr>
          <w:lang w:val="en-GB"/>
        </w:rPr>
      </w:pPr>
    </w:p>
    <w:p w14:paraId="07C6DD06" w14:textId="77777777" w:rsidR="00614898" w:rsidRPr="000075CD" w:rsidRDefault="00614898" w:rsidP="008F0BD9">
      <w:pPr>
        <w:pStyle w:val="Casehead2"/>
        <w:rPr>
          <w:lang w:val="en-GB"/>
        </w:rPr>
      </w:pPr>
      <w:r w:rsidRPr="000075CD">
        <w:rPr>
          <w:lang w:val="en-GB"/>
        </w:rPr>
        <w:t>Gillian Piltz</w:t>
      </w:r>
    </w:p>
    <w:p w14:paraId="7319E2CD" w14:textId="77777777" w:rsidR="00614898" w:rsidRPr="000075CD" w:rsidRDefault="00614898" w:rsidP="008F0BD9">
      <w:pPr>
        <w:pStyle w:val="BodyTextMain"/>
        <w:rPr>
          <w:lang w:val="en-GB"/>
        </w:rPr>
      </w:pPr>
    </w:p>
    <w:p w14:paraId="431ED872" w14:textId="35174EC5" w:rsidR="00614898" w:rsidRPr="000075CD" w:rsidRDefault="009B4767" w:rsidP="008F0BD9">
      <w:pPr>
        <w:pStyle w:val="BodyTextMain"/>
        <w:rPr>
          <w:lang w:val="en-GB"/>
        </w:rPr>
      </w:pPr>
      <w:r>
        <w:rPr>
          <w:lang w:val="en-GB"/>
        </w:rPr>
        <w:t xml:space="preserve">In 2013, </w:t>
      </w:r>
      <w:r w:rsidR="00614898" w:rsidRPr="000075CD">
        <w:rPr>
          <w:lang w:val="en-GB"/>
        </w:rPr>
        <w:t xml:space="preserve">Piltz started her undergraduate degree in </w:t>
      </w:r>
      <w:r>
        <w:rPr>
          <w:lang w:val="en-GB"/>
        </w:rPr>
        <w:t>p</w:t>
      </w:r>
      <w:r w:rsidR="00614898" w:rsidRPr="000075CD">
        <w:rPr>
          <w:lang w:val="en-GB"/>
        </w:rPr>
        <w:t xml:space="preserve">hilosophy at Western University in London, Ontario. In her first year of studies, she found Thursdays to be a popular day of the week for university students to shop for new weekend looks. In </w:t>
      </w:r>
      <w:r>
        <w:rPr>
          <w:lang w:val="en-GB"/>
        </w:rPr>
        <w:t xml:space="preserve">her </w:t>
      </w:r>
      <w:r w:rsidR="00614898" w:rsidRPr="000075CD">
        <w:rPr>
          <w:lang w:val="en-GB"/>
        </w:rPr>
        <w:t>second year of university</w:t>
      </w:r>
      <w:r>
        <w:rPr>
          <w:lang w:val="en-GB"/>
        </w:rPr>
        <w:t>,</w:t>
      </w:r>
      <w:r w:rsidR="00614898" w:rsidRPr="000075CD">
        <w:rPr>
          <w:lang w:val="en-GB"/>
        </w:rPr>
        <w:t xml:space="preserve"> she decided to launch Shop Thursdays, a small boutique that she ran </w:t>
      </w:r>
      <w:r>
        <w:rPr>
          <w:lang w:val="en-GB"/>
        </w:rPr>
        <w:t>from</w:t>
      </w:r>
      <w:r w:rsidR="00614898" w:rsidRPr="000075CD">
        <w:rPr>
          <w:lang w:val="en-GB"/>
        </w:rPr>
        <w:t xml:space="preserve"> her student apartment in downtown London. </w:t>
      </w:r>
      <w:r>
        <w:rPr>
          <w:lang w:val="en-GB"/>
        </w:rPr>
        <w:t>U</w:t>
      </w:r>
      <w:r w:rsidR="00EF3449">
        <w:rPr>
          <w:lang w:val="en-GB"/>
        </w:rPr>
        <w:t>sing</w:t>
      </w:r>
      <w:r w:rsidRPr="000075CD">
        <w:rPr>
          <w:lang w:val="en-GB"/>
        </w:rPr>
        <w:t xml:space="preserve"> her relationships in the industry</w:t>
      </w:r>
      <w:r>
        <w:rPr>
          <w:lang w:val="en-GB"/>
        </w:rPr>
        <w:t>,</w:t>
      </w:r>
      <w:r w:rsidRPr="000075CD">
        <w:rPr>
          <w:lang w:val="en-GB"/>
        </w:rPr>
        <w:t xml:space="preserve"> </w:t>
      </w:r>
      <w:r>
        <w:rPr>
          <w:lang w:val="en-GB"/>
        </w:rPr>
        <w:t>Piltz</w:t>
      </w:r>
      <w:r w:rsidRPr="000075CD">
        <w:rPr>
          <w:lang w:val="en-GB"/>
        </w:rPr>
        <w:t xml:space="preserve"> </w:t>
      </w:r>
      <w:r w:rsidR="00614898" w:rsidRPr="000075CD">
        <w:rPr>
          <w:lang w:val="en-GB"/>
        </w:rPr>
        <w:t>sourced the clothing</w:t>
      </w:r>
      <w:r>
        <w:rPr>
          <w:lang w:val="en-GB"/>
        </w:rPr>
        <w:t>,</w:t>
      </w:r>
      <w:r w:rsidR="00614898" w:rsidRPr="000075CD">
        <w:rPr>
          <w:lang w:val="en-GB"/>
        </w:rPr>
        <w:t xml:space="preserve"> and on Thursdays, friends and peers would stop by her makeshift store </w:t>
      </w:r>
      <w:r w:rsidR="00614898" w:rsidRPr="000075CD">
        <w:rPr>
          <w:lang w:val="en-GB"/>
        </w:rPr>
        <w:lastRenderedPageBreak/>
        <w:t>to purchase clothes. After tremendous success running Thursdays out of her apartment, she decided to experiment with pop-up shops to test the retail space on a larger scale.</w:t>
      </w:r>
      <w:r w:rsidR="00614898" w:rsidRPr="000075CD">
        <w:rPr>
          <w:rStyle w:val="FootnoteReference"/>
          <w:lang w:val="en-GB"/>
        </w:rPr>
        <w:footnoteReference w:id="1"/>
      </w:r>
      <w:r w:rsidR="00614898" w:rsidRPr="000075CD">
        <w:rPr>
          <w:lang w:val="en-GB"/>
        </w:rPr>
        <w:t xml:space="preserve"> </w:t>
      </w:r>
      <w:r>
        <w:rPr>
          <w:lang w:val="en-GB"/>
        </w:rPr>
        <w:t xml:space="preserve">To do so, </w:t>
      </w:r>
      <w:r w:rsidR="00614898" w:rsidRPr="000075CD">
        <w:rPr>
          <w:lang w:val="en-GB"/>
        </w:rPr>
        <w:t xml:space="preserve">Piltz rented out a small storefront on Macpherson Avenue in Summerhill, Toronto. The lease was only for a few months but was another success and affirmed Piltz’s desire to open a </w:t>
      </w:r>
      <w:r w:rsidR="009525D0">
        <w:rPr>
          <w:lang w:val="en-GB"/>
        </w:rPr>
        <w:t xml:space="preserve">permanent </w:t>
      </w:r>
      <w:r w:rsidR="00614898" w:rsidRPr="000075CD">
        <w:rPr>
          <w:lang w:val="en-GB"/>
        </w:rPr>
        <w:t xml:space="preserve">retail storefront. </w:t>
      </w:r>
    </w:p>
    <w:p w14:paraId="11625E91" w14:textId="77777777" w:rsidR="00614898" w:rsidRPr="000075CD" w:rsidRDefault="00614898" w:rsidP="008F0BD9">
      <w:pPr>
        <w:pStyle w:val="BodyTextMain"/>
        <w:rPr>
          <w:lang w:val="en-GB"/>
        </w:rPr>
      </w:pPr>
    </w:p>
    <w:p w14:paraId="05D2894A" w14:textId="0FC2B34F" w:rsidR="00614898" w:rsidRPr="000075CD" w:rsidRDefault="00614898" w:rsidP="008F0BD9">
      <w:pPr>
        <w:pStyle w:val="BodyTextMain"/>
        <w:rPr>
          <w:lang w:val="en-GB"/>
        </w:rPr>
      </w:pPr>
      <w:r w:rsidRPr="000075CD">
        <w:rPr>
          <w:lang w:val="en-GB"/>
        </w:rPr>
        <w:t xml:space="preserve">In the summer of 2015, Piltz was admitted into the </w:t>
      </w:r>
      <w:r w:rsidR="009B4767">
        <w:rPr>
          <w:lang w:val="en-GB"/>
        </w:rPr>
        <w:t>honors business administration</w:t>
      </w:r>
      <w:r w:rsidR="009B4767" w:rsidRPr="000075CD">
        <w:rPr>
          <w:lang w:val="en-GB"/>
        </w:rPr>
        <w:t xml:space="preserve"> </w:t>
      </w:r>
      <w:r w:rsidRPr="000075CD">
        <w:rPr>
          <w:lang w:val="en-GB"/>
        </w:rPr>
        <w:t>program at the Ivey Business School at Western University. At that time, she had just opened Thursdays’ first permanent location on Yonge Street, once again in the Summerhill neighbo</w:t>
      </w:r>
      <w:r w:rsidR="009B4767">
        <w:rPr>
          <w:lang w:val="en-GB"/>
        </w:rPr>
        <w:t>u</w:t>
      </w:r>
      <w:r w:rsidRPr="000075CD">
        <w:rPr>
          <w:lang w:val="en-GB"/>
        </w:rPr>
        <w:t xml:space="preserve">rhood. She decided to hire an experienced store manager to run the store while she moved back to London to pursue her business degree. </w:t>
      </w:r>
    </w:p>
    <w:p w14:paraId="78E9A097" w14:textId="77777777" w:rsidR="00614898" w:rsidRPr="000075CD" w:rsidRDefault="00614898" w:rsidP="008F0BD9">
      <w:pPr>
        <w:pStyle w:val="BodyTextMain"/>
        <w:rPr>
          <w:lang w:val="en-GB"/>
        </w:rPr>
      </w:pPr>
    </w:p>
    <w:p w14:paraId="35C2B05A" w14:textId="4EEF5D17" w:rsidR="00614898" w:rsidRPr="000075CD" w:rsidRDefault="00614898" w:rsidP="008F0BD9">
      <w:pPr>
        <w:pStyle w:val="BodyTextMain"/>
        <w:rPr>
          <w:lang w:val="en-GB"/>
        </w:rPr>
      </w:pPr>
      <w:r w:rsidRPr="000075CD">
        <w:rPr>
          <w:lang w:val="en-GB"/>
        </w:rPr>
        <w:t>By 2017, Thursdays was running effortlessly with the combined efforts of Piltz’s mother, uncle</w:t>
      </w:r>
      <w:r w:rsidR="009525D0">
        <w:rPr>
          <w:lang w:val="en-GB"/>
        </w:rPr>
        <w:t>,</w:t>
      </w:r>
      <w:r w:rsidRPr="000075CD">
        <w:rPr>
          <w:lang w:val="en-GB"/>
        </w:rPr>
        <w:t xml:space="preserve"> and the store manager. </w:t>
      </w:r>
      <w:r w:rsidR="009B4767">
        <w:rPr>
          <w:lang w:val="en-GB"/>
        </w:rPr>
        <w:t>T</w:t>
      </w:r>
      <w:r w:rsidRPr="000075CD">
        <w:rPr>
          <w:lang w:val="en-GB"/>
        </w:rPr>
        <w:t xml:space="preserve">hat same year, Piltz graduated from the Ivey Business School and accepted a full-time role as an associate in the financial services industry. </w:t>
      </w:r>
      <w:r w:rsidR="009B4767">
        <w:rPr>
          <w:lang w:val="en-GB"/>
        </w:rPr>
        <w:t>Alt</w:t>
      </w:r>
      <w:r w:rsidR="009B4767" w:rsidRPr="000075CD">
        <w:rPr>
          <w:lang w:val="en-GB"/>
        </w:rPr>
        <w:t xml:space="preserve">hough </w:t>
      </w:r>
      <w:r w:rsidRPr="000075CD">
        <w:rPr>
          <w:lang w:val="en-GB"/>
        </w:rPr>
        <w:t xml:space="preserve">she </w:t>
      </w:r>
      <w:r w:rsidR="009525D0">
        <w:rPr>
          <w:lang w:val="en-GB"/>
        </w:rPr>
        <w:t xml:space="preserve">had </w:t>
      </w:r>
      <w:r w:rsidRPr="000075CD">
        <w:rPr>
          <w:lang w:val="en-GB"/>
        </w:rPr>
        <w:t xml:space="preserve">learned a lot </w:t>
      </w:r>
      <w:r w:rsidR="009B4767">
        <w:rPr>
          <w:lang w:val="en-GB"/>
        </w:rPr>
        <w:t xml:space="preserve">from that industry </w:t>
      </w:r>
      <w:r w:rsidRPr="000075CD">
        <w:rPr>
          <w:lang w:val="en-GB"/>
        </w:rPr>
        <w:t xml:space="preserve">and made many professional connections, Piltz decided to follow her passion for the fashion industry </w:t>
      </w:r>
      <w:r w:rsidR="009B4767">
        <w:rPr>
          <w:lang w:val="en-GB"/>
        </w:rPr>
        <w:t>by</w:t>
      </w:r>
      <w:r w:rsidR="009B4767" w:rsidRPr="000075CD">
        <w:rPr>
          <w:lang w:val="en-GB"/>
        </w:rPr>
        <w:t xml:space="preserve"> pursu</w:t>
      </w:r>
      <w:r w:rsidR="009B4767">
        <w:rPr>
          <w:lang w:val="en-GB"/>
        </w:rPr>
        <w:t>ing</w:t>
      </w:r>
      <w:r w:rsidR="009B4767" w:rsidRPr="000075CD">
        <w:rPr>
          <w:lang w:val="en-GB"/>
        </w:rPr>
        <w:t xml:space="preserve"> </w:t>
      </w:r>
      <w:r w:rsidRPr="000075CD">
        <w:rPr>
          <w:lang w:val="en-GB"/>
        </w:rPr>
        <w:t xml:space="preserve">Thursdays on a full-time basis. She quit her role in finance after just nine months. </w:t>
      </w:r>
    </w:p>
    <w:p w14:paraId="08F42AF7" w14:textId="77777777" w:rsidR="00614898" w:rsidRPr="000075CD" w:rsidRDefault="00614898" w:rsidP="008F0BD9">
      <w:pPr>
        <w:pStyle w:val="BodyTextMain"/>
        <w:rPr>
          <w:lang w:val="en-GB"/>
        </w:rPr>
      </w:pPr>
    </w:p>
    <w:p w14:paraId="1A20F709" w14:textId="4FD327C7" w:rsidR="00614898" w:rsidRPr="007910D6" w:rsidRDefault="00614898" w:rsidP="008F0BD9">
      <w:pPr>
        <w:pStyle w:val="BodyTextMain"/>
        <w:rPr>
          <w:spacing w:val="-4"/>
          <w:lang w:val="en-GB"/>
        </w:rPr>
      </w:pPr>
      <w:r w:rsidRPr="007910D6">
        <w:rPr>
          <w:spacing w:val="-4"/>
          <w:lang w:val="en-GB"/>
        </w:rPr>
        <w:t>Piltz, Rita</w:t>
      </w:r>
      <w:r w:rsidR="009B4767" w:rsidRPr="007910D6">
        <w:rPr>
          <w:spacing w:val="-4"/>
          <w:lang w:val="en-GB"/>
        </w:rPr>
        <w:t xml:space="preserve"> Benzacar,</w:t>
      </w:r>
      <w:r w:rsidRPr="007910D6">
        <w:rPr>
          <w:spacing w:val="-4"/>
          <w:lang w:val="en-GB"/>
        </w:rPr>
        <w:t xml:space="preserve"> and James Benzacar, the three founders of Thursdays, worked together every day in Thursdays’ warehouse, which was separate from its physical stores. Piltz was currently responsible for all of Thursdays</w:t>
      </w:r>
      <w:r w:rsidR="009525D0" w:rsidRPr="007910D6">
        <w:rPr>
          <w:spacing w:val="-4"/>
          <w:lang w:val="en-GB"/>
        </w:rPr>
        <w:t>’</w:t>
      </w:r>
      <w:r w:rsidRPr="007910D6">
        <w:rPr>
          <w:spacing w:val="-4"/>
          <w:lang w:val="en-GB"/>
        </w:rPr>
        <w:t xml:space="preserve"> online and digital affairs, while Rita and James focused on financial matters and vendor relationships. </w:t>
      </w:r>
    </w:p>
    <w:p w14:paraId="7DB1DBAC" w14:textId="77777777" w:rsidR="00614898" w:rsidRPr="000075CD" w:rsidRDefault="00614898" w:rsidP="008F0BD9">
      <w:pPr>
        <w:pStyle w:val="BodyTextMain"/>
        <w:rPr>
          <w:bCs/>
          <w:szCs w:val="24"/>
          <w:lang w:val="en-GB"/>
        </w:rPr>
      </w:pPr>
    </w:p>
    <w:p w14:paraId="2B4559A9" w14:textId="5D90D325" w:rsidR="00614898" w:rsidRPr="000075CD" w:rsidRDefault="00614898" w:rsidP="008F0BD9">
      <w:pPr>
        <w:pStyle w:val="BodyTextMain"/>
        <w:rPr>
          <w:bCs/>
          <w:szCs w:val="24"/>
          <w:lang w:val="en-GB"/>
        </w:rPr>
      </w:pPr>
    </w:p>
    <w:p w14:paraId="1E8D6BC2" w14:textId="6434A4F3" w:rsidR="00614898" w:rsidRPr="000075CD" w:rsidRDefault="006C5385" w:rsidP="008F0BD9">
      <w:pPr>
        <w:pStyle w:val="Casehead2"/>
        <w:rPr>
          <w:lang w:val="en-GB"/>
        </w:rPr>
      </w:pPr>
      <w:r>
        <w:rPr>
          <w:lang w:val="en-GB"/>
        </w:rPr>
        <w:t xml:space="preserve">The </w:t>
      </w:r>
      <w:r w:rsidR="00614898" w:rsidRPr="000075CD">
        <w:rPr>
          <w:lang w:val="en-GB"/>
        </w:rPr>
        <w:t>Product Offering</w:t>
      </w:r>
    </w:p>
    <w:p w14:paraId="326BB045" w14:textId="77777777" w:rsidR="00614898" w:rsidRPr="000075CD" w:rsidRDefault="00614898" w:rsidP="008F0BD9">
      <w:pPr>
        <w:pStyle w:val="BodyTextMain"/>
        <w:rPr>
          <w:lang w:val="en-GB"/>
        </w:rPr>
      </w:pPr>
    </w:p>
    <w:p w14:paraId="685602C8" w14:textId="5A35B541" w:rsidR="00614898" w:rsidRPr="007910D6" w:rsidRDefault="00614898" w:rsidP="008F0BD9">
      <w:pPr>
        <w:pStyle w:val="BodyTextMain"/>
        <w:rPr>
          <w:spacing w:val="-2"/>
          <w:lang w:val="en-GB"/>
        </w:rPr>
      </w:pPr>
      <w:r w:rsidRPr="007910D6">
        <w:rPr>
          <w:spacing w:val="-2"/>
          <w:lang w:val="en-GB"/>
        </w:rPr>
        <w:t>Thursdays was dedicated to bringing in new stock once every week and sourced the coolest and trendiest styles from top designers. The business u</w:t>
      </w:r>
      <w:r w:rsidR="00EF3449" w:rsidRPr="007910D6">
        <w:rPr>
          <w:spacing w:val="-2"/>
          <w:lang w:val="en-GB"/>
        </w:rPr>
        <w:t>se</w:t>
      </w:r>
      <w:r w:rsidRPr="007910D6">
        <w:rPr>
          <w:spacing w:val="-2"/>
          <w:lang w:val="en-GB"/>
        </w:rPr>
        <w:t xml:space="preserve">d Rita and James Benzacar’s industry contacts to purchase inventory at relatively low cost. Most items were priced between </w:t>
      </w:r>
      <w:r w:rsidR="00C6025C" w:rsidRPr="007910D6">
        <w:rPr>
          <w:spacing w:val="-2"/>
          <w:lang w:val="en-GB"/>
        </w:rPr>
        <w:t>CA</w:t>
      </w:r>
      <w:r w:rsidRPr="007910D6">
        <w:rPr>
          <w:spacing w:val="-2"/>
          <w:lang w:val="en-GB"/>
        </w:rPr>
        <w:t xml:space="preserve">$50 and </w:t>
      </w:r>
      <w:r w:rsidR="00C6025C" w:rsidRPr="007910D6">
        <w:rPr>
          <w:spacing w:val="-2"/>
          <w:lang w:val="en-GB"/>
        </w:rPr>
        <w:t>CA</w:t>
      </w:r>
      <w:r w:rsidRPr="007910D6">
        <w:rPr>
          <w:spacing w:val="-2"/>
          <w:lang w:val="en-GB"/>
        </w:rPr>
        <w:t>$300,</w:t>
      </w:r>
      <w:r w:rsidR="000B57FE" w:rsidRPr="007910D6">
        <w:rPr>
          <w:rStyle w:val="FootnoteReference"/>
          <w:spacing w:val="-2"/>
          <w:lang w:val="en-GB"/>
        </w:rPr>
        <w:footnoteReference w:id="2"/>
      </w:r>
      <w:r w:rsidRPr="007910D6">
        <w:rPr>
          <w:spacing w:val="-2"/>
          <w:lang w:val="en-GB"/>
        </w:rPr>
        <w:t xml:space="preserve"> with the exception of their cashmere lounge sets, which Thursdays designed and manufactured internally (</w:t>
      </w:r>
      <w:r w:rsidR="000B57FE" w:rsidRPr="007910D6">
        <w:rPr>
          <w:spacing w:val="-2"/>
          <w:lang w:val="en-GB"/>
        </w:rPr>
        <w:t>s</w:t>
      </w:r>
      <w:r w:rsidRPr="007910D6">
        <w:rPr>
          <w:spacing w:val="-2"/>
          <w:lang w:val="en-GB"/>
        </w:rPr>
        <w:t xml:space="preserve">ee Exhibit 1). The store featured everything from bright-coloured blazers, cashmere hoodies, simple </w:t>
      </w:r>
      <w:r w:rsidR="000B57FE" w:rsidRPr="007910D6">
        <w:rPr>
          <w:spacing w:val="-2"/>
          <w:lang w:val="en-GB"/>
        </w:rPr>
        <w:t>T</w:t>
      </w:r>
      <w:r w:rsidRPr="007910D6">
        <w:rPr>
          <w:spacing w:val="-2"/>
          <w:lang w:val="en-GB"/>
        </w:rPr>
        <w:t>-shirts</w:t>
      </w:r>
      <w:r w:rsidR="000B57FE" w:rsidRPr="007910D6">
        <w:rPr>
          <w:spacing w:val="-2"/>
          <w:lang w:val="en-GB"/>
        </w:rPr>
        <w:t>,</w:t>
      </w:r>
      <w:r w:rsidRPr="007910D6">
        <w:rPr>
          <w:spacing w:val="-2"/>
          <w:lang w:val="en-GB"/>
        </w:rPr>
        <w:t xml:space="preserve"> and trendy denim. </w:t>
      </w:r>
    </w:p>
    <w:p w14:paraId="46B5A9F1" w14:textId="77777777" w:rsidR="00614898" w:rsidRPr="000075CD" w:rsidRDefault="00614898" w:rsidP="008F0BD9">
      <w:pPr>
        <w:pStyle w:val="BodyTextMain"/>
        <w:rPr>
          <w:lang w:val="en-GB"/>
        </w:rPr>
      </w:pPr>
    </w:p>
    <w:p w14:paraId="424562FC" w14:textId="77777777" w:rsidR="00614898" w:rsidRPr="000075CD" w:rsidRDefault="00614898" w:rsidP="008F0BD9">
      <w:pPr>
        <w:pStyle w:val="BodyTextMain"/>
        <w:rPr>
          <w:lang w:val="en-GB"/>
        </w:rPr>
      </w:pPr>
      <w:r w:rsidRPr="000075CD">
        <w:rPr>
          <w:lang w:val="en-GB"/>
        </w:rPr>
        <w:t>Thursdays’ consumer base was diverse and ranged from 20-year-old trend seekers to baby boomers looking for the coolest new styles. Regardless of age, Thursdays’ customers were loyal and frequented the store regularly to check out the new stock.</w:t>
      </w:r>
    </w:p>
    <w:p w14:paraId="7AF32E9E" w14:textId="77777777" w:rsidR="00614898" w:rsidRPr="000075CD" w:rsidRDefault="00614898" w:rsidP="008F0BD9">
      <w:pPr>
        <w:pStyle w:val="BodyTextMain"/>
        <w:rPr>
          <w:lang w:val="en-GB"/>
        </w:rPr>
      </w:pPr>
    </w:p>
    <w:p w14:paraId="5E5051C4" w14:textId="77777777" w:rsidR="00614898" w:rsidRPr="000075CD" w:rsidRDefault="00614898" w:rsidP="008F0BD9">
      <w:pPr>
        <w:pStyle w:val="BodyTextMain"/>
        <w:rPr>
          <w:lang w:val="en-GB"/>
        </w:rPr>
      </w:pPr>
    </w:p>
    <w:p w14:paraId="4A5DBB79" w14:textId="77777777" w:rsidR="00614898" w:rsidRPr="000075CD" w:rsidRDefault="00614898" w:rsidP="008F0BD9">
      <w:pPr>
        <w:pStyle w:val="Casehead1"/>
        <w:rPr>
          <w:bCs/>
          <w:szCs w:val="24"/>
          <w:lang w:val="en-GB"/>
        </w:rPr>
      </w:pPr>
      <w:r w:rsidRPr="000075CD">
        <w:rPr>
          <w:lang w:val="en-GB"/>
        </w:rPr>
        <w:t>SUMMERHILL, TORONTO</w:t>
      </w:r>
    </w:p>
    <w:p w14:paraId="08EDE0AF" w14:textId="77777777" w:rsidR="00614898" w:rsidRPr="000075CD" w:rsidRDefault="00614898" w:rsidP="008F0BD9">
      <w:pPr>
        <w:pStyle w:val="BodyTextMain"/>
        <w:rPr>
          <w:lang w:val="en-GB"/>
        </w:rPr>
      </w:pPr>
    </w:p>
    <w:p w14:paraId="28D1573E" w14:textId="77777777" w:rsidR="00614898" w:rsidRPr="000075CD" w:rsidRDefault="00614898" w:rsidP="008F0BD9">
      <w:pPr>
        <w:pStyle w:val="BodyTextMain"/>
        <w:rPr>
          <w:lang w:val="en-GB"/>
        </w:rPr>
      </w:pPr>
      <w:r w:rsidRPr="000075CD">
        <w:rPr>
          <w:lang w:val="en-GB"/>
        </w:rPr>
        <w:t>Summerhill was a midtown neighbourhood just north of Toronto’s downtown business and entertainment districts. It was home to an upscale shopping district that included specialty boutiques, coffee shops and beauty and spa services. The average household income in the neighbourhood was $231,639.</w:t>
      </w:r>
      <w:r w:rsidRPr="000075CD">
        <w:rPr>
          <w:rStyle w:val="FootnoteReference"/>
          <w:lang w:val="en-GB"/>
        </w:rPr>
        <w:footnoteReference w:id="3"/>
      </w:r>
      <w:r w:rsidRPr="000075CD">
        <w:rPr>
          <w:lang w:val="en-GB"/>
        </w:rPr>
        <w:t xml:space="preserve"> </w:t>
      </w:r>
    </w:p>
    <w:p w14:paraId="020CABCF" w14:textId="77777777" w:rsidR="00614898" w:rsidRPr="000075CD" w:rsidRDefault="00614898" w:rsidP="008F0BD9">
      <w:pPr>
        <w:pStyle w:val="BodyTextMain"/>
        <w:rPr>
          <w:lang w:val="en-GB"/>
        </w:rPr>
      </w:pPr>
    </w:p>
    <w:p w14:paraId="3B27E636" w14:textId="77777777" w:rsidR="00614898" w:rsidRPr="000075CD" w:rsidRDefault="00614898" w:rsidP="008F0BD9">
      <w:pPr>
        <w:pStyle w:val="BodyTextMain"/>
        <w:rPr>
          <w:lang w:val="en-GB"/>
        </w:rPr>
      </w:pPr>
      <w:r w:rsidRPr="000075CD">
        <w:rPr>
          <w:lang w:val="en-GB"/>
        </w:rPr>
        <w:t>Thursdays’ Summerhill store was its first and most successful distribution channel. It acted as Thursdays’ flagship location and benefited tremendously by being a street-facing retailer on Yonge Street, one of Toronto’s busiest streets.</w:t>
      </w:r>
    </w:p>
    <w:p w14:paraId="04B78070" w14:textId="363BAC40" w:rsidR="00614898" w:rsidRDefault="00614898" w:rsidP="008F0BD9">
      <w:pPr>
        <w:pStyle w:val="BodyTextMain"/>
        <w:rPr>
          <w:lang w:val="en-GB"/>
        </w:rPr>
      </w:pPr>
    </w:p>
    <w:p w14:paraId="2A4BDF01" w14:textId="77777777" w:rsidR="007910D6" w:rsidRPr="000075CD" w:rsidRDefault="007910D6" w:rsidP="008F0BD9">
      <w:pPr>
        <w:pStyle w:val="BodyTextMain"/>
        <w:rPr>
          <w:lang w:val="en-GB"/>
        </w:rPr>
      </w:pPr>
    </w:p>
    <w:p w14:paraId="0151D99E" w14:textId="77777777" w:rsidR="00614898" w:rsidRPr="000075CD" w:rsidRDefault="00614898" w:rsidP="008F0BD9">
      <w:pPr>
        <w:pStyle w:val="Casehead1"/>
        <w:rPr>
          <w:lang w:val="en-GB"/>
        </w:rPr>
      </w:pPr>
      <w:r w:rsidRPr="000075CD">
        <w:rPr>
          <w:lang w:val="en-GB"/>
        </w:rPr>
        <w:lastRenderedPageBreak/>
        <w:t>TRANSITIONING TO A LIFESTYLE BRAND</w:t>
      </w:r>
    </w:p>
    <w:p w14:paraId="3C162FF5" w14:textId="77777777" w:rsidR="00614898" w:rsidRPr="000075CD" w:rsidRDefault="00614898" w:rsidP="008F0BD9">
      <w:pPr>
        <w:pStyle w:val="BodyTextMain"/>
        <w:rPr>
          <w:lang w:val="en-GB"/>
        </w:rPr>
      </w:pPr>
    </w:p>
    <w:p w14:paraId="3A3A8E44" w14:textId="66941FE8" w:rsidR="00614898" w:rsidRPr="000075CD" w:rsidRDefault="00614898" w:rsidP="008F0BD9">
      <w:pPr>
        <w:pStyle w:val="BodyTextMain"/>
        <w:rPr>
          <w:lang w:val="en-GB"/>
        </w:rPr>
      </w:pPr>
      <w:r w:rsidRPr="000075CD">
        <w:rPr>
          <w:lang w:val="en-GB"/>
        </w:rPr>
        <w:t>In November 2018, after three years of running Thursdays’ Yonge Street location, Piltz decided to launch an online store. The website featured online exclusive pieces that would attract in-store shoppers to visit and browse the site. Piltz was able to design and build an in-house photo studio to easily shoot new merchandise and hired an online manager to edit, copyright</w:t>
      </w:r>
      <w:r w:rsidR="000B57FE">
        <w:rPr>
          <w:lang w:val="en-GB"/>
        </w:rPr>
        <w:t>,</w:t>
      </w:r>
      <w:r w:rsidRPr="000075CD">
        <w:rPr>
          <w:lang w:val="en-GB"/>
        </w:rPr>
        <w:t xml:space="preserve"> and upload all content to the website within minutes of shooting. Piltz modelled all the clothes herself.</w:t>
      </w:r>
    </w:p>
    <w:p w14:paraId="737097D9" w14:textId="77777777" w:rsidR="00614898" w:rsidRPr="000075CD" w:rsidRDefault="00614898" w:rsidP="008F0BD9">
      <w:pPr>
        <w:pStyle w:val="BodyTextMain"/>
        <w:rPr>
          <w:lang w:val="en-GB"/>
        </w:rPr>
      </w:pPr>
    </w:p>
    <w:p w14:paraId="417E552C" w14:textId="6D126639" w:rsidR="00614898" w:rsidRPr="007910D6" w:rsidRDefault="00614898" w:rsidP="008F0BD9">
      <w:pPr>
        <w:pStyle w:val="BodyTextMain"/>
        <w:rPr>
          <w:spacing w:val="-2"/>
          <w:lang w:val="en-GB"/>
        </w:rPr>
      </w:pPr>
      <w:r w:rsidRPr="007910D6">
        <w:rPr>
          <w:spacing w:val="-2"/>
          <w:lang w:val="en-GB"/>
        </w:rPr>
        <w:t>Thursdays also began to actively engage on its Instagram page, @</w:t>
      </w:r>
      <w:proofErr w:type="spellStart"/>
      <w:r w:rsidRPr="007910D6">
        <w:rPr>
          <w:spacing w:val="-2"/>
          <w:lang w:val="en-GB"/>
        </w:rPr>
        <w:t>shopthursdays</w:t>
      </w:r>
      <w:proofErr w:type="spellEnd"/>
      <w:r w:rsidR="00843844" w:rsidRPr="007910D6">
        <w:rPr>
          <w:spacing w:val="-2"/>
          <w:lang w:val="en-GB"/>
        </w:rPr>
        <w:t xml:space="preserve">, and </w:t>
      </w:r>
      <w:r w:rsidRPr="007910D6">
        <w:rPr>
          <w:spacing w:val="-2"/>
          <w:lang w:val="en-GB"/>
        </w:rPr>
        <w:t>would feature new arrivals, restocked items</w:t>
      </w:r>
      <w:r w:rsidR="000B57FE" w:rsidRPr="007910D6">
        <w:rPr>
          <w:spacing w:val="-2"/>
          <w:lang w:val="en-GB"/>
        </w:rPr>
        <w:t>,</w:t>
      </w:r>
      <w:r w:rsidRPr="007910D6">
        <w:rPr>
          <w:spacing w:val="-2"/>
          <w:lang w:val="en-GB"/>
        </w:rPr>
        <w:t xml:space="preserve"> and photos of customers wearing Thursdays’ merchandise. </w:t>
      </w:r>
      <w:r w:rsidR="00843844" w:rsidRPr="007910D6">
        <w:rPr>
          <w:spacing w:val="-2"/>
          <w:lang w:val="en-GB"/>
        </w:rPr>
        <w:t>The boutique</w:t>
      </w:r>
      <w:r w:rsidRPr="007910D6">
        <w:rPr>
          <w:spacing w:val="-2"/>
          <w:lang w:val="en-GB"/>
        </w:rPr>
        <w:t xml:space="preserve"> also began featuring Piltz and her mother styling the clothes and going on buying trips to source new brands. Piltz started to slowly use Instagram influencers as a means to promote the Thursdays brand.</w:t>
      </w:r>
      <w:r w:rsidRPr="007910D6">
        <w:rPr>
          <w:rStyle w:val="FootnoteReference"/>
          <w:spacing w:val="-2"/>
          <w:lang w:val="en-GB"/>
        </w:rPr>
        <w:footnoteReference w:id="4"/>
      </w:r>
      <w:r w:rsidRPr="007910D6">
        <w:rPr>
          <w:spacing w:val="-2"/>
          <w:lang w:val="en-GB"/>
        </w:rPr>
        <w:t xml:space="preserve"> She would gift influencers free merchandise in hopes of them sharing and promoting Thursdays to their respective followings.</w:t>
      </w:r>
      <w:r w:rsidR="000075CD" w:rsidRPr="007910D6">
        <w:rPr>
          <w:spacing w:val="-2"/>
          <w:lang w:val="en-GB"/>
        </w:rPr>
        <w:t xml:space="preserve"> </w:t>
      </w:r>
    </w:p>
    <w:p w14:paraId="26963DD8" w14:textId="77777777" w:rsidR="00614898" w:rsidRPr="000075CD" w:rsidRDefault="00614898" w:rsidP="008F0BD9">
      <w:pPr>
        <w:pStyle w:val="BodyTextMain"/>
        <w:rPr>
          <w:lang w:val="en-GB"/>
        </w:rPr>
      </w:pPr>
    </w:p>
    <w:p w14:paraId="6CCF5E88" w14:textId="75E891DD" w:rsidR="00614898" w:rsidRPr="000075CD" w:rsidRDefault="00614898" w:rsidP="008F0BD9">
      <w:pPr>
        <w:pStyle w:val="BodyTextMain"/>
        <w:rPr>
          <w:lang w:val="en-GB"/>
        </w:rPr>
      </w:pPr>
      <w:r w:rsidRPr="000075CD">
        <w:rPr>
          <w:lang w:val="en-GB"/>
        </w:rPr>
        <w:t xml:space="preserve">Piltz was able to begin to transition the </w:t>
      </w:r>
      <w:proofErr w:type="gramStart"/>
      <w:r w:rsidRPr="000075CD">
        <w:rPr>
          <w:lang w:val="en-GB"/>
        </w:rPr>
        <w:t>Thursdays</w:t>
      </w:r>
      <w:proofErr w:type="gramEnd"/>
      <w:r w:rsidRPr="000075CD">
        <w:rPr>
          <w:lang w:val="en-GB"/>
        </w:rPr>
        <w:t xml:space="preserve"> boutique into a lifestyle brand, incorporating the use of the hashtag #</w:t>
      </w:r>
      <w:proofErr w:type="spellStart"/>
      <w:r w:rsidRPr="000075CD">
        <w:rPr>
          <w:lang w:val="en-GB"/>
        </w:rPr>
        <w:t>everydaygirl</w:t>
      </w:r>
      <w:proofErr w:type="spellEnd"/>
      <w:r w:rsidRPr="000075CD">
        <w:rPr>
          <w:lang w:val="en-GB"/>
        </w:rPr>
        <w:t xml:space="preserve"> as a symbol to embody the values, interests</w:t>
      </w:r>
      <w:r w:rsidR="00843844">
        <w:rPr>
          <w:lang w:val="en-GB"/>
        </w:rPr>
        <w:t>,</w:t>
      </w:r>
      <w:r w:rsidRPr="000075CD">
        <w:rPr>
          <w:lang w:val="en-GB"/>
        </w:rPr>
        <w:t xml:space="preserve"> and attitudes of the Thursdays consumer.</w:t>
      </w:r>
      <w:r w:rsidRPr="000075CD">
        <w:rPr>
          <w:rStyle w:val="FootnoteReference"/>
          <w:lang w:val="en-GB"/>
        </w:rPr>
        <w:footnoteReference w:id="5"/>
      </w:r>
      <w:r w:rsidRPr="000075CD">
        <w:rPr>
          <w:lang w:val="en-GB"/>
        </w:rPr>
        <w:t xml:space="preserve"> As of June 2020, the @shopthursdays Instagram account had reached </w:t>
      </w:r>
      <w:r w:rsidR="000B57FE">
        <w:rPr>
          <w:lang w:val="en-GB"/>
        </w:rPr>
        <w:t>more than</w:t>
      </w:r>
      <w:r w:rsidR="000B57FE" w:rsidRPr="000075CD">
        <w:rPr>
          <w:lang w:val="en-GB"/>
        </w:rPr>
        <w:t xml:space="preserve"> </w:t>
      </w:r>
      <w:r w:rsidRPr="000075CD">
        <w:rPr>
          <w:lang w:val="en-GB"/>
        </w:rPr>
        <w:t xml:space="preserve">12,000 followers and was growing rapidly. </w:t>
      </w:r>
      <w:r w:rsidR="006C5385">
        <w:rPr>
          <w:lang w:val="en-GB"/>
        </w:rPr>
        <w:t>One</w:t>
      </w:r>
      <w:r w:rsidRPr="000075CD">
        <w:rPr>
          <w:lang w:val="en-GB"/>
        </w:rPr>
        <w:t xml:space="preserve"> of Piltz’s professional goals </w:t>
      </w:r>
      <w:r w:rsidR="006C5385">
        <w:rPr>
          <w:lang w:val="en-GB"/>
        </w:rPr>
        <w:t xml:space="preserve">was </w:t>
      </w:r>
      <w:r w:rsidRPr="000075CD">
        <w:rPr>
          <w:lang w:val="en-GB"/>
        </w:rPr>
        <w:t xml:space="preserve">for the Thursdays account to reach </w:t>
      </w:r>
      <w:r w:rsidR="000B57FE">
        <w:rPr>
          <w:lang w:val="en-GB"/>
        </w:rPr>
        <w:t>more than</w:t>
      </w:r>
      <w:r w:rsidR="000B57FE" w:rsidRPr="000075CD">
        <w:rPr>
          <w:lang w:val="en-GB"/>
        </w:rPr>
        <w:t xml:space="preserve"> </w:t>
      </w:r>
      <w:r w:rsidRPr="000075CD">
        <w:rPr>
          <w:lang w:val="en-GB"/>
        </w:rPr>
        <w:t xml:space="preserve">20,000 followers by the end of 2020. </w:t>
      </w:r>
    </w:p>
    <w:p w14:paraId="6A6A8A27" w14:textId="77777777" w:rsidR="00614898" w:rsidRPr="000075CD" w:rsidRDefault="00614898" w:rsidP="008F0BD9">
      <w:pPr>
        <w:pStyle w:val="BodyTextMain"/>
        <w:rPr>
          <w:lang w:val="en-GB"/>
        </w:rPr>
      </w:pPr>
    </w:p>
    <w:p w14:paraId="1442F906" w14:textId="77777777" w:rsidR="00614898" w:rsidRPr="000075CD" w:rsidRDefault="00614898" w:rsidP="008F0BD9">
      <w:pPr>
        <w:pStyle w:val="BodyTextMain"/>
        <w:rPr>
          <w:lang w:val="en-GB"/>
        </w:rPr>
      </w:pPr>
    </w:p>
    <w:p w14:paraId="68582282" w14:textId="7FA451EF" w:rsidR="00614898" w:rsidRPr="000075CD" w:rsidRDefault="006C5385" w:rsidP="008F0BD9">
      <w:pPr>
        <w:pStyle w:val="Casehead1"/>
        <w:rPr>
          <w:lang w:val="en-GB"/>
        </w:rPr>
      </w:pPr>
      <w:r>
        <w:rPr>
          <w:lang w:val="en-GB"/>
        </w:rPr>
        <w:t xml:space="preserve">The </w:t>
      </w:r>
      <w:r w:rsidR="00614898" w:rsidRPr="000075CD">
        <w:rPr>
          <w:lang w:val="en-GB"/>
        </w:rPr>
        <w:t>EXCHANGE TOWER STORE</w:t>
      </w:r>
    </w:p>
    <w:p w14:paraId="1830D26F" w14:textId="77777777" w:rsidR="00614898" w:rsidRPr="000075CD" w:rsidRDefault="00614898" w:rsidP="008F0BD9">
      <w:pPr>
        <w:pStyle w:val="BodyTextMain"/>
        <w:rPr>
          <w:lang w:val="en-GB"/>
        </w:rPr>
      </w:pPr>
    </w:p>
    <w:p w14:paraId="2405B3CF" w14:textId="43C5EB6A" w:rsidR="00614898" w:rsidRPr="000075CD" w:rsidRDefault="00614898" w:rsidP="008F0BD9">
      <w:pPr>
        <w:pStyle w:val="BodyTextMain"/>
        <w:rPr>
          <w:lang w:val="en-GB"/>
        </w:rPr>
      </w:pPr>
      <w:r w:rsidRPr="000075CD">
        <w:rPr>
          <w:lang w:val="en-GB"/>
        </w:rPr>
        <w:t xml:space="preserve">In mid-2019, Thursdays </w:t>
      </w:r>
      <w:r w:rsidR="006C5385">
        <w:rPr>
          <w:lang w:val="en-GB"/>
        </w:rPr>
        <w:t xml:space="preserve">had </w:t>
      </w:r>
      <w:r w:rsidRPr="000075CD">
        <w:rPr>
          <w:lang w:val="en-GB"/>
        </w:rPr>
        <w:t>opened its second brick</w:t>
      </w:r>
      <w:r w:rsidR="000B57FE">
        <w:rPr>
          <w:lang w:val="en-GB"/>
        </w:rPr>
        <w:t>-</w:t>
      </w:r>
      <w:r w:rsidRPr="000075CD">
        <w:rPr>
          <w:lang w:val="en-GB"/>
        </w:rPr>
        <w:t>and</w:t>
      </w:r>
      <w:r w:rsidR="000B57FE">
        <w:rPr>
          <w:lang w:val="en-GB"/>
        </w:rPr>
        <w:t>-</w:t>
      </w:r>
      <w:r w:rsidRPr="000075CD">
        <w:rPr>
          <w:lang w:val="en-GB"/>
        </w:rPr>
        <w:t>mortar location in the concourse level of the Exchange Tower, located in downtown Toronto</w:t>
      </w:r>
      <w:r w:rsidR="000B57FE">
        <w:rPr>
          <w:lang w:val="en-GB"/>
        </w:rPr>
        <w:t>’s financial district</w:t>
      </w:r>
      <w:r w:rsidRPr="000075CD">
        <w:rPr>
          <w:lang w:val="en-GB"/>
        </w:rPr>
        <w:t>. The Exchange Tower</w:t>
      </w:r>
      <w:r w:rsidR="000B57FE">
        <w:rPr>
          <w:lang w:val="en-GB"/>
        </w:rPr>
        <w:t>,</w:t>
      </w:r>
      <w:r w:rsidRPr="000075CD">
        <w:rPr>
          <w:lang w:val="en-GB"/>
        </w:rPr>
        <w:t xml:space="preserve"> home to the Toronto Stock Exchange</w:t>
      </w:r>
      <w:r w:rsidR="000B57FE">
        <w:rPr>
          <w:lang w:val="en-GB"/>
        </w:rPr>
        <w:t>,</w:t>
      </w:r>
      <w:r w:rsidRPr="000075CD">
        <w:rPr>
          <w:lang w:val="en-GB"/>
        </w:rPr>
        <w:t xml:space="preserve"> was a 36-storey corporate building that provided Toronto’s financial services industry convenient access to an array of shops and services.</w:t>
      </w:r>
      <w:r w:rsidRPr="000075CD">
        <w:rPr>
          <w:rStyle w:val="FootnoteReference"/>
          <w:lang w:val="en-GB"/>
        </w:rPr>
        <w:footnoteReference w:id="6"/>
      </w:r>
      <w:r w:rsidRPr="000075CD">
        <w:rPr>
          <w:lang w:val="en-GB"/>
        </w:rPr>
        <w:t xml:space="preserve"> The tower linked to several neighbouring properties and transit via the underground PATH system, a walkway that accommodated more than 200,000 commuters, residents</w:t>
      </w:r>
      <w:r w:rsidR="000B57FE">
        <w:rPr>
          <w:lang w:val="en-GB"/>
        </w:rPr>
        <w:t>,</w:t>
      </w:r>
      <w:r w:rsidRPr="000075CD">
        <w:rPr>
          <w:lang w:val="en-GB"/>
        </w:rPr>
        <w:t xml:space="preserve"> and tourists each day.</w:t>
      </w:r>
      <w:r w:rsidRPr="000075CD">
        <w:rPr>
          <w:rStyle w:val="FootnoteReference"/>
          <w:lang w:val="en-GB"/>
        </w:rPr>
        <w:footnoteReference w:id="7"/>
      </w:r>
      <w:r w:rsidRPr="000075CD">
        <w:rPr>
          <w:lang w:val="en-GB"/>
        </w:rPr>
        <w:t xml:space="preserve"> </w:t>
      </w:r>
    </w:p>
    <w:p w14:paraId="09CFCA9E" w14:textId="77777777" w:rsidR="00614898" w:rsidRPr="000075CD" w:rsidRDefault="00614898" w:rsidP="008F0BD9">
      <w:pPr>
        <w:pStyle w:val="BodyTextMain"/>
        <w:rPr>
          <w:lang w:val="en-GB"/>
        </w:rPr>
      </w:pPr>
    </w:p>
    <w:p w14:paraId="039CCEA4" w14:textId="77777777" w:rsidR="00614898" w:rsidRPr="000075CD" w:rsidRDefault="00614898" w:rsidP="008F0BD9">
      <w:pPr>
        <w:pStyle w:val="BodyTextMain"/>
        <w:rPr>
          <w:lang w:val="en-GB"/>
        </w:rPr>
      </w:pPr>
      <w:r w:rsidRPr="000075CD">
        <w:rPr>
          <w:lang w:val="en-GB"/>
        </w:rPr>
        <w:t xml:space="preserve">After the opening of their second location, Piltz and her co-founders began facing difficulties allocating inventory between their now three distribution channels. With no prior experience operating an online shop, Piltz struggled to find a system that would effectively transfer inventory between the two physical stores and the online store in an attempt to optimize sales. </w:t>
      </w:r>
    </w:p>
    <w:p w14:paraId="04E939D0" w14:textId="50AC9A04" w:rsidR="00614898" w:rsidRPr="000075CD" w:rsidRDefault="00614898" w:rsidP="008F0BD9">
      <w:pPr>
        <w:pStyle w:val="BodyTextMain"/>
        <w:rPr>
          <w:lang w:val="en-GB"/>
        </w:rPr>
      </w:pPr>
    </w:p>
    <w:p w14:paraId="089D78DA" w14:textId="77777777" w:rsidR="008F0BD9" w:rsidRPr="000075CD" w:rsidRDefault="008F0BD9" w:rsidP="008F0BD9">
      <w:pPr>
        <w:pStyle w:val="BodyTextMain"/>
        <w:rPr>
          <w:lang w:val="en-GB"/>
        </w:rPr>
      </w:pPr>
    </w:p>
    <w:p w14:paraId="025B9C82" w14:textId="77777777" w:rsidR="00614898" w:rsidRPr="000075CD" w:rsidRDefault="00614898" w:rsidP="00FB7A78">
      <w:pPr>
        <w:pStyle w:val="Casehead1"/>
        <w:keepNext/>
        <w:rPr>
          <w:lang w:val="en-GB"/>
        </w:rPr>
      </w:pPr>
      <w:r w:rsidRPr="000075CD">
        <w:rPr>
          <w:lang w:val="en-GB"/>
        </w:rPr>
        <w:t>COVID-19</w:t>
      </w:r>
    </w:p>
    <w:p w14:paraId="0F8FE6B2" w14:textId="77777777" w:rsidR="00614898" w:rsidRPr="000075CD" w:rsidRDefault="00614898" w:rsidP="00FB7A78">
      <w:pPr>
        <w:pStyle w:val="BodyTextMain"/>
        <w:keepNext/>
        <w:rPr>
          <w:lang w:val="en-GB"/>
        </w:rPr>
      </w:pPr>
    </w:p>
    <w:p w14:paraId="1E91E860" w14:textId="42766649" w:rsidR="00614898" w:rsidRPr="000075CD" w:rsidRDefault="00614898" w:rsidP="005B1A8E">
      <w:pPr>
        <w:pStyle w:val="BodyTextMain"/>
        <w:keepNext/>
        <w:rPr>
          <w:lang w:val="en-GB"/>
        </w:rPr>
      </w:pPr>
      <w:r w:rsidRPr="000075CD">
        <w:rPr>
          <w:lang w:val="en-GB"/>
        </w:rPr>
        <w:t xml:space="preserve">On March 11, 2020, the World Health Organization declared </w:t>
      </w:r>
      <w:r w:rsidR="000B57FE">
        <w:rPr>
          <w:lang w:val="en-GB"/>
        </w:rPr>
        <w:t>COVID</w:t>
      </w:r>
      <w:r w:rsidRPr="000075CD">
        <w:rPr>
          <w:lang w:val="en-GB"/>
        </w:rPr>
        <w:t xml:space="preserve">-19 </w:t>
      </w:r>
      <w:r w:rsidR="000B57FE">
        <w:rPr>
          <w:lang w:val="en-GB"/>
        </w:rPr>
        <w:t xml:space="preserve">to be </w:t>
      </w:r>
      <w:r w:rsidRPr="000075CD">
        <w:rPr>
          <w:lang w:val="en-GB"/>
        </w:rPr>
        <w:t xml:space="preserve">a global pandemic. By the end </w:t>
      </w:r>
      <w:r w:rsidR="000B57FE">
        <w:rPr>
          <w:lang w:val="en-GB"/>
        </w:rPr>
        <w:t xml:space="preserve">of </w:t>
      </w:r>
      <w:r w:rsidRPr="000075CD">
        <w:rPr>
          <w:lang w:val="en-GB"/>
        </w:rPr>
        <w:t xml:space="preserve">May 2020, </w:t>
      </w:r>
      <w:r w:rsidR="000B57FE">
        <w:rPr>
          <w:lang w:val="en-GB"/>
        </w:rPr>
        <w:t>nearly</w:t>
      </w:r>
      <w:r w:rsidRPr="000075CD">
        <w:rPr>
          <w:lang w:val="en-GB"/>
        </w:rPr>
        <w:t xml:space="preserve"> 5</w:t>
      </w:r>
      <w:r w:rsidR="000B57FE">
        <w:rPr>
          <w:lang w:val="en-GB"/>
        </w:rPr>
        <w:t xml:space="preserve"> million</w:t>
      </w:r>
      <w:r w:rsidRPr="000075CD">
        <w:rPr>
          <w:lang w:val="en-GB"/>
        </w:rPr>
        <w:t xml:space="preserve"> </w:t>
      </w:r>
      <w:r w:rsidR="000B57FE">
        <w:rPr>
          <w:lang w:val="en-GB"/>
        </w:rPr>
        <w:t xml:space="preserve">positive </w:t>
      </w:r>
      <w:r w:rsidRPr="000075CD">
        <w:rPr>
          <w:lang w:val="en-GB"/>
        </w:rPr>
        <w:t xml:space="preserve">cases of </w:t>
      </w:r>
      <w:r w:rsidR="000B57FE">
        <w:rPr>
          <w:lang w:val="en-GB"/>
        </w:rPr>
        <w:t>COVID</w:t>
      </w:r>
      <w:r w:rsidRPr="000075CD">
        <w:rPr>
          <w:lang w:val="en-GB"/>
        </w:rPr>
        <w:t xml:space="preserve">-19 </w:t>
      </w:r>
      <w:r w:rsidR="000B57FE">
        <w:rPr>
          <w:lang w:val="en-GB"/>
        </w:rPr>
        <w:t xml:space="preserve">had been confirmed </w:t>
      </w:r>
      <w:r w:rsidRPr="000075CD">
        <w:rPr>
          <w:lang w:val="en-GB"/>
        </w:rPr>
        <w:t>worldwide, 83,000 in Canada.</w:t>
      </w:r>
      <w:r w:rsidRPr="000075CD">
        <w:rPr>
          <w:rStyle w:val="FootnoteReference"/>
          <w:lang w:val="en-GB"/>
        </w:rPr>
        <w:footnoteReference w:id="8"/>
      </w:r>
      <w:r w:rsidRPr="000075CD">
        <w:rPr>
          <w:lang w:val="en-GB"/>
        </w:rPr>
        <w:t xml:space="preserve"> The virus was spread through respiratory droplets from coughs and sneezes within a </w:t>
      </w:r>
      <w:r w:rsidR="00C60D53">
        <w:rPr>
          <w:lang w:val="en-GB"/>
        </w:rPr>
        <w:t>six-</w:t>
      </w:r>
      <w:r w:rsidRPr="000075CD">
        <w:rPr>
          <w:lang w:val="en-GB"/>
        </w:rPr>
        <w:t xml:space="preserve">foot </w:t>
      </w:r>
      <w:r w:rsidR="00C60D53">
        <w:rPr>
          <w:lang w:val="en-GB"/>
        </w:rPr>
        <w:t>(</w:t>
      </w:r>
      <w:r w:rsidR="006C5385">
        <w:rPr>
          <w:lang w:val="en-GB"/>
        </w:rPr>
        <w:t>two</w:t>
      </w:r>
      <w:r w:rsidR="00C60D53">
        <w:rPr>
          <w:lang w:val="en-GB"/>
        </w:rPr>
        <w:t xml:space="preserve">-metre) </w:t>
      </w:r>
      <w:r w:rsidRPr="000075CD">
        <w:rPr>
          <w:lang w:val="en-GB"/>
        </w:rPr>
        <w:t>range.</w:t>
      </w:r>
      <w:r w:rsidRPr="000075CD">
        <w:rPr>
          <w:rStyle w:val="FootnoteReference"/>
          <w:lang w:val="en-GB"/>
        </w:rPr>
        <w:footnoteReference w:id="9"/>
      </w:r>
      <w:r w:rsidRPr="000075CD">
        <w:rPr>
          <w:lang w:val="en-GB"/>
        </w:rPr>
        <w:t xml:space="preserve"> The quickened increase in the number of Canadian cases and the ease of transmission </w:t>
      </w:r>
      <w:r w:rsidRPr="000075CD">
        <w:rPr>
          <w:lang w:val="en-GB"/>
        </w:rPr>
        <w:lastRenderedPageBreak/>
        <w:t>triggered companies across Canada to mandate work-from-home protocols to keep employees protected.</w:t>
      </w:r>
      <w:r w:rsidRPr="000075CD">
        <w:rPr>
          <w:rStyle w:val="FootnoteReference"/>
          <w:lang w:val="en-GB"/>
        </w:rPr>
        <w:footnoteReference w:id="10"/>
      </w:r>
      <w:r w:rsidR="005B1A8E">
        <w:rPr>
          <w:lang w:val="en-GB"/>
        </w:rPr>
        <w:t xml:space="preserve"> </w:t>
      </w:r>
      <w:r w:rsidRPr="000075CD">
        <w:rPr>
          <w:lang w:val="en-GB"/>
        </w:rPr>
        <w:t xml:space="preserve">On March 24, 2020, Doug Ford, the </w:t>
      </w:r>
      <w:r w:rsidR="00843844">
        <w:rPr>
          <w:lang w:val="en-GB"/>
        </w:rPr>
        <w:t>p</w:t>
      </w:r>
      <w:r w:rsidRPr="000075CD">
        <w:rPr>
          <w:lang w:val="en-GB"/>
        </w:rPr>
        <w:t>remier of Ontario, ordered all non-essential stores and services to close down.</w:t>
      </w:r>
      <w:r w:rsidRPr="000075CD">
        <w:rPr>
          <w:rStyle w:val="FootnoteReference"/>
          <w:lang w:val="en-GB"/>
        </w:rPr>
        <w:footnoteReference w:id="11"/>
      </w:r>
      <w:r w:rsidRPr="000075CD">
        <w:rPr>
          <w:lang w:val="en-GB"/>
        </w:rPr>
        <w:t xml:space="preserve"> As such, Thursdays closed both its Yonge Street and Exchange Tower locations and resorted to its online </w:t>
      </w:r>
      <w:r w:rsidR="006C5385">
        <w:rPr>
          <w:lang w:val="en-GB"/>
        </w:rPr>
        <w:t>store</w:t>
      </w:r>
      <w:r w:rsidR="006C5385" w:rsidRPr="000075CD">
        <w:rPr>
          <w:lang w:val="en-GB"/>
        </w:rPr>
        <w:t xml:space="preserve"> </w:t>
      </w:r>
      <w:r w:rsidRPr="000075CD">
        <w:rPr>
          <w:lang w:val="en-GB"/>
        </w:rPr>
        <w:t xml:space="preserve">for all sales. </w:t>
      </w:r>
    </w:p>
    <w:p w14:paraId="5E8C6DB6" w14:textId="77777777" w:rsidR="00614898" w:rsidRPr="000075CD" w:rsidRDefault="00614898" w:rsidP="008F0BD9">
      <w:pPr>
        <w:pStyle w:val="BodyTextMain"/>
        <w:rPr>
          <w:lang w:val="en-GB"/>
        </w:rPr>
      </w:pPr>
    </w:p>
    <w:p w14:paraId="4C59B9DB" w14:textId="77777777" w:rsidR="00614898" w:rsidRPr="000075CD" w:rsidRDefault="00614898" w:rsidP="008F0BD9">
      <w:pPr>
        <w:pStyle w:val="BodyTextMain"/>
        <w:rPr>
          <w:lang w:val="en-GB"/>
        </w:rPr>
      </w:pPr>
    </w:p>
    <w:p w14:paraId="293BDF20" w14:textId="0A988294" w:rsidR="00614898" w:rsidRPr="000075CD" w:rsidRDefault="006C5385" w:rsidP="008F0BD9">
      <w:pPr>
        <w:pStyle w:val="Casehead1"/>
        <w:rPr>
          <w:lang w:val="en-GB"/>
        </w:rPr>
      </w:pPr>
      <w:r>
        <w:rPr>
          <w:lang w:val="en-GB"/>
        </w:rPr>
        <w:t xml:space="preserve">the canadian </w:t>
      </w:r>
      <w:r w:rsidR="00614898" w:rsidRPr="000075CD">
        <w:rPr>
          <w:lang w:val="en-GB"/>
        </w:rPr>
        <w:t>WOMENSWEAR RETAIL INDUSTRY</w:t>
      </w:r>
    </w:p>
    <w:p w14:paraId="78EB9CEC" w14:textId="77777777" w:rsidR="00614898" w:rsidRPr="000075CD" w:rsidRDefault="00614898" w:rsidP="008F0BD9">
      <w:pPr>
        <w:pStyle w:val="BodyTextMain"/>
        <w:rPr>
          <w:lang w:val="en-GB"/>
        </w:rPr>
      </w:pPr>
    </w:p>
    <w:p w14:paraId="01F002D3" w14:textId="3D34956B" w:rsidR="00614898" w:rsidRPr="000075CD" w:rsidRDefault="00614898" w:rsidP="008F0BD9">
      <w:pPr>
        <w:pStyle w:val="BodyTextMain"/>
        <w:rPr>
          <w:lang w:val="en-GB"/>
        </w:rPr>
      </w:pPr>
      <w:r w:rsidRPr="000075CD">
        <w:rPr>
          <w:lang w:val="en-GB"/>
        </w:rPr>
        <w:t xml:space="preserve">Before the </w:t>
      </w:r>
      <w:r w:rsidR="00C60D53" w:rsidRPr="000075CD">
        <w:rPr>
          <w:lang w:val="en-GB"/>
        </w:rPr>
        <w:t>C</w:t>
      </w:r>
      <w:r w:rsidR="00C60D53">
        <w:rPr>
          <w:lang w:val="en-GB"/>
        </w:rPr>
        <w:t>OVID</w:t>
      </w:r>
      <w:r w:rsidRPr="000075CD">
        <w:rPr>
          <w:lang w:val="en-GB"/>
        </w:rPr>
        <w:t>-19 pandemic hit Canada, many high-end women’s clothing stores were expected to benefit from an increase in the number of high-income households that demanded premium clothing brands.</w:t>
      </w:r>
      <w:r w:rsidRPr="000075CD">
        <w:rPr>
          <w:rStyle w:val="FootnoteReference"/>
          <w:lang w:val="en-GB"/>
        </w:rPr>
        <w:footnoteReference w:id="12"/>
      </w:r>
      <w:r w:rsidRPr="000075CD">
        <w:rPr>
          <w:lang w:val="en-GB"/>
        </w:rPr>
        <w:t xml:space="preserve"> As more Canadian women relied on online channels for their purchases, more clothing stores were expected to increase their online presence as a complement to their brick</w:t>
      </w:r>
      <w:r w:rsidR="00C60D53">
        <w:rPr>
          <w:lang w:val="en-GB"/>
        </w:rPr>
        <w:t>-</w:t>
      </w:r>
      <w:r w:rsidRPr="000075CD">
        <w:rPr>
          <w:lang w:val="en-GB"/>
        </w:rPr>
        <w:t>and</w:t>
      </w:r>
      <w:r w:rsidR="00C60D53">
        <w:rPr>
          <w:lang w:val="en-GB"/>
        </w:rPr>
        <w:t>-</w:t>
      </w:r>
      <w:r w:rsidRPr="000075CD">
        <w:rPr>
          <w:lang w:val="en-GB"/>
        </w:rPr>
        <w:t>mortar stores.</w:t>
      </w:r>
      <w:r w:rsidRPr="000075CD">
        <w:rPr>
          <w:rStyle w:val="FootnoteReference"/>
          <w:lang w:val="en-GB"/>
        </w:rPr>
        <w:footnoteReference w:id="13"/>
      </w:r>
    </w:p>
    <w:p w14:paraId="6FA8FA25" w14:textId="77777777" w:rsidR="00614898" w:rsidRPr="000075CD" w:rsidRDefault="00614898" w:rsidP="008F0BD9">
      <w:pPr>
        <w:pStyle w:val="BodyTextMain"/>
        <w:rPr>
          <w:lang w:val="en-GB"/>
        </w:rPr>
      </w:pPr>
    </w:p>
    <w:p w14:paraId="40913EB3" w14:textId="05A7C571" w:rsidR="00614898" w:rsidRPr="000075CD" w:rsidRDefault="00614898" w:rsidP="008F0BD9">
      <w:pPr>
        <w:pStyle w:val="BodyTextMain"/>
        <w:rPr>
          <w:lang w:val="en-GB"/>
        </w:rPr>
      </w:pPr>
      <w:r w:rsidRPr="000075CD">
        <w:rPr>
          <w:lang w:val="en-GB"/>
        </w:rPr>
        <w:t>The global pandemic caused the entire world’s economy to shut down, dramatically increasing the Canadian unemployment rate to 13 per cent as of April 2020.</w:t>
      </w:r>
      <w:r w:rsidRPr="000075CD">
        <w:rPr>
          <w:rStyle w:val="FootnoteReference"/>
          <w:lang w:val="en-GB"/>
        </w:rPr>
        <w:footnoteReference w:id="14"/>
      </w:r>
      <w:r w:rsidRPr="000075CD">
        <w:rPr>
          <w:lang w:val="en-GB"/>
        </w:rPr>
        <w:t xml:space="preserve"> Retailers that </w:t>
      </w:r>
      <w:r w:rsidR="00C60D53">
        <w:rPr>
          <w:lang w:val="en-GB"/>
        </w:rPr>
        <w:t>had</w:t>
      </w:r>
      <w:r w:rsidRPr="000075CD">
        <w:rPr>
          <w:lang w:val="en-GB"/>
        </w:rPr>
        <w:t xml:space="preserve"> stay</w:t>
      </w:r>
      <w:r w:rsidR="00C60D53">
        <w:rPr>
          <w:lang w:val="en-GB"/>
        </w:rPr>
        <w:t>ed</w:t>
      </w:r>
      <w:r w:rsidRPr="000075CD">
        <w:rPr>
          <w:lang w:val="en-GB"/>
        </w:rPr>
        <w:t xml:space="preserve"> engaged with their clients in a personalized way were able to establish </w:t>
      </w:r>
      <w:r w:rsidR="006C5385">
        <w:rPr>
          <w:lang w:val="en-GB"/>
        </w:rPr>
        <w:t xml:space="preserve">a base of </w:t>
      </w:r>
      <w:r w:rsidRPr="000075CD">
        <w:rPr>
          <w:lang w:val="en-GB"/>
        </w:rPr>
        <w:t>loyal customer</w:t>
      </w:r>
      <w:r w:rsidR="00C60D53">
        <w:rPr>
          <w:lang w:val="en-GB"/>
        </w:rPr>
        <w:t>s</w:t>
      </w:r>
      <w:r w:rsidRPr="000075CD">
        <w:rPr>
          <w:lang w:val="en-GB"/>
        </w:rPr>
        <w:t xml:space="preserve"> who would continue to spend</w:t>
      </w:r>
      <w:r w:rsidR="00C60D53">
        <w:rPr>
          <w:lang w:val="en-GB"/>
        </w:rPr>
        <w:t>,</w:t>
      </w:r>
      <w:r w:rsidRPr="000075CD">
        <w:rPr>
          <w:lang w:val="en-GB"/>
        </w:rPr>
        <w:t xml:space="preserve"> even in an economic downturn.</w:t>
      </w:r>
      <w:r w:rsidRPr="000075CD">
        <w:rPr>
          <w:rStyle w:val="FootnoteReference"/>
          <w:lang w:val="en-GB"/>
        </w:rPr>
        <w:footnoteReference w:id="15"/>
      </w:r>
      <w:r w:rsidRPr="000075CD">
        <w:rPr>
          <w:lang w:val="en-GB"/>
        </w:rPr>
        <w:t xml:space="preserve"> Discounts, promotions</w:t>
      </w:r>
      <w:r w:rsidR="00843844">
        <w:rPr>
          <w:lang w:val="en-GB"/>
        </w:rPr>
        <w:t>,</w:t>
      </w:r>
      <w:r w:rsidRPr="000075CD">
        <w:rPr>
          <w:lang w:val="en-GB"/>
        </w:rPr>
        <w:t xml:space="preserve"> and other marketing incentives were expected to significantly impact consumer spending during and after the global pandemic.</w:t>
      </w:r>
      <w:r w:rsidRPr="000075CD">
        <w:rPr>
          <w:rStyle w:val="FootnoteReference"/>
          <w:lang w:val="en-GB"/>
        </w:rPr>
        <w:footnoteReference w:id="16"/>
      </w:r>
    </w:p>
    <w:p w14:paraId="1F1F411B" w14:textId="77777777" w:rsidR="00614898" w:rsidRPr="000075CD" w:rsidRDefault="00614898" w:rsidP="008F0BD9">
      <w:pPr>
        <w:pStyle w:val="BodyTextMain"/>
        <w:rPr>
          <w:lang w:val="en-GB"/>
        </w:rPr>
      </w:pPr>
    </w:p>
    <w:p w14:paraId="0D1167C0" w14:textId="01B43BC1" w:rsidR="00614898" w:rsidRDefault="00614898" w:rsidP="008F0BD9">
      <w:pPr>
        <w:pStyle w:val="BodyTextMain"/>
        <w:rPr>
          <w:lang w:val="en-GB"/>
        </w:rPr>
      </w:pPr>
      <w:r w:rsidRPr="000075CD">
        <w:rPr>
          <w:lang w:val="en-GB"/>
        </w:rPr>
        <w:t>Once the Canadian economy reopened, many consumers were expected to be hesitant to physically interact after having been socially distanced for long periods of time.</w:t>
      </w:r>
      <w:r w:rsidRPr="000075CD">
        <w:rPr>
          <w:rStyle w:val="FootnoteReference"/>
          <w:lang w:val="en-GB"/>
        </w:rPr>
        <w:footnoteReference w:id="17"/>
      </w:r>
      <w:r w:rsidRPr="000075CD">
        <w:rPr>
          <w:lang w:val="en-GB"/>
        </w:rPr>
        <w:t xml:space="preserve"> </w:t>
      </w:r>
      <w:r w:rsidR="00C60D53">
        <w:rPr>
          <w:lang w:val="en-GB"/>
        </w:rPr>
        <w:t>T</w:t>
      </w:r>
      <w:r w:rsidR="00C60D53" w:rsidRPr="000075CD">
        <w:rPr>
          <w:lang w:val="en-GB"/>
        </w:rPr>
        <w:t>o lure in these hesitant consumers</w:t>
      </w:r>
      <w:r w:rsidR="00C60D53">
        <w:rPr>
          <w:lang w:val="en-GB"/>
        </w:rPr>
        <w:t>,</w:t>
      </w:r>
      <w:r w:rsidR="00C60D53" w:rsidRPr="000075CD">
        <w:rPr>
          <w:lang w:val="en-GB"/>
        </w:rPr>
        <w:t xml:space="preserve"> </w:t>
      </w:r>
      <w:r w:rsidR="00C60D53">
        <w:rPr>
          <w:lang w:val="en-GB"/>
        </w:rPr>
        <w:t xml:space="preserve">retailers would need to offer </w:t>
      </w:r>
      <w:r w:rsidRPr="000075CD">
        <w:rPr>
          <w:lang w:val="en-GB"/>
        </w:rPr>
        <w:t>high levels of health and safety precautions. Low</w:t>
      </w:r>
      <w:r w:rsidR="00C60D53">
        <w:rPr>
          <w:lang w:val="en-GB"/>
        </w:rPr>
        <w:t>-</w:t>
      </w:r>
      <w:r w:rsidRPr="000075CD">
        <w:rPr>
          <w:lang w:val="en-GB"/>
        </w:rPr>
        <w:t>cost or free delivery options for online purchases were also crucial to maintain consumer spending in the retail environment during the pandemic.</w:t>
      </w:r>
      <w:r w:rsidRPr="000075CD">
        <w:rPr>
          <w:rStyle w:val="FootnoteReference"/>
          <w:lang w:val="en-GB"/>
        </w:rPr>
        <w:footnoteReference w:id="18"/>
      </w:r>
    </w:p>
    <w:p w14:paraId="104E2598" w14:textId="77777777" w:rsidR="00843844" w:rsidRDefault="00843844" w:rsidP="008F0BD9">
      <w:pPr>
        <w:pStyle w:val="BodyTextMain"/>
        <w:rPr>
          <w:lang w:val="en-GB"/>
        </w:rPr>
      </w:pPr>
    </w:p>
    <w:p w14:paraId="2104EBC6" w14:textId="77777777" w:rsidR="00843844" w:rsidRPr="000075CD" w:rsidRDefault="00843844" w:rsidP="008F0BD9">
      <w:pPr>
        <w:pStyle w:val="BodyTextMain"/>
        <w:rPr>
          <w:lang w:val="en-GB"/>
        </w:rPr>
      </w:pPr>
    </w:p>
    <w:p w14:paraId="1C640034" w14:textId="77777777" w:rsidR="00614898" w:rsidRPr="000075CD" w:rsidRDefault="00614898" w:rsidP="008F0BD9">
      <w:pPr>
        <w:pStyle w:val="Casehead1"/>
        <w:rPr>
          <w:lang w:val="en-GB"/>
        </w:rPr>
      </w:pPr>
      <w:r w:rsidRPr="000075CD">
        <w:rPr>
          <w:lang w:val="en-GB"/>
        </w:rPr>
        <w:t>INFLUENCER MARKETING</w:t>
      </w:r>
    </w:p>
    <w:p w14:paraId="43687C7E" w14:textId="26EAD77E" w:rsidR="00614898" w:rsidRPr="000075CD" w:rsidRDefault="00614898" w:rsidP="008F0BD9">
      <w:pPr>
        <w:pStyle w:val="BodyTextMain"/>
        <w:rPr>
          <w:lang w:val="en-GB"/>
        </w:rPr>
      </w:pPr>
    </w:p>
    <w:p w14:paraId="1A7CD10E" w14:textId="77777777" w:rsidR="00614898" w:rsidRPr="000075CD" w:rsidRDefault="00614898" w:rsidP="008F0BD9">
      <w:pPr>
        <w:pStyle w:val="BodyTextMain"/>
        <w:rPr>
          <w:lang w:val="en-GB"/>
        </w:rPr>
      </w:pPr>
      <w:r w:rsidRPr="000075CD">
        <w:rPr>
          <w:lang w:val="en-GB"/>
        </w:rPr>
        <w:t xml:space="preserve">Influencer marketing had quickly become one of the most important and cost-effective online marketing channels for businesses in the womenswear retail industry. A study by IZEA Canada found that 75 per cent of Canadian fashion businesses had dedicated budgets for influencer marketing, with 20 per cent having </w:t>
      </w:r>
      <w:r w:rsidRPr="000075CD">
        <w:rPr>
          <w:lang w:val="en-GB"/>
        </w:rPr>
        <w:lastRenderedPageBreak/>
        <w:t>budgets between $1 million and $3 million.</w:t>
      </w:r>
      <w:r w:rsidRPr="000075CD">
        <w:rPr>
          <w:rStyle w:val="FootnoteReference"/>
          <w:lang w:val="en-GB"/>
        </w:rPr>
        <w:footnoteReference w:id="19"/>
      </w:r>
      <w:r w:rsidRPr="000075CD">
        <w:rPr>
          <w:lang w:val="en-GB"/>
        </w:rPr>
        <w:t xml:space="preserve"> Another study found that 89 per cent of marketers said that Instagram was critical to their influencer marketing strategy.</w:t>
      </w:r>
      <w:r w:rsidRPr="000075CD">
        <w:rPr>
          <w:rStyle w:val="FootnoteReference"/>
          <w:lang w:val="en-GB"/>
        </w:rPr>
        <w:footnoteReference w:id="20"/>
      </w:r>
      <w:r w:rsidRPr="000075CD">
        <w:rPr>
          <w:lang w:val="en-GB"/>
        </w:rPr>
        <w:t xml:space="preserve"> </w:t>
      </w:r>
    </w:p>
    <w:p w14:paraId="416CD36A" w14:textId="77777777" w:rsidR="00614898" w:rsidRPr="000075CD" w:rsidRDefault="00614898" w:rsidP="008F0BD9">
      <w:pPr>
        <w:pStyle w:val="BodyTextMain"/>
        <w:rPr>
          <w:lang w:val="en-GB"/>
        </w:rPr>
      </w:pPr>
    </w:p>
    <w:p w14:paraId="06F74E5F" w14:textId="77777777" w:rsidR="00614898" w:rsidRPr="000075CD" w:rsidRDefault="00614898" w:rsidP="008F0BD9">
      <w:pPr>
        <w:pStyle w:val="BodyTextMain"/>
        <w:rPr>
          <w:lang w:val="en-GB"/>
        </w:rPr>
      </w:pPr>
      <w:r w:rsidRPr="000075CD">
        <w:rPr>
          <w:lang w:val="en-GB"/>
        </w:rPr>
        <w:t>Thirty five per cent of Canadians between the ages of 18 and 36 had purchased an item because of an influencer’s endorsement.</w:t>
      </w:r>
      <w:r w:rsidRPr="000075CD">
        <w:rPr>
          <w:rStyle w:val="FootnoteReference"/>
          <w:lang w:val="en-GB"/>
        </w:rPr>
        <w:footnoteReference w:id="21"/>
      </w:r>
      <w:r w:rsidRPr="000075CD">
        <w:rPr>
          <w:lang w:val="en-GB"/>
        </w:rPr>
        <w:t xml:space="preserve"> More specifically, 86 per cent of women used social media for purchasing advice.</w:t>
      </w:r>
      <w:r w:rsidRPr="000075CD">
        <w:rPr>
          <w:rStyle w:val="FootnoteReference"/>
          <w:lang w:val="en-GB"/>
        </w:rPr>
        <w:footnoteReference w:id="22"/>
      </w:r>
      <w:r w:rsidRPr="000075CD">
        <w:rPr>
          <w:lang w:val="en-GB"/>
        </w:rPr>
        <w:t xml:space="preserve"> The average return on influencer marketing was $6.50 for every dollar spent.</w:t>
      </w:r>
      <w:r w:rsidRPr="000075CD">
        <w:rPr>
          <w:rStyle w:val="FootnoteReference"/>
          <w:lang w:val="en-GB"/>
        </w:rPr>
        <w:footnoteReference w:id="23"/>
      </w:r>
    </w:p>
    <w:p w14:paraId="58864337" w14:textId="77777777" w:rsidR="00614898" w:rsidRPr="000075CD" w:rsidRDefault="00614898" w:rsidP="008F0BD9">
      <w:pPr>
        <w:pStyle w:val="BodyTextMain"/>
        <w:rPr>
          <w:lang w:val="en-GB"/>
        </w:rPr>
      </w:pPr>
    </w:p>
    <w:p w14:paraId="31CD715E" w14:textId="1251D995" w:rsidR="00614898" w:rsidRPr="000075CD" w:rsidRDefault="00AC49EE" w:rsidP="008F0BD9">
      <w:pPr>
        <w:pStyle w:val="BodyTextMain"/>
        <w:rPr>
          <w:lang w:val="en-GB"/>
        </w:rPr>
      </w:pPr>
      <w:r>
        <w:rPr>
          <w:lang w:val="en-GB"/>
        </w:rPr>
        <w:t>Businesses could choose from</w:t>
      </w:r>
      <w:r w:rsidR="00614898" w:rsidRPr="000075CD">
        <w:rPr>
          <w:lang w:val="en-GB"/>
        </w:rPr>
        <w:t xml:space="preserve"> a variety of influencer marketing strategies. One of the most popular strategies was sponsored social media content, whereby the influencer </w:t>
      </w:r>
      <w:r>
        <w:rPr>
          <w:lang w:val="en-GB"/>
        </w:rPr>
        <w:t>received</w:t>
      </w:r>
      <w:r w:rsidR="00614898" w:rsidRPr="000075CD">
        <w:rPr>
          <w:lang w:val="en-GB"/>
        </w:rPr>
        <w:t xml:space="preserve"> a set of guidelines around the type of content that the business expected to be created and promoted. The influencer </w:t>
      </w:r>
      <w:r w:rsidR="00166DA2">
        <w:rPr>
          <w:lang w:val="en-GB"/>
        </w:rPr>
        <w:t xml:space="preserve">then </w:t>
      </w:r>
      <w:r w:rsidR="00614898" w:rsidRPr="000075CD">
        <w:rPr>
          <w:lang w:val="en-GB"/>
        </w:rPr>
        <w:t>create</w:t>
      </w:r>
      <w:r w:rsidR="00166DA2">
        <w:rPr>
          <w:lang w:val="en-GB"/>
        </w:rPr>
        <w:t>d</w:t>
      </w:r>
      <w:r w:rsidR="00614898" w:rsidRPr="000075CD">
        <w:rPr>
          <w:lang w:val="en-GB"/>
        </w:rPr>
        <w:t xml:space="preserve"> and post</w:t>
      </w:r>
      <w:r w:rsidR="00166DA2">
        <w:rPr>
          <w:lang w:val="en-GB"/>
        </w:rPr>
        <w:t>ed</w:t>
      </w:r>
      <w:r w:rsidR="00614898" w:rsidRPr="000075CD">
        <w:rPr>
          <w:lang w:val="en-GB"/>
        </w:rPr>
        <w:t xml:space="preserve"> content</w:t>
      </w:r>
      <w:r w:rsidR="00166DA2">
        <w:rPr>
          <w:lang w:val="en-GB"/>
        </w:rPr>
        <w:t xml:space="preserve"> that complied with those guidelines and was rewarded </w:t>
      </w:r>
      <w:r w:rsidR="00614898" w:rsidRPr="000075CD">
        <w:rPr>
          <w:lang w:val="en-GB"/>
        </w:rPr>
        <w:t xml:space="preserve">in the form of </w:t>
      </w:r>
      <w:r>
        <w:rPr>
          <w:lang w:val="en-GB"/>
        </w:rPr>
        <w:t xml:space="preserve">either </w:t>
      </w:r>
      <w:r w:rsidR="00614898" w:rsidRPr="000075CD">
        <w:rPr>
          <w:lang w:val="en-GB"/>
        </w:rPr>
        <w:t xml:space="preserve">monetary compensation or discounted products. </w:t>
      </w:r>
    </w:p>
    <w:p w14:paraId="3182FB91" w14:textId="77777777" w:rsidR="00614898" w:rsidRPr="000075CD" w:rsidRDefault="00614898" w:rsidP="008F0BD9">
      <w:pPr>
        <w:pStyle w:val="BodyTextMain"/>
        <w:rPr>
          <w:lang w:val="en-GB"/>
        </w:rPr>
      </w:pPr>
    </w:p>
    <w:p w14:paraId="08F9AA0B" w14:textId="77777777" w:rsidR="00614898" w:rsidRPr="000075CD" w:rsidRDefault="00614898" w:rsidP="008F0BD9">
      <w:pPr>
        <w:pStyle w:val="BodyTextMain"/>
        <w:rPr>
          <w:lang w:val="en-GB"/>
        </w:rPr>
      </w:pPr>
    </w:p>
    <w:p w14:paraId="6CFD1C98" w14:textId="77777777" w:rsidR="00614898" w:rsidRPr="000075CD" w:rsidRDefault="00614898" w:rsidP="008F0BD9">
      <w:pPr>
        <w:pStyle w:val="Casehead1"/>
        <w:rPr>
          <w:lang w:val="en-GB"/>
        </w:rPr>
      </w:pPr>
      <w:r w:rsidRPr="000075CD">
        <w:rPr>
          <w:lang w:val="en-GB"/>
        </w:rPr>
        <w:t>MOVING FORWARD</w:t>
      </w:r>
    </w:p>
    <w:p w14:paraId="453EE0B0" w14:textId="77777777" w:rsidR="00614898" w:rsidRPr="000075CD" w:rsidRDefault="00614898" w:rsidP="008F0BD9">
      <w:pPr>
        <w:pStyle w:val="BodyTextMain"/>
        <w:rPr>
          <w:lang w:val="en-GB"/>
        </w:rPr>
      </w:pPr>
    </w:p>
    <w:p w14:paraId="183EA851" w14:textId="415B8419" w:rsidR="00614898" w:rsidRPr="000075CD" w:rsidRDefault="00614898" w:rsidP="008F0BD9">
      <w:pPr>
        <w:pStyle w:val="BodyTextMain"/>
        <w:rPr>
          <w:lang w:val="en-GB"/>
        </w:rPr>
      </w:pPr>
      <w:r w:rsidRPr="000075CD">
        <w:rPr>
          <w:lang w:val="en-GB"/>
        </w:rPr>
        <w:t xml:space="preserve">Before the pandemic began, most of Thursdays’ customers were located in the </w:t>
      </w:r>
      <w:r w:rsidR="00AC49EE">
        <w:rPr>
          <w:lang w:val="en-GB"/>
        </w:rPr>
        <w:t>Greater Toronto Area (</w:t>
      </w:r>
      <w:r w:rsidRPr="000075CD">
        <w:rPr>
          <w:lang w:val="en-GB"/>
        </w:rPr>
        <w:t>GTA</w:t>
      </w:r>
      <w:r w:rsidR="00AC49EE">
        <w:rPr>
          <w:lang w:val="en-GB"/>
        </w:rPr>
        <w:t>)</w:t>
      </w:r>
      <w:r w:rsidR="002D64A2">
        <w:rPr>
          <w:lang w:val="en-GB"/>
        </w:rPr>
        <w:t>, Canada’s most populous metropolitan area</w:t>
      </w:r>
      <w:r w:rsidRPr="000075CD">
        <w:rPr>
          <w:lang w:val="en-GB"/>
        </w:rPr>
        <w:t xml:space="preserve">. As operations shifted exclusively online amid the </w:t>
      </w:r>
      <w:r w:rsidR="00807C73" w:rsidRPr="000075CD">
        <w:rPr>
          <w:lang w:val="en-GB"/>
        </w:rPr>
        <w:t>C</w:t>
      </w:r>
      <w:r w:rsidR="00807C73">
        <w:rPr>
          <w:lang w:val="en-GB"/>
        </w:rPr>
        <w:t>OVID</w:t>
      </w:r>
      <w:r w:rsidRPr="000075CD">
        <w:rPr>
          <w:lang w:val="en-GB"/>
        </w:rPr>
        <w:t xml:space="preserve">-19 outbreak, Thursdays began receiving orders from customers all over Canada, including many </w:t>
      </w:r>
      <w:r w:rsidR="00166DA2">
        <w:rPr>
          <w:lang w:val="en-GB"/>
        </w:rPr>
        <w:t>from</w:t>
      </w:r>
      <w:r w:rsidR="00166DA2" w:rsidRPr="000075CD">
        <w:rPr>
          <w:lang w:val="en-GB"/>
        </w:rPr>
        <w:t xml:space="preserve"> </w:t>
      </w:r>
      <w:r w:rsidRPr="000075CD">
        <w:rPr>
          <w:lang w:val="en-GB"/>
        </w:rPr>
        <w:t xml:space="preserve">the provinces of Alberta and British Columbia. Thursdays even began processing overseas orders from customers in China. This fast growth in the number of online orders had strained Thursdays’ resources and led to an increase in order errors. Piltz wanted to focus more of her time on the online shop, </w:t>
      </w:r>
      <w:r w:rsidR="00807C73">
        <w:rPr>
          <w:lang w:val="en-GB"/>
        </w:rPr>
        <w:t>both</w:t>
      </w:r>
      <w:r w:rsidRPr="000075CD">
        <w:rPr>
          <w:lang w:val="en-GB"/>
        </w:rPr>
        <w:t xml:space="preserve"> to minimize </w:t>
      </w:r>
      <w:r w:rsidR="00807C73">
        <w:rPr>
          <w:lang w:val="en-GB"/>
        </w:rPr>
        <w:t xml:space="preserve">the </w:t>
      </w:r>
      <w:r w:rsidRPr="000075CD">
        <w:rPr>
          <w:lang w:val="en-GB"/>
        </w:rPr>
        <w:t xml:space="preserve">order errors and </w:t>
      </w:r>
      <w:r w:rsidR="00166DA2">
        <w:rPr>
          <w:lang w:val="en-GB"/>
        </w:rPr>
        <w:t xml:space="preserve">to </w:t>
      </w:r>
      <w:r w:rsidRPr="000075CD">
        <w:rPr>
          <w:lang w:val="en-GB"/>
        </w:rPr>
        <w:t xml:space="preserve">grow this promising segment’s profitability. </w:t>
      </w:r>
    </w:p>
    <w:p w14:paraId="36CBDFE0" w14:textId="77777777" w:rsidR="00614898" w:rsidRPr="000075CD" w:rsidRDefault="00614898" w:rsidP="008F0BD9">
      <w:pPr>
        <w:pStyle w:val="BodyTextMain"/>
        <w:rPr>
          <w:lang w:val="en-GB"/>
        </w:rPr>
      </w:pPr>
    </w:p>
    <w:p w14:paraId="465873E9" w14:textId="39A72EA3" w:rsidR="00614898" w:rsidRPr="000075CD" w:rsidRDefault="00614898" w:rsidP="008F0BD9">
      <w:pPr>
        <w:pStyle w:val="BodyTextMain"/>
        <w:rPr>
          <w:lang w:val="en-GB"/>
        </w:rPr>
      </w:pPr>
      <w:r w:rsidRPr="000075CD">
        <w:rPr>
          <w:lang w:val="en-GB"/>
        </w:rPr>
        <w:t xml:space="preserve">Given the nature of the economy and the continued closure of Thursdays’ Exchange Tower location, Piltz wondered </w:t>
      </w:r>
      <w:r w:rsidR="00807C73">
        <w:rPr>
          <w:lang w:val="en-GB"/>
        </w:rPr>
        <w:t>whether</w:t>
      </w:r>
      <w:r w:rsidR="00807C73" w:rsidRPr="000075CD">
        <w:rPr>
          <w:lang w:val="en-GB"/>
        </w:rPr>
        <w:t xml:space="preserve"> </w:t>
      </w:r>
      <w:r w:rsidRPr="000075CD">
        <w:rPr>
          <w:lang w:val="en-GB"/>
        </w:rPr>
        <w:t>closing this store permanently would be a strategic way to generate additional funds to put toward online advertising. If the Exchange Tower store were to close, Piltz planned to use 15 per cent of the store’s annual recurring cash costs to finance partnerships with micro-influencers on Instagram (</w:t>
      </w:r>
      <w:r w:rsidR="00807C73">
        <w:rPr>
          <w:lang w:val="en-GB"/>
        </w:rPr>
        <w:t>s</w:t>
      </w:r>
      <w:r w:rsidRPr="000075CD">
        <w:rPr>
          <w:lang w:val="en-GB"/>
        </w:rPr>
        <w:t>ee Exhibit 2). Micro-influencers</w:t>
      </w:r>
      <w:r w:rsidR="00807C73">
        <w:rPr>
          <w:lang w:val="en-GB"/>
        </w:rPr>
        <w:t xml:space="preserve">—that is, </w:t>
      </w:r>
      <w:r w:rsidRPr="000075CD">
        <w:rPr>
          <w:lang w:val="en-GB"/>
        </w:rPr>
        <w:t xml:space="preserve">Instagram influencers </w:t>
      </w:r>
      <w:r w:rsidR="00807C73">
        <w:rPr>
          <w:lang w:val="en-GB"/>
        </w:rPr>
        <w:t>who</w:t>
      </w:r>
      <w:r w:rsidR="00807C73" w:rsidRPr="000075CD">
        <w:rPr>
          <w:lang w:val="en-GB"/>
        </w:rPr>
        <w:t xml:space="preserve"> </w:t>
      </w:r>
      <w:r w:rsidRPr="000075CD">
        <w:rPr>
          <w:lang w:val="en-GB"/>
        </w:rPr>
        <w:t>had between 1,000 and 100,000 followers</w:t>
      </w:r>
      <w:r w:rsidR="00807C73">
        <w:rPr>
          <w:lang w:val="en-GB"/>
        </w:rPr>
        <w:t>—</w:t>
      </w:r>
      <w:r w:rsidRPr="000075CD">
        <w:rPr>
          <w:lang w:val="en-GB"/>
        </w:rPr>
        <w:t>were known to have the highest engagement rates of all influencer types.</w:t>
      </w:r>
      <w:r w:rsidRPr="000075CD">
        <w:rPr>
          <w:rStyle w:val="FootnoteReference"/>
          <w:lang w:val="en-GB"/>
        </w:rPr>
        <w:footnoteReference w:id="24"/>
      </w:r>
      <w:r w:rsidRPr="000075CD">
        <w:rPr>
          <w:lang w:val="en-GB"/>
        </w:rPr>
        <w:t xml:space="preserve"> </w:t>
      </w:r>
    </w:p>
    <w:p w14:paraId="4A637BD3" w14:textId="77777777" w:rsidR="00614898" w:rsidRPr="000075CD" w:rsidRDefault="00614898" w:rsidP="008F0BD9">
      <w:pPr>
        <w:pStyle w:val="BodyTextMain"/>
        <w:rPr>
          <w:lang w:val="en-GB"/>
        </w:rPr>
      </w:pPr>
    </w:p>
    <w:p w14:paraId="659220BF" w14:textId="5DB4EB4B" w:rsidR="00614898" w:rsidRPr="000075CD" w:rsidRDefault="00614898" w:rsidP="008F0BD9">
      <w:pPr>
        <w:pStyle w:val="BodyTextMain"/>
        <w:rPr>
          <w:lang w:val="en-GB"/>
        </w:rPr>
      </w:pPr>
      <w:r w:rsidRPr="000075CD">
        <w:rPr>
          <w:lang w:val="en-GB"/>
        </w:rPr>
        <w:t>Using the influencer budget, Piltz was willing to offer participating micro-influencers $1,500 each to recommend Thursdays to their respective followers in the form of a sponsored post. Piltz would also provide each influencer $150 worth of merchandise to wear when creating their posts. Additional details of the partnerships were to be determined at a later date. Piltz planned to offer this partnership opportunity only to influencers with an average of 50,000 followers. To ensure a wide geographic reach, Piltz would hand</w:t>
      </w:r>
      <w:r w:rsidR="00807C73">
        <w:rPr>
          <w:lang w:val="en-GB"/>
        </w:rPr>
        <w:t>-</w:t>
      </w:r>
      <w:r w:rsidRPr="000075CD">
        <w:rPr>
          <w:lang w:val="en-GB"/>
        </w:rPr>
        <w:t>select influencers from a variety of different cities across Canada and parts of the United States.</w:t>
      </w:r>
    </w:p>
    <w:p w14:paraId="31FF2A16" w14:textId="77777777" w:rsidR="00614898" w:rsidRPr="00766824" w:rsidRDefault="00614898" w:rsidP="008F0BD9">
      <w:pPr>
        <w:pStyle w:val="BodyTextMain"/>
        <w:rPr>
          <w:rFonts w:ascii="Arial" w:hAnsi="Arial" w:cs="Arial"/>
          <w:b/>
          <w:lang w:val="en-GB"/>
        </w:rPr>
      </w:pPr>
    </w:p>
    <w:p w14:paraId="24FE5AA5" w14:textId="77777777" w:rsidR="00614898" w:rsidRPr="00766824" w:rsidRDefault="00614898" w:rsidP="008F0BD9">
      <w:pPr>
        <w:pStyle w:val="BodyTextMain"/>
        <w:rPr>
          <w:rFonts w:ascii="Arial" w:hAnsi="Arial" w:cs="Arial"/>
          <w:b/>
          <w:lang w:val="en-GB"/>
        </w:rPr>
      </w:pPr>
    </w:p>
    <w:p w14:paraId="4CE83ED0" w14:textId="77777777" w:rsidR="00614898" w:rsidRPr="000075CD" w:rsidRDefault="00614898" w:rsidP="007910D6">
      <w:pPr>
        <w:pStyle w:val="Casehead1"/>
        <w:keepNext/>
        <w:rPr>
          <w:lang w:val="en-GB"/>
        </w:rPr>
      </w:pPr>
      <w:r w:rsidRPr="000075CD">
        <w:rPr>
          <w:lang w:val="en-GB"/>
        </w:rPr>
        <w:lastRenderedPageBreak/>
        <w:t>EXCHANGE TOWER STORE SALES</w:t>
      </w:r>
    </w:p>
    <w:p w14:paraId="04BE875C" w14:textId="77777777" w:rsidR="00614898" w:rsidRPr="000075CD" w:rsidRDefault="00614898" w:rsidP="007910D6">
      <w:pPr>
        <w:pStyle w:val="BodyTextMain"/>
        <w:keepNext/>
        <w:rPr>
          <w:lang w:val="en-GB"/>
        </w:rPr>
      </w:pPr>
    </w:p>
    <w:p w14:paraId="1C5B8713" w14:textId="3D4CDCD2" w:rsidR="00614898" w:rsidRPr="000075CD" w:rsidRDefault="00614898" w:rsidP="007910D6">
      <w:pPr>
        <w:pStyle w:val="BodyTextMain"/>
        <w:keepNext/>
        <w:rPr>
          <w:lang w:val="en-GB"/>
        </w:rPr>
      </w:pPr>
      <w:r w:rsidRPr="000075CD">
        <w:rPr>
          <w:lang w:val="en-GB"/>
        </w:rPr>
        <w:t>If the Exchange Tower store were to reopen for the 2021 fiscal year, it was estimated that the number of daily customers would drop significantly from the previous fiscal year</w:t>
      </w:r>
      <w:r w:rsidR="00166DA2">
        <w:rPr>
          <w:lang w:val="en-GB"/>
        </w:rPr>
        <w:t>,</w:t>
      </w:r>
      <w:r w:rsidRPr="000075CD">
        <w:rPr>
          <w:lang w:val="en-GB"/>
        </w:rPr>
        <w:t xml:space="preserve"> due to reduced commuter foot traffic. Piltz expected </w:t>
      </w:r>
      <w:r w:rsidR="00807C73">
        <w:rPr>
          <w:lang w:val="en-GB"/>
        </w:rPr>
        <w:t xml:space="preserve">five </w:t>
      </w:r>
      <w:r w:rsidRPr="000075CD">
        <w:rPr>
          <w:lang w:val="en-GB"/>
        </w:rPr>
        <w:t xml:space="preserve">to 10 customer orders each day </w:t>
      </w:r>
      <w:r w:rsidR="00807C73">
        <w:rPr>
          <w:lang w:val="en-GB"/>
        </w:rPr>
        <w:t>the</w:t>
      </w:r>
      <w:r w:rsidR="00807C73" w:rsidRPr="000075CD">
        <w:rPr>
          <w:lang w:val="en-GB"/>
        </w:rPr>
        <w:t xml:space="preserve"> </w:t>
      </w:r>
      <w:r w:rsidRPr="000075CD">
        <w:rPr>
          <w:lang w:val="en-GB"/>
        </w:rPr>
        <w:t xml:space="preserve">store was open in the fiscal period. </w:t>
      </w:r>
    </w:p>
    <w:p w14:paraId="7E59B5A5" w14:textId="77777777" w:rsidR="00614898" w:rsidRPr="000075CD" w:rsidRDefault="00614898" w:rsidP="008F0BD9">
      <w:pPr>
        <w:pStyle w:val="BodyTextMain"/>
        <w:rPr>
          <w:lang w:val="en-GB"/>
        </w:rPr>
      </w:pPr>
    </w:p>
    <w:p w14:paraId="529A81A9" w14:textId="75419094" w:rsidR="00614898" w:rsidRPr="000075CD" w:rsidRDefault="00614898" w:rsidP="008F0BD9">
      <w:pPr>
        <w:pStyle w:val="BodyTextMain"/>
        <w:rPr>
          <w:lang w:val="en-GB"/>
        </w:rPr>
      </w:pPr>
      <w:r w:rsidRPr="000075CD">
        <w:rPr>
          <w:lang w:val="en-GB"/>
        </w:rPr>
        <w:t xml:space="preserve">Piltz had identified that the Exchange Tower location serviced two types of shoppers. The first type was a busy professional on lunch break </w:t>
      </w:r>
      <w:r w:rsidR="00807C73">
        <w:rPr>
          <w:lang w:val="en-GB"/>
        </w:rPr>
        <w:t>who</w:t>
      </w:r>
      <w:r w:rsidR="00807C73" w:rsidRPr="000075CD">
        <w:rPr>
          <w:lang w:val="en-GB"/>
        </w:rPr>
        <w:t xml:space="preserve"> </w:t>
      </w:r>
      <w:r w:rsidRPr="000075CD">
        <w:rPr>
          <w:lang w:val="en-GB"/>
        </w:rPr>
        <w:t xml:space="preserve">was looking for a quick purchase. The second was a business professional </w:t>
      </w:r>
      <w:r w:rsidR="00F52960">
        <w:rPr>
          <w:lang w:val="en-GB"/>
        </w:rPr>
        <w:t>who</w:t>
      </w:r>
      <w:r w:rsidR="00F52960" w:rsidRPr="000075CD">
        <w:rPr>
          <w:lang w:val="en-GB"/>
        </w:rPr>
        <w:t xml:space="preserve"> </w:t>
      </w:r>
      <w:r w:rsidRPr="000075CD">
        <w:rPr>
          <w:lang w:val="en-GB"/>
        </w:rPr>
        <w:t xml:space="preserve">visited the store after work hours to take advantage of Thursdays’ personal shoppers. </w:t>
      </w:r>
      <w:r w:rsidR="00F52960">
        <w:rPr>
          <w:lang w:val="en-GB"/>
        </w:rPr>
        <w:t>For lunchtime shoppers, t</w:t>
      </w:r>
      <w:r w:rsidRPr="000075CD">
        <w:rPr>
          <w:lang w:val="en-GB"/>
        </w:rPr>
        <w:t>he</w:t>
      </w:r>
      <w:r w:rsidR="00F52960">
        <w:rPr>
          <w:lang w:val="en-GB"/>
        </w:rPr>
        <w:t>ir</w:t>
      </w:r>
      <w:r w:rsidRPr="000075CD">
        <w:rPr>
          <w:lang w:val="en-GB"/>
        </w:rPr>
        <w:t xml:space="preserve"> average purchase </w:t>
      </w:r>
      <w:r w:rsidR="00F52960">
        <w:rPr>
          <w:lang w:val="en-GB"/>
        </w:rPr>
        <w:t>was one</w:t>
      </w:r>
      <w:r w:rsidR="00F52960" w:rsidRPr="000075CD">
        <w:rPr>
          <w:lang w:val="en-GB"/>
        </w:rPr>
        <w:t xml:space="preserve"> </w:t>
      </w:r>
      <w:r w:rsidRPr="000075CD">
        <w:rPr>
          <w:lang w:val="en-GB"/>
        </w:rPr>
        <w:t xml:space="preserve">shirt and </w:t>
      </w:r>
      <w:r w:rsidR="00F52960">
        <w:rPr>
          <w:lang w:val="en-GB"/>
        </w:rPr>
        <w:t>one</w:t>
      </w:r>
      <w:r w:rsidR="00F52960" w:rsidRPr="000075CD">
        <w:rPr>
          <w:lang w:val="en-GB"/>
        </w:rPr>
        <w:t xml:space="preserve"> </w:t>
      </w:r>
      <w:r w:rsidRPr="000075CD">
        <w:rPr>
          <w:lang w:val="en-GB"/>
        </w:rPr>
        <w:t xml:space="preserve">pair of pants, </w:t>
      </w:r>
      <w:r w:rsidR="00F52960">
        <w:rPr>
          <w:lang w:val="en-GB"/>
        </w:rPr>
        <w:t>whereas</w:t>
      </w:r>
      <w:r w:rsidR="00F52960" w:rsidRPr="000075CD">
        <w:rPr>
          <w:lang w:val="en-GB"/>
        </w:rPr>
        <w:t xml:space="preserve"> </w:t>
      </w:r>
      <w:r w:rsidRPr="000075CD">
        <w:rPr>
          <w:lang w:val="en-GB"/>
        </w:rPr>
        <w:t xml:space="preserve">the after-work shopper </w:t>
      </w:r>
      <w:r w:rsidR="00F52960">
        <w:rPr>
          <w:lang w:val="en-GB"/>
        </w:rPr>
        <w:t>purchased, on</w:t>
      </w:r>
      <w:r w:rsidR="00F52960" w:rsidRPr="000075CD">
        <w:rPr>
          <w:lang w:val="en-GB"/>
        </w:rPr>
        <w:t xml:space="preserve"> </w:t>
      </w:r>
      <w:r w:rsidRPr="000075CD">
        <w:rPr>
          <w:lang w:val="en-GB"/>
        </w:rPr>
        <w:t>average</w:t>
      </w:r>
      <w:r w:rsidR="00F52960">
        <w:rPr>
          <w:lang w:val="en-GB"/>
        </w:rPr>
        <w:t>,</w:t>
      </w:r>
      <w:r w:rsidRPr="000075CD">
        <w:rPr>
          <w:lang w:val="en-GB"/>
        </w:rPr>
        <w:t xml:space="preserve"> </w:t>
      </w:r>
      <w:r w:rsidR="00F52960">
        <w:rPr>
          <w:lang w:val="en-GB"/>
        </w:rPr>
        <w:t>one</w:t>
      </w:r>
      <w:r w:rsidRPr="000075CD">
        <w:rPr>
          <w:lang w:val="en-GB"/>
        </w:rPr>
        <w:t xml:space="preserve"> cashmere set, </w:t>
      </w:r>
      <w:r w:rsidR="00F52960">
        <w:rPr>
          <w:lang w:val="en-GB"/>
        </w:rPr>
        <w:t>one</w:t>
      </w:r>
      <w:r w:rsidRPr="000075CD">
        <w:rPr>
          <w:lang w:val="en-GB"/>
        </w:rPr>
        <w:t xml:space="preserve"> dress, and </w:t>
      </w:r>
      <w:r w:rsidR="00F52960">
        <w:rPr>
          <w:lang w:val="en-GB"/>
        </w:rPr>
        <w:t>one</w:t>
      </w:r>
      <w:r w:rsidRPr="000075CD">
        <w:rPr>
          <w:lang w:val="en-GB"/>
        </w:rPr>
        <w:t xml:space="preserve"> pair of pants. Piltz estimated that the Exchange Tower store would be open for 250 days in the 2021 fiscal period. Of the estimated customer purchases each day, 20 per cent would be for after-work shoppers. </w:t>
      </w:r>
    </w:p>
    <w:p w14:paraId="0C6D2104" w14:textId="77777777" w:rsidR="00614898" w:rsidRPr="000075CD" w:rsidRDefault="00614898" w:rsidP="008F0BD9">
      <w:pPr>
        <w:pStyle w:val="BodyTextMain"/>
        <w:rPr>
          <w:lang w:val="en-GB"/>
        </w:rPr>
      </w:pPr>
    </w:p>
    <w:p w14:paraId="51984A27" w14:textId="77777777" w:rsidR="00614898" w:rsidRPr="000075CD" w:rsidRDefault="00614898" w:rsidP="008F0BD9">
      <w:pPr>
        <w:pStyle w:val="BodyTextMain"/>
        <w:rPr>
          <w:lang w:val="en-GB"/>
        </w:rPr>
      </w:pPr>
    </w:p>
    <w:p w14:paraId="5A61A0BE" w14:textId="77777777" w:rsidR="00614898" w:rsidRPr="000075CD" w:rsidRDefault="00614898" w:rsidP="008F0BD9">
      <w:pPr>
        <w:pStyle w:val="Casehead1"/>
        <w:rPr>
          <w:lang w:val="en-GB"/>
        </w:rPr>
      </w:pPr>
      <w:r w:rsidRPr="000075CD">
        <w:rPr>
          <w:lang w:val="en-GB"/>
        </w:rPr>
        <w:t>ONLINE SALES</w:t>
      </w:r>
    </w:p>
    <w:p w14:paraId="6E608C69" w14:textId="77777777" w:rsidR="00614898" w:rsidRPr="000075CD" w:rsidRDefault="00614898" w:rsidP="008F0BD9">
      <w:pPr>
        <w:pStyle w:val="BodyTextMain"/>
        <w:rPr>
          <w:lang w:val="en-GB"/>
        </w:rPr>
      </w:pPr>
    </w:p>
    <w:p w14:paraId="08F78DDC" w14:textId="28622392" w:rsidR="00614898" w:rsidRPr="000075CD" w:rsidRDefault="00614898" w:rsidP="008F0BD9">
      <w:pPr>
        <w:pStyle w:val="BodyTextMain"/>
        <w:rPr>
          <w:lang w:val="en-GB"/>
        </w:rPr>
      </w:pPr>
      <w:r w:rsidRPr="000075CD">
        <w:rPr>
          <w:lang w:val="en-GB"/>
        </w:rPr>
        <w:t>Piltz grouped Thursdays’ online customers into two types</w:t>
      </w:r>
      <w:r w:rsidR="00F52960">
        <w:rPr>
          <w:lang w:val="en-GB"/>
        </w:rPr>
        <w:t>:</w:t>
      </w:r>
      <w:r w:rsidRPr="000075CD">
        <w:rPr>
          <w:lang w:val="en-GB"/>
        </w:rPr>
        <w:t xml:space="preserve"> first-time customers and </w:t>
      </w:r>
      <w:r w:rsidR="00F52960">
        <w:rPr>
          <w:lang w:val="en-GB"/>
        </w:rPr>
        <w:t>return</w:t>
      </w:r>
      <w:r w:rsidRPr="000075CD">
        <w:rPr>
          <w:lang w:val="en-GB"/>
        </w:rPr>
        <w:t xml:space="preserve"> customers. To entice first-time customers to make a</w:t>
      </w:r>
      <w:r w:rsidR="00F52960">
        <w:rPr>
          <w:lang w:val="en-GB"/>
        </w:rPr>
        <w:t>n online</w:t>
      </w:r>
      <w:r w:rsidRPr="000075CD">
        <w:rPr>
          <w:lang w:val="en-GB"/>
        </w:rPr>
        <w:t xml:space="preserve"> purchase, a 10 per cent discount was applied at checkout. First-time orders tended to be lower in value, as customers wanted to assess the quality of the clothes before making a bigger purchase. On average, a first-time customer order </w:t>
      </w:r>
      <w:r w:rsidR="00F52960">
        <w:rPr>
          <w:lang w:val="en-GB"/>
        </w:rPr>
        <w:t>compris</w:t>
      </w:r>
      <w:r w:rsidR="00F52960" w:rsidRPr="000075CD">
        <w:rPr>
          <w:lang w:val="en-GB"/>
        </w:rPr>
        <w:t xml:space="preserve">ed </w:t>
      </w:r>
      <w:r w:rsidR="00F52960">
        <w:rPr>
          <w:lang w:val="en-GB"/>
        </w:rPr>
        <w:t>one</w:t>
      </w:r>
      <w:r w:rsidRPr="000075CD">
        <w:rPr>
          <w:lang w:val="en-GB"/>
        </w:rPr>
        <w:t xml:space="preserve"> shirt and </w:t>
      </w:r>
      <w:r w:rsidR="00F52960">
        <w:rPr>
          <w:lang w:val="en-GB"/>
        </w:rPr>
        <w:t>one</w:t>
      </w:r>
      <w:r w:rsidR="00F52960" w:rsidRPr="000075CD">
        <w:rPr>
          <w:lang w:val="en-GB"/>
        </w:rPr>
        <w:t xml:space="preserve"> </w:t>
      </w:r>
      <w:r w:rsidRPr="000075CD">
        <w:rPr>
          <w:lang w:val="en-GB"/>
        </w:rPr>
        <w:t xml:space="preserve">dress, while the average order </w:t>
      </w:r>
      <w:r w:rsidR="00F52960">
        <w:rPr>
          <w:lang w:val="en-GB"/>
        </w:rPr>
        <w:t>from a return customer comprised</w:t>
      </w:r>
      <w:r w:rsidR="00F52960" w:rsidRPr="000075CD">
        <w:rPr>
          <w:lang w:val="en-GB"/>
        </w:rPr>
        <w:t xml:space="preserve"> </w:t>
      </w:r>
      <w:r w:rsidR="00F52960">
        <w:rPr>
          <w:lang w:val="en-GB"/>
        </w:rPr>
        <w:t>one</w:t>
      </w:r>
      <w:r w:rsidRPr="000075CD">
        <w:rPr>
          <w:lang w:val="en-GB"/>
        </w:rPr>
        <w:t xml:space="preserve"> pair of pants and </w:t>
      </w:r>
      <w:r w:rsidR="00F52960">
        <w:rPr>
          <w:lang w:val="en-GB"/>
        </w:rPr>
        <w:t>one</w:t>
      </w:r>
      <w:r w:rsidRPr="000075CD">
        <w:rPr>
          <w:lang w:val="en-GB"/>
        </w:rPr>
        <w:t xml:space="preserve"> non-cashmere lounge set. </w:t>
      </w:r>
      <w:r w:rsidR="00F52960">
        <w:rPr>
          <w:lang w:val="en-GB"/>
        </w:rPr>
        <w:t>(</w:t>
      </w:r>
      <w:r w:rsidRPr="000075CD">
        <w:rPr>
          <w:lang w:val="en-GB"/>
        </w:rPr>
        <w:t xml:space="preserve">Cashmere lounge sets were </w:t>
      </w:r>
      <w:r w:rsidR="00F52960">
        <w:rPr>
          <w:lang w:val="en-GB"/>
        </w:rPr>
        <w:t>rarely</w:t>
      </w:r>
      <w:r w:rsidRPr="000075CD">
        <w:rPr>
          <w:lang w:val="en-GB"/>
        </w:rPr>
        <w:t xml:space="preserve"> purchased online, as consumers preferred to feel the quality of the cashmere before making a purchase.</w:t>
      </w:r>
      <w:r w:rsidR="00F52960">
        <w:rPr>
          <w:lang w:val="en-GB"/>
        </w:rPr>
        <w:t>)</w:t>
      </w:r>
      <w:r w:rsidRPr="000075CD">
        <w:rPr>
          <w:lang w:val="en-GB"/>
        </w:rPr>
        <w:t xml:space="preserve"> </w:t>
      </w:r>
    </w:p>
    <w:p w14:paraId="1C09F230" w14:textId="77777777" w:rsidR="00614898" w:rsidRPr="000075CD" w:rsidRDefault="00614898" w:rsidP="008F0BD9">
      <w:pPr>
        <w:pStyle w:val="BodyTextMain"/>
        <w:rPr>
          <w:lang w:val="en-GB"/>
        </w:rPr>
      </w:pPr>
    </w:p>
    <w:p w14:paraId="449CD6EE" w14:textId="32C59200" w:rsidR="00614898" w:rsidRPr="000075CD" w:rsidRDefault="00614898" w:rsidP="008F0BD9">
      <w:pPr>
        <w:pStyle w:val="BodyTextMain"/>
        <w:rPr>
          <w:lang w:val="en-GB"/>
        </w:rPr>
      </w:pPr>
      <w:r w:rsidRPr="000075CD">
        <w:rPr>
          <w:lang w:val="en-GB"/>
        </w:rPr>
        <w:t xml:space="preserve">Piltz projected that the online store would generate between $650,000 and $850,000 in revenue for the 2021 fiscal year without any additional marketing. This figure would be split evenly between first-time and </w:t>
      </w:r>
      <w:r w:rsidR="00F52960">
        <w:rPr>
          <w:lang w:val="en-GB"/>
        </w:rPr>
        <w:t>return</w:t>
      </w:r>
      <w:r w:rsidRPr="000075CD">
        <w:rPr>
          <w:lang w:val="en-GB"/>
        </w:rPr>
        <w:t xml:space="preserve"> customers. If the Instagram partnership opportunity was pursued, it was estimated that anywhere between 2 per cent and 4.5 per cent of all followers reached would visit Thursdays’ online store. Piltz believed 2 per cent of these visitors would make a first-time purchase and 20 per cent of these first-time purchasers would make a second purchase in the 2021 fiscal period.</w:t>
      </w:r>
    </w:p>
    <w:p w14:paraId="4FEE4AD7" w14:textId="77777777" w:rsidR="00614898" w:rsidRPr="000075CD" w:rsidRDefault="00614898" w:rsidP="008F0BD9">
      <w:pPr>
        <w:pStyle w:val="BodyTextMain"/>
        <w:rPr>
          <w:lang w:val="en-GB"/>
        </w:rPr>
      </w:pPr>
    </w:p>
    <w:p w14:paraId="03BA06E8" w14:textId="57FB5840" w:rsidR="00614898" w:rsidRPr="000075CD" w:rsidRDefault="00614898" w:rsidP="008F0BD9">
      <w:pPr>
        <w:pStyle w:val="BodyTextMain"/>
        <w:rPr>
          <w:lang w:val="en-GB"/>
        </w:rPr>
      </w:pPr>
      <w:r w:rsidRPr="000075CD">
        <w:rPr>
          <w:lang w:val="en-GB"/>
        </w:rPr>
        <w:t xml:space="preserve">Thursdays incurred a flat $7.14 fee for every online order shipped out. On orders </w:t>
      </w:r>
      <w:r w:rsidR="002D64A2">
        <w:rPr>
          <w:lang w:val="en-GB"/>
        </w:rPr>
        <w:t>of</w:t>
      </w:r>
      <w:r w:rsidRPr="000075CD">
        <w:rPr>
          <w:lang w:val="en-GB"/>
        </w:rPr>
        <w:t xml:space="preserve"> $60</w:t>
      </w:r>
      <w:r w:rsidR="002D64A2">
        <w:rPr>
          <w:lang w:val="en-GB"/>
        </w:rPr>
        <w:t xml:space="preserve"> or less</w:t>
      </w:r>
      <w:r w:rsidRPr="000075CD">
        <w:rPr>
          <w:lang w:val="en-GB"/>
        </w:rPr>
        <w:t>, Thursdays would charge the customer a $10 delivery fee, down $5 from the pre-pandemic charge of $15. No shipping charge was passed onto the customer on orders over $60.</w:t>
      </w:r>
    </w:p>
    <w:p w14:paraId="12A79BDF" w14:textId="77777777" w:rsidR="00614898" w:rsidRPr="000075CD" w:rsidRDefault="00614898" w:rsidP="008F0BD9">
      <w:pPr>
        <w:pStyle w:val="BodyTextMain"/>
        <w:rPr>
          <w:lang w:val="en-GB"/>
        </w:rPr>
      </w:pPr>
    </w:p>
    <w:p w14:paraId="43136638" w14:textId="77777777" w:rsidR="00614898" w:rsidRPr="000075CD" w:rsidRDefault="00614898" w:rsidP="008F0BD9">
      <w:pPr>
        <w:pStyle w:val="BodyTextMain"/>
        <w:rPr>
          <w:lang w:val="en-GB"/>
        </w:rPr>
      </w:pPr>
    </w:p>
    <w:p w14:paraId="5A4552A0" w14:textId="77777777" w:rsidR="00614898" w:rsidRPr="000075CD" w:rsidRDefault="00614898" w:rsidP="008F0BD9">
      <w:pPr>
        <w:pStyle w:val="Casehead1"/>
        <w:rPr>
          <w:lang w:val="en-GB"/>
        </w:rPr>
      </w:pPr>
      <w:r w:rsidRPr="000075CD">
        <w:rPr>
          <w:lang w:val="en-GB"/>
        </w:rPr>
        <w:t>CONCLUSION</w:t>
      </w:r>
    </w:p>
    <w:p w14:paraId="307FADA0" w14:textId="77777777" w:rsidR="00614898" w:rsidRPr="000075CD" w:rsidRDefault="00614898" w:rsidP="008F0BD9">
      <w:pPr>
        <w:pStyle w:val="BodyTextMain"/>
        <w:rPr>
          <w:lang w:val="en-GB"/>
        </w:rPr>
      </w:pPr>
    </w:p>
    <w:p w14:paraId="576C61F4" w14:textId="6F54652A" w:rsidR="00614898" w:rsidRPr="000075CD" w:rsidRDefault="00614898" w:rsidP="006769EF">
      <w:pPr>
        <w:pStyle w:val="BodyTextMain"/>
        <w:rPr>
          <w:rFonts w:ascii="Arial" w:hAnsi="Arial" w:cs="Arial"/>
          <w:b/>
          <w:lang w:val="en-GB"/>
        </w:rPr>
      </w:pPr>
      <w:r w:rsidRPr="000075CD">
        <w:rPr>
          <w:lang w:val="en-GB"/>
        </w:rPr>
        <w:t>Piltz was thrilled with Thursdays’ past success but was eager to work alongside her mom and uncle to continue to reach consumers across Canada and internationally. With the lease renewal date of July 1, 2020</w:t>
      </w:r>
      <w:r w:rsidR="00F52960">
        <w:rPr>
          <w:lang w:val="en-GB"/>
        </w:rPr>
        <w:t>,</w:t>
      </w:r>
      <w:r w:rsidRPr="000075CD">
        <w:rPr>
          <w:lang w:val="en-GB"/>
        </w:rPr>
        <w:t xml:space="preserve"> for the Exchange Tower store, Piltz </w:t>
      </w:r>
      <w:r w:rsidR="00F52960">
        <w:rPr>
          <w:lang w:val="en-GB"/>
        </w:rPr>
        <w:t>needed</w:t>
      </w:r>
      <w:r w:rsidR="00F52960" w:rsidRPr="000075CD">
        <w:rPr>
          <w:lang w:val="en-GB"/>
        </w:rPr>
        <w:t xml:space="preserve"> </w:t>
      </w:r>
      <w:r w:rsidRPr="000075CD">
        <w:rPr>
          <w:lang w:val="en-GB"/>
        </w:rPr>
        <w:t xml:space="preserve">to come to a decision quickly. Based on the current economic environment and the unknowns surrounding the </w:t>
      </w:r>
      <w:r w:rsidR="00F52960" w:rsidRPr="000075CD">
        <w:rPr>
          <w:lang w:val="en-GB"/>
        </w:rPr>
        <w:t>C</w:t>
      </w:r>
      <w:r w:rsidR="00F52960">
        <w:rPr>
          <w:lang w:val="en-GB"/>
        </w:rPr>
        <w:t>OVID</w:t>
      </w:r>
      <w:r w:rsidRPr="000075CD">
        <w:rPr>
          <w:lang w:val="en-GB"/>
        </w:rPr>
        <w:t>-19 pandemic, Piltz hoped that whether she chose to focus on the online store with influencer marketing or maintain the Exchange Tower location, her decision would result in a profit of at least $300,000.</w:t>
      </w:r>
      <w:r w:rsidRPr="000075CD">
        <w:rPr>
          <w:rFonts w:ascii="Arial" w:hAnsi="Arial" w:cs="Arial"/>
          <w:b/>
          <w:lang w:val="en-GB"/>
        </w:rPr>
        <w:br w:type="page"/>
      </w:r>
    </w:p>
    <w:p w14:paraId="5CC27A78" w14:textId="439A408C" w:rsidR="00614898" w:rsidRPr="000075CD" w:rsidRDefault="00614898" w:rsidP="00614898">
      <w:pPr>
        <w:pStyle w:val="ExhibitHeading"/>
        <w:rPr>
          <w:lang w:val="en-GB"/>
        </w:rPr>
      </w:pPr>
      <w:r w:rsidRPr="000075CD">
        <w:rPr>
          <w:lang w:val="en-GB"/>
        </w:rPr>
        <w:lastRenderedPageBreak/>
        <w:t xml:space="preserve">EXHIBIT 1: </w:t>
      </w:r>
      <w:r w:rsidR="00F52960">
        <w:rPr>
          <w:lang w:val="en-GB"/>
        </w:rPr>
        <w:t xml:space="preserve">shop thursdays’ </w:t>
      </w:r>
      <w:r w:rsidRPr="000075CD">
        <w:rPr>
          <w:lang w:val="en-GB"/>
        </w:rPr>
        <w:t xml:space="preserve">SELLING PRICES AND WHOLESALE COSTS BY PRODUCT TYPE </w:t>
      </w:r>
      <w:r w:rsidR="00C12759">
        <w:rPr>
          <w:lang w:val="en-GB"/>
        </w:rPr>
        <w:t>(IN CA$)</w:t>
      </w:r>
    </w:p>
    <w:p w14:paraId="2BE1361F" w14:textId="77777777" w:rsidR="00614898" w:rsidRPr="000075CD" w:rsidRDefault="00614898" w:rsidP="00614898">
      <w:pPr>
        <w:jc w:val="center"/>
        <w:rPr>
          <w:rFonts w:ascii="Arial" w:hAnsi="Arial" w:cs="Arial"/>
          <w:b/>
          <w:lang w:val="en-GB"/>
        </w:rPr>
      </w:pPr>
    </w:p>
    <w:tbl>
      <w:tblPr>
        <w:tblStyle w:val="TableGridLight1"/>
        <w:tblpPr w:leftFromText="180" w:rightFromText="180" w:vertAnchor="text" w:horzAnchor="margin" w:tblpXSpec="center" w:tblpY="2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Exhibit 1"/>
        <w:tblDescription w:val="Shop Thursdays' selling prices and wholesale costs by product type"/>
      </w:tblPr>
      <w:tblGrid>
        <w:gridCol w:w="2065"/>
        <w:gridCol w:w="2154"/>
        <w:gridCol w:w="2126"/>
      </w:tblGrid>
      <w:tr w:rsidR="00614898" w:rsidRPr="000075CD" w14:paraId="2A8AED84" w14:textId="77777777" w:rsidTr="007910D6">
        <w:trPr>
          <w:trHeight w:val="249"/>
          <w:tblHeader/>
        </w:trPr>
        <w:tc>
          <w:tcPr>
            <w:tcW w:w="2065" w:type="dxa"/>
          </w:tcPr>
          <w:p w14:paraId="79E605A5" w14:textId="77777777" w:rsidR="00614898" w:rsidRPr="000075CD" w:rsidRDefault="00614898" w:rsidP="00F52960">
            <w:pPr>
              <w:jc w:val="center"/>
              <w:rPr>
                <w:rFonts w:ascii="Arial" w:hAnsi="Arial" w:cs="Arial"/>
                <w:b/>
                <w:lang w:val="en-GB"/>
              </w:rPr>
            </w:pPr>
            <w:r w:rsidRPr="000075CD">
              <w:rPr>
                <w:rFonts w:ascii="Arial" w:hAnsi="Arial" w:cs="Arial"/>
                <w:b/>
                <w:lang w:val="en-GB"/>
              </w:rPr>
              <w:t>Item Type</w:t>
            </w:r>
          </w:p>
        </w:tc>
        <w:tc>
          <w:tcPr>
            <w:tcW w:w="2154" w:type="dxa"/>
          </w:tcPr>
          <w:p w14:paraId="0873889A" w14:textId="77777777" w:rsidR="00614898" w:rsidRPr="000075CD" w:rsidRDefault="00614898" w:rsidP="00F52960">
            <w:pPr>
              <w:jc w:val="center"/>
              <w:rPr>
                <w:rFonts w:ascii="Arial" w:hAnsi="Arial" w:cs="Arial"/>
                <w:b/>
                <w:lang w:val="en-GB"/>
              </w:rPr>
            </w:pPr>
            <w:r w:rsidRPr="000075CD">
              <w:rPr>
                <w:rFonts w:ascii="Arial" w:hAnsi="Arial" w:cs="Arial"/>
                <w:b/>
                <w:lang w:val="en-GB"/>
              </w:rPr>
              <w:t>Selling Price</w:t>
            </w:r>
          </w:p>
        </w:tc>
        <w:tc>
          <w:tcPr>
            <w:tcW w:w="2126" w:type="dxa"/>
          </w:tcPr>
          <w:p w14:paraId="534C2096" w14:textId="77777777" w:rsidR="00614898" w:rsidRPr="000075CD" w:rsidRDefault="00614898" w:rsidP="00F52960">
            <w:pPr>
              <w:jc w:val="center"/>
              <w:rPr>
                <w:rFonts w:ascii="Arial" w:hAnsi="Arial" w:cs="Arial"/>
                <w:b/>
                <w:lang w:val="en-GB"/>
              </w:rPr>
            </w:pPr>
            <w:r w:rsidRPr="000075CD">
              <w:rPr>
                <w:rFonts w:ascii="Arial" w:hAnsi="Arial" w:cs="Arial"/>
                <w:b/>
                <w:lang w:val="en-GB"/>
              </w:rPr>
              <w:t>Wholesale Cost</w:t>
            </w:r>
          </w:p>
        </w:tc>
      </w:tr>
      <w:tr w:rsidR="002D64A2" w:rsidRPr="000075CD" w14:paraId="011D7648" w14:textId="77777777" w:rsidTr="007910D6">
        <w:trPr>
          <w:trHeight w:val="763"/>
          <w:tblHeader/>
        </w:trPr>
        <w:tc>
          <w:tcPr>
            <w:tcW w:w="2065" w:type="dxa"/>
          </w:tcPr>
          <w:p w14:paraId="760438DB" w14:textId="77777777" w:rsidR="002D64A2" w:rsidRPr="00FB7A78" w:rsidRDefault="002D64A2" w:rsidP="002D64A2">
            <w:pPr>
              <w:rPr>
                <w:rFonts w:ascii="Arial" w:hAnsi="Arial" w:cs="Arial"/>
                <w:lang w:val="en-GB"/>
              </w:rPr>
            </w:pPr>
          </w:p>
          <w:p w14:paraId="6BB4E6CE" w14:textId="17219CEE" w:rsidR="002D64A2" w:rsidRPr="00FB7A78" w:rsidRDefault="002D64A2" w:rsidP="002D64A2">
            <w:pPr>
              <w:rPr>
                <w:rFonts w:ascii="Arial" w:hAnsi="Arial" w:cs="Arial"/>
                <w:lang w:val="en-GB"/>
              </w:rPr>
            </w:pPr>
            <w:r w:rsidRPr="00FB7A78">
              <w:rPr>
                <w:rFonts w:ascii="Arial" w:hAnsi="Arial" w:cs="Arial"/>
                <w:lang w:val="en-GB"/>
              </w:rPr>
              <w:t>Cashmere Lounge Set</w:t>
            </w:r>
          </w:p>
        </w:tc>
        <w:tc>
          <w:tcPr>
            <w:tcW w:w="2154" w:type="dxa"/>
          </w:tcPr>
          <w:p w14:paraId="16076C84" w14:textId="77777777" w:rsidR="002D64A2" w:rsidRPr="00E600CC" w:rsidRDefault="002D64A2" w:rsidP="002D64A2">
            <w:pPr>
              <w:tabs>
                <w:tab w:val="decimal" w:pos="1248"/>
              </w:tabs>
              <w:jc w:val="center"/>
              <w:rPr>
                <w:rFonts w:ascii="Arial" w:hAnsi="Arial" w:cs="Arial"/>
                <w:lang w:val="en-GB"/>
              </w:rPr>
            </w:pPr>
          </w:p>
          <w:p w14:paraId="35DACB36" w14:textId="48163C61" w:rsidR="002D64A2" w:rsidRPr="00E600CC" w:rsidRDefault="002D64A2" w:rsidP="002D64A2">
            <w:pPr>
              <w:tabs>
                <w:tab w:val="decimal" w:pos="1248"/>
              </w:tabs>
              <w:rPr>
                <w:rFonts w:ascii="Arial" w:hAnsi="Arial" w:cs="Arial"/>
                <w:lang w:val="en-GB"/>
              </w:rPr>
            </w:pPr>
            <w:r w:rsidRPr="00E600CC">
              <w:rPr>
                <w:rFonts w:ascii="Arial" w:hAnsi="Arial" w:cs="Arial"/>
                <w:lang w:val="en-GB"/>
              </w:rPr>
              <w:t>$670.00</w:t>
            </w:r>
          </w:p>
        </w:tc>
        <w:tc>
          <w:tcPr>
            <w:tcW w:w="2126" w:type="dxa"/>
          </w:tcPr>
          <w:p w14:paraId="25B2A67E" w14:textId="77777777" w:rsidR="002D64A2" w:rsidRPr="00E600CC" w:rsidRDefault="002D64A2" w:rsidP="002D64A2">
            <w:pPr>
              <w:jc w:val="center"/>
              <w:rPr>
                <w:rFonts w:ascii="Arial" w:hAnsi="Arial" w:cs="Arial"/>
                <w:lang w:val="en-GB"/>
              </w:rPr>
            </w:pPr>
          </w:p>
          <w:p w14:paraId="51A9FB60" w14:textId="18172244" w:rsidR="002D64A2" w:rsidRPr="00E600CC" w:rsidRDefault="002D64A2" w:rsidP="002D64A2">
            <w:pPr>
              <w:tabs>
                <w:tab w:val="decimal" w:pos="1258"/>
              </w:tabs>
              <w:rPr>
                <w:rFonts w:ascii="Arial" w:hAnsi="Arial" w:cs="Arial"/>
                <w:lang w:val="en-GB"/>
              </w:rPr>
            </w:pPr>
            <w:r w:rsidRPr="00E600CC">
              <w:rPr>
                <w:rFonts w:ascii="Arial" w:hAnsi="Arial" w:cs="Arial"/>
                <w:lang w:val="en-GB"/>
              </w:rPr>
              <w:t>$255.00</w:t>
            </w:r>
          </w:p>
        </w:tc>
      </w:tr>
      <w:tr w:rsidR="002D64A2" w:rsidRPr="000075CD" w14:paraId="43C7F0FE" w14:textId="77777777" w:rsidTr="007910D6">
        <w:trPr>
          <w:trHeight w:val="763"/>
          <w:tblHeader/>
        </w:trPr>
        <w:tc>
          <w:tcPr>
            <w:tcW w:w="2065" w:type="dxa"/>
          </w:tcPr>
          <w:p w14:paraId="624F6AEA" w14:textId="77777777" w:rsidR="002D64A2" w:rsidRPr="00FB7A78" w:rsidRDefault="002D64A2" w:rsidP="002D64A2">
            <w:pPr>
              <w:rPr>
                <w:rFonts w:ascii="Arial" w:hAnsi="Arial" w:cs="Arial"/>
                <w:lang w:val="en-GB"/>
              </w:rPr>
            </w:pPr>
          </w:p>
          <w:p w14:paraId="1BC58D25" w14:textId="4A8A5A0D" w:rsidR="002D64A2" w:rsidRPr="00FB7A78" w:rsidRDefault="002D64A2" w:rsidP="002D64A2">
            <w:pPr>
              <w:rPr>
                <w:rFonts w:ascii="Arial" w:hAnsi="Arial" w:cs="Arial"/>
                <w:lang w:val="en-GB"/>
              </w:rPr>
            </w:pPr>
            <w:r w:rsidRPr="00FB7A78">
              <w:rPr>
                <w:rFonts w:ascii="Arial" w:hAnsi="Arial" w:cs="Arial"/>
                <w:lang w:val="en-GB"/>
              </w:rPr>
              <w:t>Non-Cashmere Lounge Set</w:t>
            </w:r>
          </w:p>
          <w:p w14:paraId="04C4863B" w14:textId="77777777" w:rsidR="002D64A2" w:rsidRPr="00FB7A78" w:rsidRDefault="002D64A2" w:rsidP="002D64A2">
            <w:pPr>
              <w:rPr>
                <w:rFonts w:ascii="Arial" w:hAnsi="Arial" w:cs="Arial"/>
                <w:lang w:val="en-GB"/>
              </w:rPr>
            </w:pPr>
          </w:p>
        </w:tc>
        <w:tc>
          <w:tcPr>
            <w:tcW w:w="2154" w:type="dxa"/>
          </w:tcPr>
          <w:p w14:paraId="025E4B59" w14:textId="77777777" w:rsidR="002D64A2" w:rsidRPr="00E600CC" w:rsidRDefault="002D64A2" w:rsidP="002D64A2">
            <w:pPr>
              <w:tabs>
                <w:tab w:val="decimal" w:pos="1248"/>
              </w:tabs>
              <w:rPr>
                <w:rFonts w:ascii="Arial" w:hAnsi="Arial" w:cs="Arial"/>
                <w:lang w:val="en-GB"/>
              </w:rPr>
            </w:pPr>
          </w:p>
          <w:p w14:paraId="767D3480" w14:textId="38AD8C46" w:rsidR="002D64A2" w:rsidRPr="00E600CC" w:rsidRDefault="002D64A2" w:rsidP="002D64A2">
            <w:pPr>
              <w:tabs>
                <w:tab w:val="decimal" w:pos="1248"/>
              </w:tabs>
              <w:rPr>
                <w:rFonts w:ascii="Arial" w:hAnsi="Arial" w:cs="Arial"/>
                <w:lang w:val="en-GB"/>
              </w:rPr>
            </w:pPr>
            <w:r w:rsidRPr="00E600CC">
              <w:rPr>
                <w:rFonts w:ascii="Arial" w:hAnsi="Arial" w:cs="Arial"/>
                <w:lang w:val="en-GB"/>
              </w:rPr>
              <w:t>$195.00</w:t>
            </w:r>
          </w:p>
        </w:tc>
        <w:tc>
          <w:tcPr>
            <w:tcW w:w="2126" w:type="dxa"/>
          </w:tcPr>
          <w:p w14:paraId="3C5401EC" w14:textId="77777777" w:rsidR="002D64A2" w:rsidRPr="00E600CC" w:rsidRDefault="002D64A2" w:rsidP="002D64A2">
            <w:pPr>
              <w:tabs>
                <w:tab w:val="decimal" w:pos="1258"/>
              </w:tabs>
              <w:jc w:val="center"/>
              <w:rPr>
                <w:rFonts w:ascii="Arial" w:hAnsi="Arial" w:cs="Arial"/>
                <w:lang w:val="en-GB"/>
              </w:rPr>
            </w:pPr>
          </w:p>
          <w:p w14:paraId="7DDA8908" w14:textId="74EB3451" w:rsidR="002D64A2" w:rsidRPr="00E600CC" w:rsidRDefault="002D64A2" w:rsidP="002D64A2">
            <w:pPr>
              <w:tabs>
                <w:tab w:val="decimal" w:pos="1258"/>
              </w:tabs>
              <w:rPr>
                <w:rFonts w:ascii="Arial" w:hAnsi="Arial" w:cs="Arial"/>
                <w:lang w:val="en-GB"/>
              </w:rPr>
            </w:pPr>
            <w:r w:rsidRPr="00E600CC">
              <w:rPr>
                <w:rFonts w:ascii="Arial" w:hAnsi="Arial" w:cs="Arial"/>
                <w:lang w:val="en-GB"/>
              </w:rPr>
              <w:t>$90.00</w:t>
            </w:r>
          </w:p>
        </w:tc>
      </w:tr>
      <w:tr w:rsidR="002D64A2" w:rsidRPr="000075CD" w14:paraId="3FA9BA1A" w14:textId="77777777" w:rsidTr="007910D6">
        <w:trPr>
          <w:trHeight w:val="763"/>
          <w:tblHeader/>
        </w:trPr>
        <w:tc>
          <w:tcPr>
            <w:tcW w:w="2065" w:type="dxa"/>
          </w:tcPr>
          <w:p w14:paraId="68750821" w14:textId="77777777" w:rsidR="002D64A2" w:rsidRPr="00FB7A78" w:rsidRDefault="002D64A2" w:rsidP="002D64A2">
            <w:pPr>
              <w:rPr>
                <w:rFonts w:ascii="Arial" w:hAnsi="Arial" w:cs="Arial"/>
                <w:lang w:val="en-GB"/>
              </w:rPr>
            </w:pPr>
          </w:p>
          <w:p w14:paraId="6CC5BB3E" w14:textId="7E42EDED" w:rsidR="002D64A2" w:rsidRPr="00FB7A78" w:rsidRDefault="002D64A2" w:rsidP="002D64A2">
            <w:pPr>
              <w:rPr>
                <w:rFonts w:ascii="Arial" w:hAnsi="Arial" w:cs="Arial"/>
                <w:lang w:val="en-GB"/>
              </w:rPr>
            </w:pPr>
            <w:r w:rsidRPr="00FB7A78">
              <w:rPr>
                <w:rFonts w:ascii="Arial" w:hAnsi="Arial" w:cs="Arial"/>
                <w:lang w:val="en-GB"/>
              </w:rPr>
              <w:t>Pants</w:t>
            </w:r>
          </w:p>
        </w:tc>
        <w:tc>
          <w:tcPr>
            <w:tcW w:w="2154" w:type="dxa"/>
          </w:tcPr>
          <w:p w14:paraId="78AD30E2" w14:textId="77777777" w:rsidR="002D64A2" w:rsidRPr="00E600CC" w:rsidRDefault="002D64A2" w:rsidP="002D64A2">
            <w:pPr>
              <w:tabs>
                <w:tab w:val="decimal" w:pos="1248"/>
              </w:tabs>
              <w:jc w:val="center"/>
              <w:rPr>
                <w:rFonts w:ascii="Arial" w:hAnsi="Arial" w:cs="Arial"/>
                <w:lang w:val="en-GB"/>
              </w:rPr>
            </w:pPr>
          </w:p>
          <w:p w14:paraId="27393594" w14:textId="68AE8984" w:rsidR="002D64A2" w:rsidRPr="00E600CC" w:rsidRDefault="002D64A2" w:rsidP="002D64A2">
            <w:pPr>
              <w:tabs>
                <w:tab w:val="decimal" w:pos="1248"/>
              </w:tabs>
              <w:rPr>
                <w:rFonts w:ascii="Arial" w:hAnsi="Arial" w:cs="Arial"/>
                <w:lang w:val="en-GB"/>
              </w:rPr>
            </w:pPr>
            <w:r w:rsidRPr="00E600CC">
              <w:rPr>
                <w:rFonts w:ascii="Arial" w:hAnsi="Arial" w:cs="Arial"/>
                <w:lang w:val="en-GB"/>
              </w:rPr>
              <w:t>$150.00</w:t>
            </w:r>
          </w:p>
        </w:tc>
        <w:tc>
          <w:tcPr>
            <w:tcW w:w="2126" w:type="dxa"/>
          </w:tcPr>
          <w:p w14:paraId="58C942C2" w14:textId="77777777" w:rsidR="002D64A2" w:rsidRPr="00E600CC" w:rsidRDefault="002D64A2" w:rsidP="002D64A2">
            <w:pPr>
              <w:tabs>
                <w:tab w:val="decimal" w:pos="1258"/>
              </w:tabs>
              <w:jc w:val="center"/>
              <w:rPr>
                <w:rFonts w:ascii="Arial" w:hAnsi="Arial" w:cs="Arial"/>
                <w:lang w:val="en-GB"/>
              </w:rPr>
            </w:pPr>
          </w:p>
          <w:p w14:paraId="3C12FE12" w14:textId="0ADE86DD" w:rsidR="002D64A2" w:rsidRPr="00E600CC" w:rsidRDefault="002D64A2" w:rsidP="002D64A2">
            <w:pPr>
              <w:tabs>
                <w:tab w:val="decimal" w:pos="1258"/>
              </w:tabs>
              <w:rPr>
                <w:rFonts w:ascii="Arial" w:hAnsi="Arial" w:cs="Arial"/>
                <w:lang w:val="en-GB"/>
              </w:rPr>
            </w:pPr>
            <w:r w:rsidRPr="00E600CC">
              <w:rPr>
                <w:rFonts w:ascii="Arial" w:hAnsi="Arial" w:cs="Arial"/>
                <w:lang w:val="en-GB"/>
              </w:rPr>
              <w:t>$70.00</w:t>
            </w:r>
          </w:p>
        </w:tc>
      </w:tr>
      <w:tr w:rsidR="002D64A2" w:rsidRPr="000075CD" w14:paraId="1D8A0F15" w14:textId="77777777" w:rsidTr="007910D6">
        <w:trPr>
          <w:trHeight w:val="763"/>
          <w:tblHeader/>
        </w:trPr>
        <w:tc>
          <w:tcPr>
            <w:tcW w:w="2065" w:type="dxa"/>
          </w:tcPr>
          <w:p w14:paraId="6D554ECF" w14:textId="77777777" w:rsidR="002D64A2" w:rsidRPr="00FB7A78" w:rsidRDefault="002D64A2" w:rsidP="002D64A2">
            <w:pPr>
              <w:rPr>
                <w:rFonts w:ascii="Arial" w:hAnsi="Arial" w:cs="Arial"/>
                <w:lang w:val="en-GB"/>
              </w:rPr>
            </w:pPr>
          </w:p>
          <w:p w14:paraId="7CBD5375" w14:textId="15E89412" w:rsidR="002D64A2" w:rsidRPr="00FB7A78" w:rsidRDefault="002D64A2" w:rsidP="002D64A2">
            <w:pPr>
              <w:rPr>
                <w:rFonts w:ascii="Arial" w:hAnsi="Arial" w:cs="Arial"/>
                <w:lang w:val="en-GB"/>
              </w:rPr>
            </w:pPr>
            <w:r w:rsidRPr="00FB7A78">
              <w:rPr>
                <w:rFonts w:ascii="Arial" w:hAnsi="Arial" w:cs="Arial"/>
                <w:lang w:val="en-GB"/>
              </w:rPr>
              <w:t>Dress</w:t>
            </w:r>
          </w:p>
          <w:p w14:paraId="06379DE1" w14:textId="77777777" w:rsidR="002D64A2" w:rsidRPr="00FB7A78" w:rsidRDefault="002D64A2" w:rsidP="002D64A2">
            <w:pPr>
              <w:rPr>
                <w:rFonts w:ascii="Arial" w:hAnsi="Arial" w:cs="Arial"/>
                <w:lang w:val="en-GB"/>
              </w:rPr>
            </w:pPr>
          </w:p>
        </w:tc>
        <w:tc>
          <w:tcPr>
            <w:tcW w:w="2154" w:type="dxa"/>
          </w:tcPr>
          <w:p w14:paraId="1EB06348" w14:textId="77777777" w:rsidR="002D64A2" w:rsidRPr="00E600CC" w:rsidRDefault="002D64A2" w:rsidP="002D64A2">
            <w:pPr>
              <w:tabs>
                <w:tab w:val="decimal" w:pos="1248"/>
              </w:tabs>
              <w:jc w:val="center"/>
              <w:rPr>
                <w:rFonts w:ascii="Arial" w:hAnsi="Arial" w:cs="Arial"/>
                <w:lang w:val="en-GB"/>
              </w:rPr>
            </w:pPr>
          </w:p>
          <w:p w14:paraId="6FDD90E1" w14:textId="16852A78" w:rsidR="002D64A2" w:rsidRPr="00E600CC" w:rsidRDefault="002D64A2" w:rsidP="002D64A2">
            <w:pPr>
              <w:tabs>
                <w:tab w:val="decimal" w:pos="1248"/>
              </w:tabs>
              <w:rPr>
                <w:rFonts w:ascii="Arial" w:hAnsi="Arial" w:cs="Arial"/>
                <w:lang w:val="en-GB"/>
              </w:rPr>
            </w:pPr>
            <w:r w:rsidRPr="00E600CC">
              <w:rPr>
                <w:rFonts w:ascii="Arial" w:hAnsi="Arial" w:cs="Arial"/>
                <w:lang w:val="en-GB"/>
              </w:rPr>
              <w:t>$140.00</w:t>
            </w:r>
          </w:p>
        </w:tc>
        <w:tc>
          <w:tcPr>
            <w:tcW w:w="2126" w:type="dxa"/>
          </w:tcPr>
          <w:p w14:paraId="220BEBC5" w14:textId="77777777" w:rsidR="002D64A2" w:rsidRPr="00E600CC" w:rsidRDefault="002D64A2" w:rsidP="002D64A2">
            <w:pPr>
              <w:tabs>
                <w:tab w:val="decimal" w:pos="1258"/>
              </w:tabs>
              <w:jc w:val="center"/>
              <w:rPr>
                <w:rFonts w:ascii="Arial" w:hAnsi="Arial" w:cs="Arial"/>
                <w:lang w:val="en-GB"/>
              </w:rPr>
            </w:pPr>
          </w:p>
          <w:p w14:paraId="3E60AAED" w14:textId="0DBAEC5A" w:rsidR="002D64A2" w:rsidRPr="00E600CC" w:rsidRDefault="002D64A2" w:rsidP="002D64A2">
            <w:pPr>
              <w:tabs>
                <w:tab w:val="decimal" w:pos="1258"/>
              </w:tabs>
              <w:rPr>
                <w:rFonts w:ascii="Arial" w:hAnsi="Arial" w:cs="Arial"/>
                <w:lang w:val="en-GB"/>
              </w:rPr>
            </w:pPr>
            <w:r w:rsidRPr="00E600CC">
              <w:rPr>
                <w:rFonts w:ascii="Arial" w:hAnsi="Arial" w:cs="Arial"/>
                <w:lang w:val="en-GB"/>
              </w:rPr>
              <w:t>$65.00</w:t>
            </w:r>
          </w:p>
        </w:tc>
      </w:tr>
      <w:tr w:rsidR="002D64A2" w:rsidRPr="000075CD" w14:paraId="31E8940C" w14:textId="77777777" w:rsidTr="007910D6">
        <w:trPr>
          <w:trHeight w:val="757"/>
          <w:tblHeader/>
        </w:trPr>
        <w:tc>
          <w:tcPr>
            <w:tcW w:w="2065" w:type="dxa"/>
          </w:tcPr>
          <w:p w14:paraId="547148F5" w14:textId="77777777" w:rsidR="002D64A2" w:rsidRPr="00FB7A78" w:rsidRDefault="002D64A2" w:rsidP="002D64A2">
            <w:pPr>
              <w:rPr>
                <w:rFonts w:ascii="Arial" w:hAnsi="Arial" w:cs="Arial"/>
                <w:lang w:val="en-GB"/>
              </w:rPr>
            </w:pPr>
          </w:p>
          <w:p w14:paraId="1908BEEA" w14:textId="5709F95B" w:rsidR="002D64A2" w:rsidRPr="00FB7A78" w:rsidRDefault="002D64A2" w:rsidP="002D64A2">
            <w:pPr>
              <w:rPr>
                <w:rFonts w:ascii="Arial" w:hAnsi="Arial" w:cs="Arial"/>
                <w:lang w:val="en-GB"/>
              </w:rPr>
            </w:pPr>
            <w:r w:rsidRPr="00FB7A78">
              <w:rPr>
                <w:rFonts w:ascii="Arial" w:hAnsi="Arial" w:cs="Arial"/>
                <w:lang w:val="en-GB"/>
              </w:rPr>
              <w:t>Shirt</w:t>
            </w:r>
          </w:p>
        </w:tc>
        <w:tc>
          <w:tcPr>
            <w:tcW w:w="2154" w:type="dxa"/>
          </w:tcPr>
          <w:p w14:paraId="7F90DDA9" w14:textId="77777777" w:rsidR="002D64A2" w:rsidRPr="00E600CC" w:rsidRDefault="002D64A2" w:rsidP="002D64A2">
            <w:pPr>
              <w:tabs>
                <w:tab w:val="decimal" w:pos="1248"/>
              </w:tabs>
              <w:jc w:val="center"/>
              <w:rPr>
                <w:rFonts w:ascii="Arial" w:hAnsi="Arial" w:cs="Arial"/>
                <w:lang w:val="en-GB"/>
              </w:rPr>
            </w:pPr>
          </w:p>
          <w:p w14:paraId="7394A79C" w14:textId="34B00EE5" w:rsidR="002D64A2" w:rsidRPr="00E600CC" w:rsidRDefault="002D64A2" w:rsidP="002D64A2">
            <w:pPr>
              <w:tabs>
                <w:tab w:val="decimal" w:pos="1248"/>
              </w:tabs>
              <w:rPr>
                <w:rFonts w:ascii="Arial" w:hAnsi="Arial" w:cs="Arial"/>
                <w:lang w:val="en-GB"/>
              </w:rPr>
            </w:pPr>
            <w:r w:rsidRPr="00E600CC">
              <w:rPr>
                <w:rFonts w:ascii="Arial" w:hAnsi="Arial" w:cs="Arial"/>
                <w:lang w:val="en-GB"/>
              </w:rPr>
              <w:t>$90.00</w:t>
            </w:r>
          </w:p>
        </w:tc>
        <w:tc>
          <w:tcPr>
            <w:tcW w:w="2126" w:type="dxa"/>
          </w:tcPr>
          <w:p w14:paraId="28EEF865" w14:textId="77777777" w:rsidR="002D64A2" w:rsidRPr="00E600CC" w:rsidRDefault="002D64A2" w:rsidP="002D64A2">
            <w:pPr>
              <w:tabs>
                <w:tab w:val="decimal" w:pos="1258"/>
              </w:tabs>
              <w:rPr>
                <w:rFonts w:ascii="Arial" w:hAnsi="Arial" w:cs="Arial"/>
                <w:lang w:val="en-GB"/>
              </w:rPr>
            </w:pPr>
          </w:p>
          <w:p w14:paraId="72BC03BE" w14:textId="6138442D" w:rsidR="002D64A2" w:rsidRPr="00E600CC" w:rsidRDefault="002D64A2" w:rsidP="002D64A2">
            <w:pPr>
              <w:tabs>
                <w:tab w:val="decimal" w:pos="1258"/>
                <w:tab w:val="left" w:pos="1905"/>
              </w:tabs>
              <w:rPr>
                <w:rFonts w:ascii="Arial" w:hAnsi="Arial" w:cs="Arial"/>
                <w:lang w:val="en-GB"/>
              </w:rPr>
            </w:pPr>
            <w:r w:rsidRPr="00E600CC">
              <w:rPr>
                <w:rFonts w:ascii="Arial" w:hAnsi="Arial" w:cs="Arial"/>
                <w:lang w:val="en-GB"/>
              </w:rPr>
              <w:tab/>
              <w:t>$45.00</w:t>
            </w:r>
          </w:p>
        </w:tc>
      </w:tr>
    </w:tbl>
    <w:p w14:paraId="42846C4C" w14:textId="77777777" w:rsidR="00614898" w:rsidRPr="000075CD" w:rsidRDefault="00614898" w:rsidP="00614898">
      <w:pPr>
        <w:rPr>
          <w:b/>
          <w:sz w:val="24"/>
          <w:szCs w:val="24"/>
          <w:lang w:val="en-GB"/>
        </w:rPr>
      </w:pPr>
    </w:p>
    <w:p w14:paraId="6D3B7493" w14:textId="77777777" w:rsidR="00614898" w:rsidRPr="000075CD" w:rsidRDefault="00614898" w:rsidP="00614898">
      <w:pPr>
        <w:jc w:val="center"/>
        <w:rPr>
          <w:b/>
          <w:sz w:val="24"/>
          <w:szCs w:val="24"/>
          <w:lang w:val="en-GB"/>
        </w:rPr>
      </w:pPr>
    </w:p>
    <w:p w14:paraId="1CF42ADC" w14:textId="77777777" w:rsidR="00614898" w:rsidRPr="000075CD" w:rsidRDefault="00614898" w:rsidP="00614898">
      <w:pPr>
        <w:jc w:val="center"/>
        <w:rPr>
          <w:b/>
          <w:sz w:val="24"/>
          <w:szCs w:val="24"/>
          <w:lang w:val="en-GB"/>
        </w:rPr>
      </w:pPr>
    </w:p>
    <w:p w14:paraId="5E1CEC59" w14:textId="77777777" w:rsidR="00614898" w:rsidRPr="000075CD" w:rsidRDefault="00614898" w:rsidP="00614898">
      <w:pPr>
        <w:jc w:val="center"/>
        <w:rPr>
          <w:b/>
          <w:sz w:val="24"/>
          <w:szCs w:val="24"/>
          <w:lang w:val="en-GB"/>
        </w:rPr>
      </w:pPr>
    </w:p>
    <w:p w14:paraId="16A3F58A" w14:textId="77777777" w:rsidR="00614898" w:rsidRPr="000075CD" w:rsidRDefault="00614898" w:rsidP="00614898">
      <w:pPr>
        <w:jc w:val="center"/>
        <w:rPr>
          <w:b/>
          <w:sz w:val="24"/>
          <w:szCs w:val="24"/>
          <w:lang w:val="en-GB"/>
        </w:rPr>
      </w:pPr>
    </w:p>
    <w:p w14:paraId="2B0F757E" w14:textId="77777777" w:rsidR="00614898" w:rsidRPr="000075CD" w:rsidRDefault="00614898" w:rsidP="00614898">
      <w:pPr>
        <w:jc w:val="center"/>
        <w:rPr>
          <w:b/>
          <w:sz w:val="24"/>
          <w:szCs w:val="24"/>
          <w:lang w:val="en-GB"/>
        </w:rPr>
      </w:pPr>
    </w:p>
    <w:p w14:paraId="0B1B2BC2" w14:textId="77777777" w:rsidR="00614898" w:rsidRPr="000075CD" w:rsidRDefault="00614898" w:rsidP="00614898">
      <w:pPr>
        <w:jc w:val="center"/>
        <w:rPr>
          <w:b/>
          <w:sz w:val="24"/>
          <w:szCs w:val="24"/>
          <w:lang w:val="en-GB"/>
        </w:rPr>
      </w:pPr>
    </w:p>
    <w:p w14:paraId="2C6A61CF" w14:textId="77777777" w:rsidR="00614898" w:rsidRPr="000075CD" w:rsidRDefault="00614898" w:rsidP="00614898">
      <w:pPr>
        <w:jc w:val="center"/>
        <w:rPr>
          <w:b/>
          <w:sz w:val="24"/>
          <w:szCs w:val="24"/>
          <w:lang w:val="en-GB"/>
        </w:rPr>
      </w:pPr>
    </w:p>
    <w:p w14:paraId="0836FBBF" w14:textId="77777777" w:rsidR="00614898" w:rsidRPr="000075CD" w:rsidRDefault="00614898" w:rsidP="00614898">
      <w:pPr>
        <w:ind w:firstLine="720"/>
        <w:jc w:val="both"/>
        <w:rPr>
          <w:rFonts w:ascii="Arial" w:hAnsi="Arial" w:cs="Arial"/>
          <w:sz w:val="17"/>
          <w:szCs w:val="17"/>
          <w:lang w:val="en-GB"/>
        </w:rPr>
      </w:pPr>
    </w:p>
    <w:p w14:paraId="30FB03F3" w14:textId="77777777" w:rsidR="00E600CC" w:rsidRDefault="00E600CC" w:rsidP="00614898">
      <w:pPr>
        <w:pStyle w:val="Footnote"/>
        <w:rPr>
          <w:lang w:val="en-GB"/>
        </w:rPr>
      </w:pPr>
    </w:p>
    <w:p w14:paraId="28D35726" w14:textId="77777777" w:rsidR="00E600CC" w:rsidRDefault="00E600CC" w:rsidP="00614898">
      <w:pPr>
        <w:pStyle w:val="Footnote"/>
        <w:rPr>
          <w:lang w:val="en-GB"/>
        </w:rPr>
      </w:pPr>
    </w:p>
    <w:p w14:paraId="4EC3066D" w14:textId="77777777" w:rsidR="00E600CC" w:rsidRDefault="00E600CC" w:rsidP="00614898">
      <w:pPr>
        <w:pStyle w:val="Footnote"/>
        <w:rPr>
          <w:lang w:val="en-GB"/>
        </w:rPr>
      </w:pPr>
    </w:p>
    <w:p w14:paraId="2ADA513A" w14:textId="77777777" w:rsidR="00E600CC" w:rsidRDefault="00E600CC" w:rsidP="00614898">
      <w:pPr>
        <w:pStyle w:val="Footnote"/>
        <w:rPr>
          <w:lang w:val="en-GB"/>
        </w:rPr>
      </w:pPr>
    </w:p>
    <w:p w14:paraId="146AD871" w14:textId="77777777" w:rsidR="00E600CC" w:rsidRDefault="00E600CC" w:rsidP="00614898">
      <w:pPr>
        <w:pStyle w:val="Footnote"/>
        <w:rPr>
          <w:lang w:val="en-GB"/>
        </w:rPr>
      </w:pPr>
    </w:p>
    <w:p w14:paraId="61FE2DA2" w14:textId="77777777" w:rsidR="00E600CC" w:rsidRDefault="00E600CC" w:rsidP="00614898">
      <w:pPr>
        <w:pStyle w:val="Footnote"/>
        <w:rPr>
          <w:lang w:val="en-GB"/>
        </w:rPr>
      </w:pPr>
    </w:p>
    <w:p w14:paraId="6F297DBC" w14:textId="77777777" w:rsidR="00E600CC" w:rsidRDefault="00E600CC" w:rsidP="00614898">
      <w:pPr>
        <w:pStyle w:val="Footnote"/>
        <w:rPr>
          <w:lang w:val="en-GB"/>
        </w:rPr>
      </w:pPr>
    </w:p>
    <w:p w14:paraId="25C985FE" w14:textId="77777777" w:rsidR="00E600CC" w:rsidRDefault="00E600CC" w:rsidP="00614898">
      <w:pPr>
        <w:pStyle w:val="Footnote"/>
        <w:rPr>
          <w:lang w:val="en-GB"/>
        </w:rPr>
      </w:pPr>
    </w:p>
    <w:p w14:paraId="3F261BF1" w14:textId="77777777" w:rsidR="00E600CC" w:rsidRDefault="00E600CC" w:rsidP="00614898">
      <w:pPr>
        <w:pStyle w:val="Footnote"/>
        <w:rPr>
          <w:lang w:val="en-GB"/>
        </w:rPr>
      </w:pPr>
    </w:p>
    <w:p w14:paraId="340ACF02" w14:textId="16C2CE4A" w:rsidR="00E600CC" w:rsidRDefault="00E600CC" w:rsidP="00614898">
      <w:pPr>
        <w:pStyle w:val="Footnote"/>
        <w:rPr>
          <w:lang w:val="en-GB"/>
        </w:rPr>
      </w:pPr>
    </w:p>
    <w:p w14:paraId="4A709CD6" w14:textId="77777777" w:rsidR="00766824" w:rsidRDefault="00766824" w:rsidP="00614898">
      <w:pPr>
        <w:pStyle w:val="Footnote"/>
        <w:rPr>
          <w:lang w:val="en-GB"/>
        </w:rPr>
      </w:pPr>
    </w:p>
    <w:p w14:paraId="4064950B" w14:textId="77777777" w:rsidR="00614898" w:rsidRPr="000075CD" w:rsidRDefault="00614898" w:rsidP="00614898">
      <w:pPr>
        <w:pStyle w:val="Footnote"/>
        <w:rPr>
          <w:b/>
          <w:sz w:val="24"/>
          <w:szCs w:val="24"/>
          <w:lang w:val="en-GB"/>
        </w:rPr>
      </w:pPr>
      <w:r w:rsidRPr="000075CD">
        <w:rPr>
          <w:lang w:val="en-GB"/>
        </w:rPr>
        <w:t>Source: Company files.</w:t>
      </w:r>
    </w:p>
    <w:p w14:paraId="6DB6ABD9" w14:textId="77777777" w:rsidR="00614898" w:rsidRPr="000075CD" w:rsidRDefault="00614898" w:rsidP="00614898">
      <w:pPr>
        <w:rPr>
          <w:rFonts w:ascii="Arial" w:hAnsi="Arial" w:cs="Arial"/>
          <w:b/>
          <w:lang w:val="en-GB"/>
        </w:rPr>
      </w:pPr>
    </w:p>
    <w:p w14:paraId="13EB9068" w14:textId="77777777" w:rsidR="00614898" w:rsidRPr="000075CD" w:rsidRDefault="00614898" w:rsidP="00614898">
      <w:pPr>
        <w:rPr>
          <w:rFonts w:ascii="Arial" w:hAnsi="Arial" w:cs="Arial"/>
          <w:b/>
          <w:lang w:val="en-GB"/>
        </w:rPr>
      </w:pPr>
    </w:p>
    <w:p w14:paraId="4F0FA0E6" w14:textId="1B838B58" w:rsidR="00614898" w:rsidRPr="000075CD" w:rsidRDefault="00614898" w:rsidP="00614898">
      <w:pPr>
        <w:pStyle w:val="ExhibitHeading"/>
        <w:rPr>
          <w:lang w:val="en-GB"/>
        </w:rPr>
      </w:pPr>
      <w:r w:rsidRPr="000075CD">
        <w:rPr>
          <w:lang w:val="en-GB"/>
        </w:rPr>
        <w:t xml:space="preserve">EXHIBIT 2: </w:t>
      </w:r>
      <w:r w:rsidR="00127626">
        <w:rPr>
          <w:lang w:val="en-GB"/>
        </w:rPr>
        <w:t xml:space="preserve">shop thursdays’ </w:t>
      </w:r>
      <w:r w:rsidRPr="000075CD">
        <w:rPr>
          <w:lang w:val="en-GB"/>
        </w:rPr>
        <w:t>ANNUAL PROJECTED COSTS</w:t>
      </w:r>
      <w:r w:rsidR="00127626">
        <w:rPr>
          <w:lang w:val="en-GB"/>
        </w:rPr>
        <w:t>,</w:t>
      </w:r>
      <w:r w:rsidRPr="000075CD">
        <w:rPr>
          <w:lang w:val="en-GB"/>
        </w:rPr>
        <w:t xml:space="preserve"> 2021 FISCAL PERIOD</w:t>
      </w:r>
    </w:p>
    <w:p w14:paraId="259C7D76" w14:textId="77777777" w:rsidR="00614898" w:rsidRPr="000075CD" w:rsidRDefault="00614898" w:rsidP="00614898">
      <w:pPr>
        <w:jc w:val="center"/>
        <w:rPr>
          <w:rFonts w:ascii="Arial" w:hAnsi="Arial" w:cs="Arial"/>
          <w:b/>
          <w:lang w:val="en-GB"/>
        </w:rPr>
      </w:pPr>
    </w:p>
    <w:p w14:paraId="7F85CC8A" w14:textId="77777777" w:rsidR="00614898" w:rsidRPr="000075CD" w:rsidRDefault="00614898" w:rsidP="00614898">
      <w:pPr>
        <w:tabs>
          <w:tab w:val="left" w:pos="953"/>
        </w:tabs>
        <w:jc w:val="center"/>
        <w:rPr>
          <w:rFonts w:ascii="Arial" w:hAnsi="Arial" w:cs="Arial"/>
          <w:b/>
          <w:lang w:val="en-GB"/>
        </w:rPr>
      </w:pPr>
      <w:r w:rsidRPr="000075CD">
        <w:rPr>
          <w:rFonts w:ascii="Arial" w:hAnsi="Arial" w:cs="Arial"/>
          <w:b/>
          <w:lang w:val="en-GB"/>
        </w:rPr>
        <w:t>Exchange Tower Store</w:t>
      </w:r>
    </w:p>
    <w:p w14:paraId="4B04BE92" w14:textId="77777777" w:rsidR="00614898" w:rsidRPr="000075CD" w:rsidRDefault="00614898" w:rsidP="00614898">
      <w:pPr>
        <w:tabs>
          <w:tab w:val="left" w:pos="953"/>
        </w:tabs>
        <w:jc w:val="center"/>
        <w:rPr>
          <w:rFonts w:ascii="Arial" w:hAnsi="Arial" w:cs="Arial"/>
          <w:b/>
          <w:lang w:val="en-GB"/>
        </w:rPr>
      </w:pPr>
    </w:p>
    <w:tbl>
      <w:tblPr>
        <w:tblpPr w:leftFromText="202" w:rightFromText="202" w:vertAnchor="text" w:horzAnchor="margin" w:tblpXSpec="center" w:tblpY="26"/>
        <w:tblW w:w="4839" w:type="dxa"/>
        <w:tblCellMar>
          <w:left w:w="0" w:type="dxa"/>
          <w:right w:w="0" w:type="dxa"/>
        </w:tblCellMar>
        <w:tblLook w:val="04A0" w:firstRow="1" w:lastRow="0" w:firstColumn="1" w:lastColumn="0" w:noHBand="0" w:noVBand="1"/>
        <w:tblCaption w:val="Exhibit 2"/>
        <w:tblDescription w:val="Shop Thursdays' annual projected costs, 2021 fiscal period for Exchange Tower Store "/>
      </w:tblPr>
      <w:tblGrid>
        <w:gridCol w:w="3510"/>
        <w:gridCol w:w="1329"/>
      </w:tblGrid>
      <w:tr w:rsidR="00614898" w:rsidRPr="000075CD" w14:paraId="2EFA033A" w14:textId="77777777" w:rsidTr="00F52960">
        <w:trPr>
          <w:trHeight w:val="246"/>
        </w:trPr>
        <w:tc>
          <w:tcPr>
            <w:tcW w:w="3510" w:type="dxa"/>
            <w:noWrap/>
            <w:tcMar>
              <w:top w:w="0" w:type="dxa"/>
              <w:left w:w="108" w:type="dxa"/>
              <w:bottom w:w="0" w:type="dxa"/>
              <w:right w:w="108" w:type="dxa"/>
            </w:tcMar>
            <w:hideMark/>
          </w:tcPr>
          <w:p w14:paraId="100FCB5F" w14:textId="77777777" w:rsidR="00614898" w:rsidRPr="000075CD" w:rsidRDefault="00614898" w:rsidP="00F52960">
            <w:pPr>
              <w:rPr>
                <w:rFonts w:ascii="Arial" w:eastAsia="Calibri" w:hAnsi="Arial" w:cs="Arial"/>
                <w:color w:val="000000"/>
                <w:lang w:val="en-GB"/>
              </w:rPr>
            </w:pPr>
            <w:r w:rsidRPr="000075CD">
              <w:rPr>
                <w:rFonts w:ascii="Arial" w:hAnsi="Arial" w:cs="Arial"/>
                <w:color w:val="000000"/>
                <w:lang w:val="en-GB"/>
              </w:rPr>
              <w:t>Store Rent</w:t>
            </w:r>
          </w:p>
        </w:tc>
        <w:tc>
          <w:tcPr>
            <w:tcW w:w="1329" w:type="dxa"/>
            <w:noWrap/>
            <w:tcMar>
              <w:top w:w="0" w:type="dxa"/>
              <w:left w:w="108" w:type="dxa"/>
              <w:bottom w:w="0" w:type="dxa"/>
              <w:right w:w="108" w:type="dxa"/>
            </w:tcMar>
            <w:hideMark/>
          </w:tcPr>
          <w:p w14:paraId="48F9B74E" w14:textId="4D8E5EDD"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w:t>
            </w:r>
            <w:r w:rsidR="000075CD" w:rsidRPr="000075CD">
              <w:rPr>
                <w:rFonts w:ascii="Arial" w:hAnsi="Arial" w:cs="Arial"/>
                <w:color w:val="000000"/>
                <w:lang w:val="en-GB"/>
              </w:rPr>
              <w:t xml:space="preserve"> </w:t>
            </w:r>
            <w:r w:rsidRPr="000075CD">
              <w:rPr>
                <w:rFonts w:ascii="Arial" w:hAnsi="Arial" w:cs="Arial"/>
                <w:color w:val="000000"/>
                <w:lang w:val="en-GB"/>
              </w:rPr>
              <w:t>78,000</w:t>
            </w:r>
          </w:p>
        </w:tc>
      </w:tr>
      <w:tr w:rsidR="00614898" w:rsidRPr="000075CD" w14:paraId="1F715836" w14:textId="77777777" w:rsidTr="00F52960">
        <w:trPr>
          <w:trHeight w:val="246"/>
        </w:trPr>
        <w:tc>
          <w:tcPr>
            <w:tcW w:w="3510" w:type="dxa"/>
            <w:noWrap/>
            <w:tcMar>
              <w:top w:w="0" w:type="dxa"/>
              <w:left w:w="108" w:type="dxa"/>
              <w:bottom w:w="0" w:type="dxa"/>
              <w:right w:w="108" w:type="dxa"/>
            </w:tcMar>
          </w:tcPr>
          <w:p w14:paraId="485AA462"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Salaries and Wages</w:t>
            </w:r>
          </w:p>
        </w:tc>
        <w:tc>
          <w:tcPr>
            <w:tcW w:w="1329" w:type="dxa"/>
            <w:noWrap/>
            <w:tcMar>
              <w:top w:w="0" w:type="dxa"/>
              <w:left w:w="108" w:type="dxa"/>
              <w:bottom w:w="0" w:type="dxa"/>
              <w:right w:w="108" w:type="dxa"/>
            </w:tcMar>
          </w:tcPr>
          <w:p w14:paraId="5861150C"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122,320</w:t>
            </w:r>
          </w:p>
        </w:tc>
      </w:tr>
      <w:tr w:rsidR="00614898" w:rsidRPr="000075CD" w14:paraId="72B7959F" w14:textId="77777777" w:rsidTr="00F52960">
        <w:trPr>
          <w:trHeight w:val="246"/>
        </w:trPr>
        <w:tc>
          <w:tcPr>
            <w:tcW w:w="3510" w:type="dxa"/>
            <w:noWrap/>
            <w:tcMar>
              <w:top w:w="0" w:type="dxa"/>
              <w:left w:w="108" w:type="dxa"/>
              <w:bottom w:w="0" w:type="dxa"/>
              <w:right w:w="108" w:type="dxa"/>
            </w:tcMar>
            <w:hideMark/>
          </w:tcPr>
          <w:p w14:paraId="5A51C3D7"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Utilities</w:t>
            </w:r>
          </w:p>
        </w:tc>
        <w:tc>
          <w:tcPr>
            <w:tcW w:w="1329" w:type="dxa"/>
            <w:noWrap/>
            <w:tcMar>
              <w:top w:w="0" w:type="dxa"/>
              <w:left w:w="108" w:type="dxa"/>
              <w:bottom w:w="0" w:type="dxa"/>
              <w:right w:w="108" w:type="dxa"/>
            </w:tcMar>
            <w:hideMark/>
          </w:tcPr>
          <w:p w14:paraId="0DD3001A"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1,440</w:t>
            </w:r>
          </w:p>
        </w:tc>
      </w:tr>
      <w:tr w:rsidR="00614898" w:rsidRPr="000075CD" w14:paraId="0CA78F08" w14:textId="77777777" w:rsidTr="00F52960">
        <w:trPr>
          <w:trHeight w:val="246"/>
        </w:trPr>
        <w:tc>
          <w:tcPr>
            <w:tcW w:w="3510" w:type="dxa"/>
            <w:noWrap/>
            <w:tcMar>
              <w:top w:w="0" w:type="dxa"/>
              <w:left w:w="108" w:type="dxa"/>
              <w:bottom w:w="0" w:type="dxa"/>
              <w:right w:w="108" w:type="dxa"/>
            </w:tcMar>
          </w:tcPr>
          <w:p w14:paraId="07F3ED1A"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Depreciation</w:t>
            </w:r>
          </w:p>
        </w:tc>
        <w:tc>
          <w:tcPr>
            <w:tcW w:w="1329" w:type="dxa"/>
            <w:noWrap/>
            <w:tcMar>
              <w:top w:w="0" w:type="dxa"/>
              <w:left w:w="108" w:type="dxa"/>
              <w:bottom w:w="0" w:type="dxa"/>
              <w:right w:w="108" w:type="dxa"/>
            </w:tcMar>
          </w:tcPr>
          <w:p w14:paraId="33DBA722"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1,615</w:t>
            </w:r>
          </w:p>
        </w:tc>
      </w:tr>
      <w:tr w:rsidR="00614898" w:rsidRPr="000075CD" w14:paraId="744D5F3B" w14:textId="77777777" w:rsidTr="00F52960">
        <w:trPr>
          <w:trHeight w:val="246"/>
        </w:trPr>
        <w:tc>
          <w:tcPr>
            <w:tcW w:w="3510" w:type="dxa"/>
            <w:noWrap/>
            <w:tcMar>
              <w:top w:w="0" w:type="dxa"/>
              <w:left w:w="108" w:type="dxa"/>
              <w:bottom w:w="0" w:type="dxa"/>
              <w:right w:w="108" w:type="dxa"/>
            </w:tcMar>
            <w:hideMark/>
          </w:tcPr>
          <w:p w14:paraId="1326EAEB"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Internet/Phone</w:t>
            </w:r>
          </w:p>
        </w:tc>
        <w:tc>
          <w:tcPr>
            <w:tcW w:w="1329" w:type="dxa"/>
            <w:noWrap/>
            <w:tcMar>
              <w:top w:w="0" w:type="dxa"/>
              <w:left w:w="108" w:type="dxa"/>
              <w:bottom w:w="0" w:type="dxa"/>
              <w:right w:w="108" w:type="dxa"/>
            </w:tcMar>
            <w:hideMark/>
          </w:tcPr>
          <w:p w14:paraId="570EF803"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1,140</w:t>
            </w:r>
          </w:p>
        </w:tc>
      </w:tr>
      <w:tr w:rsidR="00614898" w:rsidRPr="000075CD" w14:paraId="70121494" w14:textId="77777777" w:rsidTr="00F52960">
        <w:trPr>
          <w:trHeight w:val="246"/>
        </w:trPr>
        <w:tc>
          <w:tcPr>
            <w:tcW w:w="3510" w:type="dxa"/>
            <w:noWrap/>
            <w:tcMar>
              <w:top w:w="0" w:type="dxa"/>
              <w:left w:w="108" w:type="dxa"/>
              <w:bottom w:w="0" w:type="dxa"/>
              <w:right w:w="108" w:type="dxa"/>
            </w:tcMar>
          </w:tcPr>
          <w:p w14:paraId="574B59F6"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Insurance</w:t>
            </w:r>
          </w:p>
        </w:tc>
        <w:tc>
          <w:tcPr>
            <w:tcW w:w="1329" w:type="dxa"/>
            <w:noWrap/>
            <w:tcMar>
              <w:top w:w="0" w:type="dxa"/>
              <w:left w:w="108" w:type="dxa"/>
              <w:bottom w:w="0" w:type="dxa"/>
              <w:right w:w="108" w:type="dxa"/>
            </w:tcMar>
          </w:tcPr>
          <w:p w14:paraId="00C71234"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2,210</w:t>
            </w:r>
          </w:p>
        </w:tc>
      </w:tr>
      <w:tr w:rsidR="00614898" w:rsidRPr="000075CD" w14:paraId="05DF7272" w14:textId="77777777" w:rsidTr="00F52960">
        <w:trPr>
          <w:trHeight w:val="246"/>
        </w:trPr>
        <w:tc>
          <w:tcPr>
            <w:tcW w:w="3510" w:type="dxa"/>
            <w:noWrap/>
            <w:tcMar>
              <w:top w:w="0" w:type="dxa"/>
              <w:left w:w="108" w:type="dxa"/>
              <w:bottom w:w="0" w:type="dxa"/>
              <w:right w:w="108" w:type="dxa"/>
            </w:tcMar>
          </w:tcPr>
          <w:p w14:paraId="00AC5ABF"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Other Tenant Fees</w:t>
            </w:r>
          </w:p>
        </w:tc>
        <w:tc>
          <w:tcPr>
            <w:tcW w:w="1329" w:type="dxa"/>
            <w:noWrap/>
            <w:tcMar>
              <w:top w:w="0" w:type="dxa"/>
              <w:left w:w="108" w:type="dxa"/>
              <w:bottom w:w="0" w:type="dxa"/>
              <w:right w:w="108" w:type="dxa"/>
            </w:tcMar>
          </w:tcPr>
          <w:p w14:paraId="6F21FC78"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1,255</w:t>
            </w:r>
          </w:p>
        </w:tc>
      </w:tr>
      <w:tr w:rsidR="00614898" w:rsidRPr="000075CD" w14:paraId="3D2CABF5" w14:textId="77777777" w:rsidTr="00F52960">
        <w:trPr>
          <w:trHeight w:val="246"/>
        </w:trPr>
        <w:tc>
          <w:tcPr>
            <w:tcW w:w="3510" w:type="dxa"/>
            <w:noWrap/>
            <w:tcMar>
              <w:top w:w="0" w:type="dxa"/>
              <w:left w:w="108" w:type="dxa"/>
              <w:bottom w:w="0" w:type="dxa"/>
              <w:right w:w="108" w:type="dxa"/>
            </w:tcMar>
            <w:hideMark/>
          </w:tcPr>
          <w:p w14:paraId="68363F2D" w14:textId="1BBE6BC1" w:rsidR="00614898" w:rsidRPr="000075CD" w:rsidRDefault="00614898" w:rsidP="00F52960">
            <w:pPr>
              <w:rPr>
                <w:rFonts w:ascii="Arial" w:hAnsi="Arial" w:cs="Arial"/>
                <w:color w:val="000000"/>
                <w:lang w:val="en-GB"/>
              </w:rPr>
            </w:pPr>
            <w:r w:rsidRPr="000075CD">
              <w:rPr>
                <w:rFonts w:ascii="Arial" w:hAnsi="Arial" w:cs="Arial"/>
                <w:color w:val="000000"/>
                <w:lang w:val="en-GB"/>
              </w:rPr>
              <w:t>Point</w:t>
            </w:r>
            <w:r w:rsidR="00127626">
              <w:rPr>
                <w:rFonts w:ascii="Arial" w:hAnsi="Arial" w:cs="Arial"/>
                <w:color w:val="000000"/>
                <w:lang w:val="en-GB"/>
              </w:rPr>
              <w:t>-</w:t>
            </w:r>
            <w:r w:rsidRPr="000075CD">
              <w:rPr>
                <w:rFonts w:ascii="Arial" w:hAnsi="Arial" w:cs="Arial"/>
                <w:color w:val="000000"/>
                <w:lang w:val="en-GB"/>
              </w:rPr>
              <w:t>of</w:t>
            </w:r>
            <w:r w:rsidR="00127626">
              <w:rPr>
                <w:rFonts w:ascii="Arial" w:hAnsi="Arial" w:cs="Arial"/>
                <w:color w:val="000000"/>
                <w:lang w:val="en-GB"/>
              </w:rPr>
              <w:t>-</w:t>
            </w:r>
            <w:r w:rsidRPr="000075CD">
              <w:rPr>
                <w:rFonts w:ascii="Arial" w:hAnsi="Arial" w:cs="Arial"/>
                <w:color w:val="000000"/>
                <w:lang w:val="en-GB"/>
              </w:rPr>
              <w:t>Sale System</w:t>
            </w:r>
          </w:p>
        </w:tc>
        <w:tc>
          <w:tcPr>
            <w:tcW w:w="1329" w:type="dxa"/>
            <w:noWrap/>
            <w:tcMar>
              <w:top w:w="0" w:type="dxa"/>
              <w:left w:w="108" w:type="dxa"/>
              <w:bottom w:w="0" w:type="dxa"/>
              <w:right w:w="108" w:type="dxa"/>
            </w:tcMar>
            <w:hideMark/>
          </w:tcPr>
          <w:p w14:paraId="0422914B"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1,236</w:t>
            </w:r>
          </w:p>
        </w:tc>
      </w:tr>
      <w:tr w:rsidR="00614898" w:rsidRPr="000075CD" w14:paraId="01635ED1" w14:textId="77777777" w:rsidTr="00F52960">
        <w:trPr>
          <w:trHeight w:val="246"/>
        </w:trPr>
        <w:tc>
          <w:tcPr>
            <w:tcW w:w="3510" w:type="dxa"/>
            <w:noWrap/>
            <w:tcMar>
              <w:top w:w="0" w:type="dxa"/>
              <w:left w:w="108" w:type="dxa"/>
              <w:bottom w:w="0" w:type="dxa"/>
              <w:right w:w="108" w:type="dxa"/>
            </w:tcMar>
          </w:tcPr>
          <w:p w14:paraId="75CDBB4E" w14:textId="73388C39" w:rsidR="00614898" w:rsidRPr="000075CD" w:rsidRDefault="00614898" w:rsidP="00F52960">
            <w:pPr>
              <w:rPr>
                <w:rFonts w:ascii="Arial" w:hAnsi="Arial" w:cs="Arial"/>
                <w:color w:val="000000"/>
                <w:lang w:val="en-GB"/>
              </w:rPr>
            </w:pPr>
            <w:r w:rsidRPr="000075CD">
              <w:rPr>
                <w:rFonts w:ascii="Arial" w:hAnsi="Arial" w:cs="Arial"/>
                <w:color w:val="000000"/>
                <w:lang w:val="en-GB"/>
              </w:rPr>
              <w:t>Health and Safety</w:t>
            </w:r>
            <w:r w:rsidR="008F0BD9" w:rsidRPr="000075CD">
              <w:rPr>
                <w:rFonts w:ascii="Arial" w:hAnsi="Arial" w:cs="Arial"/>
                <w:color w:val="000000"/>
                <w:lang w:val="en-GB"/>
              </w:rPr>
              <w:t xml:space="preserve"> </w:t>
            </w:r>
          </w:p>
        </w:tc>
        <w:tc>
          <w:tcPr>
            <w:tcW w:w="1329" w:type="dxa"/>
            <w:noWrap/>
            <w:tcMar>
              <w:top w:w="0" w:type="dxa"/>
              <w:left w:w="108" w:type="dxa"/>
              <w:bottom w:w="0" w:type="dxa"/>
              <w:right w:w="108" w:type="dxa"/>
            </w:tcMar>
          </w:tcPr>
          <w:p w14:paraId="70978F5A"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1,400</w:t>
            </w:r>
          </w:p>
        </w:tc>
      </w:tr>
    </w:tbl>
    <w:p w14:paraId="5C3939C9" w14:textId="77777777" w:rsidR="00614898" w:rsidRPr="000075CD" w:rsidRDefault="00614898" w:rsidP="00614898">
      <w:pPr>
        <w:tabs>
          <w:tab w:val="left" w:pos="585"/>
        </w:tabs>
        <w:rPr>
          <w:rFonts w:ascii="Arial" w:hAnsi="Arial" w:cs="Arial"/>
          <w:b/>
          <w:lang w:val="en-GB"/>
        </w:rPr>
      </w:pPr>
      <w:r w:rsidRPr="000075CD">
        <w:rPr>
          <w:rFonts w:ascii="Arial" w:hAnsi="Arial" w:cs="Arial"/>
          <w:b/>
          <w:lang w:val="en-GB"/>
        </w:rPr>
        <w:tab/>
      </w:r>
    </w:p>
    <w:p w14:paraId="1A6AC743" w14:textId="77777777" w:rsidR="00614898" w:rsidRPr="000075CD" w:rsidRDefault="00614898" w:rsidP="00614898">
      <w:pPr>
        <w:tabs>
          <w:tab w:val="left" w:pos="585"/>
        </w:tabs>
        <w:rPr>
          <w:rFonts w:ascii="Arial" w:hAnsi="Arial" w:cs="Arial"/>
          <w:b/>
          <w:lang w:val="en-GB"/>
        </w:rPr>
      </w:pPr>
    </w:p>
    <w:p w14:paraId="0D6B2238" w14:textId="77777777" w:rsidR="00614898" w:rsidRPr="000075CD" w:rsidRDefault="00614898" w:rsidP="00614898">
      <w:pPr>
        <w:jc w:val="both"/>
        <w:rPr>
          <w:sz w:val="24"/>
          <w:szCs w:val="24"/>
          <w:lang w:val="en-GB"/>
        </w:rPr>
      </w:pPr>
    </w:p>
    <w:p w14:paraId="620C7FC1" w14:textId="77777777" w:rsidR="00614898" w:rsidRPr="000075CD" w:rsidRDefault="00614898" w:rsidP="00614898">
      <w:pPr>
        <w:rPr>
          <w:rFonts w:ascii="Arial" w:hAnsi="Arial" w:cs="Arial"/>
          <w:b/>
          <w:lang w:val="en-GB"/>
        </w:rPr>
      </w:pPr>
    </w:p>
    <w:p w14:paraId="148DFEE9" w14:textId="77777777" w:rsidR="00614898" w:rsidRPr="000075CD" w:rsidRDefault="00614898" w:rsidP="00614898">
      <w:pPr>
        <w:jc w:val="center"/>
        <w:rPr>
          <w:rFonts w:ascii="Arial" w:hAnsi="Arial" w:cs="Arial"/>
          <w:b/>
          <w:lang w:val="en-GB"/>
        </w:rPr>
      </w:pPr>
    </w:p>
    <w:p w14:paraId="2678E46C" w14:textId="77777777" w:rsidR="00614898" w:rsidRPr="000075CD" w:rsidRDefault="00614898" w:rsidP="00614898">
      <w:pPr>
        <w:jc w:val="center"/>
        <w:rPr>
          <w:rFonts w:ascii="Arial" w:hAnsi="Arial" w:cs="Arial"/>
          <w:b/>
          <w:lang w:val="en-GB"/>
        </w:rPr>
      </w:pPr>
    </w:p>
    <w:p w14:paraId="06DFCA6C" w14:textId="77777777" w:rsidR="00614898" w:rsidRPr="000075CD" w:rsidRDefault="00614898" w:rsidP="00614898">
      <w:pPr>
        <w:jc w:val="center"/>
        <w:rPr>
          <w:rFonts w:ascii="Arial" w:hAnsi="Arial" w:cs="Arial"/>
          <w:b/>
          <w:lang w:val="en-GB"/>
        </w:rPr>
      </w:pPr>
    </w:p>
    <w:p w14:paraId="526533C7" w14:textId="77777777" w:rsidR="00614898" w:rsidRPr="000075CD" w:rsidRDefault="00614898" w:rsidP="00614898">
      <w:pPr>
        <w:jc w:val="center"/>
        <w:rPr>
          <w:rFonts w:ascii="Arial" w:hAnsi="Arial" w:cs="Arial"/>
          <w:b/>
          <w:lang w:val="en-GB"/>
        </w:rPr>
      </w:pPr>
    </w:p>
    <w:p w14:paraId="0F802905" w14:textId="77777777" w:rsidR="00614898" w:rsidRPr="000075CD" w:rsidRDefault="00614898" w:rsidP="00614898">
      <w:pPr>
        <w:rPr>
          <w:rFonts w:ascii="Arial" w:hAnsi="Arial" w:cs="Arial"/>
          <w:b/>
          <w:lang w:val="en-GB"/>
        </w:rPr>
      </w:pPr>
    </w:p>
    <w:p w14:paraId="42B2627C" w14:textId="77777777" w:rsidR="00614898" w:rsidRPr="000075CD" w:rsidRDefault="00614898" w:rsidP="00614898">
      <w:pPr>
        <w:rPr>
          <w:rFonts w:ascii="Arial" w:hAnsi="Arial" w:cs="Arial"/>
          <w:b/>
          <w:lang w:val="en-GB"/>
        </w:rPr>
      </w:pPr>
    </w:p>
    <w:p w14:paraId="5078F554" w14:textId="77777777" w:rsidR="00614898" w:rsidRPr="000075CD" w:rsidRDefault="00614898" w:rsidP="00614898">
      <w:pPr>
        <w:rPr>
          <w:rFonts w:ascii="Arial" w:hAnsi="Arial" w:cs="Arial"/>
          <w:b/>
          <w:lang w:val="en-GB"/>
        </w:rPr>
      </w:pPr>
      <w:bookmarkStart w:id="0" w:name="_GoBack"/>
      <w:bookmarkEnd w:id="0"/>
    </w:p>
    <w:p w14:paraId="4B687FE4" w14:textId="77777777" w:rsidR="00614898" w:rsidRPr="000075CD" w:rsidRDefault="00614898" w:rsidP="00614898">
      <w:pPr>
        <w:jc w:val="center"/>
        <w:rPr>
          <w:rFonts w:ascii="Arial" w:hAnsi="Arial" w:cs="Arial"/>
          <w:b/>
          <w:lang w:val="en-GB"/>
        </w:rPr>
      </w:pPr>
      <w:r w:rsidRPr="000075CD">
        <w:rPr>
          <w:rFonts w:ascii="Arial" w:hAnsi="Arial" w:cs="Arial"/>
          <w:b/>
          <w:lang w:val="en-GB"/>
        </w:rPr>
        <w:t>Online Store</w:t>
      </w:r>
    </w:p>
    <w:p w14:paraId="02FF28A5" w14:textId="77777777" w:rsidR="00614898" w:rsidRPr="000075CD" w:rsidRDefault="00614898" w:rsidP="00614898">
      <w:pPr>
        <w:jc w:val="center"/>
        <w:rPr>
          <w:rFonts w:ascii="Arial" w:hAnsi="Arial" w:cs="Arial"/>
          <w:b/>
          <w:lang w:val="en-GB"/>
        </w:rPr>
      </w:pPr>
    </w:p>
    <w:tbl>
      <w:tblPr>
        <w:tblpPr w:leftFromText="202" w:rightFromText="202" w:vertAnchor="text" w:horzAnchor="margin" w:tblpXSpec="center" w:tblpY="6"/>
        <w:tblOverlap w:val="never"/>
        <w:tblW w:w="4909" w:type="dxa"/>
        <w:tblCellMar>
          <w:left w:w="0" w:type="dxa"/>
          <w:right w:w="0" w:type="dxa"/>
        </w:tblCellMar>
        <w:tblLook w:val="04A0" w:firstRow="1" w:lastRow="0" w:firstColumn="1" w:lastColumn="0" w:noHBand="0" w:noVBand="1"/>
        <w:tblCaption w:val="Exhibit 2"/>
        <w:tblDescription w:val="Shop Thursdays' annual projected costs, 2021 fiscal period for the Online Store"/>
      </w:tblPr>
      <w:tblGrid>
        <w:gridCol w:w="3573"/>
        <w:gridCol w:w="1336"/>
      </w:tblGrid>
      <w:tr w:rsidR="00614898" w:rsidRPr="000075CD" w14:paraId="1CF7C395" w14:textId="77777777" w:rsidTr="00F52960">
        <w:trPr>
          <w:trHeight w:val="255"/>
        </w:trPr>
        <w:tc>
          <w:tcPr>
            <w:tcW w:w="3573" w:type="dxa"/>
            <w:noWrap/>
            <w:tcMar>
              <w:top w:w="0" w:type="dxa"/>
              <w:left w:w="108" w:type="dxa"/>
              <w:bottom w:w="0" w:type="dxa"/>
              <w:right w:w="108" w:type="dxa"/>
            </w:tcMar>
            <w:hideMark/>
          </w:tcPr>
          <w:p w14:paraId="11C6FB1D" w14:textId="77777777" w:rsidR="00614898" w:rsidRPr="000075CD" w:rsidRDefault="00614898" w:rsidP="00F52960">
            <w:pPr>
              <w:rPr>
                <w:rFonts w:ascii="Arial" w:eastAsia="Calibri" w:hAnsi="Arial" w:cs="Arial"/>
                <w:color w:val="000000"/>
                <w:lang w:val="en-GB"/>
              </w:rPr>
            </w:pPr>
            <w:r w:rsidRPr="000075CD">
              <w:rPr>
                <w:rFonts w:ascii="Arial" w:hAnsi="Arial" w:cs="Arial"/>
                <w:color w:val="000000"/>
                <w:lang w:val="en-GB"/>
              </w:rPr>
              <w:t>Online Manager</w:t>
            </w:r>
          </w:p>
        </w:tc>
        <w:tc>
          <w:tcPr>
            <w:tcW w:w="1336" w:type="dxa"/>
            <w:noWrap/>
            <w:tcMar>
              <w:top w:w="0" w:type="dxa"/>
              <w:left w:w="108" w:type="dxa"/>
              <w:bottom w:w="0" w:type="dxa"/>
              <w:right w:w="108" w:type="dxa"/>
            </w:tcMar>
            <w:hideMark/>
          </w:tcPr>
          <w:p w14:paraId="199C51B8" w14:textId="719CCDF5"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w:t>
            </w:r>
            <w:r w:rsidR="000075CD" w:rsidRPr="000075CD">
              <w:rPr>
                <w:rFonts w:ascii="Arial" w:hAnsi="Arial" w:cs="Arial"/>
                <w:color w:val="000000"/>
                <w:lang w:val="en-GB"/>
              </w:rPr>
              <w:t xml:space="preserve"> </w:t>
            </w:r>
            <w:r w:rsidRPr="000075CD">
              <w:rPr>
                <w:rFonts w:ascii="Arial" w:hAnsi="Arial" w:cs="Arial"/>
                <w:color w:val="000000"/>
                <w:lang w:val="en-GB"/>
              </w:rPr>
              <w:t>40,000</w:t>
            </w:r>
          </w:p>
        </w:tc>
      </w:tr>
      <w:tr w:rsidR="00614898" w:rsidRPr="000075CD" w14:paraId="5B61C833" w14:textId="77777777" w:rsidTr="00F52960">
        <w:trPr>
          <w:trHeight w:val="255"/>
        </w:trPr>
        <w:tc>
          <w:tcPr>
            <w:tcW w:w="3573" w:type="dxa"/>
            <w:noWrap/>
            <w:tcMar>
              <w:top w:w="0" w:type="dxa"/>
              <w:left w:w="108" w:type="dxa"/>
              <w:bottom w:w="0" w:type="dxa"/>
              <w:right w:w="108" w:type="dxa"/>
            </w:tcMar>
          </w:tcPr>
          <w:p w14:paraId="6816E665"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Website Hosting Fees</w:t>
            </w:r>
          </w:p>
        </w:tc>
        <w:tc>
          <w:tcPr>
            <w:tcW w:w="1336" w:type="dxa"/>
            <w:noWrap/>
            <w:tcMar>
              <w:top w:w="0" w:type="dxa"/>
              <w:left w:w="108" w:type="dxa"/>
              <w:bottom w:w="0" w:type="dxa"/>
              <w:right w:w="108" w:type="dxa"/>
            </w:tcMar>
          </w:tcPr>
          <w:p w14:paraId="5191A488"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13,100</w:t>
            </w:r>
          </w:p>
        </w:tc>
      </w:tr>
      <w:tr w:rsidR="00614898" w:rsidRPr="000075CD" w14:paraId="17E70CC6" w14:textId="77777777" w:rsidTr="00F52960">
        <w:trPr>
          <w:trHeight w:val="255"/>
        </w:trPr>
        <w:tc>
          <w:tcPr>
            <w:tcW w:w="3573" w:type="dxa"/>
            <w:noWrap/>
            <w:tcMar>
              <w:top w:w="0" w:type="dxa"/>
              <w:left w:w="108" w:type="dxa"/>
              <w:bottom w:w="0" w:type="dxa"/>
              <w:right w:w="108" w:type="dxa"/>
            </w:tcMar>
            <w:hideMark/>
          </w:tcPr>
          <w:p w14:paraId="514A41B7"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Insurance</w:t>
            </w:r>
          </w:p>
        </w:tc>
        <w:tc>
          <w:tcPr>
            <w:tcW w:w="1336" w:type="dxa"/>
            <w:noWrap/>
            <w:tcMar>
              <w:top w:w="0" w:type="dxa"/>
              <w:left w:w="108" w:type="dxa"/>
              <w:bottom w:w="0" w:type="dxa"/>
              <w:right w:w="108" w:type="dxa"/>
            </w:tcMar>
            <w:hideMark/>
          </w:tcPr>
          <w:p w14:paraId="28C7E69E"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2,500</w:t>
            </w:r>
          </w:p>
        </w:tc>
      </w:tr>
      <w:tr w:rsidR="00614898" w:rsidRPr="000075CD" w14:paraId="3EDFE6E1" w14:textId="77777777" w:rsidTr="00F52960">
        <w:trPr>
          <w:trHeight w:val="255"/>
        </w:trPr>
        <w:tc>
          <w:tcPr>
            <w:tcW w:w="3573" w:type="dxa"/>
            <w:noWrap/>
            <w:tcMar>
              <w:top w:w="0" w:type="dxa"/>
              <w:left w:w="108" w:type="dxa"/>
              <w:bottom w:w="0" w:type="dxa"/>
              <w:right w:w="108" w:type="dxa"/>
            </w:tcMar>
          </w:tcPr>
          <w:p w14:paraId="15E1C573" w14:textId="77777777" w:rsidR="00614898" w:rsidRPr="000075CD" w:rsidRDefault="00614898" w:rsidP="00F52960">
            <w:pPr>
              <w:rPr>
                <w:rFonts w:ascii="Arial" w:hAnsi="Arial" w:cs="Arial"/>
                <w:color w:val="000000"/>
                <w:lang w:val="en-GB"/>
              </w:rPr>
            </w:pPr>
            <w:r w:rsidRPr="000075CD">
              <w:rPr>
                <w:rFonts w:ascii="Arial" w:hAnsi="Arial" w:cs="Arial"/>
                <w:color w:val="000000"/>
                <w:lang w:val="en-GB"/>
              </w:rPr>
              <w:t>Warehouse Rent</w:t>
            </w:r>
          </w:p>
        </w:tc>
        <w:tc>
          <w:tcPr>
            <w:tcW w:w="1336" w:type="dxa"/>
            <w:noWrap/>
            <w:tcMar>
              <w:top w:w="0" w:type="dxa"/>
              <w:left w:w="108" w:type="dxa"/>
              <w:bottom w:w="0" w:type="dxa"/>
              <w:right w:w="108" w:type="dxa"/>
            </w:tcMar>
          </w:tcPr>
          <w:p w14:paraId="11608520" w14:textId="77777777" w:rsidR="00614898" w:rsidRPr="000075CD" w:rsidRDefault="00614898" w:rsidP="00F52960">
            <w:pPr>
              <w:tabs>
                <w:tab w:val="left" w:pos="210"/>
                <w:tab w:val="right" w:pos="1935"/>
              </w:tabs>
              <w:jc w:val="right"/>
              <w:rPr>
                <w:rFonts w:ascii="Arial" w:hAnsi="Arial" w:cs="Arial"/>
                <w:color w:val="000000"/>
                <w:lang w:val="en-GB"/>
              </w:rPr>
            </w:pPr>
            <w:r w:rsidRPr="000075CD">
              <w:rPr>
                <w:rFonts w:ascii="Arial" w:hAnsi="Arial" w:cs="Arial"/>
                <w:color w:val="000000"/>
                <w:lang w:val="en-GB"/>
              </w:rPr>
              <w:t>28,000</w:t>
            </w:r>
          </w:p>
        </w:tc>
      </w:tr>
    </w:tbl>
    <w:p w14:paraId="2EA91FCE" w14:textId="77777777" w:rsidR="00614898" w:rsidRPr="000075CD" w:rsidRDefault="00614898" w:rsidP="00614898">
      <w:pPr>
        <w:ind w:firstLine="720"/>
        <w:jc w:val="both"/>
        <w:rPr>
          <w:rFonts w:ascii="Arial" w:hAnsi="Arial" w:cs="Arial"/>
          <w:sz w:val="17"/>
          <w:szCs w:val="17"/>
          <w:lang w:val="en-GB"/>
        </w:rPr>
      </w:pPr>
    </w:p>
    <w:p w14:paraId="2935E20D" w14:textId="77777777" w:rsidR="00614898" w:rsidRPr="000075CD" w:rsidRDefault="00614898" w:rsidP="00614898">
      <w:pPr>
        <w:ind w:firstLine="720"/>
        <w:jc w:val="both"/>
        <w:rPr>
          <w:rFonts w:ascii="Arial" w:hAnsi="Arial" w:cs="Arial"/>
          <w:sz w:val="17"/>
          <w:szCs w:val="17"/>
          <w:lang w:val="en-GB"/>
        </w:rPr>
      </w:pPr>
    </w:p>
    <w:p w14:paraId="132DD9C1" w14:textId="77777777" w:rsidR="00614898" w:rsidRPr="000075CD" w:rsidRDefault="00614898" w:rsidP="00614898">
      <w:pPr>
        <w:jc w:val="both"/>
        <w:rPr>
          <w:rFonts w:ascii="Arial" w:hAnsi="Arial" w:cs="Arial"/>
          <w:sz w:val="17"/>
          <w:szCs w:val="17"/>
          <w:lang w:val="en-GB"/>
        </w:rPr>
      </w:pPr>
    </w:p>
    <w:p w14:paraId="61076A19" w14:textId="77777777" w:rsidR="00614898" w:rsidRPr="000075CD" w:rsidRDefault="00614898" w:rsidP="00614898">
      <w:pPr>
        <w:jc w:val="both"/>
        <w:rPr>
          <w:rFonts w:ascii="Arial" w:hAnsi="Arial" w:cs="Arial"/>
          <w:sz w:val="17"/>
          <w:szCs w:val="17"/>
          <w:lang w:val="en-GB"/>
        </w:rPr>
      </w:pPr>
    </w:p>
    <w:p w14:paraId="747E28A1" w14:textId="77777777" w:rsidR="00614898" w:rsidRPr="000075CD" w:rsidRDefault="00614898" w:rsidP="00614898">
      <w:pPr>
        <w:jc w:val="both"/>
        <w:rPr>
          <w:rFonts w:ascii="Arial" w:hAnsi="Arial" w:cs="Arial"/>
          <w:sz w:val="17"/>
          <w:szCs w:val="17"/>
          <w:lang w:val="en-GB"/>
        </w:rPr>
      </w:pPr>
    </w:p>
    <w:p w14:paraId="26E9A9BE" w14:textId="77777777" w:rsidR="00614898" w:rsidRPr="000075CD" w:rsidRDefault="00614898" w:rsidP="00614898">
      <w:pPr>
        <w:jc w:val="both"/>
        <w:rPr>
          <w:rFonts w:ascii="Arial" w:hAnsi="Arial" w:cs="Arial"/>
          <w:sz w:val="17"/>
          <w:szCs w:val="17"/>
          <w:lang w:val="en-GB"/>
        </w:rPr>
      </w:pPr>
    </w:p>
    <w:p w14:paraId="6D219E3C" w14:textId="77777777" w:rsidR="00614898" w:rsidRPr="000075CD" w:rsidRDefault="00614898" w:rsidP="00614898">
      <w:pPr>
        <w:ind w:firstLine="720"/>
        <w:jc w:val="both"/>
        <w:rPr>
          <w:rFonts w:ascii="Arial" w:hAnsi="Arial" w:cs="Arial"/>
          <w:sz w:val="17"/>
          <w:szCs w:val="17"/>
          <w:lang w:val="en-GB"/>
        </w:rPr>
      </w:pPr>
    </w:p>
    <w:p w14:paraId="560192FC" w14:textId="7BE3B173" w:rsidR="008F0BD9" w:rsidRPr="000075CD" w:rsidRDefault="008F0BD9" w:rsidP="00614898">
      <w:pPr>
        <w:pStyle w:val="Footnote"/>
        <w:rPr>
          <w:lang w:val="en-GB"/>
        </w:rPr>
      </w:pPr>
      <w:r w:rsidRPr="000075CD">
        <w:rPr>
          <w:lang w:val="en-GB"/>
        </w:rPr>
        <w:t>Note: Health and safety costs referred to the purchase of hand sanitizer, disposable masks</w:t>
      </w:r>
      <w:r w:rsidR="00127626">
        <w:rPr>
          <w:lang w:val="en-GB"/>
        </w:rPr>
        <w:t>,</w:t>
      </w:r>
      <w:r w:rsidRPr="000075CD">
        <w:rPr>
          <w:lang w:val="en-GB"/>
        </w:rPr>
        <w:t xml:space="preserve"> and other disinfecting products to keep shoppers protected from the spread of </w:t>
      </w:r>
      <w:r w:rsidR="00127626" w:rsidRPr="000075CD">
        <w:rPr>
          <w:lang w:val="en-GB"/>
        </w:rPr>
        <w:t>C</w:t>
      </w:r>
      <w:r w:rsidR="00127626">
        <w:rPr>
          <w:lang w:val="en-GB"/>
        </w:rPr>
        <w:t>OVID</w:t>
      </w:r>
      <w:r w:rsidRPr="000075CD">
        <w:rPr>
          <w:lang w:val="en-GB"/>
        </w:rPr>
        <w:t>-19.</w:t>
      </w:r>
    </w:p>
    <w:p w14:paraId="3DC05730" w14:textId="44F06939" w:rsidR="00614898" w:rsidRPr="000075CD" w:rsidRDefault="00614898" w:rsidP="00614898">
      <w:pPr>
        <w:pStyle w:val="Footnote"/>
        <w:rPr>
          <w:lang w:val="en-GB"/>
        </w:rPr>
      </w:pPr>
      <w:r w:rsidRPr="000075CD">
        <w:rPr>
          <w:lang w:val="en-GB"/>
        </w:rPr>
        <w:t>Source: Company files.</w:t>
      </w:r>
    </w:p>
    <w:p w14:paraId="521EE98D" w14:textId="77777777" w:rsidR="00614898" w:rsidRPr="000075CD" w:rsidRDefault="00614898" w:rsidP="00614898">
      <w:pPr>
        <w:pStyle w:val="BodyTextMain"/>
        <w:rPr>
          <w:lang w:val="en-GB"/>
        </w:rPr>
      </w:pPr>
    </w:p>
    <w:sectPr w:rsidR="00614898" w:rsidRPr="000075CD"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D572" w16cex:dateUtc="2021-02-12T15:22:00Z"/>
  <w16cex:commentExtensible w16cex:durableId="23D0D8C0" w16cex:dateUtc="2021-02-12T15:36:00Z"/>
  <w16cex:commentExtensible w16cex:durableId="23D0D928" w16cex:dateUtc="2021-02-12T15:38:00Z"/>
  <w16cex:commentExtensible w16cex:durableId="23D4D5BF" w16cex:dateUtc="2021-02-15T16: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D05A3" w14:textId="77777777" w:rsidR="004C7FBB" w:rsidRDefault="004C7FBB" w:rsidP="00D75295">
      <w:r>
        <w:separator/>
      </w:r>
    </w:p>
  </w:endnote>
  <w:endnote w:type="continuationSeparator" w:id="0">
    <w:p w14:paraId="5D9E403E" w14:textId="77777777" w:rsidR="004C7FBB" w:rsidRDefault="004C7FB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92D33" w14:textId="77777777" w:rsidR="004C7FBB" w:rsidRDefault="004C7FBB" w:rsidP="00D75295">
      <w:r>
        <w:separator/>
      </w:r>
    </w:p>
  </w:footnote>
  <w:footnote w:type="continuationSeparator" w:id="0">
    <w:p w14:paraId="00AC6854" w14:textId="77777777" w:rsidR="004C7FBB" w:rsidRDefault="004C7FBB" w:rsidP="00D75295">
      <w:r>
        <w:continuationSeparator/>
      </w:r>
    </w:p>
  </w:footnote>
  <w:footnote w:id="1">
    <w:p w14:paraId="16DD9BCA" w14:textId="6C6890F9" w:rsidR="00F52960" w:rsidRPr="00115254" w:rsidRDefault="00F52960" w:rsidP="008F0BD9">
      <w:pPr>
        <w:pStyle w:val="Footnote"/>
      </w:pPr>
      <w:r w:rsidRPr="00115254">
        <w:rPr>
          <w:rStyle w:val="FootnoteReference"/>
        </w:rPr>
        <w:footnoteRef/>
      </w:r>
      <w:r w:rsidRPr="00115254">
        <w:t xml:space="preserve"> </w:t>
      </w:r>
      <w:r>
        <w:t>A pop-up shop was a temporary retail space in a</w:t>
      </w:r>
      <w:r w:rsidR="009525D0">
        <w:t>n area with</w:t>
      </w:r>
      <w:r>
        <w:t xml:space="preserve"> high foot</w:t>
      </w:r>
      <w:r w:rsidR="009525D0">
        <w:t xml:space="preserve"> </w:t>
      </w:r>
      <w:r>
        <w:t xml:space="preserve">traffic that sold merchandise to move inventory, generate awareness, or introduce new products. </w:t>
      </w:r>
    </w:p>
  </w:footnote>
  <w:footnote w:id="2">
    <w:p w14:paraId="522BB1CD" w14:textId="5F28A2DB" w:rsidR="00F52960" w:rsidRPr="00B92FFA" w:rsidRDefault="00F52960" w:rsidP="000B57FE">
      <w:pPr>
        <w:pStyle w:val="Footnote"/>
        <w:rPr>
          <w:caps/>
        </w:rPr>
      </w:pPr>
      <w:r>
        <w:rPr>
          <w:rStyle w:val="FootnoteReference"/>
        </w:rPr>
        <w:footnoteRef/>
      </w:r>
      <w:r>
        <w:t xml:space="preserve"> All currency amounts are in C</w:t>
      </w:r>
      <w:r w:rsidR="00A4096B">
        <w:t>A$</w:t>
      </w:r>
      <w:r>
        <w:t xml:space="preserve"> unless otherwise specified. </w:t>
      </w:r>
    </w:p>
  </w:footnote>
  <w:footnote w:id="3">
    <w:p w14:paraId="11159CEE" w14:textId="5A4DE0EB" w:rsidR="00F52960" w:rsidRPr="00D5402F" w:rsidRDefault="00F52960" w:rsidP="008F0BD9">
      <w:pPr>
        <w:pStyle w:val="Footnote"/>
      </w:pPr>
      <w:r w:rsidRPr="00D5402F">
        <w:rPr>
          <w:rStyle w:val="FootnoteReference"/>
        </w:rPr>
        <w:footnoteRef/>
      </w:r>
      <w:r w:rsidRPr="00D5402F">
        <w:t xml:space="preserve"> “</w:t>
      </w:r>
      <w:proofErr w:type="spellStart"/>
      <w:r w:rsidRPr="00D5402F">
        <w:t>Neighbourhood</w:t>
      </w:r>
      <w:proofErr w:type="spellEnd"/>
      <w:r w:rsidR="00A4096B">
        <w:t>: Summerhill Toronto,</w:t>
      </w:r>
      <w:r w:rsidRPr="00D5402F">
        <w:t xml:space="preserve">” </w:t>
      </w:r>
      <w:r w:rsidRPr="006769EF">
        <w:rPr>
          <w:iCs/>
        </w:rPr>
        <w:t>Next Home</w:t>
      </w:r>
      <w:r w:rsidRPr="00D5402F">
        <w:t>, accessed May 16, 2020, https://nexthome.ca/neighbourhoods/summerhill/582152/</w:t>
      </w:r>
      <w:r>
        <w:t>.</w:t>
      </w:r>
    </w:p>
  </w:footnote>
  <w:footnote w:id="4">
    <w:p w14:paraId="0532169A" w14:textId="77777777" w:rsidR="00F52960" w:rsidRPr="00D5402F" w:rsidRDefault="00F52960" w:rsidP="008F0BD9">
      <w:pPr>
        <w:pStyle w:val="Footnote"/>
      </w:pPr>
      <w:r w:rsidRPr="00D5402F">
        <w:rPr>
          <w:rStyle w:val="FootnoteReference"/>
        </w:rPr>
        <w:footnoteRef/>
      </w:r>
      <w:r w:rsidRPr="00D5402F">
        <w:t xml:space="preserve"> Instagram influencers were Instagram users who had an established </w:t>
      </w:r>
      <w:r>
        <w:t xml:space="preserve">credibility </w:t>
      </w:r>
      <w:r w:rsidRPr="00D5402F">
        <w:t>and could persuade others to act based on their recommendations.</w:t>
      </w:r>
    </w:p>
  </w:footnote>
  <w:footnote w:id="5">
    <w:p w14:paraId="6D99D800" w14:textId="303878DF" w:rsidR="00F52960" w:rsidRDefault="00F52960" w:rsidP="008F0BD9">
      <w:pPr>
        <w:pStyle w:val="Footnote"/>
      </w:pPr>
      <w:r>
        <w:rPr>
          <w:rStyle w:val="FootnoteReference"/>
        </w:rPr>
        <w:footnoteRef/>
      </w:r>
      <w:r>
        <w:t xml:space="preserve"> A lifestyle brand was a company whose products and image were based on a lifestyle its consumers aspired to be part of. </w:t>
      </w:r>
    </w:p>
  </w:footnote>
  <w:footnote w:id="6">
    <w:p w14:paraId="420071D5" w14:textId="261139B6" w:rsidR="00F52960" w:rsidRPr="00D5402F" w:rsidRDefault="00F52960" w:rsidP="008F0BD9">
      <w:pPr>
        <w:pStyle w:val="Footnote"/>
      </w:pPr>
      <w:r w:rsidRPr="00D5402F">
        <w:rPr>
          <w:rStyle w:val="FootnoteReference"/>
        </w:rPr>
        <w:footnoteRef/>
      </w:r>
      <w:r w:rsidRPr="00D5402F">
        <w:t xml:space="preserve"> “About Us,” </w:t>
      </w:r>
      <w:r w:rsidRPr="006769EF">
        <w:rPr>
          <w:iCs/>
        </w:rPr>
        <w:t>First Canadian Place</w:t>
      </w:r>
      <w:r w:rsidR="005A7581">
        <w:rPr>
          <w:iCs/>
        </w:rPr>
        <w:t>: Exchange Tower</w:t>
      </w:r>
      <w:r w:rsidRPr="006769EF">
        <w:rPr>
          <w:iCs/>
        </w:rPr>
        <w:t>,</w:t>
      </w:r>
      <w:r w:rsidRPr="00D5402F">
        <w:t xml:space="preserve"> accessed May 20, 2020, https://myfirstcanadianplace.ca/building-info</w:t>
      </w:r>
      <w:r>
        <w:t>.</w:t>
      </w:r>
    </w:p>
  </w:footnote>
  <w:footnote w:id="7">
    <w:p w14:paraId="261BDFB5" w14:textId="0AA9BE57" w:rsidR="00F52960" w:rsidRPr="00D5402F" w:rsidRDefault="00F52960" w:rsidP="008F0BD9">
      <w:pPr>
        <w:pStyle w:val="Footnote"/>
      </w:pPr>
      <w:r w:rsidRPr="00D5402F">
        <w:rPr>
          <w:rStyle w:val="FootnoteReference"/>
        </w:rPr>
        <w:footnoteRef/>
      </w:r>
      <w:r w:rsidRPr="00D5402F">
        <w:t xml:space="preserve"> “Path</w:t>
      </w:r>
      <w:r>
        <w:t>—</w:t>
      </w:r>
      <w:r w:rsidRPr="00D5402F">
        <w:t xml:space="preserve">Toronto’s Downtown Walkway,” </w:t>
      </w:r>
      <w:r w:rsidRPr="006769EF">
        <w:rPr>
          <w:iCs/>
        </w:rPr>
        <w:t>Toronto</w:t>
      </w:r>
      <w:r w:rsidRPr="00D5402F">
        <w:t>, accessed May 20, 2020, www.toronto.ca/explore-enjoy/visitor-services/path-torontos-downtown-pedestrian-walkway/</w:t>
      </w:r>
      <w:r>
        <w:t>.</w:t>
      </w:r>
    </w:p>
  </w:footnote>
  <w:footnote w:id="8">
    <w:p w14:paraId="1661E8BD" w14:textId="39683E44" w:rsidR="00F52960" w:rsidRPr="00A4212D" w:rsidRDefault="00F52960" w:rsidP="008F0BD9">
      <w:pPr>
        <w:pStyle w:val="Footnote"/>
      </w:pPr>
      <w:r w:rsidRPr="00A4212D">
        <w:rPr>
          <w:rStyle w:val="FootnoteReference"/>
          <w:sz w:val="18"/>
          <w:szCs w:val="18"/>
        </w:rPr>
        <w:footnoteRef/>
      </w:r>
      <w:r w:rsidRPr="00A4212D">
        <w:rPr>
          <w:sz w:val="18"/>
          <w:szCs w:val="18"/>
        </w:rPr>
        <w:t xml:space="preserve"> </w:t>
      </w:r>
      <w:r w:rsidRPr="00A4212D">
        <w:t>“C</w:t>
      </w:r>
      <w:r>
        <w:t>OVID</w:t>
      </w:r>
      <w:r w:rsidRPr="00A4212D">
        <w:t xml:space="preserve">-19 Coronavirus Pandemic,” </w:t>
      </w:r>
      <w:proofErr w:type="spellStart"/>
      <w:r w:rsidRPr="006769EF">
        <w:rPr>
          <w:iCs/>
        </w:rPr>
        <w:t>Worldometer</w:t>
      </w:r>
      <w:proofErr w:type="spellEnd"/>
      <w:r w:rsidRPr="00A4212D">
        <w:t>, accessed May 24, 2020, www.worldometers.info/coronavirus/.</w:t>
      </w:r>
    </w:p>
  </w:footnote>
  <w:footnote w:id="9">
    <w:p w14:paraId="452A6729" w14:textId="26B24C28" w:rsidR="00F52960" w:rsidRDefault="00F52960" w:rsidP="008F0BD9">
      <w:pPr>
        <w:pStyle w:val="Footnote"/>
      </w:pPr>
      <w:r>
        <w:rPr>
          <w:rStyle w:val="FootnoteReference"/>
        </w:rPr>
        <w:footnoteRef/>
      </w:r>
      <w:r w:rsidR="00AD1B2B">
        <w:t xml:space="preserve"> </w:t>
      </w:r>
      <w:r>
        <w:t xml:space="preserve">“Coronavirus Disease: Prevention and Risks,” </w:t>
      </w:r>
      <w:r w:rsidR="00AD1B2B">
        <w:t xml:space="preserve">Government of </w:t>
      </w:r>
      <w:r w:rsidRPr="006769EF">
        <w:rPr>
          <w:iCs/>
        </w:rPr>
        <w:t>Canada,</w:t>
      </w:r>
      <w:r>
        <w:rPr>
          <w:i/>
        </w:rPr>
        <w:t xml:space="preserve"> </w:t>
      </w:r>
      <w:r w:rsidRPr="00101741">
        <w:t>accessed May 24, 2020,</w:t>
      </w:r>
      <w:r>
        <w:t xml:space="preserve"> </w:t>
      </w:r>
      <w:r w:rsidRPr="00A20923">
        <w:t>www.canada.ca/en/public-health/services/diseases/2019-novel-coronavirus-infection/prevention-risks.html?&amp;utm_campaign=gc-hc-sc-coronavirus2021-ao-2021-0005-10020125402&amp;utm_medium=search&amp;utm_source=google-ads-107800103024&amp;utm_content=text-en-434525470062&amp;utm_term=covid-19</w:t>
      </w:r>
      <w:r>
        <w:t>.</w:t>
      </w:r>
    </w:p>
  </w:footnote>
  <w:footnote w:id="10">
    <w:p w14:paraId="06C47B32" w14:textId="44612604" w:rsidR="00F52960" w:rsidRDefault="00F52960" w:rsidP="008F0BD9">
      <w:pPr>
        <w:pStyle w:val="Footnote"/>
      </w:pPr>
      <w:r>
        <w:rPr>
          <w:rStyle w:val="FootnoteReference"/>
        </w:rPr>
        <w:footnoteRef/>
      </w:r>
      <w:r>
        <w:t xml:space="preserve"> Amber McGuckin, “Work-from-Home ‘Revolution’ Possible as Companies Adapt to Coronavirus Measures, Says HR Expert,” </w:t>
      </w:r>
      <w:r w:rsidRPr="006769EF">
        <w:rPr>
          <w:iCs/>
        </w:rPr>
        <w:t>Global News</w:t>
      </w:r>
      <w:r w:rsidRPr="00807C73">
        <w:rPr>
          <w:iCs/>
        </w:rPr>
        <w:t>,</w:t>
      </w:r>
      <w:r>
        <w:t xml:space="preserve"> May 7, 2020, </w:t>
      </w:r>
      <w:r w:rsidR="00E31AA3">
        <w:t xml:space="preserve">updated May 25, 2020, </w:t>
      </w:r>
      <w:r>
        <w:t xml:space="preserve">accessed May 24, 2020, </w:t>
      </w:r>
      <w:r w:rsidRPr="00101741">
        <w:t>https://globalnews.ca/news/6911552/work-from-home-coronavirus-office-changes/</w:t>
      </w:r>
      <w:r>
        <w:t>.</w:t>
      </w:r>
    </w:p>
  </w:footnote>
  <w:footnote w:id="11">
    <w:p w14:paraId="3AB6E4D6" w14:textId="46107DA4" w:rsidR="00F52960" w:rsidRDefault="00F52960" w:rsidP="008F0BD9">
      <w:pPr>
        <w:pStyle w:val="Footnote"/>
      </w:pPr>
      <w:r>
        <w:rPr>
          <w:rStyle w:val="FootnoteReference"/>
        </w:rPr>
        <w:footnoteRef/>
      </w:r>
      <w:r>
        <w:t xml:space="preserve"> Katherine DeClerq, “Ontario Orders All Non-essential Businesses to Shut Down,” </w:t>
      </w:r>
      <w:r w:rsidRPr="006769EF">
        <w:rPr>
          <w:iCs/>
        </w:rPr>
        <w:t>CTV News</w:t>
      </w:r>
      <w:r>
        <w:t xml:space="preserve">, March 23, 2020, </w:t>
      </w:r>
      <w:r w:rsidR="00E31AA3">
        <w:t xml:space="preserve">updated March 24, 2020, </w:t>
      </w:r>
      <w:r>
        <w:t xml:space="preserve">accessed May 24, 2020, </w:t>
      </w:r>
      <w:r w:rsidRPr="00E9136B">
        <w:t>https://toronto.ctvnews.ca/ontario-orders-all-non-essential-businesses-to-shut-down-1.4864492</w:t>
      </w:r>
      <w:r>
        <w:t>.</w:t>
      </w:r>
    </w:p>
  </w:footnote>
  <w:footnote w:id="12">
    <w:p w14:paraId="1575BE03" w14:textId="2120579A" w:rsidR="00F52960" w:rsidRPr="006769EF" w:rsidRDefault="00F52960" w:rsidP="008F0BD9">
      <w:pPr>
        <w:pStyle w:val="Footnote"/>
        <w:rPr>
          <w:b/>
          <w:bCs/>
        </w:rPr>
      </w:pPr>
      <w:r w:rsidRPr="00A4212D">
        <w:rPr>
          <w:rStyle w:val="FootnoteReference"/>
        </w:rPr>
        <w:footnoteRef/>
      </w:r>
      <w:r w:rsidRPr="00A4212D">
        <w:t xml:space="preserve"> “Women’s Clothing Stores in Canada</w:t>
      </w:r>
      <w:r w:rsidR="00E337EC">
        <w:t>—Market Research Report</w:t>
      </w:r>
      <w:r w:rsidRPr="00A4212D">
        <w:t>,” IBIS World,</w:t>
      </w:r>
      <w:r w:rsidR="00E337EC">
        <w:t xml:space="preserve"> updated August 2, 2020, </w:t>
      </w:r>
      <w:r w:rsidRPr="00A4212D">
        <w:t>accessed May 24, 2020</w:t>
      </w:r>
      <w:r w:rsidR="00E337EC">
        <w:t xml:space="preserve">, </w:t>
      </w:r>
      <w:r w:rsidR="00E337EC" w:rsidRPr="00E337EC">
        <w:t>www.ibisworld.com/canada/market-research-reports/womens-clothing-stores-industry/</w:t>
      </w:r>
      <w:r w:rsidRPr="00A4212D">
        <w:t>.</w:t>
      </w:r>
    </w:p>
  </w:footnote>
  <w:footnote w:id="13">
    <w:p w14:paraId="61072B84" w14:textId="428E6BAB" w:rsidR="00F52960" w:rsidRPr="00A4212D" w:rsidRDefault="00F52960" w:rsidP="008F0BD9">
      <w:pPr>
        <w:pStyle w:val="Footnote"/>
      </w:pPr>
      <w:r w:rsidRPr="00A4212D">
        <w:rPr>
          <w:rStyle w:val="FootnoteReference"/>
        </w:rPr>
        <w:footnoteRef/>
      </w:r>
      <w:r w:rsidRPr="00A4212D">
        <w:t xml:space="preserve"> Ibid.</w:t>
      </w:r>
    </w:p>
  </w:footnote>
  <w:footnote w:id="14">
    <w:p w14:paraId="6B1D4A28" w14:textId="6CC55B6E" w:rsidR="00F52960" w:rsidRPr="00A4212D" w:rsidRDefault="00F52960" w:rsidP="008F0BD9">
      <w:pPr>
        <w:pStyle w:val="Footnote"/>
      </w:pPr>
      <w:r w:rsidRPr="00A4212D">
        <w:rPr>
          <w:rStyle w:val="FootnoteReference"/>
        </w:rPr>
        <w:footnoteRef/>
      </w:r>
      <w:r w:rsidRPr="00A4212D">
        <w:t xml:space="preserve"> “Canada Lost Nearly 2 Million Jobs in April </w:t>
      </w:r>
      <w:r>
        <w:t>a</w:t>
      </w:r>
      <w:r w:rsidRPr="00A4212D">
        <w:t>mid C</w:t>
      </w:r>
      <w:r>
        <w:t>OVID</w:t>
      </w:r>
      <w:r w:rsidRPr="00A4212D">
        <w:t>-19 Crisis</w:t>
      </w:r>
      <w:r w:rsidR="00E337EC">
        <w:t>: Statistics Canada</w:t>
      </w:r>
      <w:r w:rsidRPr="00A4212D">
        <w:t xml:space="preserve">,” </w:t>
      </w:r>
      <w:r w:rsidRPr="006769EF">
        <w:rPr>
          <w:iCs/>
        </w:rPr>
        <w:t xml:space="preserve">CBC News, </w:t>
      </w:r>
      <w:r w:rsidRPr="00A4212D">
        <w:t>May 8, 2020, accessed May 24, 2020,</w:t>
      </w:r>
      <w:r>
        <w:t xml:space="preserve"> </w:t>
      </w:r>
      <w:r w:rsidRPr="00A4212D">
        <w:t>www.cbc.ca/news/business/canada-jobs-april-1.5561001</w:t>
      </w:r>
      <w:r>
        <w:t>.</w:t>
      </w:r>
    </w:p>
  </w:footnote>
  <w:footnote w:id="15">
    <w:p w14:paraId="5DB2CD40" w14:textId="17499B0A" w:rsidR="00F52960" w:rsidRPr="00A4212D" w:rsidRDefault="00F52960" w:rsidP="008F0BD9">
      <w:pPr>
        <w:pStyle w:val="Footnote"/>
      </w:pPr>
      <w:r w:rsidRPr="00A4212D">
        <w:rPr>
          <w:rStyle w:val="FootnoteReference"/>
        </w:rPr>
        <w:footnoteRef/>
      </w:r>
      <w:r w:rsidRPr="00A4212D">
        <w:t xml:space="preserve"> </w:t>
      </w:r>
      <w:r>
        <w:t xml:space="preserve">Judy Mottl, “Building Customer Loyalty in the Post COVID-19 Retail Environment,” </w:t>
      </w:r>
      <w:r w:rsidRPr="006769EF">
        <w:rPr>
          <w:iCs/>
        </w:rPr>
        <w:t>Retail Customer Experience</w:t>
      </w:r>
      <w:r>
        <w:t xml:space="preserve">, May 12, 2020, accessed May 25, 2020, </w:t>
      </w:r>
      <w:r w:rsidRPr="00A4212D">
        <w:t>www.retailcustomerexperience.com/articles/building-customer-loyalty-in-the-post-covid-19-retail-environment/</w:t>
      </w:r>
      <w:r>
        <w:t>.</w:t>
      </w:r>
    </w:p>
  </w:footnote>
  <w:footnote w:id="16">
    <w:p w14:paraId="2F78FFAB" w14:textId="71465AD8" w:rsidR="00F52960" w:rsidRPr="00A4212D" w:rsidRDefault="00F52960" w:rsidP="008F0BD9">
      <w:pPr>
        <w:pStyle w:val="Footnote"/>
      </w:pPr>
      <w:r w:rsidRPr="00A4212D">
        <w:rPr>
          <w:rStyle w:val="FootnoteReference"/>
        </w:rPr>
        <w:footnoteRef/>
      </w:r>
      <w:r w:rsidRPr="00A4212D">
        <w:t xml:space="preserve"> Ibid.</w:t>
      </w:r>
    </w:p>
  </w:footnote>
  <w:footnote w:id="17">
    <w:p w14:paraId="4FF520C8" w14:textId="2818155B" w:rsidR="00F52960" w:rsidRDefault="00F52960" w:rsidP="008F0BD9">
      <w:pPr>
        <w:pStyle w:val="Footnote"/>
      </w:pPr>
      <w:r>
        <w:rPr>
          <w:rStyle w:val="FootnoteReference"/>
        </w:rPr>
        <w:footnoteRef/>
      </w:r>
      <w:r>
        <w:t xml:space="preserve"> Ibid.</w:t>
      </w:r>
    </w:p>
  </w:footnote>
  <w:footnote w:id="18">
    <w:p w14:paraId="09F77472" w14:textId="364CAE7D" w:rsidR="00F52960" w:rsidRPr="00B30936" w:rsidRDefault="00F52960" w:rsidP="008F0BD9">
      <w:pPr>
        <w:pStyle w:val="Footnote"/>
      </w:pPr>
      <w:r w:rsidRPr="00A4212D">
        <w:rPr>
          <w:rStyle w:val="FootnoteReference"/>
        </w:rPr>
        <w:footnoteRef/>
      </w:r>
      <w:r w:rsidRPr="00A4212D">
        <w:t xml:space="preserve"> Ibid.</w:t>
      </w:r>
    </w:p>
  </w:footnote>
  <w:footnote w:id="19">
    <w:p w14:paraId="753B0071" w14:textId="705422E6" w:rsidR="00F52960" w:rsidRDefault="00F52960">
      <w:pPr>
        <w:pStyle w:val="Footnote"/>
      </w:pPr>
      <w:r>
        <w:rPr>
          <w:rStyle w:val="FootnoteReference"/>
        </w:rPr>
        <w:footnoteRef/>
      </w:r>
      <w:r>
        <w:t xml:space="preserve"> </w:t>
      </w:r>
      <w:proofErr w:type="spellStart"/>
      <w:r>
        <w:t>Alicja</w:t>
      </w:r>
      <w:proofErr w:type="spellEnd"/>
      <w:r>
        <w:t xml:space="preserve"> </w:t>
      </w:r>
      <w:proofErr w:type="spellStart"/>
      <w:r>
        <w:t>Siekierska</w:t>
      </w:r>
      <w:proofErr w:type="spellEnd"/>
      <w:r>
        <w:t xml:space="preserve">, “‘Canadian Companies Are Jumping In’: Inside the Rise of Influencer Marketing,” </w:t>
      </w:r>
      <w:r w:rsidRPr="00FB7A78">
        <w:t>Yahoo</w:t>
      </w:r>
      <w:r w:rsidR="005D2C00">
        <w:t>!</w:t>
      </w:r>
      <w:r w:rsidRPr="00FB7A78">
        <w:t xml:space="preserve"> Finance</w:t>
      </w:r>
      <w:r>
        <w:t xml:space="preserve">, June 18, 2019, accessed June 3, 2020, </w:t>
      </w:r>
      <w:r w:rsidRPr="00A54BDB">
        <w:t>https://ca.finance.yahoo.com/news/influencer-marketing-growing-in-canada-184127949.html</w:t>
      </w:r>
      <w:r>
        <w:t>.</w:t>
      </w:r>
    </w:p>
  </w:footnote>
  <w:footnote w:id="20">
    <w:p w14:paraId="738CF6BE" w14:textId="36CEB4D9" w:rsidR="00F52960" w:rsidRDefault="00F52960" w:rsidP="008F0BD9">
      <w:pPr>
        <w:pStyle w:val="Footnote"/>
      </w:pPr>
      <w:r>
        <w:rPr>
          <w:rStyle w:val="FootnoteReference"/>
        </w:rPr>
        <w:footnoteRef/>
      </w:r>
      <w:r>
        <w:t xml:space="preserve"> “Influencer Marketing 2019 Industry Benchmarks,” </w:t>
      </w:r>
      <w:r w:rsidRPr="006769EF">
        <w:rPr>
          <w:iCs/>
        </w:rPr>
        <w:t>Media Kix</w:t>
      </w:r>
      <w:r>
        <w:t xml:space="preserve">, accessed June 3, 2020, </w:t>
      </w:r>
      <w:r w:rsidRPr="003F1C0F">
        <w:t>https://mediakix.com/influencer-marketing-resources/influencer-marketing-industry-statistics-survey-benchmarks/</w:t>
      </w:r>
      <w:r>
        <w:t>.</w:t>
      </w:r>
    </w:p>
  </w:footnote>
  <w:footnote w:id="21">
    <w:p w14:paraId="01E2D56E" w14:textId="32FCAE97" w:rsidR="00F52960" w:rsidRDefault="00F52960" w:rsidP="008F0BD9">
      <w:pPr>
        <w:pStyle w:val="Footnote"/>
      </w:pPr>
      <w:r>
        <w:rPr>
          <w:rStyle w:val="FootnoteReference"/>
        </w:rPr>
        <w:footnoteRef/>
      </w:r>
      <w:r>
        <w:t xml:space="preserve"> Emily Engle, “Canada Is Cracking Down on Influencer Marketing,” </w:t>
      </w:r>
      <w:proofErr w:type="spellStart"/>
      <w:r w:rsidRPr="006769EF">
        <w:rPr>
          <w:iCs/>
        </w:rPr>
        <w:t>Hype</w:t>
      </w:r>
      <w:r w:rsidR="005C2BAB">
        <w:rPr>
          <w:iCs/>
        </w:rPr>
        <w:t>b</w:t>
      </w:r>
      <w:r w:rsidRPr="006769EF">
        <w:rPr>
          <w:iCs/>
        </w:rPr>
        <w:t>east</w:t>
      </w:r>
      <w:proofErr w:type="spellEnd"/>
      <w:r>
        <w:t xml:space="preserve">, February 10, 2020, accessed June 3, 2020, </w:t>
      </w:r>
      <w:r w:rsidRPr="00A54BDB">
        <w:t>https://hypebeast.com/2020/2/canada-influencer-marketing-policy</w:t>
      </w:r>
      <w:r>
        <w:t>.</w:t>
      </w:r>
    </w:p>
  </w:footnote>
  <w:footnote w:id="22">
    <w:p w14:paraId="7622A0EB" w14:textId="4E20FA3A" w:rsidR="00F52960" w:rsidRDefault="00F52960" w:rsidP="008F0BD9">
      <w:pPr>
        <w:pStyle w:val="Footnote"/>
      </w:pPr>
      <w:r>
        <w:rPr>
          <w:rStyle w:val="FootnoteReference"/>
        </w:rPr>
        <w:footnoteRef/>
      </w:r>
      <w:r w:rsidR="005C2BAB">
        <w:t xml:space="preserve"> </w:t>
      </w:r>
      <w:r>
        <w:t xml:space="preserve">“20 Surprising Influencer Marketing Statistics,” </w:t>
      </w:r>
      <w:r w:rsidRPr="006769EF">
        <w:rPr>
          <w:iCs/>
        </w:rPr>
        <w:t>D</w:t>
      </w:r>
      <w:r w:rsidR="005C2BAB">
        <w:rPr>
          <w:iCs/>
        </w:rPr>
        <w:t xml:space="preserve">igital Marketing Institute, </w:t>
      </w:r>
      <w:r>
        <w:t xml:space="preserve">October 25, 2018, accessed June 8, 2020, </w:t>
      </w:r>
      <w:r w:rsidRPr="00165F49">
        <w:t>https://digitalmarketinginstitute.com/en-ca/blog/20-influencer-marketing-statistics-that-will-surprise-you</w:t>
      </w:r>
      <w:r>
        <w:t>.</w:t>
      </w:r>
    </w:p>
  </w:footnote>
  <w:footnote w:id="23">
    <w:p w14:paraId="29844DE9" w14:textId="337739BD" w:rsidR="00F52960" w:rsidRDefault="00F52960" w:rsidP="008F0BD9">
      <w:pPr>
        <w:pStyle w:val="Footnote"/>
      </w:pPr>
      <w:r>
        <w:rPr>
          <w:rStyle w:val="FootnoteReference"/>
        </w:rPr>
        <w:footnoteRef/>
      </w:r>
      <w:r>
        <w:t xml:space="preserve"> Ibid.</w:t>
      </w:r>
    </w:p>
  </w:footnote>
  <w:footnote w:id="24">
    <w:p w14:paraId="53ADBBD6" w14:textId="12D73097" w:rsidR="00F52960" w:rsidRPr="001C2709" w:rsidRDefault="00F52960" w:rsidP="008F0BD9">
      <w:pPr>
        <w:pStyle w:val="Footnote"/>
      </w:pPr>
      <w:r>
        <w:rPr>
          <w:rStyle w:val="FootnoteReference"/>
        </w:rPr>
        <w:footnoteRef/>
      </w:r>
      <w:r>
        <w:t xml:space="preserve"> </w:t>
      </w:r>
      <w:r w:rsidRPr="00777CDB">
        <w:t xml:space="preserve">Engagement rates </w:t>
      </w:r>
      <w:r>
        <w:t>were</w:t>
      </w:r>
      <w:r w:rsidRPr="00777CDB">
        <w:t xml:space="preserve"> metrics that track</w:t>
      </w:r>
      <w:r>
        <w:t>ed</w:t>
      </w:r>
      <w:r w:rsidRPr="00777CDB">
        <w:t xml:space="preserve"> how actively involved influencer</w:t>
      </w:r>
      <w:r w:rsidR="005C2BAB">
        <w:t>s</w:t>
      </w:r>
      <w:r w:rsidRPr="00777CDB">
        <w:t>’</w:t>
      </w:r>
      <w:r>
        <w:t xml:space="preserve"> audience</w:t>
      </w:r>
      <w:r w:rsidR="005C2BAB">
        <w:t>s were</w:t>
      </w:r>
      <w:r>
        <w:t xml:space="preserve"> with their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BA1B8CE" w:rsidR="00F52960" w:rsidRPr="00C92CC4" w:rsidRDefault="00F5296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E0B3A">
      <w:rPr>
        <w:rFonts w:ascii="Arial" w:hAnsi="Arial"/>
        <w:b/>
        <w:noProof/>
      </w:rPr>
      <w:t>6</w:t>
    </w:r>
    <w:r>
      <w:rPr>
        <w:rFonts w:ascii="Arial" w:hAnsi="Arial"/>
        <w:b/>
      </w:rPr>
      <w:fldChar w:fldCharType="end"/>
    </w:r>
    <w:r>
      <w:rPr>
        <w:rFonts w:ascii="Arial" w:hAnsi="Arial"/>
        <w:b/>
      </w:rPr>
      <w:tab/>
    </w:r>
    <w:r w:rsidR="007910D6">
      <w:rPr>
        <w:rFonts w:ascii="Arial" w:hAnsi="Arial"/>
        <w:b/>
      </w:rPr>
      <w:t>9B21B008</w:t>
    </w:r>
  </w:p>
  <w:p w14:paraId="2B53C0A0" w14:textId="77777777" w:rsidR="00F52960" w:rsidRDefault="00F52960" w:rsidP="00D13667">
    <w:pPr>
      <w:pStyle w:val="Header"/>
      <w:tabs>
        <w:tab w:val="clear" w:pos="4680"/>
      </w:tabs>
      <w:rPr>
        <w:sz w:val="18"/>
        <w:szCs w:val="18"/>
      </w:rPr>
    </w:pPr>
  </w:p>
  <w:p w14:paraId="47119730" w14:textId="77777777" w:rsidR="00F52960" w:rsidRPr="00C92CC4" w:rsidRDefault="00F5296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75CD"/>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B57FE"/>
    <w:rsid w:val="000D2A2F"/>
    <w:rsid w:val="000D7091"/>
    <w:rsid w:val="000F0C22"/>
    <w:rsid w:val="000F6B09"/>
    <w:rsid w:val="000F6FDC"/>
    <w:rsid w:val="00104567"/>
    <w:rsid w:val="00104916"/>
    <w:rsid w:val="00104AA7"/>
    <w:rsid w:val="0012732D"/>
    <w:rsid w:val="00127626"/>
    <w:rsid w:val="00143F25"/>
    <w:rsid w:val="00152682"/>
    <w:rsid w:val="00154FC9"/>
    <w:rsid w:val="00166DA2"/>
    <w:rsid w:val="001764FE"/>
    <w:rsid w:val="001901C0"/>
    <w:rsid w:val="0019241A"/>
    <w:rsid w:val="00192A18"/>
    <w:rsid w:val="001A22D1"/>
    <w:rsid w:val="001A752D"/>
    <w:rsid w:val="001A757E"/>
    <w:rsid w:val="001B5032"/>
    <w:rsid w:val="001B7B06"/>
    <w:rsid w:val="001C7777"/>
    <w:rsid w:val="001D344B"/>
    <w:rsid w:val="001E364F"/>
    <w:rsid w:val="001F4222"/>
    <w:rsid w:val="00203AA1"/>
    <w:rsid w:val="00213E98"/>
    <w:rsid w:val="00230150"/>
    <w:rsid w:val="0023081A"/>
    <w:rsid w:val="00233111"/>
    <w:rsid w:val="002371B9"/>
    <w:rsid w:val="00265FA8"/>
    <w:rsid w:val="002B40FF"/>
    <w:rsid w:val="002C4E29"/>
    <w:rsid w:val="002D64A2"/>
    <w:rsid w:val="002E0B3A"/>
    <w:rsid w:val="002E7F89"/>
    <w:rsid w:val="002F460C"/>
    <w:rsid w:val="002F48D6"/>
    <w:rsid w:val="00317391"/>
    <w:rsid w:val="00326216"/>
    <w:rsid w:val="00336580"/>
    <w:rsid w:val="00354899"/>
    <w:rsid w:val="00355FD6"/>
    <w:rsid w:val="00364A5C"/>
    <w:rsid w:val="00373FB1"/>
    <w:rsid w:val="00396C76"/>
    <w:rsid w:val="003A5366"/>
    <w:rsid w:val="003B1AD7"/>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85155"/>
    <w:rsid w:val="004979A5"/>
    <w:rsid w:val="004A25E0"/>
    <w:rsid w:val="004B1CCB"/>
    <w:rsid w:val="004B632F"/>
    <w:rsid w:val="004C7FBB"/>
    <w:rsid w:val="004D3FB1"/>
    <w:rsid w:val="004D6F21"/>
    <w:rsid w:val="004D73A5"/>
    <w:rsid w:val="005160F1"/>
    <w:rsid w:val="005230B2"/>
    <w:rsid w:val="00524F2F"/>
    <w:rsid w:val="00527E5C"/>
    <w:rsid w:val="005328B3"/>
    <w:rsid w:val="00532CF5"/>
    <w:rsid w:val="00536BFB"/>
    <w:rsid w:val="005528CB"/>
    <w:rsid w:val="00566771"/>
    <w:rsid w:val="00580AC1"/>
    <w:rsid w:val="00581E2E"/>
    <w:rsid w:val="00584F15"/>
    <w:rsid w:val="0059514B"/>
    <w:rsid w:val="005A1B0F"/>
    <w:rsid w:val="005A7581"/>
    <w:rsid w:val="005B1A8E"/>
    <w:rsid w:val="005B4CE6"/>
    <w:rsid w:val="005B5EFE"/>
    <w:rsid w:val="005C2BAB"/>
    <w:rsid w:val="005D2C00"/>
    <w:rsid w:val="00614898"/>
    <w:rsid w:val="006163F7"/>
    <w:rsid w:val="00627C63"/>
    <w:rsid w:val="0063350B"/>
    <w:rsid w:val="00652606"/>
    <w:rsid w:val="00670E1F"/>
    <w:rsid w:val="006769EF"/>
    <w:rsid w:val="006946EE"/>
    <w:rsid w:val="006A58A9"/>
    <w:rsid w:val="006A606D"/>
    <w:rsid w:val="006C0371"/>
    <w:rsid w:val="006C08B6"/>
    <w:rsid w:val="006C0B1A"/>
    <w:rsid w:val="006C5385"/>
    <w:rsid w:val="006C6065"/>
    <w:rsid w:val="006C7F9F"/>
    <w:rsid w:val="006E2F6D"/>
    <w:rsid w:val="006E58F6"/>
    <w:rsid w:val="006E77E1"/>
    <w:rsid w:val="006F131D"/>
    <w:rsid w:val="006F6C60"/>
    <w:rsid w:val="00711642"/>
    <w:rsid w:val="007507C6"/>
    <w:rsid w:val="00751E0B"/>
    <w:rsid w:val="007521EA"/>
    <w:rsid w:val="00752BCD"/>
    <w:rsid w:val="00766824"/>
    <w:rsid w:val="00766DA1"/>
    <w:rsid w:val="00780D94"/>
    <w:rsid w:val="007866A6"/>
    <w:rsid w:val="007910D6"/>
    <w:rsid w:val="007A130D"/>
    <w:rsid w:val="007C4036"/>
    <w:rsid w:val="007D1A2D"/>
    <w:rsid w:val="007D32E6"/>
    <w:rsid w:val="007D4102"/>
    <w:rsid w:val="007E54A7"/>
    <w:rsid w:val="007F43B7"/>
    <w:rsid w:val="00807C73"/>
    <w:rsid w:val="00821FFC"/>
    <w:rsid w:val="008271CA"/>
    <w:rsid w:val="00843844"/>
    <w:rsid w:val="008467D5"/>
    <w:rsid w:val="00897F93"/>
    <w:rsid w:val="008A4DC4"/>
    <w:rsid w:val="008B438C"/>
    <w:rsid w:val="008D06CA"/>
    <w:rsid w:val="008D3A46"/>
    <w:rsid w:val="008F0BD9"/>
    <w:rsid w:val="008F2385"/>
    <w:rsid w:val="009067A4"/>
    <w:rsid w:val="00930885"/>
    <w:rsid w:val="00933D68"/>
    <w:rsid w:val="009340DB"/>
    <w:rsid w:val="0094618C"/>
    <w:rsid w:val="009525D0"/>
    <w:rsid w:val="0095684B"/>
    <w:rsid w:val="00971022"/>
    <w:rsid w:val="00972498"/>
    <w:rsid w:val="0097481F"/>
    <w:rsid w:val="00974CC6"/>
    <w:rsid w:val="00976AD4"/>
    <w:rsid w:val="00995547"/>
    <w:rsid w:val="009A312F"/>
    <w:rsid w:val="009A5348"/>
    <w:rsid w:val="009B0AB7"/>
    <w:rsid w:val="009B4767"/>
    <w:rsid w:val="009C76D5"/>
    <w:rsid w:val="009E1122"/>
    <w:rsid w:val="009F7AA4"/>
    <w:rsid w:val="00A05ED7"/>
    <w:rsid w:val="00A10AD7"/>
    <w:rsid w:val="00A323B0"/>
    <w:rsid w:val="00A4096B"/>
    <w:rsid w:val="00A559DB"/>
    <w:rsid w:val="00A569EA"/>
    <w:rsid w:val="00A613FE"/>
    <w:rsid w:val="00A676A0"/>
    <w:rsid w:val="00A922EA"/>
    <w:rsid w:val="00AC49EE"/>
    <w:rsid w:val="00AD1B2B"/>
    <w:rsid w:val="00AF35FC"/>
    <w:rsid w:val="00AF5556"/>
    <w:rsid w:val="00B03639"/>
    <w:rsid w:val="00B0652A"/>
    <w:rsid w:val="00B40937"/>
    <w:rsid w:val="00B423EF"/>
    <w:rsid w:val="00B453DE"/>
    <w:rsid w:val="00B51566"/>
    <w:rsid w:val="00B62497"/>
    <w:rsid w:val="00B72597"/>
    <w:rsid w:val="00B87DC0"/>
    <w:rsid w:val="00B901F9"/>
    <w:rsid w:val="00BC4D98"/>
    <w:rsid w:val="00BD6EFB"/>
    <w:rsid w:val="00BE3DF5"/>
    <w:rsid w:val="00BF5EAB"/>
    <w:rsid w:val="00C02410"/>
    <w:rsid w:val="00C12759"/>
    <w:rsid w:val="00C1584D"/>
    <w:rsid w:val="00C15BE2"/>
    <w:rsid w:val="00C3447F"/>
    <w:rsid w:val="00C44714"/>
    <w:rsid w:val="00C6025C"/>
    <w:rsid w:val="00C60D53"/>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17EC6"/>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26E1A"/>
    <w:rsid w:val="00E31AA3"/>
    <w:rsid w:val="00E337EC"/>
    <w:rsid w:val="00E471A7"/>
    <w:rsid w:val="00E600CC"/>
    <w:rsid w:val="00E635CF"/>
    <w:rsid w:val="00E75A7C"/>
    <w:rsid w:val="00EB1E3B"/>
    <w:rsid w:val="00EC6E0A"/>
    <w:rsid w:val="00ED1888"/>
    <w:rsid w:val="00ED4E18"/>
    <w:rsid w:val="00ED7922"/>
    <w:rsid w:val="00EE02C4"/>
    <w:rsid w:val="00EE1F37"/>
    <w:rsid w:val="00EF3449"/>
    <w:rsid w:val="00F0159C"/>
    <w:rsid w:val="00F105B7"/>
    <w:rsid w:val="00F13220"/>
    <w:rsid w:val="00F17A21"/>
    <w:rsid w:val="00F27671"/>
    <w:rsid w:val="00F36FC2"/>
    <w:rsid w:val="00F37B27"/>
    <w:rsid w:val="00F46556"/>
    <w:rsid w:val="00F50E91"/>
    <w:rsid w:val="00F52743"/>
    <w:rsid w:val="00F52960"/>
    <w:rsid w:val="00F56799"/>
    <w:rsid w:val="00F57D29"/>
    <w:rsid w:val="00F60786"/>
    <w:rsid w:val="00F91BC7"/>
    <w:rsid w:val="00F96201"/>
    <w:rsid w:val="00FA1BBC"/>
    <w:rsid w:val="00FB7A7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41763148-F48D-4326-A6CD-54D35AE2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Light1">
    <w:name w:val="Table Grid Light1"/>
    <w:basedOn w:val="TableNormal"/>
    <w:uiPriority w:val="40"/>
    <w:rsid w:val="00614898"/>
    <w:pPr>
      <w:spacing w:after="0" w:line="240" w:lineRule="auto"/>
    </w:pPr>
    <w:rPr>
      <w:lang w:val="en-C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BAFD8-3F5D-4378-B181-C29CB6B8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9B21B008</dc:title>
  <dc:creator>smuir</dc:creator>
  <cp:lastModifiedBy>Harnett, Kira</cp:lastModifiedBy>
  <cp:revision>3</cp:revision>
  <cp:lastPrinted>2015-03-04T20:34:00Z</cp:lastPrinted>
  <dcterms:created xsi:type="dcterms:W3CDTF">2021-04-19T17:28:00Z</dcterms:created>
  <dcterms:modified xsi:type="dcterms:W3CDTF">2021-04-19T17:32:00Z</dcterms:modified>
</cp:coreProperties>
</file>