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207CC" w14:textId="101E7B70" w:rsidR="00334734" w:rsidRPr="00DA1E1A" w:rsidRDefault="005013A1" w:rsidP="00C02410">
      <w:pPr>
        <w:pBdr>
          <w:bottom w:val="single" w:sz="18" w:space="1" w:color="auto"/>
        </w:pBdr>
        <w:tabs>
          <w:tab w:val="left" w:pos="-1440"/>
          <w:tab w:val="left" w:pos="-720"/>
          <w:tab w:val="left" w:pos="1"/>
        </w:tabs>
        <w:jc w:val="both"/>
        <w:rPr>
          <w:rFonts w:ascii="Arial" w:hAnsi="Arial"/>
          <w:b/>
          <w:sz w:val="24"/>
          <w:lang w:val="en-CA" w:eastAsia="en-CA"/>
        </w:rPr>
      </w:pPr>
      <w:r w:rsidRPr="005013A1">
        <w:rPr>
          <w:rFonts w:ascii="Arial" w:hAnsi="Arial"/>
          <w:b/>
          <w:noProof/>
          <w:sz w:val="24"/>
          <w:lang w:val="en-CA" w:eastAsia="en-CA"/>
        </w:rPr>
        <w:drawing>
          <wp:inline distT="0" distB="0" distL="0" distR="0" wp14:anchorId="6A9B5B3F" wp14:editId="6508728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3CD7A68" w:rsidR="00C02410" w:rsidRPr="00DA1E1A" w:rsidRDefault="005013A1" w:rsidP="00C02410">
      <w:pPr>
        <w:pStyle w:val="ProductNumber"/>
        <w:rPr>
          <w:lang w:val="en-CA"/>
        </w:rPr>
      </w:pPr>
      <w:r>
        <w:rPr>
          <w:lang w:val="en-CA"/>
        </w:rPr>
        <w:t>9B21B009</w:t>
      </w:r>
    </w:p>
    <w:p w14:paraId="4E057522" w14:textId="7A113CB1" w:rsidR="00D75295" w:rsidRPr="00DA1E1A" w:rsidRDefault="00D75295" w:rsidP="00D75295">
      <w:pPr>
        <w:jc w:val="right"/>
        <w:rPr>
          <w:rFonts w:ascii="Arial" w:hAnsi="Arial"/>
          <w:b/>
          <w:lang w:val="en-CA"/>
        </w:rPr>
      </w:pPr>
    </w:p>
    <w:p w14:paraId="02524312" w14:textId="77777777" w:rsidR="001901C0" w:rsidRPr="00DA1E1A" w:rsidRDefault="001901C0" w:rsidP="00D75295">
      <w:pPr>
        <w:jc w:val="right"/>
        <w:rPr>
          <w:rFonts w:ascii="Arial" w:hAnsi="Arial"/>
          <w:b/>
          <w:lang w:val="en-CA"/>
        </w:rPr>
      </w:pPr>
    </w:p>
    <w:p w14:paraId="2F03D26A" w14:textId="2F3764DC" w:rsidR="00013360" w:rsidRPr="00DA1E1A" w:rsidRDefault="00334734" w:rsidP="00013360">
      <w:pPr>
        <w:pStyle w:val="CaseTitle"/>
        <w:spacing w:after="0" w:line="240" w:lineRule="auto"/>
        <w:rPr>
          <w:sz w:val="20"/>
          <w:szCs w:val="20"/>
          <w:lang w:val="en-CA"/>
        </w:rPr>
      </w:pPr>
      <w:r w:rsidRPr="00DA1E1A">
        <w:rPr>
          <w:lang w:val="en-CA"/>
        </w:rPr>
        <w:t xml:space="preserve">A note on income statementS: </w:t>
      </w:r>
      <w:r w:rsidR="004C44FF">
        <w:rPr>
          <w:lang w:val="en-CA"/>
        </w:rPr>
        <w:t xml:space="preserve">A </w:t>
      </w:r>
      <w:r w:rsidRPr="00DA1E1A">
        <w:rPr>
          <w:lang w:val="en-CA"/>
        </w:rPr>
        <w:t>beginner’s guide</w:t>
      </w:r>
    </w:p>
    <w:p w14:paraId="40ABF6FD" w14:textId="77777777" w:rsidR="00CA3976" w:rsidRPr="00DA1E1A" w:rsidRDefault="00CA3976" w:rsidP="00013360">
      <w:pPr>
        <w:pStyle w:val="CaseTitle"/>
        <w:spacing w:after="0" w:line="240" w:lineRule="auto"/>
        <w:rPr>
          <w:sz w:val="20"/>
          <w:szCs w:val="20"/>
          <w:lang w:val="en-CA"/>
        </w:rPr>
      </w:pPr>
    </w:p>
    <w:p w14:paraId="202F1085" w14:textId="77777777" w:rsidR="00013360" w:rsidRPr="00DA1E1A" w:rsidRDefault="00013360" w:rsidP="00013360">
      <w:pPr>
        <w:pStyle w:val="CaseTitle"/>
        <w:spacing w:after="0" w:line="240" w:lineRule="auto"/>
        <w:rPr>
          <w:sz w:val="20"/>
          <w:szCs w:val="20"/>
          <w:lang w:val="en-CA"/>
        </w:rPr>
      </w:pPr>
    </w:p>
    <w:p w14:paraId="58B0C73F" w14:textId="571F7388" w:rsidR="00086B26" w:rsidRPr="00DA1E1A" w:rsidRDefault="006339FD" w:rsidP="00086B26">
      <w:pPr>
        <w:pStyle w:val="StyleCopyrightStatementAfter0ptBottomSinglesolidline1"/>
        <w:rPr>
          <w:lang w:val="en-CA"/>
        </w:rPr>
      </w:pPr>
      <w:r>
        <w:rPr>
          <w:lang w:val="en-CA"/>
        </w:rPr>
        <w:t xml:space="preserve">Janey Zhang </w:t>
      </w:r>
      <w:r w:rsidR="00086B26" w:rsidRPr="00DA1E1A">
        <w:rPr>
          <w:lang w:val="en-CA"/>
        </w:rPr>
        <w:t xml:space="preserve">wrote this </w:t>
      </w:r>
      <w:r w:rsidR="00334734" w:rsidRPr="00DA1E1A">
        <w:rPr>
          <w:lang w:val="en-CA"/>
        </w:rPr>
        <w:t>note</w:t>
      </w:r>
      <w:r w:rsidR="00086B26" w:rsidRPr="00DA1E1A">
        <w:rPr>
          <w:lang w:val="en-CA"/>
        </w:rPr>
        <w:t xml:space="preserve"> </w:t>
      </w:r>
      <w:r>
        <w:rPr>
          <w:lang w:val="en-CA"/>
        </w:rPr>
        <w:t xml:space="preserve">under the supervision of </w:t>
      </w:r>
      <w:r w:rsidR="0069124A" w:rsidRPr="0069124A">
        <w:t xml:space="preserve">Professor </w:t>
      </w:r>
      <w:proofErr w:type="spellStart"/>
      <w:r w:rsidR="0069124A" w:rsidRPr="0069124A">
        <w:t>Zhichuan</w:t>
      </w:r>
      <w:proofErr w:type="spellEnd"/>
      <w:r w:rsidR="0069124A" w:rsidRPr="0069124A">
        <w:t xml:space="preserve"> (Frank) Li</w:t>
      </w:r>
      <w:r w:rsidR="0069124A" w:rsidRPr="0069124A">
        <w:rPr>
          <w:lang w:val="en-CA"/>
        </w:rPr>
        <w:t xml:space="preserve"> </w:t>
      </w:r>
      <w:r w:rsidR="00086B26" w:rsidRPr="00DA1E1A">
        <w:rPr>
          <w:lang w:val="en-CA"/>
        </w:rPr>
        <w:t>solely to provide material for class discussion. The author</w:t>
      </w:r>
      <w:r>
        <w:rPr>
          <w:lang w:val="en-CA"/>
        </w:rPr>
        <w:t>s</w:t>
      </w:r>
      <w:r w:rsidR="00086B26" w:rsidRPr="00DA1E1A">
        <w:rPr>
          <w:lang w:val="en-CA"/>
        </w:rPr>
        <w:t xml:space="preserve"> do not intend to illustrate either effective or ineffective handling of a managerial situation. The author</w:t>
      </w:r>
      <w:r>
        <w:rPr>
          <w:lang w:val="en-CA"/>
        </w:rPr>
        <w:t>s</w:t>
      </w:r>
      <w:r w:rsidR="00086B26" w:rsidRPr="00DA1E1A">
        <w:rPr>
          <w:lang w:val="en-CA"/>
        </w:rPr>
        <w:t xml:space="preserve"> may have disguised certain names and other identifying information to protect confidentiality.</w:t>
      </w:r>
    </w:p>
    <w:p w14:paraId="10D89D5F" w14:textId="3371339F" w:rsidR="00086B26" w:rsidRPr="00DA1E1A" w:rsidRDefault="00086B26" w:rsidP="00086B26">
      <w:pPr>
        <w:pStyle w:val="StyleCopyrightStatementAfter0ptBottomSinglesolidline1"/>
        <w:rPr>
          <w:lang w:val="en-CA"/>
        </w:rPr>
      </w:pPr>
    </w:p>
    <w:p w14:paraId="5BAE33A9" w14:textId="77777777" w:rsidR="005013A1" w:rsidRDefault="005013A1" w:rsidP="005013A1">
      <w:pPr>
        <w:pStyle w:val="StyleStyleCopyrightStatementAfter0ptBottomSinglesolid"/>
        <w:rPr>
          <w:rFonts w:cs="Arial"/>
          <w:color w:val="FFFFFF" w:themeColor="background1"/>
          <w:szCs w:val="16"/>
        </w:rPr>
      </w:pPr>
      <w:r w:rsidRPr="00A323B0">
        <w:rPr>
          <w:rFonts w:cs="Arial"/>
          <w:szCs w:val="16"/>
        </w:rPr>
        <w:t>This publication may not be transmitted, photocopied, digitized, or otherwise reproduced in any form or by any means without the permission of the copyright holde</w:t>
      </w:r>
      <w:bookmarkStart w:id="0" w:name="_GoBack"/>
      <w:bookmarkEnd w:id="0"/>
      <w:r w:rsidRPr="00A323B0">
        <w:rPr>
          <w:rFonts w:cs="Arial"/>
          <w:szCs w:val="16"/>
        </w:rPr>
        <w:t xml:space="preserv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AB56970" w14:textId="77777777" w:rsidR="005013A1" w:rsidRDefault="005013A1" w:rsidP="005013A1">
      <w:pPr>
        <w:pStyle w:val="StyleStyleCopyrightStatementAfter0ptBottomSinglesolid"/>
        <w:rPr>
          <w:rFonts w:cs="Arial"/>
          <w:iCs w:val="0"/>
          <w:color w:val="auto"/>
          <w:szCs w:val="16"/>
        </w:rPr>
      </w:pPr>
    </w:p>
    <w:p w14:paraId="3922E14F" w14:textId="2C9ACA73" w:rsidR="00751E0B" w:rsidRPr="005013A1" w:rsidRDefault="005013A1"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A1E1A">
        <w:rPr>
          <w:rFonts w:cs="Arial"/>
          <w:iCs w:val="0"/>
          <w:color w:val="auto"/>
          <w:szCs w:val="16"/>
          <w:lang w:val="en-CA"/>
        </w:rPr>
        <w:tab/>
        <w:t>Version: 20</w:t>
      </w:r>
      <w:r w:rsidR="00334734" w:rsidRPr="00DA1E1A">
        <w:rPr>
          <w:rFonts w:cs="Arial"/>
          <w:iCs w:val="0"/>
          <w:color w:val="auto"/>
          <w:szCs w:val="16"/>
          <w:lang w:val="en-CA"/>
        </w:rPr>
        <w:t>21</w:t>
      </w:r>
      <w:r w:rsidR="00A323B0" w:rsidRPr="00DA1E1A">
        <w:rPr>
          <w:rFonts w:cs="Arial"/>
          <w:iCs w:val="0"/>
          <w:color w:val="auto"/>
          <w:szCs w:val="16"/>
          <w:lang w:val="en-CA"/>
        </w:rPr>
        <w:t>-</w:t>
      </w:r>
      <w:r w:rsidR="00334734" w:rsidRPr="00DA1E1A">
        <w:rPr>
          <w:rFonts w:cs="Arial"/>
          <w:iCs w:val="0"/>
          <w:color w:val="auto"/>
          <w:szCs w:val="16"/>
          <w:lang w:val="en-CA"/>
        </w:rPr>
        <w:t>04</w:t>
      </w:r>
      <w:r w:rsidR="00A323B0" w:rsidRPr="00DA1E1A">
        <w:rPr>
          <w:rFonts w:cs="Arial"/>
          <w:iCs w:val="0"/>
          <w:color w:val="auto"/>
          <w:szCs w:val="16"/>
          <w:lang w:val="en-CA"/>
        </w:rPr>
        <w:t>-</w:t>
      </w:r>
      <w:r w:rsidR="00E73634">
        <w:rPr>
          <w:rFonts w:cs="Arial"/>
          <w:iCs w:val="0"/>
          <w:color w:val="auto"/>
          <w:szCs w:val="16"/>
          <w:lang w:val="en-CA"/>
        </w:rPr>
        <w:t>12</w:t>
      </w:r>
    </w:p>
    <w:p w14:paraId="0A2A54E4" w14:textId="4FC69BB7" w:rsidR="00751E0B" w:rsidRPr="00DA1E1A" w:rsidRDefault="00751E0B" w:rsidP="00751E0B">
      <w:pPr>
        <w:pStyle w:val="StyleCopyrightStatementAfter0ptBottomSinglesolidline1"/>
        <w:rPr>
          <w:rFonts w:ascii="Times New Roman" w:hAnsi="Times New Roman"/>
          <w:sz w:val="20"/>
          <w:lang w:val="en-CA"/>
        </w:rPr>
      </w:pPr>
    </w:p>
    <w:p w14:paraId="1150AAC1" w14:textId="77777777" w:rsidR="00334734" w:rsidRPr="00DA1E1A" w:rsidRDefault="00334734" w:rsidP="00751E0B">
      <w:pPr>
        <w:pStyle w:val="StyleCopyrightStatementAfter0ptBottomSinglesolidline1"/>
        <w:rPr>
          <w:rFonts w:ascii="Times New Roman" w:hAnsi="Times New Roman"/>
          <w:sz w:val="20"/>
          <w:lang w:val="en-CA"/>
        </w:rPr>
      </w:pPr>
    </w:p>
    <w:p w14:paraId="44992929" w14:textId="2A6B87D5" w:rsidR="00334734" w:rsidRPr="00DA1E1A" w:rsidRDefault="00334734" w:rsidP="00334734">
      <w:pPr>
        <w:pStyle w:val="BodyTextMain"/>
        <w:rPr>
          <w:lang w:val="en-CA"/>
        </w:rPr>
      </w:pPr>
      <w:r w:rsidRPr="00DA1E1A">
        <w:rPr>
          <w:lang w:val="en-CA"/>
        </w:rPr>
        <w:t xml:space="preserve">If you can understand football scoring or read a recipe, you can understand </w:t>
      </w:r>
      <w:r w:rsidR="004C44FF">
        <w:rPr>
          <w:lang w:val="en-CA"/>
        </w:rPr>
        <w:t xml:space="preserve">an </w:t>
      </w:r>
      <w:r w:rsidRPr="00DA1E1A">
        <w:rPr>
          <w:lang w:val="en-CA"/>
        </w:rPr>
        <w:t xml:space="preserve">income statement </w:t>
      </w:r>
      <w:r w:rsidR="006B448B">
        <w:rPr>
          <w:lang w:val="en-CA"/>
        </w:rPr>
        <w:t>(</w:t>
      </w:r>
      <w:r w:rsidRPr="00DA1E1A">
        <w:rPr>
          <w:lang w:val="en-CA"/>
        </w:rPr>
        <w:t>with the help of this note</w:t>
      </w:r>
      <w:r w:rsidR="006B448B">
        <w:rPr>
          <w:lang w:val="en-CA"/>
        </w:rPr>
        <w:t>!)</w:t>
      </w:r>
      <w:r w:rsidRPr="00DA1E1A">
        <w:rPr>
          <w:lang w:val="en-CA"/>
        </w:rPr>
        <w:t xml:space="preserve">. </w:t>
      </w:r>
      <w:r w:rsidR="004C44FF">
        <w:rPr>
          <w:lang w:val="en-CA"/>
        </w:rPr>
        <w:t>An income</w:t>
      </w:r>
      <w:r w:rsidR="004C44FF" w:rsidRPr="00DA1E1A">
        <w:rPr>
          <w:lang w:val="en-CA"/>
        </w:rPr>
        <w:t xml:space="preserve"> </w:t>
      </w:r>
      <w:r w:rsidRPr="00DA1E1A">
        <w:rPr>
          <w:lang w:val="en-CA"/>
        </w:rPr>
        <w:t xml:space="preserve">statement is a report that shows all the revenues and costs over a specific </w:t>
      </w:r>
      <w:r w:rsidR="006B448B" w:rsidRPr="00DA1E1A">
        <w:rPr>
          <w:lang w:val="en-CA"/>
        </w:rPr>
        <w:t xml:space="preserve">period </w:t>
      </w:r>
      <w:r w:rsidR="006B448B">
        <w:rPr>
          <w:lang w:val="en-CA"/>
        </w:rPr>
        <w:t xml:space="preserve">of </w:t>
      </w:r>
      <w:r w:rsidRPr="00DA1E1A">
        <w:rPr>
          <w:lang w:val="en-CA"/>
        </w:rPr>
        <w:t xml:space="preserve">time, </w:t>
      </w:r>
      <w:r w:rsidR="004C44FF">
        <w:rPr>
          <w:lang w:val="en-CA"/>
        </w:rPr>
        <w:t>typically</w:t>
      </w:r>
      <w:r w:rsidRPr="00DA1E1A">
        <w:rPr>
          <w:lang w:val="en-CA"/>
        </w:rPr>
        <w:t xml:space="preserve"> a year or a quarter. </w:t>
      </w:r>
      <w:r w:rsidR="004C44FF">
        <w:rPr>
          <w:lang w:val="en-CA"/>
        </w:rPr>
        <w:t>A c</w:t>
      </w:r>
      <w:r w:rsidR="004C44FF" w:rsidRPr="00DA1E1A">
        <w:rPr>
          <w:lang w:val="en-CA"/>
        </w:rPr>
        <w:t xml:space="preserve">ompany </w:t>
      </w:r>
      <w:r w:rsidRPr="00DA1E1A">
        <w:rPr>
          <w:lang w:val="en-CA"/>
        </w:rPr>
        <w:t xml:space="preserve">(in </w:t>
      </w:r>
      <w:r w:rsidR="004C44FF">
        <w:rPr>
          <w:lang w:val="en-CA"/>
        </w:rPr>
        <w:t>reality</w:t>
      </w:r>
      <w:r w:rsidRPr="00DA1E1A">
        <w:rPr>
          <w:lang w:val="en-CA"/>
        </w:rPr>
        <w:t xml:space="preserve">, </w:t>
      </w:r>
      <w:r w:rsidR="004C44FF">
        <w:rPr>
          <w:lang w:val="en-CA"/>
        </w:rPr>
        <w:t>the company</w:t>
      </w:r>
      <w:r w:rsidR="006B448B">
        <w:rPr>
          <w:lang w:val="en-CA"/>
        </w:rPr>
        <w:t>’s</w:t>
      </w:r>
      <w:r w:rsidR="004C44FF">
        <w:rPr>
          <w:lang w:val="en-CA"/>
        </w:rPr>
        <w:t xml:space="preserve"> </w:t>
      </w:r>
      <w:r w:rsidRPr="00DA1E1A">
        <w:rPr>
          <w:lang w:val="en-CA"/>
        </w:rPr>
        <w:t>accountants) use</w:t>
      </w:r>
      <w:r w:rsidR="004C44FF">
        <w:rPr>
          <w:lang w:val="en-CA"/>
        </w:rPr>
        <w:t>s</w:t>
      </w:r>
      <w:r w:rsidRPr="00DA1E1A">
        <w:rPr>
          <w:lang w:val="en-CA"/>
        </w:rPr>
        <w:t xml:space="preserve"> </w:t>
      </w:r>
      <w:r w:rsidR="004C44FF">
        <w:rPr>
          <w:lang w:val="en-CA"/>
        </w:rPr>
        <w:t>its income statement</w:t>
      </w:r>
      <w:r w:rsidR="004C44FF" w:rsidRPr="00DA1E1A">
        <w:rPr>
          <w:lang w:val="en-CA"/>
        </w:rPr>
        <w:t xml:space="preserve"> </w:t>
      </w:r>
      <w:r w:rsidRPr="00DA1E1A">
        <w:rPr>
          <w:lang w:val="en-CA"/>
        </w:rPr>
        <w:t>to show managers and investors how much money has been earned (revenue), how much has been spent (such as costs and taxes)</w:t>
      </w:r>
      <w:r w:rsidR="000E17EE">
        <w:rPr>
          <w:lang w:val="en-CA"/>
        </w:rPr>
        <w:t>,</w:t>
      </w:r>
      <w:r w:rsidRPr="00DA1E1A">
        <w:rPr>
          <w:lang w:val="en-CA"/>
        </w:rPr>
        <w:t xml:space="preserve"> and most importantly, how much is left (net earnings or losses). </w:t>
      </w:r>
    </w:p>
    <w:p w14:paraId="0DCD19CB" w14:textId="77777777" w:rsidR="00334734" w:rsidRPr="00DA1E1A" w:rsidRDefault="00334734" w:rsidP="00334734">
      <w:pPr>
        <w:pStyle w:val="BodyTextMain"/>
        <w:rPr>
          <w:lang w:val="en-CA"/>
        </w:rPr>
      </w:pPr>
    </w:p>
    <w:p w14:paraId="42CCE96E" w14:textId="744A2D5A" w:rsidR="00334734" w:rsidRPr="00DA1E1A" w:rsidRDefault="00334734" w:rsidP="00563F8F">
      <w:pPr>
        <w:pStyle w:val="BodyTextMain"/>
        <w:rPr>
          <w:lang w:val="en-CA"/>
        </w:rPr>
      </w:pPr>
      <w:r w:rsidRPr="00DA1E1A">
        <w:rPr>
          <w:lang w:val="en-CA"/>
        </w:rPr>
        <w:t xml:space="preserve">It is </w:t>
      </w:r>
      <w:r w:rsidR="006B448B">
        <w:rPr>
          <w:lang w:val="en-CA"/>
        </w:rPr>
        <w:t>important</w:t>
      </w:r>
      <w:r w:rsidR="006B448B" w:rsidRPr="00DA1E1A">
        <w:rPr>
          <w:lang w:val="en-CA"/>
        </w:rPr>
        <w:t xml:space="preserve"> </w:t>
      </w:r>
      <w:r w:rsidRPr="00DA1E1A">
        <w:rPr>
          <w:lang w:val="en-CA"/>
        </w:rPr>
        <w:t xml:space="preserve">to </w:t>
      </w:r>
      <w:r w:rsidR="006B448B">
        <w:rPr>
          <w:lang w:val="en-CA"/>
        </w:rPr>
        <w:t xml:space="preserve">be able to </w:t>
      </w:r>
      <w:r w:rsidRPr="00DA1E1A">
        <w:rPr>
          <w:lang w:val="en-CA"/>
        </w:rPr>
        <w:t xml:space="preserve">understand </w:t>
      </w:r>
      <w:r w:rsidR="000E17EE">
        <w:rPr>
          <w:lang w:val="en-CA"/>
        </w:rPr>
        <w:t xml:space="preserve">an </w:t>
      </w:r>
      <w:r w:rsidRPr="00DA1E1A">
        <w:rPr>
          <w:lang w:val="en-CA"/>
        </w:rPr>
        <w:t>income statement (</w:t>
      </w:r>
      <w:r w:rsidR="000E17EE">
        <w:rPr>
          <w:lang w:val="en-CA"/>
        </w:rPr>
        <w:t>which is why</w:t>
      </w:r>
      <w:r w:rsidRPr="00DA1E1A">
        <w:rPr>
          <w:lang w:val="en-CA"/>
        </w:rPr>
        <w:t xml:space="preserve"> we suggest </w:t>
      </w:r>
      <w:r w:rsidR="000E17EE">
        <w:rPr>
          <w:lang w:val="en-CA"/>
        </w:rPr>
        <w:t xml:space="preserve">that </w:t>
      </w:r>
      <w:r w:rsidRPr="00DA1E1A">
        <w:rPr>
          <w:lang w:val="en-CA"/>
        </w:rPr>
        <w:t xml:space="preserve">everyone read this note), </w:t>
      </w:r>
      <w:r w:rsidR="000E17EE">
        <w:rPr>
          <w:lang w:val="en-CA"/>
        </w:rPr>
        <w:t>as</w:t>
      </w:r>
      <w:r w:rsidR="000E17EE" w:rsidRPr="00DA1E1A">
        <w:rPr>
          <w:lang w:val="en-CA"/>
        </w:rPr>
        <w:t xml:space="preserve"> </w:t>
      </w:r>
      <w:r w:rsidRPr="00DA1E1A">
        <w:rPr>
          <w:lang w:val="en-CA"/>
        </w:rPr>
        <w:t xml:space="preserve">it tells investors </w:t>
      </w:r>
      <w:r w:rsidR="000E17EE">
        <w:rPr>
          <w:lang w:val="en-CA"/>
        </w:rPr>
        <w:t>and company</w:t>
      </w:r>
      <w:r w:rsidRPr="00DA1E1A">
        <w:rPr>
          <w:lang w:val="en-CA"/>
        </w:rPr>
        <w:t xml:space="preserve"> stakeholders whether the company is making money. It also </w:t>
      </w:r>
      <w:r w:rsidR="000E17EE">
        <w:rPr>
          <w:lang w:val="en-CA"/>
        </w:rPr>
        <w:t>provides</w:t>
      </w:r>
      <w:r w:rsidR="000E17EE" w:rsidRPr="00DA1E1A">
        <w:rPr>
          <w:lang w:val="en-CA"/>
        </w:rPr>
        <w:t xml:space="preserve"> </w:t>
      </w:r>
      <w:r w:rsidRPr="00DA1E1A">
        <w:rPr>
          <w:lang w:val="en-CA"/>
        </w:rPr>
        <w:t xml:space="preserve">information to company managers </w:t>
      </w:r>
      <w:r w:rsidR="000E17EE">
        <w:rPr>
          <w:lang w:val="en-CA"/>
        </w:rPr>
        <w:t>that allows them to</w:t>
      </w:r>
      <w:r w:rsidR="000E17EE" w:rsidRPr="00DA1E1A">
        <w:rPr>
          <w:lang w:val="en-CA"/>
        </w:rPr>
        <w:t xml:space="preserve"> </w:t>
      </w:r>
      <w:r w:rsidRPr="00DA1E1A">
        <w:rPr>
          <w:lang w:val="en-CA"/>
        </w:rPr>
        <w:t xml:space="preserve">make better forecasts and decisions. </w:t>
      </w:r>
    </w:p>
    <w:p w14:paraId="4AFC47AD" w14:textId="77777777" w:rsidR="00334734" w:rsidRPr="00DA1E1A" w:rsidRDefault="00334734" w:rsidP="00563F8F">
      <w:pPr>
        <w:pStyle w:val="BodyTextMain"/>
        <w:rPr>
          <w:lang w:val="en-CA"/>
        </w:rPr>
      </w:pPr>
    </w:p>
    <w:p w14:paraId="4A23EB24" w14:textId="24184C16" w:rsidR="00334734" w:rsidRPr="00DA1E1A" w:rsidRDefault="00334734" w:rsidP="00563F8F">
      <w:pPr>
        <w:pStyle w:val="BodyTextMain"/>
        <w:rPr>
          <w:color w:val="202122"/>
          <w:shd w:val="clear" w:color="auto" w:fill="FFFFFF"/>
          <w:lang w:val="en-CA"/>
        </w:rPr>
      </w:pPr>
      <w:r w:rsidRPr="00563F8F">
        <w:rPr>
          <w:color w:val="202122"/>
          <w:lang w:val="en-CA"/>
        </w:rPr>
        <w:t>Fortunately, all income statements are standardized</w:t>
      </w:r>
      <w:r w:rsidR="000E17EE" w:rsidRPr="00563F8F">
        <w:rPr>
          <w:color w:val="202122"/>
          <w:lang w:val="en-CA"/>
        </w:rPr>
        <w:t>, which means that they</w:t>
      </w:r>
      <w:r w:rsidRPr="00563F8F">
        <w:rPr>
          <w:color w:val="202122"/>
          <w:lang w:val="en-CA"/>
        </w:rPr>
        <w:t xml:space="preserve"> look similar</w:t>
      </w:r>
      <w:r w:rsidR="000E17EE" w:rsidRPr="00563F8F">
        <w:rPr>
          <w:color w:val="202122"/>
          <w:lang w:val="en-CA"/>
        </w:rPr>
        <w:t>. As a result,</w:t>
      </w:r>
      <w:r w:rsidRPr="00563F8F">
        <w:rPr>
          <w:color w:val="202122"/>
          <w:lang w:val="en-CA"/>
        </w:rPr>
        <w:t xml:space="preserve"> this </w:t>
      </w:r>
      <w:r w:rsidR="00605986" w:rsidRPr="00563F8F">
        <w:rPr>
          <w:color w:val="202122"/>
          <w:lang w:val="en-CA"/>
        </w:rPr>
        <w:t>two</w:t>
      </w:r>
      <w:r w:rsidRPr="00563F8F">
        <w:rPr>
          <w:color w:val="202122"/>
          <w:lang w:val="en-CA"/>
        </w:rPr>
        <w:t xml:space="preserve">-page guide </w:t>
      </w:r>
      <w:r w:rsidR="000E17EE" w:rsidRPr="00563F8F">
        <w:rPr>
          <w:color w:val="202122"/>
          <w:lang w:val="en-CA"/>
        </w:rPr>
        <w:t xml:space="preserve">is </w:t>
      </w:r>
      <w:r w:rsidRPr="00563F8F">
        <w:rPr>
          <w:color w:val="202122"/>
          <w:lang w:val="en-CA"/>
        </w:rPr>
        <w:t>sufficient to</w:t>
      </w:r>
      <w:r w:rsidR="000E17EE" w:rsidRPr="00563F8F">
        <w:rPr>
          <w:color w:val="202122"/>
          <w:lang w:val="en-CA"/>
        </w:rPr>
        <w:t xml:space="preserve"> help readers</w:t>
      </w:r>
      <w:r w:rsidRPr="00563F8F">
        <w:rPr>
          <w:color w:val="202122"/>
          <w:lang w:val="en-CA"/>
        </w:rPr>
        <w:t xml:space="preserve"> understand all the basics of any income statement</w:t>
      </w:r>
      <w:r w:rsidR="004E46A3" w:rsidRPr="00563F8F">
        <w:rPr>
          <w:color w:val="202122"/>
          <w:lang w:val="en-CA"/>
        </w:rPr>
        <w:t>;</w:t>
      </w:r>
      <w:r w:rsidRPr="00563F8F">
        <w:rPr>
          <w:color w:val="202122"/>
          <w:lang w:val="en-CA"/>
        </w:rPr>
        <w:t xml:space="preserve"> </w:t>
      </w:r>
      <w:r w:rsidR="000E17EE" w:rsidRPr="00563F8F">
        <w:rPr>
          <w:color w:val="202122"/>
          <w:lang w:val="en-CA"/>
        </w:rPr>
        <w:t>Tesla, Inc.’s</w:t>
      </w:r>
      <w:r w:rsidR="00AE0EE6" w:rsidRPr="00563F8F">
        <w:rPr>
          <w:color w:val="202122"/>
          <w:lang w:val="en-CA"/>
        </w:rPr>
        <w:t xml:space="preserve"> (Tesla’s)</w:t>
      </w:r>
      <w:r w:rsidRPr="00563F8F">
        <w:rPr>
          <w:color w:val="202122"/>
          <w:lang w:val="en-CA"/>
        </w:rPr>
        <w:t xml:space="preserve"> 2020 </w:t>
      </w:r>
      <w:r w:rsidR="000E17EE" w:rsidRPr="00563F8F">
        <w:rPr>
          <w:color w:val="202122"/>
          <w:lang w:val="en-CA"/>
        </w:rPr>
        <w:t xml:space="preserve">income </w:t>
      </w:r>
      <w:r w:rsidRPr="00563F8F">
        <w:rPr>
          <w:color w:val="202122"/>
          <w:lang w:val="en-CA"/>
        </w:rPr>
        <w:t xml:space="preserve">statement </w:t>
      </w:r>
      <w:r w:rsidR="000E17EE" w:rsidRPr="00563F8F">
        <w:rPr>
          <w:color w:val="202122"/>
          <w:lang w:val="en-CA"/>
        </w:rPr>
        <w:t>will be used</w:t>
      </w:r>
      <w:r w:rsidRPr="00563F8F">
        <w:rPr>
          <w:color w:val="202122"/>
          <w:lang w:val="en-CA"/>
        </w:rPr>
        <w:t xml:space="preserve"> as an example.</w:t>
      </w:r>
      <w:r w:rsidRPr="00DA1E1A">
        <w:rPr>
          <w:color w:val="202122"/>
          <w:shd w:val="clear" w:color="auto" w:fill="FFFFFF"/>
          <w:lang w:val="en-CA"/>
        </w:rPr>
        <w:t xml:space="preserve">  </w:t>
      </w:r>
    </w:p>
    <w:p w14:paraId="55D49F71" w14:textId="77777777" w:rsidR="00334734" w:rsidRPr="00DA1E1A" w:rsidRDefault="00334734" w:rsidP="00563F8F">
      <w:pPr>
        <w:pStyle w:val="BodyTextMain"/>
        <w:rPr>
          <w:color w:val="202122"/>
          <w:shd w:val="clear" w:color="auto" w:fill="FFFFFF"/>
          <w:lang w:val="en-CA"/>
        </w:rPr>
      </w:pPr>
    </w:p>
    <w:p w14:paraId="5F00972C" w14:textId="053CBADC" w:rsidR="00334734" w:rsidRPr="00DA1E1A" w:rsidRDefault="000E17EE" w:rsidP="00563F8F">
      <w:pPr>
        <w:pStyle w:val="BodyTextMain"/>
        <w:rPr>
          <w:color w:val="202122"/>
          <w:shd w:val="clear" w:color="auto" w:fill="FFFFFF"/>
          <w:lang w:val="en-CA"/>
        </w:rPr>
      </w:pPr>
      <w:r w:rsidRPr="00563F8F">
        <w:rPr>
          <w:color w:val="202122"/>
          <w:lang w:val="en-CA"/>
        </w:rPr>
        <w:t xml:space="preserve">Every income </w:t>
      </w:r>
      <w:r w:rsidR="00334734" w:rsidRPr="00563F8F">
        <w:rPr>
          <w:color w:val="202122"/>
          <w:lang w:val="en-CA"/>
        </w:rPr>
        <w:t xml:space="preserve">statement starts with </w:t>
      </w:r>
      <w:r w:rsidRPr="00563F8F">
        <w:rPr>
          <w:color w:val="202122"/>
          <w:lang w:val="en-CA"/>
        </w:rPr>
        <w:t xml:space="preserve">the </w:t>
      </w:r>
      <w:r w:rsidR="00334734" w:rsidRPr="00563F8F">
        <w:rPr>
          <w:color w:val="202122"/>
          <w:lang w:val="en-CA"/>
        </w:rPr>
        <w:t>Total Revenue (</w:t>
      </w:r>
      <w:r w:rsidRPr="00563F8F">
        <w:rPr>
          <w:color w:val="202122"/>
          <w:lang w:val="en-CA"/>
        </w:rPr>
        <w:t>also termed the</w:t>
      </w:r>
      <w:r w:rsidR="00334734" w:rsidRPr="00563F8F">
        <w:rPr>
          <w:color w:val="202122"/>
          <w:lang w:val="en-CA"/>
        </w:rPr>
        <w:t xml:space="preserve"> Total Sales) at the top. </w:t>
      </w:r>
      <w:r w:rsidR="00AE0EE6" w:rsidRPr="00563F8F">
        <w:rPr>
          <w:color w:val="202122"/>
          <w:lang w:val="en-CA"/>
        </w:rPr>
        <w:t xml:space="preserve">This </w:t>
      </w:r>
      <w:r w:rsidR="00334734" w:rsidRPr="00563F8F">
        <w:rPr>
          <w:color w:val="202122"/>
          <w:lang w:val="en-CA"/>
        </w:rPr>
        <w:t>is the total amount of money earned from sales of products and</w:t>
      </w:r>
      <w:r w:rsidR="00AE0EE6" w:rsidRPr="00563F8F">
        <w:rPr>
          <w:color w:val="202122"/>
          <w:lang w:val="en-CA"/>
        </w:rPr>
        <w:t>/or</w:t>
      </w:r>
      <w:r w:rsidR="00334734" w:rsidRPr="00563F8F">
        <w:rPr>
          <w:color w:val="202122"/>
          <w:lang w:val="en-CA"/>
        </w:rPr>
        <w:t xml:space="preserve"> services. </w:t>
      </w:r>
      <w:r w:rsidR="00AE0EE6" w:rsidRPr="00563F8F">
        <w:rPr>
          <w:color w:val="202122"/>
          <w:lang w:val="en-CA"/>
        </w:rPr>
        <w:t>Next, the</w:t>
      </w:r>
      <w:r w:rsidR="00334734" w:rsidRPr="00563F8F">
        <w:rPr>
          <w:color w:val="202122"/>
          <w:lang w:val="en-CA"/>
        </w:rPr>
        <w:t xml:space="preserve"> </w:t>
      </w:r>
      <w:r w:rsidR="00AE0EE6" w:rsidRPr="00563F8F">
        <w:rPr>
          <w:color w:val="202122"/>
          <w:lang w:val="en-CA"/>
        </w:rPr>
        <w:t xml:space="preserve">Cost of Goods Sold (COGS) </w:t>
      </w:r>
      <w:r w:rsidR="006B448B" w:rsidRPr="00563F8F">
        <w:rPr>
          <w:color w:val="202122"/>
          <w:lang w:val="en-CA"/>
        </w:rPr>
        <w:t>is</w:t>
      </w:r>
      <w:r w:rsidR="00AE0EE6" w:rsidRPr="00563F8F">
        <w:rPr>
          <w:color w:val="202122"/>
          <w:lang w:val="en-CA"/>
        </w:rPr>
        <w:t xml:space="preserve"> </w:t>
      </w:r>
      <w:r w:rsidR="00334734" w:rsidRPr="00563F8F">
        <w:rPr>
          <w:color w:val="202122"/>
          <w:lang w:val="en-CA"/>
        </w:rPr>
        <w:t>deduct</w:t>
      </w:r>
      <w:r w:rsidR="00AE0EE6" w:rsidRPr="00563F8F">
        <w:rPr>
          <w:color w:val="202122"/>
          <w:lang w:val="en-CA"/>
        </w:rPr>
        <w:t>ed</w:t>
      </w:r>
      <w:r w:rsidR="00334734" w:rsidRPr="00563F8F">
        <w:rPr>
          <w:color w:val="202122"/>
          <w:lang w:val="en-CA"/>
        </w:rPr>
        <w:t xml:space="preserve"> from</w:t>
      </w:r>
      <w:r w:rsidR="00AE0EE6" w:rsidRPr="00563F8F">
        <w:rPr>
          <w:color w:val="202122"/>
          <w:lang w:val="en-CA"/>
        </w:rPr>
        <w:t xml:space="preserve"> the</w:t>
      </w:r>
      <w:r w:rsidR="00334734" w:rsidRPr="00563F8F">
        <w:rPr>
          <w:color w:val="202122"/>
          <w:lang w:val="en-CA"/>
        </w:rPr>
        <w:t xml:space="preserve"> Total Revenue to </w:t>
      </w:r>
      <w:r w:rsidR="00AE0EE6" w:rsidRPr="00563F8F">
        <w:rPr>
          <w:color w:val="202122"/>
          <w:lang w:val="en-CA"/>
        </w:rPr>
        <w:t xml:space="preserve">determine the </w:t>
      </w:r>
      <w:r w:rsidR="00334734" w:rsidRPr="00563F8F">
        <w:rPr>
          <w:color w:val="202122"/>
          <w:lang w:val="en-CA"/>
        </w:rPr>
        <w:t xml:space="preserve">Gross Profit. For </w:t>
      </w:r>
      <w:r w:rsidR="00AE0EE6" w:rsidRPr="00563F8F">
        <w:rPr>
          <w:color w:val="202122"/>
          <w:lang w:val="en-CA"/>
        </w:rPr>
        <w:t>its car-making business</w:t>
      </w:r>
      <w:r w:rsidR="00334734" w:rsidRPr="00563F8F">
        <w:rPr>
          <w:color w:val="202122"/>
          <w:lang w:val="en-CA"/>
        </w:rPr>
        <w:t>, Tesla purchases auto parts from other manufacturers</w:t>
      </w:r>
      <w:r w:rsidR="00AE0EE6" w:rsidRPr="00563F8F">
        <w:rPr>
          <w:color w:val="202122"/>
          <w:lang w:val="en-CA"/>
        </w:rPr>
        <w:t xml:space="preserve">, and </w:t>
      </w:r>
      <w:r w:rsidR="00334734" w:rsidRPr="00563F8F">
        <w:rPr>
          <w:color w:val="202122"/>
          <w:lang w:val="en-CA"/>
        </w:rPr>
        <w:t xml:space="preserve">the total cost </w:t>
      </w:r>
      <w:r w:rsidR="00AE0EE6" w:rsidRPr="00563F8F">
        <w:rPr>
          <w:color w:val="202122"/>
          <w:lang w:val="en-CA"/>
        </w:rPr>
        <w:t xml:space="preserve">of such purchases </w:t>
      </w:r>
      <w:r w:rsidR="00334734" w:rsidRPr="00563F8F">
        <w:rPr>
          <w:color w:val="202122"/>
          <w:lang w:val="en-CA"/>
        </w:rPr>
        <w:t xml:space="preserve">is </w:t>
      </w:r>
      <w:r w:rsidR="00AE0EE6" w:rsidRPr="00563F8F">
        <w:rPr>
          <w:color w:val="202122"/>
          <w:lang w:val="en-CA"/>
        </w:rPr>
        <w:t xml:space="preserve">the </w:t>
      </w:r>
      <w:r w:rsidR="00334734" w:rsidRPr="00563F8F">
        <w:rPr>
          <w:color w:val="202122"/>
          <w:lang w:val="en-CA"/>
        </w:rPr>
        <w:t>COGS. In addition to</w:t>
      </w:r>
      <w:r w:rsidR="00AE0EE6" w:rsidRPr="00563F8F">
        <w:rPr>
          <w:color w:val="202122"/>
          <w:lang w:val="en-CA"/>
        </w:rPr>
        <w:t xml:space="preserve"> the</w:t>
      </w:r>
      <w:r w:rsidR="00334734" w:rsidRPr="00563F8F">
        <w:rPr>
          <w:color w:val="202122"/>
          <w:lang w:val="en-CA"/>
        </w:rPr>
        <w:t xml:space="preserve"> COGS, there are Operating Expenses, such as selling expenses, administrative costs, depreciation</w:t>
      </w:r>
      <w:r w:rsidR="00AE0EE6" w:rsidRPr="00563F8F">
        <w:rPr>
          <w:color w:val="202122"/>
          <w:lang w:val="en-CA"/>
        </w:rPr>
        <w:t>,</w:t>
      </w:r>
      <w:r w:rsidR="00334734" w:rsidRPr="00563F8F">
        <w:rPr>
          <w:color w:val="202122"/>
          <w:lang w:val="en-CA"/>
        </w:rPr>
        <w:t xml:space="preserve"> </w:t>
      </w:r>
      <w:r w:rsidR="004E46A3" w:rsidRPr="00563F8F">
        <w:rPr>
          <w:color w:val="202122"/>
          <w:lang w:val="en-CA"/>
        </w:rPr>
        <w:t xml:space="preserve">as well as </w:t>
      </w:r>
      <w:r w:rsidR="00AE0EE6" w:rsidRPr="00563F8F">
        <w:rPr>
          <w:color w:val="202122"/>
          <w:lang w:val="en-CA"/>
        </w:rPr>
        <w:t>research and development</w:t>
      </w:r>
      <w:r w:rsidR="006B448B" w:rsidRPr="00563F8F">
        <w:rPr>
          <w:color w:val="202122"/>
          <w:lang w:val="en-CA"/>
        </w:rPr>
        <w:t xml:space="preserve"> costs</w:t>
      </w:r>
      <w:r w:rsidR="00334734" w:rsidRPr="00563F8F">
        <w:rPr>
          <w:color w:val="202122"/>
          <w:lang w:val="en-CA"/>
        </w:rPr>
        <w:t xml:space="preserve">. </w:t>
      </w:r>
      <w:r w:rsidR="00AE0EE6" w:rsidRPr="00563F8F">
        <w:rPr>
          <w:color w:val="202122"/>
          <w:lang w:val="en-CA"/>
        </w:rPr>
        <w:t>T</w:t>
      </w:r>
      <w:r w:rsidR="00334734" w:rsidRPr="00563F8F">
        <w:rPr>
          <w:color w:val="202122"/>
          <w:lang w:val="en-CA"/>
        </w:rPr>
        <w:t xml:space="preserve">hese expenses </w:t>
      </w:r>
      <w:r w:rsidR="006B448B" w:rsidRPr="00563F8F">
        <w:rPr>
          <w:color w:val="202122"/>
          <w:lang w:val="en-CA"/>
        </w:rPr>
        <w:t>are</w:t>
      </w:r>
      <w:r w:rsidR="00AE0EE6" w:rsidRPr="00563F8F">
        <w:rPr>
          <w:color w:val="202122"/>
          <w:lang w:val="en-CA"/>
        </w:rPr>
        <w:t xml:space="preserve"> deducted </w:t>
      </w:r>
      <w:r w:rsidR="00334734" w:rsidRPr="00563F8F">
        <w:rPr>
          <w:color w:val="202122"/>
          <w:lang w:val="en-CA"/>
        </w:rPr>
        <w:t>from</w:t>
      </w:r>
      <w:r w:rsidR="00AE0EE6" w:rsidRPr="00563F8F">
        <w:rPr>
          <w:color w:val="202122"/>
          <w:lang w:val="en-CA"/>
        </w:rPr>
        <w:t xml:space="preserve"> the</w:t>
      </w:r>
      <w:r w:rsidR="00334734" w:rsidRPr="00563F8F">
        <w:rPr>
          <w:color w:val="202122"/>
          <w:lang w:val="en-CA"/>
        </w:rPr>
        <w:t xml:space="preserve"> Gross Profit to </w:t>
      </w:r>
      <w:r w:rsidR="00AE0EE6" w:rsidRPr="00563F8F">
        <w:rPr>
          <w:color w:val="202122"/>
          <w:lang w:val="en-CA"/>
        </w:rPr>
        <w:t xml:space="preserve">determine the </w:t>
      </w:r>
      <w:r w:rsidR="00334734" w:rsidRPr="00563F8F">
        <w:rPr>
          <w:color w:val="202122"/>
          <w:lang w:val="en-CA"/>
        </w:rPr>
        <w:t>Earnings Before Interest and Taxes (EBIT) (</w:t>
      </w:r>
      <w:r w:rsidR="00AE0EE6" w:rsidRPr="00563F8F">
        <w:rPr>
          <w:color w:val="202122"/>
          <w:lang w:val="en-CA"/>
        </w:rPr>
        <w:t xml:space="preserve">also known as the </w:t>
      </w:r>
      <w:r w:rsidR="00334734" w:rsidRPr="00563F8F">
        <w:rPr>
          <w:color w:val="202122"/>
          <w:lang w:val="en-CA"/>
        </w:rPr>
        <w:t xml:space="preserve">Operating Income). After </w:t>
      </w:r>
      <w:r w:rsidR="00AE0EE6" w:rsidRPr="00563F8F">
        <w:rPr>
          <w:color w:val="202122"/>
          <w:lang w:val="en-CA"/>
        </w:rPr>
        <w:t xml:space="preserve">a </w:t>
      </w:r>
      <w:r w:rsidR="00334734" w:rsidRPr="00563F8F">
        <w:rPr>
          <w:color w:val="202122"/>
          <w:lang w:val="en-CA"/>
        </w:rPr>
        <w:t xml:space="preserve">company pays interest </w:t>
      </w:r>
      <w:r w:rsidR="00AE0EE6" w:rsidRPr="00563F8F">
        <w:rPr>
          <w:color w:val="202122"/>
          <w:lang w:val="en-CA"/>
        </w:rPr>
        <w:t xml:space="preserve">on </w:t>
      </w:r>
      <w:r w:rsidR="00334734" w:rsidRPr="00563F8F">
        <w:rPr>
          <w:color w:val="202122"/>
          <w:lang w:val="en-CA"/>
        </w:rPr>
        <w:t>the money it</w:t>
      </w:r>
      <w:r w:rsidR="00AE0EE6" w:rsidRPr="00563F8F">
        <w:rPr>
          <w:color w:val="202122"/>
          <w:lang w:val="en-CA"/>
        </w:rPr>
        <w:t xml:space="preserve"> has</w:t>
      </w:r>
      <w:r w:rsidR="00334734" w:rsidRPr="00563F8F">
        <w:rPr>
          <w:color w:val="202122"/>
          <w:lang w:val="en-CA"/>
        </w:rPr>
        <w:t xml:space="preserve"> borrowed, the remaining </w:t>
      </w:r>
      <w:r w:rsidR="00AE0EE6" w:rsidRPr="00563F8F">
        <w:rPr>
          <w:color w:val="202122"/>
          <w:lang w:val="en-CA"/>
        </w:rPr>
        <w:t xml:space="preserve">sum </w:t>
      </w:r>
      <w:r w:rsidR="00334734" w:rsidRPr="00563F8F">
        <w:rPr>
          <w:color w:val="202122"/>
          <w:lang w:val="en-CA"/>
        </w:rPr>
        <w:t xml:space="preserve">is </w:t>
      </w:r>
      <w:r w:rsidR="00AE0EE6" w:rsidRPr="00563F8F">
        <w:rPr>
          <w:color w:val="202122"/>
          <w:lang w:val="en-CA"/>
        </w:rPr>
        <w:t xml:space="preserve">the </w:t>
      </w:r>
      <w:r w:rsidR="00334734" w:rsidRPr="00563F8F">
        <w:rPr>
          <w:color w:val="202122"/>
          <w:lang w:val="en-CA"/>
        </w:rPr>
        <w:t>Earnings</w:t>
      </w:r>
      <w:r w:rsidR="00AE0EE6" w:rsidRPr="00563F8F">
        <w:rPr>
          <w:color w:val="202122"/>
          <w:lang w:val="en-CA"/>
        </w:rPr>
        <w:t xml:space="preserve"> </w:t>
      </w:r>
      <w:r w:rsidR="00334734" w:rsidRPr="00563F8F">
        <w:rPr>
          <w:color w:val="202122"/>
          <w:lang w:val="en-CA"/>
        </w:rPr>
        <w:t xml:space="preserve">Before Taxes (EBT) or Taxable Income. </w:t>
      </w:r>
      <w:r w:rsidR="00AE0EE6" w:rsidRPr="00563F8F">
        <w:rPr>
          <w:color w:val="202122"/>
          <w:lang w:val="en-CA"/>
        </w:rPr>
        <w:t xml:space="preserve">Next, the </w:t>
      </w:r>
      <w:r w:rsidR="00334734" w:rsidRPr="00563F8F">
        <w:rPr>
          <w:color w:val="202122"/>
          <w:lang w:val="en-CA"/>
        </w:rPr>
        <w:t xml:space="preserve">company pays tax to </w:t>
      </w:r>
      <w:r w:rsidR="00AE0EE6" w:rsidRPr="00563F8F">
        <w:rPr>
          <w:color w:val="202122"/>
          <w:lang w:val="en-CA"/>
        </w:rPr>
        <w:t xml:space="preserve">the </w:t>
      </w:r>
      <w:r w:rsidR="00334734" w:rsidRPr="00563F8F">
        <w:rPr>
          <w:color w:val="202122"/>
          <w:lang w:val="en-CA"/>
        </w:rPr>
        <w:t xml:space="preserve">government based on </w:t>
      </w:r>
      <w:r w:rsidR="00AE0EE6" w:rsidRPr="00563F8F">
        <w:rPr>
          <w:color w:val="202122"/>
          <w:lang w:val="en-CA"/>
        </w:rPr>
        <w:t xml:space="preserve">its </w:t>
      </w:r>
      <w:r w:rsidR="00334734" w:rsidRPr="00563F8F">
        <w:rPr>
          <w:color w:val="202122"/>
          <w:lang w:val="en-CA"/>
        </w:rPr>
        <w:t xml:space="preserve">taxable income and </w:t>
      </w:r>
      <w:r w:rsidR="00AE0EE6" w:rsidRPr="00563F8F">
        <w:rPr>
          <w:color w:val="202122"/>
          <w:lang w:val="en-CA"/>
        </w:rPr>
        <w:t xml:space="preserve">the </w:t>
      </w:r>
      <w:r w:rsidR="00334734" w:rsidRPr="00563F8F">
        <w:rPr>
          <w:color w:val="202122"/>
          <w:lang w:val="en-CA"/>
        </w:rPr>
        <w:t>tax rate. Finally</w:t>
      </w:r>
      <w:r w:rsidR="00DA1E1A" w:rsidRPr="00563F8F">
        <w:rPr>
          <w:color w:val="202122"/>
          <w:lang w:val="en-CA"/>
        </w:rPr>
        <w:t>,</w:t>
      </w:r>
      <w:r w:rsidR="00334734" w:rsidRPr="00563F8F">
        <w:rPr>
          <w:color w:val="202122"/>
          <w:lang w:val="en-CA"/>
        </w:rPr>
        <w:t xml:space="preserve"> the money </w:t>
      </w:r>
      <w:r w:rsidR="00AE0EE6" w:rsidRPr="00563F8F">
        <w:rPr>
          <w:color w:val="202122"/>
          <w:lang w:val="en-CA"/>
        </w:rPr>
        <w:t xml:space="preserve">that remains </w:t>
      </w:r>
      <w:r w:rsidR="00334734" w:rsidRPr="00563F8F">
        <w:rPr>
          <w:color w:val="202122"/>
          <w:lang w:val="en-CA"/>
        </w:rPr>
        <w:t>is</w:t>
      </w:r>
      <w:r w:rsidR="00AE0EE6" w:rsidRPr="00563F8F">
        <w:rPr>
          <w:color w:val="202122"/>
          <w:lang w:val="en-CA"/>
        </w:rPr>
        <w:t xml:space="preserve"> the</w:t>
      </w:r>
      <w:r w:rsidR="00334734" w:rsidRPr="00563F8F">
        <w:rPr>
          <w:color w:val="202122"/>
          <w:lang w:val="en-CA"/>
        </w:rPr>
        <w:t xml:space="preserve"> Net Income (or Net Earnings), </w:t>
      </w:r>
      <w:r w:rsidR="00AE0EE6" w:rsidRPr="00563F8F">
        <w:rPr>
          <w:color w:val="202122"/>
          <w:lang w:val="en-CA"/>
        </w:rPr>
        <w:t xml:space="preserve">that is, </w:t>
      </w:r>
      <w:r w:rsidR="00334734" w:rsidRPr="00563F8F">
        <w:rPr>
          <w:color w:val="202122"/>
          <w:lang w:val="en-CA"/>
        </w:rPr>
        <w:t xml:space="preserve">the actual money earned by a company for its owners </w:t>
      </w:r>
      <w:r w:rsidR="00AE0EE6" w:rsidRPr="00563F8F">
        <w:rPr>
          <w:color w:val="202122"/>
          <w:lang w:val="en-CA"/>
        </w:rPr>
        <w:t>(i.e.,</w:t>
      </w:r>
      <w:r w:rsidR="00334734" w:rsidRPr="00563F8F">
        <w:rPr>
          <w:color w:val="202122"/>
          <w:lang w:val="en-CA"/>
        </w:rPr>
        <w:t xml:space="preserve"> stockholders</w:t>
      </w:r>
      <w:r w:rsidR="00AE0EE6" w:rsidRPr="00563F8F">
        <w:rPr>
          <w:color w:val="202122"/>
          <w:lang w:val="en-CA"/>
        </w:rPr>
        <w:t>)</w:t>
      </w:r>
      <w:r w:rsidR="00334734" w:rsidRPr="00563F8F">
        <w:rPr>
          <w:color w:val="202122"/>
          <w:lang w:val="en-CA"/>
        </w:rPr>
        <w:t xml:space="preserve">. If the number is negative, it </w:t>
      </w:r>
      <w:r w:rsidR="00AE0EE6" w:rsidRPr="00563F8F">
        <w:rPr>
          <w:color w:val="202122"/>
          <w:lang w:val="en-CA"/>
        </w:rPr>
        <w:t xml:space="preserve">represents a </w:t>
      </w:r>
      <w:r w:rsidR="00334734" w:rsidRPr="00563F8F">
        <w:rPr>
          <w:color w:val="202122"/>
          <w:lang w:val="en-CA"/>
        </w:rPr>
        <w:t xml:space="preserve">Net Loss </w:t>
      </w:r>
      <w:r w:rsidR="00AE0EE6" w:rsidRPr="00563F8F">
        <w:rPr>
          <w:color w:val="202122"/>
          <w:lang w:val="en-CA"/>
        </w:rPr>
        <w:t xml:space="preserve">for </w:t>
      </w:r>
      <w:r w:rsidR="00334734" w:rsidRPr="00563F8F">
        <w:rPr>
          <w:color w:val="202122"/>
          <w:lang w:val="en-CA"/>
        </w:rPr>
        <w:t xml:space="preserve">the owners. </w:t>
      </w:r>
      <w:r w:rsidR="00AE0EE6" w:rsidRPr="00563F8F">
        <w:rPr>
          <w:color w:val="202122"/>
          <w:lang w:val="en-CA"/>
        </w:rPr>
        <w:t xml:space="preserve">The company must then decide to </w:t>
      </w:r>
      <w:r w:rsidR="00334734" w:rsidRPr="00563F8F">
        <w:rPr>
          <w:color w:val="202122"/>
          <w:lang w:val="en-CA"/>
        </w:rPr>
        <w:t>either distribute</w:t>
      </w:r>
      <w:r w:rsidR="00AE0EE6" w:rsidRPr="00563F8F">
        <w:rPr>
          <w:color w:val="202122"/>
          <w:lang w:val="en-CA"/>
        </w:rPr>
        <w:t xml:space="preserve"> the</w:t>
      </w:r>
      <w:r w:rsidR="00334734" w:rsidRPr="00563F8F">
        <w:rPr>
          <w:color w:val="202122"/>
          <w:lang w:val="en-CA"/>
        </w:rPr>
        <w:t xml:space="preserve"> Net Income to stockholders </w:t>
      </w:r>
      <w:r w:rsidR="00AE0EE6" w:rsidRPr="00563F8F">
        <w:rPr>
          <w:color w:val="202122"/>
          <w:lang w:val="en-CA"/>
        </w:rPr>
        <w:t xml:space="preserve">in the form of </w:t>
      </w:r>
      <w:r w:rsidR="00334734" w:rsidRPr="00563F8F">
        <w:rPr>
          <w:color w:val="202122"/>
          <w:lang w:val="en-CA"/>
        </w:rPr>
        <w:t>dividends</w:t>
      </w:r>
      <w:r w:rsidR="004E46A3" w:rsidRPr="00563F8F">
        <w:rPr>
          <w:color w:val="202122"/>
          <w:lang w:val="en-CA"/>
        </w:rPr>
        <w:t>,</w:t>
      </w:r>
      <w:r w:rsidR="00334734" w:rsidRPr="00563F8F">
        <w:rPr>
          <w:color w:val="202122"/>
          <w:lang w:val="en-CA"/>
        </w:rPr>
        <w:t xml:space="preserve"> or reinvest it in the company for expansion</w:t>
      </w:r>
      <w:r w:rsidR="00AE0EE6" w:rsidRPr="00563F8F">
        <w:rPr>
          <w:color w:val="202122"/>
          <w:lang w:val="en-CA"/>
        </w:rPr>
        <w:t xml:space="preserve"> purposes</w:t>
      </w:r>
      <w:r w:rsidR="00334734" w:rsidRPr="00563F8F">
        <w:rPr>
          <w:color w:val="202122"/>
          <w:lang w:val="en-CA"/>
        </w:rPr>
        <w:t xml:space="preserve">. In sum, </w:t>
      </w:r>
      <w:r w:rsidR="006B448B" w:rsidRPr="00563F8F">
        <w:rPr>
          <w:color w:val="202122"/>
          <w:lang w:val="en-CA"/>
        </w:rPr>
        <w:t>an</w:t>
      </w:r>
      <w:r w:rsidR="00AE0EE6" w:rsidRPr="00563F8F">
        <w:rPr>
          <w:color w:val="202122"/>
          <w:lang w:val="en-CA"/>
        </w:rPr>
        <w:t xml:space="preserve"> </w:t>
      </w:r>
      <w:r w:rsidR="00334734" w:rsidRPr="00563F8F">
        <w:rPr>
          <w:color w:val="202122"/>
          <w:lang w:val="en-CA"/>
        </w:rPr>
        <w:t xml:space="preserve">income statement shows the steps </w:t>
      </w:r>
      <w:r w:rsidR="00AE0EE6" w:rsidRPr="00563F8F">
        <w:rPr>
          <w:color w:val="202122"/>
          <w:lang w:val="en-CA"/>
        </w:rPr>
        <w:t xml:space="preserve">by which the Net Income </w:t>
      </w:r>
      <w:r w:rsidR="00334734" w:rsidRPr="00563F8F">
        <w:rPr>
          <w:color w:val="202122"/>
          <w:lang w:val="en-CA"/>
        </w:rPr>
        <w:t xml:space="preserve">is calculated as </w:t>
      </w:r>
      <w:r w:rsidR="00AE0EE6" w:rsidRPr="00563F8F">
        <w:rPr>
          <w:color w:val="202122"/>
          <w:lang w:val="en-CA"/>
        </w:rPr>
        <w:t xml:space="preserve">the </w:t>
      </w:r>
      <w:r w:rsidR="00334734" w:rsidRPr="00563F8F">
        <w:rPr>
          <w:color w:val="202122"/>
          <w:lang w:val="en-CA"/>
        </w:rPr>
        <w:t xml:space="preserve">revenue minus </w:t>
      </w:r>
      <w:r w:rsidR="00AE0EE6" w:rsidRPr="00563F8F">
        <w:rPr>
          <w:color w:val="202122"/>
          <w:lang w:val="en-CA"/>
        </w:rPr>
        <w:t xml:space="preserve">the </w:t>
      </w:r>
      <w:r w:rsidR="00334734" w:rsidRPr="00563F8F">
        <w:rPr>
          <w:color w:val="202122"/>
          <w:lang w:val="en-CA"/>
        </w:rPr>
        <w:t>cost of goods sold, operating expenses, interest, and taxes (yes, the order matters!) (</w:t>
      </w:r>
      <w:r w:rsidR="00DA1E1A" w:rsidRPr="00563F8F">
        <w:rPr>
          <w:color w:val="202122"/>
          <w:lang w:val="en-CA"/>
        </w:rPr>
        <w:t xml:space="preserve">see </w:t>
      </w:r>
      <w:r w:rsidR="00334734" w:rsidRPr="00563F8F">
        <w:rPr>
          <w:color w:val="202122"/>
          <w:lang w:val="en-CA"/>
        </w:rPr>
        <w:t>Exhibit 1).</w:t>
      </w:r>
    </w:p>
    <w:p w14:paraId="2C183161" w14:textId="34B45DAF" w:rsidR="00334734" w:rsidRPr="00DA1E1A" w:rsidRDefault="00334734" w:rsidP="00563F8F">
      <w:pPr>
        <w:spacing w:after="200" w:line="276" w:lineRule="auto"/>
        <w:rPr>
          <w:sz w:val="22"/>
          <w:szCs w:val="22"/>
          <w:lang w:val="en-CA"/>
        </w:rPr>
      </w:pPr>
      <w:r w:rsidRPr="00DA1E1A">
        <w:rPr>
          <w:lang w:val="en-CA"/>
        </w:rPr>
        <w:br w:type="page"/>
      </w:r>
    </w:p>
    <w:p w14:paraId="77483D8B" w14:textId="58F58FB6" w:rsidR="00334734" w:rsidRPr="00DA1E1A" w:rsidRDefault="00334734" w:rsidP="00334734">
      <w:pPr>
        <w:pStyle w:val="ExhibitHeading"/>
        <w:rPr>
          <w:shd w:val="clear" w:color="auto" w:fill="FFFFFF"/>
          <w:lang w:val="en-CA"/>
        </w:rPr>
      </w:pPr>
      <w:r w:rsidRPr="00DA1E1A">
        <w:rPr>
          <w:shd w:val="clear" w:color="auto" w:fill="FFFFFF"/>
          <w:lang w:val="en-CA"/>
        </w:rPr>
        <w:lastRenderedPageBreak/>
        <w:t>EXHIBIT 1: Tesla Income Statement</w:t>
      </w:r>
    </w:p>
    <w:p w14:paraId="5F9714E7" w14:textId="77777777" w:rsidR="00334734" w:rsidRPr="00DA1E1A" w:rsidRDefault="00334734" w:rsidP="00334734">
      <w:pPr>
        <w:pStyle w:val="ExhibitText"/>
        <w:rPr>
          <w:shd w:val="clear" w:color="auto" w:fill="FFFFFF"/>
          <w:lang w:val="en-CA"/>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906"/>
        <w:gridCol w:w="5574"/>
      </w:tblGrid>
      <w:tr w:rsidR="00334734" w:rsidRPr="00DA1E1A" w14:paraId="1C04589F" w14:textId="77777777" w:rsidTr="00AB335C">
        <w:trPr>
          <w:trHeight w:val="20"/>
          <w:jc w:val="center"/>
        </w:trPr>
        <w:tc>
          <w:tcPr>
            <w:tcW w:w="9085" w:type="dxa"/>
            <w:gridSpan w:val="3"/>
            <w:shd w:val="clear" w:color="000000" w:fill="B4C6E7"/>
            <w:noWrap/>
            <w:vAlign w:val="center"/>
            <w:hideMark/>
          </w:tcPr>
          <w:p w14:paraId="296DFCE0" w14:textId="54F5D684" w:rsidR="00334734" w:rsidRPr="00DA1E1A" w:rsidRDefault="00334734" w:rsidP="00AB335C">
            <w:pPr>
              <w:jc w:val="center"/>
              <w:rPr>
                <w:rFonts w:ascii="Arial" w:hAnsi="Arial" w:cs="Arial"/>
                <w:b/>
                <w:bCs/>
                <w:color w:val="000000"/>
                <w:lang w:val="en-CA"/>
              </w:rPr>
            </w:pPr>
            <w:r w:rsidRPr="00DA1E1A">
              <w:rPr>
                <w:rFonts w:ascii="Arial" w:hAnsi="Arial" w:cs="Arial"/>
                <w:b/>
                <w:bCs/>
                <w:color w:val="000000"/>
                <w:lang w:val="en-CA"/>
              </w:rPr>
              <w:t>Tesla Income Statement (</w:t>
            </w:r>
            <w:r w:rsidRPr="00DA1E1A">
              <w:rPr>
                <w:rFonts w:ascii="Arial" w:hAnsi="Arial" w:cs="Arial"/>
                <w:b/>
                <w:lang w:val="en-CA"/>
              </w:rPr>
              <w:t>in Trillion US$)</w:t>
            </w:r>
          </w:p>
          <w:p w14:paraId="7B8AEF1E" w14:textId="3E8AEBFF" w:rsidR="00334734" w:rsidRPr="00DA1E1A" w:rsidRDefault="00334734" w:rsidP="00AB335C">
            <w:pPr>
              <w:jc w:val="center"/>
              <w:rPr>
                <w:rFonts w:ascii="Arial" w:hAnsi="Arial" w:cs="Arial"/>
                <w:color w:val="000000"/>
                <w:lang w:val="en-CA"/>
              </w:rPr>
            </w:pPr>
            <w:r w:rsidRPr="00DA1E1A">
              <w:rPr>
                <w:rFonts w:ascii="Arial" w:hAnsi="Arial" w:cs="Arial"/>
                <w:color w:val="000000"/>
                <w:lang w:val="en-CA"/>
              </w:rPr>
              <w:t>1/1/2020</w:t>
            </w:r>
            <w:r w:rsidR="004C44FF">
              <w:rPr>
                <w:rFonts w:ascii="Arial" w:hAnsi="Arial" w:cs="Arial"/>
                <w:color w:val="000000"/>
                <w:lang w:val="en-CA"/>
              </w:rPr>
              <w:t>–</w:t>
            </w:r>
            <w:r w:rsidRPr="00DA1E1A">
              <w:rPr>
                <w:rFonts w:ascii="Arial" w:hAnsi="Arial" w:cs="Arial"/>
                <w:color w:val="000000"/>
                <w:lang w:val="en-CA"/>
              </w:rPr>
              <w:t>12/31/2020</w:t>
            </w:r>
          </w:p>
        </w:tc>
      </w:tr>
      <w:tr w:rsidR="00334734" w:rsidRPr="00DA1E1A" w14:paraId="446B5D2D" w14:textId="77777777" w:rsidTr="00AB335C">
        <w:trPr>
          <w:trHeight w:val="20"/>
          <w:jc w:val="center"/>
        </w:trPr>
        <w:tc>
          <w:tcPr>
            <w:tcW w:w="2605" w:type="dxa"/>
            <w:shd w:val="clear" w:color="000000" w:fill="F2F2F2"/>
            <w:noWrap/>
            <w:vAlign w:val="center"/>
          </w:tcPr>
          <w:p w14:paraId="6DC89603" w14:textId="77777777" w:rsidR="00334734" w:rsidRPr="00DA1E1A" w:rsidRDefault="00334734" w:rsidP="00AB335C">
            <w:pPr>
              <w:rPr>
                <w:rFonts w:ascii="Arial" w:hAnsi="Arial" w:cs="Arial"/>
                <w:bCs/>
                <w:i/>
                <w:color w:val="000000"/>
                <w:lang w:val="en-CA"/>
              </w:rPr>
            </w:pPr>
            <w:r w:rsidRPr="00DA1E1A">
              <w:rPr>
                <w:rFonts w:ascii="Arial" w:hAnsi="Arial" w:cs="Arial"/>
                <w:bCs/>
                <w:i/>
                <w:color w:val="000000"/>
                <w:lang w:val="en-CA"/>
              </w:rPr>
              <w:t>Line items</w:t>
            </w:r>
          </w:p>
        </w:tc>
        <w:tc>
          <w:tcPr>
            <w:tcW w:w="900" w:type="dxa"/>
            <w:shd w:val="clear" w:color="000000" w:fill="F2F2F2"/>
            <w:noWrap/>
            <w:vAlign w:val="center"/>
          </w:tcPr>
          <w:p w14:paraId="432FF184" w14:textId="77777777" w:rsidR="00334734" w:rsidRPr="00DA1E1A" w:rsidRDefault="00334734" w:rsidP="00284A17">
            <w:pPr>
              <w:jc w:val="center"/>
              <w:rPr>
                <w:rFonts w:ascii="Arial" w:hAnsi="Arial" w:cs="Arial"/>
                <w:i/>
                <w:color w:val="000000"/>
                <w:lang w:val="en-CA"/>
              </w:rPr>
            </w:pPr>
            <w:r w:rsidRPr="00DA1E1A">
              <w:rPr>
                <w:rFonts w:ascii="Arial" w:hAnsi="Arial" w:cs="Arial"/>
                <w:i/>
                <w:color w:val="000000"/>
                <w:lang w:val="en-CA"/>
              </w:rPr>
              <w:t>Amount</w:t>
            </w:r>
          </w:p>
        </w:tc>
        <w:tc>
          <w:tcPr>
            <w:tcW w:w="5580" w:type="dxa"/>
            <w:shd w:val="clear" w:color="000000" w:fill="F2F2F2"/>
            <w:vAlign w:val="center"/>
          </w:tcPr>
          <w:p w14:paraId="21513BAF" w14:textId="77777777" w:rsidR="00334734" w:rsidRPr="00DA1E1A" w:rsidRDefault="00334734" w:rsidP="00F61F5A">
            <w:pPr>
              <w:rPr>
                <w:rFonts w:ascii="Arial" w:hAnsi="Arial" w:cs="Arial"/>
                <w:i/>
                <w:color w:val="000000"/>
                <w:lang w:val="en-CA"/>
              </w:rPr>
            </w:pPr>
            <w:r w:rsidRPr="00DA1E1A">
              <w:rPr>
                <w:rFonts w:ascii="Arial" w:hAnsi="Arial" w:cs="Arial"/>
                <w:i/>
                <w:color w:val="000000"/>
                <w:lang w:val="en-CA"/>
              </w:rPr>
              <w:t>Steps</w:t>
            </w:r>
          </w:p>
        </w:tc>
      </w:tr>
      <w:tr w:rsidR="00334734" w:rsidRPr="00DA1E1A" w14:paraId="51904ED8" w14:textId="77777777" w:rsidTr="00AB335C">
        <w:trPr>
          <w:trHeight w:val="20"/>
          <w:jc w:val="center"/>
        </w:trPr>
        <w:tc>
          <w:tcPr>
            <w:tcW w:w="2605" w:type="dxa"/>
            <w:shd w:val="clear" w:color="auto" w:fill="BFBFBF" w:themeFill="background1" w:themeFillShade="BF"/>
            <w:noWrap/>
            <w:vAlign w:val="center"/>
          </w:tcPr>
          <w:p w14:paraId="65E24E74" w14:textId="77777777"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Total Revenue</w:t>
            </w:r>
          </w:p>
        </w:tc>
        <w:tc>
          <w:tcPr>
            <w:tcW w:w="900" w:type="dxa"/>
            <w:shd w:val="clear" w:color="auto" w:fill="BFBFBF" w:themeFill="background1" w:themeFillShade="BF"/>
            <w:noWrap/>
            <w:vAlign w:val="center"/>
          </w:tcPr>
          <w:p w14:paraId="35E8A071"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$32</w:t>
            </w:r>
          </w:p>
        </w:tc>
        <w:tc>
          <w:tcPr>
            <w:tcW w:w="5580" w:type="dxa"/>
            <w:shd w:val="clear" w:color="000000" w:fill="F2F2F2"/>
            <w:vAlign w:val="center"/>
          </w:tcPr>
          <w:p w14:paraId="385FE2E5" w14:textId="75E1DB82" w:rsidR="00334734" w:rsidRPr="00DA1E1A" w:rsidRDefault="00334734" w:rsidP="00AB335C">
            <w:pPr>
              <w:ind w:firstLine="74"/>
              <w:rPr>
                <w:rFonts w:ascii="Arial" w:hAnsi="Arial" w:cs="Arial"/>
                <w:color w:val="000000"/>
                <w:lang w:val="en-CA"/>
              </w:rPr>
            </w:pPr>
            <w:r w:rsidRPr="00DA1E1A">
              <w:rPr>
                <w:rFonts w:ascii="Arial" w:hAnsi="Arial" w:cs="Arial"/>
                <w:color w:val="000000"/>
                <w:lang w:val="en-CA"/>
              </w:rPr>
              <w:t>1. T</w:t>
            </w:r>
            <w:r w:rsidR="004C44FF">
              <w:rPr>
                <w:rFonts w:ascii="Arial" w:hAnsi="Arial" w:cs="Arial"/>
                <w:color w:val="000000"/>
                <w:lang w:val="en-CA"/>
              </w:rPr>
              <w:t>he T</w:t>
            </w:r>
            <w:r w:rsidRPr="00DA1E1A">
              <w:rPr>
                <w:rFonts w:ascii="Arial" w:hAnsi="Arial" w:cs="Arial"/>
                <w:color w:val="000000"/>
                <w:lang w:val="en-CA"/>
              </w:rPr>
              <w:t>otal Revenue summarizes all the money earned</w:t>
            </w:r>
            <w:r w:rsidR="004C44FF">
              <w:rPr>
                <w:rFonts w:ascii="Arial" w:hAnsi="Arial" w:cs="Arial"/>
                <w:color w:val="000000"/>
                <w:lang w:val="en-CA"/>
              </w:rPr>
              <w:t>.</w:t>
            </w:r>
          </w:p>
        </w:tc>
      </w:tr>
      <w:tr w:rsidR="00334734" w:rsidRPr="00DA1E1A" w14:paraId="0C3117A5" w14:textId="77777777" w:rsidTr="00AB335C">
        <w:trPr>
          <w:trHeight w:val="20"/>
          <w:jc w:val="center"/>
        </w:trPr>
        <w:tc>
          <w:tcPr>
            <w:tcW w:w="2605" w:type="dxa"/>
            <w:shd w:val="clear" w:color="000000" w:fill="F2F2F2"/>
            <w:vAlign w:val="center"/>
            <w:hideMark/>
          </w:tcPr>
          <w:p w14:paraId="282DA4A3" w14:textId="77777777" w:rsidR="00334734" w:rsidRPr="00DA1E1A" w:rsidRDefault="00334734" w:rsidP="00AB335C">
            <w:pPr>
              <w:rPr>
                <w:rFonts w:ascii="Arial" w:hAnsi="Arial" w:cs="Arial"/>
                <w:b/>
                <w:bCs/>
                <w:color w:val="232A31"/>
                <w:lang w:val="en-CA"/>
              </w:rPr>
            </w:pPr>
            <w:r w:rsidRPr="00DA1E1A">
              <w:rPr>
                <w:rFonts w:ascii="Arial" w:hAnsi="Arial" w:cs="Arial"/>
                <w:b/>
                <w:bCs/>
                <w:color w:val="232A31"/>
                <w:lang w:val="en-CA"/>
              </w:rPr>
              <w:t>Cost of Goods Sold (COGS)</w:t>
            </w:r>
          </w:p>
        </w:tc>
        <w:tc>
          <w:tcPr>
            <w:tcW w:w="900" w:type="dxa"/>
            <w:shd w:val="clear" w:color="000000" w:fill="F2F2F2"/>
            <w:noWrap/>
            <w:vAlign w:val="center"/>
            <w:hideMark/>
          </w:tcPr>
          <w:p w14:paraId="7A11D7D4"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-$25</w:t>
            </w:r>
          </w:p>
        </w:tc>
        <w:tc>
          <w:tcPr>
            <w:tcW w:w="5580" w:type="dxa"/>
            <w:vMerge w:val="restart"/>
            <w:shd w:val="clear" w:color="000000" w:fill="F2F2F2"/>
            <w:vAlign w:val="center"/>
          </w:tcPr>
          <w:p w14:paraId="1991DF52" w14:textId="728C589F" w:rsidR="00334734" w:rsidRPr="00DA1E1A" w:rsidRDefault="00334734" w:rsidP="00AB335C">
            <w:pPr>
              <w:ind w:firstLine="74"/>
              <w:rPr>
                <w:rFonts w:ascii="Arial" w:hAnsi="Arial" w:cs="Arial"/>
                <w:color w:val="000000"/>
                <w:lang w:val="en-CA"/>
              </w:rPr>
            </w:pPr>
            <w:r w:rsidRPr="00DA1E1A">
              <w:rPr>
                <w:rFonts w:ascii="Arial" w:hAnsi="Arial" w:cs="Arial"/>
                <w:color w:val="000000"/>
                <w:lang w:val="en-CA"/>
              </w:rPr>
              <w:t>2. Subtract</w:t>
            </w:r>
            <w:r w:rsidR="004C44FF">
              <w:rPr>
                <w:rFonts w:ascii="Arial" w:hAnsi="Arial" w:cs="Arial"/>
                <w:color w:val="000000"/>
                <w:lang w:val="en-CA"/>
              </w:rPr>
              <w:t xml:space="preserve"> the</w:t>
            </w:r>
            <w:r w:rsidRPr="00DA1E1A">
              <w:rPr>
                <w:rFonts w:ascii="Arial" w:hAnsi="Arial" w:cs="Arial"/>
                <w:color w:val="000000"/>
                <w:lang w:val="en-CA"/>
              </w:rPr>
              <w:t xml:space="preserve"> COGS from</w:t>
            </w:r>
            <w:r w:rsidR="004C44FF">
              <w:rPr>
                <w:rFonts w:ascii="Arial" w:hAnsi="Arial" w:cs="Arial"/>
                <w:color w:val="000000"/>
                <w:lang w:val="en-CA"/>
              </w:rPr>
              <w:t xml:space="preserve"> the</w:t>
            </w:r>
            <w:r w:rsidRPr="00DA1E1A">
              <w:rPr>
                <w:rFonts w:ascii="Arial" w:hAnsi="Arial" w:cs="Arial"/>
                <w:color w:val="000000"/>
                <w:lang w:val="en-CA"/>
              </w:rPr>
              <w:t xml:space="preserve"> Total Revenue to </w:t>
            </w:r>
            <w:r w:rsidR="004C44FF">
              <w:rPr>
                <w:rFonts w:ascii="Arial" w:hAnsi="Arial" w:cs="Arial"/>
                <w:color w:val="000000"/>
                <w:lang w:val="en-CA"/>
              </w:rPr>
              <w:t>determine</w:t>
            </w:r>
            <w:r w:rsidR="004C44FF" w:rsidRPr="00DA1E1A">
              <w:rPr>
                <w:rFonts w:ascii="Arial" w:hAnsi="Arial" w:cs="Arial"/>
                <w:color w:val="000000"/>
                <w:lang w:val="en-CA"/>
              </w:rPr>
              <w:t xml:space="preserve"> </w:t>
            </w:r>
            <w:r w:rsidR="004C44FF">
              <w:rPr>
                <w:rFonts w:ascii="Arial" w:hAnsi="Arial" w:cs="Arial"/>
                <w:color w:val="000000"/>
                <w:lang w:val="en-CA"/>
              </w:rPr>
              <w:t xml:space="preserve">the </w:t>
            </w:r>
            <w:r w:rsidRPr="00DA1E1A">
              <w:rPr>
                <w:rFonts w:ascii="Arial" w:hAnsi="Arial" w:cs="Arial"/>
                <w:color w:val="000000"/>
                <w:lang w:val="en-CA"/>
              </w:rPr>
              <w:t>Gross Profit</w:t>
            </w:r>
            <w:r w:rsidR="004C44FF">
              <w:rPr>
                <w:rFonts w:ascii="Arial" w:hAnsi="Arial" w:cs="Arial"/>
                <w:color w:val="000000"/>
                <w:lang w:val="en-CA"/>
              </w:rPr>
              <w:t>.</w:t>
            </w:r>
          </w:p>
        </w:tc>
      </w:tr>
      <w:tr w:rsidR="00334734" w:rsidRPr="00DA1E1A" w14:paraId="69F75D57" w14:textId="77777777" w:rsidTr="00AB335C">
        <w:trPr>
          <w:trHeight w:val="20"/>
          <w:jc w:val="center"/>
        </w:trPr>
        <w:tc>
          <w:tcPr>
            <w:tcW w:w="2605" w:type="dxa"/>
            <w:shd w:val="clear" w:color="auto" w:fill="BFBFBF" w:themeFill="background1" w:themeFillShade="BF"/>
            <w:vAlign w:val="center"/>
            <w:hideMark/>
          </w:tcPr>
          <w:p w14:paraId="5264DA06" w14:textId="77777777" w:rsidR="00334734" w:rsidRPr="00DA1E1A" w:rsidRDefault="00334734" w:rsidP="00AB335C">
            <w:pPr>
              <w:rPr>
                <w:rFonts w:ascii="Arial" w:hAnsi="Arial" w:cs="Arial"/>
                <w:b/>
                <w:bCs/>
                <w:color w:val="232A31"/>
                <w:lang w:val="en-CA"/>
              </w:rPr>
            </w:pPr>
            <w:r w:rsidRPr="00DA1E1A">
              <w:rPr>
                <w:rFonts w:ascii="Arial" w:hAnsi="Arial" w:cs="Arial"/>
                <w:b/>
                <w:bCs/>
                <w:color w:val="232A31"/>
                <w:lang w:val="en-CA"/>
              </w:rPr>
              <w:t>Gross Profit</w:t>
            </w:r>
          </w:p>
        </w:tc>
        <w:tc>
          <w:tcPr>
            <w:tcW w:w="900" w:type="dxa"/>
            <w:shd w:val="clear" w:color="auto" w:fill="BFBFBF" w:themeFill="background1" w:themeFillShade="BF"/>
            <w:noWrap/>
            <w:vAlign w:val="center"/>
            <w:hideMark/>
          </w:tcPr>
          <w:p w14:paraId="020D0428"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=$7</w:t>
            </w:r>
          </w:p>
        </w:tc>
        <w:tc>
          <w:tcPr>
            <w:tcW w:w="5580" w:type="dxa"/>
            <w:vMerge/>
            <w:shd w:val="clear" w:color="000000" w:fill="F2F2F2"/>
            <w:vAlign w:val="center"/>
          </w:tcPr>
          <w:p w14:paraId="48651C31" w14:textId="77777777" w:rsidR="00334734" w:rsidRPr="00DA1E1A" w:rsidRDefault="00334734" w:rsidP="00AB335C">
            <w:pPr>
              <w:ind w:firstLine="74"/>
              <w:rPr>
                <w:rFonts w:ascii="Arial" w:hAnsi="Arial" w:cs="Arial"/>
                <w:color w:val="000000"/>
                <w:lang w:val="en-CA"/>
              </w:rPr>
            </w:pPr>
          </w:p>
        </w:tc>
      </w:tr>
      <w:tr w:rsidR="00334734" w:rsidRPr="00DA1E1A" w14:paraId="6A758E5C" w14:textId="77777777" w:rsidTr="00AB335C">
        <w:trPr>
          <w:trHeight w:val="20"/>
          <w:jc w:val="center"/>
        </w:trPr>
        <w:tc>
          <w:tcPr>
            <w:tcW w:w="2605" w:type="dxa"/>
            <w:shd w:val="clear" w:color="000000" w:fill="F2F2F2"/>
            <w:vAlign w:val="center"/>
            <w:hideMark/>
          </w:tcPr>
          <w:p w14:paraId="51C4C5C5" w14:textId="77777777" w:rsidR="00334734" w:rsidRPr="00DA1E1A" w:rsidRDefault="00334734" w:rsidP="00AB335C">
            <w:pPr>
              <w:rPr>
                <w:rFonts w:ascii="Arial" w:hAnsi="Arial" w:cs="Arial"/>
                <w:b/>
                <w:bCs/>
                <w:color w:val="232A31"/>
                <w:lang w:val="en-CA"/>
              </w:rPr>
            </w:pPr>
            <w:r w:rsidRPr="00DA1E1A">
              <w:rPr>
                <w:rFonts w:ascii="Arial" w:hAnsi="Arial" w:cs="Arial"/>
                <w:b/>
                <w:bCs/>
                <w:color w:val="232A31"/>
                <w:lang w:val="en-CA"/>
              </w:rPr>
              <w:t>Operating Expenses</w:t>
            </w:r>
          </w:p>
        </w:tc>
        <w:tc>
          <w:tcPr>
            <w:tcW w:w="900" w:type="dxa"/>
            <w:shd w:val="clear" w:color="000000" w:fill="F2F2F2"/>
            <w:noWrap/>
            <w:vAlign w:val="center"/>
            <w:hideMark/>
          </w:tcPr>
          <w:p w14:paraId="04E3F761"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 -$5</w:t>
            </w:r>
          </w:p>
        </w:tc>
        <w:tc>
          <w:tcPr>
            <w:tcW w:w="5580" w:type="dxa"/>
            <w:shd w:val="clear" w:color="000000" w:fill="F2F2F2"/>
            <w:vAlign w:val="center"/>
          </w:tcPr>
          <w:p w14:paraId="3895EB6D" w14:textId="01F2C295" w:rsidR="00334734" w:rsidRPr="00DA1E1A" w:rsidRDefault="00334734" w:rsidP="00AB335C">
            <w:pPr>
              <w:ind w:right="-14" w:firstLine="74"/>
              <w:rPr>
                <w:rFonts w:ascii="Arial" w:hAnsi="Arial" w:cs="Arial"/>
                <w:color w:val="000000"/>
                <w:lang w:val="en-CA"/>
              </w:rPr>
            </w:pPr>
            <w:r w:rsidRPr="00DA1E1A">
              <w:rPr>
                <w:rFonts w:ascii="Arial" w:hAnsi="Arial" w:cs="Arial"/>
                <w:color w:val="000000"/>
                <w:lang w:val="en-CA"/>
              </w:rPr>
              <w:t xml:space="preserve">3. </w:t>
            </w:r>
            <w:r w:rsidR="004C44FF">
              <w:rPr>
                <w:rFonts w:ascii="Arial" w:hAnsi="Arial" w:cs="Arial"/>
                <w:color w:val="000000"/>
                <w:lang w:val="en-CA"/>
              </w:rPr>
              <w:t>The O</w:t>
            </w:r>
            <w:r w:rsidR="004C44FF" w:rsidRPr="00DA1E1A">
              <w:rPr>
                <w:rFonts w:ascii="Arial" w:hAnsi="Arial" w:cs="Arial"/>
                <w:color w:val="000000"/>
                <w:lang w:val="en-CA"/>
              </w:rPr>
              <w:t xml:space="preserve">perating </w:t>
            </w:r>
            <w:r w:rsidR="004C44FF">
              <w:rPr>
                <w:rFonts w:ascii="Arial" w:hAnsi="Arial" w:cs="Arial"/>
                <w:color w:val="000000"/>
                <w:lang w:val="en-CA"/>
              </w:rPr>
              <w:t>E</w:t>
            </w:r>
            <w:r w:rsidR="004C44FF" w:rsidRPr="00DA1E1A">
              <w:rPr>
                <w:rFonts w:ascii="Arial" w:hAnsi="Arial" w:cs="Arial"/>
                <w:color w:val="000000"/>
                <w:lang w:val="en-CA"/>
              </w:rPr>
              <w:t xml:space="preserve">xpenses </w:t>
            </w:r>
            <w:r w:rsidRPr="00DA1E1A">
              <w:rPr>
                <w:rFonts w:ascii="Arial" w:hAnsi="Arial" w:cs="Arial"/>
                <w:color w:val="000000"/>
                <w:lang w:val="en-CA"/>
              </w:rPr>
              <w:t xml:space="preserve">summarize all </w:t>
            </w:r>
            <w:r w:rsidR="004C44FF">
              <w:rPr>
                <w:rFonts w:ascii="Arial" w:hAnsi="Arial" w:cs="Arial"/>
                <w:color w:val="000000"/>
                <w:lang w:val="en-CA"/>
              </w:rPr>
              <w:t xml:space="preserve">the </w:t>
            </w:r>
            <w:r w:rsidRPr="00DA1E1A">
              <w:rPr>
                <w:rFonts w:ascii="Arial" w:hAnsi="Arial" w:cs="Arial"/>
                <w:color w:val="000000"/>
                <w:lang w:val="en-CA"/>
              </w:rPr>
              <w:t>costs of running a business</w:t>
            </w:r>
            <w:r w:rsidR="004C44FF">
              <w:rPr>
                <w:rFonts w:ascii="Arial" w:hAnsi="Arial" w:cs="Arial"/>
                <w:color w:val="000000"/>
                <w:lang w:val="en-CA"/>
              </w:rPr>
              <w:t>.</w:t>
            </w:r>
          </w:p>
        </w:tc>
      </w:tr>
      <w:tr w:rsidR="00334734" w:rsidRPr="00DA1E1A" w14:paraId="55FBD0C4" w14:textId="77777777" w:rsidTr="00AB335C">
        <w:trPr>
          <w:trHeight w:val="20"/>
          <w:jc w:val="center"/>
        </w:trPr>
        <w:tc>
          <w:tcPr>
            <w:tcW w:w="2605" w:type="dxa"/>
            <w:shd w:val="clear" w:color="auto" w:fill="BFBFBF" w:themeFill="background1" w:themeFillShade="BF"/>
            <w:vAlign w:val="center"/>
            <w:hideMark/>
          </w:tcPr>
          <w:p w14:paraId="3AE3507D" w14:textId="77777777"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Operating Income (EBIT)</w:t>
            </w:r>
          </w:p>
        </w:tc>
        <w:tc>
          <w:tcPr>
            <w:tcW w:w="900" w:type="dxa"/>
            <w:shd w:val="clear" w:color="auto" w:fill="BFBFBF" w:themeFill="background1" w:themeFillShade="BF"/>
            <w:noWrap/>
            <w:vAlign w:val="center"/>
            <w:hideMark/>
          </w:tcPr>
          <w:p w14:paraId="3D93A8EC"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=$2</w:t>
            </w:r>
          </w:p>
        </w:tc>
        <w:tc>
          <w:tcPr>
            <w:tcW w:w="5580" w:type="dxa"/>
            <w:shd w:val="clear" w:color="000000" w:fill="F2F2F2"/>
            <w:vAlign w:val="center"/>
          </w:tcPr>
          <w:p w14:paraId="64C43395" w14:textId="4ABB39A5" w:rsidR="00334734" w:rsidRPr="00DA1E1A" w:rsidRDefault="00334734" w:rsidP="00AB335C">
            <w:pPr>
              <w:ind w:firstLine="74"/>
              <w:rPr>
                <w:rFonts w:ascii="Arial" w:hAnsi="Arial" w:cs="Arial"/>
                <w:color w:val="000000"/>
                <w:lang w:val="en-CA"/>
              </w:rPr>
            </w:pPr>
            <w:r w:rsidRPr="00DA1E1A">
              <w:rPr>
                <w:rFonts w:ascii="Arial" w:hAnsi="Arial" w:cs="Arial"/>
                <w:color w:val="000000"/>
                <w:lang w:val="en-CA"/>
              </w:rPr>
              <w:t xml:space="preserve">4. Subtract </w:t>
            </w:r>
            <w:r w:rsidR="004C44FF">
              <w:rPr>
                <w:rFonts w:ascii="Arial" w:hAnsi="Arial" w:cs="Arial"/>
                <w:color w:val="000000"/>
                <w:lang w:val="en-CA"/>
              </w:rPr>
              <w:t xml:space="preserve">the </w:t>
            </w:r>
            <w:r w:rsidRPr="00DA1E1A">
              <w:rPr>
                <w:rFonts w:ascii="Arial" w:hAnsi="Arial" w:cs="Arial"/>
                <w:color w:val="000000"/>
                <w:lang w:val="en-CA"/>
              </w:rPr>
              <w:t>Operating Expenses from</w:t>
            </w:r>
            <w:r w:rsidR="004C44FF">
              <w:rPr>
                <w:rFonts w:ascii="Arial" w:hAnsi="Arial" w:cs="Arial"/>
                <w:color w:val="000000"/>
                <w:lang w:val="en-CA"/>
              </w:rPr>
              <w:t xml:space="preserve"> the</w:t>
            </w:r>
            <w:r w:rsidRPr="00DA1E1A">
              <w:rPr>
                <w:rFonts w:ascii="Arial" w:hAnsi="Arial" w:cs="Arial"/>
                <w:color w:val="000000"/>
                <w:lang w:val="en-CA"/>
              </w:rPr>
              <w:t xml:space="preserve"> Gross Profit to </w:t>
            </w:r>
            <w:r w:rsidR="004C44FF">
              <w:rPr>
                <w:rFonts w:ascii="Arial" w:hAnsi="Arial" w:cs="Arial"/>
                <w:color w:val="000000"/>
                <w:lang w:val="en-CA"/>
              </w:rPr>
              <w:t>determine the</w:t>
            </w:r>
            <w:r w:rsidR="004C44FF" w:rsidRPr="00DA1E1A">
              <w:rPr>
                <w:rFonts w:ascii="Arial" w:hAnsi="Arial" w:cs="Arial"/>
                <w:color w:val="000000"/>
                <w:lang w:val="en-CA"/>
              </w:rPr>
              <w:t xml:space="preserve"> </w:t>
            </w:r>
            <w:r w:rsidRPr="00DA1E1A">
              <w:rPr>
                <w:rFonts w:ascii="Arial" w:hAnsi="Arial" w:cs="Arial"/>
                <w:color w:val="000000"/>
                <w:lang w:val="en-CA"/>
              </w:rPr>
              <w:t>EBIT</w:t>
            </w:r>
            <w:r w:rsidR="004C44FF">
              <w:rPr>
                <w:rFonts w:ascii="Arial" w:hAnsi="Arial" w:cs="Arial"/>
                <w:color w:val="000000"/>
                <w:lang w:val="en-CA"/>
              </w:rPr>
              <w:t>.</w:t>
            </w:r>
          </w:p>
        </w:tc>
      </w:tr>
      <w:tr w:rsidR="00334734" w:rsidRPr="00DA1E1A" w14:paraId="0EBAF311" w14:textId="77777777" w:rsidTr="00AB335C">
        <w:trPr>
          <w:trHeight w:val="20"/>
          <w:jc w:val="center"/>
        </w:trPr>
        <w:tc>
          <w:tcPr>
            <w:tcW w:w="2605" w:type="dxa"/>
            <w:shd w:val="clear" w:color="000000" w:fill="F2F2F2"/>
            <w:noWrap/>
            <w:vAlign w:val="center"/>
            <w:hideMark/>
          </w:tcPr>
          <w:p w14:paraId="3884CFC9" w14:textId="77777777"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Interest Payment</w:t>
            </w:r>
          </w:p>
        </w:tc>
        <w:tc>
          <w:tcPr>
            <w:tcW w:w="900" w:type="dxa"/>
            <w:shd w:val="clear" w:color="000000" w:fill="F2F2F2"/>
            <w:noWrap/>
            <w:vAlign w:val="center"/>
            <w:hideMark/>
          </w:tcPr>
          <w:p w14:paraId="5A243107"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-$0.8</w:t>
            </w:r>
          </w:p>
        </w:tc>
        <w:tc>
          <w:tcPr>
            <w:tcW w:w="5580" w:type="dxa"/>
            <w:vMerge w:val="restart"/>
            <w:shd w:val="clear" w:color="000000" w:fill="F2F2F2"/>
            <w:vAlign w:val="center"/>
          </w:tcPr>
          <w:p w14:paraId="3979BFAC" w14:textId="05D93A54" w:rsidR="00334734" w:rsidRPr="00DA1E1A" w:rsidRDefault="00334734" w:rsidP="00AB335C">
            <w:pPr>
              <w:ind w:firstLine="74"/>
              <w:rPr>
                <w:rFonts w:ascii="Arial" w:hAnsi="Arial" w:cs="Arial"/>
                <w:color w:val="000000"/>
                <w:lang w:val="en-CA"/>
              </w:rPr>
            </w:pPr>
            <w:r w:rsidRPr="00DA1E1A">
              <w:rPr>
                <w:rFonts w:ascii="Arial" w:hAnsi="Arial" w:cs="Arial"/>
                <w:color w:val="000000"/>
                <w:lang w:val="en-CA"/>
              </w:rPr>
              <w:t>5. Subtract</w:t>
            </w:r>
            <w:r w:rsidR="004C44FF">
              <w:rPr>
                <w:rFonts w:ascii="Arial" w:hAnsi="Arial" w:cs="Arial"/>
                <w:color w:val="000000"/>
                <w:lang w:val="en-CA"/>
              </w:rPr>
              <w:t xml:space="preserve"> the</w:t>
            </w:r>
            <w:r w:rsidRPr="00DA1E1A">
              <w:rPr>
                <w:rFonts w:ascii="Arial" w:hAnsi="Arial" w:cs="Arial"/>
                <w:color w:val="000000"/>
                <w:lang w:val="en-CA"/>
              </w:rPr>
              <w:t xml:space="preserve"> Interest Payment to creditors from</w:t>
            </w:r>
            <w:r w:rsidR="004C44FF">
              <w:rPr>
                <w:rFonts w:ascii="Arial" w:hAnsi="Arial" w:cs="Arial"/>
                <w:color w:val="000000"/>
                <w:lang w:val="en-CA"/>
              </w:rPr>
              <w:t xml:space="preserve"> the</w:t>
            </w:r>
            <w:r w:rsidRPr="00DA1E1A">
              <w:rPr>
                <w:rFonts w:ascii="Arial" w:hAnsi="Arial" w:cs="Arial"/>
                <w:color w:val="000000"/>
                <w:lang w:val="en-CA"/>
              </w:rPr>
              <w:t xml:space="preserve"> EBIT to </w:t>
            </w:r>
            <w:r w:rsidR="004C44FF">
              <w:rPr>
                <w:rFonts w:ascii="Arial" w:hAnsi="Arial" w:cs="Arial"/>
                <w:color w:val="000000"/>
                <w:lang w:val="en-CA"/>
              </w:rPr>
              <w:t>determine the</w:t>
            </w:r>
            <w:r w:rsidR="004C44FF" w:rsidRPr="00DA1E1A">
              <w:rPr>
                <w:rFonts w:ascii="Arial" w:hAnsi="Arial" w:cs="Arial"/>
                <w:color w:val="000000"/>
                <w:lang w:val="en-CA"/>
              </w:rPr>
              <w:t xml:space="preserve"> </w:t>
            </w:r>
            <w:r w:rsidRPr="00DA1E1A">
              <w:rPr>
                <w:rFonts w:ascii="Arial" w:hAnsi="Arial" w:cs="Arial"/>
                <w:color w:val="000000"/>
                <w:lang w:val="en-CA"/>
              </w:rPr>
              <w:t>EBT</w:t>
            </w:r>
            <w:r w:rsidR="004C44FF">
              <w:rPr>
                <w:rFonts w:ascii="Arial" w:hAnsi="Arial" w:cs="Arial"/>
                <w:color w:val="000000"/>
                <w:lang w:val="en-CA"/>
              </w:rPr>
              <w:t>.</w:t>
            </w:r>
          </w:p>
        </w:tc>
      </w:tr>
      <w:tr w:rsidR="00334734" w:rsidRPr="00DA1E1A" w14:paraId="22E1DB64" w14:textId="77777777" w:rsidTr="00AB335C">
        <w:trPr>
          <w:trHeight w:val="20"/>
          <w:jc w:val="center"/>
        </w:trPr>
        <w:tc>
          <w:tcPr>
            <w:tcW w:w="2605" w:type="dxa"/>
            <w:shd w:val="clear" w:color="auto" w:fill="BFBFBF" w:themeFill="background1" w:themeFillShade="BF"/>
            <w:noWrap/>
            <w:vAlign w:val="center"/>
          </w:tcPr>
          <w:p w14:paraId="350B94E4" w14:textId="33754BAE"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Earnings Before Taxes</w:t>
            </w:r>
            <w:r w:rsidR="004C44FF">
              <w:rPr>
                <w:rFonts w:ascii="Arial" w:hAnsi="Arial" w:cs="Arial"/>
                <w:b/>
                <w:bCs/>
                <w:color w:val="000000"/>
                <w:lang w:val="en-CA"/>
              </w:rPr>
              <w:t xml:space="preserve"> (EBT)</w:t>
            </w:r>
          </w:p>
        </w:tc>
        <w:tc>
          <w:tcPr>
            <w:tcW w:w="900" w:type="dxa"/>
            <w:shd w:val="clear" w:color="auto" w:fill="BFBFBF" w:themeFill="background1" w:themeFillShade="BF"/>
            <w:noWrap/>
            <w:vAlign w:val="center"/>
          </w:tcPr>
          <w:p w14:paraId="185BADC5"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=$1.2</w:t>
            </w:r>
          </w:p>
        </w:tc>
        <w:tc>
          <w:tcPr>
            <w:tcW w:w="5580" w:type="dxa"/>
            <w:vMerge/>
            <w:shd w:val="clear" w:color="000000" w:fill="F2F2F2"/>
            <w:vAlign w:val="center"/>
          </w:tcPr>
          <w:p w14:paraId="10262839" w14:textId="77777777" w:rsidR="00334734" w:rsidRPr="00DA1E1A" w:rsidRDefault="00334734" w:rsidP="00AB335C">
            <w:pPr>
              <w:ind w:firstLine="74"/>
              <w:rPr>
                <w:rFonts w:ascii="Arial" w:hAnsi="Arial" w:cs="Arial"/>
                <w:color w:val="000000"/>
                <w:lang w:val="en-CA"/>
              </w:rPr>
            </w:pPr>
          </w:p>
        </w:tc>
      </w:tr>
      <w:tr w:rsidR="00334734" w:rsidRPr="00DA1E1A" w14:paraId="0A921980" w14:textId="77777777" w:rsidTr="00AB335C">
        <w:trPr>
          <w:trHeight w:val="20"/>
          <w:jc w:val="center"/>
        </w:trPr>
        <w:tc>
          <w:tcPr>
            <w:tcW w:w="2605" w:type="dxa"/>
            <w:shd w:val="clear" w:color="000000" w:fill="F2F2F2"/>
            <w:noWrap/>
            <w:vAlign w:val="center"/>
            <w:hideMark/>
          </w:tcPr>
          <w:p w14:paraId="4DAA4625" w14:textId="77777777"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Taxes</w:t>
            </w:r>
          </w:p>
        </w:tc>
        <w:tc>
          <w:tcPr>
            <w:tcW w:w="900" w:type="dxa"/>
            <w:shd w:val="clear" w:color="000000" w:fill="F2F2F2"/>
            <w:noWrap/>
            <w:vAlign w:val="center"/>
            <w:hideMark/>
          </w:tcPr>
          <w:p w14:paraId="1851E9D6"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-$0.3</w:t>
            </w:r>
          </w:p>
        </w:tc>
        <w:tc>
          <w:tcPr>
            <w:tcW w:w="5580" w:type="dxa"/>
            <w:vMerge w:val="restart"/>
            <w:shd w:val="clear" w:color="000000" w:fill="F2F2F2"/>
            <w:vAlign w:val="center"/>
          </w:tcPr>
          <w:p w14:paraId="19847BE7" w14:textId="7B69D349" w:rsidR="00334734" w:rsidRPr="00DA1E1A" w:rsidRDefault="00334734" w:rsidP="00AB335C">
            <w:pPr>
              <w:ind w:firstLine="74"/>
              <w:rPr>
                <w:rFonts w:ascii="Arial" w:hAnsi="Arial" w:cs="Arial"/>
                <w:color w:val="000000"/>
                <w:lang w:val="en-CA"/>
              </w:rPr>
            </w:pPr>
            <w:r w:rsidRPr="00DA1E1A">
              <w:rPr>
                <w:rFonts w:ascii="Arial" w:hAnsi="Arial" w:cs="Arial"/>
                <w:color w:val="000000"/>
                <w:lang w:val="en-CA"/>
              </w:rPr>
              <w:t>6. Based on</w:t>
            </w:r>
            <w:r w:rsidR="004C44FF">
              <w:rPr>
                <w:rFonts w:ascii="Arial" w:hAnsi="Arial" w:cs="Arial"/>
                <w:color w:val="000000"/>
                <w:lang w:val="en-CA"/>
              </w:rPr>
              <w:t xml:space="preserve"> the</w:t>
            </w:r>
            <w:r w:rsidRPr="00DA1E1A">
              <w:rPr>
                <w:rFonts w:ascii="Arial" w:hAnsi="Arial" w:cs="Arial"/>
                <w:color w:val="000000"/>
                <w:lang w:val="en-CA"/>
              </w:rPr>
              <w:t xml:space="preserve"> EBT, pay taxes, and </w:t>
            </w:r>
            <w:r w:rsidR="004C44FF">
              <w:rPr>
                <w:rFonts w:ascii="Arial" w:hAnsi="Arial" w:cs="Arial"/>
                <w:color w:val="000000"/>
                <w:lang w:val="en-CA"/>
              </w:rPr>
              <w:t>what remains</w:t>
            </w:r>
            <w:r w:rsidRPr="00DA1E1A">
              <w:rPr>
                <w:rFonts w:ascii="Arial" w:hAnsi="Arial" w:cs="Arial"/>
                <w:color w:val="000000"/>
                <w:lang w:val="en-CA"/>
              </w:rPr>
              <w:t xml:space="preserve"> is</w:t>
            </w:r>
            <w:r w:rsidR="004C44FF">
              <w:rPr>
                <w:rFonts w:ascii="Arial" w:hAnsi="Arial" w:cs="Arial"/>
                <w:color w:val="000000"/>
                <w:lang w:val="en-CA"/>
              </w:rPr>
              <w:t xml:space="preserve"> the</w:t>
            </w:r>
            <w:r w:rsidRPr="00DA1E1A">
              <w:rPr>
                <w:rFonts w:ascii="Arial" w:hAnsi="Arial" w:cs="Arial"/>
                <w:color w:val="000000"/>
                <w:lang w:val="en-CA"/>
              </w:rPr>
              <w:t xml:space="preserve"> Net Income. Investors care about </w:t>
            </w:r>
            <w:r w:rsidR="004C44FF">
              <w:rPr>
                <w:rFonts w:ascii="Arial" w:hAnsi="Arial" w:cs="Arial"/>
                <w:color w:val="000000"/>
                <w:lang w:val="en-CA"/>
              </w:rPr>
              <w:t xml:space="preserve">the </w:t>
            </w:r>
            <w:r w:rsidRPr="00DA1E1A">
              <w:rPr>
                <w:rFonts w:ascii="Arial" w:hAnsi="Arial" w:cs="Arial"/>
                <w:color w:val="000000"/>
                <w:lang w:val="en-CA"/>
              </w:rPr>
              <w:t>Earnings Per Share (EPS)</w:t>
            </w:r>
            <w:r w:rsidR="004C44FF">
              <w:rPr>
                <w:rFonts w:ascii="Arial" w:hAnsi="Arial" w:cs="Arial"/>
                <w:color w:val="000000"/>
                <w:lang w:val="en-CA"/>
              </w:rPr>
              <w:t>,</w:t>
            </w:r>
            <w:r w:rsidRPr="00DA1E1A">
              <w:rPr>
                <w:rFonts w:ascii="Arial" w:hAnsi="Arial" w:cs="Arial"/>
                <w:color w:val="000000"/>
                <w:lang w:val="en-CA"/>
              </w:rPr>
              <w:t xml:space="preserve"> which is </w:t>
            </w:r>
            <w:r w:rsidR="004C44FF">
              <w:rPr>
                <w:rFonts w:ascii="Arial" w:hAnsi="Arial" w:cs="Arial"/>
                <w:color w:val="000000"/>
                <w:lang w:val="en-CA"/>
              </w:rPr>
              <w:t xml:space="preserve">the </w:t>
            </w:r>
            <w:r w:rsidRPr="00DA1E1A">
              <w:rPr>
                <w:rFonts w:ascii="Arial" w:hAnsi="Arial" w:cs="Arial"/>
                <w:color w:val="000000"/>
                <w:lang w:val="en-CA"/>
              </w:rPr>
              <w:t>Net Income divided by</w:t>
            </w:r>
            <w:r w:rsidR="004C44FF">
              <w:rPr>
                <w:rFonts w:ascii="Arial" w:hAnsi="Arial" w:cs="Arial"/>
                <w:color w:val="000000"/>
                <w:lang w:val="en-CA"/>
              </w:rPr>
              <w:t xml:space="preserve"> the</w:t>
            </w:r>
            <w:r w:rsidRPr="00DA1E1A">
              <w:rPr>
                <w:rFonts w:ascii="Arial" w:hAnsi="Arial" w:cs="Arial"/>
                <w:color w:val="000000"/>
                <w:lang w:val="en-CA"/>
              </w:rPr>
              <w:t xml:space="preserve"> total number of shares.</w:t>
            </w:r>
          </w:p>
        </w:tc>
      </w:tr>
      <w:tr w:rsidR="00334734" w:rsidRPr="00DA1E1A" w14:paraId="634918D7" w14:textId="77777777" w:rsidTr="00AB335C">
        <w:trPr>
          <w:trHeight w:val="20"/>
          <w:jc w:val="center"/>
        </w:trPr>
        <w:tc>
          <w:tcPr>
            <w:tcW w:w="2605" w:type="dxa"/>
            <w:shd w:val="clear" w:color="auto" w:fill="BFBFBF" w:themeFill="background1" w:themeFillShade="BF"/>
            <w:noWrap/>
            <w:vAlign w:val="center"/>
            <w:hideMark/>
          </w:tcPr>
          <w:p w14:paraId="21E8E90B" w14:textId="77777777" w:rsidR="00334734" w:rsidRPr="00DA1E1A" w:rsidRDefault="00334734" w:rsidP="00AB335C">
            <w:pPr>
              <w:rPr>
                <w:rFonts w:ascii="Arial" w:hAnsi="Arial" w:cs="Arial"/>
                <w:b/>
                <w:bCs/>
                <w:color w:val="000000"/>
                <w:lang w:val="en-CA"/>
              </w:rPr>
            </w:pPr>
            <w:r w:rsidRPr="00DA1E1A">
              <w:rPr>
                <w:rFonts w:ascii="Arial" w:hAnsi="Arial" w:cs="Arial"/>
                <w:b/>
                <w:bCs/>
                <w:color w:val="000000"/>
                <w:lang w:val="en-CA"/>
              </w:rPr>
              <w:t>Net Income</w:t>
            </w:r>
          </w:p>
        </w:tc>
        <w:tc>
          <w:tcPr>
            <w:tcW w:w="900" w:type="dxa"/>
            <w:shd w:val="clear" w:color="auto" w:fill="BFBFBF" w:themeFill="background1" w:themeFillShade="BF"/>
            <w:noWrap/>
            <w:vAlign w:val="center"/>
            <w:hideMark/>
          </w:tcPr>
          <w:p w14:paraId="7F40FE8B" w14:textId="77777777" w:rsidR="00334734" w:rsidRPr="00DA1E1A" w:rsidRDefault="00334734" w:rsidP="00AB335C">
            <w:pPr>
              <w:jc w:val="right"/>
              <w:rPr>
                <w:rFonts w:ascii="Arial" w:hAnsi="Arial" w:cs="Arial"/>
                <w:b/>
                <w:color w:val="000000"/>
                <w:lang w:val="en-CA"/>
              </w:rPr>
            </w:pPr>
            <w:r w:rsidRPr="00DA1E1A">
              <w:rPr>
                <w:rFonts w:ascii="Arial" w:hAnsi="Arial" w:cs="Arial"/>
                <w:b/>
                <w:color w:val="000000"/>
                <w:lang w:val="en-CA"/>
              </w:rPr>
              <w:t>=$0.9</w:t>
            </w:r>
          </w:p>
        </w:tc>
        <w:tc>
          <w:tcPr>
            <w:tcW w:w="5580" w:type="dxa"/>
            <w:vMerge/>
            <w:shd w:val="clear" w:color="000000" w:fill="F2F2F2"/>
            <w:vAlign w:val="center"/>
          </w:tcPr>
          <w:p w14:paraId="7B72197F" w14:textId="77777777" w:rsidR="00334734" w:rsidRPr="00DA1E1A" w:rsidRDefault="00334734" w:rsidP="00AB335C">
            <w:pPr>
              <w:ind w:hanging="20"/>
              <w:rPr>
                <w:rFonts w:ascii="Arial" w:hAnsi="Arial" w:cs="Arial"/>
                <w:color w:val="000000"/>
                <w:lang w:val="en-CA"/>
              </w:rPr>
            </w:pPr>
          </w:p>
        </w:tc>
      </w:tr>
    </w:tbl>
    <w:p w14:paraId="064AEC1E" w14:textId="77777777" w:rsidR="00334734" w:rsidRPr="00DA1E1A" w:rsidRDefault="00334734" w:rsidP="00334734">
      <w:pPr>
        <w:pStyle w:val="Footnote"/>
        <w:rPr>
          <w:lang w:val="en-CA"/>
        </w:rPr>
      </w:pPr>
    </w:p>
    <w:p w14:paraId="067ACF3B" w14:textId="25DB9FAB" w:rsidR="00B87DC0" w:rsidRPr="00DA1E1A" w:rsidRDefault="00334734" w:rsidP="00334734">
      <w:pPr>
        <w:pStyle w:val="Footnote"/>
        <w:rPr>
          <w:lang w:val="en-CA"/>
        </w:rPr>
      </w:pPr>
      <w:r w:rsidRPr="00DA1E1A">
        <w:rPr>
          <w:lang w:val="en-CA"/>
        </w:rPr>
        <w:t>Source:</w:t>
      </w:r>
      <w:r w:rsidR="004C44FF">
        <w:rPr>
          <w:lang w:val="en-CA"/>
        </w:rPr>
        <w:t xml:space="preserve"> “Tesla, Inc. (TLSA),” Yahoo! Finance,</w:t>
      </w:r>
      <w:r w:rsidRPr="00DA1E1A">
        <w:rPr>
          <w:lang w:val="en-CA"/>
        </w:rPr>
        <w:t xml:space="preserve"> </w:t>
      </w:r>
      <w:r w:rsidR="004C44FF" w:rsidRPr="00DA1E1A">
        <w:rPr>
          <w:lang w:val="en-CA"/>
        </w:rPr>
        <w:t>accessed April 4, 2021</w:t>
      </w:r>
      <w:r w:rsidR="004C44FF">
        <w:rPr>
          <w:lang w:val="en-CA"/>
        </w:rPr>
        <w:t xml:space="preserve">, </w:t>
      </w:r>
      <w:hyperlink r:id="rId9" w:history="1">
        <w:r w:rsidR="004C44FF" w:rsidRPr="00E73634">
          <w:rPr>
            <w:rStyle w:val="Hyperlink"/>
            <w:color w:val="auto"/>
            <w:u w:val="none"/>
            <w:lang w:val="en-CA"/>
          </w:rPr>
          <w:t>https://finance.yahoo.com/quote/TSLA</w:t>
        </w:r>
      </w:hyperlink>
      <w:r w:rsidRPr="00DA1E1A">
        <w:rPr>
          <w:lang w:val="en-CA"/>
        </w:rPr>
        <w:t xml:space="preserve">. </w:t>
      </w:r>
    </w:p>
    <w:sectPr w:rsidR="00B87DC0" w:rsidRPr="00DA1E1A"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69D9" w16cex:dateUtc="2021-04-11T11:28:00Z"/>
  <w16cex:commentExtensible w16cex:durableId="241D6B12" w16cex:dateUtc="2021-04-11T11:33:00Z"/>
  <w16cex:commentExtensible w16cex:durableId="241D6892" w16cex:dateUtc="2021-04-11T11:22:00Z"/>
  <w16cex:commentExtensible w16cex:durableId="241D68BB" w16cex:dateUtc="2021-04-11T11:23:00Z"/>
  <w16cex:commentExtensible w16cex:durableId="241D673E" w16cex:dateUtc="2021-04-11T11: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35181" w14:textId="77777777" w:rsidR="00CD7083" w:rsidRDefault="00CD7083" w:rsidP="00D75295">
      <w:r>
        <w:separator/>
      </w:r>
    </w:p>
  </w:endnote>
  <w:endnote w:type="continuationSeparator" w:id="0">
    <w:p w14:paraId="640F12C3" w14:textId="77777777" w:rsidR="00CD7083" w:rsidRDefault="00CD708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B8C99" w14:textId="77777777" w:rsidR="00CD7083" w:rsidRDefault="00CD7083" w:rsidP="00D75295">
      <w:r>
        <w:separator/>
      </w:r>
    </w:p>
  </w:footnote>
  <w:footnote w:type="continuationSeparator" w:id="0">
    <w:p w14:paraId="76AF8689" w14:textId="77777777" w:rsidR="00CD7083" w:rsidRDefault="00CD708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AE4FD7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5013A1">
      <w:rPr>
        <w:rFonts w:ascii="Arial" w:hAnsi="Arial"/>
        <w:b/>
      </w:rPr>
      <w:t>9B21B009</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D83E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D899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E4D3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5691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D2DA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3A6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6E0C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6434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7E6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6E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E17EE"/>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1635"/>
    <w:rsid w:val="001B5032"/>
    <w:rsid w:val="001C7777"/>
    <w:rsid w:val="001D344B"/>
    <w:rsid w:val="001E364F"/>
    <w:rsid w:val="001F4222"/>
    <w:rsid w:val="00203AA1"/>
    <w:rsid w:val="00213E98"/>
    <w:rsid w:val="00230150"/>
    <w:rsid w:val="0023081A"/>
    <w:rsid w:val="00233111"/>
    <w:rsid w:val="00265FA8"/>
    <w:rsid w:val="00284A17"/>
    <w:rsid w:val="002B40FF"/>
    <w:rsid w:val="002C4E29"/>
    <w:rsid w:val="002F460C"/>
    <w:rsid w:val="002F48D6"/>
    <w:rsid w:val="00317391"/>
    <w:rsid w:val="00326216"/>
    <w:rsid w:val="00334734"/>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C44FF"/>
    <w:rsid w:val="004D3FB1"/>
    <w:rsid w:val="004D6F21"/>
    <w:rsid w:val="004D73A5"/>
    <w:rsid w:val="004E46A3"/>
    <w:rsid w:val="005013A1"/>
    <w:rsid w:val="005160F1"/>
    <w:rsid w:val="00524F2F"/>
    <w:rsid w:val="00527E5C"/>
    <w:rsid w:val="00532CF5"/>
    <w:rsid w:val="005528CB"/>
    <w:rsid w:val="00563F8F"/>
    <w:rsid w:val="00566771"/>
    <w:rsid w:val="00581E2E"/>
    <w:rsid w:val="00584F15"/>
    <w:rsid w:val="0059514B"/>
    <w:rsid w:val="005A1B0F"/>
    <w:rsid w:val="005B4CE6"/>
    <w:rsid w:val="005B5EFE"/>
    <w:rsid w:val="00605986"/>
    <w:rsid w:val="006163F7"/>
    <w:rsid w:val="00627C63"/>
    <w:rsid w:val="0063350B"/>
    <w:rsid w:val="006339FD"/>
    <w:rsid w:val="00652606"/>
    <w:rsid w:val="0069124A"/>
    <w:rsid w:val="006946EE"/>
    <w:rsid w:val="006A58A9"/>
    <w:rsid w:val="006A606D"/>
    <w:rsid w:val="006B448B"/>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874AF"/>
    <w:rsid w:val="00995547"/>
    <w:rsid w:val="009A312F"/>
    <w:rsid w:val="009A5348"/>
    <w:rsid w:val="009B0AB7"/>
    <w:rsid w:val="009C76D5"/>
    <w:rsid w:val="009F7AA4"/>
    <w:rsid w:val="00A10AD7"/>
    <w:rsid w:val="00A323B0"/>
    <w:rsid w:val="00A559DB"/>
    <w:rsid w:val="00A569EA"/>
    <w:rsid w:val="00A676A0"/>
    <w:rsid w:val="00A90889"/>
    <w:rsid w:val="00AE0EE6"/>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017B"/>
    <w:rsid w:val="00C67102"/>
    <w:rsid w:val="00C81491"/>
    <w:rsid w:val="00C81676"/>
    <w:rsid w:val="00C85C5D"/>
    <w:rsid w:val="00C92CC4"/>
    <w:rsid w:val="00CA0AFB"/>
    <w:rsid w:val="00CA2CE1"/>
    <w:rsid w:val="00CA3976"/>
    <w:rsid w:val="00CA50E3"/>
    <w:rsid w:val="00CA757B"/>
    <w:rsid w:val="00CC1787"/>
    <w:rsid w:val="00CC182C"/>
    <w:rsid w:val="00CC7B99"/>
    <w:rsid w:val="00CD0824"/>
    <w:rsid w:val="00CD2908"/>
    <w:rsid w:val="00CD7083"/>
    <w:rsid w:val="00D03A82"/>
    <w:rsid w:val="00D13667"/>
    <w:rsid w:val="00D15344"/>
    <w:rsid w:val="00D23F57"/>
    <w:rsid w:val="00D31BEC"/>
    <w:rsid w:val="00D63150"/>
    <w:rsid w:val="00D636BA"/>
    <w:rsid w:val="00D64A32"/>
    <w:rsid w:val="00D64EFC"/>
    <w:rsid w:val="00D75295"/>
    <w:rsid w:val="00D76CE9"/>
    <w:rsid w:val="00D97F12"/>
    <w:rsid w:val="00DA1E1A"/>
    <w:rsid w:val="00DA6095"/>
    <w:rsid w:val="00DB42E7"/>
    <w:rsid w:val="00DC09D8"/>
    <w:rsid w:val="00DE01A6"/>
    <w:rsid w:val="00DE7A98"/>
    <w:rsid w:val="00DF32C2"/>
    <w:rsid w:val="00E471A7"/>
    <w:rsid w:val="00E635CF"/>
    <w:rsid w:val="00E73634"/>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61F5A"/>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A1E1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DA1E1A"/>
    <w:rPr>
      <w:lang w:val="en-CA"/>
    </w:rPr>
  </w:style>
  <w:style w:type="character" w:customStyle="1" w:styleId="CommentTextChar">
    <w:name w:val="Comment Text Char"/>
    <w:basedOn w:val="DefaultParagraphFont"/>
    <w:link w:val="CommentText"/>
    <w:rsid w:val="00DA1E1A"/>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334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nance.yahoo.com/quote/T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BC87-F301-434A-92D0-1F6EC117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6</cp:revision>
  <cp:lastPrinted>2021-04-12T18:32:00Z</cp:lastPrinted>
  <dcterms:created xsi:type="dcterms:W3CDTF">2021-04-12T18:31:00Z</dcterms:created>
  <dcterms:modified xsi:type="dcterms:W3CDTF">2021-04-13T14:48:00Z</dcterms:modified>
</cp:coreProperties>
</file>