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2D691B40" w:rsidR="00C02410" w:rsidRDefault="00BE60F3" w:rsidP="00C02410">
      <w:pPr>
        <w:pStyle w:val="ProductNumber"/>
      </w:pPr>
      <w:r>
        <w:t>9B21B011</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4C184EEC" w:rsidR="00013360" w:rsidRDefault="00BE60F3" w:rsidP="00013360">
      <w:pPr>
        <w:pStyle w:val="CaseTitle"/>
        <w:spacing w:after="0" w:line="240" w:lineRule="auto"/>
        <w:rPr>
          <w:sz w:val="20"/>
          <w:szCs w:val="20"/>
        </w:rPr>
      </w:pPr>
      <w:r w:rsidRPr="00DC052A">
        <w:rPr>
          <w:lang w:val="en-CA"/>
        </w:rPr>
        <w:t>Hudson St. Clair: Exit or Operate?</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19C59114" w:rsidR="00086B26" w:rsidRPr="00287D6F" w:rsidRDefault="00BE60F3" w:rsidP="00086B26">
      <w:pPr>
        <w:pStyle w:val="StyleCopyrightStatementAfter0ptBottomSinglesolidline1"/>
        <w:rPr>
          <w:lang w:val="en-GB"/>
        </w:rPr>
      </w:pPr>
      <w:r w:rsidRPr="00DC052A">
        <w:rPr>
          <w:lang w:val="en-CA"/>
        </w:rPr>
        <w:t xml:space="preserve">Kaitlyn Oh wrote this case under the supervision of Ian Dunn </w:t>
      </w:r>
      <w:r w:rsidR="00086B26" w:rsidRPr="00287D6F">
        <w:rPr>
          <w:lang w:val="en-GB"/>
        </w:rPr>
        <w:t>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2ECD4C49" w:rsidR="00751E0B" w:rsidRPr="00C02410" w:rsidRDefault="00A323B0" w:rsidP="00A323B0">
      <w:pPr>
        <w:pStyle w:val="StyleStyleCopyrightStatementAfter0ptBottomSinglesolid"/>
        <w:rPr>
          <w:rFonts w:cs="Arial"/>
          <w:szCs w:val="16"/>
        </w:rPr>
      </w:pPr>
      <w:r w:rsidRPr="00A323B0">
        <w:rPr>
          <w:rFonts w:cs="Arial"/>
          <w:iCs w:val="0"/>
          <w:color w:val="auto"/>
          <w:szCs w:val="16"/>
        </w:rPr>
        <w:t>Copyright © 20</w:t>
      </w:r>
      <w:r w:rsidR="00BE60F3">
        <w:rPr>
          <w:rFonts w:cs="Arial"/>
          <w:iCs w:val="0"/>
          <w:color w:val="auto"/>
          <w:szCs w:val="16"/>
        </w:rPr>
        <w:t>21</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Version: 20</w:t>
      </w:r>
      <w:r w:rsidR="00BE60F3">
        <w:rPr>
          <w:rFonts w:cs="Arial"/>
          <w:iCs w:val="0"/>
          <w:color w:val="auto"/>
          <w:szCs w:val="16"/>
        </w:rPr>
        <w:t>21</w:t>
      </w:r>
      <w:r w:rsidRPr="00A323B0">
        <w:rPr>
          <w:rFonts w:cs="Arial"/>
          <w:iCs w:val="0"/>
          <w:color w:val="auto"/>
          <w:szCs w:val="16"/>
        </w:rPr>
        <w:t>-</w:t>
      </w:r>
      <w:r w:rsidR="00BE60F3">
        <w:rPr>
          <w:rFonts w:cs="Arial"/>
          <w:iCs w:val="0"/>
          <w:color w:val="auto"/>
          <w:szCs w:val="16"/>
        </w:rPr>
        <w:t>05</w:t>
      </w:r>
      <w:r w:rsidRPr="00A323B0">
        <w:rPr>
          <w:rFonts w:cs="Arial"/>
          <w:iCs w:val="0"/>
          <w:color w:val="auto"/>
          <w:szCs w:val="16"/>
        </w:rPr>
        <w:t>-</w:t>
      </w:r>
      <w:r w:rsidR="00BE60F3">
        <w:rPr>
          <w:rFonts w:cs="Arial"/>
          <w:iCs w:val="0"/>
          <w:color w:val="auto"/>
          <w:szCs w:val="16"/>
        </w:rPr>
        <w:t>19</w:t>
      </w:r>
    </w:p>
    <w:p w14:paraId="0A2A54E4" w14:textId="14F46AA2" w:rsidR="00751E0B" w:rsidRDefault="00751E0B" w:rsidP="00751E0B">
      <w:pPr>
        <w:pStyle w:val="StyleCopyrightStatementAfter0ptBottomSinglesolidline1"/>
        <w:rPr>
          <w:rFonts w:ascii="Times New Roman" w:hAnsi="Times New Roman"/>
          <w:sz w:val="20"/>
        </w:rPr>
      </w:pPr>
    </w:p>
    <w:p w14:paraId="7FAB81B8" w14:textId="77777777" w:rsidR="00BE60F3" w:rsidRPr="00F60786" w:rsidRDefault="00BE60F3" w:rsidP="00751E0B">
      <w:pPr>
        <w:pStyle w:val="StyleCopyrightStatementAfter0ptBottomSinglesolidline1"/>
        <w:rPr>
          <w:rFonts w:ascii="Times New Roman" w:hAnsi="Times New Roman"/>
          <w:sz w:val="20"/>
        </w:rPr>
      </w:pPr>
    </w:p>
    <w:p w14:paraId="5629782C" w14:textId="77777777" w:rsidR="00BE60F3" w:rsidRPr="00DC052A" w:rsidRDefault="00BE60F3" w:rsidP="00BE60F3">
      <w:pPr>
        <w:pStyle w:val="BodyTextMain"/>
        <w:rPr>
          <w:lang w:val="en-CA"/>
        </w:rPr>
      </w:pPr>
      <w:r w:rsidRPr="00DC052A">
        <w:rPr>
          <w:lang w:val="en-CA"/>
        </w:rPr>
        <w:t xml:space="preserve">In February 2017, the co-founders of Hudson St. Clair, a custom suit business, met with Hulin Partners, a private equity company. The four founders wanted to start their made-to-measure suit business and had already secured textile contracts with suppliers. Although they had not yet begun manufacturing or sold to any customers, they believed that their idea was promising. </w:t>
      </w:r>
      <w:bookmarkStart w:id="0" w:name="_Hlk66988372"/>
      <w:r w:rsidRPr="00DC052A">
        <w:rPr>
          <w:lang w:val="en-CA"/>
        </w:rPr>
        <w:t>They approached Hulin Partners to see if the private equity company would be interested in investing in the idea only to be met with an offer to buy the business for US$250,000</w:t>
      </w:r>
      <w:bookmarkEnd w:id="0"/>
      <w:r w:rsidRPr="00DC052A">
        <w:rPr>
          <w:lang w:val="en-CA"/>
        </w:rPr>
        <w:t>.</w:t>
      </w:r>
      <w:r w:rsidRPr="00DC052A">
        <w:rPr>
          <w:rStyle w:val="FootnoteReference"/>
          <w:lang w:val="en-CA"/>
        </w:rPr>
        <w:footnoteReference w:id="1"/>
      </w:r>
      <w:r w:rsidRPr="00DC052A">
        <w:rPr>
          <w:lang w:val="en-CA"/>
        </w:rPr>
        <w:t xml:space="preserve"> The co-founders needed to decide whether to start the business or sell the business plan and contracts to Hulin Partners. To inform their decision, the team wanted to project the new venture’s financial performance for the first three years of operations and assess the viability of the business.</w:t>
      </w:r>
    </w:p>
    <w:p w14:paraId="0FF407BB" w14:textId="77777777" w:rsidR="00BE60F3" w:rsidRPr="00DC052A" w:rsidRDefault="00BE60F3" w:rsidP="00BE60F3">
      <w:pPr>
        <w:pStyle w:val="BodyTextMain"/>
        <w:rPr>
          <w:lang w:val="en-CA"/>
        </w:rPr>
      </w:pPr>
    </w:p>
    <w:p w14:paraId="1FD938F3" w14:textId="77777777" w:rsidR="00BE60F3" w:rsidRPr="00DC052A" w:rsidRDefault="00BE60F3" w:rsidP="00BE60F3">
      <w:pPr>
        <w:pStyle w:val="BodyTextMain"/>
        <w:rPr>
          <w:lang w:val="en-CA"/>
        </w:rPr>
      </w:pPr>
    </w:p>
    <w:p w14:paraId="6B6A759A" w14:textId="77777777" w:rsidR="00BE60F3" w:rsidRPr="00DC052A" w:rsidRDefault="00BE60F3" w:rsidP="00BE60F3">
      <w:pPr>
        <w:pStyle w:val="Casehead1"/>
        <w:rPr>
          <w:lang w:val="en-CA"/>
        </w:rPr>
      </w:pPr>
      <w:r w:rsidRPr="00DC052A">
        <w:rPr>
          <w:lang w:val="en-CA"/>
        </w:rPr>
        <w:t>The Venture</w:t>
      </w:r>
    </w:p>
    <w:p w14:paraId="6E2E7F0B" w14:textId="77777777" w:rsidR="00BE60F3" w:rsidRPr="00DC052A" w:rsidRDefault="00BE60F3" w:rsidP="00BE60F3">
      <w:pPr>
        <w:pStyle w:val="BodyTextMain"/>
        <w:rPr>
          <w:lang w:val="en-CA"/>
        </w:rPr>
      </w:pPr>
    </w:p>
    <w:p w14:paraId="08CCAAA2" w14:textId="77777777" w:rsidR="00BE60F3" w:rsidRPr="00DC052A" w:rsidRDefault="00BE60F3" w:rsidP="00BE60F3">
      <w:pPr>
        <w:pStyle w:val="BodyTextMain"/>
        <w:rPr>
          <w:lang w:val="en-CA"/>
        </w:rPr>
      </w:pPr>
      <w:r w:rsidRPr="00DC052A">
        <w:rPr>
          <w:lang w:val="en-CA"/>
        </w:rPr>
        <w:t xml:space="preserve">Brad Silver, the chief executive officer (CEO) of Hudson St. Clair, met the other three co-founders while they were all on exchange in Shanghai, China, completing their Master of Business Administration (MBAs) at New York University’s Leonard N. Stern School of Business. They were inspired by the textile manufacturing facilities in China and decided to start their own suit business. Their idea was to manufacture made-to-measure suits using all-natural materials. The suits would be entirely customizable—from the fabric pattern and lining colour to the monograms and buttons. </w:t>
      </w:r>
    </w:p>
    <w:p w14:paraId="2EBAB00A" w14:textId="77777777" w:rsidR="00BE60F3" w:rsidRPr="00DC052A" w:rsidRDefault="00BE60F3" w:rsidP="00BE60F3">
      <w:pPr>
        <w:pStyle w:val="BodyTextMain"/>
        <w:rPr>
          <w:lang w:val="en-CA"/>
        </w:rPr>
      </w:pPr>
    </w:p>
    <w:p w14:paraId="4B004966" w14:textId="77777777" w:rsidR="00BE60F3" w:rsidRPr="00DC052A" w:rsidRDefault="00BE60F3" w:rsidP="00BE60F3">
      <w:pPr>
        <w:pStyle w:val="BodyTextMain"/>
        <w:rPr>
          <w:lang w:val="en-CA"/>
        </w:rPr>
      </w:pPr>
      <w:r w:rsidRPr="00DC052A">
        <w:rPr>
          <w:lang w:val="en-CA"/>
        </w:rPr>
        <w:t xml:space="preserve">In an approach that differed from competitors, Hudson St. Clair’s plan was for customers to approach their local tailors to take accurate measurements and then submit the measurements to Hudson St. Clair. Using the initial measurements, Hudson St. Clair would manufacture the made-to-measure suit. Once complete, Hudson St. Clair would ship the suit to the tailor selected by the customer for final alterations and delivery to the customer. </w:t>
      </w:r>
    </w:p>
    <w:p w14:paraId="650C98C2" w14:textId="77777777" w:rsidR="00BE60F3" w:rsidRPr="00DC052A" w:rsidRDefault="00BE60F3" w:rsidP="00BE60F3">
      <w:pPr>
        <w:pStyle w:val="BodyTextMain"/>
        <w:rPr>
          <w:lang w:val="en-CA"/>
        </w:rPr>
      </w:pPr>
    </w:p>
    <w:p w14:paraId="2F4D27FD" w14:textId="77777777" w:rsidR="00BE60F3" w:rsidRPr="00DC052A" w:rsidRDefault="00BE60F3" w:rsidP="00BE60F3">
      <w:pPr>
        <w:pStyle w:val="BodyTextMain"/>
        <w:rPr>
          <w:lang w:val="en-CA"/>
        </w:rPr>
      </w:pPr>
      <w:r w:rsidRPr="00DC052A">
        <w:rPr>
          <w:lang w:val="en-CA"/>
        </w:rPr>
        <w:t>The company was focused exclusively on the US market, which was reflected in the company name. Hudson St. Clair was named after the Hudson River in New York City, the city where the business was born, and Lake St. Clair, outside Detroit, Michigan, the city where the suits would be manufactured. The company’s slogan was “New York Style, Detroit Sensibility.”</w:t>
      </w:r>
    </w:p>
    <w:p w14:paraId="3E03E2C3" w14:textId="77777777" w:rsidR="00BE60F3" w:rsidRPr="00DC052A" w:rsidRDefault="00BE60F3" w:rsidP="00BE60F3">
      <w:pPr>
        <w:pStyle w:val="BodyTextMain"/>
        <w:rPr>
          <w:lang w:val="en-CA"/>
        </w:rPr>
      </w:pPr>
    </w:p>
    <w:p w14:paraId="361F221D" w14:textId="77777777" w:rsidR="00BE60F3" w:rsidRPr="00DC052A" w:rsidRDefault="00BE60F3" w:rsidP="00BE60F3">
      <w:pPr>
        <w:pStyle w:val="Casehead1"/>
        <w:rPr>
          <w:lang w:val="en-CA"/>
        </w:rPr>
      </w:pPr>
      <w:r w:rsidRPr="00DC052A">
        <w:rPr>
          <w:lang w:val="en-CA"/>
        </w:rPr>
        <w:lastRenderedPageBreak/>
        <w:t>The Founders</w:t>
      </w:r>
    </w:p>
    <w:p w14:paraId="636C931E" w14:textId="77777777" w:rsidR="00BE60F3" w:rsidRPr="00DC052A" w:rsidRDefault="00BE60F3" w:rsidP="00BE60F3">
      <w:pPr>
        <w:pStyle w:val="BodyTextMain"/>
        <w:keepNext/>
        <w:rPr>
          <w:lang w:val="en-CA"/>
        </w:rPr>
      </w:pPr>
    </w:p>
    <w:p w14:paraId="5754C4E8" w14:textId="77777777" w:rsidR="00BE60F3" w:rsidRPr="00DC052A" w:rsidRDefault="00BE60F3" w:rsidP="00BE60F3">
      <w:pPr>
        <w:pStyle w:val="BodyTextMain"/>
        <w:rPr>
          <w:lang w:val="en-CA"/>
        </w:rPr>
      </w:pPr>
      <w:r w:rsidRPr="00DC052A">
        <w:rPr>
          <w:lang w:val="en-CA"/>
        </w:rPr>
        <w:t>Silver and his three co-founders had different backgrounds, but they had similar values and a similar desire to start their own business. Since coming up with the business idea, all four co-founders had graduated from the MBA program and taken on full-time roles in various cities across the United States. None of the co-founders intended to leave their full-time jobs because they still had remaining student loans. If they pursued the venture, they planned to share the responsibilities on a part-time basis.</w:t>
      </w:r>
    </w:p>
    <w:p w14:paraId="6A12DE68" w14:textId="77777777" w:rsidR="00BE60F3" w:rsidRPr="00DC052A" w:rsidRDefault="00BE60F3" w:rsidP="00BE60F3">
      <w:pPr>
        <w:pStyle w:val="BodyTextMain"/>
        <w:rPr>
          <w:lang w:val="en-CA"/>
        </w:rPr>
      </w:pPr>
    </w:p>
    <w:p w14:paraId="70EB2BB9" w14:textId="77777777" w:rsidR="00BE60F3" w:rsidRPr="00DC052A" w:rsidRDefault="00BE60F3" w:rsidP="00BE60F3">
      <w:pPr>
        <w:pStyle w:val="BodyTextMain"/>
        <w:rPr>
          <w:lang w:val="en-CA"/>
        </w:rPr>
      </w:pPr>
      <w:r w:rsidRPr="00DC052A">
        <w:rPr>
          <w:lang w:val="en-CA"/>
        </w:rPr>
        <w:t>As CEO of Hudson St. Clair, Silver was tasked with ensuring efficient manufacturing processes and securing suppliers. Prior to starting his MBA, Silver studied process engineering at Boston College and spent multiple years working as a process engineer. He had a passion for combining his engineering prowess with entrepreneurship. Silver had won multiple pitch competitions for his detailed consideration of engineering constraints and business ingenuity, and he was Six Sigma Black Belt certified. However, Silver was also working as a management consultant in Boston, Massachusetts, which limited the time that he could spend at Hudson St. Clair’s manufacturing site in Detroit.</w:t>
      </w:r>
    </w:p>
    <w:p w14:paraId="08F94049" w14:textId="77777777" w:rsidR="00BE60F3" w:rsidRPr="00DC052A" w:rsidRDefault="00BE60F3" w:rsidP="00BE60F3">
      <w:pPr>
        <w:pStyle w:val="BodyTextMain"/>
        <w:rPr>
          <w:lang w:val="en-CA"/>
        </w:rPr>
      </w:pPr>
    </w:p>
    <w:p w14:paraId="5D23EF88" w14:textId="77777777" w:rsidR="00BE60F3" w:rsidRPr="00DC052A" w:rsidRDefault="00BE60F3" w:rsidP="00BE60F3">
      <w:pPr>
        <w:pStyle w:val="BodyTextMain"/>
        <w:rPr>
          <w:lang w:val="en-CA"/>
        </w:rPr>
      </w:pPr>
      <w:r w:rsidRPr="00DC052A">
        <w:rPr>
          <w:lang w:val="en-CA"/>
        </w:rPr>
        <w:t>Arnold Remmler acted as chief financial officer and managed the day-to-day accounting and financial analysis for Hudson St. Clair. He was also in charge of raising the funds that the company would surely need to grow in the future. Remmler had studied economics in Finland prior to completing his MBA. He had over five years of experience in various finance roles and brought a wealth of international experience to the fledgling company. After completing his MBA, Remmler joined an investment bank in San Francisco, California.</w:t>
      </w:r>
    </w:p>
    <w:p w14:paraId="46A92B64" w14:textId="77777777" w:rsidR="00BE60F3" w:rsidRPr="00DC052A" w:rsidRDefault="00BE60F3" w:rsidP="00BE60F3">
      <w:pPr>
        <w:pStyle w:val="BodyTextMain"/>
        <w:rPr>
          <w:lang w:val="en-CA"/>
        </w:rPr>
      </w:pPr>
    </w:p>
    <w:p w14:paraId="62F28640" w14:textId="77777777" w:rsidR="00BE60F3" w:rsidRPr="00DC052A" w:rsidRDefault="00BE60F3" w:rsidP="00BE60F3">
      <w:pPr>
        <w:pStyle w:val="BodyTextMain"/>
        <w:rPr>
          <w:lang w:val="en-CA"/>
        </w:rPr>
      </w:pPr>
      <w:r w:rsidRPr="00DC052A">
        <w:rPr>
          <w:lang w:val="en-CA"/>
        </w:rPr>
        <w:t>Samuel Betts, chief revenue officer, managed the sales and marketing campaigns for Hudson St. Clair. Betts had extensive sales experiences as a senior account executive at various health care companies. While Betts had enjoyed his time in sales, he had pursued his MBA to switch careers and follow his true passion in media and entertainment. Betts had recently joined a global public cable network in New York City as a financial analyst.</w:t>
      </w:r>
    </w:p>
    <w:p w14:paraId="0D1526CF" w14:textId="77777777" w:rsidR="00BE60F3" w:rsidRPr="00DC052A" w:rsidRDefault="00BE60F3" w:rsidP="00BE60F3">
      <w:pPr>
        <w:pStyle w:val="BodyTextMain"/>
        <w:rPr>
          <w:lang w:val="en-CA"/>
        </w:rPr>
      </w:pPr>
    </w:p>
    <w:p w14:paraId="7F7E99B4" w14:textId="77777777" w:rsidR="00BE60F3" w:rsidRPr="00DC052A" w:rsidRDefault="00BE60F3" w:rsidP="00BE60F3">
      <w:pPr>
        <w:pStyle w:val="BodyTextMain"/>
        <w:rPr>
          <w:lang w:val="en-CA"/>
        </w:rPr>
      </w:pPr>
      <w:r w:rsidRPr="00DC052A">
        <w:rPr>
          <w:lang w:val="en-CA"/>
        </w:rPr>
        <w:t>Bastian Hernandez, who was certified in agile project management, was chief product officer, in charge of product development and design for Hudson St. Clair. He had a passion for fashion and worked closely with Silver to select fabrics and patterns for each of Hudson St. Clair’s designs. In addition, with his expertise in human capital, Hernandez managed the human resources side of the business. After his MBA, Hernandez had returned to his role as a senior consultant in human capital consulting at Deloitte.</w:t>
      </w:r>
    </w:p>
    <w:p w14:paraId="36DB8BAC" w14:textId="77777777" w:rsidR="00BE60F3" w:rsidRPr="00DC052A" w:rsidRDefault="00BE60F3" w:rsidP="00BE60F3">
      <w:pPr>
        <w:pStyle w:val="BodyTextMain"/>
        <w:rPr>
          <w:lang w:val="en-CA"/>
        </w:rPr>
      </w:pPr>
    </w:p>
    <w:p w14:paraId="1F8A13F0" w14:textId="77777777" w:rsidR="00BE60F3" w:rsidRPr="00DC052A" w:rsidRDefault="00BE60F3" w:rsidP="00BE60F3">
      <w:pPr>
        <w:pStyle w:val="BodyTextMain"/>
        <w:rPr>
          <w:lang w:val="en-CA"/>
        </w:rPr>
      </w:pPr>
    </w:p>
    <w:p w14:paraId="0F2B987C" w14:textId="77777777" w:rsidR="00BE60F3" w:rsidRPr="00DC052A" w:rsidRDefault="00BE60F3" w:rsidP="00BE60F3">
      <w:pPr>
        <w:pStyle w:val="Casehead1"/>
        <w:rPr>
          <w:lang w:val="en-CA"/>
        </w:rPr>
      </w:pPr>
      <w:r w:rsidRPr="00DC052A">
        <w:rPr>
          <w:lang w:val="en-CA"/>
        </w:rPr>
        <w:t>Men’s Suits and formal wear</w:t>
      </w:r>
      <w:r w:rsidRPr="00DC052A">
        <w:rPr>
          <w:rStyle w:val="FootnoteReference"/>
          <w:lang w:val="en-CA"/>
        </w:rPr>
        <w:footnoteReference w:id="2"/>
      </w:r>
    </w:p>
    <w:p w14:paraId="16858CAA" w14:textId="77777777" w:rsidR="00BE60F3" w:rsidRPr="00DC052A" w:rsidRDefault="00BE60F3" w:rsidP="00BE60F3">
      <w:pPr>
        <w:pStyle w:val="BodyTextMain"/>
        <w:keepNext/>
        <w:rPr>
          <w:lang w:val="en-CA"/>
        </w:rPr>
      </w:pPr>
    </w:p>
    <w:p w14:paraId="1C721167" w14:textId="77777777" w:rsidR="00BE60F3" w:rsidRPr="00DC052A" w:rsidRDefault="00BE60F3" w:rsidP="00BE60F3">
      <w:pPr>
        <w:pStyle w:val="BodyTextMain"/>
        <w:rPr>
          <w:spacing w:val="-2"/>
          <w:lang w:val="en-CA"/>
        </w:rPr>
      </w:pPr>
      <w:r w:rsidRPr="00DC052A">
        <w:rPr>
          <w:spacing w:val="-2"/>
          <w:lang w:val="en-CA"/>
        </w:rPr>
        <w:t>The men’s suits and formal wear market was a mature industry valued at over $18 billion globally, with the United States representing 12 per cent of the global market.</w:t>
      </w:r>
      <w:r w:rsidRPr="00DC052A">
        <w:rPr>
          <w:rStyle w:val="FootnoteReference"/>
          <w:spacing w:val="-2"/>
          <w:lang w:val="en-CA"/>
        </w:rPr>
        <w:footnoteReference w:id="3"/>
      </w:r>
      <w:r w:rsidRPr="00DC052A">
        <w:rPr>
          <w:spacing w:val="-2"/>
          <w:lang w:val="en-CA"/>
        </w:rPr>
        <w:t xml:space="preserve"> Industry performance correlated with unemployment levels, specifically in white-collar or office jobs since most men purchased suits for work and related events. From 2012 to 2017, unemployment had significantly decreased, resulting in 3 per cent growth in the industry.</w:t>
      </w:r>
      <w:r w:rsidRPr="00DC052A">
        <w:rPr>
          <w:rStyle w:val="FootnoteReference"/>
          <w:spacing w:val="-2"/>
          <w:lang w:val="en-CA"/>
        </w:rPr>
        <w:t xml:space="preserve"> </w:t>
      </w:r>
      <w:r w:rsidRPr="00DC052A">
        <w:rPr>
          <w:spacing w:val="-2"/>
          <w:lang w:val="en-CA"/>
        </w:rPr>
        <w:t>However, there was a rising trend of relaxing dress codes in many office jobs: more men were choosing to wear business-casual attire in lieu of conventional suits. Analysts were expecting that the men’s suits and formal wear industry would decrease by 0.8 per cent per annum in the coming years.</w:t>
      </w:r>
    </w:p>
    <w:p w14:paraId="5F12665F" w14:textId="77777777" w:rsidR="00BE60F3" w:rsidRPr="00DC052A" w:rsidRDefault="00BE60F3" w:rsidP="00BE60F3">
      <w:pPr>
        <w:pStyle w:val="BodyTextMain"/>
        <w:rPr>
          <w:lang w:val="en-CA"/>
        </w:rPr>
      </w:pPr>
      <w:r w:rsidRPr="00DC052A">
        <w:rPr>
          <w:lang w:val="en-CA"/>
        </w:rPr>
        <w:lastRenderedPageBreak/>
        <w:t>Net industry profit margins had declined to 2.7 per cent of sales and were projected to decline further over the next five years due to increased spending on marketing and price discounts to attract customers (see Exhibit 1). To counter declining margins, many companies had begun sourcing low-cost materials and manufacturing their suits in lower-cost countries, such as China, Vietnam, and Mexico.</w:t>
      </w:r>
    </w:p>
    <w:p w14:paraId="5FEE2F10" w14:textId="77777777" w:rsidR="00BE60F3" w:rsidRPr="00DC052A" w:rsidRDefault="00BE60F3" w:rsidP="00BE60F3">
      <w:pPr>
        <w:pStyle w:val="BodyTextMain"/>
        <w:rPr>
          <w:lang w:val="en-CA"/>
        </w:rPr>
      </w:pPr>
    </w:p>
    <w:p w14:paraId="4F906FDF" w14:textId="77777777" w:rsidR="00BE60F3" w:rsidRPr="00DC052A" w:rsidRDefault="00BE60F3" w:rsidP="00BE60F3">
      <w:pPr>
        <w:pStyle w:val="BodyTextMain"/>
        <w:rPr>
          <w:lang w:val="en-CA"/>
        </w:rPr>
      </w:pPr>
    </w:p>
    <w:p w14:paraId="7320AFE6" w14:textId="77777777" w:rsidR="00BE60F3" w:rsidRPr="00DC052A" w:rsidRDefault="00BE60F3" w:rsidP="00BE60F3">
      <w:pPr>
        <w:pStyle w:val="Casehead1"/>
        <w:rPr>
          <w:lang w:val="en-CA"/>
        </w:rPr>
      </w:pPr>
      <w:r w:rsidRPr="00DC052A">
        <w:rPr>
          <w:lang w:val="en-CA"/>
        </w:rPr>
        <w:t>Competition</w:t>
      </w:r>
    </w:p>
    <w:p w14:paraId="48090E5A" w14:textId="77777777" w:rsidR="00BE60F3" w:rsidRPr="00DC052A" w:rsidRDefault="00BE60F3" w:rsidP="00BE60F3">
      <w:pPr>
        <w:pStyle w:val="BodyTextMain"/>
        <w:rPr>
          <w:lang w:val="en-CA"/>
        </w:rPr>
      </w:pPr>
    </w:p>
    <w:p w14:paraId="1E788005" w14:textId="77777777" w:rsidR="00BE60F3" w:rsidRPr="00DC052A" w:rsidRDefault="00BE60F3" w:rsidP="00BE60F3">
      <w:pPr>
        <w:pStyle w:val="BodyTextMain"/>
        <w:rPr>
          <w:spacing w:val="-2"/>
          <w:lang w:val="en-CA"/>
        </w:rPr>
      </w:pPr>
      <w:r w:rsidRPr="00DC052A">
        <w:rPr>
          <w:spacing w:val="-2"/>
          <w:lang w:val="en-CA"/>
        </w:rPr>
        <w:t>The men’s suits and formal wear industry was highly competitive and highly fragmented. There were dozens of online and brick-and-mortar retailers at all price points. Hudson St. Clair would have to compete with both made-to-measure and off-the-rack competitors. Made-to-measure competitors, similar to Hudson St. Clair, would create some level of custom fit and tailoring when developing the suit design and alterations. Off-the-rack competitors (e.g., Tailored Brands Inc. [TB], Hugo Boss AG, and Calvin Klein Inc.) mass produced suits with specific dimensions and sizes that could be tailored later to fit the customer. These off-the-rack competitors were also often widely available in malls, department stores, and other retail locations.</w:t>
      </w:r>
    </w:p>
    <w:p w14:paraId="0FD3F3D2" w14:textId="77777777" w:rsidR="00BE60F3" w:rsidRPr="00DC052A" w:rsidRDefault="00BE60F3" w:rsidP="00BE60F3">
      <w:pPr>
        <w:pStyle w:val="BodyTextMain"/>
        <w:rPr>
          <w:lang w:val="en-CA"/>
        </w:rPr>
      </w:pPr>
    </w:p>
    <w:p w14:paraId="513D7503" w14:textId="77777777" w:rsidR="00BE60F3" w:rsidRPr="00DC052A" w:rsidRDefault="00BE60F3" w:rsidP="00BE60F3">
      <w:pPr>
        <w:pStyle w:val="BodyTextMain"/>
        <w:rPr>
          <w:lang w:val="en-CA"/>
        </w:rPr>
      </w:pPr>
    </w:p>
    <w:p w14:paraId="3DBED6FF" w14:textId="77777777" w:rsidR="00BE60F3" w:rsidRPr="00DC052A" w:rsidRDefault="00BE60F3" w:rsidP="00BE60F3">
      <w:pPr>
        <w:pStyle w:val="Casehead2"/>
        <w:rPr>
          <w:lang w:val="en-CA"/>
        </w:rPr>
      </w:pPr>
      <w:r w:rsidRPr="00DC052A">
        <w:rPr>
          <w:lang w:val="en-CA"/>
        </w:rPr>
        <w:t>Indochino Apparel Inc.</w:t>
      </w:r>
    </w:p>
    <w:p w14:paraId="5D4AC57C" w14:textId="77777777" w:rsidR="00BE60F3" w:rsidRPr="00DC052A" w:rsidRDefault="00BE60F3" w:rsidP="00BE60F3">
      <w:pPr>
        <w:pStyle w:val="BodyTextMain"/>
        <w:rPr>
          <w:lang w:val="en-CA"/>
        </w:rPr>
      </w:pPr>
    </w:p>
    <w:p w14:paraId="1886FF84" w14:textId="77777777" w:rsidR="00BE60F3" w:rsidRPr="00DC052A" w:rsidRDefault="00BE60F3" w:rsidP="00BE60F3">
      <w:pPr>
        <w:pStyle w:val="BodyTextMain"/>
        <w:rPr>
          <w:lang w:val="en-CA"/>
        </w:rPr>
      </w:pPr>
      <w:r w:rsidRPr="00DC052A">
        <w:rPr>
          <w:lang w:val="en-CA"/>
        </w:rPr>
        <w:t>Indochino claimed to be the first online made-to-measure suit retailer in North America.</w:t>
      </w:r>
      <w:r w:rsidRPr="00DC052A">
        <w:rPr>
          <w:rStyle w:val="FootnoteReference"/>
          <w:lang w:val="en-CA"/>
        </w:rPr>
        <w:footnoteReference w:id="4"/>
      </w:r>
      <w:r w:rsidRPr="00DC052A">
        <w:rPr>
          <w:lang w:val="en-CA"/>
        </w:rPr>
        <w:t xml:space="preserve"> Founded in 2007 by two University of Victoria students, Indochino aimed to deliver custom suits that competed with off-the rack prices for a younger digital generation.</w:t>
      </w:r>
      <w:r w:rsidRPr="00DC052A">
        <w:rPr>
          <w:rStyle w:val="FootnoteReference"/>
          <w:lang w:val="en-CA"/>
        </w:rPr>
        <w:footnoteReference w:id="5"/>
      </w:r>
      <w:r w:rsidRPr="00DC052A">
        <w:rPr>
          <w:lang w:val="en-CA"/>
        </w:rPr>
        <w:t xml:space="preserve"> Initially, Indochino’s business model was to sell the custom suits entirely online. The company asked customers to submit their measurements online, manufactured the suit, and then shipped the product directly to the customer. With this lower-cost business model, Indochino prioritized affordable pricing with prices ranging from $319 to $669; the majority of suits cost $589.</w:t>
      </w:r>
      <w:r w:rsidRPr="00DC052A">
        <w:rPr>
          <w:rStyle w:val="FootnoteReference"/>
          <w:lang w:val="en-CA"/>
        </w:rPr>
        <w:footnoteReference w:id="6"/>
      </w:r>
      <w:r w:rsidRPr="00DC052A">
        <w:rPr>
          <w:lang w:val="en-CA"/>
        </w:rPr>
        <w:t xml:space="preserve"> In an effort to replicate the in-store experience, Indochino began selling a “tailor’s kit” for $29 to help customers take their own measurements more accurately and feel swatches of Indochino’s custom fabrics.</w:t>
      </w:r>
      <w:r w:rsidRPr="00DC052A">
        <w:rPr>
          <w:rStyle w:val="FootnoteReference"/>
          <w:lang w:val="en-CA"/>
        </w:rPr>
        <w:footnoteReference w:id="7"/>
      </w:r>
    </w:p>
    <w:p w14:paraId="0E0519C9" w14:textId="77777777" w:rsidR="00BE60F3" w:rsidRPr="00DC052A" w:rsidRDefault="00BE60F3" w:rsidP="00BE60F3">
      <w:pPr>
        <w:pStyle w:val="BodyTextMain"/>
        <w:rPr>
          <w:lang w:val="en-CA"/>
        </w:rPr>
      </w:pPr>
    </w:p>
    <w:p w14:paraId="74BAFBA6" w14:textId="77777777" w:rsidR="00BE60F3" w:rsidRPr="00DC052A" w:rsidRDefault="00BE60F3" w:rsidP="00BE60F3">
      <w:pPr>
        <w:pStyle w:val="BodyTextMain"/>
        <w:rPr>
          <w:lang w:val="en-CA"/>
        </w:rPr>
      </w:pPr>
      <w:r w:rsidRPr="00DC052A">
        <w:rPr>
          <w:lang w:val="en-CA"/>
        </w:rPr>
        <w:t>In 2016, Indochino secured $30 million in financing from China-based clothing manufacturer Dayang Group. Indochino manufactured most of its suits in China, and Dayang’s investment not only allowed Indochino to further decrease its manufacturing costs but also enable rapid expansion. Following the investment, Indochino expanded its product lines and retail operations. The company expanded into custom wedding attire and launched new brick-and-mortar showrooms where customers could obtain professional measurements, examine products, and pick up their custom suits. According to Drew Green, CEO of Indochino, the showrooms boosted online sales in a city by as much as 700 per cent.</w:t>
      </w:r>
      <w:r w:rsidRPr="00DC052A">
        <w:rPr>
          <w:rStyle w:val="FootnoteReference"/>
          <w:lang w:val="en-CA"/>
        </w:rPr>
        <w:footnoteReference w:id="8"/>
      </w:r>
    </w:p>
    <w:p w14:paraId="44550205" w14:textId="77777777" w:rsidR="00BE60F3" w:rsidRPr="00DC052A" w:rsidRDefault="00BE60F3" w:rsidP="00BE60F3">
      <w:pPr>
        <w:pStyle w:val="BodyTextMain"/>
        <w:rPr>
          <w:lang w:val="en-CA"/>
        </w:rPr>
      </w:pPr>
    </w:p>
    <w:p w14:paraId="0C3B5741" w14:textId="77777777" w:rsidR="00BE60F3" w:rsidRPr="00DC052A" w:rsidRDefault="00BE60F3" w:rsidP="00BE60F3">
      <w:pPr>
        <w:pStyle w:val="BodyTextMain"/>
        <w:rPr>
          <w:lang w:val="en-CA"/>
        </w:rPr>
      </w:pPr>
    </w:p>
    <w:p w14:paraId="5B8F1F7E" w14:textId="77777777" w:rsidR="00BE60F3" w:rsidRPr="00DC052A" w:rsidRDefault="00BE60F3" w:rsidP="00BE60F3">
      <w:pPr>
        <w:pStyle w:val="Casehead2"/>
        <w:rPr>
          <w:lang w:val="en-CA"/>
        </w:rPr>
      </w:pPr>
      <w:r w:rsidRPr="00DC052A">
        <w:rPr>
          <w:lang w:val="en-CA"/>
        </w:rPr>
        <w:t>Suitsupply</w:t>
      </w:r>
    </w:p>
    <w:p w14:paraId="1CB81E89" w14:textId="77777777" w:rsidR="00BE60F3" w:rsidRPr="00DC052A" w:rsidRDefault="00BE60F3" w:rsidP="00BE60F3">
      <w:pPr>
        <w:pStyle w:val="BodyTextMain"/>
        <w:keepNext/>
        <w:rPr>
          <w:lang w:val="en-CA"/>
        </w:rPr>
      </w:pPr>
    </w:p>
    <w:p w14:paraId="5E78279D" w14:textId="77777777" w:rsidR="00BE60F3" w:rsidRPr="00DC052A" w:rsidRDefault="00BE60F3" w:rsidP="00BE60F3">
      <w:pPr>
        <w:pStyle w:val="BodyTextMain"/>
        <w:rPr>
          <w:lang w:val="en-CA"/>
        </w:rPr>
      </w:pPr>
      <w:r w:rsidRPr="00DC052A">
        <w:rPr>
          <w:lang w:val="en-CA"/>
        </w:rPr>
        <w:t xml:space="preserve">Suitsupply was founded in 2000 in Amsterdam, Netherlands, by Fokke de Jong. </w:t>
      </w:r>
      <w:r w:rsidRPr="00DC052A">
        <w:rPr>
          <w:i/>
          <w:iCs/>
          <w:lang w:val="en-CA"/>
        </w:rPr>
        <w:t>GQ</w:t>
      </w:r>
      <w:r w:rsidRPr="00DC052A">
        <w:rPr>
          <w:lang w:val="en-CA"/>
        </w:rPr>
        <w:t xml:space="preserve"> magazine called the company the “JetBlue of suits” for its ability to provide better service and quality at a lower price point.</w:t>
      </w:r>
      <w:r w:rsidRPr="00DC052A">
        <w:rPr>
          <w:rStyle w:val="FootnoteReference"/>
          <w:lang w:val="en-CA"/>
        </w:rPr>
        <w:footnoteReference w:id="9"/>
      </w:r>
      <w:r w:rsidRPr="00DC052A">
        <w:rPr>
          <w:lang w:val="en-CA"/>
        </w:rPr>
        <w:t xml:space="preserve"> </w:t>
      </w:r>
      <w:r w:rsidRPr="00DC052A">
        <w:rPr>
          <w:lang w:val="en-CA"/>
        </w:rPr>
        <w:lastRenderedPageBreak/>
        <w:t>Suitsupply offered both off-the-rack and made-to-measure suits online and in its Suitsupply-branded brick-and-mortar locations.</w:t>
      </w:r>
      <w:r w:rsidRPr="00DC052A">
        <w:rPr>
          <w:rStyle w:val="FootnoteReference"/>
          <w:lang w:val="en-CA"/>
        </w:rPr>
        <w:footnoteReference w:id="10"/>
      </w:r>
      <w:r w:rsidRPr="00DC052A">
        <w:rPr>
          <w:lang w:val="en-CA"/>
        </w:rPr>
        <w:t xml:space="preserve"> The company ensured the success of its brick-and-mortar stores by using its online sales data to pinpoint locations where Suitsupply was popular. Like Indochino, Suitsupply was vertically integrated: it managed the entire manufacturing process from raw materials through to delivery.</w:t>
      </w:r>
      <w:r w:rsidRPr="00DC052A">
        <w:rPr>
          <w:rStyle w:val="FootnoteReference"/>
          <w:lang w:val="en-CA"/>
        </w:rPr>
        <w:footnoteReference w:id="11"/>
      </w:r>
    </w:p>
    <w:p w14:paraId="42949491" w14:textId="77777777" w:rsidR="00BE60F3" w:rsidRPr="00DC052A" w:rsidRDefault="00BE60F3" w:rsidP="00BE60F3">
      <w:pPr>
        <w:pStyle w:val="BodyTextMain"/>
        <w:rPr>
          <w:lang w:val="en-CA"/>
        </w:rPr>
      </w:pPr>
    </w:p>
    <w:p w14:paraId="5914530B" w14:textId="77777777" w:rsidR="00BE60F3" w:rsidRPr="00DC052A" w:rsidRDefault="00BE60F3" w:rsidP="00BE60F3">
      <w:pPr>
        <w:pStyle w:val="BodyTextMain"/>
        <w:rPr>
          <w:lang w:val="en-CA"/>
        </w:rPr>
      </w:pPr>
      <w:r w:rsidRPr="00DC052A">
        <w:rPr>
          <w:lang w:val="en-CA"/>
        </w:rPr>
        <w:t>Made-to-measure suits from Suitsupply started at $500 and increased based on the customizations chosen by the customer. Its off-the-rack suits cost between $399 and $999.</w:t>
      </w:r>
      <w:r w:rsidRPr="00DC052A">
        <w:rPr>
          <w:rStyle w:val="FootnoteReference"/>
          <w:lang w:val="en-CA"/>
        </w:rPr>
        <w:footnoteReference w:id="12"/>
      </w:r>
      <w:r w:rsidRPr="00DC052A">
        <w:rPr>
          <w:lang w:val="en-CA"/>
        </w:rPr>
        <w:t xml:space="preserve"> The company’s suits were known for their high quality. In 2011, two suit experts compared a $614 Suitsupply suit with a $3,625 Armani suit in a blind test and saw “little difference” between the two, ultimately ranking both in first place.</w:t>
      </w:r>
      <w:r w:rsidRPr="00DC052A">
        <w:rPr>
          <w:rStyle w:val="FootnoteReference"/>
          <w:lang w:val="en-CA"/>
        </w:rPr>
        <w:footnoteReference w:id="13"/>
      </w:r>
      <w:r w:rsidRPr="00DC052A">
        <w:rPr>
          <w:lang w:val="en-CA"/>
        </w:rPr>
        <w:t xml:space="preserve"> </w:t>
      </w:r>
    </w:p>
    <w:p w14:paraId="7BC2BB10" w14:textId="77777777" w:rsidR="00BE60F3" w:rsidRPr="00DC052A" w:rsidRDefault="00BE60F3" w:rsidP="00BE60F3">
      <w:pPr>
        <w:pStyle w:val="BodyTextMain"/>
        <w:rPr>
          <w:lang w:val="en-CA"/>
        </w:rPr>
      </w:pPr>
    </w:p>
    <w:p w14:paraId="788F4E7E" w14:textId="77777777" w:rsidR="00BE60F3" w:rsidRPr="00DC052A" w:rsidRDefault="00BE60F3" w:rsidP="00BE60F3">
      <w:pPr>
        <w:pStyle w:val="BodyTextMain"/>
        <w:rPr>
          <w:lang w:val="en-CA"/>
        </w:rPr>
      </w:pPr>
      <w:r w:rsidRPr="00DC052A">
        <w:rPr>
          <w:lang w:val="en-CA"/>
        </w:rPr>
        <w:t>In addition to its reputation for quality, Suitsupply was known for its provocative advertising campaigns, which were banned in certain areas for being overly sexual. The company enjoyed being provocative and believed that their risk-taking, nonconformist brand was apparent in their cutting-edge suit designs.</w:t>
      </w:r>
      <w:r w:rsidRPr="00DC052A">
        <w:rPr>
          <w:rStyle w:val="FootnoteReference"/>
          <w:lang w:val="en-CA"/>
        </w:rPr>
        <w:footnoteReference w:id="14"/>
      </w:r>
    </w:p>
    <w:p w14:paraId="2CC33761" w14:textId="77777777" w:rsidR="00BE60F3" w:rsidRPr="00DC052A" w:rsidRDefault="00BE60F3" w:rsidP="00BE60F3">
      <w:pPr>
        <w:pStyle w:val="BodyTextMain"/>
        <w:rPr>
          <w:lang w:val="en-CA"/>
        </w:rPr>
      </w:pPr>
    </w:p>
    <w:p w14:paraId="5830449A" w14:textId="77777777" w:rsidR="00BE60F3" w:rsidRPr="00DC052A" w:rsidRDefault="00BE60F3" w:rsidP="00BE60F3">
      <w:pPr>
        <w:pStyle w:val="BodyTextMain"/>
        <w:rPr>
          <w:lang w:val="en-CA"/>
        </w:rPr>
      </w:pPr>
    </w:p>
    <w:p w14:paraId="4EC4A2E8" w14:textId="77777777" w:rsidR="00BE60F3" w:rsidRPr="00DC052A" w:rsidRDefault="00BE60F3" w:rsidP="00BE60F3">
      <w:pPr>
        <w:pStyle w:val="Casehead2"/>
        <w:rPr>
          <w:lang w:val="en-CA"/>
        </w:rPr>
      </w:pPr>
      <w:r w:rsidRPr="00DC052A">
        <w:rPr>
          <w:lang w:val="en-CA"/>
        </w:rPr>
        <w:t>Tailored Brands Inc.</w:t>
      </w:r>
    </w:p>
    <w:p w14:paraId="68AA8BC0" w14:textId="77777777" w:rsidR="00BE60F3" w:rsidRPr="00DC052A" w:rsidRDefault="00BE60F3" w:rsidP="00BE60F3">
      <w:pPr>
        <w:pStyle w:val="BodyTextMain"/>
        <w:rPr>
          <w:lang w:val="en-CA"/>
        </w:rPr>
      </w:pPr>
    </w:p>
    <w:p w14:paraId="71C02D0C" w14:textId="77777777" w:rsidR="00BE60F3" w:rsidRPr="00DC052A" w:rsidRDefault="00BE60F3" w:rsidP="00BE60F3">
      <w:pPr>
        <w:pStyle w:val="BodyTextMain"/>
        <w:rPr>
          <w:lang w:val="en-CA"/>
        </w:rPr>
      </w:pPr>
      <w:r w:rsidRPr="00DC052A">
        <w:rPr>
          <w:lang w:val="en-CA"/>
        </w:rPr>
        <w:t>TB owned a number of menswear brands, including Moores Clothing for Men (Moores), Men’s Wearhouse, K&amp;G Fashion Superstore (K&amp;G), and Jos. A. Bank. The Moores and Men’s Wearhouse retail locations offered affordable off-the-rack suits and formal wear. K&amp;G offered a value-oriented superstore approach for more price-sensitive customers. Jos. A. Bank was a higher-end off-the-rack experience for customers who were more affluent. Through its many brands, TB was able to target middle and upper-class clientele and had far-reaching brand recognition. In addition to selling suits and formal wear, all TB locations also offered suit rentals in an attempt to draw in first-time customers.</w:t>
      </w:r>
      <w:r w:rsidRPr="00DC052A">
        <w:rPr>
          <w:rStyle w:val="FootnoteReference"/>
          <w:lang w:val="en-CA"/>
        </w:rPr>
        <w:footnoteReference w:id="15"/>
      </w:r>
    </w:p>
    <w:p w14:paraId="748D1F91" w14:textId="77777777" w:rsidR="00BE60F3" w:rsidRPr="00DC052A" w:rsidRDefault="00BE60F3" w:rsidP="00BE60F3">
      <w:pPr>
        <w:pStyle w:val="BodyTextMain"/>
        <w:rPr>
          <w:lang w:val="en-CA"/>
        </w:rPr>
      </w:pPr>
    </w:p>
    <w:p w14:paraId="6500E167" w14:textId="77777777" w:rsidR="00BE60F3" w:rsidRPr="00DC052A" w:rsidRDefault="00BE60F3" w:rsidP="00BE60F3">
      <w:pPr>
        <w:pStyle w:val="BodyTextMain"/>
        <w:rPr>
          <w:lang w:val="en-CA"/>
        </w:rPr>
      </w:pPr>
      <w:r w:rsidRPr="00DC052A">
        <w:rPr>
          <w:lang w:val="en-CA"/>
        </w:rPr>
        <w:t>TB was the single largest player in the men’s suits and formal wear market, commanding 24 per cent market share and operating over 1,600 locations across North America.</w:t>
      </w:r>
      <w:r w:rsidRPr="00DC052A">
        <w:rPr>
          <w:rStyle w:val="FootnoteReference"/>
          <w:lang w:val="en-CA"/>
        </w:rPr>
        <w:footnoteReference w:id="16"/>
      </w:r>
      <w:r w:rsidRPr="00DC052A">
        <w:rPr>
          <w:lang w:val="en-CA"/>
        </w:rPr>
        <w:t xml:space="preserve"> In recent years, TB had actively expanded its offerings through acquisitions and partnerships. In 2012, TB began a partnership with David’s Bridal and TheKnot.com to grow both TB’s bridal business and online sales. In 2013, the company launched an exclusive men’s clothing line with Kenneth Cole Productions Inc., followed by the acquisition of Jos. A. Bank and all its 40 retail locations in June 2014.</w:t>
      </w:r>
      <w:r w:rsidRPr="00DC052A">
        <w:rPr>
          <w:rStyle w:val="FootnoteReference"/>
          <w:lang w:val="en-CA"/>
        </w:rPr>
        <w:footnoteReference w:id="17"/>
      </w:r>
      <w:r w:rsidRPr="00DC052A">
        <w:rPr>
          <w:lang w:val="en-CA"/>
        </w:rPr>
        <w:t xml:space="preserve"> With the addition of the Jos. A. Bank retailers, TB hoped to target a more affluent consumer group with these higher-end suit offerings.</w:t>
      </w:r>
      <w:r w:rsidRPr="00DC052A">
        <w:rPr>
          <w:rStyle w:val="FootnoteReference"/>
          <w:lang w:val="en-CA"/>
        </w:rPr>
        <w:footnoteReference w:id="18"/>
      </w:r>
    </w:p>
    <w:p w14:paraId="6AFC55FB" w14:textId="77777777" w:rsidR="00BE60F3" w:rsidRPr="00DC052A" w:rsidRDefault="00BE60F3" w:rsidP="00BE60F3">
      <w:pPr>
        <w:pStyle w:val="Casehead1"/>
        <w:rPr>
          <w:lang w:val="en-CA"/>
        </w:rPr>
      </w:pPr>
      <w:r w:rsidRPr="00DC052A">
        <w:rPr>
          <w:lang w:val="en-CA"/>
        </w:rPr>
        <w:lastRenderedPageBreak/>
        <w:t>Consumers</w:t>
      </w:r>
    </w:p>
    <w:p w14:paraId="6D7B7A30" w14:textId="77777777" w:rsidR="00BE60F3" w:rsidRPr="00DC052A" w:rsidRDefault="00BE60F3" w:rsidP="00BE60F3">
      <w:pPr>
        <w:pStyle w:val="BodyTextMain"/>
        <w:keepNext/>
        <w:rPr>
          <w:lang w:val="en-CA"/>
        </w:rPr>
      </w:pPr>
    </w:p>
    <w:p w14:paraId="350B74F4" w14:textId="77777777" w:rsidR="00BE60F3" w:rsidRPr="00DC052A" w:rsidRDefault="00BE60F3" w:rsidP="00BE60F3">
      <w:pPr>
        <w:pStyle w:val="BodyTextMain"/>
        <w:rPr>
          <w:lang w:val="en-CA"/>
        </w:rPr>
      </w:pPr>
      <w:r w:rsidRPr="00DC052A">
        <w:rPr>
          <w:lang w:val="en-CA"/>
        </w:rPr>
        <w:t>The Hudson St. Clair team had discussed three potential customer groups but were unsure of which group to target. Regardless of the group, almost all consumers preferred shopping for formal wear in person to verify the quality of the suit.</w:t>
      </w:r>
      <w:r w:rsidRPr="00DC052A">
        <w:rPr>
          <w:rStyle w:val="FootnoteReference"/>
          <w:lang w:val="en-CA"/>
        </w:rPr>
        <w:footnoteReference w:id="19"/>
      </w:r>
      <w:r w:rsidRPr="00DC052A">
        <w:rPr>
          <w:lang w:val="en-CA"/>
        </w:rPr>
        <w:t xml:space="preserve"> The majority of men viewed suits as an investment piece, designed to last many years, and prioritized quality at any price point. A high-quality suit was seen as one that fit well and was durably constructed from natural fabrics. Consumers tended to be white-collar workers who lived within 30 miles of a major city; this population usually required suits and formal wear for work.</w:t>
      </w:r>
    </w:p>
    <w:p w14:paraId="139295AD" w14:textId="77777777" w:rsidR="00BE60F3" w:rsidRPr="00DC052A" w:rsidRDefault="00BE60F3" w:rsidP="00BE60F3">
      <w:pPr>
        <w:pStyle w:val="BodyTextMain"/>
        <w:rPr>
          <w:lang w:val="en-CA"/>
        </w:rPr>
      </w:pPr>
    </w:p>
    <w:p w14:paraId="7984C9F0" w14:textId="77777777" w:rsidR="00BE60F3" w:rsidRPr="00DC052A" w:rsidRDefault="00BE60F3" w:rsidP="00BE60F3">
      <w:pPr>
        <w:pStyle w:val="BodyTextMain"/>
        <w:rPr>
          <w:lang w:val="en-CA"/>
        </w:rPr>
      </w:pPr>
    </w:p>
    <w:p w14:paraId="7643EFF3" w14:textId="77777777" w:rsidR="00BE60F3" w:rsidRPr="00DC052A" w:rsidRDefault="00BE60F3" w:rsidP="00BE60F3">
      <w:pPr>
        <w:pStyle w:val="Casehead2"/>
        <w:rPr>
          <w:lang w:val="en-CA"/>
        </w:rPr>
      </w:pPr>
      <w:r w:rsidRPr="00DC052A">
        <w:rPr>
          <w:lang w:val="en-CA"/>
        </w:rPr>
        <w:t>Young Professionals</w:t>
      </w:r>
    </w:p>
    <w:p w14:paraId="27592F8B" w14:textId="77777777" w:rsidR="00BE60F3" w:rsidRPr="00DC052A" w:rsidRDefault="00BE60F3" w:rsidP="00BE60F3">
      <w:pPr>
        <w:pStyle w:val="BodyTextMain"/>
        <w:rPr>
          <w:lang w:val="en-CA"/>
        </w:rPr>
      </w:pPr>
    </w:p>
    <w:p w14:paraId="2381C17D" w14:textId="77777777" w:rsidR="00BE60F3" w:rsidRPr="00DC052A" w:rsidRDefault="00BE60F3" w:rsidP="00BE60F3">
      <w:pPr>
        <w:pStyle w:val="BodyTextMain"/>
        <w:rPr>
          <w:lang w:val="en-CA"/>
        </w:rPr>
      </w:pPr>
      <w:r w:rsidRPr="00DC052A">
        <w:rPr>
          <w:lang w:val="en-CA"/>
        </w:rPr>
        <w:t>Initially, the co-founders designed the business with their MBA peers as their target customers. The founders defined their initial target market as male-identifying people aged 22 to 35 years with an average household income greater than $70,000. Silver and his co-founders estimated that 14 million of the 125 million households across the United States met these criteria.</w:t>
      </w:r>
      <w:r w:rsidRPr="00DC052A">
        <w:rPr>
          <w:rStyle w:val="FootnoteReference"/>
          <w:lang w:val="en-CA"/>
        </w:rPr>
        <w:footnoteReference w:id="20"/>
      </w:r>
    </w:p>
    <w:p w14:paraId="43E891A8" w14:textId="77777777" w:rsidR="00BE60F3" w:rsidRPr="00DC052A" w:rsidRDefault="00BE60F3" w:rsidP="00BE60F3">
      <w:pPr>
        <w:pStyle w:val="BodyTextMain"/>
        <w:rPr>
          <w:lang w:val="en-CA"/>
        </w:rPr>
      </w:pPr>
    </w:p>
    <w:p w14:paraId="4C28AB2E" w14:textId="77777777" w:rsidR="00BE60F3" w:rsidRPr="00DC052A" w:rsidRDefault="00BE60F3" w:rsidP="00BE60F3">
      <w:pPr>
        <w:pStyle w:val="BodyTextMain"/>
        <w:rPr>
          <w:lang w:val="en-CA"/>
        </w:rPr>
      </w:pPr>
      <w:r w:rsidRPr="00DC052A">
        <w:rPr>
          <w:lang w:val="en-CA"/>
        </w:rPr>
        <w:t>Based on survey data from a 2014 study, Betts noted that 45 per cent of men aged 25 to 34 years had purchased a suit in the past year, with 45 per cent being the largest percentage among all age groups.</w:t>
      </w:r>
      <w:r w:rsidRPr="00DC052A">
        <w:rPr>
          <w:rStyle w:val="FootnoteReference"/>
          <w:lang w:val="en-CA"/>
        </w:rPr>
        <w:footnoteReference w:id="21"/>
      </w:r>
      <w:r w:rsidRPr="00DC052A">
        <w:rPr>
          <w:lang w:val="en-CA"/>
        </w:rPr>
        <w:t xml:space="preserve"> Men in this age group were beginning their careers and had an immediate need to build a new work-appropriate wardrobe. In addition, this age group often needed to buy clothing for special occasions. As a result, most of the suit sales for this group happened during the summer months and in early September, reflecting the wedding season and most employment start dates. </w:t>
      </w:r>
    </w:p>
    <w:p w14:paraId="4F3BD2AF" w14:textId="77777777" w:rsidR="00BE60F3" w:rsidRPr="00DC052A" w:rsidRDefault="00BE60F3" w:rsidP="00BE60F3">
      <w:pPr>
        <w:pStyle w:val="BodyTextMain"/>
        <w:rPr>
          <w:lang w:val="en-CA"/>
        </w:rPr>
      </w:pPr>
    </w:p>
    <w:p w14:paraId="450E6EA6" w14:textId="77777777" w:rsidR="00BE60F3" w:rsidRPr="00DC052A" w:rsidRDefault="00BE60F3" w:rsidP="00BE60F3">
      <w:pPr>
        <w:pStyle w:val="BodyTextMain"/>
        <w:rPr>
          <w:lang w:val="en-CA"/>
        </w:rPr>
      </w:pPr>
      <w:r w:rsidRPr="00DC052A">
        <w:rPr>
          <w:lang w:val="en-CA"/>
        </w:rPr>
        <w:t>While most men dressed for comfort, younger men were more likely to draw inspiration from clothing in magazines or on social media in order to be trendsetters. As a result, they were less brand loyal and were more open to trying new stores if the store offered a unique style.</w:t>
      </w:r>
    </w:p>
    <w:p w14:paraId="55B79F6F" w14:textId="77777777" w:rsidR="00BE60F3" w:rsidRPr="00DC052A" w:rsidRDefault="00BE60F3" w:rsidP="00BE60F3">
      <w:pPr>
        <w:pStyle w:val="BodyTextMain"/>
        <w:rPr>
          <w:lang w:val="en-CA"/>
        </w:rPr>
      </w:pPr>
    </w:p>
    <w:p w14:paraId="006C49F5" w14:textId="77777777" w:rsidR="00BE60F3" w:rsidRPr="00DC052A" w:rsidRDefault="00BE60F3" w:rsidP="00BE60F3">
      <w:pPr>
        <w:pStyle w:val="BodyTextMain"/>
        <w:rPr>
          <w:lang w:val="en-CA"/>
        </w:rPr>
      </w:pPr>
    </w:p>
    <w:p w14:paraId="555DED4E" w14:textId="77777777" w:rsidR="00BE60F3" w:rsidRPr="00DC052A" w:rsidRDefault="00BE60F3" w:rsidP="00BE60F3">
      <w:pPr>
        <w:pStyle w:val="Casehead2"/>
        <w:rPr>
          <w:lang w:val="en-CA"/>
        </w:rPr>
      </w:pPr>
      <w:r w:rsidRPr="00DC052A">
        <w:rPr>
          <w:lang w:val="en-CA"/>
        </w:rPr>
        <w:t>Affluent Middle-Aged Professionals</w:t>
      </w:r>
    </w:p>
    <w:p w14:paraId="0F65B71C" w14:textId="77777777" w:rsidR="00BE60F3" w:rsidRPr="00DC052A" w:rsidRDefault="00BE60F3" w:rsidP="00BE60F3">
      <w:pPr>
        <w:pStyle w:val="BodyTextMain"/>
        <w:keepNext/>
        <w:rPr>
          <w:lang w:val="en-CA"/>
        </w:rPr>
      </w:pPr>
    </w:p>
    <w:p w14:paraId="4C2E7015" w14:textId="77777777" w:rsidR="00BE60F3" w:rsidRPr="00DC052A" w:rsidRDefault="00BE60F3" w:rsidP="00BE60F3">
      <w:pPr>
        <w:pStyle w:val="BodyTextMain"/>
        <w:rPr>
          <w:spacing w:val="-2"/>
          <w:lang w:val="en-CA"/>
        </w:rPr>
      </w:pPr>
      <w:r w:rsidRPr="00DC052A">
        <w:rPr>
          <w:spacing w:val="-2"/>
          <w:lang w:val="en-CA"/>
        </w:rPr>
        <w:t>The co-founders thought that there might also be an opportunity to target men aged 35 to 55 years who had the highest household incomes of over $150,000 per year. Based on their research, Silver and his co-founders estimated that there were approximately 17 million households in the United States that met these criteria.</w:t>
      </w:r>
      <w:r w:rsidRPr="00DC052A">
        <w:rPr>
          <w:rStyle w:val="FootnoteReference"/>
          <w:spacing w:val="-2"/>
          <w:lang w:val="en-CA"/>
        </w:rPr>
        <w:footnoteReference w:id="22"/>
      </w:r>
      <w:r w:rsidRPr="00DC052A">
        <w:rPr>
          <w:spacing w:val="-2"/>
          <w:lang w:val="en-CA"/>
        </w:rPr>
        <w:t xml:space="preserve"> </w:t>
      </w:r>
    </w:p>
    <w:p w14:paraId="2C8EB756" w14:textId="77777777" w:rsidR="00BE60F3" w:rsidRPr="00DC052A" w:rsidRDefault="00BE60F3" w:rsidP="00BE60F3">
      <w:pPr>
        <w:pStyle w:val="BodyTextMain"/>
        <w:rPr>
          <w:lang w:val="en-CA"/>
        </w:rPr>
      </w:pPr>
    </w:p>
    <w:p w14:paraId="7A1C32AF" w14:textId="77777777" w:rsidR="00BE60F3" w:rsidRPr="00DC052A" w:rsidRDefault="00BE60F3" w:rsidP="00BE60F3">
      <w:pPr>
        <w:pStyle w:val="BodyTextMain"/>
        <w:rPr>
          <w:lang w:val="en-CA"/>
        </w:rPr>
      </w:pPr>
      <w:r w:rsidRPr="00DC052A">
        <w:rPr>
          <w:lang w:val="en-CA"/>
        </w:rPr>
        <w:t>These men were the most likely to have purchased new clothing in the past year due to their higher disposable incomes and greater social and professional obligations. Unlike their younger counterparts, middle-aged professionals tended to purchase clothing to replace something old or worn out, rather than to update their wardrobes. Curiously, despite having higher incomes, these men tended to be more price sensitive. This customer group would purchase items if they were on sale or if the men had some sort of coupon or special offer.</w:t>
      </w:r>
      <w:r w:rsidRPr="00DC052A">
        <w:rPr>
          <w:rStyle w:val="FootnoteReference"/>
          <w:lang w:val="en-CA"/>
        </w:rPr>
        <w:footnoteReference w:id="23"/>
      </w:r>
      <w:r w:rsidRPr="00DC052A">
        <w:rPr>
          <w:lang w:val="en-CA"/>
        </w:rPr>
        <w:t xml:space="preserve"> </w:t>
      </w:r>
    </w:p>
    <w:p w14:paraId="26D1589D" w14:textId="77777777" w:rsidR="00BE60F3" w:rsidRPr="00DC052A" w:rsidRDefault="00BE60F3" w:rsidP="00BE60F3">
      <w:pPr>
        <w:pStyle w:val="BodyTextMain"/>
        <w:rPr>
          <w:lang w:val="en-CA"/>
        </w:rPr>
      </w:pPr>
    </w:p>
    <w:p w14:paraId="48414E62" w14:textId="77777777" w:rsidR="00BE60F3" w:rsidRPr="00DC052A" w:rsidRDefault="00BE60F3" w:rsidP="00BE60F3">
      <w:pPr>
        <w:pStyle w:val="BodyTextMain"/>
        <w:rPr>
          <w:lang w:val="en-CA"/>
        </w:rPr>
      </w:pPr>
      <w:r w:rsidRPr="00DC052A">
        <w:rPr>
          <w:lang w:val="en-CA"/>
        </w:rPr>
        <w:t>Over 50 per cent of the men in this age bracket stated that they tended to visit the same few stores when purchasing clothing and that they were wary to try new clothing stores. When trying a new store, these customers relied on word-of-mouth marketing and referrals from colleagues and friends.</w:t>
      </w:r>
      <w:r w:rsidRPr="00DC052A">
        <w:rPr>
          <w:rStyle w:val="FootnoteReference"/>
          <w:lang w:val="en-CA"/>
        </w:rPr>
        <w:footnoteReference w:id="24"/>
      </w:r>
    </w:p>
    <w:p w14:paraId="0C68ED28" w14:textId="77777777" w:rsidR="00BE60F3" w:rsidRPr="00DC052A" w:rsidRDefault="00BE60F3" w:rsidP="00BE60F3">
      <w:pPr>
        <w:pStyle w:val="BodyTextMain"/>
        <w:rPr>
          <w:lang w:val="en-CA"/>
        </w:rPr>
      </w:pPr>
    </w:p>
    <w:p w14:paraId="305ECC0F" w14:textId="77777777" w:rsidR="00BE60F3" w:rsidRPr="00DC052A" w:rsidRDefault="00BE60F3" w:rsidP="00BE60F3">
      <w:pPr>
        <w:pStyle w:val="BodyTextMain"/>
        <w:rPr>
          <w:lang w:val="en-CA"/>
        </w:rPr>
      </w:pPr>
    </w:p>
    <w:p w14:paraId="3FC71B97" w14:textId="77777777" w:rsidR="00BE60F3" w:rsidRPr="00DC052A" w:rsidRDefault="00BE60F3" w:rsidP="00BE60F3">
      <w:pPr>
        <w:pStyle w:val="Casehead2"/>
        <w:rPr>
          <w:b w:val="0"/>
          <w:lang w:val="en-CA"/>
        </w:rPr>
      </w:pPr>
      <w:r w:rsidRPr="00DC052A">
        <w:rPr>
          <w:lang w:val="en-CA"/>
        </w:rPr>
        <w:t>Spouses and Partners</w:t>
      </w:r>
    </w:p>
    <w:p w14:paraId="547A35EA" w14:textId="77777777" w:rsidR="00BE60F3" w:rsidRPr="00DC052A" w:rsidRDefault="00BE60F3" w:rsidP="00BE60F3">
      <w:pPr>
        <w:pStyle w:val="BodyTextMain"/>
        <w:rPr>
          <w:lang w:val="en-CA"/>
        </w:rPr>
      </w:pPr>
    </w:p>
    <w:p w14:paraId="6F73257A" w14:textId="77777777" w:rsidR="00BE60F3" w:rsidRPr="00DC052A" w:rsidRDefault="00BE60F3" w:rsidP="00BE60F3">
      <w:pPr>
        <w:pStyle w:val="BodyTextMain"/>
        <w:rPr>
          <w:lang w:val="en-CA"/>
        </w:rPr>
      </w:pPr>
      <w:r w:rsidRPr="00DC052A">
        <w:rPr>
          <w:lang w:val="en-CA"/>
        </w:rPr>
        <w:t>Both young and middle-aged professionals turned to their spouses or partners for help with making purchasing decisions when shopping. Of women aged 25 to 34 years, 62 per cent had bought clothing for their spouses or partners. Most clothing purchased for men by women was for special events or occasions. Younger men consulted their partners or spouses regularly for clothing purchases. In the middle-aged group, men with higher household incomes would typically create wish lists for their partners to use when shopping but were less likely to consider their partners’ opinions when purchasing new clothing.</w:t>
      </w:r>
      <w:r w:rsidRPr="00DC052A">
        <w:rPr>
          <w:rStyle w:val="FootnoteReference"/>
          <w:lang w:val="en-CA"/>
        </w:rPr>
        <w:footnoteReference w:id="25"/>
      </w:r>
    </w:p>
    <w:p w14:paraId="2F71A07F" w14:textId="77777777" w:rsidR="00BE60F3" w:rsidRPr="00DC052A" w:rsidRDefault="00BE60F3" w:rsidP="00BE60F3">
      <w:pPr>
        <w:pStyle w:val="BodyTextMain"/>
        <w:rPr>
          <w:lang w:val="en-CA"/>
        </w:rPr>
      </w:pPr>
    </w:p>
    <w:p w14:paraId="3527069F" w14:textId="77777777" w:rsidR="00BE60F3" w:rsidRPr="00DC052A" w:rsidRDefault="00BE60F3" w:rsidP="00BE60F3">
      <w:pPr>
        <w:pStyle w:val="BodyTextMain"/>
        <w:rPr>
          <w:lang w:val="en-CA"/>
        </w:rPr>
      </w:pPr>
    </w:p>
    <w:p w14:paraId="3535DD7A" w14:textId="77777777" w:rsidR="00BE60F3" w:rsidRPr="00DC052A" w:rsidRDefault="00BE60F3" w:rsidP="00BE60F3">
      <w:pPr>
        <w:pStyle w:val="Casehead1"/>
        <w:rPr>
          <w:lang w:val="en-CA"/>
        </w:rPr>
      </w:pPr>
      <w:r w:rsidRPr="00DC052A">
        <w:rPr>
          <w:lang w:val="en-CA"/>
        </w:rPr>
        <w:t>Marketing Plan</w:t>
      </w:r>
    </w:p>
    <w:p w14:paraId="6E7E5162" w14:textId="77777777" w:rsidR="00BE60F3" w:rsidRPr="00DC052A" w:rsidRDefault="00BE60F3" w:rsidP="00BE60F3">
      <w:pPr>
        <w:pStyle w:val="BodyTextMain"/>
        <w:rPr>
          <w:lang w:val="en-CA"/>
        </w:rPr>
      </w:pPr>
    </w:p>
    <w:p w14:paraId="7F05020D" w14:textId="77777777" w:rsidR="00BE60F3" w:rsidRPr="00DC052A" w:rsidRDefault="00BE60F3" w:rsidP="00BE60F3">
      <w:pPr>
        <w:pStyle w:val="Casehead2"/>
        <w:rPr>
          <w:lang w:val="en-CA"/>
        </w:rPr>
      </w:pPr>
      <w:r w:rsidRPr="00DC052A">
        <w:rPr>
          <w:lang w:val="en-CA"/>
        </w:rPr>
        <w:t>Product and Price</w:t>
      </w:r>
    </w:p>
    <w:p w14:paraId="7E2CAAD3" w14:textId="77777777" w:rsidR="00BE60F3" w:rsidRPr="00DC052A" w:rsidRDefault="00BE60F3" w:rsidP="00BE60F3">
      <w:pPr>
        <w:pStyle w:val="BodyTextMain"/>
        <w:rPr>
          <w:lang w:val="en-CA"/>
        </w:rPr>
      </w:pPr>
    </w:p>
    <w:p w14:paraId="12A25578" w14:textId="77777777" w:rsidR="00BE60F3" w:rsidRPr="00DC052A" w:rsidRDefault="00BE60F3" w:rsidP="00BE60F3">
      <w:pPr>
        <w:pStyle w:val="BodyTextMain"/>
        <w:rPr>
          <w:lang w:val="en-CA"/>
        </w:rPr>
      </w:pPr>
      <w:r w:rsidRPr="00DC052A">
        <w:rPr>
          <w:lang w:val="en-CA"/>
        </w:rPr>
        <w:t xml:space="preserve">Silver and his co-founders wanted to provide timeless made-to-measure suits with modern flair that emulated trends in designer clothing. Hudson St. Clair planned to sell three levels of customization (see Exhibit 2). The Albert suit would offer limited customization. The Balthazar suit used higher-end fabrics and offered greater customization than the Albert. Lastly, the Charles offering was a tuxedo for formal events. The Charles offered satin lapels in addition to the high degree of customization offered in the Balthazar offering. </w:t>
      </w:r>
    </w:p>
    <w:p w14:paraId="78B596F6" w14:textId="77777777" w:rsidR="00BE60F3" w:rsidRPr="00DC052A" w:rsidRDefault="00BE60F3" w:rsidP="00BE60F3">
      <w:pPr>
        <w:pStyle w:val="BodyTextMain"/>
        <w:rPr>
          <w:lang w:val="en-CA"/>
        </w:rPr>
      </w:pPr>
    </w:p>
    <w:p w14:paraId="696D4850" w14:textId="77777777" w:rsidR="00BE60F3" w:rsidRPr="00DC052A" w:rsidRDefault="00BE60F3" w:rsidP="00BE60F3">
      <w:pPr>
        <w:pStyle w:val="BodyTextMain"/>
        <w:rPr>
          <w:lang w:val="en-CA"/>
        </w:rPr>
      </w:pPr>
      <w:r w:rsidRPr="00DC052A">
        <w:rPr>
          <w:lang w:val="en-CA"/>
        </w:rPr>
        <w:t>Hudson St. Clair had surveyed 221 respondents and collected some pricing data (see Exhibit 3). Based on the survey data, Hudson St. Clair set the price for the Albert suit at $600, the Balthazar suit at $700, and the Charles suit at $850. For each suit, the team planned to charge a flat fee that would include all customization at that level.</w:t>
      </w:r>
    </w:p>
    <w:p w14:paraId="207C031A" w14:textId="77777777" w:rsidR="00BE60F3" w:rsidRPr="00DC052A" w:rsidRDefault="00BE60F3" w:rsidP="00BE60F3">
      <w:pPr>
        <w:pStyle w:val="BodyTextMain"/>
        <w:rPr>
          <w:lang w:val="en-CA"/>
        </w:rPr>
      </w:pPr>
    </w:p>
    <w:p w14:paraId="508FAE59" w14:textId="77777777" w:rsidR="00BE60F3" w:rsidRPr="00DC052A" w:rsidRDefault="00BE60F3" w:rsidP="00BE60F3">
      <w:pPr>
        <w:pStyle w:val="BodyTextMain"/>
        <w:rPr>
          <w:lang w:val="en-CA"/>
        </w:rPr>
      </w:pPr>
    </w:p>
    <w:p w14:paraId="33206520" w14:textId="77777777" w:rsidR="00BE60F3" w:rsidRPr="00DC052A" w:rsidRDefault="00BE60F3" w:rsidP="00BE60F3">
      <w:pPr>
        <w:pStyle w:val="Casehead2"/>
        <w:rPr>
          <w:lang w:val="en-CA"/>
        </w:rPr>
      </w:pPr>
      <w:r w:rsidRPr="00DC052A">
        <w:rPr>
          <w:lang w:val="en-CA"/>
        </w:rPr>
        <w:t>Placement</w:t>
      </w:r>
    </w:p>
    <w:p w14:paraId="7CD43977" w14:textId="77777777" w:rsidR="00BE60F3" w:rsidRPr="00DC052A" w:rsidRDefault="00BE60F3" w:rsidP="00BE60F3">
      <w:pPr>
        <w:pStyle w:val="BodyTextMain"/>
        <w:rPr>
          <w:lang w:val="en-CA"/>
        </w:rPr>
      </w:pPr>
    </w:p>
    <w:p w14:paraId="74AD76F3" w14:textId="77777777" w:rsidR="00BE60F3" w:rsidRPr="00DC052A" w:rsidRDefault="00BE60F3" w:rsidP="00BE60F3">
      <w:pPr>
        <w:pStyle w:val="BodyTextMain"/>
        <w:rPr>
          <w:lang w:val="en-CA"/>
        </w:rPr>
      </w:pPr>
      <w:r w:rsidRPr="00DC052A">
        <w:rPr>
          <w:lang w:val="en-CA"/>
        </w:rPr>
        <w:t>Hudson St. Clair would only sell the suits online through its website. The team did not have the expertise or resources to contact retailers to gain access to brick-and-mortar stores. If customers wanted to obtain professional measurements, they could approach their local tailor for help. The customer-selected tailor would receive a commission fee from Hudson St. Clair in exchange for helping the customer.</w:t>
      </w:r>
    </w:p>
    <w:p w14:paraId="3DB937B2" w14:textId="77777777" w:rsidR="00BE60F3" w:rsidRPr="00DC052A" w:rsidRDefault="00BE60F3" w:rsidP="00BE60F3">
      <w:pPr>
        <w:pStyle w:val="BodyTextMain"/>
        <w:rPr>
          <w:lang w:val="en-CA"/>
        </w:rPr>
      </w:pPr>
    </w:p>
    <w:p w14:paraId="059A8567" w14:textId="77777777" w:rsidR="00BE60F3" w:rsidRPr="00DC052A" w:rsidRDefault="00BE60F3" w:rsidP="00BE60F3">
      <w:pPr>
        <w:pStyle w:val="BodyTextMain"/>
        <w:rPr>
          <w:lang w:val="en-CA"/>
        </w:rPr>
      </w:pPr>
    </w:p>
    <w:p w14:paraId="13FC7CD0" w14:textId="77777777" w:rsidR="00BE60F3" w:rsidRPr="00DC052A" w:rsidRDefault="00BE60F3" w:rsidP="00BE60F3">
      <w:pPr>
        <w:pStyle w:val="Casehead2"/>
        <w:rPr>
          <w:lang w:val="en-CA"/>
        </w:rPr>
      </w:pPr>
      <w:r w:rsidRPr="00DC052A">
        <w:rPr>
          <w:lang w:val="en-CA"/>
        </w:rPr>
        <w:t>Promotion</w:t>
      </w:r>
    </w:p>
    <w:p w14:paraId="584CFA79" w14:textId="77777777" w:rsidR="00BE60F3" w:rsidRPr="00DC052A" w:rsidRDefault="00BE60F3" w:rsidP="00BE60F3">
      <w:pPr>
        <w:pStyle w:val="BodyTextMain"/>
        <w:rPr>
          <w:lang w:val="en-CA"/>
        </w:rPr>
      </w:pPr>
    </w:p>
    <w:p w14:paraId="1C31D5AB" w14:textId="77777777" w:rsidR="00BE60F3" w:rsidRPr="00DC052A" w:rsidRDefault="00BE60F3" w:rsidP="00BE60F3">
      <w:pPr>
        <w:pStyle w:val="BodyTextMain"/>
        <w:rPr>
          <w:lang w:val="en-CA"/>
        </w:rPr>
      </w:pPr>
      <w:r w:rsidRPr="00DC052A">
        <w:rPr>
          <w:lang w:val="en-CA"/>
        </w:rPr>
        <w:t>None of the founders had experience in marketing; this was one area of weakness for the founding team. They knew that the business would need a strong online presence and had prioritized online marketing channels; however, they also wanted to ensure that their marketing plan would match their target demographic, so they were willing to invest in other forms of advertising if necessary.</w:t>
      </w:r>
    </w:p>
    <w:p w14:paraId="3EDEAF34" w14:textId="77777777" w:rsidR="00BE60F3" w:rsidRPr="00DC052A" w:rsidRDefault="00BE60F3" w:rsidP="00BE60F3">
      <w:pPr>
        <w:pStyle w:val="BodyTextMain"/>
        <w:rPr>
          <w:lang w:val="en-CA"/>
        </w:rPr>
      </w:pPr>
    </w:p>
    <w:p w14:paraId="7FF42C90" w14:textId="77777777" w:rsidR="00BE60F3" w:rsidRPr="00DC052A" w:rsidRDefault="00BE60F3" w:rsidP="00BE60F3">
      <w:pPr>
        <w:pStyle w:val="BodyTextMain"/>
        <w:rPr>
          <w:lang w:val="en-CA"/>
        </w:rPr>
      </w:pPr>
      <w:r w:rsidRPr="00DC052A">
        <w:rPr>
          <w:lang w:val="en-CA"/>
        </w:rPr>
        <w:t>Betts believed that Instagram was the largest platform for clothing stores. The visual nature of the platform would allow Hudson St. Clair to highlight its suits, and it often led to higher conversion rates compared to other forms of advertising. As a bonus, both Instagram and Facebook used the same advertising management dashboard, so Betts would only have to manage one dashboard for both advertising methods. Facebook and Instagram allowed granular targeting options based on geography, gender, age, and interests. In both cases, Betts would need to decide whether to use cost-per-click (CPC) or cost-per-thousand (CPM) advertising.</w:t>
      </w:r>
      <w:r w:rsidRPr="00DC052A">
        <w:rPr>
          <w:rStyle w:val="FootnoteReference"/>
          <w:lang w:val="en-CA"/>
        </w:rPr>
        <w:footnoteReference w:id="26"/>
      </w:r>
      <w:r w:rsidRPr="00DC052A">
        <w:rPr>
          <w:lang w:val="en-CA"/>
        </w:rPr>
        <w:t xml:space="preserve"> For Instagram, the median CPC was $1.28 and the median CPM was $6.70. For Facebook, the median CPC was $0.51 and the median CPM was $5.76.</w:t>
      </w:r>
      <w:r w:rsidRPr="00DC052A">
        <w:rPr>
          <w:rStyle w:val="FootnoteReference"/>
          <w:lang w:val="en-CA"/>
        </w:rPr>
        <w:footnoteReference w:id="27"/>
      </w:r>
    </w:p>
    <w:p w14:paraId="555E85E0" w14:textId="77777777" w:rsidR="00BE60F3" w:rsidRPr="00DC052A" w:rsidRDefault="00BE60F3" w:rsidP="00BE60F3">
      <w:pPr>
        <w:pStyle w:val="BodyTextMain"/>
        <w:rPr>
          <w:lang w:val="en-CA"/>
        </w:rPr>
      </w:pPr>
    </w:p>
    <w:p w14:paraId="2642BC11" w14:textId="77777777" w:rsidR="00BE60F3" w:rsidRPr="00DC052A" w:rsidRDefault="00BE60F3" w:rsidP="00BE60F3">
      <w:pPr>
        <w:pStyle w:val="BodyTextMain"/>
        <w:rPr>
          <w:lang w:val="en-CA"/>
        </w:rPr>
      </w:pPr>
      <w:r w:rsidRPr="00DC052A">
        <w:rPr>
          <w:lang w:val="en-CA"/>
        </w:rPr>
        <w:t>Betts also investigated Google AdWords, which charged on a CPC basis for each time someone clicked the domain link. Rather than using demographic information to identify a specific audience, AdWords identified consumers by their Google search terms (words). Betts would need to define keywords that he believed would relate to users looking for suits. He estimated that this approach would cost $0.88 per click.</w:t>
      </w:r>
      <w:r w:rsidRPr="00DC052A">
        <w:rPr>
          <w:rStyle w:val="FootnoteReference"/>
          <w:lang w:val="en-CA"/>
        </w:rPr>
        <w:footnoteReference w:id="28"/>
      </w:r>
    </w:p>
    <w:p w14:paraId="69359BE9" w14:textId="77777777" w:rsidR="00BE60F3" w:rsidRPr="00DC052A" w:rsidRDefault="00BE60F3" w:rsidP="00BE60F3">
      <w:pPr>
        <w:pStyle w:val="BodyTextMain"/>
        <w:rPr>
          <w:lang w:val="en-CA"/>
        </w:rPr>
      </w:pPr>
    </w:p>
    <w:p w14:paraId="48AB1B47" w14:textId="77777777" w:rsidR="00BE60F3" w:rsidRPr="00DC052A" w:rsidRDefault="00BE60F3" w:rsidP="00BE60F3">
      <w:pPr>
        <w:pStyle w:val="BodyTextMain"/>
        <w:rPr>
          <w:lang w:val="en-CA"/>
        </w:rPr>
      </w:pPr>
      <w:r w:rsidRPr="00DC052A">
        <w:rPr>
          <w:lang w:val="en-CA"/>
        </w:rPr>
        <w:t xml:space="preserve">Betts also wanted to ensure that Hudson St. Clair established credibility with the greatest sartorial magazines. Specifically, Betts began looking into advertising in </w:t>
      </w:r>
      <w:r w:rsidRPr="00DC052A">
        <w:rPr>
          <w:i/>
          <w:iCs/>
          <w:lang w:val="en-CA"/>
        </w:rPr>
        <w:t>GQ</w:t>
      </w:r>
      <w:r w:rsidRPr="00DC052A">
        <w:rPr>
          <w:lang w:val="en-CA"/>
        </w:rPr>
        <w:t xml:space="preserve"> magazine, a premier monthly men’s style and culture magazine. The median age for a </w:t>
      </w:r>
      <w:r w:rsidRPr="00DC052A">
        <w:rPr>
          <w:i/>
          <w:iCs/>
          <w:lang w:val="en-CA"/>
        </w:rPr>
        <w:t>GQ</w:t>
      </w:r>
      <w:r w:rsidRPr="00DC052A">
        <w:rPr>
          <w:lang w:val="en-CA"/>
        </w:rPr>
        <w:t xml:space="preserve"> reader was 37 years; the average household income was $102,980. </w:t>
      </w:r>
      <w:r w:rsidRPr="00DC052A">
        <w:rPr>
          <w:i/>
          <w:iCs/>
          <w:lang w:val="en-CA"/>
        </w:rPr>
        <w:t>GQ</w:t>
      </w:r>
      <w:r w:rsidRPr="00DC052A">
        <w:rPr>
          <w:lang w:val="en-CA"/>
        </w:rPr>
        <w:t xml:space="preserve"> had an audience of over 6.4 million people, with 73 per cent identifying as male.</w:t>
      </w:r>
      <w:r w:rsidRPr="00DC052A">
        <w:rPr>
          <w:rStyle w:val="FootnoteReference"/>
          <w:lang w:val="en-CA"/>
        </w:rPr>
        <w:footnoteReference w:id="29"/>
      </w:r>
      <w:r w:rsidRPr="00DC052A">
        <w:rPr>
          <w:lang w:val="en-CA"/>
        </w:rPr>
        <w:t xml:space="preserve"> </w:t>
      </w:r>
      <w:r w:rsidRPr="00DC052A">
        <w:rPr>
          <w:i/>
          <w:iCs/>
          <w:lang w:val="en-CA"/>
        </w:rPr>
        <w:t>GQ</w:t>
      </w:r>
      <w:r w:rsidRPr="00DC052A">
        <w:rPr>
          <w:lang w:val="en-CA"/>
        </w:rPr>
        <w:t xml:space="preserve"> sold a full-page advertisement for $2,100 per state, per issue. This charge did not include the $5,000 that Betts estimated he would need to invest to develop magazine-worthy photos. When purchasing the </w:t>
      </w:r>
      <w:r w:rsidRPr="00DC052A">
        <w:rPr>
          <w:i/>
          <w:iCs/>
          <w:lang w:val="en-CA"/>
        </w:rPr>
        <w:t>GQ</w:t>
      </w:r>
      <w:r w:rsidRPr="00DC052A">
        <w:rPr>
          <w:lang w:val="en-CA"/>
        </w:rPr>
        <w:t xml:space="preserve"> advertisements, Betts would need to specify which US states and months to run the advertisements.</w:t>
      </w:r>
    </w:p>
    <w:p w14:paraId="67424044" w14:textId="77777777" w:rsidR="00BE60F3" w:rsidRPr="00DC052A" w:rsidRDefault="00BE60F3" w:rsidP="00BE60F3">
      <w:pPr>
        <w:pStyle w:val="BodyTextMain"/>
        <w:rPr>
          <w:lang w:val="en-CA"/>
        </w:rPr>
      </w:pPr>
    </w:p>
    <w:p w14:paraId="73A869DC" w14:textId="77777777" w:rsidR="00BE60F3" w:rsidRPr="00DC052A" w:rsidRDefault="00BE60F3" w:rsidP="00BE60F3">
      <w:pPr>
        <w:pStyle w:val="BodyTextMain"/>
        <w:rPr>
          <w:lang w:val="en-CA"/>
        </w:rPr>
      </w:pPr>
    </w:p>
    <w:p w14:paraId="1EF2121D" w14:textId="77777777" w:rsidR="00BE60F3" w:rsidRPr="00DC052A" w:rsidRDefault="00BE60F3" w:rsidP="00BE60F3">
      <w:pPr>
        <w:pStyle w:val="Casehead1"/>
        <w:rPr>
          <w:lang w:val="en-CA"/>
        </w:rPr>
      </w:pPr>
      <w:r w:rsidRPr="00DC052A">
        <w:rPr>
          <w:lang w:val="en-CA"/>
        </w:rPr>
        <w:t>The First Three years</w:t>
      </w:r>
    </w:p>
    <w:p w14:paraId="47AD994F" w14:textId="77777777" w:rsidR="00BE60F3" w:rsidRPr="00DC052A" w:rsidRDefault="00BE60F3" w:rsidP="00BE60F3">
      <w:pPr>
        <w:pStyle w:val="BodyTextMain"/>
        <w:rPr>
          <w:lang w:val="en-CA"/>
        </w:rPr>
      </w:pPr>
    </w:p>
    <w:p w14:paraId="69DF3D12" w14:textId="77777777" w:rsidR="00BE60F3" w:rsidRPr="00DC052A" w:rsidRDefault="00BE60F3" w:rsidP="00BE60F3">
      <w:pPr>
        <w:pStyle w:val="BodyTextMain"/>
        <w:rPr>
          <w:lang w:val="en-CA"/>
        </w:rPr>
      </w:pPr>
      <w:r w:rsidRPr="00DC052A">
        <w:rPr>
          <w:lang w:val="en-CA"/>
        </w:rPr>
        <w:t>The Hudson St. Clair team knew that start-up companies usually took a few years to gain traction, so they wanted to project a statement of earnings, a cash budget, and a statement of financial position for each of the venture’s first three years, using March 1st as Hudson St. Clair’s fiscal year beginning.</w:t>
      </w:r>
    </w:p>
    <w:p w14:paraId="3436BF6B" w14:textId="77777777" w:rsidR="00BE60F3" w:rsidRPr="00DC052A" w:rsidRDefault="00BE60F3" w:rsidP="00BE60F3">
      <w:pPr>
        <w:pStyle w:val="BodyTextMain"/>
        <w:rPr>
          <w:lang w:val="en-CA"/>
        </w:rPr>
      </w:pPr>
    </w:p>
    <w:p w14:paraId="335A4A95" w14:textId="77777777" w:rsidR="00BE60F3" w:rsidRPr="00DC052A" w:rsidRDefault="00BE60F3" w:rsidP="00BE60F3">
      <w:pPr>
        <w:pStyle w:val="BodyTextMain"/>
        <w:rPr>
          <w:lang w:val="en-CA"/>
        </w:rPr>
      </w:pPr>
    </w:p>
    <w:p w14:paraId="29EC0062" w14:textId="77777777" w:rsidR="00BE60F3" w:rsidRPr="00DC052A" w:rsidRDefault="00BE60F3" w:rsidP="00BE60F3">
      <w:pPr>
        <w:pStyle w:val="Casehead2"/>
        <w:rPr>
          <w:lang w:val="en-CA"/>
        </w:rPr>
      </w:pPr>
      <w:r w:rsidRPr="00DC052A">
        <w:rPr>
          <w:lang w:val="en-CA"/>
        </w:rPr>
        <w:t>Revenues</w:t>
      </w:r>
    </w:p>
    <w:p w14:paraId="5DD789AA" w14:textId="77777777" w:rsidR="00BE60F3" w:rsidRPr="00DC052A" w:rsidRDefault="00BE60F3" w:rsidP="00BE60F3">
      <w:pPr>
        <w:pStyle w:val="BodyTextMain"/>
        <w:rPr>
          <w:lang w:val="en-CA"/>
        </w:rPr>
      </w:pPr>
    </w:p>
    <w:p w14:paraId="30C92556" w14:textId="77777777" w:rsidR="00BE60F3" w:rsidRPr="00DC052A" w:rsidRDefault="00BE60F3" w:rsidP="00BE60F3">
      <w:pPr>
        <w:pStyle w:val="BodyTextMain"/>
        <w:rPr>
          <w:lang w:val="en-CA"/>
        </w:rPr>
      </w:pPr>
      <w:r w:rsidRPr="00DC052A">
        <w:rPr>
          <w:lang w:val="en-CA"/>
        </w:rPr>
        <w:t>Remmler estimated that Hudson St. Clair would sell between 660 and 1,030 suits in the first year, subject to seasonality and higher sales in the summer months for the wedding season (see Exhibit 4). Remmler thought that the Albert suits would represent 60 per cent of suits purchased, with the remainder split evenly between the Balthazar and Charles suits. In the first year, Remmler planned to stock an inventory equivalent to 310 suits for both the high and low scenarios. In the low scenario, he planned to increase the inventory by 100 suits per year. In the high scenario, he would need to increase the inventory by 200 suits per year to match the higher sales level. The first inventory order and all subsequent increases to inventory would be ordered in the first month of the fiscal year.</w:t>
      </w:r>
    </w:p>
    <w:p w14:paraId="2FAA2145" w14:textId="77777777" w:rsidR="00BE60F3" w:rsidRPr="00DC052A" w:rsidRDefault="00BE60F3" w:rsidP="00BE60F3">
      <w:pPr>
        <w:pStyle w:val="BodyTextMain"/>
        <w:rPr>
          <w:lang w:val="en-CA"/>
        </w:rPr>
      </w:pPr>
    </w:p>
    <w:p w14:paraId="2CCB236B" w14:textId="77777777" w:rsidR="00BE60F3" w:rsidRPr="00DC052A" w:rsidRDefault="00BE60F3" w:rsidP="00BE60F3">
      <w:pPr>
        <w:pStyle w:val="BodyTextMain"/>
        <w:rPr>
          <w:lang w:val="en-CA"/>
        </w:rPr>
      </w:pPr>
      <w:r w:rsidRPr="00DC052A">
        <w:rPr>
          <w:lang w:val="en-CA"/>
        </w:rPr>
        <w:lastRenderedPageBreak/>
        <w:t>Hudson St. Clair planned to use a custom e-commerce platform to facilitate its sales. The team planned to use a web application that would manage the payments and deposit the money into Hudson St. Clair’s bank account following the transaction. The transaction fees, including credit card processing, were 2 per cent of the gross sale amount. Customers paid for the entire suit upfront, and Hudson St. Clair would deliver the suit within the same calendar month. Hudson St. Clair expected to develop and complete the website within the first month of operations. Website development would cost $25,000, due upon completion of the site, and would be amortized over five years. In addition to the development costs, Hudson St. Clair expected to pay $250 per month for web-hosting fees and access to its domain.</w:t>
      </w:r>
    </w:p>
    <w:p w14:paraId="081A8110" w14:textId="77777777" w:rsidR="00BE60F3" w:rsidRPr="00DC052A" w:rsidRDefault="00BE60F3" w:rsidP="00BE60F3">
      <w:pPr>
        <w:pStyle w:val="BodyTextMain"/>
        <w:rPr>
          <w:lang w:val="en-CA"/>
        </w:rPr>
      </w:pPr>
    </w:p>
    <w:p w14:paraId="7BD5F755" w14:textId="77777777" w:rsidR="00BE60F3" w:rsidRPr="00DC052A" w:rsidRDefault="00BE60F3" w:rsidP="00BE60F3">
      <w:pPr>
        <w:pStyle w:val="BodyTextMain"/>
        <w:rPr>
          <w:lang w:val="en-CA"/>
        </w:rPr>
      </w:pPr>
    </w:p>
    <w:p w14:paraId="5A7E84BE" w14:textId="77777777" w:rsidR="00BE60F3" w:rsidRPr="00DC052A" w:rsidRDefault="00BE60F3" w:rsidP="00BE60F3">
      <w:pPr>
        <w:pStyle w:val="Casehead2"/>
        <w:rPr>
          <w:lang w:val="en-CA"/>
        </w:rPr>
      </w:pPr>
      <w:r w:rsidRPr="00DC052A">
        <w:rPr>
          <w:lang w:val="en-CA"/>
        </w:rPr>
        <w:t>Costs</w:t>
      </w:r>
    </w:p>
    <w:p w14:paraId="42B75972" w14:textId="77777777" w:rsidR="00BE60F3" w:rsidRPr="00DC052A" w:rsidRDefault="00BE60F3" w:rsidP="00BE60F3">
      <w:pPr>
        <w:pStyle w:val="BodyTextMain"/>
        <w:rPr>
          <w:lang w:val="en-CA"/>
        </w:rPr>
      </w:pPr>
    </w:p>
    <w:p w14:paraId="0EEF3DE3" w14:textId="77777777" w:rsidR="00BE60F3" w:rsidRPr="00DC052A" w:rsidRDefault="00BE60F3" w:rsidP="00BE60F3">
      <w:pPr>
        <w:pStyle w:val="BodyTextMain"/>
        <w:rPr>
          <w:lang w:val="en-CA"/>
        </w:rPr>
      </w:pPr>
      <w:r w:rsidRPr="00DC052A">
        <w:rPr>
          <w:lang w:val="en-CA"/>
        </w:rPr>
        <w:t>The team wanted to limit their personal liability related to Hudson St. Clair and decided to incorporate the business. The cost to incorporate the business was $3,000, paid in March at the beginning of the fiscal year. These fees were expensed in Hudson St. Clair’s first fiscal year. After incorporating, Hudson St. Clair would be subject to a 24.5 per cent tax rate, payable in April of the following year. Business insurance was also required and cost an additional $3,000 per year. Remmler decided to purchase insurance for the entire year in March, at the start of each fiscal year.</w:t>
      </w:r>
    </w:p>
    <w:p w14:paraId="0B25EE48" w14:textId="77777777" w:rsidR="00BE60F3" w:rsidRPr="00DC052A" w:rsidRDefault="00BE60F3" w:rsidP="00BE60F3">
      <w:pPr>
        <w:pStyle w:val="BodyTextMain"/>
        <w:rPr>
          <w:lang w:val="en-CA"/>
        </w:rPr>
      </w:pPr>
    </w:p>
    <w:p w14:paraId="4932F834" w14:textId="77777777" w:rsidR="00BE60F3" w:rsidRPr="00DC052A" w:rsidRDefault="00BE60F3" w:rsidP="00BE60F3">
      <w:pPr>
        <w:pStyle w:val="BodyTextMain"/>
        <w:rPr>
          <w:lang w:val="en-CA"/>
        </w:rPr>
      </w:pPr>
      <w:r w:rsidRPr="00DC052A">
        <w:rPr>
          <w:lang w:val="en-CA"/>
        </w:rPr>
        <w:t>Silver had already secured contracts with an Indian silk textile producer, a Scottish wool textile producer, and an Italian button and accoutrement supplier. Based on these contracts, the team estimated that the raw materials, regardless of the suit style, would cost $110 per suit. To limit the logistics for raw materials, Silver planned to place quarterly raw material orders at the beginning of May, August, November, and February to replenish the inventory for any suits sold in the previous two months and for the suits that Hudson St. Clair was projecting to sell in that month. Shipping was estimated to take three weeks, and all orders were shipped free-on-board destination. All raw materials were purchased on credit and were paid for 15 days after delivery.</w:t>
      </w:r>
    </w:p>
    <w:p w14:paraId="4368B7A2" w14:textId="77777777" w:rsidR="00BE60F3" w:rsidRPr="00DC052A" w:rsidRDefault="00BE60F3" w:rsidP="00BE60F3">
      <w:pPr>
        <w:pStyle w:val="BodyTextMain"/>
        <w:rPr>
          <w:lang w:val="en-CA"/>
        </w:rPr>
      </w:pPr>
    </w:p>
    <w:p w14:paraId="2359AC67" w14:textId="77777777" w:rsidR="00BE60F3" w:rsidRPr="00DC052A" w:rsidRDefault="00BE60F3" w:rsidP="00BE60F3">
      <w:pPr>
        <w:pStyle w:val="BodyTextMain"/>
        <w:rPr>
          <w:lang w:val="en-CA"/>
        </w:rPr>
      </w:pPr>
      <w:r w:rsidRPr="00DC052A">
        <w:rPr>
          <w:lang w:val="en-CA"/>
        </w:rPr>
        <w:t>Based on Hudson St. Clair’s business model, the tailors selected by customers for fittings and alterations also needed to be compensated. Remmler planned to compensate the tailors with $80 per suit, paid on the first of each month for the previous month’s sales. Hudson St. Clair also planned to cover the shipping costs to deliver the made-to-measure suits to the tailors for the final fitting. These postage fees averaged $20 per suit and were paid in the month following the delivery of the suit.</w:t>
      </w:r>
    </w:p>
    <w:p w14:paraId="4237AA22" w14:textId="77777777" w:rsidR="00BE60F3" w:rsidRPr="00DC052A" w:rsidRDefault="00BE60F3" w:rsidP="00BE60F3">
      <w:pPr>
        <w:pStyle w:val="BodyTextMain"/>
        <w:rPr>
          <w:lang w:val="en-CA"/>
        </w:rPr>
      </w:pPr>
    </w:p>
    <w:p w14:paraId="6C86B576" w14:textId="77777777" w:rsidR="00BE60F3" w:rsidRPr="00DC052A" w:rsidRDefault="00BE60F3" w:rsidP="00BE60F3">
      <w:pPr>
        <w:pStyle w:val="BodyTextMain"/>
        <w:rPr>
          <w:lang w:val="en-CA"/>
        </w:rPr>
      </w:pPr>
      <w:r w:rsidRPr="00DC052A">
        <w:rPr>
          <w:lang w:val="en-CA"/>
        </w:rPr>
        <w:t>The four co-founders decided to compensate their efforts with a $100,000 annual salary split evenly between the four of them. The team would also need to hire employees to cut and sew each suit. Each employee would be paid a salary of $40,000, including benefits. In the first year, Remmler estimated that the team would need to hire three employees in April. All subsequent new employees would be hired in March. In the second and third years, the total number of employees would increase to five and six employees, respectively. All salaried employees were paid on the last day of the month for the work performed in that month. Every new employee that the team hired would have to undergo workplace safety training within the first month of employment. The training cost $1,000 per new employee and was paid in the month that the training occurred. All training costs would be expensed each year.</w:t>
      </w:r>
    </w:p>
    <w:p w14:paraId="06EC6B47" w14:textId="77777777" w:rsidR="00BE60F3" w:rsidRPr="00DC052A" w:rsidRDefault="00BE60F3" w:rsidP="00BE60F3">
      <w:pPr>
        <w:pStyle w:val="BodyTextMain"/>
        <w:rPr>
          <w:lang w:val="en-CA"/>
        </w:rPr>
      </w:pPr>
    </w:p>
    <w:p w14:paraId="36DC3C90" w14:textId="77777777" w:rsidR="00BE60F3" w:rsidRPr="00DC052A" w:rsidRDefault="00BE60F3" w:rsidP="00BE60F3">
      <w:pPr>
        <w:pStyle w:val="BodyTextMain"/>
        <w:rPr>
          <w:lang w:val="en-CA"/>
        </w:rPr>
      </w:pPr>
      <w:r w:rsidRPr="00DC052A">
        <w:rPr>
          <w:lang w:val="en-CA"/>
        </w:rPr>
        <w:t>Remmler planned to set up a business account at Chase Bank for $100 per month. Office supplies were estimated at $300 per month, accounting and legal fees at $500, and cleaning fees also at $500 per month. All these fees would be paid in the month in which they were incurred. Remmler budgeted $20,000 to be spent on advertising in year one and planned to increase the budget by $4,000 each year.</w:t>
      </w:r>
    </w:p>
    <w:p w14:paraId="3A0C3BE0" w14:textId="77777777" w:rsidR="00BE60F3" w:rsidRPr="00DC052A" w:rsidRDefault="00BE60F3" w:rsidP="00BE60F3">
      <w:pPr>
        <w:pStyle w:val="BodyTextMain"/>
        <w:rPr>
          <w:lang w:val="en-CA"/>
        </w:rPr>
      </w:pPr>
      <w:bookmarkStart w:id="1" w:name="_GoBack"/>
      <w:bookmarkEnd w:id="1"/>
    </w:p>
    <w:p w14:paraId="7EC983FA" w14:textId="77777777" w:rsidR="00BE60F3" w:rsidRPr="00DC052A" w:rsidRDefault="00BE60F3" w:rsidP="00FC2D2A">
      <w:pPr>
        <w:pStyle w:val="Casehead2"/>
        <w:keepNext/>
        <w:rPr>
          <w:lang w:val="en-CA"/>
        </w:rPr>
      </w:pPr>
      <w:r w:rsidRPr="00DC052A">
        <w:rPr>
          <w:lang w:val="en-CA"/>
        </w:rPr>
        <w:lastRenderedPageBreak/>
        <w:t>Production Facilities and Fixed Assets</w:t>
      </w:r>
    </w:p>
    <w:p w14:paraId="13D90B08" w14:textId="77777777" w:rsidR="00BE60F3" w:rsidRPr="00DC052A" w:rsidRDefault="00BE60F3" w:rsidP="00FC2D2A">
      <w:pPr>
        <w:pStyle w:val="BodyTextMain"/>
        <w:keepNext/>
        <w:rPr>
          <w:lang w:val="en-CA"/>
        </w:rPr>
      </w:pPr>
    </w:p>
    <w:p w14:paraId="0888EA08" w14:textId="77777777" w:rsidR="00BE60F3" w:rsidRPr="00DC052A" w:rsidRDefault="00BE60F3" w:rsidP="00FC2D2A">
      <w:pPr>
        <w:pStyle w:val="BodyTextMain"/>
        <w:keepNext/>
        <w:rPr>
          <w:lang w:val="en-CA"/>
        </w:rPr>
      </w:pPr>
      <w:r w:rsidRPr="00DC052A">
        <w:rPr>
          <w:lang w:val="en-CA"/>
        </w:rPr>
        <w:t>The co-founders decided to rent a warehouse and production facility in Detroit. Rent would cost $5,000 per month, due on the first of the month. The landlord also required a security deposit of $10,000, which would be returned upon termination of the rental agreement. The rental agreement would begin on March 1, 2017, and last one year. Remmler planned to renew the rental agreement each year for the foreseeable future.</w:t>
      </w:r>
    </w:p>
    <w:p w14:paraId="0786EA42" w14:textId="77777777" w:rsidR="00BE60F3" w:rsidRPr="00DC052A" w:rsidRDefault="00BE60F3" w:rsidP="00BE60F3">
      <w:pPr>
        <w:pStyle w:val="BodyTextMain"/>
        <w:rPr>
          <w:lang w:val="en-CA"/>
        </w:rPr>
      </w:pPr>
      <w:r w:rsidRPr="00DC052A">
        <w:rPr>
          <w:lang w:val="en-CA"/>
        </w:rPr>
        <w:t>To start operations, the team needed to purchase a number of fixed assets. Most notably, they needed to purchase sewing equipment, irons, and other equipment to assemble the suits. The production equipment was expected to cost $250,000, with a useful life of 15 years. This equipment would be depreciated using the straight-line method with a residual value of $50,000. The production equipment required regular maintenance. Silver estimated that maintenance would cost $10,000 per year, split evenly between one routine maintenance day in July and a second one in January. In addition, the team planned to purchase $5,000 in office equipment. The office equipment was depreciated using the straight-line method with no residual value and had an expected useful life of five years.</w:t>
      </w:r>
    </w:p>
    <w:p w14:paraId="5DD5A60A" w14:textId="77777777" w:rsidR="00BE60F3" w:rsidRPr="00DC052A" w:rsidRDefault="00BE60F3" w:rsidP="00BE60F3">
      <w:pPr>
        <w:pStyle w:val="BodyTextMain"/>
        <w:rPr>
          <w:lang w:val="en-CA"/>
        </w:rPr>
      </w:pPr>
    </w:p>
    <w:p w14:paraId="684FB315" w14:textId="77777777" w:rsidR="00BE60F3" w:rsidRPr="00DC052A" w:rsidRDefault="00BE60F3" w:rsidP="00BE60F3">
      <w:pPr>
        <w:pStyle w:val="BodyTextMain"/>
        <w:rPr>
          <w:lang w:val="en-CA"/>
        </w:rPr>
      </w:pPr>
      <w:r w:rsidRPr="00DC052A">
        <w:rPr>
          <w:lang w:val="en-CA"/>
        </w:rPr>
        <w:t>Silver estimated that utilities for the production space would cost $500 per month in the first year, increasing to $700 per month in the second year and $900 per month in the third year. Telecommunications bills would amount to $450 per month. All utilities and telecommunications fees were paid for in the month following the month in which the expense was incurred.</w:t>
      </w:r>
    </w:p>
    <w:p w14:paraId="54962A95" w14:textId="77777777" w:rsidR="00BE60F3" w:rsidRPr="00DC052A" w:rsidRDefault="00BE60F3" w:rsidP="00BE60F3">
      <w:pPr>
        <w:pStyle w:val="BodyTextMain"/>
        <w:rPr>
          <w:lang w:val="en-CA"/>
        </w:rPr>
      </w:pPr>
    </w:p>
    <w:p w14:paraId="1FEC7CEF" w14:textId="77777777" w:rsidR="00BE60F3" w:rsidRPr="00DC052A" w:rsidRDefault="00BE60F3" w:rsidP="00BE60F3">
      <w:pPr>
        <w:pStyle w:val="BodyTextMain"/>
        <w:rPr>
          <w:lang w:val="en-CA"/>
        </w:rPr>
      </w:pPr>
    </w:p>
    <w:p w14:paraId="4E819864" w14:textId="77777777" w:rsidR="00BE60F3" w:rsidRPr="00DC052A" w:rsidRDefault="00BE60F3" w:rsidP="00BE60F3">
      <w:pPr>
        <w:pStyle w:val="Casehead1"/>
        <w:rPr>
          <w:lang w:val="en-CA"/>
        </w:rPr>
      </w:pPr>
      <w:r w:rsidRPr="00DC052A">
        <w:rPr>
          <w:lang w:val="en-CA"/>
        </w:rPr>
        <w:t>Decision</w:t>
      </w:r>
    </w:p>
    <w:p w14:paraId="5CC01DAD" w14:textId="77777777" w:rsidR="00BE60F3" w:rsidRPr="00DC052A" w:rsidRDefault="00BE60F3" w:rsidP="00BE60F3">
      <w:pPr>
        <w:pStyle w:val="BodyTextMain"/>
        <w:rPr>
          <w:lang w:val="en-CA"/>
        </w:rPr>
      </w:pPr>
    </w:p>
    <w:p w14:paraId="513F5E86" w14:textId="77777777" w:rsidR="00BE60F3" w:rsidRPr="00DC052A" w:rsidRDefault="00BE60F3" w:rsidP="00BE60F3">
      <w:pPr>
        <w:pStyle w:val="BodyTextMain"/>
        <w:rPr>
          <w:lang w:val="en-CA"/>
        </w:rPr>
      </w:pPr>
      <w:r w:rsidRPr="00DC052A">
        <w:rPr>
          <w:lang w:val="en-CA"/>
        </w:rPr>
        <w:t>Hulin Partners was interested in buying the business plan and any contracts that Hudson St. Clair had secured. Hulin Partners was offering $250,000 in exchange for full ownership of the business. The co-founders felt that if the company could generate a 30 per cent return on equity, they would be willing to reject Hulin Partner’s offer and each invest $62,500 of equity in their business. The team had also acquired $170,000 in debt financing from the bank at a 12 per cent interest rate. The four-year bank loan would be due in annual instalments of $42,500 plus any accrued interest, paid in March.</w:t>
      </w:r>
    </w:p>
    <w:p w14:paraId="071A0B02" w14:textId="77777777" w:rsidR="00BE60F3" w:rsidRPr="00DC052A" w:rsidRDefault="00BE60F3" w:rsidP="00BE60F3">
      <w:pPr>
        <w:pStyle w:val="BodyTextMain"/>
        <w:rPr>
          <w:lang w:val="en-CA"/>
        </w:rPr>
      </w:pPr>
    </w:p>
    <w:p w14:paraId="0D24F46B" w14:textId="77777777" w:rsidR="00BE60F3" w:rsidRPr="00DC052A" w:rsidRDefault="00BE60F3" w:rsidP="00BE60F3">
      <w:pPr>
        <w:pStyle w:val="BodyTextMain"/>
        <w:rPr>
          <w:lang w:val="en-CA"/>
        </w:rPr>
      </w:pPr>
      <w:r w:rsidRPr="00DC052A">
        <w:rPr>
          <w:lang w:val="en-CA"/>
        </w:rPr>
        <w:t>Silver and his co-founders had only a few days until the final meeting with Hulin Partners. They needed to determine if their venture was feasible and whether to sell the business. To make the decision, they needed a complete business plan including three years of financial statements, a three-year cash budget, and a proposed marketing plan. With so much to do, they would need to spend the entire weekend at their computers. The four men picked up coffees from the nearest bodega and set up for a long night of work.</w:t>
      </w:r>
    </w:p>
    <w:p w14:paraId="5DC1522F" w14:textId="77777777" w:rsidR="00BE60F3" w:rsidRPr="00DC052A" w:rsidRDefault="00BE60F3" w:rsidP="00BE60F3">
      <w:pPr>
        <w:spacing w:after="200" w:line="276" w:lineRule="auto"/>
        <w:rPr>
          <w:sz w:val="22"/>
          <w:szCs w:val="22"/>
          <w:lang w:val="en-CA"/>
        </w:rPr>
      </w:pPr>
      <w:r w:rsidRPr="00DC052A">
        <w:rPr>
          <w:lang w:val="en-CA"/>
        </w:rPr>
        <w:br w:type="page"/>
      </w:r>
    </w:p>
    <w:p w14:paraId="5C7AC072" w14:textId="77777777" w:rsidR="00BE60F3" w:rsidRPr="00DC052A" w:rsidRDefault="00BE60F3" w:rsidP="00BE60F3">
      <w:pPr>
        <w:pStyle w:val="ExhibitHeading"/>
        <w:rPr>
          <w:lang w:val="en-CA"/>
        </w:rPr>
      </w:pPr>
      <w:r w:rsidRPr="00DC052A">
        <w:rPr>
          <w:lang w:val="en-CA"/>
        </w:rPr>
        <w:lastRenderedPageBreak/>
        <w:t>Exhibit 1: average Men’s apparel profit margins, 2017</w:t>
      </w:r>
    </w:p>
    <w:p w14:paraId="6C35BA6A" w14:textId="77777777" w:rsidR="00BE60F3" w:rsidRPr="00DC052A" w:rsidRDefault="00BE60F3" w:rsidP="00BE60F3">
      <w:pPr>
        <w:pStyle w:val="ExhibitText"/>
        <w:rPr>
          <w:lang w:val="en-CA"/>
        </w:rPr>
      </w:pPr>
    </w:p>
    <w:p w14:paraId="643D6F04" w14:textId="77777777" w:rsidR="00BE60F3" w:rsidRPr="00DC052A" w:rsidRDefault="00BE60F3" w:rsidP="00BE60F3">
      <w:pPr>
        <w:pStyle w:val="ExhibitText"/>
        <w:jc w:val="center"/>
        <w:rPr>
          <w:lang w:val="en-CA"/>
        </w:rPr>
      </w:pPr>
      <w:r w:rsidRPr="00DC052A">
        <w:rPr>
          <w:lang w:val="en-CA"/>
        </w:rPr>
        <w:t>100%</w:t>
      </w:r>
    </w:p>
    <w:p w14:paraId="23D8C5B2" w14:textId="77777777" w:rsidR="00BE60F3" w:rsidRPr="00DC052A" w:rsidRDefault="00BE60F3" w:rsidP="00BE60F3">
      <w:pPr>
        <w:pStyle w:val="ExhibitText"/>
        <w:jc w:val="center"/>
        <w:rPr>
          <w:lang w:val="en-CA"/>
        </w:rPr>
      </w:pPr>
      <w:r w:rsidRPr="00DC052A">
        <w:rPr>
          <w:noProof/>
          <w:lang w:val="en-CA" w:eastAsia="en-CA"/>
        </w:rPr>
        <w:drawing>
          <wp:inline distT="0" distB="0" distL="0" distR="0" wp14:anchorId="12C6844C" wp14:editId="64CE0311">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E24FDF4" w14:textId="77777777" w:rsidR="00BE60F3" w:rsidRPr="00DC052A" w:rsidRDefault="00BE60F3" w:rsidP="00BE60F3">
      <w:pPr>
        <w:pStyle w:val="ExhibitText"/>
        <w:rPr>
          <w:lang w:val="en-CA"/>
        </w:rPr>
      </w:pPr>
    </w:p>
    <w:p w14:paraId="7C2F4DA2" w14:textId="77777777" w:rsidR="00BE60F3" w:rsidRPr="00DC052A" w:rsidRDefault="00BE60F3" w:rsidP="00BE60F3">
      <w:pPr>
        <w:pStyle w:val="Footnote"/>
        <w:rPr>
          <w:lang w:val="en-CA"/>
        </w:rPr>
      </w:pPr>
      <w:r w:rsidRPr="00DC052A">
        <w:rPr>
          <w:lang w:val="en-CA"/>
        </w:rPr>
        <w:t>Source: Anya Cohen, “Men’s Clothing Stores in the US: 44811,” IBISWorld Industry Report 44811, January 2017, accessed August 12, 2020, https://www.ibisworld.com/united-states/market-research-reports/mens-clothing-stores-industry/.</w:t>
      </w:r>
    </w:p>
    <w:p w14:paraId="3DC23171" w14:textId="77777777" w:rsidR="00BE60F3" w:rsidRPr="00DC052A" w:rsidRDefault="00BE60F3" w:rsidP="00BE60F3">
      <w:pPr>
        <w:pStyle w:val="ExhibitText"/>
        <w:rPr>
          <w:lang w:val="en-CA"/>
        </w:rPr>
      </w:pPr>
    </w:p>
    <w:p w14:paraId="5DEFA3FA" w14:textId="77777777" w:rsidR="00BE60F3" w:rsidRPr="00DC052A" w:rsidRDefault="00BE60F3" w:rsidP="00BE60F3">
      <w:pPr>
        <w:pStyle w:val="ExhibitText"/>
        <w:rPr>
          <w:lang w:val="en-CA"/>
        </w:rPr>
      </w:pPr>
    </w:p>
    <w:p w14:paraId="4D728530" w14:textId="77777777" w:rsidR="00BE60F3" w:rsidRPr="00DC052A" w:rsidRDefault="00BE60F3" w:rsidP="00BE60F3">
      <w:pPr>
        <w:pStyle w:val="ExhibitHeading"/>
        <w:rPr>
          <w:lang w:val="en-CA"/>
        </w:rPr>
      </w:pPr>
      <w:r w:rsidRPr="00DC052A">
        <w:rPr>
          <w:lang w:val="en-CA"/>
        </w:rPr>
        <w:t>Exhibit 2: Hudson St. Clair Product Customizations</w:t>
      </w:r>
    </w:p>
    <w:p w14:paraId="3D6C5456" w14:textId="77777777" w:rsidR="00BE60F3" w:rsidRPr="00DC052A" w:rsidRDefault="00BE60F3" w:rsidP="00BE60F3">
      <w:pPr>
        <w:pStyle w:val="ExhibitText"/>
        <w:rPr>
          <w:lang w:val="en-CA"/>
        </w:rPr>
      </w:pPr>
    </w:p>
    <w:tbl>
      <w:tblPr>
        <w:tblStyle w:val="TableGrid"/>
        <w:tblW w:w="936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2220"/>
        <w:gridCol w:w="2220"/>
        <w:gridCol w:w="2220"/>
      </w:tblGrid>
      <w:tr w:rsidR="00BE60F3" w:rsidRPr="00DC052A" w14:paraId="01A23C8C" w14:textId="77777777" w:rsidTr="004628CE">
        <w:trPr>
          <w:trHeight w:val="288"/>
        </w:trPr>
        <w:tc>
          <w:tcPr>
            <w:tcW w:w="2700" w:type="dxa"/>
            <w:tcBorders>
              <w:top w:val="single" w:sz="4" w:space="0" w:color="auto"/>
              <w:bottom w:val="single" w:sz="4" w:space="0" w:color="auto"/>
              <w:right w:val="dotted" w:sz="4" w:space="0" w:color="auto"/>
            </w:tcBorders>
            <w:vAlign w:val="center"/>
          </w:tcPr>
          <w:p w14:paraId="7FEC2F2B" w14:textId="77777777" w:rsidR="00BE60F3" w:rsidRPr="00DC052A" w:rsidRDefault="00BE60F3" w:rsidP="004628CE">
            <w:pPr>
              <w:pStyle w:val="ExhibitText"/>
              <w:jc w:val="left"/>
              <w:rPr>
                <w:b/>
                <w:sz w:val="18"/>
                <w:szCs w:val="18"/>
                <w:lang w:val="en-CA"/>
              </w:rPr>
            </w:pPr>
          </w:p>
        </w:tc>
        <w:tc>
          <w:tcPr>
            <w:tcW w:w="2220" w:type="dxa"/>
            <w:tcBorders>
              <w:top w:val="single" w:sz="4" w:space="0" w:color="auto"/>
              <w:left w:val="dotted" w:sz="4" w:space="0" w:color="auto"/>
              <w:bottom w:val="single" w:sz="4" w:space="0" w:color="auto"/>
              <w:right w:val="dotted" w:sz="4" w:space="0" w:color="auto"/>
            </w:tcBorders>
            <w:vAlign w:val="center"/>
          </w:tcPr>
          <w:p w14:paraId="22DA9336" w14:textId="77777777" w:rsidR="00BE60F3" w:rsidRPr="00DC052A" w:rsidRDefault="00BE60F3" w:rsidP="004628CE">
            <w:pPr>
              <w:pStyle w:val="ExhibitText"/>
              <w:jc w:val="center"/>
              <w:rPr>
                <w:b/>
                <w:sz w:val="18"/>
                <w:szCs w:val="18"/>
                <w:lang w:val="en-CA"/>
              </w:rPr>
            </w:pPr>
            <w:r w:rsidRPr="00DC052A">
              <w:rPr>
                <w:b/>
                <w:sz w:val="18"/>
                <w:szCs w:val="18"/>
                <w:lang w:val="en-CA"/>
              </w:rPr>
              <w:t>Albert</w:t>
            </w:r>
          </w:p>
        </w:tc>
        <w:tc>
          <w:tcPr>
            <w:tcW w:w="2220" w:type="dxa"/>
            <w:tcBorders>
              <w:top w:val="single" w:sz="4" w:space="0" w:color="auto"/>
              <w:left w:val="dotted" w:sz="4" w:space="0" w:color="auto"/>
              <w:bottom w:val="single" w:sz="4" w:space="0" w:color="auto"/>
              <w:right w:val="dotted" w:sz="4" w:space="0" w:color="auto"/>
            </w:tcBorders>
            <w:vAlign w:val="center"/>
          </w:tcPr>
          <w:p w14:paraId="364E4B92" w14:textId="77777777" w:rsidR="00BE60F3" w:rsidRPr="00DC052A" w:rsidRDefault="00BE60F3" w:rsidP="004628CE">
            <w:pPr>
              <w:pStyle w:val="ExhibitText"/>
              <w:jc w:val="center"/>
              <w:rPr>
                <w:b/>
                <w:sz w:val="18"/>
                <w:szCs w:val="18"/>
                <w:lang w:val="en-CA"/>
              </w:rPr>
            </w:pPr>
            <w:r w:rsidRPr="00DC052A">
              <w:rPr>
                <w:b/>
                <w:sz w:val="18"/>
                <w:szCs w:val="18"/>
                <w:lang w:val="en-CA"/>
              </w:rPr>
              <w:t>Balthazar</w:t>
            </w:r>
          </w:p>
        </w:tc>
        <w:tc>
          <w:tcPr>
            <w:tcW w:w="2220" w:type="dxa"/>
            <w:tcBorders>
              <w:top w:val="single" w:sz="4" w:space="0" w:color="auto"/>
              <w:left w:val="dotted" w:sz="4" w:space="0" w:color="auto"/>
              <w:bottom w:val="single" w:sz="4" w:space="0" w:color="auto"/>
            </w:tcBorders>
            <w:vAlign w:val="center"/>
          </w:tcPr>
          <w:p w14:paraId="74B5E86B" w14:textId="77777777" w:rsidR="00BE60F3" w:rsidRPr="00DC052A" w:rsidRDefault="00BE60F3" w:rsidP="004628CE">
            <w:pPr>
              <w:pStyle w:val="ExhibitText"/>
              <w:jc w:val="center"/>
              <w:rPr>
                <w:b/>
                <w:sz w:val="18"/>
                <w:szCs w:val="18"/>
                <w:lang w:val="en-CA"/>
              </w:rPr>
            </w:pPr>
            <w:r w:rsidRPr="00DC052A">
              <w:rPr>
                <w:b/>
                <w:sz w:val="18"/>
                <w:szCs w:val="18"/>
                <w:lang w:val="en-CA"/>
              </w:rPr>
              <w:t>Charles</w:t>
            </w:r>
          </w:p>
        </w:tc>
      </w:tr>
      <w:tr w:rsidR="00BE60F3" w:rsidRPr="00DC052A" w14:paraId="73577BDE" w14:textId="77777777" w:rsidTr="004628CE">
        <w:trPr>
          <w:trHeight w:val="288"/>
        </w:trPr>
        <w:tc>
          <w:tcPr>
            <w:tcW w:w="2700" w:type="dxa"/>
            <w:tcBorders>
              <w:top w:val="single" w:sz="4" w:space="0" w:color="auto"/>
              <w:bottom w:val="dotted" w:sz="4" w:space="0" w:color="auto"/>
              <w:right w:val="dotted" w:sz="4" w:space="0" w:color="auto"/>
            </w:tcBorders>
            <w:vAlign w:val="center"/>
          </w:tcPr>
          <w:p w14:paraId="47F97B16" w14:textId="77777777" w:rsidR="00BE60F3" w:rsidRPr="00DC052A" w:rsidRDefault="00BE60F3" w:rsidP="004628CE">
            <w:pPr>
              <w:pStyle w:val="ExhibitText"/>
              <w:jc w:val="left"/>
              <w:rPr>
                <w:b/>
                <w:bCs/>
                <w:sz w:val="18"/>
                <w:szCs w:val="18"/>
                <w:lang w:val="en-CA"/>
              </w:rPr>
            </w:pPr>
            <w:r w:rsidRPr="00DC052A">
              <w:rPr>
                <w:b/>
                <w:bCs/>
                <w:sz w:val="18"/>
                <w:szCs w:val="18"/>
                <w:lang w:val="en-CA"/>
              </w:rPr>
              <w:t>Type of Suit</w:t>
            </w:r>
          </w:p>
        </w:tc>
        <w:tc>
          <w:tcPr>
            <w:tcW w:w="2220" w:type="dxa"/>
            <w:tcBorders>
              <w:top w:val="single" w:sz="4" w:space="0" w:color="auto"/>
              <w:left w:val="dotted" w:sz="4" w:space="0" w:color="auto"/>
              <w:bottom w:val="dotted" w:sz="4" w:space="0" w:color="auto"/>
              <w:right w:val="dotted" w:sz="4" w:space="0" w:color="auto"/>
            </w:tcBorders>
            <w:vAlign w:val="center"/>
          </w:tcPr>
          <w:p w14:paraId="48F3C59F" w14:textId="77777777" w:rsidR="00BE60F3" w:rsidRPr="00DC052A" w:rsidRDefault="00BE60F3" w:rsidP="004628CE">
            <w:pPr>
              <w:pStyle w:val="ExhibitText"/>
              <w:jc w:val="center"/>
              <w:rPr>
                <w:sz w:val="18"/>
                <w:szCs w:val="18"/>
                <w:lang w:val="en-CA"/>
              </w:rPr>
            </w:pPr>
            <w:r w:rsidRPr="00DC052A">
              <w:rPr>
                <w:sz w:val="18"/>
                <w:szCs w:val="18"/>
                <w:lang w:val="en-CA"/>
              </w:rPr>
              <w:t>Traditional suit only</w:t>
            </w:r>
          </w:p>
        </w:tc>
        <w:tc>
          <w:tcPr>
            <w:tcW w:w="2220" w:type="dxa"/>
            <w:tcBorders>
              <w:top w:val="single" w:sz="4" w:space="0" w:color="auto"/>
              <w:left w:val="dotted" w:sz="4" w:space="0" w:color="auto"/>
              <w:bottom w:val="dotted" w:sz="4" w:space="0" w:color="auto"/>
              <w:right w:val="dotted" w:sz="4" w:space="0" w:color="auto"/>
            </w:tcBorders>
            <w:vAlign w:val="center"/>
          </w:tcPr>
          <w:p w14:paraId="4AF146C5" w14:textId="77777777" w:rsidR="00BE60F3" w:rsidRPr="00DC052A" w:rsidRDefault="00BE60F3" w:rsidP="004628CE">
            <w:pPr>
              <w:pStyle w:val="ExhibitText"/>
              <w:jc w:val="center"/>
              <w:rPr>
                <w:sz w:val="18"/>
                <w:szCs w:val="18"/>
                <w:lang w:val="en-CA"/>
              </w:rPr>
            </w:pPr>
            <w:r w:rsidRPr="00DC052A">
              <w:rPr>
                <w:sz w:val="18"/>
                <w:szCs w:val="18"/>
                <w:lang w:val="en-CA"/>
              </w:rPr>
              <w:t>Traditional suit only</w:t>
            </w:r>
          </w:p>
        </w:tc>
        <w:tc>
          <w:tcPr>
            <w:tcW w:w="2220" w:type="dxa"/>
            <w:tcBorders>
              <w:top w:val="single" w:sz="4" w:space="0" w:color="auto"/>
              <w:left w:val="dotted" w:sz="4" w:space="0" w:color="auto"/>
              <w:bottom w:val="dotted" w:sz="4" w:space="0" w:color="auto"/>
            </w:tcBorders>
            <w:vAlign w:val="center"/>
          </w:tcPr>
          <w:p w14:paraId="2534BD86" w14:textId="77777777" w:rsidR="00BE60F3" w:rsidRPr="00DC052A" w:rsidRDefault="00BE60F3" w:rsidP="004628CE">
            <w:pPr>
              <w:pStyle w:val="ExhibitText"/>
              <w:jc w:val="center"/>
              <w:rPr>
                <w:sz w:val="18"/>
                <w:szCs w:val="18"/>
                <w:lang w:val="en-CA"/>
              </w:rPr>
            </w:pPr>
            <w:r w:rsidRPr="00DC052A">
              <w:rPr>
                <w:sz w:val="18"/>
                <w:szCs w:val="18"/>
                <w:lang w:val="en-CA"/>
              </w:rPr>
              <w:t>Tuxedo</w:t>
            </w:r>
          </w:p>
        </w:tc>
      </w:tr>
      <w:tr w:rsidR="00BE60F3" w:rsidRPr="00DC052A" w14:paraId="504B30C0" w14:textId="77777777" w:rsidTr="004628CE">
        <w:trPr>
          <w:trHeight w:val="288"/>
        </w:trPr>
        <w:tc>
          <w:tcPr>
            <w:tcW w:w="2700" w:type="dxa"/>
            <w:tcBorders>
              <w:top w:val="dotted" w:sz="4" w:space="0" w:color="auto"/>
              <w:bottom w:val="dotted" w:sz="4" w:space="0" w:color="auto"/>
              <w:right w:val="dotted" w:sz="4" w:space="0" w:color="auto"/>
            </w:tcBorders>
            <w:vAlign w:val="center"/>
          </w:tcPr>
          <w:p w14:paraId="7E37EAB5" w14:textId="77777777" w:rsidR="00BE60F3" w:rsidRPr="00DC052A" w:rsidRDefault="00BE60F3" w:rsidP="004628CE">
            <w:pPr>
              <w:pStyle w:val="ExhibitText"/>
              <w:jc w:val="left"/>
              <w:rPr>
                <w:b/>
                <w:bCs/>
                <w:sz w:val="18"/>
                <w:szCs w:val="18"/>
                <w:lang w:val="en-CA"/>
              </w:rPr>
            </w:pPr>
            <w:r w:rsidRPr="00DC052A">
              <w:rPr>
                <w:b/>
                <w:bCs/>
                <w:sz w:val="18"/>
                <w:szCs w:val="18"/>
                <w:lang w:val="en-CA"/>
              </w:rPr>
              <w:t>Fabric Pattern</w:t>
            </w:r>
          </w:p>
        </w:tc>
        <w:tc>
          <w:tcPr>
            <w:tcW w:w="2220" w:type="dxa"/>
            <w:tcBorders>
              <w:top w:val="dotted" w:sz="4" w:space="0" w:color="auto"/>
              <w:left w:val="dotted" w:sz="4" w:space="0" w:color="auto"/>
              <w:bottom w:val="dotted" w:sz="4" w:space="0" w:color="auto"/>
              <w:right w:val="dotted" w:sz="4" w:space="0" w:color="auto"/>
            </w:tcBorders>
            <w:vAlign w:val="center"/>
          </w:tcPr>
          <w:p w14:paraId="423413B8" w14:textId="77777777" w:rsidR="00BE60F3" w:rsidRPr="00DC052A" w:rsidRDefault="00BE60F3" w:rsidP="004628CE">
            <w:pPr>
              <w:pStyle w:val="ExhibitText"/>
              <w:jc w:val="center"/>
              <w:rPr>
                <w:sz w:val="18"/>
                <w:szCs w:val="18"/>
                <w:lang w:val="en-CA"/>
              </w:rPr>
            </w:pPr>
            <w:r w:rsidRPr="00DC052A">
              <w:rPr>
                <w:sz w:val="18"/>
                <w:szCs w:val="18"/>
                <w:lang w:val="en-CA"/>
              </w:rPr>
              <w:t>Solid-colour worsted wool</w:t>
            </w:r>
          </w:p>
        </w:tc>
        <w:tc>
          <w:tcPr>
            <w:tcW w:w="2220" w:type="dxa"/>
            <w:tcBorders>
              <w:top w:val="dotted" w:sz="4" w:space="0" w:color="auto"/>
              <w:left w:val="dotted" w:sz="4" w:space="0" w:color="auto"/>
              <w:bottom w:val="dotted" w:sz="4" w:space="0" w:color="auto"/>
              <w:right w:val="dotted" w:sz="4" w:space="0" w:color="auto"/>
            </w:tcBorders>
            <w:vAlign w:val="center"/>
          </w:tcPr>
          <w:p w14:paraId="62E55E52" w14:textId="77777777" w:rsidR="00BE60F3" w:rsidRPr="00DC052A" w:rsidRDefault="00BE60F3" w:rsidP="004628CE">
            <w:pPr>
              <w:pStyle w:val="ExhibitText"/>
              <w:jc w:val="center"/>
              <w:rPr>
                <w:sz w:val="18"/>
                <w:szCs w:val="18"/>
                <w:lang w:val="en-CA"/>
              </w:rPr>
            </w:pPr>
            <w:r w:rsidRPr="00DC052A">
              <w:rPr>
                <w:sz w:val="18"/>
                <w:szCs w:val="18"/>
                <w:lang w:val="en-CA"/>
              </w:rPr>
              <w:t>Choice of solid-colour or patterned worsted wool, mohair, or merino</w:t>
            </w:r>
          </w:p>
        </w:tc>
        <w:tc>
          <w:tcPr>
            <w:tcW w:w="2220" w:type="dxa"/>
            <w:tcBorders>
              <w:top w:val="dotted" w:sz="4" w:space="0" w:color="auto"/>
              <w:left w:val="dotted" w:sz="4" w:space="0" w:color="auto"/>
              <w:bottom w:val="dotted" w:sz="4" w:space="0" w:color="auto"/>
            </w:tcBorders>
            <w:vAlign w:val="center"/>
          </w:tcPr>
          <w:p w14:paraId="14605FE3" w14:textId="77777777" w:rsidR="00BE60F3" w:rsidRPr="00DC052A" w:rsidRDefault="00BE60F3" w:rsidP="004628CE">
            <w:pPr>
              <w:pStyle w:val="ExhibitText"/>
              <w:jc w:val="center"/>
              <w:rPr>
                <w:sz w:val="18"/>
                <w:szCs w:val="18"/>
                <w:lang w:val="en-CA"/>
              </w:rPr>
            </w:pPr>
            <w:r w:rsidRPr="00DC052A">
              <w:rPr>
                <w:sz w:val="18"/>
                <w:szCs w:val="18"/>
                <w:lang w:val="en-CA"/>
              </w:rPr>
              <w:t>Choice of solid-colour or patterned worsted wool, mohair, or merino with satin lapels</w:t>
            </w:r>
          </w:p>
        </w:tc>
      </w:tr>
      <w:tr w:rsidR="00BE60F3" w:rsidRPr="00DC052A" w14:paraId="2B0B60BC" w14:textId="77777777" w:rsidTr="004628CE">
        <w:trPr>
          <w:trHeight w:val="288"/>
        </w:trPr>
        <w:tc>
          <w:tcPr>
            <w:tcW w:w="2700" w:type="dxa"/>
            <w:tcBorders>
              <w:top w:val="dotted" w:sz="4" w:space="0" w:color="auto"/>
              <w:bottom w:val="dotted" w:sz="4" w:space="0" w:color="auto"/>
              <w:right w:val="dotted" w:sz="4" w:space="0" w:color="auto"/>
            </w:tcBorders>
            <w:vAlign w:val="center"/>
          </w:tcPr>
          <w:p w14:paraId="6F9A12CF" w14:textId="77777777" w:rsidR="00BE60F3" w:rsidRPr="00DC052A" w:rsidRDefault="00BE60F3" w:rsidP="004628CE">
            <w:pPr>
              <w:pStyle w:val="ExhibitText"/>
              <w:jc w:val="left"/>
              <w:rPr>
                <w:b/>
                <w:bCs/>
                <w:sz w:val="18"/>
                <w:szCs w:val="18"/>
                <w:lang w:val="en-CA"/>
              </w:rPr>
            </w:pPr>
            <w:r w:rsidRPr="00DC052A">
              <w:rPr>
                <w:b/>
                <w:bCs/>
                <w:sz w:val="18"/>
                <w:szCs w:val="18"/>
                <w:lang w:val="en-CA"/>
              </w:rPr>
              <w:t>Lining Customization</w:t>
            </w:r>
          </w:p>
        </w:tc>
        <w:tc>
          <w:tcPr>
            <w:tcW w:w="2220" w:type="dxa"/>
            <w:tcBorders>
              <w:top w:val="dotted" w:sz="4" w:space="0" w:color="auto"/>
              <w:left w:val="dotted" w:sz="4" w:space="0" w:color="auto"/>
              <w:bottom w:val="dotted" w:sz="4" w:space="0" w:color="auto"/>
              <w:right w:val="dotted" w:sz="4" w:space="0" w:color="auto"/>
            </w:tcBorders>
            <w:vAlign w:val="center"/>
          </w:tcPr>
          <w:p w14:paraId="04D07FF8" w14:textId="77777777" w:rsidR="00BE60F3" w:rsidRPr="00DC052A" w:rsidRDefault="00BE60F3" w:rsidP="004628CE">
            <w:pPr>
              <w:pStyle w:val="ExhibitText"/>
              <w:jc w:val="center"/>
              <w:rPr>
                <w:sz w:val="18"/>
                <w:szCs w:val="18"/>
                <w:lang w:val="en-CA"/>
              </w:rPr>
            </w:pPr>
            <w:r w:rsidRPr="00DC052A">
              <w:rPr>
                <w:sz w:val="18"/>
                <w:szCs w:val="18"/>
                <w:lang w:val="en-CA"/>
              </w:rPr>
              <w:t>Choice of 4 patterns</w:t>
            </w:r>
          </w:p>
        </w:tc>
        <w:tc>
          <w:tcPr>
            <w:tcW w:w="2220" w:type="dxa"/>
            <w:tcBorders>
              <w:top w:val="dotted" w:sz="4" w:space="0" w:color="auto"/>
              <w:left w:val="dotted" w:sz="4" w:space="0" w:color="auto"/>
              <w:bottom w:val="dotted" w:sz="4" w:space="0" w:color="auto"/>
              <w:right w:val="dotted" w:sz="4" w:space="0" w:color="auto"/>
            </w:tcBorders>
            <w:vAlign w:val="center"/>
          </w:tcPr>
          <w:p w14:paraId="4DCA0ECE" w14:textId="77777777" w:rsidR="00BE60F3" w:rsidRPr="00DC052A" w:rsidRDefault="00BE60F3" w:rsidP="004628CE">
            <w:pPr>
              <w:pStyle w:val="ExhibitText"/>
              <w:jc w:val="center"/>
              <w:rPr>
                <w:sz w:val="18"/>
                <w:szCs w:val="18"/>
                <w:lang w:val="en-CA"/>
              </w:rPr>
            </w:pPr>
            <w:r w:rsidRPr="00DC052A">
              <w:rPr>
                <w:sz w:val="18"/>
                <w:szCs w:val="18"/>
                <w:lang w:val="en-CA"/>
              </w:rPr>
              <w:t>Choice of 6 patterns</w:t>
            </w:r>
          </w:p>
        </w:tc>
        <w:tc>
          <w:tcPr>
            <w:tcW w:w="2220" w:type="dxa"/>
            <w:tcBorders>
              <w:top w:val="dotted" w:sz="4" w:space="0" w:color="auto"/>
              <w:left w:val="dotted" w:sz="4" w:space="0" w:color="auto"/>
              <w:bottom w:val="dotted" w:sz="4" w:space="0" w:color="auto"/>
            </w:tcBorders>
            <w:vAlign w:val="center"/>
          </w:tcPr>
          <w:p w14:paraId="5BA6DA23" w14:textId="77777777" w:rsidR="00BE60F3" w:rsidRPr="00DC052A" w:rsidRDefault="00BE60F3" w:rsidP="004628CE">
            <w:pPr>
              <w:pStyle w:val="ExhibitText"/>
              <w:jc w:val="center"/>
              <w:rPr>
                <w:sz w:val="18"/>
                <w:szCs w:val="18"/>
                <w:lang w:val="en-CA"/>
              </w:rPr>
            </w:pPr>
            <w:r w:rsidRPr="00DC052A">
              <w:rPr>
                <w:sz w:val="18"/>
                <w:szCs w:val="18"/>
                <w:lang w:val="en-CA"/>
              </w:rPr>
              <w:t>Choice of 6 patterns</w:t>
            </w:r>
          </w:p>
        </w:tc>
      </w:tr>
      <w:tr w:rsidR="00BE60F3" w:rsidRPr="00DC052A" w14:paraId="609808A9" w14:textId="77777777" w:rsidTr="004628CE">
        <w:trPr>
          <w:trHeight w:val="288"/>
        </w:trPr>
        <w:tc>
          <w:tcPr>
            <w:tcW w:w="2700" w:type="dxa"/>
            <w:tcBorders>
              <w:top w:val="dotted" w:sz="4" w:space="0" w:color="auto"/>
              <w:bottom w:val="dotted" w:sz="4" w:space="0" w:color="auto"/>
              <w:right w:val="dotted" w:sz="4" w:space="0" w:color="auto"/>
            </w:tcBorders>
            <w:vAlign w:val="center"/>
          </w:tcPr>
          <w:p w14:paraId="6E8AD4FA" w14:textId="77777777" w:rsidR="00BE60F3" w:rsidRPr="00DC052A" w:rsidRDefault="00BE60F3" w:rsidP="004628CE">
            <w:pPr>
              <w:pStyle w:val="ExhibitText"/>
              <w:jc w:val="left"/>
              <w:rPr>
                <w:b/>
                <w:bCs/>
                <w:sz w:val="18"/>
                <w:szCs w:val="18"/>
                <w:lang w:val="en-CA"/>
              </w:rPr>
            </w:pPr>
            <w:r w:rsidRPr="00DC052A">
              <w:rPr>
                <w:b/>
                <w:bCs/>
                <w:sz w:val="18"/>
                <w:szCs w:val="18"/>
                <w:lang w:val="en-CA"/>
              </w:rPr>
              <w:t>Choice of Buttons</w:t>
            </w:r>
          </w:p>
        </w:tc>
        <w:tc>
          <w:tcPr>
            <w:tcW w:w="2220" w:type="dxa"/>
            <w:tcBorders>
              <w:top w:val="dotted" w:sz="4" w:space="0" w:color="auto"/>
              <w:left w:val="dotted" w:sz="4" w:space="0" w:color="auto"/>
              <w:bottom w:val="dotted" w:sz="4" w:space="0" w:color="auto"/>
              <w:right w:val="dotted" w:sz="4" w:space="0" w:color="auto"/>
            </w:tcBorders>
            <w:vAlign w:val="center"/>
          </w:tcPr>
          <w:p w14:paraId="5F195C00" w14:textId="77777777" w:rsidR="00BE60F3" w:rsidRPr="00DC052A" w:rsidRDefault="00BE60F3" w:rsidP="004628CE">
            <w:pPr>
              <w:pStyle w:val="ExhibitText"/>
              <w:jc w:val="center"/>
              <w:rPr>
                <w:sz w:val="18"/>
                <w:szCs w:val="18"/>
                <w:lang w:val="en-CA"/>
              </w:rPr>
            </w:pPr>
            <w:r w:rsidRPr="00DC052A">
              <w:rPr>
                <w:sz w:val="18"/>
                <w:szCs w:val="18"/>
                <w:lang w:val="en-CA"/>
              </w:rPr>
              <w:t>Choice of 3 buttons</w:t>
            </w:r>
          </w:p>
        </w:tc>
        <w:tc>
          <w:tcPr>
            <w:tcW w:w="2220" w:type="dxa"/>
            <w:tcBorders>
              <w:top w:val="dotted" w:sz="4" w:space="0" w:color="auto"/>
              <w:left w:val="dotted" w:sz="4" w:space="0" w:color="auto"/>
              <w:bottom w:val="dotted" w:sz="4" w:space="0" w:color="auto"/>
              <w:right w:val="dotted" w:sz="4" w:space="0" w:color="auto"/>
            </w:tcBorders>
            <w:vAlign w:val="center"/>
          </w:tcPr>
          <w:p w14:paraId="6AEB5C77" w14:textId="77777777" w:rsidR="00BE60F3" w:rsidRPr="00DC052A" w:rsidRDefault="00BE60F3" w:rsidP="004628CE">
            <w:pPr>
              <w:pStyle w:val="ExhibitText"/>
              <w:jc w:val="center"/>
              <w:rPr>
                <w:sz w:val="18"/>
                <w:szCs w:val="18"/>
                <w:lang w:val="en-CA"/>
              </w:rPr>
            </w:pPr>
            <w:r w:rsidRPr="00DC052A">
              <w:rPr>
                <w:sz w:val="18"/>
                <w:szCs w:val="18"/>
                <w:lang w:val="en-CA"/>
              </w:rPr>
              <w:t>Choice of 5 buttons</w:t>
            </w:r>
          </w:p>
        </w:tc>
        <w:tc>
          <w:tcPr>
            <w:tcW w:w="2220" w:type="dxa"/>
            <w:tcBorders>
              <w:top w:val="dotted" w:sz="4" w:space="0" w:color="auto"/>
              <w:left w:val="dotted" w:sz="4" w:space="0" w:color="auto"/>
              <w:bottom w:val="dotted" w:sz="4" w:space="0" w:color="auto"/>
            </w:tcBorders>
            <w:vAlign w:val="center"/>
          </w:tcPr>
          <w:p w14:paraId="624733B8" w14:textId="77777777" w:rsidR="00BE60F3" w:rsidRPr="00DC052A" w:rsidRDefault="00BE60F3" w:rsidP="004628CE">
            <w:pPr>
              <w:pStyle w:val="ExhibitText"/>
              <w:jc w:val="center"/>
              <w:rPr>
                <w:sz w:val="18"/>
                <w:szCs w:val="18"/>
                <w:lang w:val="en-CA"/>
              </w:rPr>
            </w:pPr>
            <w:r w:rsidRPr="00DC052A">
              <w:rPr>
                <w:sz w:val="18"/>
                <w:szCs w:val="18"/>
                <w:lang w:val="en-CA"/>
              </w:rPr>
              <w:t>Choice of 5 buttons</w:t>
            </w:r>
          </w:p>
        </w:tc>
      </w:tr>
      <w:tr w:rsidR="00BE60F3" w:rsidRPr="00DC052A" w14:paraId="3D452F95" w14:textId="77777777" w:rsidTr="004628CE">
        <w:trPr>
          <w:trHeight w:val="288"/>
        </w:trPr>
        <w:tc>
          <w:tcPr>
            <w:tcW w:w="2700" w:type="dxa"/>
            <w:tcBorders>
              <w:top w:val="dotted" w:sz="4" w:space="0" w:color="auto"/>
              <w:bottom w:val="dotted" w:sz="4" w:space="0" w:color="auto"/>
              <w:right w:val="dotted" w:sz="4" w:space="0" w:color="auto"/>
            </w:tcBorders>
            <w:vAlign w:val="center"/>
          </w:tcPr>
          <w:p w14:paraId="43912E09" w14:textId="77777777" w:rsidR="00BE60F3" w:rsidRPr="00DC052A" w:rsidRDefault="00BE60F3" w:rsidP="004628CE">
            <w:pPr>
              <w:pStyle w:val="ExhibitText"/>
              <w:jc w:val="left"/>
              <w:rPr>
                <w:b/>
                <w:bCs/>
                <w:sz w:val="18"/>
                <w:szCs w:val="18"/>
                <w:lang w:val="en-CA"/>
              </w:rPr>
            </w:pPr>
            <w:r w:rsidRPr="00DC052A">
              <w:rPr>
                <w:b/>
                <w:bCs/>
                <w:sz w:val="18"/>
                <w:szCs w:val="18"/>
                <w:lang w:val="en-CA"/>
              </w:rPr>
              <w:t>Choice of Lapel</w:t>
            </w:r>
          </w:p>
          <w:p w14:paraId="339FE5AA" w14:textId="77777777" w:rsidR="00BE60F3" w:rsidRPr="00DC052A" w:rsidRDefault="00BE60F3" w:rsidP="004628CE">
            <w:pPr>
              <w:pStyle w:val="ExhibitText"/>
              <w:jc w:val="left"/>
              <w:rPr>
                <w:b/>
                <w:bCs/>
                <w:sz w:val="18"/>
                <w:szCs w:val="18"/>
                <w:lang w:val="en-CA"/>
              </w:rPr>
            </w:pPr>
            <w:r w:rsidRPr="00DC052A">
              <w:rPr>
                <w:b/>
                <w:bCs/>
                <w:sz w:val="18"/>
                <w:szCs w:val="18"/>
                <w:lang w:val="en-CA"/>
              </w:rPr>
              <w:t>(Peaked, Notched, or Shawl)</w:t>
            </w:r>
          </w:p>
        </w:tc>
        <w:tc>
          <w:tcPr>
            <w:tcW w:w="2220" w:type="dxa"/>
            <w:tcBorders>
              <w:top w:val="dotted" w:sz="4" w:space="0" w:color="auto"/>
              <w:left w:val="dotted" w:sz="4" w:space="0" w:color="auto"/>
              <w:bottom w:val="dotted" w:sz="4" w:space="0" w:color="auto"/>
              <w:right w:val="dotted" w:sz="4" w:space="0" w:color="auto"/>
            </w:tcBorders>
            <w:vAlign w:val="center"/>
          </w:tcPr>
          <w:p w14:paraId="183A6ECC" w14:textId="77777777" w:rsidR="00BE60F3" w:rsidRPr="00DC052A" w:rsidRDefault="00BE60F3" w:rsidP="004628CE">
            <w:pPr>
              <w:pStyle w:val="ExhibitText"/>
              <w:jc w:val="center"/>
              <w:rPr>
                <w:sz w:val="18"/>
                <w:szCs w:val="18"/>
                <w:lang w:val="en-CA"/>
              </w:rPr>
            </w:pPr>
            <w:r w:rsidRPr="00DC052A">
              <w:rPr>
                <w:rFonts w:ascii="Segoe UI Symbol" w:hAnsi="Segoe UI Symbol" w:cs="Segoe UI Symbol"/>
                <w:sz w:val="18"/>
                <w:szCs w:val="18"/>
                <w:lang w:val="en-CA"/>
              </w:rPr>
              <w:t>✓</w:t>
            </w:r>
          </w:p>
        </w:tc>
        <w:tc>
          <w:tcPr>
            <w:tcW w:w="2220" w:type="dxa"/>
            <w:tcBorders>
              <w:top w:val="dotted" w:sz="4" w:space="0" w:color="auto"/>
              <w:left w:val="dotted" w:sz="4" w:space="0" w:color="auto"/>
              <w:bottom w:val="dotted" w:sz="4" w:space="0" w:color="auto"/>
              <w:right w:val="dotted" w:sz="4" w:space="0" w:color="auto"/>
            </w:tcBorders>
            <w:vAlign w:val="center"/>
          </w:tcPr>
          <w:p w14:paraId="14B938E4" w14:textId="77777777" w:rsidR="00BE60F3" w:rsidRPr="00DC052A" w:rsidRDefault="00BE60F3" w:rsidP="004628CE">
            <w:pPr>
              <w:pStyle w:val="ExhibitText"/>
              <w:jc w:val="center"/>
              <w:rPr>
                <w:sz w:val="18"/>
                <w:szCs w:val="18"/>
                <w:lang w:val="en-CA"/>
              </w:rPr>
            </w:pPr>
            <w:r w:rsidRPr="00DC052A">
              <w:rPr>
                <w:rFonts w:ascii="Segoe UI Symbol" w:hAnsi="Segoe UI Symbol" w:cs="Segoe UI Symbol"/>
                <w:sz w:val="18"/>
                <w:szCs w:val="18"/>
                <w:lang w:val="en-CA"/>
              </w:rPr>
              <w:t>✓</w:t>
            </w:r>
          </w:p>
        </w:tc>
        <w:tc>
          <w:tcPr>
            <w:tcW w:w="2220" w:type="dxa"/>
            <w:tcBorders>
              <w:top w:val="dotted" w:sz="4" w:space="0" w:color="auto"/>
              <w:left w:val="dotted" w:sz="4" w:space="0" w:color="auto"/>
              <w:bottom w:val="dotted" w:sz="4" w:space="0" w:color="auto"/>
            </w:tcBorders>
            <w:vAlign w:val="center"/>
          </w:tcPr>
          <w:p w14:paraId="20C83FD2" w14:textId="77777777" w:rsidR="00BE60F3" w:rsidRPr="00DC052A" w:rsidRDefault="00BE60F3" w:rsidP="004628CE">
            <w:pPr>
              <w:pStyle w:val="ExhibitText"/>
              <w:jc w:val="center"/>
              <w:rPr>
                <w:sz w:val="18"/>
                <w:szCs w:val="18"/>
                <w:lang w:val="en-CA"/>
              </w:rPr>
            </w:pPr>
            <w:r w:rsidRPr="00DC052A">
              <w:rPr>
                <w:rFonts w:ascii="Segoe UI Symbol" w:hAnsi="Segoe UI Symbol" w:cs="Segoe UI Symbol"/>
                <w:sz w:val="18"/>
                <w:szCs w:val="18"/>
                <w:lang w:val="en-CA"/>
              </w:rPr>
              <w:t>✓</w:t>
            </w:r>
          </w:p>
        </w:tc>
      </w:tr>
      <w:tr w:rsidR="00BE60F3" w:rsidRPr="00DC052A" w14:paraId="117530B2" w14:textId="77777777" w:rsidTr="004628CE">
        <w:trPr>
          <w:trHeight w:val="288"/>
        </w:trPr>
        <w:tc>
          <w:tcPr>
            <w:tcW w:w="2700" w:type="dxa"/>
            <w:tcBorders>
              <w:top w:val="dotted" w:sz="4" w:space="0" w:color="auto"/>
              <w:bottom w:val="dotted" w:sz="4" w:space="0" w:color="auto"/>
              <w:right w:val="dotted" w:sz="4" w:space="0" w:color="auto"/>
            </w:tcBorders>
            <w:vAlign w:val="center"/>
          </w:tcPr>
          <w:p w14:paraId="223F4E3B" w14:textId="77777777" w:rsidR="00BE60F3" w:rsidRPr="00DC052A" w:rsidRDefault="00BE60F3" w:rsidP="004628CE">
            <w:pPr>
              <w:pStyle w:val="ExhibitText"/>
              <w:jc w:val="left"/>
              <w:rPr>
                <w:b/>
                <w:bCs/>
                <w:sz w:val="18"/>
                <w:szCs w:val="18"/>
                <w:lang w:val="en-CA"/>
              </w:rPr>
            </w:pPr>
            <w:r w:rsidRPr="00DC052A">
              <w:rPr>
                <w:b/>
                <w:bCs/>
                <w:sz w:val="18"/>
                <w:szCs w:val="18"/>
                <w:lang w:val="en-CA"/>
              </w:rPr>
              <w:t>Choice of Vents</w:t>
            </w:r>
          </w:p>
          <w:p w14:paraId="71A904DF" w14:textId="77777777" w:rsidR="00BE60F3" w:rsidRPr="00DC052A" w:rsidRDefault="00BE60F3" w:rsidP="004628CE">
            <w:pPr>
              <w:pStyle w:val="ExhibitText"/>
              <w:jc w:val="left"/>
              <w:rPr>
                <w:b/>
                <w:bCs/>
                <w:sz w:val="18"/>
                <w:szCs w:val="18"/>
                <w:lang w:val="en-CA"/>
              </w:rPr>
            </w:pPr>
            <w:r w:rsidRPr="00DC052A">
              <w:rPr>
                <w:b/>
                <w:bCs/>
                <w:sz w:val="18"/>
                <w:szCs w:val="18"/>
                <w:lang w:val="en-CA"/>
              </w:rPr>
              <w:t>(None, Single, or Double)</w:t>
            </w:r>
          </w:p>
        </w:tc>
        <w:tc>
          <w:tcPr>
            <w:tcW w:w="2220" w:type="dxa"/>
            <w:tcBorders>
              <w:top w:val="dotted" w:sz="4" w:space="0" w:color="auto"/>
              <w:left w:val="dotted" w:sz="4" w:space="0" w:color="auto"/>
              <w:bottom w:val="dotted" w:sz="4" w:space="0" w:color="auto"/>
              <w:right w:val="dotted" w:sz="4" w:space="0" w:color="auto"/>
            </w:tcBorders>
            <w:vAlign w:val="center"/>
          </w:tcPr>
          <w:p w14:paraId="7C2CDE3D" w14:textId="77777777" w:rsidR="00BE60F3" w:rsidRPr="00DC052A" w:rsidRDefault="00BE60F3" w:rsidP="004628CE">
            <w:pPr>
              <w:pStyle w:val="ExhibitText"/>
              <w:jc w:val="center"/>
              <w:rPr>
                <w:sz w:val="18"/>
                <w:szCs w:val="18"/>
                <w:lang w:val="en-CA"/>
              </w:rPr>
            </w:pPr>
            <w:r w:rsidRPr="00DC052A">
              <w:rPr>
                <w:rFonts w:ascii="Segoe UI Symbol" w:hAnsi="Segoe UI Symbol" w:cs="Segoe UI Symbol"/>
                <w:sz w:val="18"/>
                <w:szCs w:val="18"/>
                <w:lang w:val="en-CA"/>
              </w:rPr>
              <w:t>✓</w:t>
            </w:r>
          </w:p>
        </w:tc>
        <w:tc>
          <w:tcPr>
            <w:tcW w:w="2220" w:type="dxa"/>
            <w:tcBorders>
              <w:top w:val="dotted" w:sz="4" w:space="0" w:color="auto"/>
              <w:left w:val="dotted" w:sz="4" w:space="0" w:color="auto"/>
              <w:bottom w:val="dotted" w:sz="4" w:space="0" w:color="auto"/>
              <w:right w:val="dotted" w:sz="4" w:space="0" w:color="auto"/>
            </w:tcBorders>
            <w:vAlign w:val="center"/>
          </w:tcPr>
          <w:p w14:paraId="6056B47B" w14:textId="77777777" w:rsidR="00BE60F3" w:rsidRPr="00DC052A" w:rsidRDefault="00BE60F3" w:rsidP="004628CE">
            <w:pPr>
              <w:pStyle w:val="ExhibitText"/>
              <w:jc w:val="center"/>
              <w:rPr>
                <w:sz w:val="18"/>
                <w:szCs w:val="18"/>
                <w:lang w:val="en-CA"/>
              </w:rPr>
            </w:pPr>
            <w:r w:rsidRPr="00DC052A">
              <w:rPr>
                <w:rFonts w:ascii="Segoe UI Symbol" w:hAnsi="Segoe UI Symbol" w:cs="Segoe UI Symbol"/>
                <w:sz w:val="18"/>
                <w:szCs w:val="18"/>
                <w:lang w:val="en-CA"/>
              </w:rPr>
              <w:t>✓</w:t>
            </w:r>
          </w:p>
        </w:tc>
        <w:tc>
          <w:tcPr>
            <w:tcW w:w="2220" w:type="dxa"/>
            <w:tcBorders>
              <w:top w:val="dotted" w:sz="4" w:space="0" w:color="auto"/>
              <w:left w:val="dotted" w:sz="4" w:space="0" w:color="auto"/>
              <w:bottom w:val="dotted" w:sz="4" w:space="0" w:color="auto"/>
            </w:tcBorders>
            <w:vAlign w:val="center"/>
          </w:tcPr>
          <w:p w14:paraId="7956C94B" w14:textId="77777777" w:rsidR="00BE60F3" w:rsidRPr="00DC052A" w:rsidRDefault="00BE60F3" w:rsidP="004628CE">
            <w:pPr>
              <w:pStyle w:val="ExhibitText"/>
              <w:jc w:val="center"/>
              <w:rPr>
                <w:sz w:val="18"/>
                <w:szCs w:val="18"/>
                <w:lang w:val="en-CA"/>
              </w:rPr>
            </w:pPr>
            <w:r w:rsidRPr="00DC052A">
              <w:rPr>
                <w:rFonts w:ascii="Segoe UI Symbol" w:hAnsi="Segoe UI Symbol" w:cs="Segoe UI Symbol"/>
                <w:sz w:val="18"/>
                <w:szCs w:val="18"/>
                <w:lang w:val="en-CA"/>
              </w:rPr>
              <w:t>✓</w:t>
            </w:r>
          </w:p>
        </w:tc>
      </w:tr>
      <w:tr w:rsidR="00BE60F3" w:rsidRPr="00DC052A" w14:paraId="0776AB63" w14:textId="77777777" w:rsidTr="004628CE">
        <w:trPr>
          <w:trHeight w:val="288"/>
        </w:trPr>
        <w:tc>
          <w:tcPr>
            <w:tcW w:w="2700" w:type="dxa"/>
            <w:tcBorders>
              <w:top w:val="dotted" w:sz="4" w:space="0" w:color="auto"/>
              <w:bottom w:val="dotted" w:sz="4" w:space="0" w:color="auto"/>
              <w:right w:val="dotted" w:sz="4" w:space="0" w:color="auto"/>
            </w:tcBorders>
            <w:vAlign w:val="center"/>
          </w:tcPr>
          <w:p w14:paraId="57D9C640" w14:textId="77777777" w:rsidR="00BE60F3" w:rsidRPr="00DC052A" w:rsidRDefault="00BE60F3" w:rsidP="004628CE">
            <w:pPr>
              <w:pStyle w:val="ExhibitText"/>
              <w:jc w:val="left"/>
              <w:rPr>
                <w:b/>
                <w:bCs/>
                <w:sz w:val="18"/>
                <w:szCs w:val="18"/>
                <w:lang w:val="en-CA"/>
              </w:rPr>
            </w:pPr>
            <w:r w:rsidRPr="00DC052A">
              <w:rPr>
                <w:b/>
                <w:bCs/>
                <w:sz w:val="18"/>
                <w:szCs w:val="18"/>
                <w:lang w:val="en-CA"/>
              </w:rPr>
              <w:t>Choice of Taper</w:t>
            </w:r>
          </w:p>
        </w:tc>
        <w:tc>
          <w:tcPr>
            <w:tcW w:w="2220" w:type="dxa"/>
            <w:tcBorders>
              <w:top w:val="dotted" w:sz="4" w:space="0" w:color="auto"/>
              <w:left w:val="dotted" w:sz="4" w:space="0" w:color="auto"/>
              <w:bottom w:val="dotted" w:sz="4" w:space="0" w:color="auto"/>
              <w:right w:val="dotted" w:sz="4" w:space="0" w:color="auto"/>
            </w:tcBorders>
            <w:vAlign w:val="center"/>
          </w:tcPr>
          <w:p w14:paraId="589757D2" w14:textId="77777777" w:rsidR="00BE60F3" w:rsidRPr="00DC052A" w:rsidRDefault="00BE60F3" w:rsidP="004628CE">
            <w:pPr>
              <w:pStyle w:val="ExhibitText"/>
              <w:jc w:val="center"/>
              <w:rPr>
                <w:sz w:val="18"/>
                <w:szCs w:val="18"/>
                <w:lang w:val="en-CA"/>
              </w:rPr>
            </w:pPr>
            <w:r w:rsidRPr="00DC052A">
              <w:rPr>
                <w:rFonts w:ascii="Segoe UI Symbol" w:hAnsi="Segoe UI Symbol" w:cs="Segoe UI Symbol"/>
                <w:sz w:val="18"/>
                <w:szCs w:val="18"/>
                <w:lang w:val="en-CA"/>
              </w:rPr>
              <w:t>✓</w:t>
            </w:r>
          </w:p>
        </w:tc>
        <w:tc>
          <w:tcPr>
            <w:tcW w:w="2220" w:type="dxa"/>
            <w:tcBorders>
              <w:top w:val="dotted" w:sz="4" w:space="0" w:color="auto"/>
              <w:left w:val="dotted" w:sz="4" w:space="0" w:color="auto"/>
              <w:bottom w:val="dotted" w:sz="4" w:space="0" w:color="auto"/>
              <w:right w:val="dotted" w:sz="4" w:space="0" w:color="auto"/>
            </w:tcBorders>
            <w:vAlign w:val="center"/>
          </w:tcPr>
          <w:p w14:paraId="4110F392" w14:textId="77777777" w:rsidR="00BE60F3" w:rsidRPr="00DC052A" w:rsidRDefault="00BE60F3" w:rsidP="004628CE">
            <w:pPr>
              <w:pStyle w:val="ExhibitText"/>
              <w:jc w:val="center"/>
              <w:rPr>
                <w:sz w:val="18"/>
                <w:szCs w:val="18"/>
                <w:lang w:val="en-CA"/>
              </w:rPr>
            </w:pPr>
            <w:r w:rsidRPr="00DC052A">
              <w:rPr>
                <w:rFonts w:ascii="Segoe UI Symbol" w:hAnsi="Segoe UI Symbol" w:cs="Segoe UI Symbol"/>
                <w:sz w:val="18"/>
                <w:szCs w:val="18"/>
                <w:lang w:val="en-CA"/>
              </w:rPr>
              <w:t>✓</w:t>
            </w:r>
          </w:p>
        </w:tc>
        <w:tc>
          <w:tcPr>
            <w:tcW w:w="2220" w:type="dxa"/>
            <w:tcBorders>
              <w:top w:val="dotted" w:sz="4" w:space="0" w:color="auto"/>
              <w:left w:val="dotted" w:sz="4" w:space="0" w:color="auto"/>
              <w:bottom w:val="dotted" w:sz="4" w:space="0" w:color="auto"/>
            </w:tcBorders>
            <w:vAlign w:val="center"/>
          </w:tcPr>
          <w:p w14:paraId="425D118A" w14:textId="77777777" w:rsidR="00BE60F3" w:rsidRPr="00DC052A" w:rsidRDefault="00BE60F3" w:rsidP="004628CE">
            <w:pPr>
              <w:pStyle w:val="ExhibitText"/>
              <w:jc w:val="center"/>
              <w:rPr>
                <w:sz w:val="18"/>
                <w:szCs w:val="18"/>
                <w:lang w:val="en-CA"/>
              </w:rPr>
            </w:pPr>
            <w:r w:rsidRPr="00DC052A">
              <w:rPr>
                <w:rFonts w:ascii="Segoe UI Symbol" w:hAnsi="Segoe UI Symbol" w:cs="Segoe UI Symbol"/>
                <w:sz w:val="18"/>
                <w:szCs w:val="18"/>
                <w:lang w:val="en-CA"/>
              </w:rPr>
              <w:t>✓</w:t>
            </w:r>
          </w:p>
        </w:tc>
      </w:tr>
      <w:tr w:rsidR="00BE60F3" w:rsidRPr="00DC052A" w14:paraId="688B5163" w14:textId="77777777" w:rsidTr="004628CE">
        <w:trPr>
          <w:trHeight w:val="288"/>
        </w:trPr>
        <w:tc>
          <w:tcPr>
            <w:tcW w:w="2700" w:type="dxa"/>
            <w:tcBorders>
              <w:top w:val="dotted" w:sz="4" w:space="0" w:color="auto"/>
              <w:bottom w:val="dotted" w:sz="4" w:space="0" w:color="auto"/>
              <w:right w:val="dotted" w:sz="4" w:space="0" w:color="auto"/>
            </w:tcBorders>
            <w:vAlign w:val="center"/>
          </w:tcPr>
          <w:p w14:paraId="6E9996AE" w14:textId="77777777" w:rsidR="00BE60F3" w:rsidRPr="00DC052A" w:rsidRDefault="00BE60F3" w:rsidP="004628CE">
            <w:pPr>
              <w:pStyle w:val="ExhibitText"/>
              <w:jc w:val="left"/>
              <w:rPr>
                <w:b/>
                <w:bCs/>
                <w:sz w:val="18"/>
                <w:szCs w:val="18"/>
                <w:lang w:val="en-CA"/>
              </w:rPr>
            </w:pPr>
            <w:r w:rsidRPr="00DC052A">
              <w:rPr>
                <w:b/>
                <w:bCs/>
                <w:sz w:val="18"/>
                <w:szCs w:val="18"/>
                <w:lang w:val="en-CA"/>
              </w:rPr>
              <w:t xml:space="preserve">Belt Loops versus Suspender </w:t>
            </w:r>
          </w:p>
        </w:tc>
        <w:tc>
          <w:tcPr>
            <w:tcW w:w="2220" w:type="dxa"/>
            <w:tcBorders>
              <w:top w:val="dotted" w:sz="4" w:space="0" w:color="auto"/>
              <w:left w:val="dotted" w:sz="4" w:space="0" w:color="auto"/>
              <w:bottom w:val="dotted" w:sz="4" w:space="0" w:color="auto"/>
              <w:right w:val="dotted" w:sz="4" w:space="0" w:color="auto"/>
            </w:tcBorders>
            <w:vAlign w:val="center"/>
          </w:tcPr>
          <w:p w14:paraId="15368760" w14:textId="77777777" w:rsidR="00BE60F3" w:rsidRPr="00DC052A" w:rsidRDefault="00BE60F3" w:rsidP="004628CE">
            <w:pPr>
              <w:pStyle w:val="ExhibitText"/>
              <w:jc w:val="center"/>
              <w:rPr>
                <w:sz w:val="18"/>
                <w:szCs w:val="18"/>
                <w:lang w:val="en-CA"/>
              </w:rPr>
            </w:pPr>
            <w:r w:rsidRPr="00DC052A">
              <w:rPr>
                <w:rFonts w:ascii="Segoe UI Symbol" w:hAnsi="Segoe UI Symbol" w:cs="Segoe UI Symbol"/>
                <w:sz w:val="18"/>
                <w:szCs w:val="18"/>
                <w:lang w:val="en-CA"/>
              </w:rPr>
              <w:t>✓</w:t>
            </w:r>
          </w:p>
        </w:tc>
        <w:tc>
          <w:tcPr>
            <w:tcW w:w="2220" w:type="dxa"/>
            <w:tcBorders>
              <w:top w:val="dotted" w:sz="4" w:space="0" w:color="auto"/>
              <w:left w:val="dotted" w:sz="4" w:space="0" w:color="auto"/>
              <w:bottom w:val="dotted" w:sz="4" w:space="0" w:color="auto"/>
              <w:right w:val="dotted" w:sz="4" w:space="0" w:color="auto"/>
            </w:tcBorders>
            <w:vAlign w:val="center"/>
          </w:tcPr>
          <w:p w14:paraId="67F43295" w14:textId="77777777" w:rsidR="00BE60F3" w:rsidRPr="00DC052A" w:rsidRDefault="00BE60F3" w:rsidP="004628CE">
            <w:pPr>
              <w:pStyle w:val="ExhibitText"/>
              <w:jc w:val="center"/>
              <w:rPr>
                <w:sz w:val="18"/>
                <w:szCs w:val="18"/>
                <w:lang w:val="en-CA"/>
              </w:rPr>
            </w:pPr>
            <w:r w:rsidRPr="00DC052A">
              <w:rPr>
                <w:rFonts w:ascii="Segoe UI Symbol" w:hAnsi="Segoe UI Symbol" w:cs="Segoe UI Symbol"/>
                <w:sz w:val="18"/>
                <w:szCs w:val="18"/>
                <w:lang w:val="en-CA"/>
              </w:rPr>
              <w:t>✓</w:t>
            </w:r>
          </w:p>
        </w:tc>
        <w:tc>
          <w:tcPr>
            <w:tcW w:w="2220" w:type="dxa"/>
            <w:tcBorders>
              <w:top w:val="dotted" w:sz="4" w:space="0" w:color="auto"/>
              <w:left w:val="dotted" w:sz="4" w:space="0" w:color="auto"/>
              <w:bottom w:val="dotted" w:sz="4" w:space="0" w:color="auto"/>
            </w:tcBorders>
            <w:vAlign w:val="center"/>
          </w:tcPr>
          <w:p w14:paraId="1E456DA0" w14:textId="77777777" w:rsidR="00BE60F3" w:rsidRPr="00DC052A" w:rsidRDefault="00BE60F3" w:rsidP="004628CE">
            <w:pPr>
              <w:pStyle w:val="ExhibitText"/>
              <w:jc w:val="center"/>
              <w:rPr>
                <w:sz w:val="18"/>
                <w:szCs w:val="18"/>
                <w:lang w:val="en-CA"/>
              </w:rPr>
            </w:pPr>
            <w:r w:rsidRPr="00DC052A">
              <w:rPr>
                <w:rFonts w:ascii="Segoe UI Symbol" w:hAnsi="Segoe UI Symbol" w:cs="Segoe UI Symbol"/>
                <w:sz w:val="18"/>
                <w:szCs w:val="18"/>
                <w:lang w:val="en-CA"/>
              </w:rPr>
              <w:t>✓</w:t>
            </w:r>
          </w:p>
        </w:tc>
      </w:tr>
      <w:tr w:rsidR="00BE60F3" w:rsidRPr="00DC052A" w14:paraId="3E570C2E" w14:textId="77777777" w:rsidTr="004628CE">
        <w:trPr>
          <w:trHeight w:val="288"/>
        </w:trPr>
        <w:tc>
          <w:tcPr>
            <w:tcW w:w="2700" w:type="dxa"/>
            <w:tcBorders>
              <w:top w:val="dotted" w:sz="4" w:space="0" w:color="auto"/>
              <w:bottom w:val="dotted" w:sz="4" w:space="0" w:color="auto"/>
              <w:right w:val="dotted" w:sz="4" w:space="0" w:color="auto"/>
            </w:tcBorders>
            <w:vAlign w:val="center"/>
          </w:tcPr>
          <w:p w14:paraId="43BE40FF" w14:textId="77777777" w:rsidR="00BE60F3" w:rsidRPr="00DC052A" w:rsidRDefault="00BE60F3" w:rsidP="004628CE">
            <w:pPr>
              <w:pStyle w:val="ExhibitText"/>
              <w:jc w:val="left"/>
              <w:rPr>
                <w:b/>
                <w:bCs/>
                <w:sz w:val="18"/>
                <w:szCs w:val="18"/>
                <w:lang w:val="en-CA"/>
              </w:rPr>
            </w:pPr>
            <w:r w:rsidRPr="00DC052A">
              <w:rPr>
                <w:b/>
                <w:bCs/>
                <w:sz w:val="18"/>
                <w:szCs w:val="18"/>
                <w:lang w:val="en-CA"/>
              </w:rPr>
              <w:t>Button Functionality</w:t>
            </w:r>
          </w:p>
        </w:tc>
        <w:tc>
          <w:tcPr>
            <w:tcW w:w="2220" w:type="dxa"/>
            <w:tcBorders>
              <w:top w:val="dotted" w:sz="4" w:space="0" w:color="auto"/>
              <w:left w:val="dotted" w:sz="4" w:space="0" w:color="auto"/>
              <w:bottom w:val="dotted" w:sz="4" w:space="0" w:color="auto"/>
              <w:right w:val="dotted" w:sz="4" w:space="0" w:color="auto"/>
            </w:tcBorders>
            <w:vAlign w:val="center"/>
          </w:tcPr>
          <w:p w14:paraId="74D03E0A" w14:textId="77777777" w:rsidR="00BE60F3" w:rsidRPr="00DC052A" w:rsidRDefault="00BE60F3" w:rsidP="004628CE">
            <w:pPr>
              <w:pStyle w:val="ExhibitText"/>
              <w:jc w:val="center"/>
              <w:rPr>
                <w:sz w:val="18"/>
                <w:szCs w:val="18"/>
                <w:lang w:val="en-CA"/>
              </w:rPr>
            </w:pPr>
            <w:r w:rsidRPr="00DC052A">
              <w:rPr>
                <w:rFonts w:ascii="Segoe UI Symbol" w:hAnsi="Segoe UI Symbol" w:cs="Segoe UI Symbol"/>
                <w:sz w:val="18"/>
                <w:szCs w:val="18"/>
                <w:lang w:val="en-CA"/>
              </w:rPr>
              <w:t>✓</w:t>
            </w:r>
          </w:p>
        </w:tc>
        <w:tc>
          <w:tcPr>
            <w:tcW w:w="2220" w:type="dxa"/>
            <w:tcBorders>
              <w:top w:val="dotted" w:sz="4" w:space="0" w:color="auto"/>
              <w:left w:val="dotted" w:sz="4" w:space="0" w:color="auto"/>
              <w:bottom w:val="dotted" w:sz="4" w:space="0" w:color="auto"/>
              <w:right w:val="dotted" w:sz="4" w:space="0" w:color="auto"/>
            </w:tcBorders>
            <w:vAlign w:val="center"/>
          </w:tcPr>
          <w:p w14:paraId="73E909CE" w14:textId="77777777" w:rsidR="00BE60F3" w:rsidRPr="00DC052A" w:rsidRDefault="00BE60F3" w:rsidP="004628CE">
            <w:pPr>
              <w:pStyle w:val="ExhibitText"/>
              <w:jc w:val="center"/>
              <w:rPr>
                <w:sz w:val="18"/>
                <w:szCs w:val="18"/>
                <w:lang w:val="en-CA"/>
              </w:rPr>
            </w:pPr>
            <w:r w:rsidRPr="00DC052A">
              <w:rPr>
                <w:rFonts w:ascii="Segoe UI Symbol" w:hAnsi="Segoe UI Symbol" w:cs="Segoe UI Symbol"/>
                <w:sz w:val="18"/>
                <w:szCs w:val="18"/>
                <w:lang w:val="en-CA"/>
              </w:rPr>
              <w:t>✓</w:t>
            </w:r>
          </w:p>
        </w:tc>
        <w:tc>
          <w:tcPr>
            <w:tcW w:w="2220" w:type="dxa"/>
            <w:tcBorders>
              <w:top w:val="dotted" w:sz="4" w:space="0" w:color="auto"/>
              <w:left w:val="dotted" w:sz="4" w:space="0" w:color="auto"/>
              <w:bottom w:val="dotted" w:sz="4" w:space="0" w:color="auto"/>
            </w:tcBorders>
            <w:vAlign w:val="center"/>
          </w:tcPr>
          <w:p w14:paraId="4E2A0D8F" w14:textId="77777777" w:rsidR="00BE60F3" w:rsidRPr="00DC052A" w:rsidRDefault="00BE60F3" w:rsidP="004628CE">
            <w:pPr>
              <w:pStyle w:val="ExhibitText"/>
              <w:jc w:val="center"/>
              <w:rPr>
                <w:sz w:val="18"/>
                <w:szCs w:val="18"/>
                <w:lang w:val="en-CA"/>
              </w:rPr>
            </w:pPr>
            <w:r w:rsidRPr="00DC052A">
              <w:rPr>
                <w:rFonts w:ascii="Segoe UI Symbol" w:hAnsi="Segoe UI Symbol" w:cs="Segoe UI Symbol"/>
                <w:sz w:val="18"/>
                <w:szCs w:val="18"/>
                <w:lang w:val="en-CA"/>
              </w:rPr>
              <w:t>✓</w:t>
            </w:r>
          </w:p>
        </w:tc>
      </w:tr>
      <w:tr w:rsidR="00BE60F3" w:rsidRPr="00DC052A" w14:paraId="487FC1CB" w14:textId="77777777" w:rsidTr="004628CE">
        <w:trPr>
          <w:trHeight w:val="288"/>
        </w:trPr>
        <w:tc>
          <w:tcPr>
            <w:tcW w:w="2700" w:type="dxa"/>
            <w:tcBorders>
              <w:top w:val="dotted" w:sz="4" w:space="0" w:color="auto"/>
              <w:bottom w:val="single" w:sz="4" w:space="0" w:color="auto"/>
              <w:right w:val="dotted" w:sz="4" w:space="0" w:color="auto"/>
            </w:tcBorders>
            <w:vAlign w:val="center"/>
          </w:tcPr>
          <w:p w14:paraId="2C7B0366" w14:textId="77777777" w:rsidR="00BE60F3" w:rsidRPr="00DC052A" w:rsidRDefault="00BE60F3" w:rsidP="004628CE">
            <w:pPr>
              <w:pStyle w:val="ExhibitText"/>
              <w:jc w:val="left"/>
              <w:rPr>
                <w:b/>
                <w:bCs/>
                <w:sz w:val="18"/>
                <w:szCs w:val="18"/>
                <w:lang w:val="en-CA"/>
              </w:rPr>
            </w:pPr>
            <w:r w:rsidRPr="00DC052A">
              <w:rPr>
                <w:b/>
                <w:bCs/>
                <w:sz w:val="18"/>
                <w:szCs w:val="18"/>
                <w:lang w:val="en-CA"/>
              </w:rPr>
              <w:t>Monogram</w:t>
            </w:r>
          </w:p>
        </w:tc>
        <w:tc>
          <w:tcPr>
            <w:tcW w:w="2220" w:type="dxa"/>
            <w:tcBorders>
              <w:top w:val="dotted" w:sz="4" w:space="0" w:color="auto"/>
              <w:left w:val="dotted" w:sz="4" w:space="0" w:color="auto"/>
              <w:bottom w:val="single" w:sz="4" w:space="0" w:color="auto"/>
              <w:right w:val="dotted" w:sz="4" w:space="0" w:color="auto"/>
            </w:tcBorders>
            <w:vAlign w:val="center"/>
          </w:tcPr>
          <w:p w14:paraId="063E2CDC" w14:textId="77777777" w:rsidR="00BE60F3" w:rsidRPr="00DC052A" w:rsidRDefault="00BE60F3" w:rsidP="004628CE">
            <w:pPr>
              <w:pStyle w:val="ExhibitText"/>
              <w:jc w:val="center"/>
              <w:rPr>
                <w:sz w:val="18"/>
                <w:szCs w:val="18"/>
                <w:lang w:val="en-CA"/>
              </w:rPr>
            </w:pPr>
            <w:r w:rsidRPr="00DC052A">
              <w:rPr>
                <w:rFonts w:ascii="Segoe UI Symbol" w:hAnsi="Segoe UI Symbol" w:cs="Segoe UI Symbol"/>
                <w:sz w:val="18"/>
                <w:szCs w:val="18"/>
                <w:lang w:val="en-CA"/>
              </w:rPr>
              <w:t>✓</w:t>
            </w:r>
          </w:p>
        </w:tc>
        <w:tc>
          <w:tcPr>
            <w:tcW w:w="2220" w:type="dxa"/>
            <w:tcBorders>
              <w:top w:val="dotted" w:sz="4" w:space="0" w:color="auto"/>
              <w:left w:val="dotted" w:sz="4" w:space="0" w:color="auto"/>
              <w:bottom w:val="single" w:sz="4" w:space="0" w:color="auto"/>
              <w:right w:val="dotted" w:sz="4" w:space="0" w:color="auto"/>
            </w:tcBorders>
            <w:vAlign w:val="center"/>
          </w:tcPr>
          <w:p w14:paraId="1A4BAE5E" w14:textId="77777777" w:rsidR="00BE60F3" w:rsidRPr="00DC052A" w:rsidRDefault="00BE60F3" w:rsidP="004628CE">
            <w:pPr>
              <w:pStyle w:val="ExhibitText"/>
              <w:jc w:val="center"/>
              <w:rPr>
                <w:sz w:val="18"/>
                <w:szCs w:val="18"/>
                <w:lang w:val="en-CA"/>
              </w:rPr>
            </w:pPr>
            <w:r w:rsidRPr="00DC052A">
              <w:rPr>
                <w:rFonts w:ascii="Segoe UI Symbol" w:hAnsi="Segoe UI Symbol" w:cs="Segoe UI Symbol"/>
                <w:sz w:val="18"/>
                <w:szCs w:val="18"/>
                <w:lang w:val="en-CA"/>
              </w:rPr>
              <w:t>✓</w:t>
            </w:r>
          </w:p>
        </w:tc>
        <w:tc>
          <w:tcPr>
            <w:tcW w:w="2220" w:type="dxa"/>
            <w:tcBorders>
              <w:top w:val="dotted" w:sz="4" w:space="0" w:color="auto"/>
              <w:left w:val="dotted" w:sz="4" w:space="0" w:color="auto"/>
              <w:bottom w:val="single" w:sz="4" w:space="0" w:color="auto"/>
            </w:tcBorders>
            <w:vAlign w:val="center"/>
          </w:tcPr>
          <w:p w14:paraId="646D19B3" w14:textId="77777777" w:rsidR="00BE60F3" w:rsidRPr="00DC052A" w:rsidRDefault="00BE60F3" w:rsidP="004628CE">
            <w:pPr>
              <w:pStyle w:val="ExhibitText"/>
              <w:jc w:val="center"/>
              <w:rPr>
                <w:sz w:val="18"/>
                <w:szCs w:val="18"/>
                <w:lang w:val="en-CA"/>
              </w:rPr>
            </w:pPr>
            <w:r w:rsidRPr="00DC052A">
              <w:rPr>
                <w:rFonts w:ascii="Segoe UI Symbol" w:hAnsi="Segoe UI Symbol" w:cs="Segoe UI Symbol"/>
                <w:sz w:val="18"/>
                <w:szCs w:val="18"/>
                <w:lang w:val="en-CA"/>
              </w:rPr>
              <w:t>✓</w:t>
            </w:r>
          </w:p>
        </w:tc>
      </w:tr>
    </w:tbl>
    <w:p w14:paraId="683A5373" w14:textId="77777777" w:rsidR="00BE60F3" w:rsidRPr="00DC052A" w:rsidRDefault="00BE60F3" w:rsidP="00BE60F3">
      <w:pPr>
        <w:pStyle w:val="ExhibitText"/>
        <w:rPr>
          <w:lang w:val="en-CA"/>
        </w:rPr>
      </w:pPr>
    </w:p>
    <w:p w14:paraId="20A0404A" w14:textId="77777777" w:rsidR="00BE60F3" w:rsidRPr="00DC052A" w:rsidRDefault="00BE60F3" w:rsidP="00BE60F3">
      <w:pPr>
        <w:pStyle w:val="Footnote"/>
        <w:rPr>
          <w:b/>
          <w:caps/>
          <w:lang w:val="en-CA"/>
        </w:rPr>
      </w:pPr>
      <w:r w:rsidRPr="00DC052A">
        <w:rPr>
          <w:lang w:val="en-CA"/>
        </w:rPr>
        <w:t>Source: Company files.</w:t>
      </w:r>
      <w:r w:rsidRPr="00DC052A">
        <w:rPr>
          <w:lang w:val="en-CA"/>
        </w:rPr>
        <w:br w:type="page"/>
      </w:r>
    </w:p>
    <w:p w14:paraId="3ECF24BC" w14:textId="77777777" w:rsidR="00BE60F3" w:rsidRPr="00DC052A" w:rsidRDefault="00BE60F3" w:rsidP="00BE60F3">
      <w:pPr>
        <w:pStyle w:val="ExhibitHeading"/>
        <w:rPr>
          <w:lang w:val="en-CA"/>
        </w:rPr>
      </w:pPr>
      <w:r w:rsidRPr="00DC052A">
        <w:rPr>
          <w:lang w:val="en-CA"/>
        </w:rPr>
        <w:lastRenderedPageBreak/>
        <w:t>Exhibit 3: Hudson St. Clair Survey Results</w:t>
      </w:r>
    </w:p>
    <w:p w14:paraId="2BC10F93" w14:textId="77777777" w:rsidR="00BE60F3" w:rsidRPr="00DC052A" w:rsidRDefault="00BE60F3" w:rsidP="00BE60F3">
      <w:pPr>
        <w:pStyle w:val="ExhibitText"/>
        <w:rPr>
          <w:lang w:val="en-CA"/>
        </w:rPr>
      </w:pPr>
    </w:p>
    <w:p w14:paraId="287F34A0" w14:textId="77777777" w:rsidR="00BE60F3" w:rsidRPr="00DC052A" w:rsidRDefault="00BE60F3" w:rsidP="00BE60F3">
      <w:pPr>
        <w:pStyle w:val="ExhibitText"/>
        <w:rPr>
          <w:lang w:val="en-CA"/>
        </w:rPr>
      </w:pPr>
      <w:r w:rsidRPr="00DC052A">
        <w:rPr>
          <w:lang w:val="en-CA"/>
        </w:rPr>
        <w:t>Survey demographics: 221 respondents (195 Americans, 26 internationals; 136 urban, 85 rural; 210 males, 11 females)</w:t>
      </w:r>
    </w:p>
    <w:p w14:paraId="331296C6" w14:textId="77777777" w:rsidR="00BE60F3" w:rsidRPr="00DC052A" w:rsidRDefault="00BE60F3" w:rsidP="00BE60F3">
      <w:pPr>
        <w:pStyle w:val="ExhibitText"/>
        <w:rPr>
          <w:lang w:val="en-CA"/>
        </w:rPr>
      </w:pPr>
    </w:p>
    <w:tbl>
      <w:tblPr>
        <w:tblStyle w:val="TableGrid"/>
        <w:tblW w:w="5000" w:type="pct"/>
        <w:tblBorders>
          <w:top w:val="none" w:sz="0" w:space="0" w:color="auto"/>
          <w:left w:val="none" w:sz="0" w:space="0" w:color="auto"/>
          <w:bottom w:val="none" w:sz="0" w:space="0" w:color="auto"/>
          <w:right w:val="none" w:sz="0" w:space="0" w:color="auto"/>
        </w:tblBorders>
        <w:tblCellMar>
          <w:top w:w="115" w:type="dxa"/>
          <w:bottom w:w="115" w:type="dxa"/>
        </w:tblCellMar>
        <w:tblLook w:val="04A0" w:firstRow="1" w:lastRow="0" w:firstColumn="1" w:lastColumn="0" w:noHBand="0" w:noVBand="1"/>
      </w:tblPr>
      <w:tblGrid>
        <w:gridCol w:w="4680"/>
        <w:gridCol w:w="4680"/>
      </w:tblGrid>
      <w:tr w:rsidR="00BE60F3" w:rsidRPr="00DC052A" w14:paraId="15C33A98" w14:textId="77777777" w:rsidTr="004628CE">
        <w:trPr>
          <w:trHeight w:val="288"/>
        </w:trPr>
        <w:tc>
          <w:tcPr>
            <w:tcW w:w="4675" w:type="dxa"/>
          </w:tcPr>
          <w:p w14:paraId="6B2EE9B1" w14:textId="77777777" w:rsidR="00BE60F3" w:rsidRPr="00DC052A" w:rsidRDefault="00BE60F3" w:rsidP="004628CE">
            <w:pPr>
              <w:pStyle w:val="ExhibitText"/>
              <w:numPr>
                <w:ilvl w:val="0"/>
                <w:numId w:val="13"/>
              </w:numPr>
              <w:jc w:val="left"/>
              <w:rPr>
                <w:lang w:val="en-CA"/>
              </w:rPr>
            </w:pPr>
            <w:r w:rsidRPr="00DC052A">
              <w:rPr>
                <w:lang w:val="en-CA"/>
              </w:rPr>
              <w:t>Given identical pricing, where would you like your suits to be manufactured?</w:t>
            </w:r>
          </w:p>
          <w:p w14:paraId="01C81B3F" w14:textId="77777777" w:rsidR="00BE60F3" w:rsidRPr="00DC052A" w:rsidRDefault="00BE60F3" w:rsidP="004628CE">
            <w:pPr>
              <w:pStyle w:val="ExhibitText"/>
              <w:jc w:val="left"/>
              <w:rPr>
                <w:lang w:val="en-CA"/>
              </w:rPr>
            </w:pPr>
          </w:p>
          <w:p w14:paraId="74CA01BF" w14:textId="77777777" w:rsidR="00BE60F3" w:rsidRPr="00DC052A" w:rsidRDefault="00BE60F3" w:rsidP="004628CE">
            <w:pPr>
              <w:pStyle w:val="ExhibitText"/>
              <w:jc w:val="center"/>
              <w:rPr>
                <w:lang w:val="en-CA"/>
              </w:rPr>
            </w:pPr>
            <w:r w:rsidRPr="00DC052A">
              <w:rPr>
                <w:noProof/>
                <w:lang w:val="en-CA" w:eastAsia="en-CA"/>
              </w:rPr>
              <w:drawing>
                <wp:inline distT="0" distB="0" distL="0" distR="0" wp14:anchorId="4E588A80" wp14:editId="35C63CD9">
                  <wp:extent cx="2103120" cy="2103120"/>
                  <wp:effectExtent l="0" t="0" r="5080" b="508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4B1EFA2" w14:textId="77777777" w:rsidR="00BE60F3" w:rsidRPr="00DC052A" w:rsidRDefault="00BE60F3" w:rsidP="004628CE">
            <w:pPr>
              <w:pStyle w:val="ExhibitText"/>
              <w:jc w:val="center"/>
              <w:rPr>
                <w:lang w:val="en-CA"/>
              </w:rPr>
            </w:pPr>
          </w:p>
        </w:tc>
        <w:tc>
          <w:tcPr>
            <w:tcW w:w="4675" w:type="dxa"/>
          </w:tcPr>
          <w:p w14:paraId="3942CBFB" w14:textId="77777777" w:rsidR="00BE60F3" w:rsidRPr="00DC052A" w:rsidRDefault="00BE60F3" w:rsidP="004628CE">
            <w:pPr>
              <w:pStyle w:val="ExhibitText"/>
              <w:numPr>
                <w:ilvl w:val="0"/>
                <w:numId w:val="13"/>
              </w:numPr>
              <w:jc w:val="left"/>
              <w:rPr>
                <w:lang w:val="en-CA"/>
              </w:rPr>
            </w:pPr>
            <w:r w:rsidRPr="00DC052A">
              <w:rPr>
                <w:lang w:val="en-CA"/>
              </w:rPr>
              <w:t>What type of material do you prefer your suit to be made from?</w:t>
            </w:r>
          </w:p>
          <w:p w14:paraId="52982384" w14:textId="77777777" w:rsidR="00BE60F3" w:rsidRPr="00DC052A" w:rsidRDefault="00BE60F3" w:rsidP="004628CE">
            <w:pPr>
              <w:pStyle w:val="ExhibitText"/>
              <w:jc w:val="left"/>
              <w:rPr>
                <w:lang w:val="en-CA"/>
              </w:rPr>
            </w:pPr>
          </w:p>
          <w:p w14:paraId="319755CC" w14:textId="77777777" w:rsidR="00BE60F3" w:rsidRPr="00DC052A" w:rsidRDefault="00BE60F3" w:rsidP="004628CE">
            <w:pPr>
              <w:pStyle w:val="ExhibitText"/>
              <w:jc w:val="center"/>
              <w:rPr>
                <w:lang w:val="en-CA"/>
              </w:rPr>
            </w:pPr>
            <w:r w:rsidRPr="00DC052A">
              <w:rPr>
                <w:noProof/>
                <w:lang w:val="en-CA" w:eastAsia="en-CA"/>
              </w:rPr>
              <w:drawing>
                <wp:inline distT="0" distB="0" distL="0" distR="0" wp14:anchorId="11191D56" wp14:editId="0B87312E">
                  <wp:extent cx="2103120" cy="2103120"/>
                  <wp:effectExtent l="0" t="0" r="5080" b="508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BE60F3" w:rsidRPr="00DC052A" w14:paraId="4BB0215F" w14:textId="77777777" w:rsidTr="004628CE">
        <w:trPr>
          <w:trHeight w:val="288"/>
        </w:trPr>
        <w:tc>
          <w:tcPr>
            <w:tcW w:w="4675" w:type="dxa"/>
          </w:tcPr>
          <w:p w14:paraId="7DAB97A1" w14:textId="77777777" w:rsidR="00BE60F3" w:rsidRPr="00DC052A" w:rsidRDefault="00BE60F3" w:rsidP="004628CE">
            <w:pPr>
              <w:pStyle w:val="ExhibitText"/>
              <w:numPr>
                <w:ilvl w:val="0"/>
                <w:numId w:val="13"/>
              </w:numPr>
              <w:jc w:val="left"/>
              <w:rPr>
                <w:lang w:val="en-CA"/>
              </w:rPr>
            </w:pPr>
            <w:r w:rsidRPr="00DC052A">
              <w:rPr>
                <w:lang w:val="en-CA"/>
              </w:rPr>
              <w:t>What is the price you are willing to pay for a well-fitted suit?</w:t>
            </w:r>
          </w:p>
          <w:p w14:paraId="3AE50774" w14:textId="77777777" w:rsidR="00BE60F3" w:rsidRPr="00DC052A" w:rsidRDefault="00BE60F3" w:rsidP="004628CE">
            <w:pPr>
              <w:pStyle w:val="ExhibitText"/>
              <w:jc w:val="left"/>
              <w:rPr>
                <w:lang w:val="en-CA"/>
              </w:rPr>
            </w:pPr>
          </w:p>
          <w:p w14:paraId="7F5BD2AA" w14:textId="77777777" w:rsidR="00BE60F3" w:rsidRPr="00DC052A" w:rsidRDefault="00BE60F3" w:rsidP="004628CE">
            <w:pPr>
              <w:pStyle w:val="ExhibitText"/>
              <w:jc w:val="center"/>
              <w:rPr>
                <w:lang w:val="en-CA"/>
              </w:rPr>
            </w:pPr>
            <w:r w:rsidRPr="00DC052A">
              <w:rPr>
                <w:noProof/>
                <w:lang w:val="en-CA" w:eastAsia="en-CA"/>
              </w:rPr>
              <w:drawing>
                <wp:inline distT="0" distB="0" distL="0" distR="0" wp14:anchorId="5C766962" wp14:editId="45B5ACDE">
                  <wp:extent cx="2103120" cy="2103120"/>
                  <wp:effectExtent l="0" t="0" r="5080" b="508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0ADC8AF" w14:textId="77777777" w:rsidR="00BE60F3" w:rsidRPr="00DC052A" w:rsidRDefault="00BE60F3" w:rsidP="004628CE">
            <w:pPr>
              <w:pStyle w:val="ExhibitText"/>
              <w:jc w:val="center"/>
              <w:rPr>
                <w:lang w:val="en-CA"/>
              </w:rPr>
            </w:pPr>
          </w:p>
        </w:tc>
        <w:tc>
          <w:tcPr>
            <w:tcW w:w="4675" w:type="dxa"/>
          </w:tcPr>
          <w:p w14:paraId="25F89E0B" w14:textId="77777777" w:rsidR="00BE60F3" w:rsidRPr="00DC052A" w:rsidRDefault="00BE60F3" w:rsidP="004628CE">
            <w:pPr>
              <w:pStyle w:val="ExhibitText"/>
              <w:numPr>
                <w:ilvl w:val="0"/>
                <w:numId w:val="13"/>
              </w:numPr>
              <w:jc w:val="left"/>
              <w:rPr>
                <w:lang w:val="en-CA"/>
              </w:rPr>
            </w:pPr>
            <w:r w:rsidRPr="00DC052A">
              <w:rPr>
                <w:lang w:val="en-CA"/>
              </w:rPr>
              <w:t>What is your expectation on the longevity of a suit? How long do you expect it to last?</w:t>
            </w:r>
          </w:p>
          <w:p w14:paraId="4DD3D5E0" w14:textId="77777777" w:rsidR="00BE60F3" w:rsidRPr="00DC052A" w:rsidRDefault="00BE60F3" w:rsidP="004628CE">
            <w:pPr>
              <w:pStyle w:val="ExhibitText"/>
              <w:jc w:val="left"/>
              <w:rPr>
                <w:lang w:val="en-CA"/>
              </w:rPr>
            </w:pPr>
          </w:p>
          <w:p w14:paraId="52C0DB76" w14:textId="77777777" w:rsidR="00BE60F3" w:rsidRPr="00DC052A" w:rsidRDefault="00BE60F3" w:rsidP="004628CE">
            <w:pPr>
              <w:pStyle w:val="ExhibitText"/>
              <w:jc w:val="center"/>
              <w:rPr>
                <w:lang w:val="en-CA"/>
              </w:rPr>
            </w:pPr>
            <w:r w:rsidRPr="00DC052A">
              <w:rPr>
                <w:noProof/>
                <w:sz w:val="22"/>
                <w:szCs w:val="22"/>
                <w:lang w:val="en-CA" w:eastAsia="en-CA"/>
              </w:rPr>
              <w:drawing>
                <wp:inline distT="0" distB="0" distL="0" distR="0" wp14:anchorId="65B59970" wp14:editId="02CC40E6">
                  <wp:extent cx="2103120" cy="2103120"/>
                  <wp:effectExtent l="0" t="0" r="5080" b="508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bl>
    <w:p w14:paraId="3EFD1BBE" w14:textId="77777777" w:rsidR="00BE60F3" w:rsidRPr="00DC052A" w:rsidRDefault="00BE60F3" w:rsidP="00BE60F3">
      <w:pPr>
        <w:pStyle w:val="ExhibitText"/>
        <w:rPr>
          <w:lang w:val="en-CA"/>
        </w:rPr>
      </w:pPr>
    </w:p>
    <w:p w14:paraId="2C183161" w14:textId="0EE3B644" w:rsidR="00BE60F3" w:rsidRDefault="00BE60F3" w:rsidP="00BE60F3">
      <w:pPr>
        <w:pStyle w:val="Footnote"/>
        <w:rPr>
          <w:lang w:val="en-CA"/>
        </w:rPr>
      </w:pPr>
      <w:r w:rsidRPr="00DC052A">
        <w:rPr>
          <w:lang w:val="en-CA"/>
        </w:rPr>
        <w:t>Source: Company files</w:t>
      </w:r>
      <w:r>
        <w:rPr>
          <w:lang w:val="en-CA"/>
        </w:rPr>
        <w:t>.</w:t>
      </w:r>
    </w:p>
    <w:p w14:paraId="0BEF2F8C" w14:textId="77777777" w:rsidR="007D2769" w:rsidRDefault="00BE60F3">
      <w:pPr>
        <w:spacing w:after="200" w:line="276" w:lineRule="auto"/>
        <w:rPr>
          <w:lang w:val="en-CA"/>
        </w:rPr>
        <w:sectPr w:rsidR="007D2769" w:rsidSect="00751E0B">
          <w:headerReference w:type="default" r:id="rId14"/>
          <w:pgSz w:w="12240" w:h="15840" w:code="1"/>
          <w:pgMar w:top="1080" w:right="1440" w:bottom="1440" w:left="1440" w:header="1080" w:footer="720" w:gutter="0"/>
          <w:cols w:space="720"/>
          <w:titlePg/>
          <w:docGrid w:linePitch="360"/>
        </w:sectPr>
      </w:pPr>
      <w:r>
        <w:rPr>
          <w:lang w:val="en-CA"/>
        </w:rPr>
        <w:br w:type="page"/>
      </w:r>
    </w:p>
    <w:p w14:paraId="20011855" w14:textId="77777777" w:rsidR="007D2769" w:rsidRPr="00DC052A" w:rsidRDefault="007D2769" w:rsidP="007D2769">
      <w:pPr>
        <w:pStyle w:val="ExhibitHeading"/>
        <w:rPr>
          <w:lang w:val="en-CA"/>
        </w:rPr>
      </w:pPr>
      <w:r w:rsidRPr="00DC052A">
        <w:rPr>
          <w:lang w:val="en-CA"/>
        </w:rPr>
        <w:lastRenderedPageBreak/>
        <w:t>Exhibit 4: Projected total Suit sales for Hudson St. Clair (Number of Suits SOLD)</w:t>
      </w:r>
    </w:p>
    <w:p w14:paraId="650F3E02" w14:textId="77777777" w:rsidR="007D2769" w:rsidRPr="00DC052A" w:rsidRDefault="007D2769" w:rsidP="007D2769">
      <w:pPr>
        <w:pStyle w:val="ExhibitText"/>
        <w:rPr>
          <w:lang w:val="en-CA"/>
        </w:rPr>
      </w:pPr>
    </w:p>
    <w:tbl>
      <w:tblPr>
        <w:tblStyle w:val="TableGrid"/>
        <w:tblW w:w="5000"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25"/>
        <w:gridCol w:w="926"/>
        <w:gridCol w:w="926"/>
        <w:gridCol w:w="925"/>
        <w:gridCol w:w="926"/>
        <w:gridCol w:w="926"/>
        <w:gridCol w:w="926"/>
        <w:gridCol w:w="925"/>
        <w:gridCol w:w="926"/>
        <w:gridCol w:w="926"/>
        <w:gridCol w:w="925"/>
        <w:gridCol w:w="926"/>
        <w:gridCol w:w="926"/>
        <w:gridCol w:w="926"/>
      </w:tblGrid>
      <w:tr w:rsidR="007D2769" w:rsidRPr="00DC052A" w14:paraId="3FE8F5BA" w14:textId="77777777" w:rsidTr="004628CE">
        <w:trPr>
          <w:trHeight w:val="288"/>
          <w:jc w:val="center"/>
        </w:trPr>
        <w:tc>
          <w:tcPr>
            <w:tcW w:w="13310" w:type="dxa"/>
            <w:gridSpan w:val="14"/>
            <w:tcBorders>
              <w:top w:val="nil"/>
              <w:bottom w:val="single" w:sz="4" w:space="0" w:color="auto"/>
            </w:tcBorders>
            <w:noWrap/>
            <w:vAlign w:val="center"/>
            <w:hideMark/>
          </w:tcPr>
          <w:p w14:paraId="14CAB75C" w14:textId="77777777" w:rsidR="007D2769" w:rsidRPr="00DC052A" w:rsidRDefault="007D2769" w:rsidP="004628CE">
            <w:pPr>
              <w:pStyle w:val="ExhibitText"/>
              <w:rPr>
                <w:b/>
                <w:bCs/>
                <w:lang w:val="en-CA"/>
              </w:rPr>
            </w:pPr>
            <w:r w:rsidRPr="00DC052A">
              <w:rPr>
                <w:b/>
                <w:bCs/>
                <w:lang w:val="en-CA"/>
              </w:rPr>
              <w:t>Low Scenario</w:t>
            </w:r>
          </w:p>
        </w:tc>
      </w:tr>
      <w:tr w:rsidR="007D2769" w:rsidRPr="00DC052A" w14:paraId="0003434E" w14:textId="77777777" w:rsidTr="004628CE">
        <w:trPr>
          <w:trHeight w:val="288"/>
          <w:jc w:val="center"/>
        </w:trPr>
        <w:tc>
          <w:tcPr>
            <w:tcW w:w="950" w:type="dxa"/>
            <w:tcBorders>
              <w:top w:val="single" w:sz="4" w:space="0" w:color="auto"/>
              <w:bottom w:val="single" w:sz="4" w:space="0" w:color="auto"/>
            </w:tcBorders>
            <w:noWrap/>
            <w:vAlign w:val="center"/>
            <w:hideMark/>
          </w:tcPr>
          <w:p w14:paraId="6727A7FA" w14:textId="77777777" w:rsidR="007D2769" w:rsidRPr="00DC052A" w:rsidRDefault="007D2769" w:rsidP="004628CE">
            <w:pPr>
              <w:pStyle w:val="ExhibitText"/>
              <w:jc w:val="center"/>
              <w:rPr>
                <w:b/>
                <w:bCs/>
                <w:lang w:val="en-CA"/>
              </w:rPr>
            </w:pPr>
          </w:p>
        </w:tc>
        <w:tc>
          <w:tcPr>
            <w:tcW w:w="951" w:type="dxa"/>
            <w:tcBorders>
              <w:top w:val="single" w:sz="4" w:space="0" w:color="auto"/>
              <w:bottom w:val="single" w:sz="4" w:space="0" w:color="auto"/>
            </w:tcBorders>
            <w:noWrap/>
            <w:vAlign w:val="center"/>
            <w:hideMark/>
          </w:tcPr>
          <w:p w14:paraId="7763FFA1" w14:textId="77777777" w:rsidR="007D2769" w:rsidRPr="00DC052A" w:rsidRDefault="007D2769" w:rsidP="004628CE">
            <w:pPr>
              <w:pStyle w:val="ExhibitText"/>
              <w:jc w:val="center"/>
              <w:rPr>
                <w:b/>
                <w:bCs/>
                <w:lang w:val="en-CA"/>
              </w:rPr>
            </w:pPr>
            <w:r w:rsidRPr="00DC052A">
              <w:rPr>
                <w:b/>
                <w:bCs/>
                <w:lang w:val="en-CA"/>
              </w:rPr>
              <w:t>Mar.</w:t>
            </w:r>
          </w:p>
        </w:tc>
        <w:tc>
          <w:tcPr>
            <w:tcW w:w="951" w:type="dxa"/>
            <w:tcBorders>
              <w:top w:val="single" w:sz="4" w:space="0" w:color="auto"/>
              <w:bottom w:val="single" w:sz="4" w:space="0" w:color="auto"/>
            </w:tcBorders>
            <w:noWrap/>
            <w:vAlign w:val="center"/>
            <w:hideMark/>
          </w:tcPr>
          <w:p w14:paraId="5252AD36" w14:textId="77777777" w:rsidR="007D2769" w:rsidRPr="00DC052A" w:rsidRDefault="007D2769" w:rsidP="004628CE">
            <w:pPr>
              <w:pStyle w:val="ExhibitText"/>
              <w:jc w:val="center"/>
              <w:rPr>
                <w:b/>
                <w:bCs/>
                <w:lang w:val="en-CA"/>
              </w:rPr>
            </w:pPr>
            <w:r w:rsidRPr="00DC052A">
              <w:rPr>
                <w:b/>
                <w:bCs/>
                <w:lang w:val="en-CA"/>
              </w:rPr>
              <w:t>Apr.</w:t>
            </w:r>
          </w:p>
        </w:tc>
        <w:tc>
          <w:tcPr>
            <w:tcW w:w="950" w:type="dxa"/>
            <w:tcBorders>
              <w:top w:val="single" w:sz="4" w:space="0" w:color="auto"/>
              <w:bottom w:val="single" w:sz="4" w:space="0" w:color="auto"/>
            </w:tcBorders>
            <w:noWrap/>
            <w:vAlign w:val="center"/>
            <w:hideMark/>
          </w:tcPr>
          <w:p w14:paraId="48CBD5D8" w14:textId="77777777" w:rsidR="007D2769" w:rsidRPr="00DC052A" w:rsidRDefault="007D2769" w:rsidP="004628CE">
            <w:pPr>
              <w:pStyle w:val="ExhibitText"/>
              <w:jc w:val="center"/>
              <w:rPr>
                <w:b/>
                <w:bCs/>
                <w:lang w:val="en-CA"/>
              </w:rPr>
            </w:pPr>
            <w:r w:rsidRPr="00DC052A">
              <w:rPr>
                <w:b/>
                <w:bCs/>
                <w:lang w:val="en-CA"/>
              </w:rPr>
              <w:t>May</w:t>
            </w:r>
          </w:p>
        </w:tc>
        <w:tc>
          <w:tcPr>
            <w:tcW w:w="951" w:type="dxa"/>
            <w:tcBorders>
              <w:top w:val="single" w:sz="4" w:space="0" w:color="auto"/>
              <w:bottom w:val="single" w:sz="4" w:space="0" w:color="auto"/>
            </w:tcBorders>
            <w:noWrap/>
            <w:vAlign w:val="center"/>
            <w:hideMark/>
          </w:tcPr>
          <w:p w14:paraId="4ED7A885" w14:textId="77777777" w:rsidR="007D2769" w:rsidRPr="00DC052A" w:rsidRDefault="007D2769" w:rsidP="004628CE">
            <w:pPr>
              <w:pStyle w:val="ExhibitText"/>
              <w:jc w:val="center"/>
              <w:rPr>
                <w:b/>
                <w:bCs/>
                <w:lang w:val="en-CA"/>
              </w:rPr>
            </w:pPr>
            <w:r w:rsidRPr="00DC052A">
              <w:rPr>
                <w:b/>
                <w:bCs/>
                <w:lang w:val="en-CA"/>
              </w:rPr>
              <w:t>June</w:t>
            </w:r>
          </w:p>
        </w:tc>
        <w:tc>
          <w:tcPr>
            <w:tcW w:w="951" w:type="dxa"/>
            <w:tcBorders>
              <w:top w:val="single" w:sz="4" w:space="0" w:color="auto"/>
              <w:bottom w:val="single" w:sz="4" w:space="0" w:color="auto"/>
            </w:tcBorders>
            <w:noWrap/>
            <w:vAlign w:val="center"/>
            <w:hideMark/>
          </w:tcPr>
          <w:p w14:paraId="4268C31E" w14:textId="77777777" w:rsidR="007D2769" w:rsidRPr="00DC052A" w:rsidRDefault="007D2769" w:rsidP="004628CE">
            <w:pPr>
              <w:pStyle w:val="ExhibitText"/>
              <w:jc w:val="center"/>
              <w:rPr>
                <w:b/>
                <w:bCs/>
                <w:lang w:val="en-CA"/>
              </w:rPr>
            </w:pPr>
            <w:r w:rsidRPr="00DC052A">
              <w:rPr>
                <w:b/>
                <w:bCs/>
                <w:lang w:val="en-CA"/>
              </w:rPr>
              <w:t>July</w:t>
            </w:r>
          </w:p>
        </w:tc>
        <w:tc>
          <w:tcPr>
            <w:tcW w:w="951" w:type="dxa"/>
            <w:tcBorders>
              <w:top w:val="single" w:sz="4" w:space="0" w:color="auto"/>
              <w:bottom w:val="single" w:sz="4" w:space="0" w:color="auto"/>
            </w:tcBorders>
            <w:noWrap/>
            <w:vAlign w:val="center"/>
            <w:hideMark/>
          </w:tcPr>
          <w:p w14:paraId="481236B5" w14:textId="77777777" w:rsidR="007D2769" w:rsidRPr="00DC052A" w:rsidRDefault="007D2769" w:rsidP="004628CE">
            <w:pPr>
              <w:pStyle w:val="ExhibitText"/>
              <w:jc w:val="center"/>
              <w:rPr>
                <w:b/>
                <w:bCs/>
                <w:lang w:val="en-CA"/>
              </w:rPr>
            </w:pPr>
            <w:r w:rsidRPr="00DC052A">
              <w:rPr>
                <w:b/>
                <w:bCs/>
                <w:lang w:val="en-CA"/>
              </w:rPr>
              <w:t>Aug.</w:t>
            </w:r>
          </w:p>
        </w:tc>
        <w:tc>
          <w:tcPr>
            <w:tcW w:w="950" w:type="dxa"/>
            <w:tcBorders>
              <w:top w:val="single" w:sz="4" w:space="0" w:color="auto"/>
              <w:bottom w:val="single" w:sz="4" w:space="0" w:color="auto"/>
            </w:tcBorders>
            <w:noWrap/>
            <w:vAlign w:val="center"/>
            <w:hideMark/>
          </w:tcPr>
          <w:p w14:paraId="7DC98B4D" w14:textId="77777777" w:rsidR="007D2769" w:rsidRPr="00DC052A" w:rsidRDefault="007D2769" w:rsidP="004628CE">
            <w:pPr>
              <w:pStyle w:val="ExhibitText"/>
              <w:jc w:val="center"/>
              <w:rPr>
                <w:b/>
                <w:bCs/>
                <w:lang w:val="en-CA"/>
              </w:rPr>
            </w:pPr>
            <w:r w:rsidRPr="00DC052A">
              <w:rPr>
                <w:b/>
                <w:bCs/>
                <w:lang w:val="en-CA"/>
              </w:rPr>
              <w:t>Sept.</w:t>
            </w:r>
          </w:p>
        </w:tc>
        <w:tc>
          <w:tcPr>
            <w:tcW w:w="951" w:type="dxa"/>
            <w:tcBorders>
              <w:top w:val="single" w:sz="4" w:space="0" w:color="auto"/>
              <w:bottom w:val="single" w:sz="4" w:space="0" w:color="auto"/>
            </w:tcBorders>
            <w:noWrap/>
            <w:vAlign w:val="center"/>
            <w:hideMark/>
          </w:tcPr>
          <w:p w14:paraId="37F2091A" w14:textId="77777777" w:rsidR="007D2769" w:rsidRPr="00DC052A" w:rsidRDefault="007D2769" w:rsidP="004628CE">
            <w:pPr>
              <w:pStyle w:val="ExhibitText"/>
              <w:jc w:val="center"/>
              <w:rPr>
                <w:b/>
                <w:bCs/>
                <w:lang w:val="en-CA"/>
              </w:rPr>
            </w:pPr>
            <w:r w:rsidRPr="00DC052A">
              <w:rPr>
                <w:b/>
                <w:bCs/>
                <w:lang w:val="en-CA"/>
              </w:rPr>
              <w:t>Oct.</w:t>
            </w:r>
          </w:p>
        </w:tc>
        <w:tc>
          <w:tcPr>
            <w:tcW w:w="951" w:type="dxa"/>
            <w:tcBorders>
              <w:top w:val="single" w:sz="4" w:space="0" w:color="auto"/>
              <w:bottom w:val="single" w:sz="4" w:space="0" w:color="auto"/>
            </w:tcBorders>
            <w:noWrap/>
            <w:vAlign w:val="center"/>
            <w:hideMark/>
          </w:tcPr>
          <w:p w14:paraId="5B53F54C" w14:textId="77777777" w:rsidR="007D2769" w:rsidRPr="00DC052A" w:rsidRDefault="007D2769" w:rsidP="004628CE">
            <w:pPr>
              <w:pStyle w:val="ExhibitText"/>
              <w:jc w:val="center"/>
              <w:rPr>
                <w:b/>
                <w:bCs/>
                <w:lang w:val="en-CA"/>
              </w:rPr>
            </w:pPr>
            <w:r w:rsidRPr="00DC052A">
              <w:rPr>
                <w:b/>
                <w:bCs/>
                <w:lang w:val="en-CA"/>
              </w:rPr>
              <w:t>Nov.</w:t>
            </w:r>
          </w:p>
        </w:tc>
        <w:tc>
          <w:tcPr>
            <w:tcW w:w="950" w:type="dxa"/>
            <w:tcBorders>
              <w:top w:val="single" w:sz="4" w:space="0" w:color="auto"/>
              <w:bottom w:val="single" w:sz="4" w:space="0" w:color="auto"/>
            </w:tcBorders>
            <w:noWrap/>
            <w:vAlign w:val="center"/>
            <w:hideMark/>
          </w:tcPr>
          <w:p w14:paraId="3EF6500F" w14:textId="77777777" w:rsidR="007D2769" w:rsidRPr="00DC052A" w:rsidRDefault="007D2769" w:rsidP="004628CE">
            <w:pPr>
              <w:pStyle w:val="ExhibitText"/>
              <w:jc w:val="center"/>
              <w:rPr>
                <w:b/>
                <w:bCs/>
                <w:lang w:val="en-CA"/>
              </w:rPr>
            </w:pPr>
            <w:r w:rsidRPr="00DC052A">
              <w:rPr>
                <w:b/>
                <w:bCs/>
                <w:lang w:val="en-CA"/>
              </w:rPr>
              <w:t>Dec.</w:t>
            </w:r>
          </w:p>
        </w:tc>
        <w:tc>
          <w:tcPr>
            <w:tcW w:w="951" w:type="dxa"/>
            <w:tcBorders>
              <w:top w:val="single" w:sz="4" w:space="0" w:color="auto"/>
              <w:bottom w:val="single" w:sz="4" w:space="0" w:color="auto"/>
            </w:tcBorders>
            <w:noWrap/>
            <w:vAlign w:val="center"/>
            <w:hideMark/>
          </w:tcPr>
          <w:p w14:paraId="0A6A1510" w14:textId="77777777" w:rsidR="007D2769" w:rsidRPr="00DC052A" w:rsidRDefault="007D2769" w:rsidP="004628CE">
            <w:pPr>
              <w:pStyle w:val="ExhibitText"/>
              <w:jc w:val="center"/>
              <w:rPr>
                <w:b/>
                <w:bCs/>
                <w:lang w:val="en-CA"/>
              </w:rPr>
            </w:pPr>
            <w:r w:rsidRPr="00DC052A">
              <w:rPr>
                <w:b/>
                <w:bCs/>
                <w:lang w:val="en-CA"/>
              </w:rPr>
              <w:t>Jan.</w:t>
            </w:r>
          </w:p>
        </w:tc>
        <w:tc>
          <w:tcPr>
            <w:tcW w:w="951" w:type="dxa"/>
            <w:tcBorders>
              <w:top w:val="single" w:sz="4" w:space="0" w:color="auto"/>
              <w:bottom w:val="single" w:sz="4" w:space="0" w:color="auto"/>
            </w:tcBorders>
            <w:noWrap/>
            <w:vAlign w:val="center"/>
            <w:hideMark/>
          </w:tcPr>
          <w:p w14:paraId="22B6B07A" w14:textId="77777777" w:rsidR="007D2769" w:rsidRPr="00DC052A" w:rsidRDefault="007D2769" w:rsidP="004628CE">
            <w:pPr>
              <w:pStyle w:val="ExhibitText"/>
              <w:jc w:val="center"/>
              <w:rPr>
                <w:b/>
                <w:bCs/>
                <w:lang w:val="en-CA"/>
              </w:rPr>
            </w:pPr>
            <w:r w:rsidRPr="00DC052A">
              <w:rPr>
                <w:b/>
                <w:bCs/>
                <w:lang w:val="en-CA"/>
              </w:rPr>
              <w:t>Feb.</w:t>
            </w:r>
          </w:p>
        </w:tc>
        <w:tc>
          <w:tcPr>
            <w:tcW w:w="951" w:type="dxa"/>
            <w:tcBorders>
              <w:top w:val="single" w:sz="4" w:space="0" w:color="auto"/>
              <w:bottom w:val="single" w:sz="4" w:space="0" w:color="auto"/>
            </w:tcBorders>
            <w:noWrap/>
            <w:vAlign w:val="center"/>
            <w:hideMark/>
          </w:tcPr>
          <w:p w14:paraId="559CEB7F" w14:textId="77777777" w:rsidR="007D2769" w:rsidRPr="00DC052A" w:rsidRDefault="007D2769" w:rsidP="004628CE">
            <w:pPr>
              <w:pStyle w:val="ExhibitText"/>
              <w:jc w:val="center"/>
              <w:rPr>
                <w:b/>
                <w:bCs/>
                <w:lang w:val="en-CA"/>
              </w:rPr>
            </w:pPr>
            <w:r w:rsidRPr="00DC052A">
              <w:rPr>
                <w:b/>
                <w:bCs/>
                <w:lang w:val="en-CA"/>
              </w:rPr>
              <w:t>Total</w:t>
            </w:r>
          </w:p>
        </w:tc>
      </w:tr>
      <w:tr w:rsidR="007D2769" w:rsidRPr="00DC052A" w14:paraId="2903A02D" w14:textId="77777777" w:rsidTr="004628CE">
        <w:trPr>
          <w:trHeight w:val="288"/>
          <w:jc w:val="center"/>
        </w:trPr>
        <w:tc>
          <w:tcPr>
            <w:tcW w:w="950" w:type="dxa"/>
            <w:tcBorders>
              <w:top w:val="single" w:sz="4" w:space="0" w:color="auto"/>
            </w:tcBorders>
            <w:noWrap/>
            <w:vAlign w:val="center"/>
            <w:hideMark/>
          </w:tcPr>
          <w:p w14:paraId="1839A47C" w14:textId="77777777" w:rsidR="007D2769" w:rsidRPr="00DC052A" w:rsidRDefault="007D2769" w:rsidP="004628CE">
            <w:pPr>
              <w:pStyle w:val="ExhibitText"/>
              <w:rPr>
                <w:bCs/>
                <w:lang w:val="en-CA"/>
              </w:rPr>
            </w:pPr>
            <w:r w:rsidRPr="00DC052A">
              <w:rPr>
                <w:bCs/>
                <w:lang w:val="en-CA"/>
              </w:rPr>
              <w:t>2017</w:t>
            </w:r>
          </w:p>
        </w:tc>
        <w:tc>
          <w:tcPr>
            <w:tcW w:w="951" w:type="dxa"/>
            <w:tcBorders>
              <w:top w:val="single" w:sz="4" w:space="0" w:color="auto"/>
            </w:tcBorders>
            <w:noWrap/>
            <w:vAlign w:val="center"/>
            <w:hideMark/>
          </w:tcPr>
          <w:p w14:paraId="7667F5C6" w14:textId="77777777" w:rsidR="007D2769" w:rsidRPr="00DC052A" w:rsidRDefault="007D2769" w:rsidP="004628CE">
            <w:pPr>
              <w:pStyle w:val="ExhibitText"/>
              <w:jc w:val="right"/>
              <w:rPr>
                <w:b/>
                <w:bCs/>
                <w:lang w:val="en-CA"/>
              </w:rPr>
            </w:pPr>
            <w:r w:rsidRPr="00DC052A">
              <w:rPr>
                <w:bCs/>
                <w:lang w:val="en-CA"/>
              </w:rPr>
              <w:t>0</w:t>
            </w:r>
          </w:p>
        </w:tc>
        <w:tc>
          <w:tcPr>
            <w:tcW w:w="951" w:type="dxa"/>
            <w:tcBorders>
              <w:top w:val="single" w:sz="4" w:space="0" w:color="auto"/>
            </w:tcBorders>
            <w:noWrap/>
            <w:vAlign w:val="center"/>
            <w:hideMark/>
          </w:tcPr>
          <w:p w14:paraId="0D4C9499" w14:textId="77777777" w:rsidR="007D2769" w:rsidRPr="00DC052A" w:rsidRDefault="007D2769" w:rsidP="004628CE">
            <w:pPr>
              <w:pStyle w:val="ExhibitText"/>
              <w:jc w:val="right"/>
              <w:rPr>
                <w:b/>
                <w:bCs/>
                <w:lang w:val="en-CA"/>
              </w:rPr>
            </w:pPr>
            <w:r w:rsidRPr="00DC052A">
              <w:rPr>
                <w:bCs/>
                <w:lang w:val="en-CA"/>
              </w:rPr>
              <w:t>0</w:t>
            </w:r>
          </w:p>
        </w:tc>
        <w:tc>
          <w:tcPr>
            <w:tcW w:w="950" w:type="dxa"/>
            <w:tcBorders>
              <w:top w:val="single" w:sz="4" w:space="0" w:color="auto"/>
            </w:tcBorders>
            <w:noWrap/>
            <w:vAlign w:val="center"/>
            <w:hideMark/>
          </w:tcPr>
          <w:p w14:paraId="4DED5D6A" w14:textId="77777777" w:rsidR="007D2769" w:rsidRPr="00DC052A" w:rsidRDefault="007D2769" w:rsidP="004628CE">
            <w:pPr>
              <w:pStyle w:val="ExhibitText"/>
              <w:jc w:val="right"/>
              <w:rPr>
                <w:b/>
                <w:bCs/>
                <w:lang w:val="en-CA"/>
              </w:rPr>
            </w:pPr>
            <w:r w:rsidRPr="00DC052A">
              <w:rPr>
                <w:bCs/>
                <w:lang w:val="en-CA"/>
              </w:rPr>
              <w:t>30</w:t>
            </w:r>
          </w:p>
        </w:tc>
        <w:tc>
          <w:tcPr>
            <w:tcW w:w="951" w:type="dxa"/>
            <w:tcBorders>
              <w:top w:val="single" w:sz="4" w:space="0" w:color="auto"/>
            </w:tcBorders>
            <w:noWrap/>
            <w:vAlign w:val="center"/>
            <w:hideMark/>
          </w:tcPr>
          <w:p w14:paraId="26258F50" w14:textId="77777777" w:rsidR="007D2769" w:rsidRPr="00DC052A" w:rsidRDefault="007D2769" w:rsidP="004628CE">
            <w:pPr>
              <w:pStyle w:val="ExhibitText"/>
              <w:jc w:val="right"/>
              <w:rPr>
                <w:b/>
                <w:bCs/>
                <w:lang w:val="en-CA"/>
              </w:rPr>
            </w:pPr>
            <w:r w:rsidRPr="00DC052A">
              <w:rPr>
                <w:bCs/>
                <w:lang w:val="en-CA"/>
              </w:rPr>
              <w:t>40</w:t>
            </w:r>
          </w:p>
        </w:tc>
        <w:tc>
          <w:tcPr>
            <w:tcW w:w="951" w:type="dxa"/>
            <w:tcBorders>
              <w:top w:val="single" w:sz="4" w:space="0" w:color="auto"/>
            </w:tcBorders>
            <w:noWrap/>
            <w:vAlign w:val="center"/>
            <w:hideMark/>
          </w:tcPr>
          <w:p w14:paraId="09F7C7CF" w14:textId="77777777" w:rsidR="007D2769" w:rsidRPr="00DC052A" w:rsidRDefault="007D2769" w:rsidP="004628CE">
            <w:pPr>
              <w:pStyle w:val="ExhibitText"/>
              <w:jc w:val="right"/>
              <w:rPr>
                <w:b/>
                <w:bCs/>
                <w:lang w:val="en-CA"/>
              </w:rPr>
            </w:pPr>
            <w:r w:rsidRPr="00DC052A">
              <w:rPr>
                <w:bCs/>
                <w:lang w:val="en-CA"/>
              </w:rPr>
              <w:t>50</w:t>
            </w:r>
          </w:p>
        </w:tc>
        <w:tc>
          <w:tcPr>
            <w:tcW w:w="951" w:type="dxa"/>
            <w:tcBorders>
              <w:top w:val="single" w:sz="4" w:space="0" w:color="auto"/>
            </w:tcBorders>
            <w:noWrap/>
            <w:vAlign w:val="center"/>
            <w:hideMark/>
          </w:tcPr>
          <w:p w14:paraId="01B8F837" w14:textId="77777777" w:rsidR="007D2769" w:rsidRPr="00DC052A" w:rsidRDefault="007D2769" w:rsidP="004628CE">
            <w:pPr>
              <w:pStyle w:val="ExhibitText"/>
              <w:jc w:val="right"/>
              <w:rPr>
                <w:b/>
                <w:bCs/>
                <w:lang w:val="en-CA"/>
              </w:rPr>
            </w:pPr>
            <w:r w:rsidRPr="00DC052A">
              <w:rPr>
                <w:bCs/>
                <w:lang w:val="en-CA"/>
              </w:rPr>
              <w:t>60</w:t>
            </w:r>
          </w:p>
        </w:tc>
        <w:tc>
          <w:tcPr>
            <w:tcW w:w="950" w:type="dxa"/>
            <w:tcBorders>
              <w:top w:val="single" w:sz="4" w:space="0" w:color="auto"/>
            </w:tcBorders>
            <w:noWrap/>
            <w:vAlign w:val="center"/>
            <w:hideMark/>
          </w:tcPr>
          <w:p w14:paraId="3017094F" w14:textId="77777777" w:rsidR="007D2769" w:rsidRPr="00DC052A" w:rsidRDefault="007D2769" w:rsidP="004628CE">
            <w:pPr>
              <w:pStyle w:val="ExhibitText"/>
              <w:jc w:val="right"/>
              <w:rPr>
                <w:b/>
                <w:bCs/>
                <w:lang w:val="en-CA"/>
              </w:rPr>
            </w:pPr>
            <w:r w:rsidRPr="00DC052A">
              <w:rPr>
                <w:bCs/>
                <w:lang w:val="en-CA"/>
              </w:rPr>
              <w:t>80</w:t>
            </w:r>
          </w:p>
        </w:tc>
        <w:tc>
          <w:tcPr>
            <w:tcW w:w="951" w:type="dxa"/>
            <w:tcBorders>
              <w:top w:val="single" w:sz="4" w:space="0" w:color="auto"/>
            </w:tcBorders>
            <w:noWrap/>
            <w:vAlign w:val="center"/>
            <w:hideMark/>
          </w:tcPr>
          <w:p w14:paraId="7ECCDF6F" w14:textId="77777777" w:rsidR="007D2769" w:rsidRPr="00DC052A" w:rsidRDefault="007D2769" w:rsidP="004628CE">
            <w:pPr>
              <w:pStyle w:val="ExhibitText"/>
              <w:jc w:val="right"/>
              <w:rPr>
                <w:b/>
                <w:bCs/>
                <w:lang w:val="en-CA"/>
              </w:rPr>
            </w:pPr>
            <w:r w:rsidRPr="00DC052A">
              <w:rPr>
                <w:bCs/>
                <w:lang w:val="en-CA"/>
              </w:rPr>
              <w:t>80</w:t>
            </w:r>
          </w:p>
        </w:tc>
        <w:tc>
          <w:tcPr>
            <w:tcW w:w="951" w:type="dxa"/>
            <w:tcBorders>
              <w:top w:val="single" w:sz="4" w:space="0" w:color="auto"/>
            </w:tcBorders>
            <w:noWrap/>
            <w:vAlign w:val="center"/>
            <w:hideMark/>
          </w:tcPr>
          <w:p w14:paraId="14A49DF6" w14:textId="77777777" w:rsidR="007D2769" w:rsidRPr="00DC052A" w:rsidRDefault="007D2769" w:rsidP="004628CE">
            <w:pPr>
              <w:pStyle w:val="ExhibitText"/>
              <w:jc w:val="right"/>
              <w:rPr>
                <w:b/>
                <w:bCs/>
                <w:lang w:val="en-CA"/>
              </w:rPr>
            </w:pPr>
            <w:r w:rsidRPr="00DC052A">
              <w:rPr>
                <w:bCs/>
                <w:lang w:val="en-CA"/>
              </w:rPr>
              <w:t>80</w:t>
            </w:r>
          </w:p>
        </w:tc>
        <w:tc>
          <w:tcPr>
            <w:tcW w:w="950" w:type="dxa"/>
            <w:tcBorders>
              <w:top w:val="single" w:sz="4" w:space="0" w:color="auto"/>
            </w:tcBorders>
            <w:noWrap/>
            <w:vAlign w:val="center"/>
            <w:hideMark/>
          </w:tcPr>
          <w:p w14:paraId="0A4CAAEE" w14:textId="77777777" w:rsidR="007D2769" w:rsidRPr="00DC052A" w:rsidRDefault="007D2769" w:rsidP="004628CE">
            <w:pPr>
              <w:pStyle w:val="ExhibitText"/>
              <w:jc w:val="right"/>
              <w:rPr>
                <w:b/>
                <w:bCs/>
                <w:lang w:val="en-CA"/>
              </w:rPr>
            </w:pPr>
            <w:r w:rsidRPr="00DC052A">
              <w:rPr>
                <w:bCs/>
                <w:lang w:val="en-CA"/>
              </w:rPr>
              <w:t>80</w:t>
            </w:r>
          </w:p>
        </w:tc>
        <w:tc>
          <w:tcPr>
            <w:tcW w:w="951" w:type="dxa"/>
            <w:tcBorders>
              <w:top w:val="single" w:sz="4" w:space="0" w:color="auto"/>
            </w:tcBorders>
            <w:noWrap/>
            <w:vAlign w:val="center"/>
            <w:hideMark/>
          </w:tcPr>
          <w:p w14:paraId="3A4627A8" w14:textId="77777777" w:rsidR="007D2769" w:rsidRPr="00DC052A" w:rsidRDefault="007D2769" w:rsidP="004628CE">
            <w:pPr>
              <w:pStyle w:val="ExhibitText"/>
              <w:jc w:val="right"/>
              <w:rPr>
                <w:b/>
                <w:bCs/>
                <w:lang w:val="en-CA"/>
              </w:rPr>
            </w:pPr>
            <w:r w:rsidRPr="00DC052A">
              <w:rPr>
                <w:bCs/>
                <w:lang w:val="en-CA"/>
              </w:rPr>
              <w:t>80</w:t>
            </w:r>
          </w:p>
        </w:tc>
        <w:tc>
          <w:tcPr>
            <w:tcW w:w="951" w:type="dxa"/>
            <w:tcBorders>
              <w:top w:val="single" w:sz="4" w:space="0" w:color="auto"/>
            </w:tcBorders>
            <w:noWrap/>
            <w:vAlign w:val="center"/>
            <w:hideMark/>
          </w:tcPr>
          <w:p w14:paraId="306C1E8A" w14:textId="77777777" w:rsidR="007D2769" w:rsidRPr="00DC052A" w:rsidRDefault="007D2769" w:rsidP="004628CE">
            <w:pPr>
              <w:pStyle w:val="ExhibitText"/>
              <w:jc w:val="right"/>
              <w:rPr>
                <w:b/>
                <w:bCs/>
                <w:lang w:val="en-CA"/>
              </w:rPr>
            </w:pPr>
            <w:r w:rsidRPr="00DC052A">
              <w:rPr>
                <w:bCs/>
                <w:lang w:val="en-CA"/>
              </w:rPr>
              <w:t>80</w:t>
            </w:r>
          </w:p>
        </w:tc>
        <w:tc>
          <w:tcPr>
            <w:tcW w:w="951" w:type="dxa"/>
            <w:tcBorders>
              <w:top w:val="single" w:sz="4" w:space="0" w:color="auto"/>
            </w:tcBorders>
            <w:noWrap/>
            <w:vAlign w:val="center"/>
            <w:hideMark/>
          </w:tcPr>
          <w:p w14:paraId="3EDC6B0D" w14:textId="77777777" w:rsidR="007D2769" w:rsidRPr="00DC052A" w:rsidRDefault="007D2769" w:rsidP="004628CE">
            <w:pPr>
              <w:pStyle w:val="ExhibitText"/>
              <w:jc w:val="right"/>
              <w:rPr>
                <w:bCs/>
                <w:lang w:val="en-CA"/>
              </w:rPr>
            </w:pPr>
            <w:r w:rsidRPr="00DC052A">
              <w:rPr>
                <w:bCs/>
                <w:lang w:val="en-CA"/>
              </w:rPr>
              <w:t>660</w:t>
            </w:r>
          </w:p>
        </w:tc>
      </w:tr>
      <w:tr w:rsidR="007D2769" w:rsidRPr="00DC052A" w14:paraId="7890F5F5" w14:textId="77777777" w:rsidTr="004628CE">
        <w:trPr>
          <w:trHeight w:val="288"/>
          <w:jc w:val="center"/>
        </w:trPr>
        <w:tc>
          <w:tcPr>
            <w:tcW w:w="950" w:type="dxa"/>
            <w:tcBorders>
              <w:bottom w:val="nil"/>
            </w:tcBorders>
            <w:noWrap/>
            <w:vAlign w:val="center"/>
            <w:hideMark/>
          </w:tcPr>
          <w:p w14:paraId="0B2498A5" w14:textId="77777777" w:rsidR="007D2769" w:rsidRPr="00DC052A" w:rsidRDefault="007D2769" w:rsidP="004628CE">
            <w:pPr>
              <w:pStyle w:val="ExhibitText"/>
              <w:rPr>
                <w:bCs/>
                <w:lang w:val="en-CA"/>
              </w:rPr>
            </w:pPr>
            <w:r w:rsidRPr="00DC052A">
              <w:rPr>
                <w:bCs/>
                <w:lang w:val="en-CA"/>
              </w:rPr>
              <w:t>2018</w:t>
            </w:r>
          </w:p>
        </w:tc>
        <w:tc>
          <w:tcPr>
            <w:tcW w:w="951" w:type="dxa"/>
            <w:tcBorders>
              <w:bottom w:val="nil"/>
            </w:tcBorders>
            <w:noWrap/>
            <w:vAlign w:val="center"/>
            <w:hideMark/>
          </w:tcPr>
          <w:p w14:paraId="1600B18F" w14:textId="77777777" w:rsidR="007D2769" w:rsidRPr="00DC052A" w:rsidRDefault="007D2769" w:rsidP="004628CE">
            <w:pPr>
              <w:pStyle w:val="ExhibitText"/>
              <w:jc w:val="right"/>
              <w:rPr>
                <w:b/>
                <w:bCs/>
                <w:lang w:val="en-CA"/>
              </w:rPr>
            </w:pPr>
            <w:r w:rsidRPr="00DC052A">
              <w:rPr>
                <w:bCs/>
                <w:lang w:val="en-CA"/>
              </w:rPr>
              <w:t>80</w:t>
            </w:r>
          </w:p>
        </w:tc>
        <w:tc>
          <w:tcPr>
            <w:tcW w:w="951" w:type="dxa"/>
            <w:tcBorders>
              <w:bottom w:val="nil"/>
            </w:tcBorders>
            <w:noWrap/>
            <w:vAlign w:val="center"/>
            <w:hideMark/>
          </w:tcPr>
          <w:p w14:paraId="33A87698" w14:textId="77777777" w:rsidR="007D2769" w:rsidRPr="00DC052A" w:rsidRDefault="007D2769" w:rsidP="004628CE">
            <w:pPr>
              <w:pStyle w:val="ExhibitText"/>
              <w:jc w:val="right"/>
              <w:rPr>
                <w:b/>
                <w:bCs/>
                <w:lang w:val="en-CA"/>
              </w:rPr>
            </w:pPr>
            <w:r w:rsidRPr="00DC052A">
              <w:rPr>
                <w:bCs/>
                <w:lang w:val="en-CA"/>
              </w:rPr>
              <w:t>80</w:t>
            </w:r>
          </w:p>
        </w:tc>
        <w:tc>
          <w:tcPr>
            <w:tcW w:w="950" w:type="dxa"/>
            <w:tcBorders>
              <w:bottom w:val="nil"/>
            </w:tcBorders>
            <w:noWrap/>
            <w:vAlign w:val="center"/>
            <w:hideMark/>
          </w:tcPr>
          <w:p w14:paraId="60DA6F2C" w14:textId="77777777" w:rsidR="007D2769" w:rsidRPr="00DC052A" w:rsidRDefault="007D2769" w:rsidP="004628CE">
            <w:pPr>
              <w:pStyle w:val="ExhibitText"/>
              <w:jc w:val="right"/>
              <w:rPr>
                <w:b/>
                <w:bCs/>
                <w:lang w:val="en-CA"/>
              </w:rPr>
            </w:pPr>
            <w:r w:rsidRPr="00DC052A">
              <w:rPr>
                <w:bCs/>
                <w:lang w:val="en-CA"/>
              </w:rPr>
              <w:t>100</w:t>
            </w:r>
          </w:p>
        </w:tc>
        <w:tc>
          <w:tcPr>
            <w:tcW w:w="951" w:type="dxa"/>
            <w:tcBorders>
              <w:bottom w:val="nil"/>
            </w:tcBorders>
            <w:noWrap/>
            <w:vAlign w:val="center"/>
            <w:hideMark/>
          </w:tcPr>
          <w:p w14:paraId="36E7CF8A" w14:textId="77777777" w:rsidR="007D2769" w:rsidRPr="00DC052A" w:rsidRDefault="007D2769" w:rsidP="004628CE">
            <w:pPr>
              <w:pStyle w:val="ExhibitText"/>
              <w:jc w:val="right"/>
              <w:rPr>
                <w:b/>
                <w:bCs/>
                <w:lang w:val="en-CA"/>
              </w:rPr>
            </w:pPr>
            <w:r w:rsidRPr="00DC052A">
              <w:rPr>
                <w:bCs/>
                <w:lang w:val="en-CA"/>
              </w:rPr>
              <w:t>120</w:t>
            </w:r>
          </w:p>
        </w:tc>
        <w:tc>
          <w:tcPr>
            <w:tcW w:w="951" w:type="dxa"/>
            <w:tcBorders>
              <w:bottom w:val="nil"/>
            </w:tcBorders>
            <w:noWrap/>
            <w:vAlign w:val="center"/>
            <w:hideMark/>
          </w:tcPr>
          <w:p w14:paraId="7611B1D4" w14:textId="77777777" w:rsidR="007D2769" w:rsidRPr="00DC052A" w:rsidRDefault="007D2769" w:rsidP="004628CE">
            <w:pPr>
              <w:pStyle w:val="ExhibitText"/>
              <w:jc w:val="right"/>
              <w:rPr>
                <w:b/>
                <w:bCs/>
                <w:lang w:val="en-CA"/>
              </w:rPr>
            </w:pPr>
            <w:r w:rsidRPr="00DC052A">
              <w:rPr>
                <w:bCs/>
                <w:lang w:val="en-CA"/>
              </w:rPr>
              <w:t>120</w:t>
            </w:r>
          </w:p>
        </w:tc>
        <w:tc>
          <w:tcPr>
            <w:tcW w:w="951" w:type="dxa"/>
            <w:tcBorders>
              <w:bottom w:val="nil"/>
            </w:tcBorders>
            <w:noWrap/>
            <w:vAlign w:val="center"/>
            <w:hideMark/>
          </w:tcPr>
          <w:p w14:paraId="1FE003E9" w14:textId="77777777" w:rsidR="007D2769" w:rsidRPr="00DC052A" w:rsidRDefault="007D2769" w:rsidP="004628CE">
            <w:pPr>
              <w:pStyle w:val="ExhibitText"/>
              <w:jc w:val="right"/>
              <w:rPr>
                <w:b/>
                <w:bCs/>
                <w:lang w:val="en-CA"/>
              </w:rPr>
            </w:pPr>
            <w:r w:rsidRPr="00DC052A">
              <w:rPr>
                <w:bCs/>
                <w:lang w:val="en-CA"/>
              </w:rPr>
              <w:t>120</w:t>
            </w:r>
          </w:p>
        </w:tc>
        <w:tc>
          <w:tcPr>
            <w:tcW w:w="950" w:type="dxa"/>
            <w:tcBorders>
              <w:bottom w:val="nil"/>
            </w:tcBorders>
            <w:noWrap/>
            <w:vAlign w:val="center"/>
            <w:hideMark/>
          </w:tcPr>
          <w:p w14:paraId="7002B8B7" w14:textId="77777777" w:rsidR="007D2769" w:rsidRPr="00DC052A" w:rsidRDefault="007D2769" w:rsidP="004628CE">
            <w:pPr>
              <w:pStyle w:val="ExhibitText"/>
              <w:jc w:val="right"/>
              <w:rPr>
                <w:b/>
                <w:bCs/>
                <w:lang w:val="en-CA"/>
              </w:rPr>
            </w:pPr>
            <w:r w:rsidRPr="00DC052A">
              <w:rPr>
                <w:bCs/>
                <w:lang w:val="en-CA"/>
              </w:rPr>
              <w:t>90</w:t>
            </w:r>
          </w:p>
        </w:tc>
        <w:tc>
          <w:tcPr>
            <w:tcW w:w="951" w:type="dxa"/>
            <w:tcBorders>
              <w:bottom w:val="nil"/>
            </w:tcBorders>
            <w:noWrap/>
            <w:vAlign w:val="center"/>
            <w:hideMark/>
          </w:tcPr>
          <w:p w14:paraId="337531BA" w14:textId="77777777" w:rsidR="007D2769" w:rsidRPr="00DC052A" w:rsidRDefault="007D2769" w:rsidP="004628CE">
            <w:pPr>
              <w:pStyle w:val="ExhibitText"/>
              <w:jc w:val="right"/>
              <w:rPr>
                <w:b/>
                <w:bCs/>
                <w:lang w:val="en-CA"/>
              </w:rPr>
            </w:pPr>
            <w:r w:rsidRPr="00DC052A">
              <w:rPr>
                <w:bCs/>
                <w:lang w:val="en-CA"/>
              </w:rPr>
              <w:t>90</w:t>
            </w:r>
          </w:p>
        </w:tc>
        <w:tc>
          <w:tcPr>
            <w:tcW w:w="951" w:type="dxa"/>
            <w:tcBorders>
              <w:bottom w:val="nil"/>
            </w:tcBorders>
            <w:noWrap/>
            <w:vAlign w:val="center"/>
            <w:hideMark/>
          </w:tcPr>
          <w:p w14:paraId="3201801E" w14:textId="77777777" w:rsidR="007D2769" w:rsidRPr="00DC052A" w:rsidRDefault="007D2769" w:rsidP="004628CE">
            <w:pPr>
              <w:pStyle w:val="ExhibitText"/>
              <w:jc w:val="right"/>
              <w:rPr>
                <w:b/>
                <w:bCs/>
                <w:lang w:val="en-CA"/>
              </w:rPr>
            </w:pPr>
            <w:r w:rsidRPr="00DC052A">
              <w:rPr>
                <w:bCs/>
                <w:lang w:val="en-CA"/>
              </w:rPr>
              <w:t>90</w:t>
            </w:r>
          </w:p>
        </w:tc>
        <w:tc>
          <w:tcPr>
            <w:tcW w:w="950" w:type="dxa"/>
            <w:tcBorders>
              <w:bottom w:val="nil"/>
            </w:tcBorders>
            <w:noWrap/>
            <w:vAlign w:val="center"/>
            <w:hideMark/>
          </w:tcPr>
          <w:p w14:paraId="7E9CC6AD" w14:textId="77777777" w:rsidR="007D2769" w:rsidRPr="00DC052A" w:rsidRDefault="007D2769" w:rsidP="004628CE">
            <w:pPr>
              <w:pStyle w:val="ExhibitText"/>
              <w:jc w:val="right"/>
              <w:rPr>
                <w:b/>
                <w:bCs/>
                <w:lang w:val="en-CA"/>
              </w:rPr>
            </w:pPr>
            <w:r w:rsidRPr="00DC052A">
              <w:rPr>
                <w:bCs/>
                <w:lang w:val="en-CA"/>
              </w:rPr>
              <w:t>90</w:t>
            </w:r>
          </w:p>
        </w:tc>
        <w:tc>
          <w:tcPr>
            <w:tcW w:w="951" w:type="dxa"/>
            <w:tcBorders>
              <w:bottom w:val="nil"/>
            </w:tcBorders>
            <w:noWrap/>
            <w:vAlign w:val="center"/>
            <w:hideMark/>
          </w:tcPr>
          <w:p w14:paraId="5F7EDB7F" w14:textId="77777777" w:rsidR="007D2769" w:rsidRPr="00DC052A" w:rsidRDefault="007D2769" w:rsidP="004628CE">
            <w:pPr>
              <w:pStyle w:val="ExhibitText"/>
              <w:jc w:val="right"/>
              <w:rPr>
                <w:b/>
                <w:bCs/>
                <w:lang w:val="en-CA"/>
              </w:rPr>
            </w:pPr>
            <w:r w:rsidRPr="00DC052A">
              <w:rPr>
                <w:bCs/>
                <w:lang w:val="en-CA"/>
              </w:rPr>
              <w:t>90</w:t>
            </w:r>
          </w:p>
        </w:tc>
        <w:tc>
          <w:tcPr>
            <w:tcW w:w="951" w:type="dxa"/>
            <w:tcBorders>
              <w:bottom w:val="nil"/>
            </w:tcBorders>
            <w:noWrap/>
            <w:vAlign w:val="center"/>
            <w:hideMark/>
          </w:tcPr>
          <w:p w14:paraId="20B792B2" w14:textId="77777777" w:rsidR="007D2769" w:rsidRPr="00DC052A" w:rsidRDefault="007D2769" w:rsidP="004628CE">
            <w:pPr>
              <w:pStyle w:val="ExhibitText"/>
              <w:jc w:val="right"/>
              <w:rPr>
                <w:b/>
                <w:bCs/>
                <w:lang w:val="en-CA"/>
              </w:rPr>
            </w:pPr>
            <w:r w:rsidRPr="00DC052A">
              <w:rPr>
                <w:bCs/>
                <w:lang w:val="en-CA"/>
              </w:rPr>
              <w:t>90</w:t>
            </w:r>
          </w:p>
        </w:tc>
        <w:tc>
          <w:tcPr>
            <w:tcW w:w="951" w:type="dxa"/>
            <w:tcBorders>
              <w:bottom w:val="nil"/>
            </w:tcBorders>
            <w:noWrap/>
            <w:vAlign w:val="center"/>
            <w:hideMark/>
          </w:tcPr>
          <w:p w14:paraId="3D837E4C" w14:textId="77777777" w:rsidR="007D2769" w:rsidRPr="00DC052A" w:rsidRDefault="007D2769" w:rsidP="004628CE">
            <w:pPr>
              <w:pStyle w:val="ExhibitText"/>
              <w:jc w:val="right"/>
              <w:rPr>
                <w:bCs/>
                <w:lang w:val="en-CA"/>
              </w:rPr>
            </w:pPr>
            <w:r w:rsidRPr="00DC052A">
              <w:rPr>
                <w:bCs/>
                <w:lang w:val="en-CA"/>
              </w:rPr>
              <w:t>1,160</w:t>
            </w:r>
          </w:p>
        </w:tc>
      </w:tr>
      <w:tr w:rsidR="007D2769" w:rsidRPr="00DC052A" w14:paraId="6F333E42" w14:textId="77777777" w:rsidTr="004628CE">
        <w:trPr>
          <w:trHeight w:val="288"/>
          <w:jc w:val="center"/>
        </w:trPr>
        <w:tc>
          <w:tcPr>
            <w:tcW w:w="950" w:type="dxa"/>
            <w:tcBorders>
              <w:top w:val="nil"/>
              <w:bottom w:val="single" w:sz="4" w:space="0" w:color="auto"/>
            </w:tcBorders>
            <w:noWrap/>
            <w:vAlign w:val="center"/>
            <w:hideMark/>
          </w:tcPr>
          <w:p w14:paraId="6C38BBBA" w14:textId="77777777" w:rsidR="007D2769" w:rsidRPr="00DC052A" w:rsidRDefault="007D2769" w:rsidP="004628CE">
            <w:pPr>
              <w:pStyle w:val="ExhibitText"/>
              <w:rPr>
                <w:bCs/>
                <w:lang w:val="en-CA"/>
              </w:rPr>
            </w:pPr>
            <w:r w:rsidRPr="00DC052A">
              <w:rPr>
                <w:bCs/>
                <w:lang w:val="en-CA"/>
              </w:rPr>
              <w:t>2019</w:t>
            </w:r>
          </w:p>
        </w:tc>
        <w:tc>
          <w:tcPr>
            <w:tcW w:w="951" w:type="dxa"/>
            <w:tcBorders>
              <w:top w:val="nil"/>
              <w:bottom w:val="single" w:sz="4" w:space="0" w:color="auto"/>
            </w:tcBorders>
            <w:noWrap/>
            <w:vAlign w:val="center"/>
            <w:hideMark/>
          </w:tcPr>
          <w:p w14:paraId="5786B4FF" w14:textId="77777777" w:rsidR="007D2769" w:rsidRPr="00DC052A" w:rsidRDefault="007D2769" w:rsidP="004628CE">
            <w:pPr>
              <w:pStyle w:val="ExhibitText"/>
              <w:jc w:val="right"/>
              <w:rPr>
                <w:b/>
                <w:bCs/>
                <w:lang w:val="en-CA"/>
              </w:rPr>
            </w:pPr>
            <w:r w:rsidRPr="00DC052A">
              <w:rPr>
                <w:bCs/>
                <w:lang w:val="en-CA"/>
              </w:rPr>
              <w:t>90</w:t>
            </w:r>
          </w:p>
        </w:tc>
        <w:tc>
          <w:tcPr>
            <w:tcW w:w="951" w:type="dxa"/>
            <w:tcBorders>
              <w:top w:val="nil"/>
              <w:bottom w:val="single" w:sz="4" w:space="0" w:color="auto"/>
            </w:tcBorders>
            <w:noWrap/>
            <w:vAlign w:val="center"/>
            <w:hideMark/>
          </w:tcPr>
          <w:p w14:paraId="65DA802A" w14:textId="77777777" w:rsidR="007D2769" w:rsidRPr="00DC052A" w:rsidRDefault="007D2769" w:rsidP="004628CE">
            <w:pPr>
              <w:pStyle w:val="ExhibitText"/>
              <w:jc w:val="right"/>
              <w:rPr>
                <w:b/>
                <w:bCs/>
                <w:lang w:val="en-CA"/>
              </w:rPr>
            </w:pPr>
            <w:r w:rsidRPr="00DC052A">
              <w:rPr>
                <w:bCs/>
                <w:lang w:val="en-CA"/>
              </w:rPr>
              <w:t>90</w:t>
            </w:r>
          </w:p>
        </w:tc>
        <w:tc>
          <w:tcPr>
            <w:tcW w:w="950" w:type="dxa"/>
            <w:tcBorders>
              <w:top w:val="nil"/>
              <w:bottom w:val="single" w:sz="4" w:space="0" w:color="auto"/>
            </w:tcBorders>
            <w:noWrap/>
            <w:vAlign w:val="center"/>
            <w:hideMark/>
          </w:tcPr>
          <w:p w14:paraId="0A73A9D2" w14:textId="77777777" w:rsidR="007D2769" w:rsidRPr="00DC052A" w:rsidRDefault="007D2769" w:rsidP="004628CE">
            <w:pPr>
              <w:pStyle w:val="ExhibitText"/>
              <w:jc w:val="right"/>
              <w:rPr>
                <w:b/>
                <w:bCs/>
                <w:lang w:val="en-CA"/>
              </w:rPr>
            </w:pPr>
            <w:r w:rsidRPr="00DC052A">
              <w:rPr>
                <w:bCs/>
                <w:lang w:val="en-CA"/>
              </w:rPr>
              <w:t>100</w:t>
            </w:r>
          </w:p>
        </w:tc>
        <w:tc>
          <w:tcPr>
            <w:tcW w:w="951" w:type="dxa"/>
            <w:tcBorders>
              <w:top w:val="nil"/>
              <w:bottom w:val="single" w:sz="4" w:space="0" w:color="auto"/>
            </w:tcBorders>
            <w:noWrap/>
            <w:vAlign w:val="center"/>
            <w:hideMark/>
          </w:tcPr>
          <w:p w14:paraId="1246999C" w14:textId="77777777" w:rsidR="007D2769" w:rsidRPr="00DC052A" w:rsidRDefault="007D2769" w:rsidP="004628CE">
            <w:pPr>
              <w:pStyle w:val="ExhibitText"/>
              <w:jc w:val="right"/>
              <w:rPr>
                <w:b/>
                <w:bCs/>
                <w:lang w:val="en-CA"/>
              </w:rPr>
            </w:pPr>
            <w:r w:rsidRPr="00DC052A">
              <w:rPr>
                <w:bCs/>
                <w:lang w:val="en-CA"/>
              </w:rPr>
              <w:t>120</w:t>
            </w:r>
          </w:p>
        </w:tc>
        <w:tc>
          <w:tcPr>
            <w:tcW w:w="951" w:type="dxa"/>
            <w:tcBorders>
              <w:top w:val="nil"/>
              <w:bottom w:val="single" w:sz="4" w:space="0" w:color="auto"/>
            </w:tcBorders>
            <w:noWrap/>
            <w:vAlign w:val="center"/>
            <w:hideMark/>
          </w:tcPr>
          <w:p w14:paraId="397FB19E" w14:textId="77777777" w:rsidR="007D2769" w:rsidRPr="00DC052A" w:rsidRDefault="007D2769" w:rsidP="004628CE">
            <w:pPr>
              <w:pStyle w:val="ExhibitText"/>
              <w:jc w:val="right"/>
              <w:rPr>
                <w:b/>
                <w:bCs/>
                <w:lang w:val="en-CA"/>
              </w:rPr>
            </w:pPr>
            <w:r w:rsidRPr="00DC052A">
              <w:rPr>
                <w:bCs/>
                <w:lang w:val="en-CA"/>
              </w:rPr>
              <w:t>120</w:t>
            </w:r>
          </w:p>
        </w:tc>
        <w:tc>
          <w:tcPr>
            <w:tcW w:w="951" w:type="dxa"/>
            <w:tcBorders>
              <w:top w:val="nil"/>
              <w:bottom w:val="single" w:sz="4" w:space="0" w:color="auto"/>
            </w:tcBorders>
            <w:noWrap/>
            <w:vAlign w:val="center"/>
            <w:hideMark/>
          </w:tcPr>
          <w:p w14:paraId="72CDB9DC" w14:textId="77777777" w:rsidR="007D2769" w:rsidRPr="00DC052A" w:rsidRDefault="007D2769" w:rsidP="004628CE">
            <w:pPr>
              <w:pStyle w:val="ExhibitText"/>
              <w:jc w:val="right"/>
              <w:rPr>
                <w:b/>
                <w:bCs/>
                <w:lang w:val="en-CA"/>
              </w:rPr>
            </w:pPr>
            <w:r w:rsidRPr="00DC052A">
              <w:rPr>
                <w:bCs/>
                <w:lang w:val="en-CA"/>
              </w:rPr>
              <w:t>120</w:t>
            </w:r>
          </w:p>
        </w:tc>
        <w:tc>
          <w:tcPr>
            <w:tcW w:w="950" w:type="dxa"/>
            <w:tcBorders>
              <w:top w:val="nil"/>
              <w:bottom w:val="single" w:sz="4" w:space="0" w:color="auto"/>
            </w:tcBorders>
            <w:noWrap/>
            <w:vAlign w:val="center"/>
            <w:hideMark/>
          </w:tcPr>
          <w:p w14:paraId="5960275A" w14:textId="77777777" w:rsidR="007D2769" w:rsidRPr="00DC052A" w:rsidRDefault="007D2769" w:rsidP="004628CE">
            <w:pPr>
              <w:pStyle w:val="ExhibitText"/>
              <w:jc w:val="right"/>
              <w:rPr>
                <w:b/>
                <w:bCs/>
                <w:lang w:val="en-CA"/>
              </w:rPr>
            </w:pPr>
            <w:r w:rsidRPr="00DC052A">
              <w:rPr>
                <w:bCs/>
                <w:lang w:val="en-CA"/>
              </w:rPr>
              <w:t>100</w:t>
            </w:r>
          </w:p>
        </w:tc>
        <w:tc>
          <w:tcPr>
            <w:tcW w:w="951" w:type="dxa"/>
            <w:tcBorders>
              <w:top w:val="nil"/>
              <w:bottom w:val="single" w:sz="4" w:space="0" w:color="auto"/>
            </w:tcBorders>
            <w:noWrap/>
            <w:vAlign w:val="center"/>
            <w:hideMark/>
          </w:tcPr>
          <w:p w14:paraId="58D2A067" w14:textId="77777777" w:rsidR="007D2769" w:rsidRPr="00DC052A" w:rsidRDefault="007D2769" w:rsidP="004628CE">
            <w:pPr>
              <w:pStyle w:val="ExhibitText"/>
              <w:jc w:val="right"/>
              <w:rPr>
                <w:b/>
                <w:bCs/>
                <w:lang w:val="en-CA"/>
              </w:rPr>
            </w:pPr>
            <w:r w:rsidRPr="00DC052A">
              <w:rPr>
                <w:bCs/>
                <w:lang w:val="en-CA"/>
              </w:rPr>
              <w:t>100</w:t>
            </w:r>
          </w:p>
        </w:tc>
        <w:tc>
          <w:tcPr>
            <w:tcW w:w="951" w:type="dxa"/>
            <w:tcBorders>
              <w:top w:val="nil"/>
              <w:bottom w:val="single" w:sz="4" w:space="0" w:color="auto"/>
            </w:tcBorders>
            <w:noWrap/>
            <w:vAlign w:val="center"/>
            <w:hideMark/>
          </w:tcPr>
          <w:p w14:paraId="23608129" w14:textId="77777777" w:rsidR="007D2769" w:rsidRPr="00DC052A" w:rsidRDefault="007D2769" w:rsidP="004628CE">
            <w:pPr>
              <w:pStyle w:val="ExhibitText"/>
              <w:jc w:val="right"/>
              <w:rPr>
                <w:b/>
                <w:bCs/>
                <w:lang w:val="en-CA"/>
              </w:rPr>
            </w:pPr>
            <w:r w:rsidRPr="00DC052A">
              <w:rPr>
                <w:bCs/>
                <w:lang w:val="en-CA"/>
              </w:rPr>
              <w:t>100</w:t>
            </w:r>
          </w:p>
        </w:tc>
        <w:tc>
          <w:tcPr>
            <w:tcW w:w="950" w:type="dxa"/>
            <w:tcBorders>
              <w:top w:val="nil"/>
              <w:bottom w:val="single" w:sz="4" w:space="0" w:color="auto"/>
            </w:tcBorders>
            <w:noWrap/>
            <w:vAlign w:val="center"/>
            <w:hideMark/>
          </w:tcPr>
          <w:p w14:paraId="4847D165" w14:textId="77777777" w:rsidR="007D2769" w:rsidRPr="00DC052A" w:rsidRDefault="007D2769" w:rsidP="004628CE">
            <w:pPr>
              <w:pStyle w:val="ExhibitText"/>
              <w:jc w:val="right"/>
              <w:rPr>
                <w:b/>
                <w:bCs/>
                <w:lang w:val="en-CA"/>
              </w:rPr>
            </w:pPr>
            <w:r w:rsidRPr="00DC052A">
              <w:rPr>
                <w:bCs/>
                <w:lang w:val="en-CA"/>
              </w:rPr>
              <w:t>100</w:t>
            </w:r>
          </w:p>
        </w:tc>
        <w:tc>
          <w:tcPr>
            <w:tcW w:w="951" w:type="dxa"/>
            <w:tcBorders>
              <w:top w:val="nil"/>
              <w:bottom w:val="single" w:sz="4" w:space="0" w:color="auto"/>
            </w:tcBorders>
            <w:noWrap/>
            <w:vAlign w:val="center"/>
            <w:hideMark/>
          </w:tcPr>
          <w:p w14:paraId="0638DED2" w14:textId="77777777" w:rsidR="007D2769" w:rsidRPr="00DC052A" w:rsidRDefault="007D2769" w:rsidP="004628CE">
            <w:pPr>
              <w:pStyle w:val="ExhibitText"/>
              <w:jc w:val="right"/>
              <w:rPr>
                <w:b/>
                <w:bCs/>
                <w:lang w:val="en-CA"/>
              </w:rPr>
            </w:pPr>
            <w:r w:rsidRPr="00DC052A">
              <w:rPr>
                <w:bCs/>
                <w:lang w:val="en-CA"/>
              </w:rPr>
              <w:t>100</w:t>
            </w:r>
          </w:p>
        </w:tc>
        <w:tc>
          <w:tcPr>
            <w:tcW w:w="951" w:type="dxa"/>
            <w:tcBorders>
              <w:top w:val="nil"/>
              <w:bottom w:val="single" w:sz="4" w:space="0" w:color="auto"/>
            </w:tcBorders>
            <w:noWrap/>
            <w:vAlign w:val="center"/>
            <w:hideMark/>
          </w:tcPr>
          <w:p w14:paraId="4EC8CA92" w14:textId="77777777" w:rsidR="007D2769" w:rsidRPr="00DC052A" w:rsidRDefault="007D2769" w:rsidP="004628CE">
            <w:pPr>
              <w:pStyle w:val="ExhibitText"/>
              <w:jc w:val="right"/>
              <w:rPr>
                <w:b/>
                <w:bCs/>
                <w:lang w:val="en-CA"/>
              </w:rPr>
            </w:pPr>
            <w:r w:rsidRPr="00DC052A">
              <w:rPr>
                <w:bCs/>
                <w:lang w:val="en-CA"/>
              </w:rPr>
              <w:t>100</w:t>
            </w:r>
          </w:p>
        </w:tc>
        <w:tc>
          <w:tcPr>
            <w:tcW w:w="951" w:type="dxa"/>
            <w:tcBorders>
              <w:top w:val="nil"/>
              <w:bottom w:val="single" w:sz="4" w:space="0" w:color="auto"/>
            </w:tcBorders>
            <w:noWrap/>
            <w:vAlign w:val="center"/>
            <w:hideMark/>
          </w:tcPr>
          <w:p w14:paraId="08102A4B" w14:textId="77777777" w:rsidR="007D2769" w:rsidRPr="00DC052A" w:rsidRDefault="007D2769" w:rsidP="004628CE">
            <w:pPr>
              <w:pStyle w:val="ExhibitText"/>
              <w:jc w:val="right"/>
              <w:rPr>
                <w:bCs/>
                <w:lang w:val="en-CA"/>
              </w:rPr>
            </w:pPr>
            <w:r w:rsidRPr="00DC052A">
              <w:rPr>
                <w:bCs/>
                <w:lang w:val="en-CA"/>
              </w:rPr>
              <w:t>1,240</w:t>
            </w:r>
          </w:p>
        </w:tc>
      </w:tr>
      <w:tr w:rsidR="007D2769" w:rsidRPr="00DC052A" w14:paraId="38B592AD" w14:textId="77777777" w:rsidTr="004628CE">
        <w:trPr>
          <w:trHeight w:val="288"/>
          <w:jc w:val="center"/>
        </w:trPr>
        <w:tc>
          <w:tcPr>
            <w:tcW w:w="950" w:type="dxa"/>
            <w:tcBorders>
              <w:top w:val="single" w:sz="4" w:space="0" w:color="auto"/>
              <w:bottom w:val="nil"/>
            </w:tcBorders>
            <w:noWrap/>
            <w:vAlign w:val="center"/>
            <w:hideMark/>
          </w:tcPr>
          <w:p w14:paraId="1BE860F7" w14:textId="77777777" w:rsidR="007D2769" w:rsidRPr="00DC052A" w:rsidRDefault="007D2769" w:rsidP="004628CE">
            <w:pPr>
              <w:pStyle w:val="ExhibitText"/>
              <w:rPr>
                <w:lang w:val="en-CA"/>
              </w:rPr>
            </w:pPr>
            <w:r w:rsidRPr="00DC052A">
              <w:rPr>
                <w:lang w:val="en-CA"/>
              </w:rPr>
              <w:t> </w:t>
            </w:r>
          </w:p>
        </w:tc>
        <w:tc>
          <w:tcPr>
            <w:tcW w:w="951" w:type="dxa"/>
            <w:tcBorders>
              <w:top w:val="single" w:sz="4" w:space="0" w:color="auto"/>
              <w:bottom w:val="nil"/>
            </w:tcBorders>
            <w:noWrap/>
            <w:vAlign w:val="center"/>
            <w:hideMark/>
          </w:tcPr>
          <w:p w14:paraId="3CDCA84A" w14:textId="77777777" w:rsidR="007D2769" w:rsidRPr="00DC052A" w:rsidRDefault="007D2769" w:rsidP="004628CE">
            <w:pPr>
              <w:pStyle w:val="ExhibitText"/>
              <w:rPr>
                <w:b/>
                <w:lang w:val="en-CA"/>
              </w:rPr>
            </w:pPr>
            <w:r w:rsidRPr="00DC052A">
              <w:rPr>
                <w:lang w:val="en-CA"/>
              </w:rPr>
              <w:t> </w:t>
            </w:r>
          </w:p>
        </w:tc>
        <w:tc>
          <w:tcPr>
            <w:tcW w:w="951" w:type="dxa"/>
            <w:tcBorders>
              <w:top w:val="single" w:sz="4" w:space="0" w:color="auto"/>
              <w:bottom w:val="nil"/>
            </w:tcBorders>
            <w:noWrap/>
            <w:vAlign w:val="center"/>
            <w:hideMark/>
          </w:tcPr>
          <w:p w14:paraId="78310070" w14:textId="77777777" w:rsidR="007D2769" w:rsidRPr="00DC052A" w:rsidRDefault="007D2769" w:rsidP="004628CE">
            <w:pPr>
              <w:pStyle w:val="ExhibitText"/>
              <w:rPr>
                <w:b/>
                <w:lang w:val="en-CA"/>
              </w:rPr>
            </w:pPr>
          </w:p>
        </w:tc>
        <w:tc>
          <w:tcPr>
            <w:tcW w:w="950" w:type="dxa"/>
            <w:tcBorders>
              <w:top w:val="single" w:sz="4" w:space="0" w:color="auto"/>
              <w:bottom w:val="nil"/>
            </w:tcBorders>
            <w:noWrap/>
            <w:vAlign w:val="center"/>
            <w:hideMark/>
          </w:tcPr>
          <w:p w14:paraId="0AEAB590" w14:textId="77777777" w:rsidR="007D2769" w:rsidRPr="00DC052A" w:rsidRDefault="007D2769" w:rsidP="004628CE">
            <w:pPr>
              <w:pStyle w:val="ExhibitText"/>
              <w:rPr>
                <w:b/>
                <w:lang w:val="en-CA"/>
              </w:rPr>
            </w:pPr>
          </w:p>
        </w:tc>
        <w:tc>
          <w:tcPr>
            <w:tcW w:w="951" w:type="dxa"/>
            <w:tcBorders>
              <w:top w:val="single" w:sz="4" w:space="0" w:color="auto"/>
              <w:bottom w:val="nil"/>
            </w:tcBorders>
            <w:noWrap/>
            <w:vAlign w:val="center"/>
            <w:hideMark/>
          </w:tcPr>
          <w:p w14:paraId="694405F0" w14:textId="77777777" w:rsidR="007D2769" w:rsidRPr="00DC052A" w:rsidRDefault="007D2769" w:rsidP="004628CE">
            <w:pPr>
              <w:pStyle w:val="ExhibitText"/>
              <w:rPr>
                <w:b/>
                <w:lang w:val="en-CA"/>
              </w:rPr>
            </w:pPr>
          </w:p>
        </w:tc>
        <w:tc>
          <w:tcPr>
            <w:tcW w:w="951" w:type="dxa"/>
            <w:tcBorders>
              <w:top w:val="single" w:sz="4" w:space="0" w:color="auto"/>
              <w:bottom w:val="nil"/>
            </w:tcBorders>
            <w:noWrap/>
            <w:vAlign w:val="center"/>
            <w:hideMark/>
          </w:tcPr>
          <w:p w14:paraId="71A4C3F7" w14:textId="77777777" w:rsidR="007D2769" w:rsidRPr="00DC052A" w:rsidRDefault="007D2769" w:rsidP="004628CE">
            <w:pPr>
              <w:pStyle w:val="ExhibitText"/>
              <w:rPr>
                <w:b/>
                <w:lang w:val="en-CA"/>
              </w:rPr>
            </w:pPr>
          </w:p>
        </w:tc>
        <w:tc>
          <w:tcPr>
            <w:tcW w:w="951" w:type="dxa"/>
            <w:tcBorders>
              <w:top w:val="single" w:sz="4" w:space="0" w:color="auto"/>
              <w:bottom w:val="nil"/>
            </w:tcBorders>
            <w:noWrap/>
            <w:vAlign w:val="center"/>
            <w:hideMark/>
          </w:tcPr>
          <w:p w14:paraId="58FEDDA1" w14:textId="77777777" w:rsidR="007D2769" w:rsidRPr="00DC052A" w:rsidRDefault="007D2769" w:rsidP="004628CE">
            <w:pPr>
              <w:pStyle w:val="ExhibitText"/>
              <w:rPr>
                <w:b/>
                <w:lang w:val="en-CA"/>
              </w:rPr>
            </w:pPr>
          </w:p>
        </w:tc>
        <w:tc>
          <w:tcPr>
            <w:tcW w:w="950" w:type="dxa"/>
            <w:tcBorders>
              <w:top w:val="single" w:sz="4" w:space="0" w:color="auto"/>
              <w:bottom w:val="nil"/>
            </w:tcBorders>
            <w:noWrap/>
            <w:vAlign w:val="center"/>
            <w:hideMark/>
          </w:tcPr>
          <w:p w14:paraId="44894FEA" w14:textId="77777777" w:rsidR="007D2769" w:rsidRPr="00DC052A" w:rsidRDefault="007D2769" w:rsidP="004628CE">
            <w:pPr>
              <w:pStyle w:val="ExhibitText"/>
              <w:rPr>
                <w:b/>
                <w:lang w:val="en-CA"/>
              </w:rPr>
            </w:pPr>
          </w:p>
        </w:tc>
        <w:tc>
          <w:tcPr>
            <w:tcW w:w="951" w:type="dxa"/>
            <w:tcBorders>
              <w:top w:val="single" w:sz="4" w:space="0" w:color="auto"/>
              <w:bottom w:val="nil"/>
            </w:tcBorders>
            <w:noWrap/>
            <w:vAlign w:val="center"/>
            <w:hideMark/>
          </w:tcPr>
          <w:p w14:paraId="62CBA975" w14:textId="77777777" w:rsidR="007D2769" w:rsidRPr="00DC052A" w:rsidRDefault="007D2769" w:rsidP="004628CE">
            <w:pPr>
              <w:pStyle w:val="ExhibitText"/>
              <w:rPr>
                <w:b/>
                <w:lang w:val="en-CA"/>
              </w:rPr>
            </w:pPr>
          </w:p>
        </w:tc>
        <w:tc>
          <w:tcPr>
            <w:tcW w:w="951" w:type="dxa"/>
            <w:tcBorders>
              <w:top w:val="single" w:sz="4" w:space="0" w:color="auto"/>
              <w:bottom w:val="nil"/>
            </w:tcBorders>
            <w:noWrap/>
            <w:vAlign w:val="center"/>
            <w:hideMark/>
          </w:tcPr>
          <w:p w14:paraId="3A30EB76" w14:textId="77777777" w:rsidR="007D2769" w:rsidRPr="00DC052A" w:rsidRDefault="007D2769" w:rsidP="004628CE">
            <w:pPr>
              <w:pStyle w:val="ExhibitText"/>
              <w:rPr>
                <w:b/>
                <w:lang w:val="en-CA"/>
              </w:rPr>
            </w:pPr>
          </w:p>
        </w:tc>
        <w:tc>
          <w:tcPr>
            <w:tcW w:w="950" w:type="dxa"/>
            <w:tcBorders>
              <w:top w:val="single" w:sz="4" w:space="0" w:color="auto"/>
              <w:bottom w:val="nil"/>
            </w:tcBorders>
            <w:noWrap/>
            <w:vAlign w:val="center"/>
            <w:hideMark/>
          </w:tcPr>
          <w:p w14:paraId="01C5CE4F" w14:textId="77777777" w:rsidR="007D2769" w:rsidRPr="00DC052A" w:rsidRDefault="007D2769" w:rsidP="004628CE">
            <w:pPr>
              <w:pStyle w:val="ExhibitText"/>
              <w:rPr>
                <w:b/>
                <w:lang w:val="en-CA"/>
              </w:rPr>
            </w:pPr>
          </w:p>
        </w:tc>
        <w:tc>
          <w:tcPr>
            <w:tcW w:w="951" w:type="dxa"/>
            <w:tcBorders>
              <w:top w:val="single" w:sz="4" w:space="0" w:color="auto"/>
              <w:bottom w:val="nil"/>
            </w:tcBorders>
            <w:noWrap/>
            <w:vAlign w:val="center"/>
            <w:hideMark/>
          </w:tcPr>
          <w:p w14:paraId="1C886845" w14:textId="77777777" w:rsidR="007D2769" w:rsidRPr="00DC052A" w:rsidRDefault="007D2769" w:rsidP="004628CE">
            <w:pPr>
              <w:pStyle w:val="ExhibitText"/>
              <w:rPr>
                <w:b/>
                <w:lang w:val="en-CA"/>
              </w:rPr>
            </w:pPr>
          </w:p>
        </w:tc>
        <w:tc>
          <w:tcPr>
            <w:tcW w:w="951" w:type="dxa"/>
            <w:tcBorders>
              <w:top w:val="single" w:sz="4" w:space="0" w:color="auto"/>
              <w:bottom w:val="nil"/>
            </w:tcBorders>
            <w:noWrap/>
            <w:vAlign w:val="center"/>
            <w:hideMark/>
          </w:tcPr>
          <w:p w14:paraId="3814E20E" w14:textId="77777777" w:rsidR="007D2769" w:rsidRPr="00DC052A" w:rsidRDefault="007D2769" w:rsidP="004628CE">
            <w:pPr>
              <w:pStyle w:val="ExhibitText"/>
              <w:rPr>
                <w:b/>
                <w:lang w:val="en-CA"/>
              </w:rPr>
            </w:pPr>
          </w:p>
        </w:tc>
        <w:tc>
          <w:tcPr>
            <w:tcW w:w="951" w:type="dxa"/>
            <w:tcBorders>
              <w:top w:val="single" w:sz="4" w:space="0" w:color="auto"/>
              <w:bottom w:val="nil"/>
            </w:tcBorders>
            <w:noWrap/>
            <w:vAlign w:val="center"/>
            <w:hideMark/>
          </w:tcPr>
          <w:p w14:paraId="14310C67" w14:textId="77777777" w:rsidR="007D2769" w:rsidRPr="00DC052A" w:rsidRDefault="007D2769" w:rsidP="004628CE">
            <w:pPr>
              <w:pStyle w:val="ExhibitText"/>
              <w:rPr>
                <w:lang w:val="en-CA"/>
              </w:rPr>
            </w:pPr>
            <w:r w:rsidRPr="00DC052A">
              <w:rPr>
                <w:lang w:val="en-CA"/>
              </w:rPr>
              <w:t> </w:t>
            </w:r>
          </w:p>
        </w:tc>
      </w:tr>
      <w:tr w:rsidR="007D2769" w:rsidRPr="00DC052A" w14:paraId="397C72CF" w14:textId="77777777" w:rsidTr="004628CE">
        <w:trPr>
          <w:trHeight w:val="288"/>
          <w:jc w:val="center"/>
        </w:trPr>
        <w:tc>
          <w:tcPr>
            <w:tcW w:w="13310" w:type="dxa"/>
            <w:gridSpan w:val="14"/>
            <w:tcBorders>
              <w:top w:val="nil"/>
              <w:bottom w:val="single" w:sz="4" w:space="0" w:color="auto"/>
            </w:tcBorders>
            <w:noWrap/>
            <w:vAlign w:val="center"/>
            <w:hideMark/>
          </w:tcPr>
          <w:p w14:paraId="28C8C6B9" w14:textId="77777777" w:rsidR="007D2769" w:rsidRPr="00DC052A" w:rsidRDefault="007D2769" w:rsidP="004628CE">
            <w:pPr>
              <w:pStyle w:val="ExhibitText"/>
              <w:rPr>
                <w:b/>
                <w:bCs/>
                <w:lang w:val="en-CA"/>
              </w:rPr>
            </w:pPr>
            <w:r w:rsidRPr="00DC052A">
              <w:rPr>
                <w:b/>
                <w:bCs/>
                <w:lang w:val="en-CA"/>
              </w:rPr>
              <w:t>High Scenario</w:t>
            </w:r>
          </w:p>
        </w:tc>
      </w:tr>
      <w:tr w:rsidR="007D2769" w:rsidRPr="00DC052A" w14:paraId="2A718E12" w14:textId="77777777" w:rsidTr="004628CE">
        <w:trPr>
          <w:trHeight w:val="288"/>
          <w:jc w:val="center"/>
        </w:trPr>
        <w:tc>
          <w:tcPr>
            <w:tcW w:w="950" w:type="dxa"/>
            <w:tcBorders>
              <w:top w:val="single" w:sz="4" w:space="0" w:color="auto"/>
              <w:bottom w:val="single" w:sz="4" w:space="0" w:color="auto"/>
            </w:tcBorders>
            <w:noWrap/>
            <w:vAlign w:val="center"/>
            <w:hideMark/>
          </w:tcPr>
          <w:p w14:paraId="764D539A" w14:textId="77777777" w:rsidR="007D2769" w:rsidRPr="00DC052A" w:rsidRDefault="007D2769" w:rsidP="004628CE">
            <w:pPr>
              <w:pStyle w:val="ExhibitText"/>
              <w:jc w:val="center"/>
              <w:rPr>
                <w:b/>
                <w:bCs/>
                <w:lang w:val="en-CA"/>
              </w:rPr>
            </w:pPr>
          </w:p>
        </w:tc>
        <w:tc>
          <w:tcPr>
            <w:tcW w:w="951" w:type="dxa"/>
            <w:tcBorders>
              <w:top w:val="single" w:sz="4" w:space="0" w:color="auto"/>
              <w:bottom w:val="single" w:sz="4" w:space="0" w:color="auto"/>
            </w:tcBorders>
            <w:noWrap/>
            <w:vAlign w:val="center"/>
            <w:hideMark/>
          </w:tcPr>
          <w:p w14:paraId="0F8D2413" w14:textId="77777777" w:rsidR="007D2769" w:rsidRPr="00DC052A" w:rsidRDefault="007D2769" w:rsidP="004628CE">
            <w:pPr>
              <w:pStyle w:val="ExhibitText"/>
              <w:jc w:val="center"/>
              <w:rPr>
                <w:b/>
                <w:bCs/>
                <w:lang w:val="en-CA"/>
              </w:rPr>
            </w:pPr>
            <w:r w:rsidRPr="00DC052A">
              <w:rPr>
                <w:b/>
                <w:bCs/>
                <w:lang w:val="en-CA"/>
              </w:rPr>
              <w:t>Mar.</w:t>
            </w:r>
          </w:p>
        </w:tc>
        <w:tc>
          <w:tcPr>
            <w:tcW w:w="951" w:type="dxa"/>
            <w:tcBorders>
              <w:top w:val="single" w:sz="4" w:space="0" w:color="auto"/>
              <w:bottom w:val="single" w:sz="4" w:space="0" w:color="auto"/>
            </w:tcBorders>
            <w:noWrap/>
            <w:vAlign w:val="center"/>
            <w:hideMark/>
          </w:tcPr>
          <w:p w14:paraId="34AD9A63" w14:textId="77777777" w:rsidR="007D2769" w:rsidRPr="00DC052A" w:rsidRDefault="007D2769" w:rsidP="004628CE">
            <w:pPr>
              <w:pStyle w:val="ExhibitText"/>
              <w:jc w:val="center"/>
              <w:rPr>
                <w:b/>
                <w:bCs/>
                <w:lang w:val="en-CA"/>
              </w:rPr>
            </w:pPr>
            <w:r w:rsidRPr="00DC052A">
              <w:rPr>
                <w:b/>
                <w:bCs/>
                <w:lang w:val="en-CA"/>
              </w:rPr>
              <w:t>Apr.</w:t>
            </w:r>
          </w:p>
        </w:tc>
        <w:tc>
          <w:tcPr>
            <w:tcW w:w="950" w:type="dxa"/>
            <w:tcBorders>
              <w:top w:val="single" w:sz="4" w:space="0" w:color="auto"/>
              <w:bottom w:val="single" w:sz="4" w:space="0" w:color="auto"/>
            </w:tcBorders>
            <w:noWrap/>
            <w:vAlign w:val="center"/>
            <w:hideMark/>
          </w:tcPr>
          <w:p w14:paraId="03088543" w14:textId="77777777" w:rsidR="007D2769" w:rsidRPr="00DC052A" w:rsidRDefault="007D2769" w:rsidP="004628CE">
            <w:pPr>
              <w:pStyle w:val="ExhibitText"/>
              <w:jc w:val="center"/>
              <w:rPr>
                <w:b/>
                <w:bCs/>
                <w:lang w:val="en-CA"/>
              </w:rPr>
            </w:pPr>
            <w:r w:rsidRPr="00DC052A">
              <w:rPr>
                <w:b/>
                <w:bCs/>
                <w:lang w:val="en-CA"/>
              </w:rPr>
              <w:t>May</w:t>
            </w:r>
          </w:p>
        </w:tc>
        <w:tc>
          <w:tcPr>
            <w:tcW w:w="951" w:type="dxa"/>
            <w:tcBorders>
              <w:top w:val="single" w:sz="4" w:space="0" w:color="auto"/>
              <w:bottom w:val="single" w:sz="4" w:space="0" w:color="auto"/>
            </w:tcBorders>
            <w:noWrap/>
            <w:vAlign w:val="center"/>
            <w:hideMark/>
          </w:tcPr>
          <w:p w14:paraId="78ECFEC7" w14:textId="77777777" w:rsidR="007D2769" w:rsidRPr="00DC052A" w:rsidRDefault="007D2769" w:rsidP="004628CE">
            <w:pPr>
              <w:pStyle w:val="ExhibitText"/>
              <w:jc w:val="center"/>
              <w:rPr>
                <w:b/>
                <w:bCs/>
                <w:lang w:val="en-CA"/>
              </w:rPr>
            </w:pPr>
            <w:r w:rsidRPr="00DC052A">
              <w:rPr>
                <w:b/>
                <w:bCs/>
                <w:lang w:val="en-CA"/>
              </w:rPr>
              <w:t>June</w:t>
            </w:r>
          </w:p>
        </w:tc>
        <w:tc>
          <w:tcPr>
            <w:tcW w:w="951" w:type="dxa"/>
            <w:tcBorders>
              <w:top w:val="single" w:sz="4" w:space="0" w:color="auto"/>
              <w:bottom w:val="single" w:sz="4" w:space="0" w:color="auto"/>
            </w:tcBorders>
            <w:noWrap/>
            <w:vAlign w:val="center"/>
            <w:hideMark/>
          </w:tcPr>
          <w:p w14:paraId="36F71547" w14:textId="77777777" w:rsidR="007D2769" w:rsidRPr="00DC052A" w:rsidRDefault="007D2769" w:rsidP="004628CE">
            <w:pPr>
              <w:pStyle w:val="ExhibitText"/>
              <w:jc w:val="center"/>
              <w:rPr>
                <w:b/>
                <w:bCs/>
                <w:lang w:val="en-CA"/>
              </w:rPr>
            </w:pPr>
            <w:r w:rsidRPr="00DC052A">
              <w:rPr>
                <w:b/>
                <w:bCs/>
                <w:lang w:val="en-CA"/>
              </w:rPr>
              <w:t>July</w:t>
            </w:r>
          </w:p>
        </w:tc>
        <w:tc>
          <w:tcPr>
            <w:tcW w:w="951" w:type="dxa"/>
            <w:tcBorders>
              <w:top w:val="single" w:sz="4" w:space="0" w:color="auto"/>
              <w:bottom w:val="single" w:sz="4" w:space="0" w:color="auto"/>
            </w:tcBorders>
            <w:noWrap/>
            <w:vAlign w:val="center"/>
            <w:hideMark/>
          </w:tcPr>
          <w:p w14:paraId="3FF80E73" w14:textId="77777777" w:rsidR="007D2769" w:rsidRPr="00DC052A" w:rsidRDefault="007D2769" w:rsidP="004628CE">
            <w:pPr>
              <w:pStyle w:val="ExhibitText"/>
              <w:jc w:val="center"/>
              <w:rPr>
                <w:b/>
                <w:bCs/>
                <w:lang w:val="en-CA"/>
              </w:rPr>
            </w:pPr>
            <w:r w:rsidRPr="00DC052A">
              <w:rPr>
                <w:b/>
                <w:bCs/>
                <w:lang w:val="en-CA"/>
              </w:rPr>
              <w:t>Aug.</w:t>
            </w:r>
          </w:p>
        </w:tc>
        <w:tc>
          <w:tcPr>
            <w:tcW w:w="950" w:type="dxa"/>
            <w:tcBorders>
              <w:top w:val="single" w:sz="4" w:space="0" w:color="auto"/>
              <w:bottom w:val="single" w:sz="4" w:space="0" w:color="auto"/>
            </w:tcBorders>
            <w:noWrap/>
            <w:vAlign w:val="center"/>
            <w:hideMark/>
          </w:tcPr>
          <w:p w14:paraId="2A4F1A76" w14:textId="77777777" w:rsidR="007D2769" w:rsidRPr="00DC052A" w:rsidRDefault="007D2769" w:rsidP="004628CE">
            <w:pPr>
              <w:pStyle w:val="ExhibitText"/>
              <w:jc w:val="center"/>
              <w:rPr>
                <w:b/>
                <w:bCs/>
                <w:lang w:val="en-CA"/>
              </w:rPr>
            </w:pPr>
            <w:r w:rsidRPr="00DC052A">
              <w:rPr>
                <w:b/>
                <w:bCs/>
                <w:lang w:val="en-CA"/>
              </w:rPr>
              <w:t>Sept.</w:t>
            </w:r>
          </w:p>
        </w:tc>
        <w:tc>
          <w:tcPr>
            <w:tcW w:w="951" w:type="dxa"/>
            <w:tcBorders>
              <w:top w:val="single" w:sz="4" w:space="0" w:color="auto"/>
              <w:bottom w:val="single" w:sz="4" w:space="0" w:color="auto"/>
            </w:tcBorders>
            <w:noWrap/>
            <w:vAlign w:val="center"/>
            <w:hideMark/>
          </w:tcPr>
          <w:p w14:paraId="37B6DBB0" w14:textId="77777777" w:rsidR="007D2769" w:rsidRPr="00DC052A" w:rsidRDefault="007D2769" w:rsidP="004628CE">
            <w:pPr>
              <w:pStyle w:val="ExhibitText"/>
              <w:jc w:val="center"/>
              <w:rPr>
                <w:b/>
                <w:bCs/>
                <w:lang w:val="en-CA"/>
              </w:rPr>
            </w:pPr>
            <w:r w:rsidRPr="00DC052A">
              <w:rPr>
                <w:b/>
                <w:bCs/>
                <w:lang w:val="en-CA"/>
              </w:rPr>
              <w:t>Oct.</w:t>
            </w:r>
          </w:p>
        </w:tc>
        <w:tc>
          <w:tcPr>
            <w:tcW w:w="951" w:type="dxa"/>
            <w:tcBorders>
              <w:top w:val="single" w:sz="4" w:space="0" w:color="auto"/>
              <w:bottom w:val="single" w:sz="4" w:space="0" w:color="auto"/>
            </w:tcBorders>
            <w:noWrap/>
            <w:vAlign w:val="center"/>
            <w:hideMark/>
          </w:tcPr>
          <w:p w14:paraId="7D16B8F7" w14:textId="77777777" w:rsidR="007D2769" w:rsidRPr="00DC052A" w:rsidRDefault="007D2769" w:rsidP="004628CE">
            <w:pPr>
              <w:pStyle w:val="ExhibitText"/>
              <w:jc w:val="center"/>
              <w:rPr>
                <w:b/>
                <w:bCs/>
                <w:lang w:val="en-CA"/>
              </w:rPr>
            </w:pPr>
            <w:r w:rsidRPr="00DC052A">
              <w:rPr>
                <w:b/>
                <w:bCs/>
                <w:lang w:val="en-CA"/>
              </w:rPr>
              <w:t>Nov.</w:t>
            </w:r>
          </w:p>
        </w:tc>
        <w:tc>
          <w:tcPr>
            <w:tcW w:w="950" w:type="dxa"/>
            <w:tcBorders>
              <w:top w:val="single" w:sz="4" w:space="0" w:color="auto"/>
              <w:bottom w:val="single" w:sz="4" w:space="0" w:color="auto"/>
            </w:tcBorders>
            <w:noWrap/>
            <w:vAlign w:val="center"/>
            <w:hideMark/>
          </w:tcPr>
          <w:p w14:paraId="6BC2C740" w14:textId="77777777" w:rsidR="007D2769" w:rsidRPr="00DC052A" w:rsidRDefault="007D2769" w:rsidP="004628CE">
            <w:pPr>
              <w:pStyle w:val="ExhibitText"/>
              <w:jc w:val="center"/>
              <w:rPr>
                <w:b/>
                <w:bCs/>
                <w:lang w:val="en-CA"/>
              </w:rPr>
            </w:pPr>
            <w:r w:rsidRPr="00DC052A">
              <w:rPr>
                <w:b/>
                <w:bCs/>
                <w:lang w:val="en-CA"/>
              </w:rPr>
              <w:t>Dec.</w:t>
            </w:r>
          </w:p>
        </w:tc>
        <w:tc>
          <w:tcPr>
            <w:tcW w:w="951" w:type="dxa"/>
            <w:tcBorders>
              <w:top w:val="single" w:sz="4" w:space="0" w:color="auto"/>
              <w:bottom w:val="single" w:sz="4" w:space="0" w:color="auto"/>
            </w:tcBorders>
            <w:noWrap/>
            <w:vAlign w:val="center"/>
            <w:hideMark/>
          </w:tcPr>
          <w:p w14:paraId="2A62D544" w14:textId="77777777" w:rsidR="007D2769" w:rsidRPr="00DC052A" w:rsidRDefault="007D2769" w:rsidP="004628CE">
            <w:pPr>
              <w:pStyle w:val="ExhibitText"/>
              <w:jc w:val="center"/>
              <w:rPr>
                <w:b/>
                <w:bCs/>
                <w:lang w:val="en-CA"/>
              </w:rPr>
            </w:pPr>
            <w:r w:rsidRPr="00DC052A">
              <w:rPr>
                <w:b/>
                <w:bCs/>
                <w:lang w:val="en-CA"/>
              </w:rPr>
              <w:t>Jan.</w:t>
            </w:r>
          </w:p>
        </w:tc>
        <w:tc>
          <w:tcPr>
            <w:tcW w:w="951" w:type="dxa"/>
            <w:tcBorders>
              <w:top w:val="single" w:sz="4" w:space="0" w:color="auto"/>
              <w:bottom w:val="single" w:sz="4" w:space="0" w:color="auto"/>
            </w:tcBorders>
            <w:noWrap/>
            <w:vAlign w:val="center"/>
            <w:hideMark/>
          </w:tcPr>
          <w:p w14:paraId="2C9C64A6" w14:textId="77777777" w:rsidR="007D2769" w:rsidRPr="00DC052A" w:rsidRDefault="007D2769" w:rsidP="004628CE">
            <w:pPr>
              <w:pStyle w:val="ExhibitText"/>
              <w:jc w:val="center"/>
              <w:rPr>
                <w:b/>
                <w:bCs/>
                <w:lang w:val="en-CA"/>
              </w:rPr>
            </w:pPr>
            <w:r w:rsidRPr="00DC052A">
              <w:rPr>
                <w:b/>
                <w:bCs/>
                <w:lang w:val="en-CA"/>
              </w:rPr>
              <w:t>Feb.</w:t>
            </w:r>
          </w:p>
        </w:tc>
        <w:tc>
          <w:tcPr>
            <w:tcW w:w="951" w:type="dxa"/>
            <w:tcBorders>
              <w:top w:val="single" w:sz="4" w:space="0" w:color="auto"/>
              <w:bottom w:val="single" w:sz="4" w:space="0" w:color="auto"/>
            </w:tcBorders>
            <w:noWrap/>
            <w:vAlign w:val="center"/>
            <w:hideMark/>
          </w:tcPr>
          <w:p w14:paraId="06CE1112" w14:textId="77777777" w:rsidR="007D2769" w:rsidRPr="00DC052A" w:rsidRDefault="007D2769" w:rsidP="004628CE">
            <w:pPr>
              <w:pStyle w:val="ExhibitText"/>
              <w:jc w:val="center"/>
              <w:rPr>
                <w:b/>
                <w:bCs/>
                <w:lang w:val="en-CA"/>
              </w:rPr>
            </w:pPr>
            <w:r w:rsidRPr="00DC052A">
              <w:rPr>
                <w:b/>
                <w:bCs/>
                <w:lang w:val="en-CA"/>
              </w:rPr>
              <w:t>Total</w:t>
            </w:r>
          </w:p>
        </w:tc>
      </w:tr>
      <w:tr w:rsidR="007D2769" w:rsidRPr="00DC052A" w14:paraId="0EF6B46F" w14:textId="77777777" w:rsidTr="004628CE">
        <w:trPr>
          <w:trHeight w:val="288"/>
          <w:jc w:val="center"/>
        </w:trPr>
        <w:tc>
          <w:tcPr>
            <w:tcW w:w="950" w:type="dxa"/>
            <w:tcBorders>
              <w:top w:val="single" w:sz="4" w:space="0" w:color="auto"/>
            </w:tcBorders>
            <w:noWrap/>
            <w:vAlign w:val="center"/>
            <w:hideMark/>
          </w:tcPr>
          <w:p w14:paraId="61641AA9" w14:textId="77777777" w:rsidR="007D2769" w:rsidRPr="00DC052A" w:rsidRDefault="007D2769" w:rsidP="004628CE">
            <w:pPr>
              <w:pStyle w:val="ExhibitText"/>
              <w:rPr>
                <w:bCs/>
                <w:lang w:val="en-CA"/>
              </w:rPr>
            </w:pPr>
            <w:r w:rsidRPr="00DC052A">
              <w:rPr>
                <w:bCs/>
                <w:lang w:val="en-CA"/>
              </w:rPr>
              <w:t>2017</w:t>
            </w:r>
          </w:p>
        </w:tc>
        <w:tc>
          <w:tcPr>
            <w:tcW w:w="951" w:type="dxa"/>
            <w:tcBorders>
              <w:top w:val="single" w:sz="4" w:space="0" w:color="auto"/>
            </w:tcBorders>
            <w:noWrap/>
            <w:vAlign w:val="center"/>
            <w:hideMark/>
          </w:tcPr>
          <w:p w14:paraId="585FA23B" w14:textId="77777777" w:rsidR="007D2769" w:rsidRPr="00DC052A" w:rsidRDefault="007D2769" w:rsidP="004628CE">
            <w:pPr>
              <w:pStyle w:val="ExhibitText"/>
              <w:jc w:val="right"/>
              <w:rPr>
                <w:b/>
                <w:bCs/>
                <w:lang w:val="en-CA"/>
              </w:rPr>
            </w:pPr>
            <w:r w:rsidRPr="00DC052A">
              <w:rPr>
                <w:bCs/>
                <w:lang w:val="en-CA"/>
              </w:rPr>
              <w:t>0</w:t>
            </w:r>
          </w:p>
        </w:tc>
        <w:tc>
          <w:tcPr>
            <w:tcW w:w="951" w:type="dxa"/>
            <w:tcBorders>
              <w:top w:val="single" w:sz="4" w:space="0" w:color="auto"/>
            </w:tcBorders>
            <w:noWrap/>
            <w:vAlign w:val="center"/>
            <w:hideMark/>
          </w:tcPr>
          <w:p w14:paraId="67DF8D4B" w14:textId="77777777" w:rsidR="007D2769" w:rsidRPr="00DC052A" w:rsidRDefault="007D2769" w:rsidP="004628CE">
            <w:pPr>
              <w:pStyle w:val="ExhibitText"/>
              <w:jc w:val="right"/>
              <w:rPr>
                <w:b/>
                <w:bCs/>
                <w:lang w:val="en-CA"/>
              </w:rPr>
            </w:pPr>
            <w:r w:rsidRPr="00DC052A">
              <w:rPr>
                <w:bCs/>
                <w:lang w:val="en-CA"/>
              </w:rPr>
              <w:t>0</w:t>
            </w:r>
          </w:p>
        </w:tc>
        <w:tc>
          <w:tcPr>
            <w:tcW w:w="950" w:type="dxa"/>
            <w:tcBorders>
              <w:top w:val="single" w:sz="4" w:space="0" w:color="auto"/>
            </w:tcBorders>
            <w:noWrap/>
            <w:vAlign w:val="center"/>
            <w:hideMark/>
          </w:tcPr>
          <w:p w14:paraId="063C6A9D" w14:textId="77777777" w:rsidR="007D2769" w:rsidRPr="00DC052A" w:rsidRDefault="007D2769" w:rsidP="004628CE">
            <w:pPr>
              <w:pStyle w:val="ExhibitText"/>
              <w:jc w:val="right"/>
              <w:rPr>
                <w:b/>
                <w:bCs/>
                <w:lang w:val="en-CA"/>
              </w:rPr>
            </w:pPr>
            <w:r w:rsidRPr="00DC052A">
              <w:rPr>
                <w:bCs/>
                <w:lang w:val="en-CA"/>
              </w:rPr>
              <w:t>50</w:t>
            </w:r>
          </w:p>
        </w:tc>
        <w:tc>
          <w:tcPr>
            <w:tcW w:w="951" w:type="dxa"/>
            <w:tcBorders>
              <w:top w:val="single" w:sz="4" w:space="0" w:color="auto"/>
            </w:tcBorders>
            <w:noWrap/>
            <w:vAlign w:val="center"/>
            <w:hideMark/>
          </w:tcPr>
          <w:p w14:paraId="56D2BFE2" w14:textId="77777777" w:rsidR="007D2769" w:rsidRPr="00DC052A" w:rsidRDefault="007D2769" w:rsidP="004628CE">
            <w:pPr>
              <w:pStyle w:val="ExhibitText"/>
              <w:jc w:val="right"/>
              <w:rPr>
                <w:b/>
                <w:bCs/>
                <w:lang w:val="en-CA"/>
              </w:rPr>
            </w:pPr>
            <w:r w:rsidRPr="00DC052A">
              <w:rPr>
                <w:bCs/>
                <w:lang w:val="en-CA"/>
              </w:rPr>
              <w:t>70</w:t>
            </w:r>
          </w:p>
        </w:tc>
        <w:tc>
          <w:tcPr>
            <w:tcW w:w="951" w:type="dxa"/>
            <w:tcBorders>
              <w:top w:val="single" w:sz="4" w:space="0" w:color="auto"/>
            </w:tcBorders>
            <w:noWrap/>
            <w:vAlign w:val="center"/>
            <w:hideMark/>
          </w:tcPr>
          <w:p w14:paraId="6E181971" w14:textId="77777777" w:rsidR="007D2769" w:rsidRPr="00DC052A" w:rsidRDefault="007D2769" w:rsidP="004628CE">
            <w:pPr>
              <w:pStyle w:val="ExhibitText"/>
              <w:jc w:val="right"/>
              <w:rPr>
                <w:b/>
                <w:bCs/>
                <w:lang w:val="en-CA"/>
              </w:rPr>
            </w:pPr>
            <w:r w:rsidRPr="00DC052A">
              <w:rPr>
                <w:bCs/>
                <w:lang w:val="en-CA"/>
              </w:rPr>
              <w:t>90</w:t>
            </w:r>
          </w:p>
        </w:tc>
        <w:tc>
          <w:tcPr>
            <w:tcW w:w="951" w:type="dxa"/>
            <w:tcBorders>
              <w:top w:val="single" w:sz="4" w:space="0" w:color="auto"/>
            </w:tcBorders>
            <w:noWrap/>
            <w:vAlign w:val="center"/>
            <w:hideMark/>
          </w:tcPr>
          <w:p w14:paraId="2D94E3D0" w14:textId="77777777" w:rsidR="007D2769" w:rsidRPr="00DC052A" w:rsidRDefault="007D2769" w:rsidP="004628CE">
            <w:pPr>
              <w:pStyle w:val="ExhibitText"/>
              <w:jc w:val="right"/>
              <w:rPr>
                <w:b/>
                <w:bCs/>
                <w:lang w:val="en-CA"/>
              </w:rPr>
            </w:pPr>
            <w:r w:rsidRPr="00DC052A">
              <w:rPr>
                <w:bCs/>
                <w:lang w:val="en-CA"/>
              </w:rPr>
              <w:t>100</w:t>
            </w:r>
          </w:p>
        </w:tc>
        <w:tc>
          <w:tcPr>
            <w:tcW w:w="950" w:type="dxa"/>
            <w:tcBorders>
              <w:top w:val="single" w:sz="4" w:space="0" w:color="auto"/>
            </w:tcBorders>
            <w:noWrap/>
            <w:vAlign w:val="center"/>
            <w:hideMark/>
          </w:tcPr>
          <w:p w14:paraId="43F45B6F" w14:textId="77777777" w:rsidR="007D2769" w:rsidRPr="00DC052A" w:rsidRDefault="007D2769" w:rsidP="004628CE">
            <w:pPr>
              <w:pStyle w:val="ExhibitText"/>
              <w:jc w:val="right"/>
              <w:rPr>
                <w:b/>
                <w:bCs/>
                <w:lang w:val="en-CA"/>
              </w:rPr>
            </w:pPr>
            <w:r w:rsidRPr="00DC052A">
              <w:rPr>
                <w:bCs/>
                <w:lang w:val="en-CA"/>
              </w:rPr>
              <w:t>120</w:t>
            </w:r>
          </w:p>
        </w:tc>
        <w:tc>
          <w:tcPr>
            <w:tcW w:w="951" w:type="dxa"/>
            <w:tcBorders>
              <w:top w:val="single" w:sz="4" w:space="0" w:color="auto"/>
            </w:tcBorders>
            <w:noWrap/>
            <w:vAlign w:val="center"/>
            <w:hideMark/>
          </w:tcPr>
          <w:p w14:paraId="106485FF" w14:textId="77777777" w:rsidR="007D2769" w:rsidRPr="00DC052A" w:rsidRDefault="007D2769" w:rsidP="004628CE">
            <w:pPr>
              <w:pStyle w:val="ExhibitText"/>
              <w:jc w:val="right"/>
              <w:rPr>
                <w:b/>
                <w:bCs/>
                <w:lang w:val="en-CA"/>
              </w:rPr>
            </w:pPr>
            <w:r w:rsidRPr="00DC052A">
              <w:rPr>
                <w:bCs/>
                <w:lang w:val="en-CA"/>
              </w:rPr>
              <w:t>120</w:t>
            </w:r>
          </w:p>
        </w:tc>
        <w:tc>
          <w:tcPr>
            <w:tcW w:w="951" w:type="dxa"/>
            <w:tcBorders>
              <w:top w:val="single" w:sz="4" w:space="0" w:color="auto"/>
            </w:tcBorders>
            <w:noWrap/>
            <w:vAlign w:val="center"/>
            <w:hideMark/>
          </w:tcPr>
          <w:p w14:paraId="7B7544DA" w14:textId="77777777" w:rsidR="007D2769" w:rsidRPr="00DC052A" w:rsidRDefault="007D2769" w:rsidP="004628CE">
            <w:pPr>
              <w:pStyle w:val="ExhibitText"/>
              <w:jc w:val="right"/>
              <w:rPr>
                <w:b/>
                <w:bCs/>
                <w:lang w:val="en-CA"/>
              </w:rPr>
            </w:pPr>
            <w:r w:rsidRPr="00DC052A">
              <w:rPr>
                <w:bCs/>
                <w:lang w:val="en-CA"/>
              </w:rPr>
              <w:t>120</w:t>
            </w:r>
          </w:p>
        </w:tc>
        <w:tc>
          <w:tcPr>
            <w:tcW w:w="950" w:type="dxa"/>
            <w:tcBorders>
              <w:top w:val="single" w:sz="4" w:space="0" w:color="auto"/>
            </w:tcBorders>
            <w:noWrap/>
            <w:vAlign w:val="center"/>
            <w:hideMark/>
          </w:tcPr>
          <w:p w14:paraId="5CDF4865" w14:textId="77777777" w:rsidR="007D2769" w:rsidRPr="00DC052A" w:rsidRDefault="007D2769" w:rsidP="004628CE">
            <w:pPr>
              <w:pStyle w:val="ExhibitText"/>
              <w:jc w:val="right"/>
              <w:rPr>
                <w:b/>
                <w:bCs/>
                <w:lang w:val="en-CA"/>
              </w:rPr>
            </w:pPr>
            <w:r w:rsidRPr="00DC052A">
              <w:rPr>
                <w:bCs/>
                <w:lang w:val="en-CA"/>
              </w:rPr>
              <w:t>120</w:t>
            </w:r>
          </w:p>
        </w:tc>
        <w:tc>
          <w:tcPr>
            <w:tcW w:w="951" w:type="dxa"/>
            <w:tcBorders>
              <w:top w:val="single" w:sz="4" w:space="0" w:color="auto"/>
            </w:tcBorders>
            <w:noWrap/>
            <w:vAlign w:val="center"/>
            <w:hideMark/>
          </w:tcPr>
          <w:p w14:paraId="7CE9256D" w14:textId="77777777" w:rsidR="007D2769" w:rsidRPr="00DC052A" w:rsidRDefault="007D2769" w:rsidP="004628CE">
            <w:pPr>
              <w:pStyle w:val="ExhibitText"/>
              <w:jc w:val="right"/>
              <w:rPr>
                <w:b/>
                <w:bCs/>
                <w:lang w:val="en-CA"/>
              </w:rPr>
            </w:pPr>
            <w:r w:rsidRPr="00DC052A">
              <w:rPr>
                <w:bCs/>
                <w:lang w:val="en-CA"/>
              </w:rPr>
              <w:t>120</w:t>
            </w:r>
          </w:p>
        </w:tc>
        <w:tc>
          <w:tcPr>
            <w:tcW w:w="951" w:type="dxa"/>
            <w:tcBorders>
              <w:top w:val="single" w:sz="4" w:space="0" w:color="auto"/>
            </w:tcBorders>
            <w:noWrap/>
            <w:vAlign w:val="center"/>
            <w:hideMark/>
          </w:tcPr>
          <w:p w14:paraId="174DC587" w14:textId="77777777" w:rsidR="007D2769" w:rsidRPr="00DC052A" w:rsidRDefault="007D2769" w:rsidP="004628CE">
            <w:pPr>
              <w:pStyle w:val="ExhibitText"/>
              <w:jc w:val="right"/>
              <w:rPr>
                <w:b/>
                <w:bCs/>
                <w:lang w:val="en-CA"/>
              </w:rPr>
            </w:pPr>
            <w:r w:rsidRPr="00DC052A">
              <w:rPr>
                <w:bCs/>
                <w:lang w:val="en-CA"/>
              </w:rPr>
              <w:t>120</w:t>
            </w:r>
          </w:p>
        </w:tc>
        <w:tc>
          <w:tcPr>
            <w:tcW w:w="951" w:type="dxa"/>
            <w:tcBorders>
              <w:top w:val="single" w:sz="4" w:space="0" w:color="auto"/>
            </w:tcBorders>
            <w:noWrap/>
            <w:vAlign w:val="center"/>
            <w:hideMark/>
          </w:tcPr>
          <w:p w14:paraId="1D9F9A7F" w14:textId="77777777" w:rsidR="007D2769" w:rsidRPr="00DC052A" w:rsidRDefault="007D2769" w:rsidP="004628CE">
            <w:pPr>
              <w:pStyle w:val="ExhibitText"/>
              <w:jc w:val="right"/>
              <w:rPr>
                <w:bCs/>
                <w:lang w:val="en-CA"/>
              </w:rPr>
            </w:pPr>
            <w:r w:rsidRPr="00DC052A">
              <w:rPr>
                <w:bCs/>
                <w:lang w:val="en-CA"/>
              </w:rPr>
              <w:t>1,030</w:t>
            </w:r>
          </w:p>
        </w:tc>
      </w:tr>
      <w:tr w:rsidR="007D2769" w:rsidRPr="00DC052A" w14:paraId="51D7C9D3" w14:textId="77777777" w:rsidTr="004628CE">
        <w:trPr>
          <w:trHeight w:val="288"/>
          <w:jc w:val="center"/>
        </w:trPr>
        <w:tc>
          <w:tcPr>
            <w:tcW w:w="950" w:type="dxa"/>
            <w:noWrap/>
            <w:vAlign w:val="center"/>
            <w:hideMark/>
          </w:tcPr>
          <w:p w14:paraId="2974C5F1" w14:textId="77777777" w:rsidR="007D2769" w:rsidRPr="00DC052A" w:rsidRDefault="007D2769" w:rsidP="004628CE">
            <w:pPr>
              <w:pStyle w:val="ExhibitText"/>
              <w:rPr>
                <w:bCs/>
                <w:lang w:val="en-CA"/>
              </w:rPr>
            </w:pPr>
            <w:r w:rsidRPr="00DC052A">
              <w:rPr>
                <w:bCs/>
                <w:lang w:val="en-CA"/>
              </w:rPr>
              <w:t>2018</w:t>
            </w:r>
          </w:p>
        </w:tc>
        <w:tc>
          <w:tcPr>
            <w:tcW w:w="951" w:type="dxa"/>
            <w:noWrap/>
            <w:vAlign w:val="center"/>
            <w:hideMark/>
          </w:tcPr>
          <w:p w14:paraId="7FDA6A31" w14:textId="77777777" w:rsidR="007D2769" w:rsidRPr="00DC052A" w:rsidRDefault="007D2769" w:rsidP="004628CE">
            <w:pPr>
              <w:pStyle w:val="ExhibitText"/>
              <w:jc w:val="right"/>
              <w:rPr>
                <w:b/>
                <w:bCs/>
                <w:lang w:val="en-CA"/>
              </w:rPr>
            </w:pPr>
            <w:r w:rsidRPr="00DC052A">
              <w:rPr>
                <w:bCs/>
                <w:lang w:val="en-CA"/>
              </w:rPr>
              <w:t>120</w:t>
            </w:r>
          </w:p>
        </w:tc>
        <w:tc>
          <w:tcPr>
            <w:tcW w:w="951" w:type="dxa"/>
            <w:noWrap/>
            <w:vAlign w:val="center"/>
            <w:hideMark/>
          </w:tcPr>
          <w:p w14:paraId="7928CA1D" w14:textId="77777777" w:rsidR="007D2769" w:rsidRPr="00DC052A" w:rsidRDefault="007D2769" w:rsidP="004628CE">
            <w:pPr>
              <w:pStyle w:val="ExhibitText"/>
              <w:jc w:val="right"/>
              <w:rPr>
                <w:b/>
                <w:bCs/>
                <w:lang w:val="en-CA"/>
              </w:rPr>
            </w:pPr>
            <w:r w:rsidRPr="00DC052A">
              <w:rPr>
                <w:bCs/>
                <w:lang w:val="en-CA"/>
              </w:rPr>
              <w:t>120</w:t>
            </w:r>
          </w:p>
        </w:tc>
        <w:tc>
          <w:tcPr>
            <w:tcW w:w="950" w:type="dxa"/>
            <w:noWrap/>
            <w:vAlign w:val="center"/>
            <w:hideMark/>
          </w:tcPr>
          <w:p w14:paraId="2CDEC587" w14:textId="77777777" w:rsidR="007D2769" w:rsidRPr="00DC052A" w:rsidRDefault="007D2769" w:rsidP="004628CE">
            <w:pPr>
              <w:pStyle w:val="ExhibitText"/>
              <w:jc w:val="right"/>
              <w:rPr>
                <w:b/>
                <w:bCs/>
                <w:lang w:val="en-CA"/>
              </w:rPr>
            </w:pPr>
            <w:r w:rsidRPr="00DC052A">
              <w:rPr>
                <w:bCs/>
                <w:lang w:val="en-CA"/>
              </w:rPr>
              <w:t>150</w:t>
            </w:r>
          </w:p>
        </w:tc>
        <w:tc>
          <w:tcPr>
            <w:tcW w:w="951" w:type="dxa"/>
            <w:noWrap/>
            <w:vAlign w:val="center"/>
            <w:hideMark/>
          </w:tcPr>
          <w:p w14:paraId="794CA3C8" w14:textId="77777777" w:rsidR="007D2769" w:rsidRPr="00DC052A" w:rsidRDefault="007D2769" w:rsidP="004628CE">
            <w:pPr>
              <w:pStyle w:val="ExhibitText"/>
              <w:jc w:val="right"/>
              <w:rPr>
                <w:b/>
                <w:bCs/>
                <w:lang w:val="en-CA"/>
              </w:rPr>
            </w:pPr>
            <w:r w:rsidRPr="00DC052A">
              <w:rPr>
                <w:bCs/>
                <w:lang w:val="en-CA"/>
              </w:rPr>
              <w:t>180</w:t>
            </w:r>
          </w:p>
        </w:tc>
        <w:tc>
          <w:tcPr>
            <w:tcW w:w="951" w:type="dxa"/>
            <w:noWrap/>
            <w:vAlign w:val="center"/>
            <w:hideMark/>
          </w:tcPr>
          <w:p w14:paraId="0C342466" w14:textId="77777777" w:rsidR="007D2769" w:rsidRPr="00DC052A" w:rsidRDefault="007D2769" w:rsidP="004628CE">
            <w:pPr>
              <w:pStyle w:val="ExhibitText"/>
              <w:jc w:val="right"/>
              <w:rPr>
                <w:b/>
                <w:bCs/>
                <w:lang w:val="en-CA"/>
              </w:rPr>
            </w:pPr>
            <w:r w:rsidRPr="00DC052A">
              <w:rPr>
                <w:bCs/>
                <w:lang w:val="en-CA"/>
              </w:rPr>
              <w:t>180</w:t>
            </w:r>
          </w:p>
        </w:tc>
        <w:tc>
          <w:tcPr>
            <w:tcW w:w="951" w:type="dxa"/>
            <w:noWrap/>
            <w:vAlign w:val="center"/>
            <w:hideMark/>
          </w:tcPr>
          <w:p w14:paraId="47651088" w14:textId="77777777" w:rsidR="007D2769" w:rsidRPr="00DC052A" w:rsidRDefault="007D2769" w:rsidP="004628CE">
            <w:pPr>
              <w:pStyle w:val="ExhibitText"/>
              <w:jc w:val="right"/>
              <w:rPr>
                <w:b/>
                <w:bCs/>
                <w:lang w:val="en-CA"/>
              </w:rPr>
            </w:pPr>
            <w:r w:rsidRPr="00DC052A">
              <w:rPr>
                <w:bCs/>
                <w:lang w:val="en-CA"/>
              </w:rPr>
              <w:t>180</w:t>
            </w:r>
          </w:p>
        </w:tc>
        <w:tc>
          <w:tcPr>
            <w:tcW w:w="950" w:type="dxa"/>
            <w:noWrap/>
            <w:vAlign w:val="center"/>
            <w:hideMark/>
          </w:tcPr>
          <w:p w14:paraId="0B380315" w14:textId="77777777" w:rsidR="007D2769" w:rsidRPr="00DC052A" w:rsidRDefault="007D2769" w:rsidP="004628CE">
            <w:pPr>
              <w:pStyle w:val="ExhibitText"/>
              <w:jc w:val="right"/>
              <w:rPr>
                <w:b/>
                <w:bCs/>
                <w:lang w:val="en-CA"/>
              </w:rPr>
            </w:pPr>
            <w:r w:rsidRPr="00DC052A">
              <w:rPr>
                <w:bCs/>
                <w:lang w:val="en-CA"/>
              </w:rPr>
              <w:t>150</w:t>
            </w:r>
          </w:p>
        </w:tc>
        <w:tc>
          <w:tcPr>
            <w:tcW w:w="951" w:type="dxa"/>
            <w:noWrap/>
            <w:vAlign w:val="center"/>
            <w:hideMark/>
          </w:tcPr>
          <w:p w14:paraId="7EDAEFA7" w14:textId="77777777" w:rsidR="007D2769" w:rsidRPr="00DC052A" w:rsidRDefault="007D2769" w:rsidP="004628CE">
            <w:pPr>
              <w:pStyle w:val="ExhibitText"/>
              <w:jc w:val="right"/>
              <w:rPr>
                <w:b/>
                <w:bCs/>
                <w:lang w:val="en-CA"/>
              </w:rPr>
            </w:pPr>
            <w:r w:rsidRPr="00DC052A">
              <w:rPr>
                <w:bCs/>
                <w:lang w:val="en-CA"/>
              </w:rPr>
              <w:t>150</w:t>
            </w:r>
          </w:p>
        </w:tc>
        <w:tc>
          <w:tcPr>
            <w:tcW w:w="951" w:type="dxa"/>
            <w:noWrap/>
            <w:vAlign w:val="center"/>
            <w:hideMark/>
          </w:tcPr>
          <w:p w14:paraId="3028CE42" w14:textId="77777777" w:rsidR="007D2769" w:rsidRPr="00DC052A" w:rsidRDefault="007D2769" w:rsidP="004628CE">
            <w:pPr>
              <w:pStyle w:val="ExhibitText"/>
              <w:jc w:val="right"/>
              <w:rPr>
                <w:b/>
                <w:bCs/>
                <w:lang w:val="en-CA"/>
              </w:rPr>
            </w:pPr>
            <w:r w:rsidRPr="00DC052A">
              <w:rPr>
                <w:bCs/>
                <w:lang w:val="en-CA"/>
              </w:rPr>
              <w:t>150</w:t>
            </w:r>
          </w:p>
        </w:tc>
        <w:tc>
          <w:tcPr>
            <w:tcW w:w="950" w:type="dxa"/>
            <w:noWrap/>
            <w:vAlign w:val="center"/>
            <w:hideMark/>
          </w:tcPr>
          <w:p w14:paraId="287D85BB" w14:textId="77777777" w:rsidR="007D2769" w:rsidRPr="00DC052A" w:rsidRDefault="007D2769" w:rsidP="004628CE">
            <w:pPr>
              <w:pStyle w:val="ExhibitText"/>
              <w:jc w:val="right"/>
              <w:rPr>
                <w:b/>
                <w:bCs/>
                <w:lang w:val="en-CA"/>
              </w:rPr>
            </w:pPr>
            <w:r w:rsidRPr="00DC052A">
              <w:rPr>
                <w:bCs/>
                <w:lang w:val="en-CA"/>
              </w:rPr>
              <w:t>150</w:t>
            </w:r>
          </w:p>
        </w:tc>
        <w:tc>
          <w:tcPr>
            <w:tcW w:w="951" w:type="dxa"/>
            <w:noWrap/>
            <w:vAlign w:val="center"/>
            <w:hideMark/>
          </w:tcPr>
          <w:p w14:paraId="728022E8" w14:textId="77777777" w:rsidR="007D2769" w:rsidRPr="00DC052A" w:rsidRDefault="007D2769" w:rsidP="004628CE">
            <w:pPr>
              <w:pStyle w:val="ExhibitText"/>
              <w:jc w:val="right"/>
              <w:rPr>
                <w:b/>
                <w:bCs/>
                <w:lang w:val="en-CA"/>
              </w:rPr>
            </w:pPr>
            <w:r w:rsidRPr="00DC052A">
              <w:rPr>
                <w:bCs/>
                <w:lang w:val="en-CA"/>
              </w:rPr>
              <w:t>150</w:t>
            </w:r>
          </w:p>
        </w:tc>
        <w:tc>
          <w:tcPr>
            <w:tcW w:w="951" w:type="dxa"/>
            <w:noWrap/>
            <w:vAlign w:val="center"/>
            <w:hideMark/>
          </w:tcPr>
          <w:p w14:paraId="38C82587" w14:textId="77777777" w:rsidR="007D2769" w:rsidRPr="00DC052A" w:rsidRDefault="007D2769" w:rsidP="004628CE">
            <w:pPr>
              <w:pStyle w:val="ExhibitText"/>
              <w:jc w:val="right"/>
              <w:rPr>
                <w:b/>
                <w:bCs/>
                <w:lang w:val="en-CA"/>
              </w:rPr>
            </w:pPr>
            <w:r w:rsidRPr="00DC052A">
              <w:rPr>
                <w:bCs/>
                <w:lang w:val="en-CA"/>
              </w:rPr>
              <w:t>150</w:t>
            </w:r>
          </w:p>
        </w:tc>
        <w:tc>
          <w:tcPr>
            <w:tcW w:w="951" w:type="dxa"/>
            <w:noWrap/>
            <w:vAlign w:val="center"/>
            <w:hideMark/>
          </w:tcPr>
          <w:p w14:paraId="715480A2" w14:textId="77777777" w:rsidR="007D2769" w:rsidRPr="00DC052A" w:rsidRDefault="007D2769" w:rsidP="004628CE">
            <w:pPr>
              <w:pStyle w:val="ExhibitText"/>
              <w:jc w:val="right"/>
              <w:rPr>
                <w:bCs/>
                <w:lang w:val="en-CA"/>
              </w:rPr>
            </w:pPr>
            <w:r w:rsidRPr="00DC052A">
              <w:rPr>
                <w:bCs/>
                <w:lang w:val="en-CA"/>
              </w:rPr>
              <w:t>1,830</w:t>
            </w:r>
          </w:p>
        </w:tc>
      </w:tr>
      <w:tr w:rsidR="007D2769" w:rsidRPr="00DC052A" w14:paraId="6BE25808" w14:textId="77777777" w:rsidTr="004628CE">
        <w:trPr>
          <w:trHeight w:val="288"/>
          <w:jc w:val="center"/>
        </w:trPr>
        <w:tc>
          <w:tcPr>
            <w:tcW w:w="950" w:type="dxa"/>
            <w:noWrap/>
            <w:vAlign w:val="center"/>
            <w:hideMark/>
          </w:tcPr>
          <w:p w14:paraId="5E6690F9" w14:textId="77777777" w:rsidR="007D2769" w:rsidRPr="00DC052A" w:rsidRDefault="007D2769" w:rsidP="004628CE">
            <w:pPr>
              <w:pStyle w:val="ExhibitText"/>
              <w:rPr>
                <w:bCs/>
                <w:lang w:val="en-CA"/>
              </w:rPr>
            </w:pPr>
            <w:r w:rsidRPr="00DC052A">
              <w:rPr>
                <w:bCs/>
                <w:lang w:val="en-CA"/>
              </w:rPr>
              <w:t>2019</w:t>
            </w:r>
          </w:p>
        </w:tc>
        <w:tc>
          <w:tcPr>
            <w:tcW w:w="951" w:type="dxa"/>
            <w:noWrap/>
            <w:vAlign w:val="center"/>
            <w:hideMark/>
          </w:tcPr>
          <w:p w14:paraId="1FD47AD3" w14:textId="77777777" w:rsidR="007D2769" w:rsidRPr="00DC052A" w:rsidRDefault="007D2769" w:rsidP="004628CE">
            <w:pPr>
              <w:pStyle w:val="ExhibitText"/>
              <w:jc w:val="right"/>
              <w:rPr>
                <w:b/>
                <w:bCs/>
                <w:lang w:val="en-CA"/>
              </w:rPr>
            </w:pPr>
            <w:r w:rsidRPr="00DC052A">
              <w:rPr>
                <w:bCs/>
                <w:lang w:val="en-CA"/>
              </w:rPr>
              <w:t>150</w:t>
            </w:r>
          </w:p>
        </w:tc>
        <w:tc>
          <w:tcPr>
            <w:tcW w:w="951" w:type="dxa"/>
            <w:noWrap/>
            <w:vAlign w:val="center"/>
            <w:hideMark/>
          </w:tcPr>
          <w:p w14:paraId="3578A660" w14:textId="77777777" w:rsidR="007D2769" w:rsidRPr="00DC052A" w:rsidRDefault="007D2769" w:rsidP="004628CE">
            <w:pPr>
              <w:pStyle w:val="ExhibitText"/>
              <w:jc w:val="right"/>
              <w:rPr>
                <w:b/>
                <w:bCs/>
                <w:lang w:val="en-CA"/>
              </w:rPr>
            </w:pPr>
            <w:r w:rsidRPr="00DC052A">
              <w:rPr>
                <w:bCs/>
                <w:lang w:val="en-CA"/>
              </w:rPr>
              <w:t>150</w:t>
            </w:r>
          </w:p>
        </w:tc>
        <w:tc>
          <w:tcPr>
            <w:tcW w:w="950" w:type="dxa"/>
            <w:noWrap/>
            <w:vAlign w:val="center"/>
            <w:hideMark/>
          </w:tcPr>
          <w:p w14:paraId="709393C7" w14:textId="77777777" w:rsidR="007D2769" w:rsidRPr="00DC052A" w:rsidRDefault="007D2769" w:rsidP="004628CE">
            <w:pPr>
              <w:pStyle w:val="ExhibitText"/>
              <w:jc w:val="right"/>
              <w:rPr>
                <w:b/>
                <w:bCs/>
                <w:lang w:val="en-CA"/>
              </w:rPr>
            </w:pPr>
            <w:r w:rsidRPr="00DC052A">
              <w:rPr>
                <w:bCs/>
                <w:lang w:val="en-CA"/>
              </w:rPr>
              <w:t>180</w:t>
            </w:r>
          </w:p>
        </w:tc>
        <w:tc>
          <w:tcPr>
            <w:tcW w:w="951" w:type="dxa"/>
            <w:noWrap/>
            <w:vAlign w:val="center"/>
            <w:hideMark/>
          </w:tcPr>
          <w:p w14:paraId="68993080" w14:textId="77777777" w:rsidR="007D2769" w:rsidRPr="00DC052A" w:rsidRDefault="007D2769" w:rsidP="004628CE">
            <w:pPr>
              <w:pStyle w:val="ExhibitText"/>
              <w:jc w:val="right"/>
              <w:rPr>
                <w:b/>
                <w:bCs/>
                <w:lang w:val="en-CA"/>
              </w:rPr>
            </w:pPr>
            <w:r w:rsidRPr="00DC052A">
              <w:rPr>
                <w:bCs/>
                <w:lang w:val="en-CA"/>
              </w:rPr>
              <w:t>220</w:t>
            </w:r>
          </w:p>
        </w:tc>
        <w:tc>
          <w:tcPr>
            <w:tcW w:w="951" w:type="dxa"/>
            <w:noWrap/>
            <w:vAlign w:val="center"/>
            <w:hideMark/>
          </w:tcPr>
          <w:p w14:paraId="57E69E67" w14:textId="77777777" w:rsidR="007D2769" w:rsidRPr="00DC052A" w:rsidRDefault="007D2769" w:rsidP="004628CE">
            <w:pPr>
              <w:pStyle w:val="ExhibitText"/>
              <w:jc w:val="right"/>
              <w:rPr>
                <w:b/>
                <w:bCs/>
                <w:lang w:val="en-CA"/>
              </w:rPr>
            </w:pPr>
            <w:r w:rsidRPr="00DC052A">
              <w:rPr>
                <w:bCs/>
                <w:lang w:val="en-CA"/>
              </w:rPr>
              <w:t>220</w:t>
            </w:r>
          </w:p>
        </w:tc>
        <w:tc>
          <w:tcPr>
            <w:tcW w:w="951" w:type="dxa"/>
            <w:noWrap/>
            <w:vAlign w:val="center"/>
            <w:hideMark/>
          </w:tcPr>
          <w:p w14:paraId="4557B194" w14:textId="77777777" w:rsidR="007D2769" w:rsidRPr="00DC052A" w:rsidRDefault="007D2769" w:rsidP="004628CE">
            <w:pPr>
              <w:pStyle w:val="ExhibitText"/>
              <w:jc w:val="right"/>
              <w:rPr>
                <w:b/>
                <w:bCs/>
                <w:lang w:val="en-CA"/>
              </w:rPr>
            </w:pPr>
            <w:r w:rsidRPr="00DC052A">
              <w:rPr>
                <w:bCs/>
                <w:lang w:val="en-CA"/>
              </w:rPr>
              <w:t>220</w:t>
            </w:r>
          </w:p>
        </w:tc>
        <w:tc>
          <w:tcPr>
            <w:tcW w:w="950" w:type="dxa"/>
            <w:noWrap/>
            <w:vAlign w:val="center"/>
            <w:hideMark/>
          </w:tcPr>
          <w:p w14:paraId="504464A3" w14:textId="77777777" w:rsidR="007D2769" w:rsidRPr="00DC052A" w:rsidRDefault="007D2769" w:rsidP="004628CE">
            <w:pPr>
              <w:pStyle w:val="ExhibitText"/>
              <w:jc w:val="right"/>
              <w:rPr>
                <w:b/>
                <w:bCs/>
                <w:lang w:val="en-CA"/>
              </w:rPr>
            </w:pPr>
            <w:r w:rsidRPr="00DC052A">
              <w:rPr>
                <w:bCs/>
                <w:lang w:val="en-CA"/>
              </w:rPr>
              <w:t>170</w:t>
            </w:r>
          </w:p>
        </w:tc>
        <w:tc>
          <w:tcPr>
            <w:tcW w:w="951" w:type="dxa"/>
            <w:noWrap/>
            <w:vAlign w:val="center"/>
            <w:hideMark/>
          </w:tcPr>
          <w:p w14:paraId="6AD5B44D" w14:textId="77777777" w:rsidR="007D2769" w:rsidRPr="00DC052A" w:rsidRDefault="007D2769" w:rsidP="004628CE">
            <w:pPr>
              <w:pStyle w:val="ExhibitText"/>
              <w:jc w:val="right"/>
              <w:rPr>
                <w:b/>
                <w:bCs/>
                <w:lang w:val="en-CA"/>
              </w:rPr>
            </w:pPr>
            <w:r w:rsidRPr="00DC052A">
              <w:rPr>
                <w:bCs/>
                <w:lang w:val="en-CA"/>
              </w:rPr>
              <w:t>170</w:t>
            </w:r>
          </w:p>
        </w:tc>
        <w:tc>
          <w:tcPr>
            <w:tcW w:w="951" w:type="dxa"/>
            <w:noWrap/>
            <w:vAlign w:val="center"/>
            <w:hideMark/>
          </w:tcPr>
          <w:p w14:paraId="2372EE2D" w14:textId="77777777" w:rsidR="007D2769" w:rsidRPr="00DC052A" w:rsidRDefault="007D2769" w:rsidP="004628CE">
            <w:pPr>
              <w:pStyle w:val="ExhibitText"/>
              <w:jc w:val="right"/>
              <w:rPr>
                <w:b/>
                <w:bCs/>
                <w:lang w:val="en-CA"/>
              </w:rPr>
            </w:pPr>
            <w:r w:rsidRPr="00DC052A">
              <w:rPr>
                <w:bCs/>
                <w:lang w:val="en-CA"/>
              </w:rPr>
              <w:t>170</w:t>
            </w:r>
          </w:p>
        </w:tc>
        <w:tc>
          <w:tcPr>
            <w:tcW w:w="950" w:type="dxa"/>
            <w:noWrap/>
            <w:vAlign w:val="center"/>
            <w:hideMark/>
          </w:tcPr>
          <w:p w14:paraId="0B280619" w14:textId="77777777" w:rsidR="007D2769" w:rsidRPr="00DC052A" w:rsidRDefault="007D2769" w:rsidP="004628CE">
            <w:pPr>
              <w:pStyle w:val="ExhibitText"/>
              <w:jc w:val="right"/>
              <w:rPr>
                <w:b/>
                <w:bCs/>
                <w:lang w:val="en-CA"/>
              </w:rPr>
            </w:pPr>
            <w:r w:rsidRPr="00DC052A">
              <w:rPr>
                <w:bCs/>
                <w:lang w:val="en-CA"/>
              </w:rPr>
              <w:t>170</w:t>
            </w:r>
          </w:p>
        </w:tc>
        <w:tc>
          <w:tcPr>
            <w:tcW w:w="951" w:type="dxa"/>
            <w:noWrap/>
            <w:vAlign w:val="center"/>
            <w:hideMark/>
          </w:tcPr>
          <w:p w14:paraId="197EA714" w14:textId="77777777" w:rsidR="007D2769" w:rsidRPr="00DC052A" w:rsidRDefault="007D2769" w:rsidP="004628CE">
            <w:pPr>
              <w:pStyle w:val="ExhibitText"/>
              <w:jc w:val="right"/>
              <w:rPr>
                <w:b/>
                <w:bCs/>
                <w:lang w:val="en-CA"/>
              </w:rPr>
            </w:pPr>
            <w:r w:rsidRPr="00DC052A">
              <w:rPr>
                <w:bCs/>
                <w:lang w:val="en-CA"/>
              </w:rPr>
              <w:t>170</w:t>
            </w:r>
          </w:p>
        </w:tc>
        <w:tc>
          <w:tcPr>
            <w:tcW w:w="951" w:type="dxa"/>
            <w:noWrap/>
            <w:vAlign w:val="center"/>
            <w:hideMark/>
          </w:tcPr>
          <w:p w14:paraId="2ADC745F" w14:textId="77777777" w:rsidR="007D2769" w:rsidRPr="00DC052A" w:rsidRDefault="007D2769" w:rsidP="004628CE">
            <w:pPr>
              <w:pStyle w:val="ExhibitText"/>
              <w:jc w:val="right"/>
              <w:rPr>
                <w:b/>
                <w:bCs/>
                <w:lang w:val="en-CA"/>
              </w:rPr>
            </w:pPr>
            <w:r w:rsidRPr="00DC052A">
              <w:rPr>
                <w:bCs/>
                <w:lang w:val="en-CA"/>
              </w:rPr>
              <w:t>170</w:t>
            </w:r>
          </w:p>
        </w:tc>
        <w:tc>
          <w:tcPr>
            <w:tcW w:w="951" w:type="dxa"/>
            <w:noWrap/>
            <w:vAlign w:val="center"/>
            <w:hideMark/>
          </w:tcPr>
          <w:p w14:paraId="66692CA3" w14:textId="77777777" w:rsidR="007D2769" w:rsidRPr="00DC052A" w:rsidRDefault="007D2769" w:rsidP="004628CE">
            <w:pPr>
              <w:pStyle w:val="ExhibitText"/>
              <w:jc w:val="right"/>
              <w:rPr>
                <w:bCs/>
                <w:lang w:val="en-CA"/>
              </w:rPr>
            </w:pPr>
            <w:r w:rsidRPr="00DC052A">
              <w:rPr>
                <w:bCs/>
                <w:lang w:val="en-CA"/>
              </w:rPr>
              <w:t>2,160</w:t>
            </w:r>
          </w:p>
        </w:tc>
      </w:tr>
    </w:tbl>
    <w:p w14:paraId="65581D8B" w14:textId="77777777" w:rsidR="007D2769" w:rsidRPr="00DC052A" w:rsidRDefault="007D2769" w:rsidP="007D2769">
      <w:pPr>
        <w:pStyle w:val="ExhibitText"/>
        <w:rPr>
          <w:lang w:val="en-CA"/>
        </w:rPr>
      </w:pPr>
    </w:p>
    <w:p w14:paraId="50D3FC42" w14:textId="00725A68" w:rsidR="00BE60F3" w:rsidRDefault="007D2769" w:rsidP="007D2769">
      <w:pPr>
        <w:pStyle w:val="Footnote"/>
        <w:rPr>
          <w:lang w:val="en-CA"/>
        </w:rPr>
      </w:pPr>
      <w:r w:rsidRPr="00DC052A">
        <w:rPr>
          <w:lang w:val="en-CA"/>
        </w:rPr>
        <w:t>Source: Company files.</w:t>
      </w:r>
    </w:p>
    <w:p w14:paraId="36C06B5E" w14:textId="77777777" w:rsidR="00B87DC0" w:rsidRDefault="00B87DC0" w:rsidP="00BE60F3">
      <w:pPr>
        <w:pStyle w:val="Footnote"/>
      </w:pPr>
    </w:p>
    <w:sectPr w:rsidR="00B87DC0" w:rsidSect="007D2769">
      <w:headerReference w:type="default" r:id="rId15"/>
      <w:pgSz w:w="15840" w:h="12240" w:orient="landscape" w:code="1"/>
      <w:pgMar w:top="1440" w:right="1440" w:bottom="1440" w:left="1440" w:header="10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DD727" w14:textId="77777777" w:rsidR="00B62497" w:rsidRDefault="00B62497" w:rsidP="00D75295">
      <w:r>
        <w:separator/>
      </w:r>
    </w:p>
  </w:endnote>
  <w:endnote w:type="continuationSeparator" w:id="0">
    <w:p w14:paraId="6B71D05B" w14:textId="77777777" w:rsidR="00B62497" w:rsidRDefault="00B6249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7C4EE" w14:textId="77777777" w:rsidR="00B62497" w:rsidRDefault="00B62497" w:rsidP="00D75295">
      <w:r>
        <w:separator/>
      </w:r>
    </w:p>
  </w:footnote>
  <w:footnote w:type="continuationSeparator" w:id="0">
    <w:p w14:paraId="31BC9002" w14:textId="77777777" w:rsidR="00B62497" w:rsidRDefault="00B62497" w:rsidP="00D75295">
      <w:r>
        <w:continuationSeparator/>
      </w:r>
    </w:p>
  </w:footnote>
  <w:footnote w:id="1">
    <w:p w14:paraId="70E2578C" w14:textId="77777777" w:rsidR="00BE60F3" w:rsidRPr="00DF28F7" w:rsidRDefault="00BE60F3" w:rsidP="00BE60F3">
      <w:pPr>
        <w:pStyle w:val="Footnote"/>
        <w:rPr>
          <w:lang w:val="en-CA"/>
        </w:rPr>
      </w:pPr>
      <w:r w:rsidRPr="00642680">
        <w:rPr>
          <w:rStyle w:val="FootnoteReference"/>
        </w:rPr>
        <w:footnoteRef/>
      </w:r>
      <w:r w:rsidRPr="00DF28F7">
        <w:t xml:space="preserve"> </w:t>
      </w:r>
      <w:r>
        <w:t xml:space="preserve">Unless otherwise stated, </w:t>
      </w:r>
      <w:r w:rsidRPr="00DF28F7">
        <w:rPr>
          <w:lang w:val="en-CA"/>
        </w:rPr>
        <w:t>all dollar amounts are in US dollars.</w:t>
      </w:r>
    </w:p>
  </w:footnote>
  <w:footnote w:id="2">
    <w:p w14:paraId="36458535" w14:textId="77777777" w:rsidR="00BE60F3" w:rsidRPr="0026134E" w:rsidRDefault="00BE60F3" w:rsidP="00BE60F3">
      <w:pPr>
        <w:pStyle w:val="Footnote"/>
      </w:pPr>
      <w:r w:rsidRPr="00642680">
        <w:rPr>
          <w:rStyle w:val="FootnoteReference"/>
        </w:rPr>
        <w:footnoteRef/>
      </w:r>
      <w:r w:rsidRPr="0026134E">
        <w:t xml:space="preserve"> </w:t>
      </w:r>
      <w:r>
        <w:t>Except where indicated, t</w:t>
      </w:r>
      <w:r w:rsidRPr="0026134E">
        <w:t xml:space="preserve">he information in this section </w:t>
      </w:r>
      <w:r>
        <w:t>is based on</w:t>
      </w:r>
      <w:r w:rsidRPr="0026134E">
        <w:t xml:space="preserve"> Anya Cohen, “Men’s Clothing Stores in the US: 44811</w:t>
      </w:r>
      <w:r>
        <w:t>,</w:t>
      </w:r>
      <w:r w:rsidRPr="0026134E">
        <w:t>” IBISWorld</w:t>
      </w:r>
      <w:r>
        <w:t xml:space="preserve"> Industry Report 44811</w:t>
      </w:r>
      <w:r w:rsidRPr="0026134E">
        <w:t xml:space="preserve">, January 2017, accessed August 12, 2020, </w:t>
      </w:r>
      <w:r w:rsidRPr="00C56A77">
        <w:t>https://www.ibisworld.com/united-states/market-research-reports/mens-clothing-stores-industry/</w:t>
      </w:r>
      <w:r>
        <w:t>.</w:t>
      </w:r>
    </w:p>
  </w:footnote>
  <w:footnote w:id="3">
    <w:p w14:paraId="241409AA" w14:textId="77777777" w:rsidR="00BE60F3" w:rsidRPr="0026134E" w:rsidRDefault="00BE60F3" w:rsidP="00BE60F3">
      <w:pPr>
        <w:pStyle w:val="Footnote"/>
      </w:pPr>
      <w:r w:rsidRPr="00642680">
        <w:rPr>
          <w:rStyle w:val="FootnoteReference"/>
        </w:rPr>
        <w:footnoteRef/>
      </w:r>
      <w:r w:rsidRPr="0026134E">
        <w:t xml:space="preserve"> </w:t>
      </w:r>
      <w:r>
        <w:t>“Suits—United States,”</w:t>
      </w:r>
      <w:r w:rsidRPr="0026134E">
        <w:t xml:space="preserve"> Statista, accessed August 12, 2020, </w:t>
      </w:r>
      <w:r w:rsidRPr="00C24E9A">
        <w:t>https://www.statista.com/outlook/cmo/apparel/mens-apparel/Suits/united-states</w:t>
      </w:r>
      <w:r w:rsidRPr="0026134E">
        <w:t>.</w:t>
      </w:r>
    </w:p>
  </w:footnote>
  <w:footnote w:id="4">
    <w:p w14:paraId="2FC37635" w14:textId="77777777" w:rsidR="00BE60F3" w:rsidRPr="0026134E" w:rsidRDefault="00BE60F3" w:rsidP="00BE60F3">
      <w:pPr>
        <w:pStyle w:val="Footnote"/>
      </w:pPr>
      <w:r w:rsidRPr="00642680">
        <w:rPr>
          <w:rStyle w:val="FootnoteReference"/>
        </w:rPr>
        <w:footnoteRef/>
      </w:r>
      <w:r w:rsidRPr="0026134E">
        <w:t xml:space="preserve"> “Who We Are,” Indochino, accessed August 14, 2020, https://www.indochino.com/about/display</w:t>
      </w:r>
      <w:r w:rsidRPr="00DF28F7">
        <w:rPr>
          <w:rStyle w:val="Hyperlink"/>
          <w:u w:val="none"/>
        </w:rPr>
        <w:t>.</w:t>
      </w:r>
    </w:p>
  </w:footnote>
  <w:footnote w:id="5">
    <w:p w14:paraId="789A929C" w14:textId="77777777" w:rsidR="00BE60F3" w:rsidRPr="0026134E" w:rsidRDefault="00BE60F3" w:rsidP="00BE60F3">
      <w:pPr>
        <w:pStyle w:val="Footnote"/>
      </w:pPr>
      <w:r w:rsidRPr="00642680">
        <w:rPr>
          <w:rStyle w:val="FootnoteReference"/>
        </w:rPr>
        <w:footnoteRef/>
      </w:r>
      <w:r w:rsidRPr="0026134E">
        <w:t xml:space="preserve"> </w:t>
      </w:r>
      <w:r>
        <w:t>Sheila</w:t>
      </w:r>
      <w:r w:rsidRPr="0026134E">
        <w:t xml:space="preserve"> Marikar, </w:t>
      </w:r>
      <w:r>
        <w:t>“</w:t>
      </w:r>
      <w:r w:rsidRPr="00F72B10">
        <w:t>How Indochino Makes a Custom Fit Suit for under $500</w:t>
      </w:r>
      <w:r>
        <w:t>,”</w:t>
      </w:r>
      <w:r w:rsidRPr="00F72B10" w:rsidDel="00F72B10">
        <w:t xml:space="preserve"> </w:t>
      </w:r>
      <w:r w:rsidRPr="0026134E">
        <w:rPr>
          <w:i/>
        </w:rPr>
        <w:t>Fortune</w:t>
      </w:r>
      <w:r w:rsidRPr="0026134E">
        <w:t>, September 16, 2017, accessed August 14, 2020, https://fortune.com/2017/09/16/indochino-custom-suit</w:t>
      </w:r>
      <w:r w:rsidRPr="00DF28F7">
        <w:rPr>
          <w:rStyle w:val="Hyperlink"/>
          <w:u w:val="none"/>
        </w:rPr>
        <w:t>.</w:t>
      </w:r>
    </w:p>
  </w:footnote>
  <w:footnote w:id="6">
    <w:p w14:paraId="5CF77630" w14:textId="77777777" w:rsidR="00BE60F3" w:rsidRPr="0026134E" w:rsidRDefault="00BE60F3" w:rsidP="00BE60F3">
      <w:pPr>
        <w:pStyle w:val="Footnote"/>
      </w:pPr>
      <w:r w:rsidRPr="00642680">
        <w:rPr>
          <w:rStyle w:val="FootnoteReference"/>
        </w:rPr>
        <w:footnoteRef/>
      </w:r>
      <w:r w:rsidRPr="0026134E">
        <w:t xml:space="preserve"> Edward Heinrich, “Indochino: Disrupting Custom Menswear,” </w:t>
      </w:r>
      <w:r w:rsidRPr="00DF28F7">
        <w:rPr>
          <w:iCs/>
        </w:rPr>
        <w:t>Impakter</w:t>
      </w:r>
      <w:r w:rsidRPr="001C5853">
        <w:rPr>
          <w:iCs/>
        </w:rPr>
        <w:t xml:space="preserve">, </w:t>
      </w:r>
      <w:r w:rsidRPr="0026134E">
        <w:t>December 7, 2015, accessed August 15, 2020, https://impakter.com/indochino-disrupting-custom-menswear</w:t>
      </w:r>
      <w:r w:rsidRPr="00DF28F7">
        <w:rPr>
          <w:rStyle w:val="Hyperlink"/>
          <w:u w:val="none"/>
        </w:rPr>
        <w:t>.</w:t>
      </w:r>
    </w:p>
  </w:footnote>
  <w:footnote w:id="7">
    <w:p w14:paraId="1C7DF1AC" w14:textId="77777777" w:rsidR="00BE60F3" w:rsidRPr="0026134E" w:rsidRDefault="00BE60F3" w:rsidP="00BE60F3">
      <w:pPr>
        <w:pStyle w:val="Footnote"/>
      </w:pPr>
      <w:r w:rsidRPr="00642680">
        <w:rPr>
          <w:rStyle w:val="FootnoteReference"/>
        </w:rPr>
        <w:footnoteRef/>
      </w:r>
      <w:r w:rsidRPr="0026134E">
        <w:t xml:space="preserve"> “</w:t>
      </w:r>
      <w:r>
        <w:t>Measurements</w:t>
      </w:r>
      <w:r w:rsidRPr="0026134E">
        <w:t xml:space="preserve">,” Indochino, accessed </w:t>
      </w:r>
      <w:r>
        <w:t>May</w:t>
      </w:r>
      <w:r w:rsidRPr="0026134E">
        <w:t xml:space="preserve"> 1</w:t>
      </w:r>
      <w:r>
        <w:t>3</w:t>
      </w:r>
      <w:r w:rsidRPr="0026134E">
        <w:t>, 202</w:t>
      </w:r>
      <w:r>
        <w:t>1</w:t>
      </w:r>
      <w:r w:rsidRPr="0026134E">
        <w:t xml:space="preserve">, </w:t>
      </w:r>
      <w:r w:rsidRPr="00C56A77">
        <w:t>https://www.indochino.com/help/measurements</w:t>
      </w:r>
      <w:r w:rsidRPr="00DF28F7">
        <w:rPr>
          <w:rStyle w:val="Hyperlink"/>
          <w:u w:val="none"/>
        </w:rPr>
        <w:t>.</w:t>
      </w:r>
    </w:p>
  </w:footnote>
  <w:footnote w:id="8">
    <w:p w14:paraId="26AD0BFB" w14:textId="77777777" w:rsidR="00BE60F3" w:rsidRPr="0026134E" w:rsidRDefault="00BE60F3" w:rsidP="00BE60F3">
      <w:pPr>
        <w:pStyle w:val="Footnote"/>
      </w:pPr>
      <w:r w:rsidRPr="00642680">
        <w:rPr>
          <w:rStyle w:val="FootnoteReference"/>
        </w:rPr>
        <w:footnoteRef/>
      </w:r>
      <w:r w:rsidRPr="0026134E">
        <w:t xml:space="preserve"> Anthony Ha, “</w:t>
      </w:r>
      <w:r w:rsidRPr="00F72B10">
        <w:t>Made-to-Measure Menswear Maker Indochino Raises $30M as It Eyes the Wedding Market</w:t>
      </w:r>
      <w:r w:rsidRPr="0026134E">
        <w:t xml:space="preserve">,” </w:t>
      </w:r>
      <w:r w:rsidRPr="005120C9">
        <w:rPr>
          <w:iCs/>
        </w:rPr>
        <w:t>TechCrunch</w:t>
      </w:r>
      <w:r w:rsidRPr="0026134E">
        <w:t>, March 9, 2016, accessed August 15, 2020, https://techcrunch.com/2016/03/09/indochino-raises-from-dayang-group</w:t>
      </w:r>
      <w:r w:rsidRPr="00DF28F7">
        <w:rPr>
          <w:rStyle w:val="Hyperlink"/>
          <w:u w:val="none"/>
        </w:rPr>
        <w:t>.</w:t>
      </w:r>
    </w:p>
  </w:footnote>
  <w:footnote w:id="9">
    <w:p w14:paraId="57B17460" w14:textId="77777777" w:rsidR="00BE60F3" w:rsidRPr="002B6BEE" w:rsidRDefault="00BE60F3" w:rsidP="00BE60F3">
      <w:pPr>
        <w:pStyle w:val="Footnote"/>
        <w:rPr>
          <w:rStyle w:val="FootnoteChar"/>
        </w:rPr>
      </w:pPr>
      <w:r w:rsidRPr="00642680">
        <w:rPr>
          <w:rStyle w:val="FootnoteReference"/>
        </w:rPr>
        <w:footnoteRef/>
      </w:r>
      <w:r>
        <w:t xml:space="preserve"> </w:t>
      </w:r>
      <w:r w:rsidRPr="002B6BEE">
        <w:rPr>
          <w:rStyle w:val="FootnoteChar"/>
        </w:rPr>
        <w:t>Sean Hotchkiss, “Have You Heard About the Jet</w:t>
      </w:r>
      <w:r>
        <w:rPr>
          <w:rStyle w:val="FootnoteChar"/>
        </w:rPr>
        <w:t>B</w:t>
      </w:r>
      <w:r w:rsidRPr="002B6BEE">
        <w:rPr>
          <w:rStyle w:val="FootnoteChar"/>
        </w:rPr>
        <w:t xml:space="preserve">lue of Suits?” </w:t>
      </w:r>
      <w:r w:rsidRPr="005120C9">
        <w:rPr>
          <w:rStyle w:val="FootnoteChar"/>
          <w:i/>
          <w:iCs/>
        </w:rPr>
        <w:t>GQ</w:t>
      </w:r>
      <w:r w:rsidRPr="002B6BEE">
        <w:rPr>
          <w:rStyle w:val="FootnoteChar"/>
        </w:rPr>
        <w:t>, August 2, 2012, accessed March 19, 2021, https://www.gq.com/gallery/suitsupply-new-york-tailored-suit-shop.</w:t>
      </w:r>
    </w:p>
  </w:footnote>
  <w:footnote w:id="10">
    <w:p w14:paraId="4DCA58B2" w14:textId="77777777" w:rsidR="00BE60F3" w:rsidRPr="0026134E" w:rsidRDefault="00BE60F3" w:rsidP="00BE60F3">
      <w:pPr>
        <w:pStyle w:val="Footnote"/>
      </w:pPr>
      <w:r w:rsidRPr="00642680">
        <w:rPr>
          <w:rStyle w:val="FootnoteReference"/>
        </w:rPr>
        <w:footnoteRef/>
      </w:r>
      <w:r w:rsidRPr="0026134E">
        <w:t xml:space="preserve"> Dennis Green, “</w:t>
      </w:r>
      <w:r w:rsidRPr="00EB6636">
        <w:t>How a Startup from Amsterdam Turned Suit-Buying Upside Down to Become the Go-To Brand for American Guys</w:t>
      </w:r>
      <w:r w:rsidRPr="0026134E">
        <w:t xml:space="preserve">,” </w:t>
      </w:r>
      <w:r w:rsidRPr="005120C9">
        <w:rPr>
          <w:i/>
        </w:rPr>
        <w:t>Business Insider</w:t>
      </w:r>
      <w:r w:rsidRPr="001C5853">
        <w:rPr>
          <w:iCs/>
        </w:rPr>
        <w:t>,</w:t>
      </w:r>
      <w:r w:rsidRPr="0026134E">
        <w:t xml:space="preserve"> September 14, 2016, accessed August 13, 2020, https://www.businessinsider.com/how-suitsupply-became-a-goto-for-american-guys-2016-9</w:t>
      </w:r>
      <w:r w:rsidRPr="00DF28F7">
        <w:rPr>
          <w:rStyle w:val="Hyperlink"/>
          <w:u w:val="none"/>
        </w:rPr>
        <w:t>.</w:t>
      </w:r>
    </w:p>
  </w:footnote>
  <w:footnote w:id="11">
    <w:p w14:paraId="66B98BFD" w14:textId="77777777" w:rsidR="00BE60F3" w:rsidRPr="0026134E" w:rsidRDefault="00BE60F3" w:rsidP="00BE60F3">
      <w:pPr>
        <w:pStyle w:val="Footnote"/>
      </w:pPr>
      <w:r w:rsidRPr="00642680">
        <w:rPr>
          <w:rStyle w:val="FootnoteReference"/>
        </w:rPr>
        <w:footnoteRef/>
      </w:r>
      <w:r w:rsidRPr="0026134E">
        <w:t xml:space="preserve"> </w:t>
      </w:r>
      <w:r>
        <w:t>Emily Hardy</w:t>
      </w:r>
      <w:r w:rsidRPr="0026134E">
        <w:t>, “</w:t>
      </w:r>
      <w:r w:rsidRPr="00DB6158">
        <w:t>The man behind Suitsupply tells EMILY HARDY how the business started from a car boot became a €300m global fashion brand worn by Leonardo DiCaprio</w:t>
      </w:r>
      <w:r w:rsidRPr="0026134E">
        <w:t xml:space="preserve">,” </w:t>
      </w:r>
      <w:r>
        <w:rPr>
          <w:i/>
        </w:rPr>
        <w:t>This is Money</w:t>
      </w:r>
      <w:r w:rsidRPr="001C5853">
        <w:rPr>
          <w:iCs/>
        </w:rPr>
        <w:t>,</w:t>
      </w:r>
      <w:r w:rsidRPr="0026134E">
        <w:t xml:space="preserve"> </w:t>
      </w:r>
      <w:r>
        <w:t>February</w:t>
      </w:r>
      <w:r w:rsidRPr="0026134E">
        <w:t xml:space="preserve"> 4, 201</w:t>
      </w:r>
      <w:r>
        <w:t>9</w:t>
      </w:r>
      <w:r w:rsidRPr="0026134E">
        <w:t xml:space="preserve">, accessed </w:t>
      </w:r>
      <w:r>
        <w:t xml:space="preserve">May </w:t>
      </w:r>
      <w:r w:rsidRPr="0026134E">
        <w:t>13, 202</w:t>
      </w:r>
      <w:r>
        <w:t>1</w:t>
      </w:r>
      <w:r w:rsidRPr="0026134E">
        <w:t xml:space="preserve">, </w:t>
      </w:r>
      <w:r w:rsidRPr="00DB6158">
        <w:t>https://www.thisismoney.co.uk/money/markets/article-6602753/The-man-Suitsupply-reveals-built-300m-fashion-firm-boot-car.html</w:t>
      </w:r>
      <w:r w:rsidRPr="00DF28F7">
        <w:rPr>
          <w:rStyle w:val="Hyperlink"/>
          <w:u w:val="none"/>
        </w:rPr>
        <w:t>.</w:t>
      </w:r>
    </w:p>
  </w:footnote>
  <w:footnote w:id="12">
    <w:p w14:paraId="773C5541" w14:textId="77777777" w:rsidR="00BE60F3" w:rsidRPr="0026134E" w:rsidRDefault="00BE60F3" w:rsidP="00BE60F3">
      <w:pPr>
        <w:pStyle w:val="Footnote"/>
      </w:pPr>
      <w:r w:rsidRPr="00642680">
        <w:rPr>
          <w:rStyle w:val="FootnoteReference"/>
        </w:rPr>
        <w:footnoteRef/>
      </w:r>
      <w:r w:rsidRPr="0026134E">
        <w:t xml:space="preserve"> Dena Silver, “Suitsupply’s Formula for High-Quality, Low-Cost Suits,” </w:t>
      </w:r>
      <w:r w:rsidRPr="005120C9">
        <w:rPr>
          <w:i/>
        </w:rPr>
        <w:t>Observer</w:t>
      </w:r>
      <w:r w:rsidRPr="001C5853">
        <w:rPr>
          <w:iCs/>
        </w:rPr>
        <w:t>,</w:t>
      </w:r>
      <w:r w:rsidRPr="0026134E">
        <w:t xml:space="preserve"> October 6, 2016, accessed August 13, 2020,</w:t>
      </w:r>
      <w:r>
        <w:t xml:space="preserve"> </w:t>
      </w:r>
      <w:r w:rsidRPr="0026134E">
        <w:t xml:space="preserve">https://observer.com/2016/10/suitsupplys-formula-for-high-quality-low-cost-suits. </w:t>
      </w:r>
    </w:p>
  </w:footnote>
  <w:footnote w:id="13">
    <w:p w14:paraId="609F917A" w14:textId="77777777" w:rsidR="00BE60F3" w:rsidRPr="0026134E" w:rsidRDefault="00BE60F3" w:rsidP="00BE60F3">
      <w:pPr>
        <w:pStyle w:val="Footnote"/>
      </w:pPr>
      <w:r w:rsidRPr="00642680">
        <w:rPr>
          <w:rStyle w:val="FootnoteReference"/>
        </w:rPr>
        <w:footnoteRef/>
      </w:r>
      <w:r w:rsidRPr="0026134E">
        <w:t xml:space="preserve"> Sarah Nassauer, “A Hard-Working Suit,” </w:t>
      </w:r>
      <w:r w:rsidRPr="0026134E">
        <w:rPr>
          <w:i/>
        </w:rPr>
        <w:t>Wall Street Journal</w:t>
      </w:r>
      <w:r w:rsidRPr="0026134E">
        <w:t>, April 14, 2011, accessed August 13, 2020, https://www.wsj.com/articles/SB10001424052748703385404576258671135584478</w:t>
      </w:r>
      <w:r w:rsidRPr="00DF28F7">
        <w:rPr>
          <w:rStyle w:val="Hyperlink"/>
          <w:u w:val="none"/>
        </w:rPr>
        <w:t>.</w:t>
      </w:r>
    </w:p>
  </w:footnote>
  <w:footnote w:id="14">
    <w:p w14:paraId="649CE0B1" w14:textId="77777777" w:rsidR="00BE60F3" w:rsidRPr="0026134E" w:rsidRDefault="00BE60F3" w:rsidP="00BE60F3">
      <w:pPr>
        <w:pStyle w:val="Footnote"/>
      </w:pPr>
      <w:r w:rsidRPr="00642680">
        <w:rPr>
          <w:rStyle w:val="FootnoteReference"/>
        </w:rPr>
        <w:footnoteRef/>
      </w:r>
      <w:r w:rsidRPr="0026134E">
        <w:t xml:space="preserve"> Dennis Green, “</w:t>
      </w:r>
      <w:r w:rsidRPr="00EB6636">
        <w:t>How a Startup from Amsterdam Turned Suit-Buying Upside Down to Become the Go-To Brand for American Guys</w:t>
      </w:r>
      <w:r w:rsidRPr="0026134E">
        <w:t xml:space="preserve">,” </w:t>
      </w:r>
      <w:r w:rsidRPr="005120C9">
        <w:rPr>
          <w:i/>
        </w:rPr>
        <w:t>Business Insider</w:t>
      </w:r>
      <w:r w:rsidRPr="001C5853">
        <w:rPr>
          <w:iCs/>
        </w:rPr>
        <w:t>,</w:t>
      </w:r>
      <w:r w:rsidRPr="0026134E">
        <w:t xml:space="preserve"> September 14, 2016, accessed August 13, 2020, https://www.businessinsider.com/how-suitsupply-became-a-goto-for-american-guys-2016-9</w:t>
      </w:r>
      <w:r w:rsidRPr="00DF28F7">
        <w:rPr>
          <w:rStyle w:val="Hyperlink"/>
          <w:u w:val="none"/>
        </w:rPr>
        <w:t>.</w:t>
      </w:r>
    </w:p>
  </w:footnote>
  <w:footnote w:id="15">
    <w:p w14:paraId="7164CB4D" w14:textId="77777777" w:rsidR="00BE60F3" w:rsidRPr="0026134E" w:rsidRDefault="00BE60F3" w:rsidP="00BE60F3">
      <w:pPr>
        <w:pStyle w:val="Footnote"/>
      </w:pPr>
      <w:r w:rsidRPr="00642680">
        <w:rPr>
          <w:rStyle w:val="FootnoteReference"/>
        </w:rPr>
        <w:footnoteRef/>
      </w:r>
      <w:r w:rsidRPr="0026134E">
        <w:t xml:space="preserve"> Tailored Brands Inc., </w:t>
      </w:r>
      <w:r w:rsidRPr="00231468">
        <w:rPr>
          <w:i/>
          <w:iCs/>
        </w:rPr>
        <w:t>Form 10-K 2017: Annual Report for the Fiscal Year Ended January 28, 2017</w:t>
      </w:r>
      <w:r w:rsidRPr="0026134E">
        <w:t>, accessed August 13, 2020, https://ir.tailoredbrands.com/annual-reports/content/0001558370-17-002109/tlrd-20170128x10k.htm.</w:t>
      </w:r>
    </w:p>
  </w:footnote>
  <w:footnote w:id="16">
    <w:p w14:paraId="42D8437B" w14:textId="77777777" w:rsidR="00BE60F3" w:rsidRPr="0026134E" w:rsidRDefault="00BE60F3" w:rsidP="00BE60F3">
      <w:pPr>
        <w:pStyle w:val="Footnote"/>
      </w:pPr>
      <w:r w:rsidRPr="00642680">
        <w:rPr>
          <w:rStyle w:val="FootnoteReference"/>
        </w:rPr>
        <w:footnoteRef/>
      </w:r>
      <w:r w:rsidRPr="0026134E">
        <w:t xml:space="preserve"> </w:t>
      </w:r>
      <w:r>
        <w:t>Cohen, op. cit.</w:t>
      </w:r>
    </w:p>
  </w:footnote>
  <w:footnote w:id="17">
    <w:p w14:paraId="7DA19EEB" w14:textId="77777777" w:rsidR="00BE60F3" w:rsidRPr="0026134E" w:rsidRDefault="00BE60F3" w:rsidP="00BE60F3">
      <w:pPr>
        <w:pStyle w:val="Footnote"/>
        <w:tabs>
          <w:tab w:val="left" w:pos="8625"/>
        </w:tabs>
      </w:pPr>
      <w:r w:rsidRPr="00642680">
        <w:rPr>
          <w:rStyle w:val="FootnoteReference"/>
        </w:rPr>
        <w:footnoteRef/>
      </w:r>
      <w:r w:rsidRPr="0026134E">
        <w:t xml:space="preserve"> Ibid.</w:t>
      </w:r>
      <w:r>
        <w:tab/>
      </w:r>
    </w:p>
  </w:footnote>
  <w:footnote w:id="18">
    <w:p w14:paraId="3C5AAA63" w14:textId="77777777" w:rsidR="00BE60F3" w:rsidRPr="0026134E" w:rsidRDefault="00BE60F3" w:rsidP="00BE60F3">
      <w:pPr>
        <w:pStyle w:val="Footnote"/>
      </w:pPr>
      <w:r w:rsidRPr="00642680">
        <w:rPr>
          <w:rStyle w:val="FootnoteReference"/>
        </w:rPr>
        <w:footnoteRef/>
      </w:r>
      <w:r>
        <w:t xml:space="preserve"> SA Transcripts</w:t>
      </w:r>
      <w:r w:rsidRPr="0026134E">
        <w:t xml:space="preserve">, </w:t>
      </w:r>
      <w:r>
        <w:t>“</w:t>
      </w:r>
      <w:r w:rsidRPr="007726C6">
        <w:t>The Men's Wearhouse's (MW) CEO Doug Ewert on Q2 2014 Results - Earnings Call Transcript</w:t>
      </w:r>
      <w:r>
        <w:t xml:space="preserve">,” </w:t>
      </w:r>
      <w:r>
        <w:rPr>
          <w:i/>
          <w:iCs/>
        </w:rPr>
        <w:t xml:space="preserve">Seeking Alpha, </w:t>
      </w:r>
      <w:r w:rsidRPr="007726C6">
        <w:t>September 11, 2014</w:t>
      </w:r>
      <w:r w:rsidRPr="0026134E">
        <w:t xml:space="preserve">, accessed </w:t>
      </w:r>
      <w:r>
        <w:t xml:space="preserve">May </w:t>
      </w:r>
      <w:r w:rsidRPr="0026134E">
        <w:t>13, 202</w:t>
      </w:r>
      <w:r>
        <w:t>1</w:t>
      </w:r>
      <w:r w:rsidRPr="0026134E">
        <w:t xml:space="preserve">, </w:t>
      </w:r>
      <w:r w:rsidRPr="00C56A77">
        <w:t>https://seekingalpha.com/article/2488045-the-mens-wearhouses-mw-ceo-doug-ewert-on-q2-2014-results-earnings-call-transcript</w:t>
      </w:r>
      <w:r w:rsidRPr="0026134E">
        <w:t>.</w:t>
      </w:r>
    </w:p>
  </w:footnote>
  <w:footnote w:id="19">
    <w:p w14:paraId="7D476C1B" w14:textId="77777777" w:rsidR="00BE60F3" w:rsidRPr="0026134E" w:rsidRDefault="00BE60F3" w:rsidP="00BE60F3">
      <w:pPr>
        <w:pStyle w:val="Footnote"/>
      </w:pPr>
      <w:r w:rsidRPr="00642680">
        <w:rPr>
          <w:rStyle w:val="FootnoteReference"/>
        </w:rPr>
        <w:footnoteRef/>
      </w:r>
      <w:r w:rsidRPr="0026134E">
        <w:t xml:space="preserve"> Ibid.</w:t>
      </w:r>
    </w:p>
  </w:footnote>
  <w:footnote w:id="20">
    <w:p w14:paraId="380B4756" w14:textId="77777777" w:rsidR="00BE60F3" w:rsidRPr="0026134E" w:rsidRDefault="00BE60F3" w:rsidP="00BE60F3">
      <w:pPr>
        <w:pStyle w:val="Footnote"/>
      </w:pPr>
      <w:r w:rsidRPr="00642680">
        <w:rPr>
          <w:rStyle w:val="FootnoteReference"/>
        </w:rPr>
        <w:footnoteRef/>
      </w:r>
      <w:r w:rsidRPr="0026134E">
        <w:t xml:space="preserve"> “</w:t>
      </w:r>
      <w:r w:rsidRPr="002C7CE5">
        <w:t>HINC-02. Age of Householder-Households, by Total Money Income, Type of Household, Race and Hispanic Origin of Householder</w:t>
      </w:r>
      <w:r>
        <w:t>,</w:t>
      </w:r>
      <w:r w:rsidRPr="0026134E">
        <w:t xml:space="preserve">” </w:t>
      </w:r>
      <w:r>
        <w:t>United States Census Bureau</w:t>
      </w:r>
      <w:r w:rsidRPr="0026134E">
        <w:t>, accessed August 12, 2020, https://www.census.gov/data/tables/time-series/demo/income-poverty/cps-hinc/hinc-02.2017.html.</w:t>
      </w:r>
    </w:p>
  </w:footnote>
  <w:footnote w:id="21">
    <w:p w14:paraId="23BC8E14" w14:textId="77777777" w:rsidR="00BE60F3" w:rsidRPr="0026134E" w:rsidRDefault="00BE60F3" w:rsidP="00BE60F3">
      <w:pPr>
        <w:pStyle w:val="Footnote"/>
      </w:pPr>
      <w:r w:rsidRPr="00642680">
        <w:rPr>
          <w:rStyle w:val="FootnoteReference"/>
        </w:rPr>
        <w:footnoteRef/>
      </w:r>
      <w:r w:rsidRPr="0026134E">
        <w:t xml:space="preserve"> </w:t>
      </w:r>
      <w:r>
        <w:t xml:space="preserve">Mintel Group Ltd., </w:t>
      </w:r>
      <w:r w:rsidRPr="00DF28F7">
        <w:rPr>
          <w:i/>
          <w:iCs/>
        </w:rPr>
        <w:t>Men’s Clothes Shopping</w:t>
      </w:r>
      <w:r>
        <w:rPr>
          <w:i/>
          <w:iCs/>
        </w:rPr>
        <w:t>—</w:t>
      </w:r>
      <w:r w:rsidRPr="00DF28F7">
        <w:rPr>
          <w:i/>
          <w:iCs/>
        </w:rPr>
        <w:t>US</w:t>
      </w:r>
      <w:r>
        <w:rPr>
          <w:i/>
          <w:iCs/>
        </w:rPr>
        <w:t>—</w:t>
      </w:r>
      <w:r w:rsidRPr="00DF28F7">
        <w:rPr>
          <w:i/>
          <w:iCs/>
        </w:rPr>
        <w:t>May 2014</w:t>
      </w:r>
      <w:r>
        <w:t>,</w:t>
      </w:r>
      <w:r w:rsidRPr="0026134E">
        <w:t xml:space="preserve"> accessed August 12, 2020</w:t>
      </w:r>
      <w:r>
        <w:t xml:space="preserve">, </w:t>
      </w:r>
      <w:r w:rsidRPr="008715EE">
        <w:t>https://store.mintel.com/report/mens-clothes-shopping-us-may-2014</w:t>
      </w:r>
      <w:r>
        <w:t>.</w:t>
      </w:r>
    </w:p>
  </w:footnote>
  <w:footnote w:id="22">
    <w:p w14:paraId="13A354F5" w14:textId="77777777" w:rsidR="00BE60F3" w:rsidRPr="0026134E" w:rsidRDefault="00BE60F3" w:rsidP="00BE60F3">
      <w:pPr>
        <w:pStyle w:val="Footnote"/>
      </w:pPr>
      <w:r w:rsidRPr="00642680">
        <w:rPr>
          <w:rStyle w:val="FootnoteReference"/>
        </w:rPr>
        <w:footnoteRef/>
      </w:r>
      <w:r w:rsidRPr="0026134E">
        <w:t xml:space="preserve"> “</w:t>
      </w:r>
      <w:r w:rsidRPr="002C7CE5">
        <w:t>HINC-02</w:t>
      </w:r>
      <w:r>
        <w:t>,</w:t>
      </w:r>
      <w:r w:rsidRPr="0026134E">
        <w:t xml:space="preserve">” </w:t>
      </w:r>
      <w:r>
        <w:t>op. cit.</w:t>
      </w:r>
    </w:p>
  </w:footnote>
  <w:footnote w:id="23">
    <w:p w14:paraId="7BFEFD9D" w14:textId="77777777" w:rsidR="00BE60F3" w:rsidRPr="0026134E" w:rsidRDefault="00BE60F3" w:rsidP="00BE60F3">
      <w:pPr>
        <w:pStyle w:val="Footnote"/>
      </w:pPr>
      <w:r w:rsidRPr="00642680">
        <w:rPr>
          <w:rStyle w:val="FootnoteReference"/>
        </w:rPr>
        <w:footnoteRef/>
      </w:r>
      <w:r>
        <w:t xml:space="preserve"> Mintel Group, op. cit.</w:t>
      </w:r>
    </w:p>
  </w:footnote>
  <w:footnote w:id="24">
    <w:p w14:paraId="00545C3C" w14:textId="77777777" w:rsidR="00BE60F3" w:rsidRPr="0026134E" w:rsidRDefault="00BE60F3" w:rsidP="00BE60F3">
      <w:pPr>
        <w:pStyle w:val="Footnote"/>
      </w:pPr>
      <w:r w:rsidRPr="00642680">
        <w:rPr>
          <w:rStyle w:val="FootnoteReference"/>
        </w:rPr>
        <w:footnoteRef/>
      </w:r>
      <w:r>
        <w:t xml:space="preserve"> Mintel Group, op. cit.</w:t>
      </w:r>
    </w:p>
  </w:footnote>
  <w:footnote w:id="25">
    <w:p w14:paraId="3F63285D" w14:textId="77777777" w:rsidR="00BE60F3" w:rsidRPr="0026134E" w:rsidRDefault="00BE60F3" w:rsidP="00BE60F3">
      <w:pPr>
        <w:pStyle w:val="Footnote"/>
      </w:pPr>
      <w:r w:rsidRPr="00642680">
        <w:rPr>
          <w:rStyle w:val="FootnoteReference"/>
        </w:rPr>
        <w:footnoteRef/>
      </w:r>
      <w:r>
        <w:t xml:space="preserve"> Mintel Group, op. cit.</w:t>
      </w:r>
    </w:p>
  </w:footnote>
  <w:footnote w:id="26">
    <w:p w14:paraId="5A1044F6" w14:textId="77777777" w:rsidR="00BE60F3" w:rsidRPr="0026134E" w:rsidRDefault="00BE60F3" w:rsidP="00BE60F3">
      <w:pPr>
        <w:pStyle w:val="Footnote"/>
      </w:pPr>
      <w:r w:rsidRPr="00642680">
        <w:rPr>
          <w:rStyle w:val="FootnoteReference"/>
        </w:rPr>
        <w:footnoteRef/>
      </w:r>
      <w:r w:rsidRPr="0026134E">
        <w:t xml:space="preserve"> CPC advertising would charge Hudson St. Clair every time a user clicked on an advertisement</w:t>
      </w:r>
      <w:r>
        <w:t>,</w:t>
      </w:r>
      <w:r w:rsidRPr="0026134E">
        <w:t xml:space="preserve"> </w:t>
      </w:r>
      <w:r>
        <w:t>whereas</w:t>
      </w:r>
      <w:r w:rsidRPr="0026134E">
        <w:t xml:space="preserve"> CPM advertising would charge for </w:t>
      </w:r>
      <w:r>
        <w:t>every</w:t>
      </w:r>
      <w:r w:rsidRPr="0026134E">
        <w:t xml:space="preserve"> 1,000 </w:t>
      </w:r>
      <w:r w:rsidRPr="00AF6856">
        <w:t xml:space="preserve">digital views </w:t>
      </w:r>
      <w:r>
        <w:t xml:space="preserve">of, </w:t>
      </w:r>
      <w:r w:rsidRPr="00AF6856">
        <w:t xml:space="preserve">or engagements </w:t>
      </w:r>
      <w:r>
        <w:t>with, one of Hudson St. Clair’s advertisements</w:t>
      </w:r>
      <w:r w:rsidRPr="0026134E">
        <w:t>.</w:t>
      </w:r>
    </w:p>
  </w:footnote>
  <w:footnote w:id="27">
    <w:p w14:paraId="3D327D0A" w14:textId="77777777" w:rsidR="00BE60F3" w:rsidRPr="0026134E" w:rsidRDefault="00BE60F3" w:rsidP="00BE60F3">
      <w:pPr>
        <w:pStyle w:val="Footnote"/>
      </w:pPr>
      <w:r w:rsidRPr="00642680">
        <w:rPr>
          <w:rStyle w:val="FootnoteReference"/>
        </w:rPr>
        <w:footnoteRef/>
      </w:r>
      <w:r w:rsidRPr="0026134E">
        <w:t xml:space="preserve"> Maxwell Gollin, “</w:t>
      </w:r>
      <w:r w:rsidRPr="00884412">
        <w:t>How Much Do Ads Cost on Facebook, Instagram, Twitter, and LinkedIn in 2021?</w:t>
      </w:r>
      <w:r>
        <w:t xml:space="preserve">,” </w:t>
      </w:r>
      <w:r w:rsidRPr="00DF28F7">
        <w:t>Falcon</w:t>
      </w:r>
      <w:r w:rsidRPr="001C5853">
        <w:t>,</w:t>
      </w:r>
      <w:r w:rsidRPr="0026134E">
        <w:t xml:space="preserve"> January 7, 2019, accessed August 13, 2020, https://www.falcon.io/insights-hub/topics/social-media-roi/how-much-do-ads-cost-on-facebook-instagram-twitter-and-linkedin-in-2018</w:t>
      </w:r>
      <w:r w:rsidRPr="00DF28F7">
        <w:rPr>
          <w:rStyle w:val="Hyperlink"/>
          <w:u w:val="none"/>
        </w:rPr>
        <w:t>.</w:t>
      </w:r>
    </w:p>
  </w:footnote>
  <w:footnote w:id="28">
    <w:p w14:paraId="54F3C325" w14:textId="77777777" w:rsidR="00BE60F3" w:rsidRPr="0026134E" w:rsidRDefault="00BE60F3" w:rsidP="00BE60F3">
      <w:pPr>
        <w:pStyle w:val="Footnote"/>
      </w:pPr>
      <w:r w:rsidRPr="00642680">
        <w:rPr>
          <w:rStyle w:val="FootnoteReference"/>
        </w:rPr>
        <w:footnoteRef/>
      </w:r>
      <w:r w:rsidRPr="0026134E">
        <w:t xml:space="preserve"> Dan Shewan, “The Comprehensive Guide to Online Advertising Costs,” </w:t>
      </w:r>
      <w:r w:rsidRPr="00DF28F7">
        <w:rPr>
          <w:iCs/>
        </w:rPr>
        <w:t>WordStream</w:t>
      </w:r>
      <w:r w:rsidRPr="001C5853">
        <w:rPr>
          <w:iCs/>
        </w:rPr>
        <w:t>,</w:t>
      </w:r>
      <w:r w:rsidRPr="0026134E">
        <w:t xml:space="preserve"> April 20, 2020, accessed August 13, 2020, https://www.wordstream.com/blog/ws/2017/07/05/online-advertising-costs.</w:t>
      </w:r>
    </w:p>
  </w:footnote>
  <w:footnote w:id="29">
    <w:p w14:paraId="26924C78" w14:textId="77777777" w:rsidR="00BE60F3" w:rsidRPr="0026134E" w:rsidRDefault="00BE60F3" w:rsidP="00BE60F3">
      <w:pPr>
        <w:pStyle w:val="Footnote"/>
      </w:pPr>
      <w:r w:rsidRPr="00642680">
        <w:rPr>
          <w:rStyle w:val="FootnoteReference"/>
        </w:rPr>
        <w:footnoteRef/>
      </w:r>
      <w:r w:rsidRPr="0026134E">
        <w:t xml:space="preserve"> “Advertise Locally in GQ,” MediaMax Network, February </w:t>
      </w:r>
      <w:r>
        <w:t>4</w:t>
      </w:r>
      <w:r w:rsidRPr="0026134E">
        <w:t>, 2020, accessed August 14, 2020, https://mediamaxnetwork.com/publications/</w:t>
      </w:r>
      <w:r w:rsidRPr="001C5853">
        <w:t>gq</w:t>
      </w:r>
      <w:r w:rsidRPr="00DF28F7">
        <w:rPr>
          <w:rStyle w:val="Hyperlink"/>
          <w:u w:val="none"/>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27EB78BA"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D32E6">
      <w:rPr>
        <w:rFonts w:ascii="Arial" w:hAnsi="Arial"/>
        <w:b/>
        <w:noProof/>
      </w:rPr>
      <w:t>8</w:t>
    </w:r>
    <w:r>
      <w:rPr>
        <w:rFonts w:ascii="Arial" w:hAnsi="Arial"/>
        <w:b/>
      </w:rPr>
      <w:fldChar w:fldCharType="end"/>
    </w:r>
    <w:r>
      <w:rPr>
        <w:rFonts w:ascii="Arial" w:hAnsi="Arial"/>
        <w:b/>
      </w:rPr>
      <w:tab/>
    </w:r>
    <w:r w:rsidR="007D2769">
      <w:rPr>
        <w:rFonts w:ascii="Arial" w:hAnsi="Arial"/>
        <w:b/>
      </w:rPr>
      <w:t>9B21B011</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6E285" w14:textId="7A43AE7D" w:rsidR="007D2769" w:rsidRPr="00C92CC4" w:rsidRDefault="007D2769" w:rsidP="007D2769">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8</w:t>
    </w:r>
    <w:r>
      <w:rPr>
        <w:rFonts w:ascii="Arial" w:hAnsi="Arial"/>
        <w:b/>
      </w:rPr>
      <w:fldChar w:fldCharType="end"/>
    </w:r>
    <w:r>
      <w:rPr>
        <w:rFonts w:ascii="Arial" w:hAnsi="Arial"/>
        <w:b/>
      </w:rPr>
      <w:tab/>
      <w:t>9B21B011</w:t>
    </w:r>
  </w:p>
  <w:p w14:paraId="129CF5A4" w14:textId="77777777" w:rsidR="007D2769" w:rsidRDefault="007D2769" w:rsidP="007D2769">
    <w:pPr>
      <w:pStyle w:val="Header"/>
      <w:tabs>
        <w:tab w:val="clear" w:pos="4680"/>
        <w:tab w:val="clear" w:pos="9360"/>
        <w:tab w:val="right" w:pos="12960"/>
      </w:tabs>
      <w:rPr>
        <w:sz w:val="18"/>
        <w:szCs w:val="18"/>
      </w:rPr>
    </w:pPr>
  </w:p>
  <w:p w14:paraId="2A884894" w14:textId="77777777" w:rsidR="007D2769" w:rsidRPr="00C92CC4" w:rsidRDefault="007D2769" w:rsidP="007D2769">
    <w:pPr>
      <w:pStyle w:val="Header"/>
      <w:tabs>
        <w:tab w:val="clear" w:pos="4680"/>
        <w:tab w:val="clear" w:pos="9360"/>
        <w:tab w:val="right" w:pos="1296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764E1"/>
    <w:multiLevelType w:val="hybridMultilevel"/>
    <w:tmpl w:val="7C6A5E08"/>
    <w:lvl w:ilvl="0" w:tplc="08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3"/>
  </w:num>
  <w:num w:numId="4">
    <w:abstractNumId w:val="10"/>
  </w:num>
  <w:num w:numId="5">
    <w:abstractNumId w:val="4"/>
  </w:num>
  <w:num w:numId="6">
    <w:abstractNumId w:val="8"/>
  </w:num>
  <w:num w:numId="7">
    <w:abstractNumId w:val="1"/>
  </w:num>
  <w:num w:numId="8">
    <w:abstractNumId w:val="12"/>
  </w:num>
  <w:num w:numId="9">
    <w:abstractNumId w:val="9"/>
  </w:num>
  <w:num w:numId="10">
    <w:abstractNumId w:val="2"/>
  </w:num>
  <w:num w:numId="11">
    <w:abstractNumId w:val="6"/>
  </w:num>
  <w:num w:numId="12">
    <w:abstractNumId w:val="7"/>
  </w:num>
  <w:num w:numId="1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53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8102D"/>
    <w:rsid w:val="00086B26"/>
    <w:rsid w:val="00094C0E"/>
    <w:rsid w:val="000A146D"/>
    <w:rsid w:val="000D2A2F"/>
    <w:rsid w:val="000D7091"/>
    <w:rsid w:val="000F0C22"/>
    <w:rsid w:val="000F6B09"/>
    <w:rsid w:val="000F6FDC"/>
    <w:rsid w:val="00104567"/>
    <w:rsid w:val="00104916"/>
    <w:rsid w:val="00104AA7"/>
    <w:rsid w:val="0012732D"/>
    <w:rsid w:val="00143F25"/>
    <w:rsid w:val="00152682"/>
    <w:rsid w:val="00154FC9"/>
    <w:rsid w:val="001901C0"/>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3111"/>
    <w:rsid w:val="00265FA8"/>
    <w:rsid w:val="002B40FF"/>
    <w:rsid w:val="002C4E29"/>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979A5"/>
    <w:rsid w:val="004A25E0"/>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B4CE6"/>
    <w:rsid w:val="005B5EFE"/>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2769"/>
    <w:rsid w:val="007D32E6"/>
    <w:rsid w:val="007D4102"/>
    <w:rsid w:val="007E54A7"/>
    <w:rsid w:val="007F43B7"/>
    <w:rsid w:val="00821FFC"/>
    <w:rsid w:val="008271CA"/>
    <w:rsid w:val="008467D5"/>
    <w:rsid w:val="008A4DC4"/>
    <w:rsid w:val="008B438C"/>
    <w:rsid w:val="008D06CA"/>
    <w:rsid w:val="008D3A46"/>
    <w:rsid w:val="008F2385"/>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323B0"/>
    <w:rsid w:val="00A559DB"/>
    <w:rsid w:val="00A569EA"/>
    <w:rsid w:val="00A676A0"/>
    <w:rsid w:val="00AF35FC"/>
    <w:rsid w:val="00AF5556"/>
    <w:rsid w:val="00B03639"/>
    <w:rsid w:val="00B0652A"/>
    <w:rsid w:val="00B40937"/>
    <w:rsid w:val="00B423EF"/>
    <w:rsid w:val="00B453DE"/>
    <w:rsid w:val="00B62497"/>
    <w:rsid w:val="00B72597"/>
    <w:rsid w:val="00B87DC0"/>
    <w:rsid w:val="00B901F9"/>
    <w:rsid w:val="00BC4D98"/>
    <w:rsid w:val="00BD6EFB"/>
    <w:rsid w:val="00BE3DF5"/>
    <w:rsid w:val="00BE60F3"/>
    <w:rsid w:val="00BF5EAB"/>
    <w:rsid w:val="00C02410"/>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C09D8"/>
    <w:rsid w:val="00DE01A6"/>
    <w:rsid w:val="00DE7A98"/>
    <w:rsid w:val="00DF32C2"/>
    <w:rsid w:val="00E471A7"/>
    <w:rsid w:val="00E635CF"/>
    <w:rsid w:val="00EB1E3B"/>
    <w:rsid w:val="00EC6E0A"/>
    <w:rsid w:val="00ED4E18"/>
    <w:rsid w:val="00ED7922"/>
    <w:rsid w:val="00EE02C4"/>
    <w:rsid w:val="00EE1F37"/>
    <w:rsid w:val="00F0159C"/>
    <w:rsid w:val="00F105B7"/>
    <w:rsid w:val="00F13220"/>
    <w:rsid w:val="00F17A21"/>
    <w:rsid w:val="00F36FC2"/>
    <w:rsid w:val="00F37B27"/>
    <w:rsid w:val="00F46556"/>
    <w:rsid w:val="00F50E91"/>
    <w:rsid w:val="00F56799"/>
    <w:rsid w:val="00F57D29"/>
    <w:rsid w:val="00F60786"/>
    <w:rsid w:val="00F91BC7"/>
    <w:rsid w:val="00F96201"/>
    <w:rsid w:val="00FA1BBC"/>
    <w:rsid w:val="00FC2D2A"/>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7546296296296297"/>
          <c:y val="0"/>
          <c:w val="0.42824074074074076"/>
          <c:h val="1"/>
        </c:manualLayout>
      </c:layout>
      <c:barChart>
        <c:barDir val="col"/>
        <c:grouping val="percentStacked"/>
        <c:varyColors val="0"/>
        <c:ser>
          <c:idx val="0"/>
          <c:order val="0"/>
          <c:tx>
            <c:strRef>
              <c:f>Sheet1!$B$1</c:f>
              <c:strCache>
                <c:ptCount val="1"/>
                <c:pt idx="0">
                  <c:v>Purchases</c:v>
                </c:pt>
              </c:strCache>
            </c:strRef>
          </c:tx>
          <c:spPr>
            <a:solidFill>
              <a:schemeClr val="bg1">
                <a:lumMod val="95000"/>
              </a:schemeClr>
            </a:solidFill>
            <a:ln>
              <a:solidFill>
                <a:schemeClr val="tx1"/>
              </a:solidFill>
            </a:ln>
            <a:effectLst/>
          </c:spPr>
          <c:invertIfNegative val="0"/>
          <c:dLbls>
            <c:dLbl>
              <c:idx val="0"/>
              <c:layout>
                <c:manualLayout>
                  <c:x val="0.21759259259259259"/>
                  <c:y val="0"/>
                </c:manualLayout>
              </c:layout>
              <c:dLblPos val="ct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0-C962-4FDB-B3A7-AA72540216A3}"/>
                </c:ext>
              </c:extLst>
            </c:dLbl>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ctr"/>
            <c:showLegendKey val="0"/>
            <c:showVal val="1"/>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Industry Cost as a Percentage of Revenue (2017)</c:v>
                </c:pt>
              </c:strCache>
            </c:strRef>
          </c:cat>
          <c:val>
            <c:numRef>
              <c:f>Sheet1!$B$2</c:f>
              <c:numCache>
                <c:formatCode>0.00%</c:formatCode>
                <c:ptCount val="1"/>
                <c:pt idx="0">
                  <c:v>0.50700000000000001</c:v>
                </c:pt>
              </c:numCache>
            </c:numRef>
          </c:val>
          <c:extLst>
            <c:ext xmlns:c16="http://schemas.microsoft.com/office/drawing/2014/chart" uri="{C3380CC4-5D6E-409C-BE32-E72D297353CC}">
              <c16:uniqueId val="{00000001-C962-4FDB-B3A7-AA72540216A3}"/>
            </c:ext>
          </c:extLst>
        </c:ser>
        <c:ser>
          <c:idx val="1"/>
          <c:order val="1"/>
          <c:tx>
            <c:strRef>
              <c:f>Sheet1!$C$1</c:f>
              <c:strCache>
                <c:ptCount val="1"/>
                <c:pt idx="0">
                  <c:v>Rent &amp; Utilities</c:v>
                </c:pt>
              </c:strCache>
            </c:strRef>
          </c:tx>
          <c:spPr>
            <a:solidFill>
              <a:schemeClr val="bg1">
                <a:lumMod val="50000"/>
              </a:schemeClr>
            </a:solidFill>
            <a:ln>
              <a:solidFill>
                <a:schemeClr val="tx1"/>
              </a:solidFill>
            </a:ln>
            <a:effectLst/>
          </c:spPr>
          <c:invertIfNegative val="0"/>
          <c:dLbls>
            <c:dLbl>
              <c:idx val="0"/>
              <c:layout>
                <c:manualLayout>
                  <c:x val="0.22800925925925916"/>
                  <c:y val="9.920791151106112E-3"/>
                </c:manualLayout>
              </c:layout>
              <c:dLblPos val="ctr"/>
              <c:showLegendKey val="0"/>
              <c:showVal val="1"/>
              <c:showCatName val="0"/>
              <c:showSerName val="1"/>
              <c:showPercent val="0"/>
              <c:showBubbleSize val="0"/>
              <c:extLst>
                <c:ext xmlns:c15="http://schemas.microsoft.com/office/drawing/2012/chart" uri="{CE6537A1-D6FC-4f65-9D91-7224C49458BB}">
                  <c15:layout>
                    <c:manualLayout>
                      <c:w val="0.25120370370370371"/>
                      <c:h val="7.4166666666666645E-2"/>
                    </c:manualLayout>
                  </c15:layout>
                </c:ext>
                <c:ext xmlns:c16="http://schemas.microsoft.com/office/drawing/2014/chart" uri="{C3380CC4-5D6E-409C-BE32-E72D297353CC}">
                  <c16:uniqueId val="{00000002-C962-4FDB-B3A7-AA72540216A3}"/>
                </c:ext>
              </c:extLst>
            </c:dLbl>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ctr"/>
            <c:showLegendKey val="0"/>
            <c:showVal val="1"/>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Industry Cost as a Percentage of Revenue (2017)</c:v>
                </c:pt>
              </c:strCache>
            </c:strRef>
          </c:cat>
          <c:val>
            <c:numRef>
              <c:f>Sheet1!$C$2</c:f>
              <c:numCache>
                <c:formatCode>0.00%</c:formatCode>
                <c:ptCount val="1"/>
                <c:pt idx="0">
                  <c:v>0.10199999999999999</c:v>
                </c:pt>
              </c:numCache>
            </c:numRef>
          </c:val>
          <c:extLst>
            <c:ext xmlns:c16="http://schemas.microsoft.com/office/drawing/2014/chart" uri="{C3380CC4-5D6E-409C-BE32-E72D297353CC}">
              <c16:uniqueId val="{00000003-C962-4FDB-B3A7-AA72540216A3}"/>
            </c:ext>
          </c:extLst>
        </c:ser>
        <c:ser>
          <c:idx val="2"/>
          <c:order val="2"/>
          <c:tx>
            <c:strRef>
              <c:f>Sheet1!$D$1</c:f>
              <c:strCache>
                <c:ptCount val="1"/>
                <c:pt idx="0">
                  <c:v>Depreciation</c:v>
                </c:pt>
              </c:strCache>
            </c:strRef>
          </c:tx>
          <c:spPr>
            <a:solidFill>
              <a:schemeClr val="accent3"/>
            </a:solidFill>
            <a:ln>
              <a:noFill/>
            </a:ln>
            <a:effectLst/>
          </c:spPr>
          <c:invertIfNegative val="0"/>
          <c:dPt>
            <c:idx val="0"/>
            <c:invertIfNegative val="0"/>
            <c:bubble3D val="0"/>
            <c:spPr>
              <a:solidFill>
                <a:schemeClr val="tx1"/>
              </a:solidFill>
              <a:ln>
                <a:solidFill>
                  <a:schemeClr val="tx1"/>
                </a:solidFill>
              </a:ln>
              <a:effectLst/>
            </c:spPr>
            <c:extLst>
              <c:ext xmlns:c16="http://schemas.microsoft.com/office/drawing/2014/chart" uri="{C3380CC4-5D6E-409C-BE32-E72D297353CC}">
                <c16:uniqueId val="{00000005-C962-4FDB-B3A7-AA72540216A3}"/>
              </c:ext>
            </c:extLst>
          </c:dPt>
          <c:dLbls>
            <c:dLbl>
              <c:idx val="0"/>
              <c:layout>
                <c:manualLayout>
                  <c:x val="0.21296296296296297"/>
                  <c:y val="1.1904761904761831E-2"/>
                </c:manualLayout>
              </c:layout>
              <c:dLblPos val="ctr"/>
              <c:showLegendKey val="0"/>
              <c:showVal val="1"/>
              <c:showCatName val="0"/>
              <c:showSerName val="1"/>
              <c:showPercent val="0"/>
              <c:showBubbleSize val="0"/>
              <c:extLst>
                <c:ext xmlns:c15="http://schemas.microsoft.com/office/drawing/2012/chart" uri="{CE6537A1-D6FC-4f65-9D91-7224C49458BB}">
                  <c15:layout>
                    <c:manualLayout>
                      <c:w val="0.2292244459025955"/>
                      <c:h val="9.4007936507936513E-2"/>
                    </c:manualLayout>
                  </c15:layout>
                </c:ext>
                <c:ext xmlns:c16="http://schemas.microsoft.com/office/drawing/2014/chart" uri="{C3380CC4-5D6E-409C-BE32-E72D297353CC}">
                  <c16:uniqueId val="{00000005-C962-4FDB-B3A7-AA72540216A3}"/>
                </c:ext>
              </c:extLst>
            </c:dLbl>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ctr"/>
            <c:showLegendKey val="0"/>
            <c:showVal val="1"/>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Industry Cost as a Percentage of Revenue (2017)</c:v>
                </c:pt>
              </c:strCache>
            </c:strRef>
          </c:cat>
          <c:val>
            <c:numRef>
              <c:f>Sheet1!$D$2</c:f>
              <c:numCache>
                <c:formatCode>0.00%</c:formatCode>
                <c:ptCount val="1"/>
                <c:pt idx="0">
                  <c:v>0.01</c:v>
                </c:pt>
              </c:numCache>
            </c:numRef>
          </c:val>
          <c:extLst>
            <c:ext xmlns:c16="http://schemas.microsoft.com/office/drawing/2014/chart" uri="{C3380CC4-5D6E-409C-BE32-E72D297353CC}">
              <c16:uniqueId val="{00000006-C962-4FDB-B3A7-AA72540216A3}"/>
            </c:ext>
          </c:extLst>
        </c:ser>
        <c:ser>
          <c:idx val="3"/>
          <c:order val="3"/>
          <c:tx>
            <c:strRef>
              <c:f>Sheet1!$E$1</c:f>
              <c:strCache>
                <c:ptCount val="1"/>
                <c:pt idx="0">
                  <c:v>Marketing</c:v>
                </c:pt>
              </c:strCache>
            </c:strRef>
          </c:tx>
          <c:spPr>
            <a:solidFill>
              <a:schemeClr val="bg1">
                <a:lumMod val="75000"/>
              </a:schemeClr>
            </a:solidFill>
            <a:ln>
              <a:solidFill>
                <a:schemeClr val="tx1"/>
              </a:solidFill>
            </a:ln>
            <a:effectLst/>
          </c:spPr>
          <c:invertIfNegative val="0"/>
          <c:dLbls>
            <c:dLbl>
              <c:idx val="0"/>
              <c:layout>
                <c:manualLayout>
                  <c:x val="0.20138888888888898"/>
                  <c:y val="-2.7777777777777814E-2"/>
                </c:manualLayout>
              </c:layout>
              <c:dLblPos val="ct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7-C962-4FDB-B3A7-AA72540216A3}"/>
                </c:ext>
              </c:extLst>
            </c:dLbl>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ctr"/>
            <c:showLegendKey val="0"/>
            <c:showVal val="1"/>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Industry Cost as a Percentage of Revenue (2017)</c:v>
                </c:pt>
              </c:strCache>
            </c:strRef>
          </c:cat>
          <c:val>
            <c:numRef>
              <c:f>Sheet1!$E$2</c:f>
              <c:numCache>
                <c:formatCode>0.00%</c:formatCode>
                <c:ptCount val="1"/>
                <c:pt idx="0">
                  <c:v>2.4E-2</c:v>
                </c:pt>
              </c:numCache>
            </c:numRef>
          </c:val>
          <c:extLst>
            <c:ext xmlns:c16="http://schemas.microsoft.com/office/drawing/2014/chart" uri="{C3380CC4-5D6E-409C-BE32-E72D297353CC}">
              <c16:uniqueId val="{00000008-C962-4FDB-B3A7-AA72540216A3}"/>
            </c:ext>
          </c:extLst>
        </c:ser>
        <c:ser>
          <c:idx val="4"/>
          <c:order val="4"/>
          <c:tx>
            <c:strRef>
              <c:f>Sheet1!$F$1</c:f>
              <c:strCache>
                <c:ptCount val="1"/>
                <c:pt idx="0">
                  <c:v>Wages</c:v>
                </c:pt>
              </c:strCache>
            </c:strRef>
          </c:tx>
          <c:spPr>
            <a:solidFill>
              <a:schemeClr val="tx1">
                <a:lumMod val="65000"/>
                <a:lumOff val="35000"/>
              </a:schemeClr>
            </a:solidFill>
            <a:ln>
              <a:solidFill>
                <a:schemeClr val="tx1"/>
              </a:solidFill>
            </a:ln>
            <a:effectLst/>
          </c:spPr>
          <c:invertIfNegative val="0"/>
          <c:dLbls>
            <c:dLbl>
              <c:idx val="0"/>
              <c:layout>
                <c:manualLayout>
                  <c:x val="0.19444444444444445"/>
                  <c:y val="-1.5873015873015872E-2"/>
                </c:manualLayout>
              </c:layout>
              <c:dLblPos val="ct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9-C962-4FDB-B3A7-AA72540216A3}"/>
                </c:ext>
              </c:extLst>
            </c:dLbl>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ctr"/>
            <c:showLegendKey val="0"/>
            <c:showVal val="1"/>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Industry Cost as a Percentage of Revenue (2017)</c:v>
                </c:pt>
              </c:strCache>
            </c:strRef>
          </c:cat>
          <c:val>
            <c:numRef>
              <c:f>Sheet1!$F$2</c:f>
              <c:numCache>
                <c:formatCode>0.00%</c:formatCode>
                <c:ptCount val="1"/>
                <c:pt idx="0">
                  <c:v>0.186</c:v>
                </c:pt>
              </c:numCache>
            </c:numRef>
          </c:val>
          <c:extLst>
            <c:ext xmlns:c16="http://schemas.microsoft.com/office/drawing/2014/chart" uri="{C3380CC4-5D6E-409C-BE32-E72D297353CC}">
              <c16:uniqueId val="{0000000A-C962-4FDB-B3A7-AA72540216A3}"/>
            </c:ext>
          </c:extLst>
        </c:ser>
        <c:ser>
          <c:idx val="5"/>
          <c:order val="5"/>
          <c:tx>
            <c:strRef>
              <c:f>Sheet1!$G$1</c:f>
              <c:strCache>
                <c:ptCount val="1"/>
                <c:pt idx="0">
                  <c:v>Other</c:v>
                </c:pt>
              </c:strCache>
            </c:strRef>
          </c:tx>
          <c:spPr>
            <a:solidFill>
              <a:schemeClr val="bg1">
                <a:lumMod val="65000"/>
              </a:schemeClr>
            </a:solidFill>
            <a:ln>
              <a:solidFill>
                <a:schemeClr val="tx1"/>
              </a:solidFill>
            </a:ln>
            <a:effectLst/>
          </c:spPr>
          <c:invertIfNegative val="0"/>
          <c:dLbls>
            <c:dLbl>
              <c:idx val="0"/>
              <c:layout>
                <c:manualLayout>
                  <c:x val="0.19212972076407106"/>
                  <c:y val="-1.9842832145981842E-3"/>
                </c:manualLayout>
              </c:layout>
              <c:dLblPos val="ctr"/>
              <c:showLegendKey val="0"/>
              <c:showVal val="1"/>
              <c:showCatName val="0"/>
              <c:showSerName val="1"/>
              <c:showPercent val="0"/>
              <c:showBubbleSize val="0"/>
              <c:extLst>
                <c:ext xmlns:c15="http://schemas.microsoft.com/office/drawing/2012/chart" uri="{CE6537A1-D6FC-4f65-9D91-7224C49458BB}">
                  <c15:layout>
                    <c:manualLayout>
                      <c:w val="0.14820592738407698"/>
                      <c:h val="6.486126734158229E-2"/>
                    </c:manualLayout>
                  </c15:layout>
                </c:ext>
                <c:ext xmlns:c16="http://schemas.microsoft.com/office/drawing/2014/chart" uri="{C3380CC4-5D6E-409C-BE32-E72D297353CC}">
                  <c16:uniqueId val="{0000000B-C962-4FDB-B3A7-AA72540216A3}"/>
                </c:ext>
              </c:extLst>
            </c:dLbl>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ctr"/>
            <c:showLegendKey val="0"/>
            <c:showVal val="1"/>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Industry Cost as a Percentage of Revenue (2017)</c:v>
                </c:pt>
              </c:strCache>
            </c:strRef>
          </c:cat>
          <c:val>
            <c:numRef>
              <c:f>Sheet1!$G$2</c:f>
              <c:numCache>
                <c:formatCode>0.00%</c:formatCode>
                <c:ptCount val="1"/>
                <c:pt idx="0">
                  <c:v>0.14399999999999999</c:v>
                </c:pt>
              </c:numCache>
            </c:numRef>
          </c:val>
          <c:extLst>
            <c:ext xmlns:c16="http://schemas.microsoft.com/office/drawing/2014/chart" uri="{C3380CC4-5D6E-409C-BE32-E72D297353CC}">
              <c16:uniqueId val="{0000000C-C962-4FDB-B3A7-AA72540216A3}"/>
            </c:ext>
          </c:extLst>
        </c:ser>
        <c:ser>
          <c:idx val="6"/>
          <c:order val="6"/>
          <c:tx>
            <c:strRef>
              <c:f>Sheet1!$H$1</c:f>
              <c:strCache>
                <c:ptCount val="1"/>
                <c:pt idx="0">
                  <c:v>Profit</c:v>
                </c:pt>
              </c:strCache>
            </c:strRef>
          </c:tx>
          <c:spPr>
            <a:solidFill>
              <a:schemeClr val="accent2"/>
            </a:solidFill>
            <a:ln>
              <a:solidFill>
                <a:schemeClr val="tx1"/>
              </a:solidFill>
            </a:ln>
            <a:effectLst/>
          </c:spPr>
          <c:invertIfNegative val="0"/>
          <c:dLbls>
            <c:dLbl>
              <c:idx val="0"/>
              <c:layout>
                <c:manualLayout>
                  <c:x val="0.18981481481481483"/>
                  <c:y val="0"/>
                </c:manualLayout>
              </c:layout>
              <c:dLblPos val="ct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D-C962-4FDB-B3A7-AA72540216A3}"/>
                </c:ext>
              </c:extLst>
            </c:dLbl>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ctr"/>
            <c:showLegendKey val="0"/>
            <c:showVal val="1"/>
            <c:showCatName val="1"/>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Industry Cost as a Percentage of Revenue (2017)</c:v>
                </c:pt>
              </c:strCache>
            </c:strRef>
          </c:cat>
          <c:val>
            <c:numRef>
              <c:f>Sheet1!$H$2</c:f>
              <c:numCache>
                <c:formatCode>0.00%</c:formatCode>
                <c:ptCount val="1"/>
                <c:pt idx="0">
                  <c:v>2.7E-2</c:v>
                </c:pt>
              </c:numCache>
            </c:numRef>
          </c:val>
          <c:extLst>
            <c:ext xmlns:c16="http://schemas.microsoft.com/office/drawing/2014/chart" uri="{C3380CC4-5D6E-409C-BE32-E72D297353CC}">
              <c16:uniqueId val="{0000000E-C962-4FDB-B3A7-AA72540216A3}"/>
            </c:ext>
          </c:extLst>
        </c:ser>
        <c:dLbls>
          <c:dLblPos val="ctr"/>
          <c:showLegendKey val="0"/>
          <c:showVal val="1"/>
          <c:showCatName val="0"/>
          <c:showSerName val="0"/>
          <c:showPercent val="0"/>
          <c:showBubbleSize val="0"/>
        </c:dLbls>
        <c:gapWidth val="150"/>
        <c:overlap val="100"/>
        <c:axId val="585942991"/>
        <c:axId val="585943407"/>
      </c:barChart>
      <c:catAx>
        <c:axId val="585942991"/>
        <c:scaling>
          <c:orientation val="minMax"/>
        </c:scaling>
        <c:delete val="1"/>
        <c:axPos val="b"/>
        <c:numFmt formatCode="General" sourceLinked="1"/>
        <c:majorTickMark val="none"/>
        <c:minorTickMark val="none"/>
        <c:tickLblPos val="nextTo"/>
        <c:crossAx val="585943407"/>
        <c:crosses val="autoZero"/>
        <c:auto val="1"/>
        <c:lblAlgn val="ctr"/>
        <c:lblOffset val="100"/>
        <c:noMultiLvlLbl val="0"/>
      </c:catAx>
      <c:valAx>
        <c:axId val="585943407"/>
        <c:scaling>
          <c:orientation val="minMax"/>
        </c:scaling>
        <c:delete val="1"/>
        <c:axPos val="l"/>
        <c:numFmt formatCode="0%" sourceLinked="1"/>
        <c:majorTickMark val="none"/>
        <c:minorTickMark val="none"/>
        <c:tickLblPos val="nextTo"/>
        <c:crossAx val="585942991"/>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latin typeface="Arial" panose="020B0604020202020204" pitchFamily="34" charset="0"/>
          <a:cs typeface="Arial" panose="020B060402020202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
          <c:y val="2.5169893471009203E-2"/>
          <c:w val="0.78472222222222221"/>
          <c:h val="0.94880278613313696"/>
        </c:manualLayout>
      </c:layout>
      <c:doughnutChart>
        <c:varyColors val="1"/>
        <c:ser>
          <c:idx val="0"/>
          <c:order val="0"/>
          <c:tx>
            <c:strRef>
              <c:f>Sheet1!$B$1</c:f>
              <c:strCache>
                <c:ptCount val="1"/>
                <c:pt idx="0">
                  <c:v>Column1</c:v>
                </c:pt>
              </c:strCache>
            </c:strRef>
          </c:tx>
          <c:spPr>
            <a:ln>
              <a:solidFill>
                <a:schemeClr val="tx1"/>
              </a:solidFill>
            </a:ln>
          </c:spPr>
          <c:dPt>
            <c:idx val="0"/>
            <c:bubble3D val="0"/>
            <c:spPr>
              <a:solidFill>
                <a:schemeClr val="bg1">
                  <a:lumMod val="75000"/>
                </a:schemeClr>
              </a:solidFill>
              <a:ln>
                <a:solidFill>
                  <a:schemeClr val="tx1"/>
                </a:solidFill>
              </a:ln>
            </c:spPr>
            <c:extLst>
              <c:ext xmlns:c16="http://schemas.microsoft.com/office/drawing/2014/chart" uri="{C3380CC4-5D6E-409C-BE32-E72D297353CC}">
                <c16:uniqueId val="{00000001-2BBD-48C7-9C33-2ECA146BDF88}"/>
              </c:ext>
            </c:extLst>
          </c:dPt>
          <c:dPt>
            <c:idx val="1"/>
            <c:bubble3D val="0"/>
            <c:spPr>
              <a:solidFill>
                <a:schemeClr val="tx1">
                  <a:lumMod val="65000"/>
                  <a:lumOff val="35000"/>
                </a:schemeClr>
              </a:solidFill>
              <a:ln>
                <a:solidFill>
                  <a:schemeClr val="tx1"/>
                </a:solidFill>
              </a:ln>
            </c:spPr>
            <c:extLst>
              <c:ext xmlns:c16="http://schemas.microsoft.com/office/drawing/2014/chart" uri="{C3380CC4-5D6E-409C-BE32-E72D297353CC}">
                <c16:uniqueId val="{00000003-2BBD-48C7-9C33-2ECA146BDF88}"/>
              </c:ext>
            </c:extLst>
          </c:dPt>
          <c:dPt>
            <c:idx val="2"/>
            <c:bubble3D val="0"/>
            <c:spPr>
              <a:solidFill>
                <a:schemeClr val="bg1">
                  <a:lumMod val="95000"/>
                </a:schemeClr>
              </a:solidFill>
              <a:ln>
                <a:solidFill>
                  <a:schemeClr val="tx1"/>
                </a:solidFill>
              </a:ln>
            </c:spPr>
            <c:extLst>
              <c:ext xmlns:c16="http://schemas.microsoft.com/office/drawing/2014/chart" uri="{C3380CC4-5D6E-409C-BE32-E72D297353CC}">
                <c16:uniqueId val="{00000005-2BBD-48C7-9C33-2ECA146BDF88}"/>
              </c:ext>
            </c:extLst>
          </c:dPt>
          <c:dPt>
            <c:idx val="3"/>
            <c:bubble3D val="0"/>
            <c:spPr>
              <a:solidFill>
                <a:schemeClr val="bg1">
                  <a:lumMod val="50000"/>
                </a:schemeClr>
              </a:solidFill>
              <a:ln>
                <a:solidFill>
                  <a:schemeClr val="tx1"/>
                </a:solidFill>
              </a:ln>
            </c:spPr>
            <c:extLst>
              <c:ext xmlns:c16="http://schemas.microsoft.com/office/drawing/2014/chart" uri="{C3380CC4-5D6E-409C-BE32-E72D297353CC}">
                <c16:uniqueId val="{00000007-2BBD-48C7-9C33-2ECA146BDF88}"/>
              </c:ext>
            </c:extLst>
          </c:dPt>
          <c:dLbls>
            <c:dLbl>
              <c:idx val="0"/>
              <c:tx>
                <c:rich>
                  <a:bodyPr/>
                  <a:lstStyle/>
                  <a:p>
                    <a:r>
                      <a:rPr lang="en-US" baseline="0"/>
                      <a:t>United States </a:t>
                    </a:r>
                    <a:fld id="{9A912ACE-DEB7-488D-BF15-C1528280FFEB}" type="PERCENTAGE">
                      <a:rPr lang="en-US" baseline="0"/>
                      <a:pPr/>
                      <a:t>[PERCENTAGE]</a:t>
                    </a:fld>
                    <a:endParaRPr lang="en-US" baseline="0"/>
                  </a:p>
                </c:rich>
              </c:tx>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2BBD-48C7-9C33-2ECA146BDF88}"/>
                </c:ext>
              </c:extLst>
            </c:dLbl>
            <c:dLbl>
              <c:idx val="1"/>
              <c:spPr>
                <a:noFill/>
                <a:ln>
                  <a:noFill/>
                </a:ln>
                <a:effectLst/>
              </c:spPr>
              <c:txPr>
                <a:bodyPr wrap="square" lIns="38100" tIns="19050" rIns="38100" bIns="19050" anchor="ctr">
                  <a:spAutoFit/>
                </a:bodyPr>
                <a:lstStyle/>
                <a:p>
                  <a:pPr>
                    <a:defRPr sz="900">
                      <a:solidFill>
                        <a:schemeClr val="bg1"/>
                      </a:solidFill>
                    </a:defRPr>
                  </a:pPr>
                  <a:endParaRPr lang="en-US"/>
                </a:p>
              </c:txPr>
              <c:showLegendKey val="0"/>
              <c:showVal val="0"/>
              <c:showCatName val="1"/>
              <c:showSerName val="0"/>
              <c:showPercent val="1"/>
              <c:showBubbleSize val="0"/>
              <c:extLst>
                <c:ext xmlns:c16="http://schemas.microsoft.com/office/drawing/2014/chart" uri="{C3380CC4-5D6E-409C-BE32-E72D297353CC}">
                  <c16:uniqueId val="{00000003-2BBD-48C7-9C33-2ECA146BDF88}"/>
                </c:ext>
              </c:extLst>
            </c:dLbl>
            <c:spPr>
              <a:noFill/>
              <a:ln>
                <a:noFill/>
              </a:ln>
              <a:effectLst/>
            </c:spPr>
            <c:txPr>
              <a:bodyPr wrap="square" lIns="38100" tIns="19050" rIns="38100" bIns="19050" anchor="ctr">
                <a:spAutoFit/>
              </a:bodyPr>
              <a:lstStyle/>
              <a:p>
                <a:pPr>
                  <a:defRPr sz="900"/>
                </a:pPr>
                <a:endParaRPr lang="en-US"/>
              </a:p>
            </c:txPr>
            <c:showLegendKey val="0"/>
            <c:showVal val="0"/>
            <c:showCatName val="1"/>
            <c:showSerName val="0"/>
            <c:showPercent val="1"/>
            <c:showBubbleSize val="0"/>
            <c:showLeaderLines val="1"/>
            <c:extLst>
              <c:ext xmlns:c15="http://schemas.microsoft.com/office/drawing/2012/chart" uri="{CE6537A1-D6FC-4f65-9D91-7224C49458BB}"/>
            </c:extLst>
          </c:dLbls>
          <c:cat>
            <c:strRef>
              <c:f>Sheet1!$A$2:$A$5</c:f>
              <c:strCache>
                <c:ptCount val="4"/>
                <c:pt idx="0">
                  <c:v>USA</c:v>
                </c:pt>
                <c:pt idx="1">
                  <c:v>Asia</c:v>
                </c:pt>
                <c:pt idx="2">
                  <c:v>Europe</c:v>
                </c:pt>
                <c:pt idx="3">
                  <c:v>Other</c:v>
                </c:pt>
              </c:strCache>
            </c:strRef>
          </c:cat>
          <c:val>
            <c:numRef>
              <c:f>Sheet1!$B$2:$B$5</c:f>
              <c:numCache>
                <c:formatCode>General</c:formatCode>
                <c:ptCount val="4"/>
                <c:pt idx="0">
                  <c:v>44</c:v>
                </c:pt>
                <c:pt idx="1">
                  <c:v>15</c:v>
                </c:pt>
                <c:pt idx="2">
                  <c:v>31</c:v>
                </c:pt>
                <c:pt idx="3">
                  <c:v>10</c:v>
                </c:pt>
              </c:numCache>
            </c:numRef>
          </c:val>
          <c:extLst>
            <c:ext xmlns:c16="http://schemas.microsoft.com/office/drawing/2014/chart" uri="{C3380CC4-5D6E-409C-BE32-E72D297353CC}">
              <c16:uniqueId val="{00000008-2BBD-48C7-9C33-2ECA146BDF88}"/>
            </c:ext>
          </c:extLst>
        </c:ser>
        <c:dLbls>
          <c:showLegendKey val="0"/>
          <c:showVal val="0"/>
          <c:showCatName val="1"/>
          <c:showSerName val="0"/>
          <c:showPercent val="1"/>
          <c:showBubbleSize val="0"/>
          <c:showLeaderLines val="1"/>
        </c:dLbls>
        <c:firstSliceAng val="0"/>
        <c:holeSize val="50"/>
      </c:doughnutChart>
      <c:spPr>
        <a:noFill/>
        <a:ln>
          <a:noFill/>
        </a:ln>
      </c:spPr>
    </c:plotArea>
    <c:plotVisOnly val="1"/>
    <c:dispBlanksAs val="gap"/>
    <c:showDLblsOverMax val="0"/>
  </c:chart>
  <c:spPr>
    <a:ln>
      <a:noFill/>
    </a:ln>
  </c:spPr>
  <c:txPr>
    <a:bodyPr/>
    <a:lstStyle/>
    <a:p>
      <a:pPr>
        <a:defRPr sz="7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
          <c:y val="2.5169893471009203E-2"/>
          <c:w val="0.78472222222222221"/>
          <c:h val="0.94880278613313696"/>
        </c:manualLayout>
      </c:layout>
      <c:doughnutChart>
        <c:varyColors val="1"/>
        <c:ser>
          <c:idx val="0"/>
          <c:order val="0"/>
          <c:tx>
            <c:strRef>
              <c:f>Sheet1!$B$1</c:f>
              <c:strCache>
                <c:ptCount val="1"/>
                <c:pt idx="0">
                  <c:v>Column1</c:v>
                </c:pt>
              </c:strCache>
            </c:strRef>
          </c:tx>
          <c:spPr>
            <a:ln>
              <a:solidFill>
                <a:schemeClr val="tx1"/>
              </a:solidFill>
            </a:ln>
          </c:spPr>
          <c:dPt>
            <c:idx val="0"/>
            <c:bubble3D val="0"/>
            <c:spPr>
              <a:solidFill>
                <a:schemeClr val="bg1">
                  <a:lumMod val="75000"/>
                </a:schemeClr>
              </a:solidFill>
              <a:ln>
                <a:solidFill>
                  <a:schemeClr val="tx1"/>
                </a:solidFill>
              </a:ln>
            </c:spPr>
            <c:extLst>
              <c:ext xmlns:c16="http://schemas.microsoft.com/office/drawing/2014/chart" uri="{C3380CC4-5D6E-409C-BE32-E72D297353CC}">
                <c16:uniqueId val="{00000001-54FD-41BF-AE8C-9DFFD92071C8}"/>
              </c:ext>
            </c:extLst>
          </c:dPt>
          <c:dPt>
            <c:idx val="1"/>
            <c:bubble3D val="0"/>
            <c:spPr>
              <a:solidFill>
                <a:schemeClr val="tx1">
                  <a:lumMod val="65000"/>
                  <a:lumOff val="35000"/>
                </a:schemeClr>
              </a:solidFill>
              <a:ln>
                <a:solidFill>
                  <a:schemeClr val="tx1"/>
                </a:solidFill>
              </a:ln>
            </c:spPr>
            <c:extLst>
              <c:ext xmlns:c16="http://schemas.microsoft.com/office/drawing/2014/chart" uri="{C3380CC4-5D6E-409C-BE32-E72D297353CC}">
                <c16:uniqueId val="{00000003-54FD-41BF-AE8C-9DFFD92071C8}"/>
              </c:ext>
            </c:extLst>
          </c:dPt>
          <c:dPt>
            <c:idx val="2"/>
            <c:bubble3D val="0"/>
            <c:spPr>
              <a:solidFill>
                <a:schemeClr val="bg1">
                  <a:lumMod val="95000"/>
                </a:schemeClr>
              </a:solidFill>
              <a:ln>
                <a:solidFill>
                  <a:schemeClr val="tx1"/>
                </a:solidFill>
              </a:ln>
            </c:spPr>
            <c:extLst>
              <c:ext xmlns:c16="http://schemas.microsoft.com/office/drawing/2014/chart" uri="{C3380CC4-5D6E-409C-BE32-E72D297353CC}">
                <c16:uniqueId val="{00000005-54FD-41BF-AE8C-9DFFD92071C8}"/>
              </c:ext>
            </c:extLst>
          </c:dPt>
          <c:dPt>
            <c:idx val="3"/>
            <c:bubble3D val="0"/>
            <c:spPr>
              <a:solidFill>
                <a:schemeClr val="bg1">
                  <a:lumMod val="50000"/>
                </a:schemeClr>
              </a:solidFill>
              <a:ln>
                <a:solidFill>
                  <a:schemeClr val="tx1"/>
                </a:solidFill>
              </a:ln>
            </c:spPr>
            <c:extLst>
              <c:ext xmlns:c16="http://schemas.microsoft.com/office/drawing/2014/chart" uri="{C3380CC4-5D6E-409C-BE32-E72D297353CC}">
                <c16:uniqueId val="{00000007-54FD-41BF-AE8C-9DFFD92071C8}"/>
              </c:ext>
            </c:extLst>
          </c:dPt>
          <c:dLbls>
            <c:dLbl>
              <c:idx val="0"/>
              <c:layout>
                <c:manualLayout>
                  <c:x val="6.0098519836463303E-3"/>
                  <c:y val="0"/>
                </c:manualLayout>
              </c:layout>
              <c:showLegendKey val="0"/>
              <c:showVal val="0"/>
              <c:showCatName val="1"/>
              <c:showSerName val="0"/>
              <c:showPercent val="1"/>
              <c:showBubbleSize val="0"/>
              <c:extLst>
                <c:ext xmlns:c15="http://schemas.microsoft.com/office/drawing/2012/chart" uri="{CE6537A1-D6FC-4f65-9D91-7224C49458BB}">
                  <c15:layout>
                    <c:manualLayout>
                      <c:w val="0.29546250378558442"/>
                      <c:h val="0.27013553245739097"/>
                    </c:manualLayout>
                  </c15:layout>
                </c:ext>
                <c:ext xmlns:c16="http://schemas.microsoft.com/office/drawing/2014/chart" uri="{C3380CC4-5D6E-409C-BE32-E72D297353CC}">
                  <c16:uniqueId val="{00000001-54FD-41BF-AE8C-9DFFD92071C8}"/>
                </c:ext>
              </c:extLst>
            </c:dLbl>
            <c:dLbl>
              <c:idx val="1"/>
              <c:spPr>
                <a:noFill/>
                <a:ln>
                  <a:noFill/>
                </a:ln>
                <a:effectLst/>
              </c:spPr>
              <c:txPr>
                <a:bodyPr wrap="square" lIns="38100" tIns="19050" rIns="38100" bIns="19050" anchor="ctr">
                  <a:spAutoFit/>
                </a:bodyPr>
                <a:lstStyle/>
                <a:p>
                  <a:pPr>
                    <a:defRPr sz="900">
                      <a:solidFill>
                        <a:schemeClr val="bg1"/>
                      </a:solidFill>
                    </a:defRPr>
                  </a:pPr>
                  <a:endParaRPr lang="en-US"/>
                </a:p>
              </c:txPr>
              <c:showLegendKey val="0"/>
              <c:showVal val="0"/>
              <c:showCatName val="1"/>
              <c:showSerName val="0"/>
              <c:showPercent val="1"/>
              <c:showBubbleSize val="0"/>
              <c:extLst>
                <c:ext xmlns:c16="http://schemas.microsoft.com/office/drawing/2014/chart" uri="{C3380CC4-5D6E-409C-BE32-E72D297353CC}">
                  <c16:uniqueId val="{00000003-54FD-41BF-AE8C-9DFFD92071C8}"/>
                </c:ext>
              </c:extLst>
            </c:dLbl>
            <c:spPr>
              <a:noFill/>
              <a:ln>
                <a:noFill/>
              </a:ln>
              <a:effectLst/>
            </c:spPr>
            <c:txPr>
              <a:bodyPr wrap="square" lIns="38100" tIns="19050" rIns="38100" bIns="19050" anchor="ctr">
                <a:spAutoFit/>
              </a:bodyPr>
              <a:lstStyle/>
              <a:p>
                <a:pPr>
                  <a:defRPr sz="900"/>
                </a:pPr>
                <a:endParaRPr lang="en-US"/>
              </a:p>
            </c:txPr>
            <c:showLegendKey val="0"/>
            <c:showVal val="0"/>
            <c:showCatName val="1"/>
            <c:showSerName val="0"/>
            <c:showPercent val="1"/>
            <c:showBubbleSize val="0"/>
            <c:showLeaderLines val="1"/>
            <c:extLst>
              <c:ext xmlns:c15="http://schemas.microsoft.com/office/drawing/2012/chart" uri="{CE6537A1-D6FC-4f65-9D91-7224C49458BB}"/>
            </c:extLst>
          </c:dLbls>
          <c:cat>
            <c:strRef>
              <c:f>Sheet1!$A$2:$A$4</c:f>
              <c:strCache>
                <c:ptCount val="3"/>
                <c:pt idx="0">
                  <c:v>Synthetic</c:v>
                </c:pt>
                <c:pt idx="1">
                  <c:v>Blend</c:v>
                </c:pt>
                <c:pt idx="2">
                  <c:v>Natural</c:v>
                </c:pt>
              </c:strCache>
            </c:strRef>
          </c:cat>
          <c:val>
            <c:numRef>
              <c:f>Sheet1!$B$2:$B$4</c:f>
              <c:numCache>
                <c:formatCode>General</c:formatCode>
                <c:ptCount val="3"/>
                <c:pt idx="0">
                  <c:v>9</c:v>
                </c:pt>
                <c:pt idx="1">
                  <c:v>27</c:v>
                </c:pt>
                <c:pt idx="2">
                  <c:v>64</c:v>
                </c:pt>
              </c:numCache>
            </c:numRef>
          </c:val>
          <c:extLst>
            <c:ext xmlns:c16="http://schemas.microsoft.com/office/drawing/2014/chart" uri="{C3380CC4-5D6E-409C-BE32-E72D297353CC}">
              <c16:uniqueId val="{00000008-54FD-41BF-AE8C-9DFFD92071C8}"/>
            </c:ext>
          </c:extLst>
        </c:ser>
        <c:dLbls>
          <c:showLegendKey val="0"/>
          <c:showVal val="0"/>
          <c:showCatName val="1"/>
          <c:showSerName val="0"/>
          <c:showPercent val="1"/>
          <c:showBubbleSize val="0"/>
          <c:showLeaderLines val="1"/>
        </c:dLbls>
        <c:firstSliceAng val="0"/>
        <c:holeSize val="50"/>
      </c:doughnutChart>
      <c:spPr>
        <a:noFill/>
        <a:ln>
          <a:noFill/>
        </a:ln>
      </c:spPr>
    </c:plotArea>
    <c:plotVisOnly val="1"/>
    <c:dispBlanksAs val="gap"/>
    <c:showDLblsOverMax val="0"/>
  </c:chart>
  <c:spPr>
    <a:ln>
      <a:noFill/>
    </a:ln>
  </c:spPr>
  <c:txPr>
    <a:bodyPr/>
    <a:lstStyle/>
    <a:p>
      <a:pPr>
        <a:defRPr sz="700"/>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
          <c:y val="2.5169893471009203E-2"/>
          <c:w val="0.78472222222222221"/>
          <c:h val="0.94880278613313696"/>
        </c:manualLayout>
      </c:layout>
      <c:doughnutChart>
        <c:varyColors val="1"/>
        <c:ser>
          <c:idx val="0"/>
          <c:order val="0"/>
          <c:tx>
            <c:strRef>
              <c:f>Sheet1!$B$1</c:f>
              <c:strCache>
                <c:ptCount val="1"/>
                <c:pt idx="0">
                  <c:v>Column1</c:v>
                </c:pt>
              </c:strCache>
            </c:strRef>
          </c:tx>
          <c:spPr>
            <a:ln>
              <a:solidFill>
                <a:schemeClr val="tx1"/>
              </a:solidFill>
            </a:ln>
          </c:spPr>
          <c:dPt>
            <c:idx val="0"/>
            <c:bubble3D val="0"/>
            <c:spPr>
              <a:solidFill>
                <a:schemeClr val="bg1">
                  <a:lumMod val="75000"/>
                </a:schemeClr>
              </a:solidFill>
              <a:ln>
                <a:solidFill>
                  <a:schemeClr val="tx1"/>
                </a:solidFill>
              </a:ln>
            </c:spPr>
            <c:extLst>
              <c:ext xmlns:c16="http://schemas.microsoft.com/office/drawing/2014/chart" uri="{C3380CC4-5D6E-409C-BE32-E72D297353CC}">
                <c16:uniqueId val="{00000001-2D0C-4CEC-AFAC-8F86D736B4D6}"/>
              </c:ext>
            </c:extLst>
          </c:dPt>
          <c:dPt>
            <c:idx val="1"/>
            <c:bubble3D val="0"/>
            <c:spPr>
              <a:solidFill>
                <a:schemeClr val="tx1">
                  <a:lumMod val="65000"/>
                  <a:lumOff val="35000"/>
                </a:schemeClr>
              </a:solidFill>
              <a:ln>
                <a:solidFill>
                  <a:schemeClr val="tx1"/>
                </a:solidFill>
              </a:ln>
            </c:spPr>
            <c:extLst>
              <c:ext xmlns:c16="http://schemas.microsoft.com/office/drawing/2014/chart" uri="{C3380CC4-5D6E-409C-BE32-E72D297353CC}">
                <c16:uniqueId val="{00000003-2D0C-4CEC-AFAC-8F86D736B4D6}"/>
              </c:ext>
            </c:extLst>
          </c:dPt>
          <c:dPt>
            <c:idx val="2"/>
            <c:bubble3D val="0"/>
            <c:spPr>
              <a:solidFill>
                <a:schemeClr val="bg1">
                  <a:lumMod val="95000"/>
                </a:schemeClr>
              </a:solidFill>
              <a:ln>
                <a:solidFill>
                  <a:schemeClr val="tx1"/>
                </a:solidFill>
              </a:ln>
            </c:spPr>
            <c:extLst>
              <c:ext xmlns:c16="http://schemas.microsoft.com/office/drawing/2014/chart" uri="{C3380CC4-5D6E-409C-BE32-E72D297353CC}">
                <c16:uniqueId val="{00000005-2D0C-4CEC-AFAC-8F86D736B4D6}"/>
              </c:ext>
            </c:extLst>
          </c:dPt>
          <c:dPt>
            <c:idx val="3"/>
            <c:bubble3D val="0"/>
            <c:spPr>
              <a:solidFill>
                <a:schemeClr val="bg1">
                  <a:lumMod val="50000"/>
                </a:schemeClr>
              </a:solidFill>
              <a:ln>
                <a:solidFill>
                  <a:schemeClr val="tx1"/>
                </a:solidFill>
              </a:ln>
            </c:spPr>
            <c:extLst>
              <c:ext xmlns:c16="http://schemas.microsoft.com/office/drawing/2014/chart" uri="{C3380CC4-5D6E-409C-BE32-E72D297353CC}">
                <c16:uniqueId val="{00000007-2D0C-4CEC-AFAC-8F86D736B4D6}"/>
              </c:ext>
            </c:extLst>
          </c:dPt>
          <c:dPt>
            <c:idx val="4"/>
            <c:bubble3D val="0"/>
            <c:spPr>
              <a:solidFill>
                <a:schemeClr val="tx1">
                  <a:lumMod val="95000"/>
                  <a:lumOff val="5000"/>
                </a:schemeClr>
              </a:solidFill>
              <a:ln>
                <a:solidFill>
                  <a:schemeClr val="tx1"/>
                </a:solidFill>
              </a:ln>
            </c:spPr>
            <c:extLst>
              <c:ext xmlns:c16="http://schemas.microsoft.com/office/drawing/2014/chart" uri="{C3380CC4-5D6E-409C-BE32-E72D297353CC}">
                <c16:uniqueId val="{00000009-2D0C-4CEC-AFAC-8F86D736B4D6}"/>
              </c:ext>
            </c:extLst>
          </c:dPt>
          <c:dLbls>
            <c:dLbl>
              <c:idx val="0"/>
              <c:tx>
                <c:rich>
                  <a:bodyPr/>
                  <a:lstStyle/>
                  <a:p>
                    <a:r>
                      <a:rPr lang="en-US"/>
                      <a:t>&lt;$250</a:t>
                    </a:r>
                    <a:r>
                      <a:rPr lang="en-US" baseline="0"/>
                      <a:t>
</a:t>
                    </a:r>
                    <a:fld id="{14ABDC4B-269D-4DEA-ABCA-E4C552CF44AB}" type="PERCENTAGE">
                      <a:rPr lang="en-US" baseline="0"/>
                      <a:pPr/>
                      <a:t>[PERCENTAGE]</a:t>
                    </a:fld>
                    <a:endParaRPr lang="en-US" baseline="0"/>
                  </a:p>
                </c:rich>
              </c:tx>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2D0C-4CEC-AFAC-8F86D736B4D6}"/>
                </c:ext>
              </c:extLst>
            </c:dLbl>
            <c:dLbl>
              <c:idx val="1"/>
              <c:tx>
                <c:rich>
                  <a:bodyPr wrap="square" lIns="38100" tIns="19050" rIns="38100" bIns="19050" anchor="ctr">
                    <a:spAutoFit/>
                  </a:bodyPr>
                  <a:lstStyle/>
                  <a:p>
                    <a:pPr>
                      <a:defRPr sz="900">
                        <a:solidFill>
                          <a:schemeClr val="bg1"/>
                        </a:solidFill>
                      </a:defRPr>
                    </a:pPr>
                    <a:r>
                      <a:rPr lang="en-US"/>
                      <a:t>$250 to $400</a:t>
                    </a:r>
                    <a:r>
                      <a:rPr lang="en-US" baseline="0"/>
                      <a:t>
</a:t>
                    </a:r>
                    <a:fld id="{30CBB271-D61F-4CD1-961F-08BBE80BFA02}" type="PERCENTAGE">
                      <a:rPr lang="en-US" baseline="0"/>
                      <a:pPr>
                        <a:defRPr sz="900">
                          <a:solidFill>
                            <a:schemeClr val="bg1"/>
                          </a:solidFill>
                        </a:defRPr>
                      </a:pPr>
                      <a:t>[PERCENTAGE]</a:t>
                    </a:fld>
                    <a:endParaRPr lang="en-US" baseline="0"/>
                  </a:p>
                </c:rich>
              </c:tx>
              <c:spPr>
                <a:noFill/>
                <a:ln>
                  <a:noFill/>
                </a:ln>
                <a:effectLst/>
              </c:spP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2D0C-4CEC-AFAC-8F86D736B4D6}"/>
                </c:ext>
              </c:extLst>
            </c:dLbl>
            <c:dLbl>
              <c:idx val="2"/>
              <c:tx>
                <c:rich>
                  <a:bodyPr wrap="square" lIns="38100" tIns="19050" rIns="38100" bIns="19050" anchor="ctr">
                    <a:noAutofit/>
                  </a:bodyPr>
                  <a:lstStyle/>
                  <a:p>
                    <a:pPr>
                      <a:defRPr sz="900"/>
                    </a:pPr>
                    <a:r>
                      <a:rPr lang="en-US"/>
                      <a:t>$400 to $550</a:t>
                    </a:r>
                    <a:r>
                      <a:rPr lang="en-US" baseline="0"/>
                      <a:t>
</a:t>
                    </a:r>
                    <a:fld id="{81BF1BAC-AD4D-41FD-B380-ACC21360154B}" type="PERCENTAGE">
                      <a:rPr lang="en-US" baseline="0"/>
                      <a:pPr>
                        <a:defRPr sz="900"/>
                      </a:pPr>
                      <a:t>[PERCENTAGE]</a:t>
                    </a:fld>
                    <a:endParaRPr lang="en-US" baseline="0"/>
                  </a:p>
                </c:rich>
              </c:tx>
              <c:spPr>
                <a:noFill/>
                <a:ln>
                  <a:noFill/>
                </a:ln>
                <a:effectLst/>
              </c:sp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ect">
                      <a:avLst/>
                    </a:prstGeom>
                  </c15:spPr>
                  <c15:dlblFieldTable/>
                  <c15:showDataLabelsRange val="0"/>
                </c:ext>
                <c:ext xmlns:c16="http://schemas.microsoft.com/office/drawing/2014/chart" uri="{C3380CC4-5D6E-409C-BE32-E72D297353CC}">
                  <c16:uniqueId val="{00000005-2D0C-4CEC-AFAC-8F86D736B4D6}"/>
                </c:ext>
              </c:extLst>
            </c:dLbl>
            <c:dLbl>
              <c:idx val="3"/>
              <c:tx>
                <c:rich>
                  <a:bodyPr/>
                  <a:lstStyle/>
                  <a:p>
                    <a:r>
                      <a:rPr lang="en-US"/>
                      <a:t>$550</a:t>
                    </a:r>
                    <a:r>
                      <a:rPr lang="en-US" baseline="0"/>
                      <a:t> to $700
</a:t>
                    </a:r>
                    <a:fld id="{0088BC59-2826-4C63-AE00-5536B5CC1FE3}" type="PERCENTAGE">
                      <a:rPr lang="en-US" baseline="0"/>
                      <a:pPr/>
                      <a:t>[PERCENTAGE]</a:t>
                    </a:fld>
                    <a:endParaRPr lang="en-US" baseline="0"/>
                  </a:p>
                </c:rich>
              </c:tx>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2D0C-4CEC-AFAC-8F86D736B4D6}"/>
                </c:ext>
              </c:extLst>
            </c:dLbl>
            <c:dLbl>
              <c:idx val="4"/>
              <c:tx>
                <c:rich>
                  <a:bodyPr wrap="square" lIns="38100" tIns="19050" rIns="38100" bIns="19050" anchor="ctr">
                    <a:spAutoFit/>
                  </a:bodyPr>
                  <a:lstStyle/>
                  <a:p>
                    <a:pPr>
                      <a:defRPr sz="900">
                        <a:solidFill>
                          <a:schemeClr val="bg1"/>
                        </a:solidFill>
                      </a:defRPr>
                    </a:pPr>
                    <a:r>
                      <a:rPr lang="en-US"/>
                      <a:t>$700+</a:t>
                    </a:r>
                    <a:r>
                      <a:rPr lang="en-US" baseline="0"/>
                      <a:t>
</a:t>
                    </a:r>
                    <a:fld id="{5D6763F1-2B3D-4BF8-9F18-20E637A0A42C}" type="PERCENTAGE">
                      <a:rPr lang="en-US" baseline="0"/>
                      <a:pPr>
                        <a:defRPr sz="900">
                          <a:solidFill>
                            <a:schemeClr val="bg1"/>
                          </a:solidFill>
                        </a:defRPr>
                      </a:pPr>
                      <a:t>[PERCENTAGE]</a:t>
                    </a:fld>
                    <a:endParaRPr lang="en-US" baseline="0"/>
                  </a:p>
                </c:rich>
              </c:tx>
              <c:spPr>
                <a:noFill/>
                <a:ln>
                  <a:noFill/>
                </a:ln>
                <a:effectLst/>
              </c:spP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2D0C-4CEC-AFAC-8F86D736B4D6}"/>
                </c:ext>
              </c:extLst>
            </c:dLbl>
            <c:spPr>
              <a:noFill/>
              <a:ln>
                <a:noFill/>
              </a:ln>
              <a:effectLst/>
            </c:spPr>
            <c:txPr>
              <a:bodyPr wrap="square" lIns="38100" tIns="19050" rIns="38100" bIns="19050" anchor="ctr">
                <a:spAutoFit/>
              </a:bodyPr>
              <a:lstStyle/>
              <a:p>
                <a:pPr>
                  <a:defRPr sz="900"/>
                </a:pPr>
                <a:endParaRPr lang="en-US"/>
              </a:p>
            </c:txPr>
            <c:showLegendKey val="0"/>
            <c:showVal val="0"/>
            <c:showCatName val="1"/>
            <c:showSerName val="0"/>
            <c:showPercent val="1"/>
            <c:showBubbleSize val="0"/>
            <c:showLeaderLines val="1"/>
            <c:extLst>
              <c:ext xmlns:c15="http://schemas.microsoft.com/office/drawing/2012/chart" uri="{CE6537A1-D6FC-4f65-9D91-7224C49458BB}"/>
            </c:extLst>
          </c:dLbls>
          <c:cat>
            <c:strRef>
              <c:f>Sheet1!$A$2:$A$6</c:f>
              <c:strCache>
                <c:ptCount val="5"/>
                <c:pt idx="0">
                  <c:v>&lt;250</c:v>
                </c:pt>
                <c:pt idx="1">
                  <c:v>250-400</c:v>
                </c:pt>
                <c:pt idx="2">
                  <c:v>400-550</c:v>
                </c:pt>
                <c:pt idx="3">
                  <c:v>550-700</c:v>
                </c:pt>
                <c:pt idx="4">
                  <c:v>700+</c:v>
                </c:pt>
              </c:strCache>
            </c:strRef>
          </c:cat>
          <c:val>
            <c:numRef>
              <c:f>Sheet1!$B$2:$B$6</c:f>
              <c:numCache>
                <c:formatCode>General</c:formatCode>
                <c:ptCount val="5"/>
                <c:pt idx="0">
                  <c:v>12</c:v>
                </c:pt>
                <c:pt idx="1">
                  <c:v>24</c:v>
                </c:pt>
                <c:pt idx="2">
                  <c:v>40</c:v>
                </c:pt>
                <c:pt idx="3">
                  <c:v>16</c:v>
                </c:pt>
                <c:pt idx="4">
                  <c:v>8</c:v>
                </c:pt>
              </c:numCache>
            </c:numRef>
          </c:val>
          <c:extLst>
            <c:ext xmlns:c16="http://schemas.microsoft.com/office/drawing/2014/chart" uri="{C3380CC4-5D6E-409C-BE32-E72D297353CC}">
              <c16:uniqueId val="{0000000A-2D0C-4CEC-AFAC-8F86D736B4D6}"/>
            </c:ext>
          </c:extLst>
        </c:ser>
        <c:dLbls>
          <c:showLegendKey val="0"/>
          <c:showVal val="0"/>
          <c:showCatName val="1"/>
          <c:showSerName val="0"/>
          <c:showPercent val="1"/>
          <c:showBubbleSize val="0"/>
          <c:showLeaderLines val="1"/>
        </c:dLbls>
        <c:firstSliceAng val="0"/>
        <c:holeSize val="50"/>
      </c:doughnutChart>
      <c:spPr>
        <a:noFill/>
        <a:ln>
          <a:noFill/>
        </a:ln>
      </c:spPr>
    </c:plotArea>
    <c:plotVisOnly val="1"/>
    <c:dispBlanksAs val="gap"/>
    <c:showDLblsOverMax val="0"/>
  </c:chart>
  <c:spPr>
    <a:ln>
      <a:noFill/>
    </a:ln>
  </c:spPr>
  <c:txPr>
    <a:bodyPr/>
    <a:lstStyle/>
    <a:p>
      <a:pPr>
        <a:defRPr sz="700"/>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
          <c:y val="2.5169893471009203E-2"/>
          <c:w val="0.78472222222222221"/>
          <c:h val="0.94880278613313696"/>
        </c:manualLayout>
      </c:layout>
      <c:doughnutChart>
        <c:varyColors val="1"/>
        <c:ser>
          <c:idx val="0"/>
          <c:order val="0"/>
          <c:tx>
            <c:strRef>
              <c:f>Sheet1!$B$1</c:f>
              <c:strCache>
                <c:ptCount val="1"/>
                <c:pt idx="0">
                  <c:v>Column1</c:v>
                </c:pt>
              </c:strCache>
            </c:strRef>
          </c:tx>
          <c:spPr>
            <a:ln>
              <a:solidFill>
                <a:schemeClr val="tx1"/>
              </a:solidFill>
            </a:ln>
          </c:spPr>
          <c:dPt>
            <c:idx val="0"/>
            <c:bubble3D val="0"/>
            <c:spPr>
              <a:solidFill>
                <a:schemeClr val="bg1">
                  <a:lumMod val="75000"/>
                </a:schemeClr>
              </a:solidFill>
              <a:ln>
                <a:solidFill>
                  <a:schemeClr val="tx1"/>
                </a:solidFill>
              </a:ln>
            </c:spPr>
            <c:extLst>
              <c:ext xmlns:c16="http://schemas.microsoft.com/office/drawing/2014/chart" uri="{C3380CC4-5D6E-409C-BE32-E72D297353CC}">
                <c16:uniqueId val="{00000001-F187-449A-B59C-6FECA4723497}"/>
              </c:ext>
            </c:extLst>
          </c:dPt>
          <c:dPt>
            <c:idx val="1"/>
            <c:bubble3D val="0"/>
            <c:spPr>
              <a:solidFill>
                <a:schemeClr val="tx1">
                  <a:lumMod val="65000"/>
                  <a:lumOff val="35000"/>
                </a:schemeClr>
              </a:solidFill>
              <a:ln>
                <a:solidFill>
                  <a:schemeClr val="tx1"/>
                </a:solidFill>
              </a:ln>
            </c:spPr>
            <c:extLst>
              <c:ext xmlns:c16="http://schemas.microsoft.com/office/drawing/2014/chart" uri="{C3380CC4-5D6E-409C-BE32-E72D297353CC}">
                <c16:uniqueId val="{00000003-F187-449A-B59C-6FECA4723497}"/>
              </c:ext>
            </c:extLst>
          </c:dPt>
          <c:dPt>
            <c:idx val="2"/>
            <c:bubble3D val="0"/>
            <c:spPr>
              <a:solidFill>
                <a:schemeClr val="bg1">
                  <a:lumMod val="95000"/>
                </a:schemeClr>
              </a:solidFill>
              <a:ln>
                <a:solidFill>
                  <a:schemeClr val="tx1"/>
                </a:solidFill>
              </a:ln>
            </c:spPr>
            <c:extLst>
              <c:ext xmlns:c16="http://schemas.microsoft.com/office/drawing/2014/chart" uri="{C3380CC4-5D6E-409C-BE32-E72D297353CC}">
                <c16:uniqueId val="{00000005-F187-449A-B59C-6FECA4723497}"/>
              </c:ext>
            </c:extLst>
          </c:dPt>
          <c:dPt>
            <c:idx val="3"/>
            <c:bubble3D val="0"/>
            <c:spPr>
              <a:solidFill>
                <a:schemeClr val="bg1">
                  <a:lumMod val="50000"/>
                </a:schemeClr>
              </a:solidFill>
              <a:ln>
                <a:solidFill>
                  <a:schemeClr val="tx1"/>
                </a:solidFill>
              </a:ln>
            </c:spPr>
            <c:extLst>
              <c:ext xmlns:c16="http://schemas.microsoft.com/office/drawing/2014/chart" uri="{C3380CC4-5D6E-409C-BE32-E72D297353CC}">
                <c16:uniqueId val="{00000007-F187-449A-B59C-6FECA4723497}"/>
              </c:ext>
            </c:extLst>
          </c:dPt>
          <c:dPt>
            <c:idx val="4"/>
            <c:bubble3D val="0"/>
            <c:spPr>
              <a:solidFill>
                <a:schemeClr val="tx1">
                  <a:lumMod val="95000"/>
                  <a:lumOff val="5000"/>
                </a:schemeClr>
              </a:solidFill>
              <a:ln>
                <a:solidFill>
                  <a:schemeClr val="tx1"/>
                </a:solidFill>
              </a:ln>
            </c:spPr>
            <c:extLst>
              <c:ext xmlns:c16="http://schemas.microsoft.com/office/drawing/2014/chart" uri="{C3380CC4-5D6E-409C-BE32-E72D297353CC}">
                <c16:uniqueId val="{00000009-F187-449A-B59C-6FECA4723497}"/>
              </c:ext>
            </c:extLst>
          </c:dPt>
          <c:dLbls>
            <c:dLbl>
              <c:idx val="0"/>
              <c:layout>
                <c:manualLayout>
                  <c:x val="-1.2018994170199918E-2"/>
                  <c:y val="-1.878287002253945E-2"/>
                </c:manualLayout>
              </c:layout>
              <c:tx>
                <c:rich>
                  <a:bodyPr wrap="square" lIns="38100" tIns="19050" rIns="38100" bIns="19050" anchor="ctr">
                    <a:noAutofit/>
                  </a:bodyPr>
                  <a:lstStyle/>
                  <a:p>
                    <a:pPr>
                      <a:defRPr sz="900">
                        <a:solidFill>
                          <a:schemeClr val="bg1"/>
                        </a:solidFill>
                      </a:defRPr>
                    </a:pPr>
                    <a:r>
                      <a:rPr lang="en-US">
                        <a:solidFill>
                          <a:schemeClr val="bg1"/>
                        </a:solidFill>
                      </a:rPr>
                      <a:t>&lt;6 months</a:t>
                    </a:r>
                    <a:r>
                      <a:rPr lang="en-US" baseline="0">
                        <a:solidFill>
                          <a:schemeClr val="bg1"/>
                        </a:solidFill>
                      </a:rPr>
                      <a:t>
</a:t>
                    </a:r>
                    <a:fld id="{A5FEAE64-C272-4488-BFE1-81C47D9E7E00}" type="PERCENTAGE">
                      <a:rPr lang="en-US" baseline="0">
                        <a:solidFill>
                          <a:schemeClr val="bg1"/>
                        </a:solidFill>
                      </a:rPr>
                      <a:pPr>
                        <a:defRPr sz="900">
                          <a:solidFill>
                            <a:schemeClr val="bg1"/>
                          </a:solidFill>
                        </a:defRPr>
                      </a:pPr>
                      <a:t>[PERCENTAGE]</a:t>
                    </a:fld>
                    <a:endParaRPr lang="en-US" baseline="0">
                      <a:solidFill>
                        <a:schemeClr val="bg1"/>
                      </a:solidFill>
                    </a:endParaRPr>
                  </a:p>
                </c:rich>
              </c:tx>
              <c:spPr>
                <a:noFill/>
                <a:ln>
                  <a:noFill/>
                </a:ln>
                <a:effectLst/>
              </c:spPr>
              <c:showLegendKey val="0"/>
              <c:showVal val="0"/>
              <c:showCatName val="1"/>
              <c:showSerName val="0"/>
              <c:showPercent val="1"/>
              <c:showBubbleSize val="0"/>
              <c:extLst>
                <c:ext xmlns:c15="http://schemas.microsoft.com/office/drawing/2012/chart" uri="{CE6537A1-D6FC-4f65-9D91-7224C49458BB}">
                  <c15:layout>
                    <c:manualLayout>
                      <c:w val="0.20679086538461536"/>
                      <c:h val="0.3151014274981217"/>
                    </c:manualLayout>
                  </c15:layout>
                  <c15:dlblFieldTable/>
                  <c15:showDataLabelsRange val="0"/>
                </c:ext>
                <c:ext xmlns:c16="http://schemas.microsoft.com/office/drawing/2014/chart" uri="{C3380CC4-5D6E-409C-BE32-E72D297353CC}">
                  <c16:uniqueId val="{00000001-F187-449A-B59C-6FECA4723497}"/>
                </c:ext>
              </c:extLst>
            </c:dLbl>
            <c:dLbl>
              <c:idx val="1"/>
              <c:tx>
                <c:rich>
                  <a:bodyPr wrap="square" lIns="38100" tIns="19050" rIns="38100" bIns="19050" anchor="ctr">
                    <a:spAutoFit/>
                  </a:bodyPr>
                  <a:lstStyle/>
                  <a:p>
                    <a:pPr>
                      <a:defRPr sz="900">
                        <a:solidFill>
                          <a:schemeClr val="bg1"/>
                        </a:solidFill>
                      </a:defRPr>
                    </a:pPr>
                    <a:r>
                      <a:rPr lang="en-US"/>
                      <a:t>6 to 12 months</a:t>
                    </a:r>
                    <a:r>
                      <a:rPr lang="en-US" baseline="0"/>
                      <a:t>
</a:t>
                    </a:r>
                    <a:fld id="{B2045441-0DC8-44B3-8CD3-BBAB6E6A964D}" type="PERCENTAGE">
                      <a:rPr lang="en-US" baseline="0"/>
                      <a:pPr>
                        <a:defRPr sz="900">
                          <a:solidFill>
                            <a:schemeClr val="bg1"/>
                          </a:solidFill>
                        </a:defRPr>
                      </a:pPr>
                      <a:t>[PERCENTAGE]</a:t>
                    </a:fld>
                    <a:endParaRPr lang="en-US" baseline="0"/>
                  </a:p>
                </c:rich>
              </c:tx>
              <c:spPr>
                <a:noFill/>
                <a:ln>
                  <a:noFill/>
                </a:ln>
                <a:effectLst/>
              </c:spP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F187-449A-B59C-6FECA4723497}"/>
                </c:ext>
              </c:extLst>
            </c:dLbl>
            <c:dLbl>
              <c:idx val="2"/>
              <c:tx>
                <c:rich>
                  <a:bodyPr/>
                  <a:lstStyle/>
                  <a:p>
                    <a:r>
                      <a:rPr lang="en-US"/>
                      <a:t>12 to 24 months</a:t>
                    </a:r>
                    <a:r>
                      <a:rPr lang="en-US" baseline="0"/>
                      <a:t>
</a:t>
                    </a:r>
                    <a:fld id="{F83B94B1-730F-4B5C-92BB-1F9DE202F1BB}" type="PERCENTAGE">
                      <a:rPr lang="en-US" baseline="0"/>
                      <a:pPr/>
                      <a:t>[PERCENTAGE]</a:t>
                    </a:fld>
                    <a:endParaRPr lang="en-US" baseline="0"/>
                  </a:p>
                </c:rich>
              </c:tx>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F187-449A-B59C-6FECA4723497}"/>
                </c:ext>
              </c:extLst>
            </c:dLbl>
            <c:dLbl>
              <c:idx val="3"/>
              <c:layout>
                <c:manualLayout>
                  <c:x val="-2.4038461538461568E-2"/>
                  <c:y val="0"/>
                </c:manualLayout>
              </c:layout>
              <c:tx>
                <c:rich>
                  <a:bodyPr wrap="square" lIns="38100" tIns="19050" rIns="38100" bIns="19050" anchor="ctr">
                    <a:spAutoFit/>
                  </a:bodyPr>
                  <a:lstStyle/>
                  <a:p>
                    <a:pPr>
                      <a:defRPr sz="900">
                        <a:solidFill>
                          <a:schemeClr val="bg1"/>
                        </a:solidFill>
                      </a:defRPr>
                    </a:pPr>
                    <a:r>
                      <a:rPr lang="en-US" baseline="0"/>
                      <a:t>24 to 36 months
</a:t>
                    </a:r>
                    <a:fld id="{AFB98E99-37EC-4C3B-8B87-B3E72C7C4D0A}" type="PERCENTAGE">
                      <a:rPr lang="en-US" baseline="0"/>
                      <a:pPr>
                        <a:defRPr sz="900">
                          <a:solidFill>
                            <a:schemeClr val="bg1"/>
                          </a:solidFill>
                        </a:defRPr>
                      </a:pPr>
                      <a:t>[PERCENTAGE]</a:t>
                    </a:fld>
                    <a:endParaRPr lang="en-US" baseline="0"/>
                  </a:p>
                </c:rich>
              </c:tx>
              <c:spPr>
                <a:noFill/>
                <a:ln>
                  <a:noFill/>
                </a:ln>
                <a:effectLst/>
              </c:spPr>
              <c:showLegendKey val="0"/>
              <c:showVal val="0"/>
              <c:showCatName val="1"/>
              <c:showSerName val="0"/>
              <c:showPercent val="1"/>
              <c:showBubbleSize val="0"/>
              <c:extLst>
                <c:ext xmlns:c15="http://schemas.microsoft.com/office/drawing/2012/chart" uri="{CE6537A1-D6FC-4f65-9D91-7224C49458BB}">
                  <c15:layout>
                    <c:manualLayout>
                      <c:w val="0.24885817307692307"/>
                      <c:h val="0.43519939421546761"/>
                    </c:manualLayout>
                  </c15:layout>
                  <c15:dlblFieldTable/>
                  <c15:showDataLabelsRange val="0"/>
                </c:ext>
                <c:ext xmlns:c16="http://schemas.microsoft.com/office/drawing/2014/chart" uri="{C3380CC4-5D6E-409C-BE32-E72D297353CC}">
                  <c16:uniqueId val="{00000007-F187-449A-B59C-6FECA4723497}"/>
                </c:ext>
              </c:extLst>
            </c:dLbl>
            <c:dLbl>
              <c:idx val="4"/>
              <c:tx>
                <c:rich>
                  <a:bodyPr wrap="square" lIns="38100" tIns="19050" rIns="38100" bIns="19050" anchor="ctr">
                    <a:spAutoFit/>
                  </a:bodyPr>
                  <a:lstStyle/>
                  <a:p>
                    <a:pPr>
                      <a:defRPr sz="900">
                        <a:solidFill>
                          <a:schemeClr val="bg1"/>
                        </a:solidFill>
                      </a:defRPr>
                    </a:pPr>
                    <a:r>
                      <a:rPr lang="en-US"/>
                      <a:t>&gt;36 months</a:t>
                    </a:r>
                    <a:r>
                      <a:rPr lang="en-US" baseline="0"/>
                      <a:t>
</a:t>
                    </a:r>
                    <a:fld id="{72861997-1DA2-4687-BE1A-F59A90A2A97F}" type="PERCENTAGE">
                      <a:rPr lang="en-US" baseline="0"/>
                      <a:pPr>
                        <a:defRPr sz="900">
                          <a:solidFill>
                            <a:schemeClr val="bg1"/>
                          </a:solidFill>
                        </a:defRPr>
                      </a:pPr>
                      <a:t>[PERCENTAGE]</a:t>
                    </a:fld>
                    <a:endParaRPr lang="en-US" baseline="0"/>
                  </a:p>
                </c:rich>
              </c:tx>
              <c:spPr>
                <a:noFill/>
                <a:ln>
                  <a:noFill/>
                </a:ln>
                <a:effectLst/>
              </c:spP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F187-449A-B59C-6FECA4723497}"/>
                </c:ext>
              </c:extLst>
            </c:dLbl>
            <c:spPr>
              <a:noFill/>
              <a:ln>
                <a:noFill/>
              </a:ln>
              <a:effectLst/>
            </c:spPr>
            <c:txPr>
              <a:bodyPr wrap="square" lIns="38100" tIns="19050" rIns="38100" bIns="19050" anchor="ctr">
                <a:spAutoFit/>
              </a:bodyPr>
              <a:lstStyle/>
              <a:p>
                <a:pPr>
                  <a:defRPr sz="900"/>
                </a:pPr>
                <a:endParaRPr lang="en-US"/>
              </a:p>
            </c:txPr>
            <c:showLegendKey val="0"/>
            <c:showVal val="0"/>
            <c:showCatName val="1"/>
            <c:showSerName val="0"/>
            <c:showPercent val="1"/>
            <c:showBubbleSize val="0"/>
            <c:showLeaderLines val="1"/>
            <c:extLst>
              <c:ext xmlns:c15="http://schemas.microsoft.com/office/drawing/2012/chart" uri="{CE6537A1-D6FC-4f65-9D91-7224C49458BB}"/>
            </c:extLst>
          </c:dLbls>
          <c:cat>
            <c:strRef>
              <c:f>Sheet1!$A$2:$A$6</c:f>
              <c:strCache>
                <c:ptCount val="5"/>
                <c:pt idx="0">
                  <c:v>&lt;6mo</c:v>
                </c:pt>
                <c:pt idx="1">
                  <c:v>6-12mo</c:v>
                </c:pt>
                <c:pt idx="2">
                  <c:v>12-24mo</c:v>
                </c:pt>
                <c:pt idx="3">
                  <c:v>24-36mo</c:v>
                </c:pt>
                <c:pt idx="4">
                  <c:v>&gt;36mo</c:v>
                </c:pt>
              </c:strCache>
            </c:strRef>
          </c:cat>
          <c:val>
            <c:numRef>
              <c:f>Sheet1!$B$2:$B$6</c:f>
              <c:numCache>
                <c:formatCode>General</c:formatCode>
                <c:ptCount val="5"/>
                <c:pt idx="0">
                  <c:v>6</c:v>
                </c:pt>
                <c:pt idx="1">
                  <c:v>18</c:v>
                </c:pt>
                <c:pt idx="2">
                  <c:v>22</c:v>
                </c:pt>
                <c:pt idx="3">
                  <c:v>35</c:v>
                </c:pt>
                <c:pt idx="4">
                  <c:v>19</c:v>
                </c:pt>
              </c:numCache>
            </c:numRef>
          </c:val>
          <c:extLst>
            <c:ext xmlns:c16="http://schemas.microsoft.com/office/drawing/2014/chart" uri="{C3380CC4-5D6E-409C-BE32-E72D297353CC}">
              <c16:uniqueId val="{0000000A-F187-449A-B59C-6FECA4723497}"/>
            </c:ext>
          </c:extLst>
        </c:ser>
        <c:dLbls>
          <c:showLegendKey val="0"/>
          <c:showVal val="0"/>
          <c:showCatName val="1"/>
          <c:showSerName val="0"/>
          <c:showPercent val="1"/>
          <c:showBubbleSize val="0"/>
          <c:showLeaderLines val="1"/>
        </c:dLbls>
        <c:firstSliceAng val="0"/>
        <c:holeSize val="50"/>
      </c:doughnutChart>
      <c:spPr>
        <a:noFill/>
        <a:ln>
          <a:noFill/>
        </a:ln>
      </c:spPr>
    </c:plotArea>
    <c:plotVisOnly val="1"/>
    <c:dispBlanksAs val="gap"/>
    <c:showDLblsOverMax val="0"/>
  </c:chart>
  <c:spPr>
    <a:ln>
      <a:noFill/>
    </a:ln>
  </c:spPr>
  <c:txPr>
    <a:bodyPr/>
    <a:lstStyle/>
    <a:p>
      <a:pPr>
        <a:defRPr sz="700"/>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4CF996-F1F2-4C6F-9CF7-6EE29E467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4428</Words>
  <Characters>25243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Product Coordinator</cp:lastModifiedBy>
  <cp:revision>4</cp:revision>
  <cp:lastPrinted>2015-03-04T20:34:00Z</cp:lastPrinted>
  <dcterms:created xsi:type="dcterms:W3CDTF">2021-05-19T12:50:00Z</dcterms:created>
  <dcterms:modified xsi:type="dcterms:W3CDTF">2021-05-19T12:53:00Z</dcterms:modified>
</cp:coreProperties>
</file>