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DC43F" w14:textId="3FA19572" w:rsidR="005628BD" w:rsidRPr="0061115E" w:rsidRDefault="0061115E" w:rsidP="00C02410">
      <w:pPr>
        <w:pBdr>
          <w:bottom w:val="single" w:sz="18" w:space="1" w:color="auto"/>
        </w:pBdr>
        <w:tabs>
          <w:tab w:val="left" w:pos="-1440"/>
          <w:tab w:val="left" w:pos="-720"/>
          <w:tab w:val="left" w:pos="1"/>
        </w:tabs>
        <w:jc w:val="both"/>
        <w:rPr>
          <w:rFonts w:ascii="Arial" w:hAnsi="Arial"/>
          <w:b/>
          <w:noProof/>
          <w:sz w:val="24"/>
          <w:lang w:val="en-CA" w:eastAsia="en-CA"/>
        </w:rPr>
      </w:pPr>
      <w:r w:rsidRPr="0061115E">
        <w:rPr>
          <w:rFonts w:ascii="Arial" w:hAnsi="Arial"/>
          <w:b/>
          <w:noProof/>
          <w:sz w:val="24"/>
          <w:lang w:val="en-CA" w:eastAsia="en-CA"/>
        </w:rPr>
        <w:drawing>
          <wp:inline distT="0" distB="0" distL="0" distR="0" wp14:anchorId="1EB233D2" wp14:editId="357AB5EA">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AAE93B6" w14:textId="413C1D26" w:rsidR="00C02410" w:rsidRPr="0061115E" w:rsidRDefault="0061115E" w:rsidP="00C02410">
      <w:pPr>
        <w:pStyle w:val="ProductNumber"/>
        <w:rPr>
          <w:lang w:val="en-CA"/>
        </w:rPr>
      </w:pPr>
      <w:r w:rsidRPr="0061115E">
        <w:rPr>
          <w:lang w:val="en-CA"/>
        </w:rPr>
        <w:t>9B21C001</w:t>
      </w:r>
    </w:p>
    <w:p w14:paraId="66655307" w14:textId="77777777" w:rsidR="00D75295" w:rsidRPr="0061115E" w:rsidRDefault="00D75295" w:rsidP="00D75295">
      <w:pPr>
        <w:jc w:val="right"/>
        <w:rPr>
          <w:rFonts w:ascii="Arial" w:hAnsi="Arial"/>
          <w:b/>
          <w:lang w:val="en-CA"/>
        </w:rPr>
      </w:pPr>
    </w:p>
    <w:p w14:paraId="582F304C" w14:textId="77777777" w:rsidR="001901C0" w:rsidRPr="0061115E" w:rsidRDefault="001901C0" w:rsidP="00D75295">
      <w:pPr>
        <w:jc w:val="right"/>
        <w:rPr>
          <w:rFonts w:ascii="Arial" w:hAnsi="Arial"/>
          <w:b/>
          <w:lang w:val="en-CA"/>
        </w:rPr>
      </w:pPr>
    </w:p>
    <w:p w14:paraId="255CBE02" w14:textId="7DDBF327" w:rsidR="00013360" w:rsidRPr="0061115E" w:rsidRDefault="005628BD" w:rsidP="00013360">
      <w:pPr>
        <w:pStyle w:val="CaseTitle"/>
        <w:spacing w:after="0" w:line="240" w:lineRule="auto"/>
        <w:rPr>
          <w:sz w:val="20"/>
          <w:szCs w:val="20"/>
          <w:lang w:val="en-CA"/>
        </w:rPr>
      </w:pPr>
      <w:r w:rsidRPr="0061115E">
        <w:rPr>
          <w:lang w:val="en-CA"/>
        </w:rPr>
        <w:t>A</w:t>
      </w:r>
      <w:r w:rsidR="007E6E76" w:rsidRPr="0061115E">
        <w:rPr>
          <w:lang w:val="en-CA"/>
        </w:rPr>
        <w:t>PTURJA</w:t>
      </w:r>
      <w:r w:rsidRPr="0061115E">
        <w:rPr>
          <w:lang w:val="en-CA"/>
        </w:rPr>
        <w:t xml:space="preserve"> POWER LIMITED</w:t>
      </w:r>
      <w:r w:rsidR="009C01D7" w:rsidRPr="0061115E">
        <w:rPr>
          <w:lang w:val="en-CA"/>
        </w:rPr>
        <w:t>: Human resources ANALYTICS</w:t>
      </w:r>
    </w:p>
    <w:p w14:paraId="71F229DE" w14:textId="77777777" w:rsidR="00CA3976" w:rsidRPr="0061115E" w:rsidRDefault="00CA3976" w:rsidP="00013360">
      <w:pPr>
        <w:pStyle w:val="CaseTitle"/>
        <w:spacing w:after="0" w:line="240" w:lineRule="auto"/>
        <w:rPr>
          <w:sz w:val="20"/>
          <w:szCs w:val="20"/>
          <w:lang w:val="en-CA"/>
        </w:rPr>
      </w:pPr>
    </w:p>
    <w:p w14:paraId="723D0D00" w14:textId="77777777" w:rsidR="00013360" w:rsidRPr="0061115E" w:rsidRDefault="00013360" w:rsidP="00013360">
      <w:pPr>
        <w:pStyle w:val="CaseTitle"/>
        <w:spacing w:after="0" w:line="240" w:lineRule="auto"/>
        <w:rPr>
          <w:sz w:val="20"/>
          <w:szCs w:val="20"/>
          <w:lang w:val="en-CA"/>
        </w:rPr>
      </w:pPr>
    </w:p>
    <w:p w14:paraId="2B28B3CF" w14:textId="231A8C7A" w:rsidR="00086B26" w:rsidRPr="0061115E" w:rsidRDefault="005628BD" w:rsidP="00086B26">
      <w:pPr>
        <w:pStyle w:val="StyleCopyrightStatementAfter0ptBottomSinglesolidline1"/>
        <w:rPr>
          <w:lang w:val="en-CA"/>
        </w:rPr>
      </w:pPr>
      <w:r w:rsidRPr="0061115E">
        <w:rPr>
          <w:lang w:val="en-CA"/>
        </w:rPr>
        <w:t>Shweta Jaiswal</w:t>
      </w:r>
      <w:r w:rsidR="00401EB9" w:rsidRPr="0061115E">
        <w:rPr>
          <w:lang w:val="en-CA"/>
        </w:rPr>
        <w:t xml:space="preserve"> Thakur</w:t>
      </w:r>
      <w:r w:rsidRPr="0061115E">
        <w:rPr>
          <w:lang w:val="en-CA"/>
        </w:rPr>
        <w:t xml:space="preserve"> and Rishabh Sharma </w:t>
      </w:r>
      <w:r w:rsidR="00086B26" w:rsidRPr="0061115E">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5386DAF3" w14:textId="77777777" w:rsidR="00086B26" w:rsidRPr="0061115E" w:rsidRDefault="00086B26" w:rsidP="00086B26">
      <w:pPr>
        <w:pStyle w:val="StyleCopyrightStatementAfter0ptBottomSinglesolidline1"/>
        <w:rPr>
          <w:lang w:val="en-CA"/>
        </w:rPr>
      </w:pPr>
    </w:p>
    <w:p w14:paraId="54ACE083" w14:textId="77777777" w:rsidR="0061115E" w:rsidRPr="0061115E" w:rsidRDefault="0061115E" w:rsidP="0061115E">
      <w:pPr>
        <w:pStyle w:val="StyleStyleCopyrightStatementAfter0ptBottomSinglesolid"/>
        <w:rPr>
          <w:rFonts w:cs="Arial"/>
          <w:color w:val="FFFFFF" w:themeColor="background1"/>
          <w:szCs w:val="16"/>
          <w:lang w:val="en-CA"/>
        </w:rPr>
      </w:pPr>
      <w:r w:rsidRPr="0061115E">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61115E">
        <w:rPr>
          <w:rFonts w:cs="Arial"/>
          <w:color w:val="FFFFFF" w:themeColor="background1"/>
          <w:szCs w:val="16"/>
          <w:lang w:val="en-CA"/>
        </w:rPr>
        <w:t>i1v2e5y5pubs</w:t>
      </w:r>
    </w:p>
    <w:p w14:paraId="088F4DE0" w14:textId="77777777" w:rsidR="0061115E" w:rsidRPr="0061115E" w:rsidRDefault="0061115E" w:rsidP="0061115E">
      <w:pPr>
        <w:pStyle w:val="StyleStyleCopyrightStatementAfter0ptBottomSinglesolid"/>
        <w:rPr>
          <w:rFonts w:cs="Arial"/>
          <w:iCs w:val="0"/>
          <w:color w:val="auto"/>
          <w:szCs w:val="16"/>
          <w:lang w:val="en-CA"/>
        </w:rPr>
      </w:pPr>
    </w:p>
    <w:p w14:paraId="1591E0D9" w14:textId="12A7E856" w:rsidR="00751E0B" w:rsidRPr="0061115E" w:rsidRDefault="0061115E" w:rsidP="00A323B0">
      <w:pPr>
        <w:pStyle w:val="StyleStyleCopyrightStatementAfter0ptBottomSinglesolid"/>
        <w:rPr>
          <w:rFonts w:cs="Arial"/>
          <w:color w:val="FFFFFF" w:themeColor="background1"/>
          <w:szCs w:val="16"/>
          <w:lang w:val="en-CA"/>
        </w:rPr>
      </w:pPr>
      <w:r w:rsidRPr="0061115E">
        <w:rPr>
          <w:rFonts w:cs="Arial"/>
          <w:iCs w:val="0"/>
          <w:color w:val="auto"/>
          <w:szCs w:val="16"/>
          <w:lang w:val="en-CA"/>
        </w:rPr>
        <w:t>Copyright © 2021, Ivey Business School Foundation</w:t>
      </w:r>
      <w:r w:rsidR="00A323B0" w:rsidRPr="0061115E">
        <w:rPr>
          <w:rFonts w:cs="Arial"/>
          <w:iCs w:val="0"/>
          <w:color w:val="auto"/>
          <w:szCs w:val="16"/>
          <w:lang w:val="en-CA"/>
        </w:rPr>
        <w:tab/>
      </w:r>
      <w:r w:rsidR="00385B3A" w:rsidRPr="0061115E">
        <w:rPr>
          <w:rFonts w:cs="Arial"/>
          <w:iCs w:val="0"/>
          <w:color w:val="auto"/>
          <w:szCs w:val="16"/>
          <w:lang w:val="en-CA"/>
        </w:rPr>
        <w:t>Version: 2021-0</w:t>
      </w:r>
      <w:r w:rsidRPr="0061115E">
        <w:rPr>
          <w:rFonts w:cs="Arial"/>
          <w:iCs w:val="0"/>
          <w:color w:val="auto"/>
          <w:szCs w:val="16"/>
          <w:lang w:val="en-CA"/>
        </w:rPr>
        <w:t>2</w:t>
      </w:r>
      <w:r w:rsidR="00385B3A" w:rsidRPr="0061115E">
        <w:rPr>
          <w:rFonts w:cs="Arial"/>
          <w:iCs w:val="0"/>
          <w:color w:val="auto"/>
          <w:szCs w:val="16"/>
          <w:lang w:val="en-CA"/>
        </w:rPr>
        <w:t>-</w:t>
      </w:r>
      <w:r w:rsidRPr="0061115E">
        <w:rPr>
          <w:rFonts w:cs="Arial"/>
          <w:iCs w:val="0"/>
          <w:color w:val="auto"/>
          <w:szCs w:val="16"/>
          <w:lang w:val="en-CA"/>
        </w:rPr>
        <w:t>01</w:t>
      </w:r>
    </w:p>
    <w:p w14:paraId="186BB36F" w14:textId="77777777" w:rsidR="00751E0B" w:rsidRPr="0061115E" w:rsidRDefault="00751E0B" w:rsidP="00751E0B">
      <w:pPr>
        <w:pStyle w:val="StyleCopyrightStatementAfter0ptBottomSinglesolidline1"/>
        <w:rPr>
          <w:rFonts w:ascii="Times New Roman" w:hAnsi="Times New Roman"/>
          <w:sz w:val="20"/>
          <w:lang w:val="en-CA"/>
        </w:rPr>
      </w:pPr>
    </w:p>
    <w:p w14:paraId="76CF718D" w14:textId="77777777" w:rsidR="005628BD" w:rsidRPr="0061115E" w:rsidRDefault="005628BD" w:rsidP="00751E0B">
      <w:pPr>
        <w:pStyle w:val="StyleCopyrightStatementAfter0ptBottomSinglesolidline1"/>
        <w:rPr>
          <w:rFonts w:ascii="Times New Roman" w:hAnsi="Times New Roman"/>
          <w:sz w:val="20"/>
          <w:lang w:val="en-CA"/>
        </w:rPr>
      </w:pPr>
    </w:p>
    <w:p w14:paraId="0F443253" w14:textId="559DE827" w:rsidR="005628BD" w:rsidRPr="0061115E" w:rsidRDefault="005214E4" w:rsidP="00236043">
      <w:pPr>
        <w:pStyle w:val="BodyTextMain"/>
        <w:rPr>
          <w:color w:val="000000" w:themeColor="text1"/>
          <w:spacing w:val="-2"/>
          <w:lang w:val="en-CA"/>
        </w:rPr>
      </w:pPr>
      <w:r w:rsidRPr="0061115E">
        <w:rPr>
          <w:spacing w:val="-2"/>
          <w:lang w:val="en-CA"/>
        </w:rPr>
        <w:t xml:space="preserve">It was April 2020, and </w:t>
      </w:r>
      <w:r w:rsidR="00560210" w:rsidRPr="0061115E">
        <w:rPr>
          <w:spacing w:val="-2"/>
          <w:lang w:val="en-CA"/>
        </w:rPr>
        <w:t xml:space="preserve">Kailash Kaushik, business head at </w:t>
      </w:r>
      <w:bookmarkStart w:id="0" w:name="_Hlk54861837"/>
      <w:r w:rsidR="00560210" w:rsidRPr="0061115E">
        <w:rPr>
          <w:spacing w:val="-2"/>
          <w:lang w:val="en-CA"/>
        </w:rPr>
        <w:t>A</w:t>
      </w:r>
      <w:r w:rsidR="007E6E76" w:rsidRPr="0061115E">
        <w:rPr>
          <w:spacing w:val="-2"/>
          <w:lang w:val="en-CA"/>
        </w:rPr>
        <w:t>pturja</w:t>
      </w:r>
      <w:r w:rsidR="00560210" w:rsidRPr="0061115E">
        <w:rPr>
          <w:spacing w:val="-2"/>
          <w:lang w:val="en-CA"/>
        </w:rPr>
        <w:t xml:space="preserve"> Power Limited (APL)</w:t>
      </w:r>
      <w:bookmarkEnd w:id="0"/>
      <w:r w:rsidR="00560210" w:rsidRPr="0061115E">
        <w:rPr>
          <w:spacing w:val="-2"/>
          <w:lang w:val="en-CA"/>
        </w:rPr>
        <w:t xml:space="preserve">, was worried. </w:t>
      </w:r>
      <w:r w:rsidR="005628BD" w:rsidRPr="0061115E">
        <w:rPr>
          <w:spacing w:val="-2"/>
          <w:lang w:val="en-CA"/>
        </w:rPr>
        <w:t>“Why are these fresh college entrants leaving us?</w:t>
      </w:r>
      <w:r w:rsidR="00560210" w:rsidRPr="0061115E">
        <w:rPr>
          <w:spacing w:val="-2"/>
          <w:lang w:val="en-CA"/>
        </w:rPr>
        <w:t>” Kaushik asked Keshav Chaubey, human resources head at APL.</w:t>
      </w:r>
      <w:r w:rsidR="005628BD" w:rsidRPr="0061115E">
        <w:rPr>
          <w:spacing w:val="-2"/>
          <w:lang w:val="en-CA"/>
        </w:rPr>
        <w:t xml:space="preserve"> </w:t>
      </w:r>
      <w:r w:rsidR="00560210" w:rsidRPr="0061115E">
        <w:rPr>
          <w:spacing w:val="-2"/>
          <w:lang w:val="en-CA"/>
        </w:rPr>
        <w:t>“</w:t>
      </w:r>
      <w:r w:rsidR="005628BD" w:rsidRPr="0061115E">
        <w:rPr>
          <w:spacing w:val="-2"/>
          <w:lang w:val="en-CA"/>
        </w:rPr>
        <w:t>I don’t understand at all</w:t>
      </w:r>
      <w:r w:rsidR="00931558" w:rsidRPr="0061115E">
        <w:rPr>
          <w:spacing w:val="-2"/>
          <w:lang w:val="en-CA"/>
        </w:rPr>
        <w:t>,” Kaushik continued.</w:t>
      </w:r>
      <w:r w:rsidR="005628BD" w:rsidRPr="0061115E">
        <w:rPr>
          <w:spacing w:val="-2"/>
          <w:lang w:val="en-CA"/>
        </w:rPr>
        <w:t xml:space="preserve"> </w:t>
      </w:r>
      <w:r w:rsidR="00931558" w:rsidRPr="0061115E">
        <w:rPr>
          <w:spacing w:val="-2"/>
          <w:lang w:val="en-CA"/>
        </w:rPr>
        <w:t>“</w:t>
      </w:r>
      <w:r w:rsidR="005628BD" w:rsidRPr="0061115E">
        <w:rPr>
          <w:spacing w:val="-2"/>
          <w:lang w:val="en-CA"/>
        </w:rPr>
        <w:t>Voluntary attrition among them is rising every year</w:t>
      </w:r>
      <w:r w:rsidR="00560210" w:rsidRPr="0061115E">
        <w:rPr>
          <w:spacing w:val="-2"/>
          <w:lang w:val="en-CA"/>
        </w:rPr>
        <w:t>.”</w:t>
      </w:r>
    </w:p>
    <w:p w14:paraId="464B569F" w14:textId="77777777" w:rsidR="00236043" w:rsidRPr="0061115E" w:rsidRDefault="00236043" w:rsidP="00236043">
      <w:pPr>
        <w:pStyle w:val="BodyTextMain"/>
        <w:rPr>
          <w:color w:val="000000" w:themeColor="text1"/>
          <w:lang w:val="en-CA"/>
        </w:rPr>
      </w:pPr>
    </w:p>
    <w:p w14:paraId="5346DBA4" w14:textId="0B43BA32" w:rsidR="005628BD" w:rsidRPr="0061115E" w:rsidRDefault="005628BD" w:rsidP="00236043">
      <w:pPr>
        <w:pStyle w:val="BodyTextMain"/>
        <w:rPr>
          <w:lang w:val="en-CA"/>
        </w:rPr>
      </w:pPr>
      <w:r w:rsidRPr="0061115E">
        <w:rPr>
          <w:lang w:val="en-CA"/>
        </w:rPr>
        <w:t>Nearly half of the 2</w:t>
      </w:r>
      <w:r w:rsidR="00E016C2" w:rsidRPr="0061115E">
        <w:rPr>
          <w:lang w:val="en-CA"/>
        </w:rPr>
        <w:t>,</w:t>
      </w:r>
      <w:r w:rsidRPr="0061115E">
        <w:rPr>
          <w:lang w:val="en-CA"/>
        </w:rPr>
        <w:t xml:space="preserve">000 employees hired by APL in the past two years </w:t>
      </w:r>
      <w:r w:rsidR="00882D04" w:rsidRPr="0061115E">
        <w:rPr>
          <w:lang w:val="en-CA"/>
        </w:rPr>
        <w:t xml:space="preserve">had </w:t>
      </w:r>
      <w:r w:rsidRPr="0061115E">
        <w:rPr>
          <w:lang w:val="en-CA"/>
        </w:rPr>
        <w:t>left within a year of joining</w:t>
      </w:r>
      <w:r w:rsidR="00917FD2" w:rsidRPr="0061115E">
        <w:rPr>
          <w:lang w:val="en-CA"/>
        </w:rPr>
        <w:t>.</w:t>
      </w:r>
      <w:r w:rsidRPr="0061115E">
        <w:rPr>
          <w:lang w:val="en-CA"/>
        </w:rPr>
        <w:t xml:space="preserve"> </w:t>
      </w:r>
      <w:r w:rsidR="00917FD2" w:rsidRPr="0061115E">
        <w:rPr>
          <w:color w:val="000000" w:themeColor="text1"/>
          <w:lang w:val="en-CA"/>
        </w:rPr>
        <w:t>O</w:t>
      </w:r>
      <w:r w:rsidR="007E6E76" w:rsidRPr="0061115E">
        <w:rPr>
          <w:color w:val="000000" w:themeColor="text1"/>
          <w:lang w:val="en-CA"/>
        </w:rPr>
        <w:t xml:space="preserve">f </w:t>
      </w:r>
      <w:r w:rsidR="00917FD2" w:rsidRPr="0061115E">
        <w:rPr>
          <w:color w:val="000000" w:themeColor="text1"/>
          <w:lang w:val="en-CA"/>
        </w:rPr>
        <w:t xml:space="preserve">the </w:t>
      </w:r>
      <w:r w:rsidR="007E6E76" w:rsidRPr="0061115E">
        <w:rPr>
          <w:color w:val="000000" w:themeColor="text1"/>
          <w:lang w:val="en-CA"/>
        </w:rPr>
        <w:t>1</w:t>
      </w:r>
      <w:r w:rsidR="00917FD2" w:rsidRPr="0061115E">
        <w:rPr>
          <w:color w:val="000000" w:themeColor="text1"/>
          <w:lang w:val="en-CA"/>
        </w:rPr>
        <w:t>,</w:t>
      </w:r>
      <w:r w:rsidR="007E6E76" w:rsidRPr="0061115E">
        <w:rPr>
          <w:color w:val="000000" w:themeColor="text1"/>
          <w:lang w:val="en-CA"/>
        </w:rPr>
        <w:t xml:space="preserve">000 </w:t>
      </w:r>
      <w:r w:rsidR="00381F3E" w:rsidRPr="0061115E">
        <w:rPr>
          <w:color w:val="000000" w:themeColor="text1"/>
          <w:lang w:val="en-CA"/>
        </w:rPr>
        <w:t>new</w:t>
      </w:r>
      <w:r w:rsidR="007E6E76" w:rsidRPr="0061115E">
        <w:rPr>
          <w:color w:val="000000" w:themeColor="text1"/>
          <w:lang w:val="en-CA"/>
        </w:rPr>
        <w:t xml:space="preserve"> hires </w:t>
      </w:r>
      <w:r w:rsidR="003E3424" w:rsidRPr="0061115E">
        <w:rPr>
          <w:color w:val="000000" w:themeColor="text1"/>
          <w:lang w:val="en-CA"/>
        </w:rPr>
        <w:t>each year</w:t>
      </w:r>
      <w:r w:rsidR="007E6E76" w:rsidRPr="0061115E">
        <w:rPr>
          <w:color w:val="000000" w:themeColor="text1"/>
          <w:lang w:val="en-CA"/>
        </w:rPr>
        <w:t xml:space="preserve">, APL had reported 545 resignations in </w:t>
      </w:r>
      <w:r w:rsidR="00917FD2" w:rsidRPr="0061115E">
        <w:rPr>
          <w:color w:val="000000" w:themeColor="text1"/>
          <w:lang w:val="en-CA"/>
        </w:rPr>
        <w:t>fiscal year (</w:t>
      </w:r>
      <w:r w:rsidR="007E6E76" w:rsidRPr="0061115E">
        <w:rPr>
          <w:color w:val="000000" w:themeColor="text1"/>
          <w:lang w:val="en-CA"/>
        </w:rPr>
        <w:t>FY</w:t>
      </w:r>
      <w:r w:rsidR="00917FD2" w:rsidRPr="0061115E">
        <w:rPr>
          <w:color w:val="000000" w:themeColor="text1"/>
          <w:lang w:val="en-CA"/>
        </w:rPr>
        <w:t>)</w:t>
      </w:r>
      <w:r w:rsidR="007E6E76" w:rsidRPr="0061115E">
        <w:rPr>
          <w:color w:val="000000" w:themeColor="text1"/>
          <w:lang w:val="en-CA"/>
        </w:rPr>
        <w:t xml:space="preserve"> 2019, as compared </w:t>
      </w:r>
      <w:r w:rsidR="00917FD2" w:rsidRPr="0061115E">
        <w:rPr>
          <w:color w:val="000000" w:themeColor="text1"/>
          <w:lang w:val="en-CA"/>
        </w:rPr>
        <w:t xml:space="preserve">with </w:t>
      </w:r>
      <w:r w:rsidR="007E6E76" w:rsidRPr="0061115E">
        <w:rPr>
          <w:color w:val="000000" w:themeColor="text1"/>
          <w:lang w:val="en-CA"/>
        </w:rPr>
        <w:t>455 in FY 2018.</w:t>
      </w:r>
      <w:r w:rsidRPr="0061115E">
        <w:rPr>
          <w:lang w:val="en-CA"/>
        </w:rPr>
        <w:t xml:space="preserve"> Chaubey explained </w:t>
      </w:r>
      <w:r w:rsidR="00C05EE4" w:rsidRPr="0061115E">
        <w:rPr>
          <w:lang w:val="en-CA"/>
        </w:rPr>
        <w:t xml:space="preserve">to Kaushik </w:t>
      </w:r>
      <w:r w:rsidRPr="0061115E">
        <w:rPr>
          <w:lang w:val="en-CA"/>
        </w:rPr>
        <w:t xml:space="preserve">that hiring suitable candidates and acquainting them with the organization required enormous effort and capital, especially in the regulated power sector. </w:t>
      </w:r>
      <w:r w:rsidR="005214E4" w:rsidRPr="0061115E">
        <w:rPr>
          <w:lang w:val="en-CA"/>
        </w:rPr>
        <w:t>Both</w:t>
      </w:r>
      <w:r w:rsidRPr="0061115E">
        <w:rPr>
          <w:lang w:val="en-CA"/>
        </w:rPr>
        <w:t xml:space="preserve"> senior officials at APL realized that it was high time they prevented </w:t>
      </w:r>
      <w:r w:rsidR="007E6E76" w:rsidRPr="0061115E">
        <w:rPr>
          <w:lang w:val="en-CA"/>
        </w:rPr>
        <w:t>these rising first-year attrition levels</w:t>
      </w:r>
      <w:r w:rsidRPr="0061115E">
        <w:rPr>
          <w:lang w:val="en-CA"/>
        </w:rPr>
        <w:t>.</w:t>
      </w:r>
    </w:p>
    <w:p w14:paraId="60650029" w14:textId="77777777" w:rsidR="00236043" w:rsidRPr="0061115E" w:rsidRDefault="00236043" w:rsidP="00236043">
      <w:pPr>
        <w:pStyle w:val="BodyTextMain"/>
        <w:rPr>
          <w:lang w:val="en-CA"/>
        </w:rPr>
      </w:pPr>
    </w:p>
    <w:p w14:paraId="1DC42014" w14:textId="404AD759" w:rsidR="005628BD" w:rsidRPr="0061115E" w:rsidRDefault="005628BD" w:rsidP="00236043">
      <w:pPr>
        <w:pStyle w:val="BodyTextMain"/>
        <w:rPr>
          <w:lang w:val="en-CA"/>
        </w:rPr>
      </w:pPr>
      <w:r w:rsidRPr="0061115E">
        <w:rPr>
          <w:lang w:val="en-CA"/>
        </w:rPr>
        <w:t xml:space="preserve">Chaubey believed that candidates hired for a particular function were expected to stay in that role for a minimum of two to three years. He was of the view that students from elite engineering and management institutions often had unrealistic expectations, since most of them had no prior work experience. </w:t>
      </w:r>
      <w:r w:rsidR="00C9675D" w:rsidRPr="0061115E">
        <w:rPr>
          <w:lang w:val="en-CA"/>
        </w:rPr>
        <w:t xml:space="preserve">Chaubey </w:t>
      </w:r>
      <w:r w:rsidRPr="0061115E">
        <w:rPr>
          <w:lang w:val="en-CA"/>
        </w:rPr>
        <w:t xml:space="preserve">had been with </w:t>
      </w:r>
      <w:r w:rsidR="00C9675D" w:rsidRPr="0061115E">
        <w:rPr>
          <w:lang w:val="en-CA"/>
        </w:rPr>
        <w:t>APL</w:t>
      </w:r>
      <w:r w:rsidRPr="0061115E">
        <w:rPr>
          <w:lang w:val="en-CA"/>
        </w:rPr>
        <w:t xml:space="preserve"> for nearly 21 years and had witnessed the shifting demands of new recruits</w:t>
      </w:r>
      <w:r w:rsidR="00472A6F" w:rsidRPr="0061115E">
        <w:rPr>
          <w:lang w:val="en-CA"/>
        </w:rPr>
        <w:t>, who</w:t>
      </w:r>
      <w:r w:rsidRPr="0061115E">
        <w:rPr>
          <w:lang w:val="en-CA"/>
        </w:rPr>
        <w:t xml:space="preserve"> appeared to increasingly prioritize work</w:t>
      </w:r>
      <w:r w:rsidR="00DF62D8" w:rsidRPr="0061115E">
        <w:rPr>
          <w:lang w:val="en-CA"/>
        </w:rPr>
        <w:t>–</w:t>
      </w:r>
      <w:r w:rsidRPr="0061115E">
        <w:rPr>
          <w:lang w:val="en-CA"/>
        </w:rPr>
        <w:t xml:space="preserve">life balance and reduced monotony over earning a stable income, which contrasted with the priorities of employees from the earlier generation. However, </w:t>
      </w:r>
      <w:r w:rsidR="009443C1" w:rsidRPr="0061115E">
        <w:rPr>
          <w:lang w:val="en-CA"/>
        </w:rPr>
        <w:t xml:space="preserve">Chaubey </w:t>
      </w:r>
      <w:r w:rsidRPr="0061115E">
        <w:rPr>
          <w:lang w:val="en-CA"/>
        </w:rPr>
        <w:t xml:space="preserve">had never </w:t>
      </w:r>
      <w:r w:rsidR="00080C44" w:rsidRPr="0061115E">
        <w:rPr>
          <w:lang w:val="en-CA"/>
        </w:rPr>
        <w:t xml:space="preserve">before </w:t>
      </w:r>
      <w:r w:rsidRPr="0061115E">
        <w:rPr>
          <w:lang w:val="en-CA"/>
        </w:rPr>
        <w:t>observed such high rates of attrition among new hires at APL.</w:t>
      </w:r>
    </w:p>
    <w:p w14:paraId="080F6A6C" w14:textId="77777777" w:rsidR="00236043" w:rsidRPr="0061115E" w:rsidRDefault="00236043" w:rsidP="00236043">
      <w:pPr>
        <w:pStyle w:val="BodyTextMain"/>
        <w:rPr>
          <w:lang w:val="en-CA"/>
        </w:rPr>
      </w:pPr>
    </w:p>
    <w:p w14:paraId="52726BD4" w14:textId="7F75DF58" w:rsidR="005628BD" w:rsidRDefault="003C1CA9" w:rsidP="00236043">
      <w:pPr>
        <w:pStyle w:val="BodyTextMain"/>
        <w:rPr>
          <w:lang w:val="en-CA"/>
        </w:rPr>
      </w:pPr>
      <w:r w:rsidRPr="0061115E">
        <w:rPr>
          <w:lang w:val="en-CA"/>
        </w:rPr>
        <w:t xml:space="preserve">Chaubey </w:t>
      </w:r>
      <w:r w:rsidR="005628BD" w:rsidRPr="0061115E">
        <w:rPr>
          <w:lang w:val="en-CA"/>
        </w:rPr>
        <w:t xml:space="preserve">recalled </w:t>
      </w:r>
      <w:r w:rsidR="00D0614B" w:rsidRPr="0061115E">
        <w:rPr>
          <w:lang w:val="en-CA"/>
        </w:rPr>
        <w:t>what</w:t>
      </w:r>
      <w:r w:rsidR="005628BD" w:rsidRPr="0061115E">
        <w:rPr>
          <w:lang w:val="en-CA"/>
        </w:rPr>
        <w:t xml:space="preserve"> an employee in the Production Department</w:t>
      </w:r>
      <w:r w:rsidR="00D0614B" w:rsidRPr="0061115E">
        <w:rPr>
          <w:lang w:val="en-CA"/>
        </w:rPr>
        <w:t xml:space="preserve"> had said </w:t>
      </w:r>
      <w:r w:rsidR="00962B29" w:rsidRPr="0061115E">
        <w:rPr>
          <w:lang w:val="en-CA"/>
        </w:rPr>
        <w:t>about his decision to resign</w:t>
      </w:r>
      <w:r w:rsidR="00D0614B" w:rsidRPr="0061115E">
        <w:rPr>
          <w:lang w:val="en-CA"/>
        </w:rPr>
        <w:t>:</w:t>
      </w:r>
      <w:r w:rsidR="005628BD" w:rsidRPr="0061115E">
        <w:rPr>
          <w:lang w:val="en-CA"/>
        </w:rPr>
        <w:t xml:space="preserve"> “Sir, I really liked what was offered to me, but I wanted to define my career, my way. I had my own ideas, but </w:t>
      </w:r>
      <w:r w:rsidR="00C4430D" w:rsidRPr="0061115E">
        <w:rPr>
          <w:lang w:val="en-CA"/>
        </w:rPr>
        <w:t xml:space="preserve">I </w:t>
      </w:r>
      <w:r w:rsidR="005628BD" w:rsidRPr="0061115E">
        <w:rPr>
          <w:lang w:val="en-CA"/>
        </w:rPr>
        <w:t xml:space="preserve">have been put under burdensome targets here. I can’t just do </w:t>
      </w:r>
      <w:r w:rsidR="00C4430D" w:rsidRPr="0061115E">
        <w:rPr>
          <w:lang w:val="en-CA"/>
        </w:rPr>
        <w:t xml:space="preserve">the </w:t>
      </w:r>
      <w:r w:rsidR="005628BD" w:rsidRPr="0061115E">
        <w:rPr>
          <w:lang w:val="en-CA"/>
        </w:rPr>
        <w:t xml:space="preserve">mundane work of managing </w:t>
      </w:r>
      <w:r w:rsidR="00C4430D" w:rsidRPr="0061115E">
        <w:rPr>
          <w:lang w:val="en-CA"/>
        </w:rPr>
        <w:t>labour</w:t>
      </w:r>
      <w:r w:rsidR="005628BD" w:rsidRPr="0061115E">
        <w:rPr>
          <w:lang w:val="en-CA"/>
        </w:rPr>
        <w:t xml:space="preserve"> and operating machines.” </w:t>
      </w:r>
      <w:r w:rsidR="00D11687" w:rsidRPr="0061115E">
        <w:rPr>
          <w:lang w:val="en-CA"/>
        </w:rPr>
        <w:t>However, the</w:t>
      </w:r>
      <w:r w:rsidR="005628BD" w:rsidRPr="0061115E">
        <w:rPr>
          <w:lang w:val="en-CA"/>
        </w:rPr>
        <w:t xml:space="preserve"> employee’s ambivalent statement did not reflect his performance </w:t>
      </w:r>
      <w:r w:rsidR="0047391F" w:rsidRPr="0061115E">
        <w:rPr>
          <w:lang w:val="en-CA"/>
        </w:rPr>
        <w:t xml:space="preserve">at APL </w:t>
      </w:r>
      <w:r w:rsidR="005628BD" w:rsidRPr="0061115E">
        <w:rPr>
          <w:lang w:val="en-CA"/>
        </w:rPr>
        <w:t xml:space="preserve">over the last 12 months. His direct manager had rated him as an extraordinary performer who connected well with technicians and </w:t>
      </w:r>
      <w:r w:rsidR="00F81E58" w:rsidRPr="0061115E">
        <w:rPr>
          <w:lang w:val="en-CA"/>
        </w:rPr>
        <w:t xml:space="preserve">labourers, </w:t>
      </w:r>
      <w:r w:rsidR="005628BD" w:rsidRPr="0061115E">
        <w:rPr>
          <w:lang w:val="en-CA"/>
        </w:rPr>
        <w:t>handled shifts independently, and achieved all production targets. Chaubey contemplated whether the employee’s statement was an anomalous opinion or</w:t>
      </w:r>
      <w:r w:rsidR="0047391F" w:rsidRPr="0061115E">
        <w:rPr>
          <w:lang w:val="en-CA"/>
        </w:rPr>
        <w:t xml:space="preserve"> whether it was</w:t>
      </w:r>
      <w:r w:rsidR="005628BD" w:rsidRPr="0061115E">
        <w:rPr>
          <w:lang w:val="en-CA"/>
        </w:rPr>
        <w:t xml:space="preserve"> representative of the developing expectations of new employees.</w:t>
      </w:r>
    </w:p>
    <w:p w14:paraId="68063CFC" w14:textId="77777777" w:rsidR="0061115E" w:rsidRPr="0061115E" w:rsidRDefault="0061115E" w:rsidP="00236043">
      <w:pPr>
        <w:pStyle w:val="BodyTextMain"/>
        <w:rPr>
          <w:lang w:val="en-CA"/>
        </w:rPr>
      </w:pPr>
    </w:p>
    <w:p w14:paraId="1F92C485" w14:textId="77777777" w:rsidR="00C47689" w:rsidRPr="0061115E" w:rsidRDefault="005628BD" w:rsidP="00C47689">
      <w:pPr>
        <w:pStyle w:val="BodyTextMain"/>
        <w:rPr>
          <w:lang w:val="en-CA"/>
        </w:rPr>
      </w:pPr>
      <w:r w:rsidRPr="0061115E">
        <w:rPr>
          <w:lang w:val="en-CA"/>
        </w:rPr>
        <w:t xml:space="preserve">Did this employee’s statement indicate a potential problem in the </w:t>
      </w:r>
      <w:r w:rsidR="00B428A5" w:rsidRPr="0061115E">
        <w:rPr>
          <w:lang w:val="en-CA"/>
        </w:rPr>
        <w:t xml:space="preserve">human resources (HR) </w:t>
      </w:r>
      <w:r w:rsidRPr="0061115E">
        <w:rPr>
          <w:lang w:val="en-CA"/>
        </w:rPr>
        <w:t xml:space="preserve">practices that APL maintained? Chaubey wanted to identify reliable indicators </w:t>
      </w:r>
      <w:r w:rsidR="000B0EA1" w:rsidRPr="0061115E">
        <w:rPr>
          <w:lang w:val="en-CA"/>
        </w:rPr>
        <w:t xml:space="preserve">so that he could </w:t>
      </w:r>
      <w:r w:rsidRPr="0061115E">
        <w:rPr>
          <w:lang w:val="en-CA"/>
        </w:rPr>
        <w:t>tackle the situation</w:t>
      </w:r>
      <w:r w:rsidR="00F536C1" w:rsidRPr="0061115E">
        <w:rPr>
          <w:lang w:val="en-CA"/>
        </w:rPr>
        <w:t xml:space="preserve"> and</w:t>
      </w:r>
      <w:r w:rsidRPr="0061115E">
        <w:rPr>
          <w:lang w:val="en-CA"/>
        </w:rPr>
        <w:t xml:space="preserve"> prescribe an appropriate action plan to reduce </w:t>
      </w:r>
      <w:r w:rsidR="000B0EA1" w:rsidRPr="0061115E">
        <w:rPr>
          <w:lang w:val="en-CA"/>
        </w:rPr>
        <w:t xml:space="preserve">new-hire </w:t>
      </w:r>
      <w:r w:rsidRPr="0061115E">
        <w:rPr>
          <w:lang w:val="en-CA"/>
        </w:rPr>
        <w:t>turnover and</w:t>
      </w:r>
      <w:r w:rsidR="000B0EA1" w:rsidRPr="0061115E">
        <w:rPr>
          <w:lang w:val="en-CA"/>
        </w:rPr>
        <w:t xml:space="preserve"> thereby</w:t>
      </w:r>
      <w:r w:rsidRPr="0061115E">
        <w:rPr>
          <w:lang w:val="en-CA"/>
        </w:rPr>
        <w:t xml:space="preserve"> strengthen APL’s human capital. He wanted to justify his experience and presence at APL by delivering a suitable HR strategy.</w:t>
      </w:r>
      <w:r w:rsidR="0008237C" w:rsidRPr="0061115E">
        <w:rPr>
          <w:lang w:val="en-CA"/>
        </w:rPr>
        <w:t xml:space="preserve"> </w:t>
      </w:r>
    </w:p>
    <w:p w14:paraId="4AD94FAC" w14:textId="31C5F559" w:rsidR="00C47689" w:rsidRPr="0061115E" w:rsidRDefault="0008237C" w:rsidP="00C47689">
      <w:pPr>
        <w:pStyle w:val="BodyTextMain"/>
        <w:rPr>
          <w:lang w:val="en-CA"/>
        </w:rPr>
      </w:pPr>
      <w:r w:rsidRPr="0061115E">
        <w:rPr>
          <w:lang w:val="en-CA"/>
        </w:rPr>
        <w:lastRenderedPageBreak/>
        <w:t xml:space="preserve">At this moment, Chaubey </w:t>
      </w:r>
      <w:r w:rsidR="00D16BD5" w:rsidRPr="0061115E">
        <w:rPr>
          <w:lang w:val="en-CA"/>
        </w:rPr>
        <w:t xml:space="preserve">recollected </w:t>
      </w:r>
      <w:r w:rsidRPr="0061115E">
        <w:rPr>
          <w:lang w:val="en-CA"/>
        </w:rPr>
        <w:t xml:space="preserve">his rendezvous with </w:t>
      </w:r>
      <w:r w:rsidR="000F7B05" w:rsidRPr="0061115E">
        <w:rPr>
          <w:lang w:val="en-CA"/>
        </w:rPr>
        <w:t xml:space="preserve">Rishabh Sharma, </w:t>
      </w:r>
      <w:r w:rsidRPr="0061115E">
        <w:rPr>
          <w:lang w:val="en-CA"/>
        </w:rPr>
        <w:t>a recent master of business administration graduate, who had been with the plant for about a year. Since Sharma brought a fresh perspective</w:t>
      </w:r>
      <w:r w:rsidR="003A3B61" w:rsidRPr="0061115E">
        <w:rPr>
          <w:lang w:val="en-CA"/>
        </w:rPr>
        <w:t xml:space="preserve"> and </w:t>
      </w:r>
      <w:r w:rsidRPr="0061115E">
        <w:rPr>
          <w:lang w:val="en-CA"/>
        </w:rPr>
        <w:t xml:space="preserve">related well with his contemporary new employees. </w:t>
      </w:r>
      <w:r w:rsidR="00C47689" w:rsidRPr="0061115E">
        <w:rPr>
          <w:lang w:val="en-CA"/>
        </w:rPr>
        <w:t xml:space="preserve">Chaubey invited him to analyse reliable indicators so that he could tackle the situation and prescribe an appropriate action plan to reduce new-hire turnover and thereby strengthen APL’s human capital.   </w:t>
      </w:r>
    </w:p>
    <w:p w14:paraId="23EB4963" w14:textId="124DB9B0" w:rsidR="005628BD" w:rsidRPr="0061115E" w:rsidRDefault="005628BD" w:rsidP="00236043">
      <w:pPr>
        <w:pStyle w:val="BodyTextMain"/>
        <w:rPr>
          <w:lang w:val="en-CA"/>
        </w:rPr>
      </w:pPr>
    </w:p>
    <w:p w14:paraId="420C8F26" w14:textId="77777777" w:rsidR="00D368F7" w:rsidRPr="0061115E" w:rsidRDefault="00D368F7" w:rsidP="00236043">
      <w:pPr>
        <w:pStyle w:val="BodyTextMain"/>
        <w:rPr>
          <w:lang w:val="en-CA"/>
        </w:rPr>
      </w:pPr>
    </w:p>
    <w:p w14:paraId="3ADFAD9C" w14:textId="5F7BE67E" w:rsidR="005628BD" w:rsidRPr="0061115E" w:rsidRDefault="005628BD" w:rsidP="00236043">
      <w:pPr>
        <w:pStyle w:val="Casehead1"/>
        <w:rPr>
          <w:lang w:val="en-CA"/>
        </w:rPr>
      </w:pPr>
      <w:r w:rsidRPr="0061115E">
        <w:rPr>
          <w:lang w:val="en-CA"/>
        </w:rPr>
        <w:t xml:space="preserve">Company Description: </w:t>
      </w:r>
      <w:r w:rsidR="001F57C7" w:rsidRPr="0061115E">
        <w:rPr>
          <w:lang w:val="en-CA"/>
        </w:rPr>
        <w:t>APL</w:t>
      </w:r>
    </w:p>
    <w:p w14:paraId="32140CC5" w14:textId="77777777" w:rsidR="00236043" w:rsidRPr="0061115E" w:rsidRDefault="00236043" w:rsidP="00236043">
      <w:pPr>
        <w:pStyle w:val="BodyTextMain"/>
        <w:rPr>
          <w:sz w:val="20"/>
          <w:lang w:val="en-CA"/>
        </w:rPr>
      </w:pPr>
    </w:p>
    <w:p w14:paraId="463AA5E7" w14:textId="375FC89A" w:rsidR="005628BD" w:rsidRPr="0061115E" w:rsidRDefault="005628BD" w:rsidP="00236043">
      <w:pPr>
        <w:pStyle w:val="BodyTextMain"/>
        <w:rPr>
          <w:lang w:val="en-CA"/>
        </w:rPr>
      </w:pPr>
      <w:r w:rsidRPr="0061115E">
        <w:rPr>
          <w:color w:val="000000" w:themeColor="text1"/>
          <w:lang w:val="en-CA"/>
        </w:rPr>
        <w:t xml:space="preserve">APL </w:t>
      </w:r>
      <w:r w:rsidRPr="0061115E">
        <w:rPr>
          <w:lang w:val="en-CA"/>
        </w:rPr>
        <w:t xml:space="preserve">was the power distribution business subsidiary of the Indian conglomerate </w:t>
      </w:r>
      <w:r w:rsidR="00B6487D" w:rsidRPr="0061115E">
        <w:rPr>
          <w:lang w:val="en-CA"/>
        </w:rPr>
        <w:t xml:space="preserve">Apturja </w:t>
      </w:r>
      <w:r w:rsidRPr="0061115E">
        <w:rPr>
          <w:lang w:val="en-CA"/>
        </w:rPr>
        <w:t xml:space="preserve">Group. It operated under a </w:t>
      </w:r>
      <w:r w:rsidRPr="0061115E">
        <w:rPr>
          <w:color w:val="000000" w:themeColor="text1"/>
          <w:lang w:val="en-CA"/>
        </w:rPr>
        <w:t xml:space="preserve">unified board and management, </w:t>
      </w:r>
      <w:r w:rsidRPr="0061115E">
        <w:rPr>
          <w:lang w:val="en-CA"/>
        </w:rPr>
        <w:t>with its head office in New Delhi. With an aggregate capacity of 8</w:t>
      </w:r>
      <w:r w:rsidR="00983999" w:rsidRPr="0061115E">
        <w:rPr>
          <w:lang w:val="en-CA"/>
        </w:rPr>
        <w:t>,</w:t>
      </w:r>
      <w:r w:rsidRPr="0061115E">
        <w:rPr>
          <w:lang w:val="en-CA"/>
        </w:rPr>
        <w:t xml:space="preserve">880 </w:t>
      </w:r>
      <w:r w:rsidR="00E21A78" w:rsidRPr="0061115E">
        <w:rPr>
          <w:lang w:val="en-CA"/>
        </w:rPr>
        <w:t>megawatts (</w:t>
      </w:r>
      <w:r w:rsidRPr="0061115E">
        <w:rPr>
          <w:lang w:val="en-CA"/>
        </w:rPr>
        <w:t>MW</w:t>
      </w:r>
      <w:r w:rsidR="00E21A78" w:rsidRPr="0061115E">
        <w:rPr>
          <w:lang w:val="en-CA"/>
        </w:rPr>
        <w:t xml:space="preserve">), </w:t>
      </w:r>
      <w:r w:rsidRPr="0061115E">
        <w:rPr>
          <w:lang w:val="en-CA"/>
        </w:rPr>
        <w:t xml:space="preserve">the company </w:t>
      </w:r>
      <w:r w:rsidR="00381F3E" w:rsidRPr="0061115E">
        <w:rPr>
          <w:lang w:val="en-CA"/>
        </w:rPr>
        <w:t>had</w:t>
      </w:r>
      <w:r w:rsidR="00E21A78" w:rsidRPr="0061115E">
        <w:rPr>
          <w:lang w:val="en-CA"/>
        </w:rPr>
        <w:t xml:space="preserve"> a turnover of US$2.27 billion</w:t>
      </w:r>
      <w:r w:rsidR="00E21A78" w:rsidRPr="0061115E">
        <w:rPr>
          <w:rStyle w:val="FootnoteReference"/>
          <w:lang w:val="en-CA"/>
        </w:rPr>
        <w:footnoteReference w:id="1"/>
      </w:r>
      <w:r w:rsidR="00E21A78" w:rsidRPr="0061115E">
        <w:rPr>
          <w:lang w:val="en-CA"/>
        </w:rPr>
        <w:t xml:space="preserve"> in </w:t>
      </w:r>
      <w:r w:rsidR="00025F7F" w:rsidRPr="0061115E">
        <w:rPr>
          <w:lang w:val="en-CA"/>
        </w:rPr>
        <w:t xml:space="preserve">FY </w:t>
      </w:r>
      <w:r w:rsidR="007E6E76" w:rsidRPr="0061115E">
        <w:rPr>
          <w:lang w:val="en-CA"/>
        </w:rPr>
        <w:t>2019</w:t>
      </w:r>
      <w:r w:rsidR="00927AC9" w:rsidRPr="0061115E">
        <w:rPr>
          <w:lang w:val="en-CA"/>
        </w:rPr>
        <w:t xml:space="preserve"> (see Exhibit 2)</w:t>
      </w:r>
      <w:r w:rsidRPr="0061115E">
        <w:rPr>
          <w:lang w:val="en-CA"/>
        </w:rPr>
        <w:t>.</w:t>
      </w:r>
    </w:p>
    <w:p w14:paraId="52FB5B92" w14:textId="77777777" w:rsidR="00236043" w:rsidRPr="0061115E" w:rsidRDefault="00236043" w:rsidP="00236043">
      <w:pPr>
        <w:pStyle w:val="BodyTextMain"/>
        <w:rPr>
          <w:color w:val="000000" w:themeColor="text1"/>
          <w:sz w:val="20"/>
          <w:lang w:val="en-CA"/>
        </w:rPr>
      </w:pPr>
    </w:p>
    <w:p w14:paraId="0FF4C2EA" w14:textId="69ED5FEE" w:rsidR="005628BD" w:rsidRPr="0061115E" w:rsidRDefault="34B8D314" w:rsidP="00236043">
      <w:pPr>
        <w:pStyle w:val="BodyTextMain"/>
        <w:rPr>
          <w:lang w:val="en-CA"/>
        </w:rPr>
      </w:pPr>
      <w:r w:rsidRPr="0061115E">
        <w:rPr>
          <w:color w:val="000000" w:themeColor="text1"/>
          <w:lang w:val="en-CA"/>
        </w:rPr>
        <w:t>As of 2020, APL had five functional power plants. Although these were distributed across the country</w:t>
      </w:r>
      <w:r w:rsidR="00D804F2" w:rsidRPr="0061115E">
        <w:rPr>
          <w:color w:val="000000" w:themeColor="text1"/>
          <w:lang w:val="en-CA"/>
        </w:rPr>
        <w:t>,</w:t>
      </w:r>
      <w:r w:rsidRPr="0061115E">
        <w:rPr>
          <w:color w:val="000000" w:themeColor="text1"/>
          <w:lang w:val="en-CA"/>
        </w:rPr>
        <w:t xml:space="preserve"> they followed</w:t>
      </w:r>
      <w:r w:rsidR="001E559C" w:rsidRPr="0061115E">
        <w:rPr>
          <w:color w:val="000000" w:themeColor="text1"/>
          <w:lang w:val="en-CA"/>
        </w:rPr>
        <w:t xml:space="preserve"> standard</w:t>
      </w:r>
      <w:r w:rsidRPr="0061115E">
        <w:rPr>
          <w:color w:val="000000" w:themeColor="text1"/>
          <w:lang w:val="en-CA"/>
        </w:rPr>
        <w:t xml:space="preserve"> </w:t>
      </w:r>
      <w:r w:rsidR="00056811" w:rsidRPr="0061115E">
        <w:rPr>
          <w:color w:val="000000" w:themeColor="text1"/>
          <w:lang w:val="en-CA"/>
        </w:rPr>
        <w:t>operating</w:t>
      </w:r>
      <w:r w:rsidRPr="0061115E">
        <w:rPr>
          <w:color w:val="000000" w:themeColor="text1"/>
          <w:lang w:val="en-CA"/>
        </w:rPr>
        <w:t xml:space="preserve"> procedures</w:t>
      </w:r>
      <w:r w:rsidR="00D804F2" w:rsidRPr="0061115E">
        <w:rPr>
          <w:color w:val="000000" w:themeColor="text1"/>
          <w:lang w:val="en-CA"/>
        </w:rPr>
        <w:t xml:space="preserve">. </w:t>
      </w:r>
      <w:r w:rsidRPr="0061115E">
        <w:rPr>
          <w:lang w:val="en-CA"/>
        </w:rPr>
        <w:t>The company operated six 250 MW supercritical boilers and five 330 MW subcritical boilers at Korba, Chhattisgarh; six 330 MW units at Mundra, Gujarat; six 250 MW units at Raigarh, Chhattisgarh; five 250 MW units at Singrauli, Madhya Pradesh</w:t>
      </w:r>
      <w:r w:rsidR="00D804F2" w:rsidRPr="0061115E">
        <w:rPr>
          <w:lang w:val="en-CA"/>
        </w:rPr>
        <w:t>;</w:t>
      </w:r>
      <w:r w:rsidRPr="0061115E">
        <w:rPr>
          <w:lang w:val="en-CA"/>
        </w:rPr>
        <w:t xml:space="preserve"> and five 200 MW units at Kawai, Rajasthan</w:t>
      </w:r>
      <w:r w:rsidR="00A720FF" w:rsidRPr="0061115E">
        <w:rPr>
          <w:lang w:val="en-CA"/>
        </w:rPr>
        <w:t xml:space="preserve"> (see Exhibit </w:t>
      </w:r>
      <w:r w:rsidR="00385B3A" w:rsidRPr="0061115E">
        <w:rPr>
          <w:lang w:val="en-CA"/>
        </w:rPr>
        <w:t>2</w:t>
      </w:r>
      <w:r w:rsidR="00A720FF" w:rsidRPr="0061115E">
        <w:rPr>
          <w:lang w:val="en-CA"/>
        </w:rPr>
        <w:t>)</w:t>
      </w:r>
      <w:r w:rsidRPr="0061115E">
        <w:rPr>
          <w:lang w:val="en-CA"/>
        </w:rPr>
        <w:t>.</w:t>
      </w:r>
    </w:p>
    <w:p w14:paraId="3BE63A70" w14:textId="77777777" w:rsidR="00236043" w:rsidRPr="0061115E" w:rsidRDefault="00236043" w:rsidP="00236043">
      <w:pPr>
        <w:pStyle w:val="BodyTextMain"/>
        <w:rPr>
          <w:sz w:val="20"/>
          <w:lang w:val="en-CA"/>
        </w:rPr>
      </w:pPr>
    </w:p>
    <w:p w14:paraId="0A5CB3B5" w14:textId="6FF0999C" w:rsidR="005628BD" w:rsidRPr="0061115E" w:rsidRDefault="00265A64" w:rsidP="00236043">
      <w:pPr>
        <w:pStyle w:val="BodyTextMain"/>
        <w:rPr>
          <w:spacing w:val="-4"/>
          <w:lang w:val="en-CA"/>
        </w:rPr>
      </w:pPr>
      <w:r w:rsidRPr="0061115E">
        <w:rPr>
          <w:spacing w:val="-4"/>
          <w:lang w:val="en-CA"/>
        </w:rPr>
        <w:t xml:space="preserve">India’s </w:t>
      </w:r>
      <w:r w:rsidR="005628BD" w:rsidRPr="0061115E">
        <w:rPr>
          <w:spacing w:val="-4"/>
          <w:lang w:val="en-CA"/>
        </w:rPr>
        <w:t xml:space="preserve">electricity sector </w:t>
      </w:r>
      <w:r w:rsidR="00766FCE" w:rsidRPr="0061115E">
        <w:rPr>
          <w:spacing w:val="-4"/>
          <w:lang w:val="en-CA"/>
        </w:rPr>
        <w:t>was</w:t>
      </w:r>
      <w:r w:rsidR="005628BD" w:rsidRPr="0061115E">
        <w:rPr>
          <w:spacing w:val="-4"/>
          <w:lang w:val="en-CA"/>
        </w:rPr>
        <w:t xml:space="preserve"> highly regulated</w:t>
      </w:r>
      <w:r w:rsidR="007478E5" w:rsidRPr="0061115E">
        <w:rPr>
          <w:spacing w:val="-4"/>
          <w:lang w:val="en-CA"/>
        </w:rPr>
        <w:t>;</w:t>
      </w:r>
      <w:r w:rsidR="00766FCE" w:rsidRPr="0061115E">
        <w:rPr>
          <w:spacing w:val="-4"/>
          <w:lang w:val="en-CA"/>
        </w:rPr>
        <w:t xml:space="preserve"> </w:t>
      </w:r>
      <w:r w:rsidR="007478E5" w:rsidRPr="0061115E">
        <w:rPr>
          <w:spacing w:val="-4"/>
          <w:lang w:val="en-CA"/>
        </w:rPr>
        <w:t>it</w:t>
      </w:r>
      <w:r w:rsidR="00766FCE" w:rsidRPr="0061115E">
        <w:rPr>
          <w:spacing w:val="-4"/>
          <w:lang w:val="en-CA"/>
        </w:rPr>
        <w:t xml:space="preserve"> was </w:t>
      </w:r>
      <w:r w:rsidR="005628BD" w:rsidRPr="0061115E">
        <w:rPr>
          <w:spacing w:val="-4"/>
          <w:lang w:val="en-CA"/>
        </w:rPr>
        <w:t xml:space="preserve">monitored by the Central Electricity Regulatory Commission (CERC) to ensure </w:t>
      </w:r>
      <w:r w:rsidR="00766FCE" w:rsidRPr="0061115E">
        <w:rPr>
          <w:spacing w:val="-4"/>
          <w:lang w:val="en-CA"/>
        </w:rPr>
        <w:t xml:space="preserve">that </w:t>
      </w:r>
      <w:r w:rsidR="005628BD" w:rsidRPr="0061115E">
        <w:rPr>
          <w:spacing w:val="-4"/>
          <w:lang w:val="en-CA"/>
        </w:rPr>
        <w:t xml:space="preserve">no profiteering </w:t>
      </w:r>
      <w:r w:rsidR="00766FCE" w:rsidRPr="0061115E">
        <w:rPr>
          <w:spacing w:val="-4"/>
          <w:lang w:val="en-CA"/>
        </w:rPr>
        <w:t>occurred</w:t>
      </w:r>
      <w:r w:rsidR="005628BD" w:rsidRPr="0061115E">
        <w:rPr>
          <w:spacing w:val="-4"/>
          <w:lang w:val="en-CA"/>
        </w:rPr>
        <w:t xml:space="preserve">. Power </w:t>
      </w:r>
      <w:r w:rsidR="00A36AD4" w:rsidRPr="0061115E">
        <w:rPr>
          <w:spacing w:val="-4"/>
          <w:lang w:val="en-CA"/>
        </w:rPr>
        <w:t xml:space="preserve">purchase agreements </w:t>
      </w:r>
      <w:r w:rsidR="00396E5F" w:rsidRPr="0061115E">
        <w:rPr>
          <w:spacing w:val="-4"/>
          <w:lang w:val="en-CA"/>
        </w:rPr>
        <w:t xml:space="preserve">(PPAs) </w:t>
      </w:r>
      <w:r w:rsidR="00A36AD4" w:rsidRPr="0061115E">
        <w:rPr>
          <w:spacing w:val="-4"/>
          <w:lang w:val="en-CA"/>
        </w:rPr>
        <w:t xml:space="preserve">made up the majority of </w:t>
      </w:r>
      <w:r w:rsidR="005628BD" w:rsidRPr="0061115E">
        <w:rPr>
          <w:spacing w:val="-4"/>
          <w:lang w:val="en-CA"/>
        </w:rPr>
        <w:t xml:space="preserve">electricity </w:t>
      </w:r>
      <w:r w:rsidR="00A36AD4" w:rsidRPr="0061115E">
        <w:rPr>
          <w:spacing w:val="-4"/>
          <w:lang w:val="en-CA"/>
        </w:rPr>
        <w:t>sales in</w:t>
      </w:r>
      <w:r w:rsidR="005628BD" w:rsidRPr="0061115E">
        <w:rPr>
          <w:spacing w:val="-4"/>
          <w:lang w:val="en-CA"/>
        </w:rPr>
        <w:t xml:space="preserve"> the market.</w:t>
      </w:r>
      <w:r w:rsidR="0077245D" w:rsidRPr="0061115E">
        <w:rPr>
          <w:rStyle w:val="FootnoteReference"/>
          <w:spacing w:val="-4"/>
          <w:lang w:val="en-CA"/>
        </w:rPr>
        <w:footnoteReference w:id="2"/>
      </w:r>
      <w:r w:rsidR="005628BD" w:rsidRPr="0061115E">
        <w:rPr>
          <w:spacing w:val="-4"/>
          <w:lang w:val="en-CA"/>
        </w:rPr>
        <w:t xml:space="preserve"> India </w:t>
      </w:r>
      <w:r w:rsidR="00747C47" w:rsidRPr="0061115E">
        <w:rPr>
          <w:spacing w:val="-4"/>
          <w:lang w:val="en-CA"/>
        </w:rPr>
        <w:t xml:space="preserve">had </w:t>
      </w:r>
      <w:r w:rsidR="005628BD" w:rsidRPr="0061115E">
        <w:rPr>
          <w:spacing w:val="-4"/>
          <w:lang w:val="en-CA"/>
        </w:rPr>
        <w:t>a single national grid</w:t>
      </w:r>
      <w:r w:rsidR="009C2A6D" w:rsidRPr="0061115E">
        <w:rPr>
          <w:spacing w:val="-4"/>
          <w:lang w:val="en-CA"/>
        </w:rPr>
        <w:t>,</w:t>
      </w:r>
      <w:r w:rsidR="005628BD" w:rsidRPr="0061115E">
        <w:rPr>
          <w:spacing w:val="-4"/>
          <w:lang w:val="en-CA"/>
        </w:rPr>
        <w:t xml:space="preserve"> by which power </w:t>
      </w:r>
      <w:r w:rsidR="0040441A" w:rsidRPr="0061115E">
        <w:rPr>
          <w:spacing w:val="-4"/>
          <w:lang w:val="en-CA"/>
        </w:rPr>
        <w:t xml:space="preserve">could </w:t>
      </w:r>
      <w:r w:rsidR="005628BD" w:rsidRPr="0061115E">
        <w:rPr>
          <w:spacing w:val="-4"/>
          <w:lang w:val="en-CA"/>
        </w:rPr>
        <w:t xml:space="preserve">be transferred from one region to another according to demand and generation. </w:t>
      </w:r>
      <w:r w:rsidR="00C92FE9" w:rsidRPr="0061115E">
        <w:rPr>
          <w:spacing w:val="-4"/>
          <w:lang w:val="en-CA"/>
        </w:rPr>
        <w:t>APL</w:t>
      </w:r>
      <w:r w:rsidR="005628BD" w:rsidRPr="0061115E">
        <w:rPr>
          <w:spacing w:val="-4"/>
          <w:lang w:val="en-CA"/>
        </w:rPr>
        <w:t xml:space="preserve"> had </w:t>
      </w:r>
      <w:r w:rsidR="0020306D" w:rsidRPr="0061115E">
        <w:rPr>
          <w:spacing w:val="-4"/>
          <w:lang w:val="en-CA"/>
        </w:rPr>
        <w:t>long-term</w:t>
      </w:r>
      <w:r w:rsidR="005628BD" w:rsidRPr="0061115E">
        <w:rPr>
          <w:spacing w:val="-4"/>
          <w:lang w:val="en-CA"/>
        </w:rPr>
        <w:t xml:space="preserve"> PPAs with the </w:t>
      </w:r>
      <w:r w:rsidR="00FC6215" w:rsidRPr="0061115E">
        <w:rPr>
          <w:spacing w:val="-4"/>
          <w:lang w:val="en-CA"/>
        </w:rPr>
        <w:t xml:space="preserve">state </w:t>
      </w:r>
      <w:r w:rsidR="005628BD" w:rsidRPr="0061115E">
        <w:rPr>
          <w:spacing w:val="-4"/>
          <w:lang w:val="en-CA"/>
        </w:rPr>
        <w:t>governments of Gujarat, Chhattisgarh, Rajasthan, Madhya Pradesh, and Odisha</w:t>
      </w:r>
      <w:r w:rsidR="00DB182A" w:rsidRPr="0061115E">
        <w:rPr>
          <w:spacing w:val="-4"/>
          <w:lang w:val="en-CA"/>
        </w:rPr>
        <w:t>, covering about 8,500 MW</w:t>
      </w:r>
      <w:r w:rsidR="005628BD" w:rsidRPr="0061115E">
        <w:rPr>
          <w:spacing w:val="-4"/>
          <w:lang w:val="en-CA"/>
        </w:rPr>
        <w:t>.</w:t>
      </w:r>
    </w:p>
    <w:p w14:paraId="2166D224" w14:textId="77777777" w:rsidR="00236043" w:rsidRPr="0061115E" w:rsidRDefault="00236043" w:rsidP="00236043">
      <w:pPr>
        <w:pStyle w:val="BodyTextMain"/>
        <w:rPr>
          <w:sz w:val="20"/>
          <w:lang w:val="en-CA"/>
        </w:rPr>
      </w:pPr>
    </w:p>
    <w:p w14:paraId="00986914" w14:textId="55595D97" w:rsidR="005628BD" w:rsidRPr="0061115E" w:rsidRDefault="34B8D314" w:rsidP="00236043">
      <w:pPr>
        <w:pStyle w:val="BodyTextMain"/>
        <w:rPr>
          <w:lang w:val="en-CA"/>
        </w:rPr>
      </w:pPr>
      <w:r w:rsidRPr="0061115E">
        <w:rPr>
          <w:lang w:val="en-CA"/>
        </w:rPr>
        <w:t>Generation tariffs played a pivotal role in scouting for potential buyers to sign PPAs</w:t>
      </w:r>
      <w:r w:rsidR="0099090D" w:rsidRPr="0061115E">
        <w:rPr>
          <w:lang w:val="en-CA"/>
        </w:rPr>
        <w:t xml:space="preserve">. </w:t>
      </w:r>
      <w:r w:rsidRPr="0061115E">
        <w:rPr>
          <w:lang w:val="en-CA"/>
        </w:rPr>
        <w:t>The various costs to be recovered through tariffs included capacity costs (and related capital costs); interest on equity, debt, and working capital; depreciation; operational and maintenance expenses; and energy charges consisting of fuel charges.</w:t>
      </w:r>
      <w:r w:rsidR="003129BE" w:rsidRPr="0061115E">
        <w:rPr>
          <w:lang w:val="en-CA"/>
        </w:rPr>
        <w:t xml:space="preserve"> </w:t>
      </w:r>
      <w:r w:rsidRPr="0061115E">
        <w:rPr>
          <w:lang w:val="en-CA"/>
        </w:rPr>
        <w:t>Return on equity was fixed at 15.5</w:t>
      </w:r>
      <w:r w:rsidR="0099090D" w:rsidRPr="0061115E">
        <w:rPr>
          <w:lang w:val="en-CA"/>
        </w:rPr>
        <w:t xml:space="preserve"> per cent</w:t>
      </w:r>
      <w:r w:rsidRPr="0061115E">
        <w:rPr>
          <w:lang w:val="en-CA"/>
        </w:rPr>
        <w:t xml:space="preserve"> by CERC regulations, creating competition </w:t>
      </w:r>
      <w:r w:rsidR="001477F9" w:rsidRPr="0061115E">
        <w:rPr>
          <w:lang w:val="en-CA"/>
        </w:rPr>
        <w:t xml:space="preserve">among </w:t>
      </w:r>
      <w:r w:rsidRPr="0061115E">
        <w:rPr>
          <w:lang w:val="en-CA"/>
        </w:rPr>
        <w:t>generators</w:t>
      </w:r>
      <w:r w:rsidR="004C586A" w:rsidRPr="0061115E">
        <w:rPr>
          <w:lang w:val="en-CA"/>
        </w:rPr>
        <w:t xml:space="preserve"> </w:t>
      </w:r>
      <w:r w:rsidRPr="0061115E">
        <w:rPr>
          <w:lang w:val="en-CA"/>
        </w:rPr>
        <w:t>to cut their respective generation costs</w:t>
      </w:r>
      <w:r w:rsidR="00865BB0" w:rsidRPr="0061115E">
        <w:rPr>
          <w:lang w:val="en-CA"/>
        </w:rPr>
        <w:t xml:space="preserve"> and</w:t>
      </w:r>
      <w:r w:rsidR="009F3957" w:rsidRPr="0061115E">
        <w:rPr>
          <w:lang w:val="en-CA"/>
        </w:rPr>
        <w:t xml:space="preserve"> hence </w:t>
      </w:r>
      <w:r w:rsidR="00865BB0" w:rsidRPr="0061115E">
        <w:rPr>
          <w:lang w:val="en-CA"/>
        </w:rPr>
        <w:t xml:space="preserve">reduce </w:t>
      </w:r>
      <w:r w:rsidR="009F3957" w:rsidRPr="0061115E">
        <w:rPr>
          <w:lang w:val="en-CA"/>
        </w:rPr>
        <w:t xml:space="preserve">their </w:t>
      </w:r>
      <w:r w:rsidR="00865BB0" w:rsidRPr="0061115E">
        <w:rPr>
          <w:lang w:val="en-CA"/>
        </w:rPr>
        <w:t>tariffs</w:t>
      </w:r>
      <w:r w:rsidRPr="0061115E">
        <w:rPr>
          <w:lang w:val="en-CA"/>
        </w:rPr>
        <w:t>.</w:t>
      </w:r>
    </w:p>
    <w:p w14:paraId="7203C801" w14:textId="77777777" w:rsidR="00236043" w:rsidRPr="0061115E" w:rsidRDefault="00236043" w:rsidP="00236043">
      <w:pPr>
        <w:pStyle w:val="BodyTextMain"/>
        <w:rPr>
          <w:sz w:val="20"/>
          <w:lang w:val="en-CA"/>
        </w:rPr>
      </w:pPr>
    </w:p>
    <w:p w14:paraId="161CC0DC" w14:textId="77777777" w:rsidR="00236043" w:rsidRPr="0061115E" w:rsidRDefault="00236043" w:rsidP="00236043">
      <w:pPr>
        <w:pStyle w:val="BodyTextMain"/>
        <w:rPr>
          <w:sz w:val="20"/>
          <w:lang w:val="en-CA"/>
        </w:rPr>
      </w:pPr>
    </w:p>
    <w:p w14:paraId="681F658D" w14:textId="6068554D" w:rsidR="005628BD" w:rsidRPr="0061115E" w:rsidRDefault="0012628F" w:rsidP="00236043">
      <w:pPr>
        <w:pStyle w:val="Casehead1"/>
        <w:rPr>
          <w:lang w:val="en-CA"/>
        </w:rPr>
      </w:pPr>
      <w:r w:rsidRPr="0061115E">
        <w:rPr>
          <w:lang w:val="en-CA"/>
        </w:rPr>
        <w:t xml:space="preserve">Organizational </w:t>
      </w:r>
      <w:r w:rsidR="005628BD" w:rsidRPr="0061115E">
        <w:rPr>
          <w:lang w:val="en-CA"/>
        </w:rPr>
        <w:t>Values</w:t>
      </w:r>
    </w:p>
    <w:p w14:paraId="1787C3D1" w14:textId="77777777" w:rsidR="00236043" w:rsidRPr="0061115E" w:rsidRDefault="00236043" w:rsidP="00236043">
      <w:pPr>
        <w:pStyle w:val="BodyTextMain"/>
        <w:rPr>
          <w:sz w:val="20"/>
          <w:lang w:val="en-CA"/>
        </w:rPr>
      </w:pPr>
    </w:p>
    <w:p w14:paraId="4E6FEA7D" w14:textId="0D41BB92" w:rsidR="005628BD" w:rsidRPr="0061115E" w:rsidRDefault="3AE70F20" w:rsidP="00236043">
      <w:pPr>
        <w:pStyle w:val="BodyTextMain"/>
        <w:rPr>
          <w:lang w:val="en-CA"/>
        </w:rPr>
      </w:pPr>
      <w:r w:rsidRPr="0061115E">
        <w:rPr>
          <w:lang w:val="en-CA"/>
        </w:rPr>
        <w:t>APL’s corporate goal was to create lasting value for its stakeholders</w:t>
      </w:r>
      <w:r w:rsidR="006E5B28" w:rsidRPr="0061115E">
        <w:rPr>
          <w:lang w:val="en-CA"/>
        </w:rPr>
        <w:t>—</w:t>
      </w:r>
      <w:r w:rsidRPr="0061115E">
        <w:rPr>
          <w:lang w:val="en-CA"/>
        </w:rPr>
        <w:t>including its power consumers, employees, and shareholders</w:t>
      </w:r>
      <w:r w:rsidR="00603724" w:rsidRPr="0061115E">
        <w:rPr>
          <w:lang w:val="en-CA"/>
        </w:rPr>
        <w:t>,</w:t>
      </w:r>
      <w:r w:rsidRPr="0061115E">
        <w:rPr>
          <w:lang w:val="en-CA"/>
        </w:rPr>
        <w:t xml:space="preserve"> through processes that focused on consistent generation and delivery of regular power to national customers</w:t>
      </w:r>
      <w:r w:rsidR="006C305B" w:rsidRPr="0061115E">
        <w:rPr>
          <w:lang w:val="en-CA"/>
        </w:rPr>
        <w:t>,</w:t>
      </w:r>
      <w:r w:rsidRPr="0061115E">
        <w:rPr>
          <w:lang w:val="en-CA"/>
        </w:rPr>
        <w:t xml:space="preserve"> including </w:t>
      </w:r>
      <w:r w:rsidR="001E559C" w:rsidRPr="0061115E">
        <w:rPr>
          <w:lang w:val="en-CA"/>
        </w:rPr>
        <w:t xml:space="preserve">power </w:t>
      </w:r>
      <w:r w:rsidR="006C305B" w:rsidRPr="0061115E">
        <w:rPr>
          <w:lang w:val="en-CA"/>
        </w:rPr>
        <w:t xml:space="preserve">distribution companies </w:t>
      </w:r>
      <w:r w:rsidRPr="0061115E">
        <w:rPr>
          <w:lang w:val="en-CA"/>
        </w:rPr>
        <w:t>and open access consumers</w:t>
      </w:r>
      <w:r w:rsidR="00D73EFD" w:rsidRPr="0061115E">
        <w:rPr>
          <w:lang w:val="en-CA"/>
        </w:rPr>
        <w:t>.</w:t>
      </w:r>
      <w:r w:rsidR="00287812" w:rsidRPr="0061115E">
        <w:rPr>
          <w:rStyle w:val="FootnoteReference"/>
          <w:lang w:val="en-CA"/>
        </w:rPr>
        <w:footnoteReference w:id="3"/>
      </w:r>
      <w:r w:rsidRPr="0061115E">
        <w:rPr>
          <w:lang w:val="en-CA"/>
        </w:rPr>
        <w:t xml:space="preserve"> APL’s strength </w:t>
      </w:r>
      <w:r w:rsidR="0029497C" w:rsidRPr="0061115E">
        <w:rPr>
          <w:lang w:val="en-CA"/>
        </w:rPr>
        <w:t>rested</w:t>
      </w:r>
      <w:r w:rsidR="006F1F41" w:rsidRPr="0061115E">
        <w:rPr>
          <w:lang w:val="en-CA"/>
        </w:rPr>
        <w:t xml:space="preserve"> </w:t>
      </w:r>
      <w:r w:rsidRPr="0061115E">
        <w:rPr>
          <w:lang w:val="en-CA"/>
        </w:rPr>
        <w:t xml:space="preserve">in </w:t>
      </w:r>
      <w:r w:rsidR="006F1F41" w:rsidRPr="0061115E">
        <w:rPr>
          <w:lang w:val="en-CA"/>
        </w:rPr>
        <w:t>its</w:t>
      </w:r>
      <w:r w:rsidRPr="0061115E">
        <w:rPr>
          <w:lang w:val="en-CA"/>
        </w:rPr>
        <w:t xml:space="preserve"> unwavering focus on optimal production, </w:t>
      </w:r>
      <w:r w:rsidR="00056811" w:rsidRPr="0061115E">
        <w:rPr>
          <w:lang w:val="en-CA"/>
        </w:rPr>
        <w:t xml:space="preserve">its </w:t>
      </w:r>
      <w:r w:rsidRPr="0061115E">
        <w:rPr>
          <w:lang w:val="en-CA"/>
        </w:rPr>
        <w:t>seamless training</w:t>
      </w:r>
      <w:r w:rsidR="00325F28" w:rsidRPr="0061115E">
        <w:rPr>
          <w:lang w:val="en-CA"/>
        </w:rPr>
        <w:t xml:space="preserve"> </w:t>
      </w:r>
      <w:r w:rsidRPr="0061115E">
        <w:rPr>
          <w:lang w:val="en-CA"/>
        </w:rPr>
        <w:t xml:space="preserve">resources, and </w:t>
      </w:r>
      <w:r w:rsidR="00056811" w:rsidRPr="0061115E">
        <w:rPr>
          <w:lang w:val="en-CA"/>
        </w:rPr>
        <w:t>the continuous support that employees received from senior management</w:t>
      </w:r>
      <w:r w:rsidRPr="0061115E">
        <w:rPr>
          <w:lang w:val="en-CA"/>
        </w:rPr>
        <w:t xml:space="preserve">. </w:t>
      </w:r>
    </w:p>
    <w:p w14:paraId="368394C7" w14:textId="77777777" w:rsidR="00236043" w:rsidRPr="0061115E" w:rsidRDefault="00236043" w:rsidP="00236043">
      <w:pPr>
        <w:pStyle w:val="BodyTextMain"/>
        <w:rPr>
          <w:sz w:val="20"/>
          <w:lang w:val="en-CA"/>
        </w:rPr>
      </w:pPr>
    </w:p>
    <w:p w14:paraId="70EF6830" w14:textId="0F39BAE4" w:rsidR="005628BD" w:rsidRPr="0061115E" w:rsidRDefault="005628BD" w:rsidP="00236043">
      <w:pPr>
        <w:pStyle w:val="BodyTextMain"/>
        <w:rPr>
          <w:spacing w:val="-4"/>
          <w:lang w:val="en-CA"/>
        </w:rPr>
      </w:pPr>
      <w:r w:rsidRPr="0061115E">
        <w:rPr>
          <w:spacing w:val="-4"/>
          <w:lang w:val="en-CA"/>
        </w:rPr>
        <w:t>APL had maintained an integrated approach</w:t>
      </w:r>
      <w:r w:rsidR="009C5601" w:rsidRPr="0061115E">
        <w:rPr>
          <w:spacing w:val="-4"/>
          <w:lang w:val="en-CA"/>
        </w:rPr>
        <w:t xml:space="preserve"> since its inception</w:t>
      </w:r>
      <w:r w:rsidRPr="0061115E">
        <w:rPr>
          <w:spacing w:val="-4"/>
          <w:lang w:val="en-CA"/>
        </w:rPr>
        <w:t xml:space="preserve">. </w:t>
      </w:r>
      <w:r w:rsidR="0083450F" w:rsidRPr="0061115E">
        <w:rPr>
          <w:spacing w:val="-4"/>
          <w:lang w:val="en-CA"/>
        </w:rPr>
        <w:t xml:space="preserve">The </w:t>
      </w:r>
      <w:r w:rsidR="001A7F8D" w:rsidRPr="0061115E">
        <w:rPr>
          <w:spacing w:val="-4"/>
          <w:lang w:val="en-CA"/>
        </w:rPr>
        <w:t>organization</w:t>
      </w:r>
      <w:r w:rsidR="0083450F" w:rsidRPr="0061115E">
        <w:rPr>
          <w:spacing w:val="-4"/>
          <w:lang w:val="en-CA"/>
        </w:rPr>
        <w:t xml:space="preserve"> </w:t>
      </w:r>
      <w:r w:rsidRPr="0061115E">
        <w:rPr>
          <w:spacing w:val="-4"/>
          <w:lang w:val="en-CA"/>
        </w:rPr>
        <w:t xml:space="preserve">focused on optimizing operations, with reliable power generation at the core of </w:t>
      </w:r>
      <w:r w:rsidR="005609D5" w:rsidRPr="0061115E">
        <w:rPr>
          <w:spacing w:val="-4"/>
          <w:lang w:val="en-CA"/>
        </w:rPr>
        <w:t>APL’s</w:t>
      </w:r>
      <w:r w:rsidRPr="0061115E">
        <w:rPr>
          <w:spacing w:val="-4"/>
          <w:lang w:val="en-CA"/>
        </w:rPr>
        <w:t xml:space="preserve"> performance. Its Production </w:t>
      </w:r>
      <w:r w:rsidR="00161105" w:rsidRPr="0061115E">
        <w:rPr>
          <w:spacing w:val="-4"/>
          <w:lang w:val="en-CA"/>
        </w:rPr>
        <w:t xml:space="preserve">Department </w:t>
      </w:r>
      <w:r w:rsidRPr="0061115E">
        <w:rPr>
          <w:spacing w:val="-4"/>
          <w:lang w:val="en-CA"/>
        </w:rPr>
        <w:t>attracted the maximum number of bonuses and recognition</w:t>
      </w:r>
      <w:r w:rsidR="00602E21" w:rsidRPr="0061115E">
        <w:rPr>
          <w:spacing w:val="-4"/>
          <w:lang w:val="en-CA"/>
        </w:rPr>
        <w:t xml:space="preserve"> across all the departments</w:t>
      </w:r>
      <w:r w:rsidRPr="0061115E">
        <w:rPr>
          <w:spacing w:val="-4"/>
          <w:lang w:val="en-CA"/>
        </w:rPr>
        <w:t>, further incentivizing employees to achieve production targets.</w:t>
      </w:r>
    </w:p>
    <w:p w14:paraId="2B7CE7BC" w14:textId="77777777" w:rsidR="00236043" w:rsidRPr="0061115E" w:rsidRDefault="00236043" w:rsidP="00236043">
      <w:pPr>
        <w:pStyle w:val="BodyTextMain"/>
        <w:rPr>
          <w:sz w:val="20"/>
          <w:lang w:val="en-CA"/>
        </w:rPr>
      </w:pPr>
    </w:p>
    <w:p w14:paraId="71D2D928" w14:textId="002479CF" w:rsidR="005628BD" w:rsidRDefault="3AE70F20" w:rsidP="00236043">
      <w:pPr>
        <w:pStyle w:val="BodyTextMain"/>
        <w:rPr>
          <w:lang w:val="en-CA"/>
        </w:rPr>
      </w:pPr>
      <w:r w:rsidRPr="0061115E">
        <w:rPr>
          <w:lang w:val="en-CA"/>
        </w:rPr>
        <w:lastRenderedPageBreak/>
        <w:t xml:space="preserve">The organization had evolved rapidly since its inception in 1968. As per </w:t>
      </w:r>
      <w:r w:rsidR="009269F4" w:rsidRPr="0061115E">
        <w:rPr>
          <w:lang w:val="en-CA"/>
        </w:rPr>
        <w:t xml:space="preserve">CERC regulations, </w:t>
      </w:r>
      <w:r w:rsidRPr="0061115E">
        <w:rPr>
          <w:lang w:val="en-CA"/>
        </w:rPr>
        <w:t xml:space="preserve">power dispatch in the transmission grid was scheduled </w:t>
      </w:r>
      <w:r w:rsidR="00D4793C" w:rsidRPr="0061115E">
        <w:rPr>
          <w:lang w:val="en-CA"/>
        </w:rPr>
        <w:t>according to</w:t>
      </w:r>
      <w:r w:rsidRPr="0061115E">
        <w:rPr>
          <w:lang w:val="en-CA"/>
        </w:rPr>
        <w:t xml:space="preserve"> the </w:t>
      </w:r>
      <w:r w:rsidR="001346AA" w:rsidRPr="0061115E">
        <w:rPr>
          <w:lang w:val="en-CA"/>
        </w:rPr>
        <w:t>energy</w:t>
      </w:r>
      <w:r w:rsidRPr="0061115E">
        <w:rPr>
          <w:lang w:val="en-CA"/>
        </w:rPr>
        <w:t xml:space="preserve"> charges quoted by the generator, creating cost competitiveness among the power producers</w:t>
      </w:r>
      <w:r w:rsidR="0061115E" w:rsidRPr="0061115E">
        <w:rPr>
          <w:lang w:val="en-CA"/>
        </w:rPr>
        <w:t>.</w:t>
      </w:r>
      <w:r w:rsidR="00A87FCD" w:rsidRPr="0061115E">
        <w:rPr>
          <w:rStyle w:val="FootnoteReference"/>
          <w:lang w:val="en-CA"/>
        </w:rPr>
        <w:footnoteReference w:id="4"/>
      </w:r>
      <w:r w:rsidRPr="0061115E">
        <w:rPr>
          <w:lang w:val="en-CA"/>
        </w:rPr>
        <w:t xml:space="preserve"> APL developed an agile culture to address this competitiveness in the power sector. </w:t>
      </w:r>
      <w:r w:rsidR="00082945" w:rsidRPr="0061115E">
        <w:rPr>
          <w:lang w:val="en-CA"/>
        </w:rPr>
        <w:t xml:space="preserve">In order </w:t>
      </w:r>
      <w:r w:rsidR="005C5AC2" w:rsidRPr="0061115E">
        <w:rPr>
          <w:lang w:val="en-CA"/>
        </w:rPr>
        <w:t xml:space="preserve">for APL </w:t>
      </w:r>
      <w:r w:rsidR="00082945" w:rsidRPr="0061115E">
        <w:rPr>
          <w:lang w:val="en-CA"/>
        </w:rPr>
        <w:t xml:space="preserve">to compete, </w:t>
      </w:r>
      <w:r w:rsidRPr="0061115E">
        <w:rPr>
          <w:lang w:val="en-CA"/>
        </w:rPr>
        <w:t>management strove to keep the organization increasingly cost-effective, agile, and efficient. With rising agility, APL provided a competitive milieu for professionals to hone their skills in power engineering, operations</w:t>
      </w:r>
      <w:r w:rsidR="004645A6" w:rsidRPr="0061115E">
        <w:rPr>
          <w:lang w:val="en-CA"/>
        </w:rPr>
        <w:t>,</w:t>
      </w:r>
      <w:r w:rsidRPr="0061115E">
        <w:rPr>
          <w:lang w:val="en-CA"/>
        </w:rPr>
        <w:t xml:space="preserve"> and project management. This </w:t>
      </w:r>
      <w:r w:rsidR="00265A64" w:rsidRPr="0061115E">
        <w:rPr>
          <w:lang w:val="en-CA"/>
        </w:rPr>
        <w:t>setting</w:t>
      </w:r>
      <w:r w:rsidR="00A720FF" w:rsidRPr="0061115E">
        <w:rPr>
          <w:lang w:val="en-CA"/>
        </w:rPr>
        <w:t xml:space="preserve"> </w:t>
      </w:r>
      <w:r w:rsidRPr="0061115E">
        <w:rPr>
          <w:lang w:val="en-CA"/>
        </w:rPr>
        <w:t>was particularly suited to professionals who found this target-driven culture, competitiveness, and team performance encouraging.</w:t>
      </w:r>
    </w:p>
    <w:p w14:paraId="12619F5E" w14:textId="462B9039" w:rsidR="0061115E" w:rsidRDefault="0061115E" w:rsidP="00236043">
      <w:pPr>
        <w:pStyle w:val="BodyTextMain"/>
        <w:rPr>
          <w:lang w:val="en-CA"/>
        </w:rPr>
      </w:pPr>
    </w:p>
    <w:p w14:paraId="1048AFF6" w14:textId="77777777" w:rsidR="0061115E" w:rsidRPr="0061115E" w:rsidRDefault="0061115E" w:rsidP="00236043">
      <w:pPr>
        <w:pStyle w:val="BodyTextMain"/>
        <w:rPr>
          <w:lang w:val="en-CA"/>
        </w:rPr>
      </w:pPr>
    </w:p>
    <w:p w14:paraId="2029C824" w14:textId="632B79A4" w:rsidR="005628BD" w:rsidRPr="0061115E" w:rsidRDefault="00716B86" w:rsidP="00236043">
      <w:pPr>
        <w:pStyle w:val="Casehead1"/>
        <w:rPr>
          <w:lang w:val="en-CA"/>
        </w:rPr>
      </w:pPr>
      <w:r w:rsidRPr="0061115E">
        <w:rPr>
          <w:lang w:val="en-CA"/>
        </w:rPr>
        <w:t xml:space="preserve">HR </w:t>
      </w:r>
      <w:r w:rsidR="005628BD" w:rsidRPr="0061115E">
        <w:rPr>
          <w:lang w:val="en-CA"/>
        </w:rPr>
        <w:t>Strategy</w:t>
      </w:r>
    </w:p>
    <w:p w14:paraId="7DEFDEF9" w14:textId="77777777" w:rsidR="00236043" w:rsidRPr="0061115E" w:rsidRDefault="00236043" w:rsidP="00236043">
      <w:pPr>
        <w:pStyle w:val="Casehead1"/>
        <w:rPr>
          <w:lang w:val="en-CA"/>
        </w:rPr>
      </w:pPr>
    </w:p>
    <w:p w14:paraId="7649E4C0" w14:textId="77777777" w:rsidR="005628BD" w:rsidRPr="0061115E" w:rsidRDefault="005628BD" w:rsidP="00236043">
      <w:pPr>
        <w:pStyle w:val="Casehead2"/>
        <w:rPr>
          <w:lang w:val="en-CA"/>
        </w:rPr>
      </w:pPr>
      <w:r w:rsidRPr="0061115E">
        <w:rPr>
          <w:lang w:val="en-CA"/>
        </w:rPr>
        <w:t>Staffing</w:t>
      </w:r>
    </w:p>
    <w:p w14:paraId="0BD981FB" w14:textId="77777777" w:rsidR="00236043" w:rsidRPr="0061115E" w:rsidRDefault="00236043" w:rsidP="00236043">
      <w:pPr>
        <w:pStyle w:val="BodyTextMain"/>
        <w:rPr>
          <w:lang w:val="en-CA"/>
        </w:rPr>
      </w:pPr>
    </w:p>
    <w:p w14:paraId="325C20C6" w14:textId="68C5204D" w:rsidR="005628BD" w:rsidRPr="0061115E" w:rsidRDefault="00265A64" w:rsidP="00236043">
      <w:pPr>
        <w:pStyle w:val="BodyTextMain"/>
        <w:rPr>
          <w:lang w:val="en-CA"/>
        </w:rPr>
      </w:pPr>
      <w:r w:rsidRPr="0061115E">
        <w:rPr>
          <w:lang w:val="en-CA"/>
        </w:rPr>
        <w:t xml:space="preserve">Every year, </w:t>
      </w:r>
      <w:r w:rsidR="005628BD" w:rsidRPr="0061115E">
        <w:rPr>
          <w:lang w:val="en-CA"/>
        </w:rPr>
        <w:t xml:space="preserve">APL hired new graduates through several channels. </w:t>
      </w:r>
      <w:r w:rsidR="006C1FB2" w:rsidRPr="0061115E">
        <w:rPr>
          <w:lang w:val="en-CA"/>
        </w:rPr>
        <w:t xml:space="preserve">Over the past few years, 1,000 </w:t>
      </w:r>
      <w:r w:rsidR="005628BD" w:rsidRPr="0061115E">
        <w:rPr>
          <w:lang w:val="en-CA"/>
        </w:rPr>
        <w:t>new employees had been recruited annually</w:t>
      </w:r>
      <w:r w:rsidRPr="0061115E">
        <w:rPr>
          <w:lang w:val="en-CA"/>
        </w:rPr>
        <w:t>, which</w:t>
      </w:r>
      <w:r w:rsidR="00A720FF" w:rsidRPr="0061115E">
        <w:rPr>
          <w:lang w:val="en-CA"/>
        </w:rPr>
        <w:t xml:space="preserve"> </w:t>
      </w:r>
      <w:r w:rsidR="005628BD" w:rsidRPr="0061115E">
        <w:rPr>
          <w:lang w:val="en-CA"/>
        </w:rPr>
        <w:t xml:space="preserve">aligned with the company’s strategic aim of expanding operations and capacity. The recruits were distributed equally across APL’s five units. The HR </w:t>
      </w:r>
      <w:r w:rsidR="002E61C3" w:rsidRPr="0061115E">
        <w:rPr>
          <w:lang w:val="en-CA"/>
        </w:rPr>
        <w:t xml:space="preserve">head </w:t>
      </w:r>
      <w:r w:rsidR="005628BD" w:rsidRPr="0061115E">
        <w:rPr>
          <w:lang w:val="en-CA"/>
        </w:rPr>
        <w:t xml:space="preserve">believed that </w:t>
      </w:r>
      <w:r w:rsidR="00A7333C" w:rsidRPr="0061115E">
        <w:rPr>
          <w:lang w:val="en-CA"/>
        </w:rPr>
        <w:t xml:space="preserve">although </w:t>
      </w:r>
      <w:r w:rsidR="005628BD" w:rsidRPr="0061115E">
        <w:rPr>
          <w:lang w:val="en-CA"/>
        </w:rPr>
        <w:t xml:space="preserve">campus recruitments yielded </w:t>
      </w:r>
      <w:r w:rsidR="00A7333C" w:rsidRPr="0061115E">
        <w:rPr>
          <w:lang w:val="en-CA"/>
        </w:rPr>
        <w:t>high-quality</w:t>
      </w:r>
      <w:r w:rsidR="005628BD" w:rsidRPr="0061115E">
        <w:rPr>
          <w:lang w:val="en-CA"/>
        </w:rPr>
        <w:t xml:space="preserve"> hires, </w:t>
      </w:r>
      <w:r w:rsidR="00A720FF" w:rsidRPr="0061115E">
        <w:rPr>
          <w:lang w:val="en-CA"/>
        </w:rPr>
        <w:t xml:space="preserve">four </w:t>
      </w:r>
      <w:r w:rsidRPr="0061115E">
        <w:rPr>
          <w:lang w:val="en-CA"/>
        </w:rPr>
        <w:t xml:space="preserve">additional </w:t>
      </w:r>
      <w:r w:rsidR="005628BD" w:rsidRPr="0061115E">
        <w:rPr>
          <w:lang w:val="en-CA"/>
        </w:rPr>
        <w:t>specialized hiring methods were also required</w:t>
      </w:r>
      <w:r w:rsidRPr="0061115E">
        <w:rPr>
          <w:lang w:val="en-CA"/>
        </w:rPr>
        <w:t>:</w:t>
      </w:r>
      <w:r w:rsidR="005628BD" w:rsidRPr="0061115E">
        <w:rPr>
          <w:lang w:val="en-CA"/>
        </w:rPr>
        <w:t xml:space="preserve"> </w:t>
      </w:r>
      <w:r w:rsidR="00DB464C" w:rsidRPr="0061115E">
        <w:rPr>
          <w:lang w:val="en-CA"/>
        </w:rPr>
        <w:t>(</w:t>
      </w:r>
      <w:r w:rsidR="00A720FF" w:rsidRPr="0061115E">
        <w:rPr>
          <w:lang w:val="en-CA"/>
        </w:rPr>
        <w:t>1</w:t>
      </w:r>
      <w:r w:rsidR="00DB464C" w:rsidRPr="0061115E">
        <w:rPr>
          <w:lang w:val="en-CA"/>
        </w:rPr>
        <w:t xml:space="preserve">) </w:t>
      </w:r>
      <w:r w:rsidR="005628BD" w:rsidRPr="0061115E">
        <w:rPr>
          <w:lang w:val="en-CA"/>
        </w:rPr>
        <w:t>remote recruitment from campuses that APL did not visit</w:t>
      </w:r>
      <w:r w:rsidR="001F57C7" w:rsidRPr="0061115E">
        <w:rPr>
          <w:lang w:val="en-CA"/>
        </w:rPr>
        <w:t>;</w:t>
      </w:r>
      <w:r w:rsidR="005628BD" w:rsidRPr="0061115E">
        <w:rPr>
          <w:lang w:val="en-CA"/>
        </w:rPr>
        <w:t xml:space="preserve"> </w:t>
      </w:r>
      <w:r w:rsidR="00DB464C" w:rsidRPr="0061115E">
        <w:rPr>
          <w:lang w:val="en-CA"/>
        </w:rPr>
        <w:t>(</w:t>
      </w:r>
      <w:r w:rsidR="00A720FF" w:rsidRPr="0061115E">
        <w:rPr>
          <w:lang w:val="en-CA"/>
        </w:rPr>
        <w:t>2</w:t>
      </w:r>
      <w:r w:rsidR="00DB464C" w:rsidRPr="0061115E">
        <w:rPr>
          <w:lang w:val="en-CA"/>
        </w:rPr>
        <w:t xml:space="preserve">) </w:t>
      </w:r>
      <w:r w:rsidR="005628BD" w:rsidRPr="0061115E">
        <w:rPr>
          <w:lang w:val="en-CA"/>
        </w:rPr>
        <w:t>recruitment from employee and union wards</w:t>
      </w:r>
      <w:r w:rsidR="001F57C7" w:rsidRPr="0061115E">
        <w:rPr>
          <w:lang w:val="en-CA"/>
        </w:rPr>
        <w:t>;</w:t>
      </w:r>
      <w:r w:rsidR="005628BD" w:rsidRPr="0061115E">
        <w:rPr>
          <w:lang w:val="en-CA"/>
        </w:rPr>
        <w:t xml:space="preserve"> </w:t>
      </w:r>
      <w:r w:rsidR="00DB464C" w:rsidRPr="0061115E">
        <w:rPr>
          <w:lang w:val="en-CA"/>
        </w:rPr>
        <w:t>(</w:t>
      </w:r>
      <w:r w:rsidR="00A720FF" w:rsidRPr="0061115E">
        <w:rPr>
          <w:lang w:val="en-CA"/>
        </w:rPr>
        <w:t>3</w:t>
      </w:r>
      <w:r w:rsidR="00DB464C" w:rsidRPr="0061115E">
        <w:rPr>
          <w:lang w:val="en-CA"/>
        </w:rPr>
        <w:t xml:space="preserve">) </w:t>
      </w:r>
      <w:r w:rsidR="005628BD" w:rsidRPr="0061115E">
        <w:rPr>
          <w:lang w:val="en-CA"/>
        </w:rPr>
        <w:t>internal promotion</w:t>
      </w:r>
      <w:r w:rsidR="00A720FF" w:rsidRPr="0061115E">
        <w:rPr>
          <w:lang w:val="en-CA"/>
        </w:rPr>
        <w:t>s</w:t>
      </w:r>
      <w:r w:rsidR="005628BD" w:rsidRPr="0061115E">
        <w:rPr>
          <w:lang w:val="en-CA"/>
        </w:rPr>
        <w:t xml:space="preserve"> from non-executive grades</w:t>
      </w:r>
      <w:r w:rsidR="001F57C7" w:rsidRPr="0061115E">
        <w:rPr>
          <w:lang w:val="en-CA"/>
        </w:rPr>
        <w:t>;</w:t>
      </w:r>
      <w:r w:rsidR="005628BD" w:rsidRPr="0061115E">
        <w:rPr>
          <w:lang w:val="en-CA"/>
        </w:rPr>
        <w:t xml:space="preserve"> and </w:t>
      </w:r>
      <w:r w:rsidR="00DB464C" w:rsidRPr="0061115E">
        <w:rPr>
          <w:lang w:val="en-CA"/>
        </w:rPr>
        <w:t>(</w:t>
      </w:r>
      <w:r w:rsidR="00A720FF" w:rsidRPr="0061115E">
        <w:rPr>
          <w:lang w:val="en-CA"/>
        </w:rPr>
        <w:t>4</w:t>
      </w:r>
      <w:r w:rsidR="00DB464C" w:rsidRPr="0061115E">
        <w:rPr>
          <w:lang w:val="en-CA"/>
        </w:rPr>
        <w:t xml:space="preserve">) </w:t>
      </w:r>
      <w:r w:rsidR="005628BD" w:rsidRPr="0061115E">
        <w:rPr>
          <w:lang w:val="en-CA"/>
        </w:rPr>
        <w:t xml:space="preserve">recruitment through LinkedIn. As such, </w:t>
      </w:r>
      <w:r w:rsidRPr="0061115E">
        <w:rPr>
          <w:lang w:val="en-CA"/>
        </w:rPr>
        <w:t>APL had</w:t>
      </w:r>
      <w:r w:rsidR="005628BD" w:rsidRPr="0061115E">
        <w:rPr>
          <w:lang w:val="en-CA"/>
        </w:rPr>
        <w:t xml:space="preserve"> five channels for recruitment, </w:t>
      </w:r>
      <w:r w:rsidR="004953CE" w:rsidRPr="0061115E">
        <w:rPr>
          <w:lang w:val="en-CA"/>
        </w:rPr>
        <w:t xml:space="preserve">with each channel accounting for </w:t>
      </w:r>
      <w:r w:rsidR="005628BD" w:rsidRPr="0061115E">
        <w:rPr>
          <w:lang w:val="en-CA"/>
        </w:rPr>
        <w:t>20</w:t>
      </w:r>
      <w:r w:rsidR="00E64C9D" w:rsidRPr="0061115E">
        <w:rPr>
          <w:lang w:val="en-CA"/>
        </w:rPr>
        <w:t xml:space="preserve"> per cent</w:t>
      </w:r>
      <w:r w:rsidR="005628BD" w:rsidRPr="0061115E">
        <w:rPr>
          <w:lang w:val="en-CA"/>
        </w:rPr>
        <w:t xml:space="preserve"> of employee</w:t>
      </w:r>
      <w:r w:rsidR="004953CE" w:rsidRPr="0061115E">
        <w:rPr>
          <w:lang w:val="en-CA"/>
        </w:rPr>
        <w:t xml:space="preserve"> recruitments</w:t>
      </w:r>
      <w:r w:rsidR="005628BD" w:rsidRPr="0061115E">
        <w:rPr>
          <w:lang w:val="en-CA"/>
        </w:rPr>
        <w:t>.</w:t>
      </w:r>
    </w:p>
    <w:p w14:paraId="13621450" w14:textId="77777777" w:rsidR="00236043" w:rsidRPr="0061115E" w:rsidRDefault="00236043" w:rsidP="00236043">
      <w:pPr>
        <w:pStyle w:val="BodyTextMain"/>
        <w:rPr>
          <w:lang w:val="en-CA"/>
        </w:rPr>
      </w:pPr>
    </w:p>
    <w:p w14:paraId="34B2065F" w14:textId="60ED6C93" w:rsidR="005628BD" w:rsidRPr="0061115E" w:rsidRDefault="3AE70F20" w:rsidP="00236043">
      <w:pPr>
        <w:pStyle w:val="BodyTextMain"/>
        <w:rPr>
          <w:lang w:val="en-CA"/>
        </w:rPr>
      </w:pPr>
      <w:r w:rsidRPr="0061115E">
        <w:rPr>
          <w:lang w:val="en-CA"/>
        </w:rPr>
        <w:t>APL defined a list of strategically important campuses around the nation. These campuses were identified on the basis of reputation</w:t>
      </w:r>
      <w:r w:rsidR="006C1FB2" w:rsidRPr="0061115E">
        <w:rPr>
          <w:lang w:val="en-CA"/>
        </w:rPr>
        <w:t xml:space="preserve"> </w:t>
      </w:r>
      <w:r w:rsidRPr="0061115E">
        <w:rPr>
          <w:lang w:val="en-CA"/>
        </w:rPr>
        <w:t xml:space="preserve">and level of engagement with the organization. Campuses maintained engagement by framing research on practical problems in APL’s </w:t>
      </w:r>
      <w:r w:rsidR="001F57C7" w:rsidRPr="0061115E">
        <w:rPr>
          <w:lang w:val="en-CA"/>
        </w:rPr>
        <w:t xml:space="preserve">power </w:t>
      </w:r>
      <w:r w:rsidRPr="0061115E">
        <w:rPr>
          <w:lang w:val="en-CA"/>
        </w:rPr>
        <w:t>plants, sending students for technical excursions</w:t>
      </w:r>
      <w:r w:rsidR="00704E2E" w:rsidRPr="0061115E">
        <w:rPr>
          <w:lang w:val="en-CA"/>
        </w:rPr>
        <w:t>,</w:t>
      </w:r>
      <w:r w:rsidR="00C92FE9" w:rsidRPr="0061115E">
        <w:rPr>
          <w:lang w:val="en-CA"/>
        </w:rPr>
        <w:t xml:space="preserve"> </w:t>
      </w:r>
      <w:r w:rsidRPr="0061115E">
        <w:rPr>
          <w:lang w:val="en-CA"/>
        </w:rPr>
        <w:t>and</w:t>
      </w:r>
      <w:r w:rsidR="00C92FE9" w:rsidRPr="0061115E">
        <w:rPr>
          <w:lang w:val="en-CA"/>
        </w:rPr>
        <w:t xml:space="preserve"> </w:t>
      </w:r>
      <w:r w:rsidRPr="0061115E">
        <w:rPr>
          <w:lang w:val="en-CA"/>
        </w:rPr>
        <w:t>inviting APL’s presence</w:t>
      </w:r>
      <w:r w:rsidR="000B2D97" w:rsidRPr="0061115E">
        <w:rPr>
          <w:lang w:val="en-CA"/>
        </w:rPr>
        <w:t xml:space="preserve"> </w:t>
      </w:r>
      <w:r w:rsidRPr="0061115E">
        <w:rPr>
          <w:lang w:val="en-CA"/>
        </w:rPr>
        <w:t>in their conferences and guest lectures.</w:t>
      </w:r>
      <w:r w:rsidR="008C15A0" w:rsidRPr="0061115E">
        <w:rPr>
          <w:lang w:val="en-CA"/>
        </w:rPr>
        <w:t xml:space="preserve"> </w:t>
      </w:r>
      <w:r w:rsidRPr="0061115E">
        <w:rPr>
          <w:lang w:val="en-CA"/>
        </w:rPr>
        <w:t xml:space="preserve">On average, APL recruited at 18 campuses each year, </w:t>
      </w:r>
      <w:r w:rsidR="00704E2E" w:rsidRPr="0061115E">
        <w:rPr>
          <w:lang w:val="en-CA"/>
        </w:rPr>
        <w:t xml:space="preserve">with each campus visit costing </w:t>
      </w:r>
      <w:r w:rsidR="005F2D3C" w:rsidRPr="0061115E">
        <w:rPr>
          <w:lang w:val="en-CA"/>
        </w:rPr>
        <w:t xml:space="preserve">the company </w:t>
      </w:r>
      <w:r w:rsidR="00F06604" w:rsidRPr="0061115E">
        <w:rPr>
          <w:lang w:val="en-CA"/>
        </w:rPr>
        <w:t>approximately</w:t>
      </w:r>
      <w:r w:rsidR="00704E2E" w:rsidRPr="0061115E">
        <w:rPr>
          <w:lang w:val="en-CA"/>
        </w:rPr>
        <w:t xml:space="preserve"> </w:t>
      </w:r>
      <w:r w:rsidRPr="0061115E">
        <w:rPr>
          <w:lang w:val="en-CA"/>
        </w:rPr>
        <w:t>$</w:t>
      </w:r>
      <w:r w:rsidR="00704E2E" w:rsidRPr="0061115E">
        <w:rPr>
          <w:lang w:val="en-CA"/>
        </w:rPr>
        <w:t>1,000</w:t>
      </w:r>
      <w:r w:rsidRPr="0061115E">
        <w:rPr>
          <w:lang w:val="en-CA"/>
        </w:rPr>
        <w:t>.</w:t>
      </w:r>
    </w:p>
    <w:p w14:paraId="2CAB4507" w14:textId="77777777" w:rsidR="00236043" w:rsidRPr="0061115E" w:rsidRDefault="00236043" w:rsidP="00236043">
      <w:pPr>
        <w:pStyle w:val="BodyTextMain"/>
        <w:rPr>
          <w:lang w:val="en-CA"/>
        </w:rPr>
      </w:pPr>
    </w:p>
    <w:p w14:paraId="4183E134" w14:textId="150CAEF8" w:rsidR="005628BD" w:rsidRPr="0061115E" w:rsidRDefault="005628BD" w:rsidP="00236043">
      <w:pPr>
        <w:pStyle w:val="BodyTextMain"/>
        <w:rPr>
          <w:lang w:val="en-CA"/>
        </w:rPr>
      </w:pPr>
      <w:r w:rsidRPr="0061115E">
        <w:rPr>
          <w:lang w:val="en-CA"/>
        </w:rPr>
        <w:t>After filling 20</w:t>
      </w:r>
      <w:r w:rsidR="00B16AE0" w:rsidRPr="0061115E">
        <w:rPr>
          <w:lang w:val="en-CA"/>
        </w:rPr>
        <w:t xml:space="preserve"> per cent</w:t>
      </w:r>
      <w:r w:rsidRPr="0061115E">
        <w:rPr>
          <w:lang w:val="en-CA"/>
        </w:rPr>
        <w:t xml:space="preserve"> of available posts through campus recruitment, the next 20</w:t>
      </w:r>
      <w:r w:rsidR="00B16AE0" w:rsidRPr="0061115E">
        <w:rPr>
          <w:lang w:val="en-CA"/>
        </w:rPr>
        <w:t xml:space="preserve"> per cent</w:t>
      </w:r>
      <w:r w:rsidRPr="0061115E">
        <w:rPr>
          <w:lang w:val="en-CA"/>
        </w:rPr>
        <w:t xml:space="preserve"> of vacancies were filled using online job portals</w:t>
      </w:r>
      <w:r w:rsidR="00071C06" w:rsidRPr="0061115E">
        <w:rPr>
          <w:lang w:val="en-CA"/>
        </w:rPr>
        <w:t>.</w:t>
      </w:r>
      <w:r w:rsidR="000066DE" w:rsidRPr="0061115E">
        <w:rPr>
          <w:lang w:val="en-CA"/>
        </w:rPr>
        <w:t xml:space="preserve"> </w:t>
      </w:r>
      <w:r w:rsidR="0035740F" w:rsidRPr="0061115E">
        <w:rPr>
          <w:lang w:val="en-CA"/>
        </w:rPr>
        <w:t>In particular,</w:t>
      </w:r>
      <w:r w:rsidR="00340DD2" w:rsidRPr="0061115E">
        <w:rPr>
          <w:lang w:val="en-CA"/>
        </w:rPr>
        <w:t xml:space="preserve"> </w:t>
      </w:r>
      <w:r w:rsidR="0035740F" w:rsidRPr="0061115E">
        <w:rPr>
          <w:lang w:val="en-CA"/>
        </w:rPr>
        <w:t>graduates</w:t>
      </w:r>
      <w:r w:rsidRPr="0061115E">
        <w:rPr>
          <w:lang w:val="en-CA"/>
        </w:rPr>
        <w:t xml:space="preserve"> from campuses </w:t>
      </w:r>
      <w:r w:rsidR="000066DE" w:rsidRPr="0061115E">
        <w:rPr>
          <w:lang w:val="en-CA"/>
        </w:rPr>
        <w:t xml:space="preserve">that </w:t>
      </w:r>
      <w:r w:rsidRPr="0061115E">
        <w:rPr>
          <w:lang w:val="en-CA"/>
        </w:rPr>
        <w:t>APL did not visit</w:t>
      </w:r>
      <w:r w:rsidR="0035740F" w:rsidRPr="0061115E">
        <w:rPr>
          <w:lang w:val="en-CA"/>
        </w:rPr>
        <w:t xml:space="preserve"> were targeted</w:t>
      </w:r>
      <w:r w:rsidRPr="0061115E">
        <w:rPr>
          <w:lang w:val="en-CA"/>
        </w:rPr>
        <w:t>. This mode of recruitment was cheaper for APL, costing roughly $100 for each recruitment year and $20 per candidate in administrative costs.</w:t>
      </w:r>
    </w:p>
    <w:p w14:paraId="7B63628D" w14:textId="77777777" w:rsidR="00236043" w:rsidRPr="0061115E" w:rsidRDefault="00236043" w:rsidP="00236043">
      <w:pPr>
        <w:pStyle w:val="BodyTextMain"/>
        <w:rPr>
          <w:lang w:val="en-CA"/>
        </w:rPr>
      </w:pPr>
    </w:p>
    <w:p w14:paraId="2EC8B32F" w14:textId="0F0AFCD7" w:rsidR="005628BD" w:rsidRPr="0061115E" w:rsidRDefault="005628BD" w:rsidP="00236043">
      <w:pPr>
        <w:pStyle w:val="BodyTextMain"/>
        <w:rPr>
          <w:lang w:val="en-CA"/>
        </w:rPr>
      </w:pPr>
      <w:r w:rsidRPr="0061115E">
        <w:rPr>
          <w:lang w:val="en-CA"/>
        </w:rPr>
        <w:t>The next 20</w:t>
      </w:r>
      <w:r w:rsidR="0025463F" w:rsidRPr="0061115E">
        <w:rPr>
          <w:lang w:val="en-CA"/>
        </w:rPr>
        <w:t xml:space="preserve"> per cent</w:t>
      </w:r>
      <w:r w:rsidRPr="0061115E">
        <w:rPr>
          <w:lang w:val="en-CA"/>
        </w:rPr>
        <w:t xml:space="preserve"> of posts were filled by candidates who had been referred by existing employees, based on some proof of merit</w:t>
      </w:r>
      <w:r w:rsidR="00325F28" w:rsidRPr="0061115E">
        <w:rPr>
          <w:lang w:val="en-CA"/>
        </w:rPr>
        <w:t xml:space="preserve"> </w:t>
      </w:r>
      <w:r w:rsidR="001E559C" w:rsidRPr="0061115E">
        <w:rPr>
          <w:lang w:val="en-CA"/>
        </w:rPr>
        <w:t>or</w:t>
      </w:r>
      <w:r w:rsidRPr="0061115E">
        <w:rPr>
          <w:lang w:val="en-CA"/>
        </w:rPr>
        <w:t xml:space="preserve"> blood relation. This mode, known as the APL Ward </w:t>
      </w:r>
      <w:r w:rsidR="001C7A9D" w:rsidRPr="0061115E">
        <w:rPr>
          <w:lang w:val="en-CA"/>
        </w:rPr>
        <w:t>Program</w:t>
      </w:r>
      <w:r w:rsidRPr="0061115E">
        <w:rPr>
          <w:lang w:val="en-CA"/>
        </w:rPr>
        <w:t xml:space="preserve">, </w:t>
      </w:r>
      <w:r w:rsidR="00114583" w:rsidRPr="0061115E">
        <w:rPr>
          <w:lang w:val="en-CA"/>
        </w:rPr>
        <w:t xml:space="preserve">which was </w:t>
      </w:r>
      <w:r w:rsidRPr="0061115E">
        <w:rPr>
          <w:lang w:val="en-CA"/>
        </w:rPr>
        <w:t xml:space="preserve">offered to employees who had completed at least </w:t>
      </w:r>
      <w:r w:rsidR="001C7A9D" w:rsidRPr="0061115E">
        <w:rPr>
          <w:lang w:val="en-CA"/>
        </w:rPr>
        <w:t xml:space="preserve">10 </w:t>
      </w:r>
      <w:r w:rsidRPr="0061115E">
        <w:rPr>
          <w:lang w:val="en-CA"/>
        </w:rPr>
        <w:t>years of employment with APL</w:t>
      </w:r>
      <w:r w:rsidR="00114583" w:rsidRPr="0061115E">
        <w:rPr>
          <w:lang w:val="en-CA"/>
        </w:rPr>
        <w:t>,</w:t>
      </w:r>
      <w:r w:rsidRPr="0061115E">
        <w:rPr>
          <w:lang w:val="en-CA"/>
        </w:rPr>
        <w:t xml:space="preserve"> cost</w:t>
      </w:r>
      <w:r w:rsidR="00114583" w:rsidRPr="0061115E">
        <w:rPr>
          <w:lang w:val="en-CA"/>
        </w:rPr>
        <w:t xml:space="preserve"> APL</w:t>
      </w:r>
      <w:r w:rsidRPr="0061115E">
        <w:rPr>
          <w:lang w:val="en-CA"/>
        </w:rPr>
        <w:t xml:space="preserve"> $20 per hire.</w:t>
      </w:r>
    </w:p>
    <w:p w14:paraId="4F4D31D1" w14:textId="77777777" w:rsidR="00D970A9" w:rsidRPr="0061115E" w:rsidRDefault="00D970A9" w:rsidP="00236043">
      <w:pPr>
        <w:pStyle w:val="BodyTextMain"/>
        <w:rPr>
          <w:lang w:val="en-CA"/>
        </w:rPr>
      </w:pPr>
    </w:p>
    <w:p w14:paraId="648EE492" w14:textId="57FD0906" w:rsidR="005628BD" w:rsidRPr="0061115E" w:rsidRDefault="005628BD" w:rsidP="00236043">
      <w:pPr>
        <w:pStyle w:val="BodyTextMain"/>
        <w:rPr>
          <w:lang w:val="en-CA"/>
        </w:rPr>
      </w:pPr>
      <w:r w:rsidRPr="0061115E">
        <w:rPr>
          <w:lang w:val="en-CA"/>
        </w:rPr>
        <w:t xml:space="preserve">Agency hiring took care of candidates with referrals from labour unions. APL </w:t>
      </w:r>
      <w:r w:rsidR="00D970A9" w:rsidRPr="0061115E">
        <w:rPr>
          <w:lang w:val="en-CA"/>
        </w:rPr>
        <w:t xml:space="preserve">had </w:t>
      </w:r>
      <w:r w:rsidRPr="0061115E">
        <w:rPr>
          <w:lang w:val="en-CA"/>
        </w:rPr>
        <w:t xml:space="preserve">committed to recruit </w:t>
      </w:r>
      <w:r w:rsidR="00195C8D" w:rsidRPr="0061115E">
        <w:rPr>
          <w:lang w:val="en-CA"/>
        </w:rPr>
        <w:t>20 per</w:t>
      </w:r>
      <w:r w:rsidR="0061115E" w:rsidRPr="0061115E">
        <w:rPr>
          <w:lang w:val="en-CA"/>
        </w:rPr>
        <w:t xml:space="preserve"> </w:t>
      </w:r>
      <w:r w:rsidR="00195C8D" w:rsidRPr="0061115E">
        <w:rPr>
          <w:lang w:val="en-CA"/>
        </w:rPr>
        <w:t>cent</w:t>
      </w:r>
      <w:r w:rsidR="0061115E" w:rsidRPr="0061115E">
        <w:rPr>
          <w:lang w:val="en-CA"/>
        </w:rPr>
        <w:t xml:space="preserve"> </w:t>
      </w:r>
      <w:r w:rsidR="00195C8D" w:rsidRPr="0061115E">
        <w:rPr>
          <w:lang w:val="en-CA"/>
        </w:rPr>
        <w:t>of postings</w:t>
      </w:r>
      <w:r w:rsidRPr="0061115E">
        <w:rPr>
          <w:lang w:val="en-CA"/>
        </w:rPr>
        <w:t xml:space="preserve"> from labour wards to non-executive roles. This mode cost APL less than $150 per year.</w:t>
      </w:r>
    </w:p>
    <w:p w14:paraId="58E38E5A" w14:textId="77777777" w:rsidR="00236043" w:rsidRPr="0061115E" w:rsidRDefault="00236043" w:rsidP="00236043">
      <w:pPr>
        <w:pStyle w:val="BodyTextMain"/>
        <w:rPr>
          <w:lang w:val="en-CA"/>
        </w:rPr>
      </w:pPr>
    </w:p>
    <w:p w14:paraId="2CD90051" w14:textId="49F62F7A" w:rsidR="005628BD" w:rsidRPr="0061115E" w:rsidRDefault="005628BD" w:rsidP="00236043">
      <w:pPr>
        <w:pStyle w:val="BodyTextMain"/>
        <w:rPr>
          <w:lang w:val="en-CA"/>
        </w:rPr>
      </w:pPr>
      <w:r w:rsidRPr="0061115E">
        <w:rPr>
          <w:lang w:val="en-CA"/>
        </w:rPr>
        <w:t>The remaining 20</w:t>
      </w:r>
      <w:r w:rsidR="00CB4E71" w:rsidRPr="0061115E">
        <w:rPr>
          <w:lang w:val="en-CA"/>
        </w:rPr>
        <w:t xml:space="preserve"> per cent</w:t>
      </w:r>
      <w:r w:rsidRPr="0061115E">
        <w:rPr>
          <w:lang w:val="en-CA"/>
        </w:rPr>
        <w:t xml:space="preserve"> of candidates were hired through LinkedIn based on their profiles and their interest in the organization. These were highly selective roles, mapping key skills to relevant positions. This mode </w:t>
      </w:r>
      <w:r w:rsidR="00571191" w:rsidRPr="0061115E">
        <w:rPr>
          <w:lang w:val="en-CA"/>
        </w:rPr>
        <w:t xml:space="preserve">carried scouting costs of </w:t>
      </w:r>
      <w:r w:rsidR="007B31AD" w:rsidRPr="0061115E">
        <w:rPr>
          <w:lang w:val="en-CA"/>
        </w:rPr>
        <w:t xml:space="preserve">about </w:t>
      </w:r>
      <w:r w:rsidRPr="0061115E">
        <w:rPr>
          <w:lang w:val="en-CA"/>
        </w:rPr>
        <w:t>$200 over each recruitment cycle</w:t>
      </w:r>
      <w:r w:rsidR="00AC3396" w:rsidRPr="0061115E">
        <w:rPr>
          <w:lang w:val="en-CA"/>
        </w:rPr>
        <w:t>,</w:t>
      </w:r>
      <w:r w:rsidR="00571191" w:rsidRPr="0061115E">
        <w:rPr>
          <w:lang w:val="en-CA"/>
        </w:rPr>
        <w:t xml:space="preserve"> as well</w:t>
      </w:r>
      <w:r w:rsidRPr="0061115E">
        <w:rPr>
          <w:lang w:val="en-CA"/>
        </w:rPr>
        <w:t xml:space="preserve"> </w:t>
      </w:r>
      <w:r w:rsidR="00727992" w:rsidRPr="0061115E">
        <w:rPr>
          <w:lang w:val="en-CA"/>
        </w:rPr>
        <w:t>as</w:t>
      </w:r>
      <w:r w:rsidR="00E46775" w:rsidRPr="0061115E">
        <w:rPr>
          <w:lang w:val="en-CA"/>
        </w:rPr>
        <w:t xml:space="preserve"> </w:t>
      </w:r>
      <w:r w:rsidRPr="0061115E">
        <w:rPr>
          <w:lang w:val="en-CA"/>
        </w:rPr>
        <w:t xml:space="preserve">$20 per candidate in </w:t>
      </w:r>
      <w:r w:rsidR="00727992" w:rsidRPr="0061115E">
        <w:rPr>
          <w:lang w:val="en-CA"/>
        </w:rPr>
        <w:t>administrative</w:t>
      </w:r>
      <w:r w:rsidRPr="0061115E">
        <w:rPr>
          <w:lang w:val="en-CA"/>
        </w:rPr>
        <w:t xml:space="preserve"> costs.</w:t>
      </w:r>
    </w:p>
    <w:p w14:paraId="1BEDF34D" w14:textId="77777777" w:rsidR="00236043" w:rsidRPr="0061115E" w:rsidRDefault="00236043" w:rsidP="00236043">
      <w:pPr>
        <w:pStyle w:val="BodyTextMain"/>
        <w:rPr>
          <w:lang w:val="en-CA"/>
        </w:rPr>
      </w:pPr>
    </w:p>
    <w:p w14:paraId="76D297CE" w14:textId="77777777" w:rsidR="005628BD" w:rsidRPr="0061115E" w:rsidRDefault="005628BD" w:rsidP="00892EB6">
      <w:pPr>
        <w:pStyle w:val="Casehead2"/>
        <w:keepNext/>
        <w:rPr>
          <w:lang w:val="en-CA"/>
        </w:rPr>
      </w:pPr>
      <w:r w:rsidRPr="0061115E">
        <w:rPr>
          <w:lang w:val="en-CA"/>
        </w:rPr>
        <w:lastRenderedPageBreak/>
        <w:t>Compensation</w:t>
      </w:r>
    </w:p>
    <w:p w14:paraId="0816A2F7" w14:textId="77777777" w:rsidR="00236043" w:rsidRPr="0061115E" w:rsidRDefault="00236043" w:rsidP="00892EB6">
      <w:pPr>
        <w:pStyle w:val="BodyTextMain"/>
        <w:keepNext/>
        <w:rPr>
          <w:lang w:val="en-CA"/>
        </w:rPr>
      </w:pPr>
    </w:p>
    <w:p w14:paraId="67768B36" w14:textId="77F65CDE" w:rsidR="005628BD" w:rsidRPr="0061115E" w:rsidRDefault="005628BD" w:rsidP="00892EB6">
      <w:pPr>
        <w:pStyle w:val="BodyTextMain"/>
        <w:keepNext/>
        <w:rPr>
          <w:spacing w:val="-4"/>
          <w:lang w:val="en-CA"/>
        </w:rPr>
      </w:pPr>
      <w:r w:rsidRPr="0061115E">
        <w:rPr>
          <w:spacing w:val="-4"/>
          <w:lang w:val="en-CA"/>
        </w:rPr>
        <w:t xml:space="preserve">APL maintained a rate of compensation significantly higher than that of its major competitors in the power sector. As such, it was one of the most sought-after employers on the campuses from which it recruited. Compensation rates were predefined according to the positions offered. For example, assistant managers at the lowest executive level </w:t>
      </w:r>
      <w:r w:rsidR="0050535B" w:rsidRPr="0061115E">
        <w:rPr>
          <w:spacing w:val="-4"/>
          <w:lang w:val="en-CA"/>
        </w:rPr>
        <w:t xml:space="preserve">(a role offered to engineering graduates) </w:t>
      </w:r>
      <w:r w:rsidRPr="0061115E">
        <w:rPr>
          <w:spacing w:val="-4"/>
          <w:lang w:val="en-CA"/>
        </w:rPr>
        <w:t>were offered an annual package of $10,500.</w:t>
      </w:r>
    </w:p>
    <w:p w14:paraId="49C77A46" w14:textId="77777777" w:rsidR="00236043" w:rsidRPr="0061115E" w:rsidRDefault="00236043" w:rsidP="00236043">
      <w:pPr>
        <w:pStyle w:val="BodyTextMain"/>
        <w:rPr>
          <w:lang w:val="en-CA"/>
        </w:rPr>
      </w:pPr>
    </w:p>
    <w:p w14:paraId="04AA993D" w14:textId="77777777" w:rsidR="005628BD" w:rsidRPr="0061115E" w:rsidRDefault="005628BD" w:rsidP="00236043">
      <w:pPr>
        <w:pStyle w:val="BodyTextMain"/>
        <w:rPr>
          <w:lang w:val="en-CA"/>
        </w:rPr>
      </w:pPr>
      <w:r w:rsidRPr="0061115E">
        <w:rPr>
          <w:lang w:val="en-CA"/>
        </w:rPr>
        <w:t>Such compensation attracted the best talent to compete for jobs at APL. In turn, APL enjoyed huge brand value among young people competing for employment across the full range of its hiring channels.</w:t>
      </w:r>
    </w:p>
    <w:p w14:paraId="1FC5696B" w14:textId="5F4E5C73" w:rsidR="00236043" w:rsidRPr="0061115E" w:rsidRDefault="00236043" w:rsidP="00236043">
      <w:pPr>
        <w:pStyle w:val="BodyTextMain"/>
        <w:rPr>
          <w:sz w:val="14"/>
          <w:szCs w:val="14"/>
          <w:lang w:val="en-CA"/>
        </w:rPr>
      </w:pPr>
    </w:p>
    <w:p w14:paraId="5C3D842A" w14:textId="77777777" w:rsidR="005B63FB" w:rsidRPr="0061115E" w:rsidRDefault="005B63FB" w:rsidP="00236043">
      <w:pPr>
        <w:pStyle w:val="BodyTextMain"/>
        <w:rPr>
          <w:sz w:val="14"/>
          <w:szCs w:val="14"/>
          <w:lang w:val="en-CA"/>
        </w:rPr>
      </w:pPr>
    </w:p>
    <w:p w14:paraId="3FD4668E" w14:textId="77777777" w:rsidR="005628BD" w:rsidRPr="0061115E" w:rsidRDefault="005628BD" w:rsidP="006756AC">
      <w:pPr>
        <w:pStyle w:val="Casehead2"/>
        <w:keepNext/>
        <w:rPr>
          <w:lang w:val="en-CA"/>
        </w:rPr>
      </w:pPr>
      <w:r w:rsidRPr="0061115E">
        <w:rPr>
          <w:lang w:val="en-CA"/>
        </w:rPr>
        <w:t>Training</w:t>
      </w:r>
    </w:p>
    <w:p w14:paraId="526F3A37" w14:textId="77777777" w:rsidR="00236043" w:rsidRPr="0061115E" w:rsidRDefault="00236043" w:rsidP="006756AC">
      <w:pPr>
        <w:pStyle w:val="BodyTextMain"/>
        <w:keepNext/>
        <w:rPr>
          <w:sz w:val="14"/>
          <w:szCs w:val="14"/>
          <w:lang w:val="en-CA"/>
        </w:rPr>
      </w:pPr>
    </w:p>
    <w:p w14:paraId="101927A6" w14:textId="58281F23" w:rsidR="005628BD" w:rsidRPr="0061115E" w:rsidRDefault="005628BD" w:rsidP="006756AC">
      <w:pPr>
        <w:pStyle w:val="BodyTextMain"/>
        <w:keepNext/>
        <w:rPr>
          <w:lang w:val="en-CA"/>
        </w:rPr>
      </w:pPr>
      <w:r w:rsidRPr="0061115E">
        <w:rPr>
          <w:lang w:val="en-CA"/>
        </w:rPr>
        <w:t xml:space="preserve">From the moment new employees </w:t>
      </w:r>
      <w:r w:rsidR="000061CD" w:rsidRPr="0061115E">
        <w:rPr>
          <w:lang w:val="en-CA"/>
        </w:rPr>
        <w:t>began the onboarding process</w:t>
      </w:r>
      <w:r w:rsidRPr="0061115E">
        <w:rPr>
          <w:lang w:val="en-CA"/>
        </w:rPr>
        <w:t xml:space="preserve">, APL </w:t>
      </w:r>
      <w:r w:rsidR="0089269E" w:rsidRPr="0061115E">
        <w:rPr>
          <w:lang w:val="en-CA"/>
        </w:rPr>
        <w:t xml:space="preserve">heavily </w:t>
      </w:r>
      <w:r w:rsidRPr="0061115E">
        <w:rPr>
          <w:lang w:val="en-CA"/>
        </w:rPr>
        <w:t xml:space="preserve">invested in </w:t>
      </w:r>
      <w:r w:rsidR="00166313" w:rsidRPr="0061115E">
        <w:rPr>
          <w:lang w:val="en-CA"/>
        </w:rPr>
        <w:t>raising</w:t>
      </w:r>
      <w:r w:rsidRPr="0061115E">
        <w:rPr>
          <w:lang w:val="en-CA"/>
        </w:rPr>
        <w:t xml:space="preserve"> </w:t>
      </w:r>
      <w:r w:rsidR="0089269E" w:rsidRPr="0061115E">
        <w:rPr>
          <w:lang w:val="en-CA"/>
        </w:rPr>
        <w:t xml:space="preserve">the potential of the organization’s </w:t>
      </w:r>
      <w:r w:rsidR="006B3FD8" w:rsidRPr="0061115E">
        <w:rPr>
          <w:lang w:val="en-CA"/>
        </w:rPr>
        <w:t>workforce</w:t>
      </w:r>
      <w:r w:rsidRPr="0061115E">
        <w:rPr>
          <w:lang w:val="en-CA"/>
        </w:rPr>
        <w:t xml:space="preserve">. </w:t>
      </w:r>
      <w:r w:rsidR="00444094" w:rsidRPr="0061115E">
        <w:rPr>
          <w:lang w:val="en-CA"/>
        </w:rPr>
        <w:t xml:space="preserve">APL </w:t>
      </w:r>
      <w:r w:rsidRPr="0061115E">
        <w:rPr>
          <w:lang w:val="en-CA"/>
        </w:rPr>
        <w:t xml:space="preserve">organized a unique orientation </w:t>
      </w:r>
      <w:r w:rsidR="000A2EBB" w:rsidRPr="0061115E">
        <w:rPr>
          <w:lang w:val="en-CA"/>
        </w:rPr>
        <w:t>program</w:t>
      </w:r>
      <w:r w:rsidR="00444094" w:rsidRPr="0061115E">
        <w:rPr>
          <w:lang w:val="en-CA"/>
        </w:rPr>
        <w:t xml:space="preserve"> that</w:t>
      </w:r>
      <w:r w:rsidRPr="0061115E">
        <w:rPr>
          <w:lang w:val="en-CA"/>
        </w:rPr>
        <w:t xml:space="preserve"> </w:t>
      </w:r>
      <w:r w:rsidR="00444094" w:rsidRPr="0061115E">
        <w:rPr>
          <w:lang w:val="en-CA"/>
        </w:rPr>
        <w:t>provided</w:t>
      </w:r>
      <w:r w:rsidRPr="0061115E">
        <w:rPr>
          <w:lang w:val="en-CA"/>
        </w:rPr>
        <w:t xml:space="preserve"> the </w:t>
      </w:r>
      <w:r w:rsidR="00D93543" w:rsidRPr="0061115E">
        <w:rPr>
          <w:lang w:val="en-CA"/>
        </w:rPr>
        <w:t xml:space="preserve">new </w:t>
      </w:r>
      <w:r w:rsidRPr="0061115E">
        <w:rPr>
          <w:lang w:val="en-CA"/>
        </w:rPr>
        <w:t xml:space="preserve">employee with </w:t>
      </w:r>
      <w:r w:rsidR="00444094" w:rsidRPr="0061115E">
        <w:rPr>
          <w:lang w:val="en-CA"/>
        </w:rPr>
        <w:t>a signing bonus</w:t>
      </w:r>
      <w:r w:rsidRPr="0061115E">
        <w:rPr>
          <w:lang w:val="en-CA"/>
        </w:rPr>
        <w:t xml:space="preserve">, accommodation for a week at a </w:t>
      </w:r>
      <w:r w:rsidR="00604F4E" w:rsidRPr="0061115E">
        <w:rPr>
          <w:lang w:val="en-CA"/>
        </w:rPr>
        <w:t>five</w:t>
      </w:r>
      <w:r w:rsidRPr="0061115E">
        <w:rPr>
          <w:lang w:val="en-CA"/>
        </w:rPr>
        <w:t xml:space="preserve">-star hotel, personalized onboarding, travel reimbursement, custom trips to nearby tourist destinations, and engagement sessions with key personnel. APL spent </w:t>
      </w:r>
      <w:r w:rsidR="00AB0FF0" w:rsidRPr="0061115E">
        <w:rPr>
          <w:lang w:val="en-CA"/>
        </w:rPr>
        <w:t xml:space="preserve">about </w:t>
      </w:r>
      <w:r w:rsidRPr="0061115E">
        <w:rPr>
          <w:lang w:val="en-CA"/>
        </w:rPr>
        <w:t>$</w:t>
      </w:r>
      <w:r w:rsidR="00AB0FF0" w:rsidRPr="0061115E">
        <w:rPr>
          <w:lang w:val="en-CA"/>
        </w:rPr>
        <w:t xml:space="preserve">1,400 </w:t>
      </w:r>
      <w:r w:rsidRPr="0061115E">
        <w:rPr>
          <w:lang w:val="en-CA"/>
        </w:rPr>
        <w:t xml:space="preserve">in associated costs on each new employee. The company provided each new employee with training relevant to the department </w:t>
      </w:r>
      <w:r w:rsidR="00444094" w:rsidRPr="0061115E">
        <w:rPr>
          <w:lang w:val="en-CA"/>
        </w:rPr>
        <w:t xml:space="preserve">that </w:t>
      </w:r>
      <w:r w:rsidR="00AB0FF0" w:rsidRPr="0061115E">
        <w:rPr>
          <w:lang w:val="en-CA"/>
        </w:rPr>
        <w:t xml:space="preserve">the employee </w:t>
      </w:r>
      <w:r w:rsidRPr="0061115E">
        <w:rPr>
          <w:lang w:val="en-CA"/>
        </w:rPr>
        <w:t>had joined</w:t>
      </w:r>
      <w:r w:rsidR="00AB0FF0" w:rsidRPr="0061115E">
        <w:rPr>
          <w:lang w:val="en-CA"/>
        </w:rPr>
        <w:t xml:space="preserve"> </w:t>
      </w:r>
      <w:r w:rsidR="00E72A4B" w:rsidRPr="0061115E">
        <w:rPr>
          <w:lang w:val="en-CA"/>
        </w:rPr>
        <w:t>and to</w:t>
      </w:r>
      <w:r w:rsidR="00AB0FF0" w:rsidRPr="0061115E">
        <w:rPr>
          <w:lang w:val="en-CA"/>
        </w:rPr>
        <w:t xml:space="preserve"> the employee’s </w:t>
      </w:r>
      <w:r w:rsidRPr="0061115E">
        <w:rPr>
          <w:lang w:val="en-CA"/>
        </w:rPr>
        <w:t>responsibility</w:t>
      </w:r>
      <w:r w:rsidR="00AB0FF0" w:rsidRPr="0061115E">
        <w:rPr>
          <w:lang w:val="en-CA"/>
        </w:rPr>
        <w:t xml:space="preserve"> and</w:t>
      </w:r>
      <w:r w:rsidRPr="0061115E">
        <w:rPr>
          <w:lang w:val="en-CA"/>
        </w:rPr>
        <w:t xml:space="preserve"> performance.</w:t>
      </w:r>
    </w:p>
    <w:p w14:paraId="3012D2B6" w14:textId="77777777" w:rsidR="00236043" w:rsidRPr="0061115E" w:rsidRDefault="00236043" w:rsidP="00236043">
      <w:pPr>
        <w:pStyle w:val="BodyTextMain"/>
        <w:rPr>
          <w:sz w:val="14"/>
          <w:szCs w:val="14"/>
          <w:lang w:val="en-CA"/>
        </w:rPr>
      </w:pPr>
    </w:p>
    <w:p w14:paraId="5D2A6DED" w14:textId="6D752215" w:rsidR="005628BD" w:rsidRPr="0061115E" w:rsidRDefault="005628BD" w:rsidP="00236043">
      <w:pPr>
        <w:pStyle w:val="BodyTextMain"/>
        <w:rPr>
          <w:spacing w:val="-4"/>
          <w:lang w:val="en-CA"/>
        </w:rPr>
      </w:pPr>
      <w:r w:rsidRPr="0061115E">
        <w:rPr>
          <w:spacing w:val="-4"/>
          <w:lang w:val="en-CA"/>
        </w:rPr>
        <w:t xml:space="preserve">Apart from an initial </w:t>
      </w:r>
      <w:r w:rsidR="00B91B06" w:rsidRPr="0061115E">
        <w:rPr>
          <w:spacing w:val="-4"/>
          <w:lang w:val="en-CA"/>
        </w:rPr>
        <w:t>six months of</w:t>
      </w:r>
      <w:r w:rsidRPr="0061115E">
        <w:rPr>
          <w:spacing w:val="-4"/>
          <w:lang w:val="en-CA"/>
        </w:rPr>
        <w:t xml:space="preserve"> training, which involved acquainting the employee with the power</w:t>
      </w:r>
      <w:r w:rsidR="00C92FE9" w:rsidRPr="0061115E">
        <w:rPr>
          <w:spacing w:val="-4"/>
          <w:lang w:val="en-CA"/>
        </w:rPr>
        <w:t xml:space="preserve"> </w:t>
      </w:r>
      <w:r w:rsidRPr="0061115E">
        <w:rPr>
          <w:spacing w:val="-4"/>
          <w:lang w:val="en-CA"/>
        </w:rPr>
        <w:t xml:space="preserve">production systems and orienting </w:t>
      </w:r>
      <w:r w:rsidR="001B6395" w:rsidRPr="0061115E">
        <w:rPr>
          <w:spacing w:val="-4"/>
          <w:lang w:val="en-CA"/>
        </w:rPr>
        <w:t>them</w:t>
      </w:r>
      <w:r w:rsidRPr="0061115E">
        <w:rPr>
          <w:spacing w:val="-4"/>
          <w:lang w:val="en-CA"/>
        </w:rPr>
        <w:t xml:space="preserve"> to best practices followed at APL, the company also offered selective role-specific training on a variety of topics</w:t>
      </w:r>
      <w:r w:rsidR="00820663" w:rsidRPr="0061115E">
        <w:rPr>
          <w:spacing w:val="-4"/>
          <w:lang w:val="en-CA"/>
        </w:rPr>
        <w:t>, which</w:t>
      </w:r>
      <w:r w:rsidRPr="0061115E">
        <w:rPr>
          <w:spacing w:val="-4"/>
          <w:lang w:val="en-CA"/>
        </w:rPr>
        <w:t xml:space="preserve"> included</w:t>
      </w:r>
      <w:r w:rsidR="00323516" w:rsidRPr="0061115E">
        <w:rPr>
          <w:spacing w:val="-4"/>
          <w:lang w:val="en-CA"/>
        </w:rPr>
        <w:t>, but were not limited to,</w:t>
      </w:r>
      <w:r w:rsidRPr="0061115E">
        <w:rPr>
          <w:spacing w:val="-4"/>
          <w:lang w:val="en-CA"/>
        </w:rPr>
        <w:t xml:space="preserve"> management information systems</w:t>
      </w:r>
      <w:r w:rsidR="00884F38" w:rsidRPr="0061115E">
        <w:rPr>
          <w:spacing w:val="-4"/>
          <w:lang w:val="en-CA"/>
        </w:rPr>
        <w:t xml:space="preserve"> </w:t>
      </w:r>
      <w:r w:rsidRPr="0061115E">
        <w:rPr>
          <w:spacing w:val="-4"/>
          <w:lang w:val="en-CA"/>
        </w:rPr>
        <w:t>modules, Six Sigma, quality improvement, customer relationship management, and lean production. Training efficiency was closely monitored, based on evaluation of the employee following each training session.</w:t>
      </w:r>
    </w:p>
    <w:p w14:paraId="3FC806D2" w14:textId="77777777" w:rsidR="00236043" w:rsidRPr="0061115E" w:rsidRDefault="00236043" w:rsidP="00236043">
      <w:pPr>
        <w:pStyle w:val="BodyTextMain"/>
        <w:rPr>
          <w:sz w:val="14"/>
          <w:szCs w:val="14"/>
          <w:lang w:val="en-CA"/>
        </w:rPr>
      </w:pPr>
    </w:p>
    <w:p w14:paraId="77BA8B70" w14:textId="77777777" w:rsidR="00236043" w:rsidRPr="0061115E" w:rsidRDefault="00236043" w:rsidP="00236043">
      <w:pPr>
        <w:pStyle w:val="BodyTextMain"/>
        <w:rPr>
          <w:sz w:val="14"/>
          <w:szCs w:val="14"/>
          <w:lang w:val="en-CA"/>
        </w:rPr>
      </w:pPr>
    </w:p>
    <w:p w14:paraId="4A845022" w14:textId="77777777" w:rsidR="005628BD" w:rsidRPr="0061115E" w:rsidRDefault="005628BD" w:rsidP="00236043">
      <w:pPr>
        <w:pStyle w:val="Casehead2"/>
        <w:rPr>
          <w:lang w:val="en-CA"/>
        </w:rPr>
      </w:pPr>
      <w:r w:rsidRPr="0061115E">
        <w:rPr>
          <w:lang w:val="en-CA"/>
        </w:rPr>
        <w:t>Work Organization</w:t>
      </w:r>
    </w:p>
    <w:p w14:paraId="5102F959" w14:textId="77777777" w:rsidR="00236043" w:rsidRPr="0061115E" w:rsidRDefault="00236043" w:rsidP="00236043">
      <w:pPr>
        <w:pStyle w:val="BodyTextMain"/>
        <w:rPr>
          <w:sz w:val="14"/>
          <w:szCs w:val="14"/>
          <w:lang w:val="en-CA"/>
        </w:rPr>
      </w:pPr>
    </w:p>
    <w:p w14:paraId="7A24B2BB" w14:textId="7D552051" w:rsidR="005628BD" w:rsidRPr="0061115E" w:rsidRDefault="005628BD" w:rsidP="00236043">
      <w:pPr>
        <w:pStyle w:val="BodyTextMain"/>
        <w:rPr>
          <w:lang w:val="en-CA"/>
        </w:rPr>
      </w:pPr>
      <w:r w:rsidRPr="0061115E">
        <w:rPr>
          <w:lang w:val="en-CA"/>
        </w:rPr>
        <w:t xml:space="preserve">APL divided its workforce into 14 </w:t>
      </w:r>
      <w:r w:rsidR="00A54EFB" w:rsidRPr="0061115E">
        <w:rPr>
          <w:lang w:val="en-CA"/>
        </w:rPr>
        <w:t>departments</w:t>
      </w:r>
      <w:r w:rsidRPr="0061115E">
        <w:rPr>
          <w:lang w:val="en-CA"/>
        </w:rPr>
        <w:t xml:space="preserve"> </w:t>
      </w:r>
      <w:r w:rsidR="00453B2B" w:rsidRPr="0061115E">
        <w:rPr>
          <w:lang w:val="en-CA"/>
        </w:rPr>
        <w:t xml:space="preserve">(see </w:t>
      </w:r>
      <w:r w:rsidRPr="0061115E">
        <w:rPr>
          <w:lang w:val="en-CA"/>
        </w:rPr>
        <w:t xml:space="preserve">Exhibit </w:t>
      </w:r>
      <w:r w:rsidR="00166313" w:rsidRPr="0061115E">
        <w:rPr>
          <w:lang w:val="en-CA"/>
        </w:rPr>
        <w:t>3</w:t>
      </w:r>
      <w:r w:rsidR="00453B2B" w:rsidRPr="0061115E">
        <w:rPr>
          <w:lang w:val="en-CA"/>
        </w:rPr>
        <w:t>)</w:t>
      </w:r>
      <w:r w:rsidRPr="0061115E">
        <w:rPr>
          <w:lang w:val="en-CA"/>
        </w:rPr>
        <w:t xml:space="preserve">. Each </w:t>
      </w:r>
      <w:r w:rsidR="00A54EFB" w:rsidRPr="0061115E">
        <w:rPr>
          <w:lang w:val="en-CA"/>
        </w:rPr>
        <w:t xml:space="preserve">department </w:t>
      </w:r>
      <w:r w:rsidRPr="0061115E">
        <w:rPr>
          <w:lang w:val="en-CA"/>
        </w:rPr>
        <w:t xml:space="preserve">had defined strategies and goals for each quarter. </w:t>
      </w:r>
      <w:r w:rsidR="00DA5CB6" w:rsidRPr="0061115E">
        <w:rPr>
          <w:lang w:val="en-CA"/>
        </w:rPr>
        <w:t xml:space="preserve">Although </w:t>
      </w:r>
      <w:r w:rsidRPr="0061115E">
        <w:rPr>
          <w:lang w:val="en-CA"/>
        </w:rPr>
        <w:t xml:space="preserve">each </w:t>
      </w:r>
      <w:r w:rsidR="005E7BC8" w:rsidRPr="0061115E">
        <w:rPr>
          <w:lang w:val="en-CA"/>
        </w:rPr>
        <w:t xml:space="preserve">department </w:t>
      </w:r>
      <w:r w:rsidRPr="0061115E">
        <w:rPr>
          <w:lang w:val="en-CA"/>
        </w:rPr>
        <w:t>functioned independently, all work functions were closely related, deriving value for the organization in a coherent way.</w:t>
      </w:r>
    </w:p>
    <w:p w14:paraId="6CE9A33F" w14:textId="77777777" w:rsidR="00236043" w:rsidRPr="0061115E" w:rsidRDefault="00236043" w:rsidP="00236043">
      <w:pPr>
        <w:pStyle w:val="BodyTextMain"/>
        <w:rPr>
          <w:sz w:val="14"/>
          <w:szCs w:val="14"/>
          <w:lang w:val="en-CA"/>
        </w:rPr>
      </w:pPr>
    </w:p>
    <w:p w14:paraId="5A2896B4" w14:textId="45C5D05E" w:rsidR="005628BD" w:rsidRPr="0061115E" w:rsidRDefault="005628BD" w:rsidP="00236043">
      <w:pPr>
        <w:pStyle w:val="BodyTextMain"/>
        <w:rPr>
          <w:lang w:val="en-CA"/>
        </w:rPr>
      </w:pPr>
      <w:r w:rsidRPr="0061115E">
        <w:rPr>
          <w:lang w:val="en-CA"/>
        </w:rPr>
        <w:t xml:space="preserve">Power production lay at the heart of operations at APL. The company focused on optimizing production through cost-cutting initiatives and </w:t>
      </w:r>
      <w:r w:rsidR="003F4B8C" w:rsidRPr="0061115E">
        <w:rPr>
          <w:lang w:val="en-CA"/>
        </w:rPr>
        <w:t xml:space="preserve">the </w:t>
      </w:r>
      <w:r w:rsidR="006D561A" w:rsidRPr="0061115E">
        <w:rPr>
          <w:lang w:val="en-CA"/>
        </w:rPr>
        <w:t>ad</w:t>
      </w:r>
      <w:r w:rsidR="00166313" w:rsidRPr="0061115E">
        <w:rPr>
          <w:lang w:val="en-CA"/>
        </w:rPr>
        <w:t>o</w:t>
      </w:r>
      <w:r w:rsidR="006D561A" w:rsidRPr="0061115E">
        <w:rPr>
          <w:lang w:val="en-CA"/>
        </w:rPr>
        <w:t>ption</w:t>
      </w:r>
      <w:r w:rsidRPr="0061115E">
        <w:rPr>
          <w:lang w:val="en-CA"/>
        </w:rPr>
        <w:t xml:space="preserve"> of lean technologies. All other departments sought to </w:t>
      </w:r>
      <w:r w:rsidR="007B784B" w:rsidRPr="0061115E">
        <w:rPr>
          <w:lang w:val="en-CA"/>
        </w:rPr>
        <w:t xml:space="preserve">maximize </w:t>
      </w:r>
      <w:r w:rsidRPr="0061115E">
        <w:rPr>
          <w:lang w:val="en-CA"/>
        </w:rPr>
        <w:t xml:space="preserve">their contribution </w:t>
      </w:r>
      <w:r w:rsidR="001250E8" w:rsidRPr="0061115E">
        <w:rPr>
          <w:lang w:val="en-CA"/>
        </w:rPr>
        <w:t>toward</w:t>
      </w:r>
      <w:r w:rsidRPr="0061115E">
        <w:rPr>
          <w:lang w:val="en-CA"/>
        </w:rPr>
        <w:t xml:space="preserve"> achieving this long-term goal.</w:t>
      </w:r>
    </w:p>
    <w:p w14:paraId="622A6A1B" w14:textId="77777777" w:rsidR="00236043" w:rsidRPr="0061115E" w:rsidRDefault="00236043" w:rsidP="00236043">
      <w:pPr>
        <w:pStyle w:val="BodyTextMain"/>
        <w:rPr>
          <w:sz w:val="14"/>
          <w:szCs w:val="14"/>
          <w:lang w:val="en-CA"/>
        </w:rPr>
      </w:pPr>
    </w:p>
    <w:p w14:paraId="10356B2C" w14:textId="50D77340" w:rsidR="005628BD" w:rsidRPr="0061115E" w:rsidRDefault="005628BD" w:rsidP="00236043">
      <w:pPr>
        <w:pStyle w:val="BodyTextMain"/>
        <w:rPr>
          <w:lang w:val="en-CA"/>
        </w:rPr>
      </w:pPr>
      <w:r w:rsidRPr="0061115E">
        <w:rPr>
          <w:lang w:val="en-CA"/>
        </w:rPr>
        <w:t xml:space="preserve">APL continued to monitor </w:t>
      </w:r>
      <w:r w:rsidR="004C4D89" w:rsidRPr="0061115E">
        <w:rPr>
          <w:lang w:val="en-CA"/>
        </w:rPr>
        <w:t xml:space="preserve">staff </w:t>
      </w:r>
      <w:r w:rsidRPr="0061115E">
        <w:rPr>
          <w:lang w:val="en-CA"/>
        </w:rPr>
        <w:t xml:space="preserve">performance throughout </w:t>
      </w:r>
      <w:r w:rsidR="00370C3B" w:rsidRPr="0061115E">
        <w:rPr>
          <w:lang w:val="en-CA"/>
        </w:rPr>
        <w:t xml:space="preserve">the </w:t>
      </w:r>
      <w:r w:rsidR="00066E44" w:rsidRPr="0061115E">
        <w:rPr>
          <w:lang w:val="en-CA"/>
        </w:rPr>
        <w:t>duration of</w:t>
      </w:r>
      <w:r w:rsidR="00370C3B" w:rsidRPr="0061115E">
        <w:rPr>
          <w:lang w:val="en-CA"/>
        </w:rPr>
        <w:t xml:space="preserve"> </w:t>
      </w:r>
      <w:r w:rsidR="004C4D89" w:rsidRPr="0061115E">
        <w:rPr>
          <w:lang w:val="en-CA"/>
        </w:rPr>
        <w:t xml:space="preserve">staff </w:t>
      </w:r>
      <w:r w:rsidRPr="0061115E">
        <w:rPr>
          <w:lang w:val="en-CA"/>
        </w:rPr>
        <w:t>employment. Most managers found employees’ performance to be satisfactory</w:t>
      </w:r>
      <w:r w:rsidR="00A23EA5" w:rsidRPr="0061115E">
        <w:rPr>
          <w:lang w:val="en-CA"/>
        </w:rPr>
        <w:t>; however,</w:t>
      </w:r>
      <w:r w:rsidRPr="0061115E">
        <w:rPr>
          <w:lang w:val="en-CA"/>
        </w:rPr>
        <w:t xml:space="preserve"> in some cases managers struggled to ensure employees were sufficiently productive. To promote optimal growth among its employees, APL proposed a promotion </w:t>
      </w:r>
      <w:r w:rsidR="00270867" w:rsidRPr="0061115E">
        <w:rPr>
          <w:lang w:val="en-CA"/>
        </w:rPr>
        <w:t>or</w:t>
      </w:r>
      <w:r w:rsidRPr="0061115E">
        <w:rPr>
          <w:lang w:val="en-CA"/>
        </w:rPr>
        <w:t xml:space="preserve"> a raise in salary</w:t>
      </w:r>
      <w:r w:rsidR="004C4D89" w:rsidRPr="0061115E">
        <w:rPr>
          <w:lang w:val="en-CA"/>
        </w:rPr>
        <w:t>,</w:t>
      </w:r>
      <w:r w:rsidR="00270867" w:rsidRPr="0061115E">
        <w:rPr>
          <w:lang w:val="en-CA"/>
        </w:rPr>
        <w:t xml:space="preserve"> or both</w:t>
      </w:r>
      <w:r w:rsidR="004C4D89" w:rsidRPr="0061115E">
        <w:rPr>
          <w:lang w:val="en-CA"/>
        </w:rPr>
        <w:t>,</w:t>
      </w:r>
      <w:r w:rsidRPr="0061115E">
        <w:rPr>
          <w:lang w:val="en-CA"/>
        </w:rPr>
        <w:t xml:space="preserve"> for every individual</w:t>
      </w:r>
      <w:r w:rsidR="00305D30" w:rsidRPr="0061115E">
        <w:rPr>
          <w:lang w:val="en-CA"/>
        </w:rPr>
        <w:t>,</w:t>
      </w:r>
      <w:r w:rsidRPr="0061115E">
        <w:rPr>
          <w:lang w:val="en-CA"/>
        </w:rPr>
        <w:t xml:space="preserve"> based on </w:t>
      </w:r>
      <w:r w:rsidR="00270867" w:rsidRPr="0061115E">
        <w:rPr>
          <w:lang w:val="en-CA"/>
        </w:rPr>
        <w:t>the individual’s</w:t>
      </w:r>
      <w:r w:rsidRPr="0061115E">
        <w:rPr>
          <w:lang w:val="en-CA"/>
        </w:rPr>
        <w:t xml:space="preserve"> contribution to the department, </w:t>
      </w:r>
      <w:r w:rsidR="00305F0A" w:rsidRPr="0061115E">
        <w:rPr>
          <w:lang w:val="en-CA"/>
        </w:rPr>
        <w:t>dedication</w:t>
      </w:r>
      <w:r w:rsidRPr="0061115E">
        <w:rPr>
          <w:lang w:val="en-CA"/>
        </w:rPr>
        <w:t xml:space="preserve">, and performance in the </w:t>
      </w:r>
      <w:r w:rsidR="008C0BC4" w:rsidRPr="0061115E">
        <w:rPr>
          <w:lang w:val="en-CA"/>
        </w:rPr>
        <w:t xml:space="preserve">fiscal </w:t>
      </w:r>
      <w:r w:rsidRPr="0061115E">
        <w:rPr>
          <w:lang w:val="en-CA"/>
        </w:rPr>
        <w:t>year under consideration.</w:t>
      </w:r>
    </w:p>
    <w:p w14:paraId="6C5D36E5" w14:textId="77777777" w:rsidR="00236043" w:rsidRPr="0061115E" w:rsidRDefault="00236043" w:rsidP="00236043">
      <w:pPr>
        <w:pStyle w:val="BodyTextMain"/>
        <w:rPr>
          <w:sz w:val="14"/>
          <w:szCs w:val="14"/>
          <w:lang w:val="en-CA"/>
        </w:rPr>
      </w:pPr>
    </w:p>
    <w:p w14:paraId="4F0FED12" w14:textId="409C718A" w:rsidR="005628BD" w:rsidRPr="0061115E" w:rsidRDefault="005628BD" w:rsidP="00236043">
      <w:pPr>
        <w:pStyle w:val="BodyTextMain"/>
        <w:rPr>
          <w:iCs/>
          <w:color w:val="000000"/>
          <w:lang w:val="en-CA"/>
        </w:rPr>
      </w:pPr>
      <w:r w:rsidRPr="0061115E">
        <w:rPr>
          <w:lang w:val="en-CA"/>
        </w:rPr>
        <w:t>APL assigned notice periods to employees according to the role</w:t>
      </w:r>
      <w:r w:rsidR="004C4D89" w:rsidRPr="0061115E">
        <w:rPr>
          <w:lang w:val="en-CA"/>
        </w:rPr>
        <w:t xml:space="preserve"> that</w:t>
      </w:r>
      <w:r w:rsidRPr="0061115E">
        <w:rPr>
          <w:lang w:val="en-CA"/>
        </w:rPr>
        <w:t xml:space="preserve"> </w:t>
      </w:r>
      <w:r w:rsidR="004C4D89" w:rsidRPr="0061115E">
        <w:rPr>
          <w:lang w:val="en-CA"/>
        </w:rPr>
        <w:t>the employee was</w:t>
      </w:r>
      <w:r w:rsidRPr="0061115E">
        <w:rPr>
          <w:lang w:val="en-CA"/>
        </w:rPr>
        <w:t xml:space="preserve"> hired for. </w:t>
      </w:r>
      <w:r w:rsidR="0008237C" w:rsidRPr="0061115E">
        <w:rPr>
          <w:lang w:val="en-CA"/>
        </w:rPr>
        <w:t>APL highlighted its zero-day notice period for trainee management and middle management roles to emphasize its commitment to keeping employees, and to ensure that those who wished to pursue other opportunities, could do so at will</w:t>
      </w:r>
      <w:r w:rsidRPr="0061115E">
        <w:rPr>
          <w:lang w:val="en-CA"/>
        </w:rPr>
        <w:t>. APL was known as an employer that valued ambitious staff who had the urge to give their best</w:t>
      </w:r>
      <w:r w:rsidR="00AB1320" w:rsidRPr="0061115E">
        <w:rPr>
          <w:lang w:val="en-CA"/>
        </w:rPr>
        <w:t>; in return, APL</w:t>
      </w:r>
      <w:r w:rsidRPr="0061115E">
        <w:rPr>
          <w:lang w:val="en-CA"/>
        </w:rPr>
        <w:t xml:space="preserve"> expected the best treatment. However, </w:t>
      </w:r>
      <w:r w:rsidR="00EA21BA" w:rsidRPr="0061115E">
        <w:rPr>
          <w:lang w:val="en-CA"/>
        </w:rPr>
        <w:t xml:space="preserve">APL </w:t>
      </w:r>
      <w:r w:rsidRPr="0061115E">
        <w:rPr>
          <w:lang w:val="en-CA"/>
        </w:rPr>
        <w:t>required a longer notice period for certain roles and positions</w:t>
      </w:r>
      <w:r w:rsidR="00DA5CB6" w:rsidRPr="0061115E">
        <w:rPr>
          <w:lang w:val="en-CA"/>
        </w:rPr>
        <w:t>,</w:t>
      </w:r>
      <w:r w:rsidRPr="0061115E">
        <w:rPr>
          <w:lang w:val="en-CA"/>
        </w:rPr>
        <w:t xml:space="preserve"> </w:t>
      </w:r>
      <w:r w:rsidR="00DA5CB6" w:rsidRPr="0061115E">
        <w:rPr>
          <w:lang w:val="en-CA"/>
        </w:rPr>
        <w:t xml:space="preserve">including </w:t>
      </w:r>
      <w:r w:rsidRPr="0061115E">
        <w:rPr>
          <w:lang w:val="en-CA"/>
        </w:rPr>
        <w:t xml:space="preserve">personnel in essential services, such as core power generation, and key positions in top management, where it remained very important to maintain staffing numbers. To strengthen its human capital, </w:t>
      </w:r>
      <w:r w:rsidRPr="0061115E">
        <w:rPr>
          <w:iCs/>
          <w:color w:val="000000"/>
          <w:lang w:val="en-CA"/>
        </w:rPr>
        <w:t>APL</w:t>
      </w:r>
      <w:r w:rsidR="002E63E0" w:rsidRPr="0061115E">
        <w:rPr>
          <w:iCs/>
          <w:color w:val="000000"/>
          <w:lang w:val="en-CA"/>
        </w:rPr>
        <w:t xml:space="preserve"> had</w:t>
      </w:r>
      <w:r w:rsidRPr="0061115E">
        <w:rPr>
          <w:iCs/>
          <w:color w:val="000000"/>
          <w:lang w:val="en-CA"/>
        </w:rPr>
        <w:t xml:space="preserve"> maintained an average of 200 new hires each </w:t>
      </w:r>
      <w:r w:rsidR="008C0BC4" w:rsidRPr="0061115E">
        <w:rPr>
          <w:iCs/>
          <w:color w:val="000000"/>
          <w:lang w:val="en-CA"/>
        </w:rPr>
        <w:t xml:space="preserve">fiscal </w:t>
      </w:r>
      <w:r w:rsidRPr="0061115E">
        <w:rPr>
          <w:iCs/>
          <w:color w:val="000000"/>
          <w:lang w:val="en-CA"/>
        </w:rPr>
        <w:t xml:space="preserve">year across each plant location for the </w:t>
      </w:r>
      <w:r w:rsidR="00820663" w:rsidRPr="0061115E">
        <w:rPr>
          <w:iCs/>
          <w:color w:val="000000"/>
          <w:lang w:val="en-CA"/>
        </w:rPr>
        <w:t>p</w:t>
      </w:r>
      <w:r w:rsidRPr="0061115E">
        <w:rPr>
          <w:iCs/>
          <w:color w:val="000000"/>
          <w:lang w:val="en-CA"/>
        </w:rPr>
        <w:t>ast few years.</w:t>
      </w:r>
    </w:p>
    <w:p w14:paraId="67E94190" w14:textId="4F932078" w:rsidR="005628BD" w:rsidRDefault="3AE70F20" w:rsidP="00236043">
      <w:pPr>
        <w:pStyle w:val="BodyTextMain"/>
        <w:rPr>
          <w:lang w:val="en-CA"/>
        </w:rPr>
      </w:pPr>
      <w:r w:rsidRPr="0061115E">
        <w:rPr>
          <w:color w:val="000000" w:themeColor="text1"/>
          <w:lang w:val="en-CA"/>
        </w:rPr>
        <w:lastRenderedPageBreak/>
        <w:t xml:space="preserve">The organization </w:t>
      </w:r>
      <w:r w:rsidR="00121B30" w:rsidRPr="0061115E">
        <w:rPr>
          <w:color w:val="000000" w:themeColor="text1"/>
          <w:lang w:val="en-CA"/>
        </w:rPr>
        <w:t xml:space="preserve">had </w:t>
      </w:r>
      <w:r w:rsidRPr="0061115E">
        <w:rPr>
          <w:color w:val="000000" w:themeColor="text1"/>
          <w:lang w:val="en-CA"/>
        </w:rPr>
        <w:t>developed a township in the vicinity of each power plant</w:t>
      </w:r>
      <w:r w:rsidR="00121B30" w:rsidRPr="0061115E">
        <w:rPr>
          <w:color w:val="000000" w:themeColor="text1"/>
          <w:lang w:val="en-CA"/>
        </w:rPr>
        <w:t xml:space="preserve"> and</w:t>
      </w:r>
      <w:r w:rsidRPr="0061115E">
        <w:rPr>
          <w:color w:val="000000" w:themeColor="text1"/>
          <w:lang w:val="en-CA"/>
        </w:rPr>
        <w:t xml:space="preserve"> therein </w:t>
      </w:r>
      <w:r w:rsidR="00C87CEE" w:rsidRPr="0061115E">
        <w:rPr>
          <w:color w:val="000000" w:themeColor="text1"/>
          <w:lang w:val="en-CA"/>
        </w:rPr>
        <w:t xml:space="preserve">offered </w:t>
      </w:r>
      <w:r w:rsidRPr="0061115E">
        <w:rPr>
          <w:color w:val="000000" w:themeColor="text1"/>
          <w:lang w:val="en-CA"/>
        </w:rPr>
        <w:t>a broad range of amenities</w:t>
      </w:r>
      <w:r w:rsidR="00C87CEE" w:rsidRPr="0061115E">
        <w:rPr>
          <w:color w:val="000000" w:themeColor="text1"/>
          <w:lang w:val="en-CA"/>
        </w:rPr>
        <w:t>,</w:t>
      </w:r>
      <w:r w:rsidRPr="0061115E">
        <w:rPr>
          <w:color w:val="000000" w:themeColor="text1"/>
          <w:lang w:val="en-CA"/>
        </w:rPr>
        <w:t xml:space="preserve"> such as residential quarters, supermarkets</w:t>
      </w:r>
      <w:r w:rsidR="00AA3B5A" w:rsidRPr="0061115E">
        <w:rPr>
          <w:color w:val="000000" w:themeColor="text1"/>
          <w:lang w:val="en-CA"/>
        </w:rPr>
        <w:t>,</w:t>
      </w:r>
      <w:r w:rsidRPr="0061115E">
        <w:rPr>
          <w:color w:val="000000" w:themeColor="text1"/>
          <w:lang w:val="en-CA"/>
        </w:rPr>
        <w:t xml:space="preserve"> and recreation centres, which in turn employed and</w:t>
      </w:r>
      <w:r w:rsidR="00C87CEE" w:rsidRPr="0061115E">
        <w:rPr>
          <w:color w:val="000000" w:themeColor="text1"/>
          <w:lang w:val="en-CA"/>
        </w:rPr>
        <w:t xml:space="preserve"> were</w:t>
      </w:r>
      <w:r w:rsidRPr="0061115E">
        <w:rPr>
          <w:color w:val="000000" w:themeColor="text1"/>
          <w:lang w:val="en-CA"/>
        </w:rPr>
        <w:t xml:space="preserve"> inhabited</w:t>
      </w:r>
      <w:r w:rsidR="00C87CEE" w:rsidRPr="0061115E">
        <w:rPr>
          <w:color w:val="000000" w:themeColor="text1"/>
          <w:lang w:val="en-CA"/>
        </w:rPr>
        <w:t xml:space="preserve"> by</w:t>
      </w:r>
      <w:r w:rsidRPr="0061115E">
        <w:rPr>
          <w:color w:val="000000" w:themeColor="text1"/>
          <w:lang w:val="en-CA"/>
        </w:rPr>
        <w:t xml:space="preserve"> the </w:t>
      </w:r>
      <w:r w:rsidR="001346AA" w:rsidRPr="0061115E">
        <w:rPr>
          <w:color w:val="000000" w:themeColor="text1"/>
          <w:lang w:val="en-CA"/>
        </w:rPr>
        <w:t>local</w:t>
      </w:r>
      <w:r w:rsidR="00DA5CB6" w:rsidRPr="0061115E">
        <w:rPr>
          <w:color w:val="000000" w:themeColor="text1"/>
          <w:lang w:val="en-CA"/>
        </w:rPr>
        <w:t xml:space="preserve"> community</w:t>
      </w:r>
      <w:r w:rsidRPr="0061115E">
        <w:rPr>
          <w:color w:val="000000" w:themeColor="text1"/>
          <w:lang w:val="en-CA"/>
        </w:rPr>
        <w:t>.</w:t>
      </w:r>
      <w:r w:rsidR="00C92FE9" w:rsidRPr="0061115E">
        <w:rPr>
          <w:color w:val="000000" w:themeColor="text1"/>
          <w:lang w:val="en-CA"/>
        </w:rPr>
        <w:t xml:space="preserve"> </w:t>
      </w:r>
      <w:r w:rsidRPr="0061115E">
        <w:rPr>
          <w:lang w:val="en-CA"/>
        </w:rPr>
        <w:t xml:space="preserve">APL was accustomed to organizing engaging </w:t>
      </w:r>
      <w:r w:rsidR="00B23F3D" w:rsidRPr="0061115E">
        <w:rPr>
          <w:lang w:val="en-CA"/>
        </w:rPr>
        <w:t xml:space="preserve">extramural </w:t>
      </w:r>
      <w:r w:rsidRPr="0061115E">
        <w:rPr>
          <w:lang w:val="en-CA"/>
        </w:rPr>
        <w:t>activities among its employees, labour unions, skilled technicians, and township dwellers</w:t>
      </w:r>
      <w:r w:rsidR="00E810A3" w:rsidRPr="0061115E">
        <w:rPr>
          <w:lang w:val="en-CA"/>
        </w:rPr>
        <w:t>.</w:t>
      </w:r>
      <w:r w:rsidR="00287812" w:rsidRPr="0061115E">
        <w:rPr>
          <w:rStyle w:val="FootnoteReference"/>
          <w:lang w:val="en-CA"/>
        </w:rPr>
        <w:footnoteReference w:id="5"/>
      </w:r>
      <w:r w:rsidRPr="0061115E">
        <w:rPr>
          <w:lang w:val="en-CA"/>
        </w:rPr>
        <w:t xml:space="preserve"> These </w:t>
      </w:r>
      <w:r w:rsidR="00820663" w:rsidRPr="0061115E">
        <w:rPr>
          <w:lang w:val="en-CA"/>
        </w:rPr>
        <w:t xml:space="preserve">activities </w:t>
      </w:r>
      <w:r w:rsidRPr="0061115E">
        <w:rPr>
          <w:lang w:val="en-CA"/>
        </w:rPr>
        <w:t xml:space="preserve">included occasional cricket matches, safety drills, departmental trips, </w:t>
      </w:r>
      <w:r w:rsidR="000756E1" w:rsidRPr="0061115E">
        <w:rPr>
          <w:lang w:val="en-CA"/>
        </w:rPr>
        <w:t xml:space="preserve">the </w:t>
      </w:r>
      <w:r w:rsidRPr="0061115E">
        <w:rPr>
          <w:lang w:val="en-CA"/>
        </w:rPr>
        <w:t xml:space="preserve">celebration of all national festivals, and </w:t>
      </w:r>
      <w:r w:rsidR="000756E1" w:rsidRPr="0061115E">
        <w:rPr>
          <w:lang w:val="en-CA"/>
        </w:rPr>
        <w:t xml:space="preserve">the </w:t>
      </w:r>
      <w:r w:rsidR="001D1DC7" w:rsidRPr="0061115E">
        <w:rPr>
          <w:lang w:val="en-CA"/>
        </w:rPr>
        <w:t xml:space="preserve">organization </w:t>
      </w:r>
      <w:r w:rsidRPr="0061115E">
        <w:rPr>
          <w:lang w:val="en-CA"/>
        </w:rPr>
        <w:t>of skits and role-plays throughout the year.</w:t>
      </w:r>
    </w:p>
    <w:p w14:paraId="5A518CF5" w14:textId="05998C64" w:rsidR="0061115E" w:rsidRDefault="0061115E" w:rsidP="00236043">
      <w:pPr>
        <w:pStyle w:val="BodyTextMain"/>
        <w:rPr>
          <w:lang w:val="en-CA"/>
        </w:rPr>
      </w:pPr>
    </w:p>
    <w:p w14:paraId="6EAB95B1" w14:textId="77777777" w:rsidR="0061115E" w:rsidRPr="0061115E" w:rsidRDefault="0061115E" w:rsidP="00236043">
      <w:pPr>
        <w:pStyle w:val="BodyTextMain"/>
        <w:rPr>
          <w:lang w:val="en-CA"/>
        </w:rPr>
      </w:pPr>
    </w:p>
    <w:p w14:paraId="5A2EA768" w14:textId="77777777" w:rsidR="005628BD" w:rsidRPr="0061115E" w:rsidRDefault="005628BD" w:rsidP="00236043">
      <w:pPr>
        <w:pStyle w:val="Casehead1"/>
        <w:keepNext/>
        <w:rPr>
          <w:lang w:val="en-CA"/>
        </w:rPr>
      </w:pPr>
      <w:r w:rsidRPr="0061115E">
        <w:rPr>
          <w:lang w:val="en-CA"/>
        </w:rPr>
        <w:t>The Problem</w:t>
      </w:r>
    </w:p>
    <w:p w14:paraId="4AD93452" w14:textId="77777777" w:rsidR="00236043" w:rsidRPr="0061115E" w:rsidRDefault="00236043" w:rsidP="00236043">
      <w:pPr>
        <w:pStyle w:val="BodyTextMain"/>
        <w:keepNext/>
        <w:rPr>
          <w:lang w:val="en-CA"/>
        </w:rPr>
      </w:pPr>
    </w:p>
    <w:p w14:paraId="09B90B14" w14:textId="45C442A3" w:rsidR="005628BD" w:rsidRPr="0061115E" w:rsidRDefault="3AE70F20" w:rsidP="00236043">
      <w:pPr>
        <w:pStyle w:val="BodyTextMain"/>
        <w:keepNext/>
        <w:rPr>
          <w:lang w:val="en-CA"/>
        </w:rPr>
      </w:pPr>
      <w:r w:rsidRPr="0061115E">
        <w:rPr>
          <w:lang w:val="en-CA"/>
        </w:rPr>
        <w:t xml:space="preserve">Chaubey had no clue as to what was going wrong with </w:t>
      </w:r>
      <w:r w:rsidR="004A0055" w:rsidRPr="0061115E">
        <w:rPr>
          <w:lang w:val="en-CA"/>
        </w:rPr>
        <w:t xml:space="preserve">the </w:t>
      </w:r>
      <w:r w:rsidRPr="0061115E">
        <w:rPr>
          <w:lang w:val="en-CA"/>
        </w:rPr>
        <w:t>new hires. There had been no significant change</w:t>
      </w:r>
      <w:r w:rsidR="000452B8" w:rsidRPr="0061115E">
        <w:rPr>
          <w:lang w:val="en-CA"/>
        </w:rPr>
        <w:t xml:space="preserve"> to hiring practices</w:t>
      </w:r>
      <w:r w:rsidRPr="0061115E">
        <w:rPr>
          <w:lang w:val="en-CA"/>
        </w:rPr>
        <w:t xml:space="preserve"> over the past decades, especially </w:t>
      </w:r>
      <w:r w:rsidR="00A871C6" w:rsidRPr="0061115E">
        <w:rPr>
          <w:lang w:val="en-CA"/>
        </w:rPr>
        <w:t xml:space="preserve">with regard to </w:t>
      </w:r>
      <w:r w:rsidRPr="0061115E">
        <w:rPr>
          <w:lang w:val="en-CA"/>
        </w:rPr>
        <w:t>recent graduates. In the past five years</w:t>
      </w:r>
      <w:r w:rsidR="000E16D5" w:rsidRPr="0061115E">
        <w:rPr>
          <w:lang w:val="en-CA"/>
        </w:rPr>
        <w:t>,</w:t>
      </w:r>
      <w:r w:rsidRPr="0061115E">
        <w:rPr>
          <w:lang w:val="en-CA"/>
        </w:rPr>
        <w:t xml:space="preserve"> </w:t>
      </w:r>
      <w:r w:rsidR="000E16D5" w:rsidRPr="0061115E">
        <w:rPr>
          <w:lang w:val="en-CA"/>
        </w:rPr>
        <w:t>Chaubey</w:t>
      </w:r>
      <w:r w:rsidRPr="0061115E">
        <w:rPr>
          <w:lang w:val="en-CA"/>
        </w:rPr>
        <w:t xml:space="preserve"> had checked </w:t>
      </w:r>
      <w:r w:rsidR="00E4405E" w:rsidRPr="0061115E">
        <w:rPr>
          <w:lang w:val="en-CA"/>
        </w:rPr>
        <w:t xml:space="preserve">with staff </w:t>
      </w:r>
      <w:r w:rsidRPr="0061115E">
        <w:rPr>
          <w:lang w:val="en-CA"/>
        </w:rPr>
        <w:t>multiple times about their accommodation</w:t>
      </w:r>
      <w:r w:rsidR="0023197D" w:rsidRPr="0061115E">
        <w:rPr>
          <w:lang w:val="en-CA"/>
        </w:rPr>
        <w:t>s</w:t>
      </w:r>
      <w:r w:rsidRPr="0061115E">
        <w:rPr>
          <w:lang w:val="en-CA"/>
        </w:rPr>
        <w:t xml:space="preserve"> and food </w:t>
      </w:r>
      <w:r w:rsidR="0023197D" w:rsidRPr="0061115E">
        <w:rPr>
          <w:lang w:val="en-CA"/>
        </w:rPr>
        <w:t>provisions</w:t>
      </w:r>
      <w:r w:rsidRPr="0061115E">
        <w:rPr>
          <w:lang w:val="en-CA"/>
        </w:rPr>
        <w:t xml:space="preserve">, </w:t>
      </w:r>
      <w:r w:rsidR="00166313" w:rsidRPr="0061115E">
        <w:rPr>
          <w:lang w:val="en-CA"/>
        </w:rPr>
        <w:t xml:space="preserve">and these were reported as </w:t>
      </w:r>
      <w:r w:rsidR="00820663" w:rsidRPr="0061115E">
        <w:rPr>
          <w:lang w:val="en-CA"/>
        </w:rPr>
        <w:t xml:space="preserve">being </w:t>
      </w:r>
      <w:r w:rsidR="00166313" w:rsidRPr="0061115E">
        <w:rPr>
          <w:lang w:val="en-CA"/>
        </w:rPr>
        <w:t>optimal</w:t>
      </w:r>
      <w:r w:rsidRPr="0061115E">
        <w:rPr>
          <w:lang w:val="en-CA"/>
        </w:rPr>
        <w:t xml:space="preserve">. Chaubey was also driven to ascertain the effectiveness of his recruitment activity. Rather than </w:t>
      </w:r>
      <w:r w:rsidR="00D75B5B" w:rsidRPr="0061115E">
        <w:rPr>
          <w:lang w:val="en-CA"/>
        </w:rPr>
        <w:t xml:space="preserve">rely </w:t>
      </w:r>
      <w:r w:rsidRPr="0061115E">
        <w:rPr>
          <w:lang w:val="en-CA"/>
        </w:rPr>
        <w:t>on his own instincts, Chaubey decided to take a data-driven approach to address the challenge of</w:t>
      </w:r>
      <w:r w:rsidR="001346AA" w:rsidRPr="0061115E">
        <w:rPr>
          <w:lang w:val="en-CA"/>
        </w:rPr>
        <w:t xml:space="preserve"> </w:t>
      </w:r>
      <w:r w:rsidRPr="0061115E">
        <w:rPr>
          <w:lang w:val="en-CA"/>
        </w:rPr>
        <w:t xml:space="preserve">high levels of turnover within the first year of employment. He wanted to identify indicators </w:t>
      </w:r>
      <w:r w:rsidR="009279FD" w:rsidRPr="0061115E">
        <w:rPr>
          <w:lang w:val="en-CA"/>
        </w:rPr>
        <w:t xml:space="preserve">that </w:t>
      </w:r>
      <w:r w:rsidRPr="0061115E">
        <w:rPr>
          <w:lang w:val="en-CA"/>
        </w:rPr>
        <w:t xml:space="preserve">would aid in forming a strategy </w:t>
      </w:r>
      <w:r w:rsidR="00F36F8D" w:rsidRPr="0061115E">
        <w:rPr>
          <w:lang w:val="en-CA"/>
        </w:rPr>
        <w:t>that</w:t>
      </w:r>
      <w:r w:rsidR="006D0BB2" w:rsidRPr="0061115E">
        <w:rPr>
          <w:lang w:val="en-CA"/>
        </w:rPr>
        <w:t xml:space="preserve"> could </w:t>
      </w:r>
      <w:r w:rsidRPr="0061115E">
        <w:rPr>
          <w:lang w:val="en-CA"/>
        </w:rPr>
        <w:t>address the current crisis.</w:t>
      </w:r>
    </w:p>
    <w:p w14:paraId="1AEAB737" w14:textId="77777777" w:rsidR="00236043" w:rsidRPr="0061115E" w:rsidRDefault="00236043" w:rsidP="00236043">
      <w:pPr>
        <w:pStyle w:val="BodyTextMain"/>
        <w:rPr>
          <w:lang w:val="en-CA"/>
        </w:rPr>
      </w:pPr>
    </w:p>
    <w:p w14:paraId="39836E41" w14:textId="26C2E5B6" w:rsidR="005628BD" w:rsidRPr="0061115E" w:rsidRDefault="005628BD" w:rsidP="00236043">
      <w:pPr>
        <w:pStyle w:val="BodyTextMain"/>
        <w:rPr>
          <w:lang w:val="en-CA"/>
        </w:rPr>
      </w:pPr>
      <w:r w:rsidRPr="0061115E">
        <w:rPr>
          <w:lang w:val="en-CA"/>
        </w:rPr>
        <w:t xml:space="preserve">Chaubey invited </w:t>
      </w:r>
      <w:r w:rsidR="0081428E" w:rsidRPr="0061115E">
        <w:rPr>
          <w:lang w:val="en-CA"/>
        </w:rPr>
        <w:t>Sharma</w:t>
      </w:r>
      <w:r w:rsidRPr="0061115E">
        <w:rPr>
          <w:lang w:val="en-CA"/>
        </w:rPr>
        <w:t xml:space="preserve"> to identify indicators based on data </w:t>
      </w:r>
      <w:r w:rsidR="0084030B" w:rsidRPr="0061115E">
        <w:rPr>
          <w:lang w:val="en-CA"/>
        </w:rPr>
        <w:t>(see Student Spreadsheet</w:t>
      </w:r>
      <w:r w:rsidR="001E6938" w:rsidRPr="0061115E">
        <w:rPr>
          <w:lang w:val="en-CA"/>
        </w:rPr>
        <w:t xml:space="preserve">, product no. </w:t>
      </w:r>
      <w:r w:rsidR="0061115E" w:rsidRPr="0061115E">
        <w:rPr>
          <w:lang w:val="en-CA"/>
        </w:rPr>
        <w:t>7B21C001</w:t>
      </w:r>
      <w:r w:rsidR="0084030B" w:rsidRPr="0061115E">
        <w:rPr>
          <w:lang w:val="en-CA"/>
        </w:rPr>
        <w:t>)</w:t>
      </w:r>
      <w:r w:rsidRPr="0061115E">
        <w:rPr>
          <w:lang w:val="en-CA"/>
        </w:rPr>
        <w:t xml:space="preserve"> and additional information provided </w:t>
      </w:r>
      <w:r w:rsidR="0084030B" w:rsidRPr="0061115E">
        <w:rPr>
          <w:lang w:val="en-CA"/>
        </w:rPr>
        <w:t xml:space="preserve">(see </w:t>
      </w:r>
      <w:r w:rsidRPr="0061115E">
        <w:rPr>
          <w:lang w:val="en-CA"/>
        </w:rPr>
        <w:t xml:space="preserve">Exhibit </w:t>
      </w:r>
      <w:r w:rsidR="00166313" w:rsidRPr="0061115E">
        <w:rPr>
          <w:lang w:val="en-CA"/>
        </w:rPr>
        <w:t>4</w:t>
      </w:r>
      <w:r w:rsidR="0084030B" w:rsidRPr="0061115E">
        <w:rPr>
          <w:lang w:val="en-CA"/>
        </w:rPr>
        <w:t>)</w:t>
      </w:r>
      <w:r w:rsidRPr="0061115E">
        <w:rPr>
          <w:lang w:val="en-CA"/>
        </w:rPr>
        <w:t xml:space="preserve"> in order to prescribe a suitable strategy to address the issue. This </w:t>
      </w:r>
      <w:r w:rsidR="00820663" w:rsidRPr="0061115E">
        <w:rPr>
          <w:lang w:val="en-CA"/>
        </w:rPr>
        <w:t xml:space="preserve">task </w:t>
      </w:r>
      <w:r w:rsidRPr="0061115E">
        <w:rPr>
          <w:lang w:val="en-CA"/>
        </w:rPr>
        <w:t xml:space="preserve">was the first direct assignment that Chaubey had offered Sharma since the latter </w:t>
      </w:r>
      <w:r w:rsidR="00973393" w:rsidRPr="0061115E">
        <w:rPr>
          <w:lang w:val="en-CA"/>
        </w:rPr>
        <w:t xml:space="preserve">had </w:t>
      </w:r>
      <w:r w:rsidRPr="0061115E">
        <w:rPr>
          <w:lang w:val="en-CA"/>
        </w:rPr>
        <w:t>joined the company.</w:t>
      </w:r>
      <w:r w:rsidR="0000407D" w:rsidRPr="0061115E">
        <w:rPr>
          <w:lang w:val="en-CA"/>
        </w:rPr>
        <w:t xml:space="preserve"> </w:t>
      </w:r>
      <w:r w:rsidRPr="0061115E">
        <w:rPr>
          <w:lang w:val="en-CA"/>
        </w:rPr>
        <w:t>Sharma wanted to make the most out of this opportunity to have his talent recognized. He had attended a course on HR analytics during his management studies</w:t>
      </w:r>
      <w:r w:rsidR="00512E19" w:rsidRPr="0061115E">
        <w:rPr>
          <w:lang w:val="en-CA"/>
        </w:rPr>
        <w:t xml:space="preserve"> and</w:t>
      </w:r>
      <w:r w:rsidRPr="0061115E">
        <w:rPr>
          <w:lang w:val="en-CA"/>
        </w:rPr>
        <w:t xml:space="preserve"> was excited to </w:t>
      </w:r>
      <w:r w:rsidR="004163EB" w:rsidRPr="0061115E">
        <w:rPr>
          <w:lang w:val="en-CA"/>
        </w:rPr>
        <w:t>analyze</w:t>
      </w:r>
      <w:r w:rsidR="00512E19" w:rsidRPr="0061115E">
        <w:rPr>
          <w:lang w:val="en-CA"/>
        </w:rPr>
        <w:t xml:space="preserve"> </w:t>
      </w:r>
      <w:r w:rsidRPr="0061115E">
        <w:rPr>
          <w:lang w:val="en-CA"/>
        </w:rPr>
        <w:t>the numbers and frame a prescriptive strategy</w:t>
      </w:r>
      <w:r w:rsidR="000412FB" w:rsidRPr="0061115E">
        <w:rPr>
          <w:lang w:val="en-CA"/>
        </w:rPr>
        <w:t>. By doing so</w:t>
      </w:r>
      <w:r w:rsidR="004E5F70" w:rsidRPr="0061115E">
        <w:rPr>
          <w:lang w:val="en-CA"/>
        </w:rPr>
        <w:t>,</w:t>
      </w:r>
      <w:r w:rsidRPr="0061115E">
        <w:rPr>
          <w:lang w:val="en-CA"/>
        </w:rPr>
        <w:t xml:space="preserve"> he would create value </w:t>
      </w:r>
      <w:r w:rsidR="0036453A" w:rsidRPr="0061115E">
        <w:rPr>
          <w:lang w:val="en-CA"/>
        </w:rPr>
        <w:t xml:space="preserve">both for </w:t>
      </w:r>
      <w:r w:rsidRPr="0061115E">
        <w:rPr>
          <w:lang w:val="en-CA"/>
        </w:rPr>
        <w:t xml:space="preserve">himself within the organization </w:t>
      </w:r>
      <w:r w:rsidR="003E6693" w:rsidRPr="0061115E">
        <w:rPr>
          <w:lang w:val="en-CA"/>
        </w:rPr>
        <w:t xml:space="preserve">as well as </w:t>
      </w:r>
      <w:r w:rsidRPr="0061115E">
        <w:rPr>
          <w:lang w:val="en-CA"/>
        </w:rPr>
        <w:t>for the organization</w:t>
      </w:r>
      <w:r w:rsidR="001767DB" w:rsidRPr="0061115E">
        <w:rPr>
          <w:lang w:val="en-CA"/>
        </w:rPr>
        <w:t xml:space="preserve"> itself</w:t>
      </w:r>
      <w:r w:rsidRPr="0061115E">
        <w:rPr>
          <w:lang w:val="en-CA"/>
        </w:rPr>
        <w:t>.</w:t>
      </w:r>
    </w:p>
    <w:p w14:paraId="02299313" w14:textId="77777777" w:rsidR="005628BD" w:rsidRPr="0061115E" w:rsidRDefault="005628BD">
      <w:pPr>
        <w:spacing w:after="200" w:line="276" w:lineRule="auto"/>
        <w:rPr>
          <w:sz w:val="22"/>
          <w:szCs w:val="22"/>
          <w:lang w:val="en-CA"/>
        </w:rPr>
      </w:pPr>
      <w:r w:rsidRPr="0061115E">
        <w:rPr>
          <w:lang w:val="en-CA"/>
        </w:rPr>
        <w:br w:type="page"/>
      </w:r>
    </w:p>
    <w:p w14:paraId="37B97FE9" w14:textId="76642124" w:rsidR="005628BD" w:rsidRPr="0061115E" w:rsidRDefault="005628BD" w:rsidP="00236043">
      <w:pPr>
        <w:pStyle w:val="ExhibitHeading"/>
        <w:rPr>
          <w:lang w:val="en-CA"/>
        </w:rPr>
      </w:pPr>
      <w:r w:rsidRPr="0061115E">
        <w:rPr>
          <w:lang w:val="en-CA"/>
        </w:rPr>
        <w:lastRenderedPageBreak/>
        <w:t xml:space="preserve">Exhibit </w:t>
      </w:r>
      <w:r w:rsidR="00385B3A" w:rsidRPr="0061115E">
        <w:rPr>
          <w:lang w:val="en-CA"/>
        </w:rPr>
        <w:t>1</w:t>
      </w:r>
      <w:r w:rsidRPr="0061115E">
        <w:rPr>
          <w:lang w:val="en-CA"/>
        </w:rPr>
        <w:t xml:space="preserve">: </w:t>
      </w:r>
      <w:r w:rsidR="00B6487D" w:rsidRPr="0061115E">
        <w:rPr>
          <w:lang w:val="en-CA"/>
        </w:rPr>
        <w:t xml:space="preserve">APTURJA </w:t>
      </w:r>
      <w:r w:rsidR="00D37AB9" w:rsidRPr="0061115E">
        <w:rPr>
          <w:lang w:val="en-CA"/>
        </w:rPr>
        <w:t xml:space="preserve">Power Limited’s </w:t>
      </w:r>
      <w:r w:rsidRPr="0061115E">
        <w:rPr>
          <w:lang w:val="en-CA"/>
        </w:rPr>
        <w:t>Profit and Loss account</w:t>
      </w:r>
      <w:r w:rsidR="004A0055" w:rsidRPr="0061115E">
        <w:rPr>
          <w:lang w:val="en-CA"/>
        </w:rPr>
        <w:t>s, 2015–2019</w:t>
      </w:r>
      <w:r w:rsidR="00FD28BC" w:rsidRPr="0061115E">
        <w:rPr>
          <w:lang w:val="en-CA"/>
        </w:rPr>
        <w:t xml:space="preserve"> (</w:t>
      </w:r>
      <w:r w:rsidR="004A0055" w:rsidRPr="0061115E">
        <w:rPr>
          <w:lang w:val="en-CA"/>
        </w:rPr>
        <w:t xml:space="preserve">in </w:t>
      </w:r>
      <w:r w:rsidR="00FD28BC" w:rsidRPr="0061115E">
        <w:rPr>
          <w:lang w:val="en-CA"/>
        </w:rPr>
        <w:t>US$ million)</w:t>
      </w:r>
    </w:p>
    <w:p w14:paraId="626CE310" w14:textId="6ECC71D7" w:rsidR="00236043" w:rsidRDefault="00236043" w:rsidP="00236043">
      <w:pPr>
        <w:pStyle w:val="ExhibitText"/>
        <w:rPr>
          <w:lang w:val="en-CA"/>
        </w:rPr>
      </w:pPr>
    </w:p>
    <w:tbl>
      <w:tblPr>
        <w:tblStyle w:val="TableGrid"/>
        <w:tblW w:w="9351" w:type="dxa"/>
        <w:jc w:val="center"/>
        <w:tblLook w:val="04A0" w:firstRow="1" w:lastRow="0" w:firstColumn="1" w:lastColumn="0" w:noHBand="0" w:noVBand="1"/>
      </w:tblPr>
      <w:tblGrid>
        <w:gridCol w:w="4532"/>
        <w:gridCol w:w="917"/>
        <w:gridCol w:w="925"/>
        <w:gridCol w:w="992"/>
        <w:gridCol w:w="993"/>
        <w:gridCol w:w="992"/>
      </w:tblGrid>
      <w:tr w:rsidR="00343806" w:rsidRPr="00343806" w14:paraId="3769F5E6" w14:textId="77777777" w:rsidTr="00343806">
        <w:trPr>
          <w:jc w:val="center"/>
        </w:trPr>
        <w:tc>
          <w:tcPr>
            <w:tcW w:w="4532" w:type="dxa"/>
          </w:tcPr>
          <w:p w14:paraId="2C09E8C9" w14:textId="7962967D" w:rsidR="00343806" w:rsidRPr="00343806" w:rsidRDefault="00343806" w:rsidP="00343806">
            <w:pPr>
              <w:pStyle w:val="ExhibitText"/>
              <w:rPr>
                <w:b/>
                <w:sz w:val="18"/>
                <w:szCs w:val="18"/>
              </w:rPr>
            </w:pPr>
            <w:r w:rsidRPr="00343806">
              <w:rPr>
                <w:b/>
                <w:sz w:val="18"/>
                <w:szCs w:val="18"/>
              </w:rPr>
              <w:t> </w:t>
            </w:r>
          </w:p>
        </w:tc>
        <w:tc>
          <w:tcPr>
            <w:tcW w:w="917" w:type="dxa"/>
          </w:tcPr>
          <w:p w14:paraId="5644CD3C" w14:textId="2F2941E7" w:rsidR="00343806" w:rsidRPr="00343806" w:rsidRDefault="00343806" w:rsidP="00343806">
            <w:pPr>
              <w:pStyle w:val="ExhibitText"/>
              <w:rPr>
                <w:b/>
                <w:sz w:val="18"/>
                <w:szCs w:val="18"/>
                <w:lang w:val="en-CA"/>
              </w:rPr>
            </w:pPr>
            <w:r w:rsidRPr="00343806">
              <w:rPr>
                <w:b/>
                <w:sz w:val="18"/>
                <w:szCs w:val="18"/>
                <w:lang w:val="en-CA"/>
              </w:rPr>
              <w:t>FY 2015</w:t>
            </w:r>
          </w:p>
        </w:tc>
        <w:tc>
          <w:tcPr>
            <w:tcW w:w="925" w:type="dxa"/>
            <w:vAlign w:val="center"/>
          </w:tcPr>
          <w:p w14:paraId="63C5E6CF" w14:textId="57303150" w:rsidR="00343806" w:rsidRPr="00343806" w:rsidRDefault="00343806" w:rsidP="00343806">
            <w:pPr>
              <w:pStyle w:val="ExhibitText"/>
              <w:rPr>
                <w:b/>
                <w:sz w:val="18"/>
                <w:szCs w:val="18"/>
                <w:lang w:val="en-CA"/>
              </w:rPr>
            </w:pPr>
            <w:r w:rsidRPr="00343806">
              <w:rPr>
                <w:b/>
                <w:sz w:val="18"/>
                <w:szCs w:val="18"/>
              </w:rPr>
              <w:t>FY 2016</w:t>
            </w:r>
          </w:p>
        </w:tc>
        <w:tc>
          <w:tcPr>
            <w:tcW w:w="992" w:type="dxa"/>
            <w:vAlign w:val="center"/>
          </w:tcPr>
          <w:p w14:paraId="0A4CAF54" w14:textId="68A132DC" w:rsidR="00343806" w:rsidRPr="00343806" w:rsidRDefault="00343806" w:rsidP="00343806">
            <w:pPr>
              <w:pStyle w:val="ExhibitText"/>
              <w:rPr>
                <w:b/>
                <w:sz w:val="18"/>
                <w:szCs w:val="18"/>
                <w:lang w:val="en-CA"/>
              </w:rPr>
            </w:pPr>
            <w:r w:rsidRPr="00343806">
              <w:rPr>
                <w:b/>
                <w:sz w:val="18"/>
                <w:szCs w:val="18"/>
              </w:rPr>
              <w:t>FY 2017</w:t>
            </w:r>
          </w:p>
        </w:tc>
        <w:tc>
          <w:tcPr>
            <w:tcW w:w="993" w:type="dxa"/>
            <w:vAlign w:val="center"/>
          </w:tcPr>
          <w:p w14:paraId="7A21AFB3" w14:textId="444CAA7E" w:rsidR="00343806" w:rsidRPr="00343806" w:rsidRDefault="00343806" w:rsidP="00343806">
            <w:pPr>
              <w:pStyle w:val="ExhibitText"/>
              <w:rPr>
                <w:b/>
                <w:sz w:val="18"/>
                <w:szCs w:val="18"/>
                <w:lang w:val="en-CA"/>
              </w:rPr>
            </w:pPr>
            <w:r w:rsidRPr="00343806">
              <w:rPr>
                <w:b/>
                <w:sz w:val="18"/>
                <w:szCs w:val="18"/>
              </w:rPr>
              <w:t>FY 2018</w:t>
            </w:r>
          </w:p>
        </w:tc>
        <w:tc>
          <w:tcPr>
            <w:tcW w:w="992" w:type="dxa"/>
            <w:vAlign w:val="center"/>
          </w:tcPr>
          <w:p w14:paraId="0CA4972E" w14:textId="7BB38657" w:rsidR="00343806" w:rsidRPr="00343806" w:rsidRDefault="00343806" w:rsidP="00343806">
            <w:pPr>
              <w:pStyle w:val="ExhibitText"/>
              <w:rPr>
                <w:b/>
                <w:sz w:val="18"/>
                <w:szCs w:val="18"/>
                <w:lang w:val="en-CA"/>
              </w:rPr>
            </w:pPr>
            <w:r w:rsidRPr="00343806">
              <w:rPr>
                <w:b/>
                <w:sz w:val="18"/>
                <w:szCs w:val="18"/>
              </w:rPr>
              <w:t>FY 2019</w:t>
            </w:r>
          </w:p>
        </w:tc>
      </w:tr>
      <w:tr w:rsidR="00343806" w:rsidRPr="00343806" w14:paraId="416F43F9" w14:textId="77777777" w:rsidTr="00343806">
        <w:trPr>
          <w:jc w:val="center"/>
        </w:trPr>
        <w:tc>
          <w:tcPr>
            <w:tcW w:w="4532" w:type="dxa"/>
          </w:tcPr>
          <w:p w14:paraId="525C1B20" w14:textId="56344108" w:rsidR="00343806" w:rsidRPr="00343806" w:rsidRDefault="00343806" w:rsidP="00343806">
            <w:pPr>
              <w:pStyle w:val="ExhibitText"/>
              <w:rPr>
                <w:b/>
                <w:sz w:val="18"/>
                <w:szCs w:val="18"/>
              </w:rPr>
            </w:pPr>
            <w:r w:rsidRPr="00343806">
              <w:rPr>
                <w:b/>
                <w:sz w:val="18"/>
                <w:szCs w:val="18"/>
              </w:rPr>
              <w:t>INCOME</w:t>
            </w:r>
          </w:p>
        </w:tc>
        <w:tc>
          <w:tcPr>
            <w:tcW w:w="917" w:type="dxa"/>
          </w:tcPr>
          <w:p w14:paraId="770B5683" w14:textId="1334242A" w:rsidR="00343806" w:rsidRPr="00343806" w:rsidRDefault="00343806" w:rsidP="00343806">
            <w:pPr>
              <w:pStyle w:val="ExhibitText"/>
              <w:rPr>
                <w:sz w:val="18"/>
                <w:szCs w:val="18"/>
                <w:lang w:val="en-CA"/>
              </w:rPr>
            </w:pPr>
          </w:p>
        </w:tc>
        <w:tc>
          <w:tcPr>
            <w:tcW w:w="925" w:type="dxa"/>
          </w:tcPr>
          <w:p w14:paraId="086A68C2" w14:textId="6EE0AFBD" w:rsidR="00343806" w:rsidRPr="00343806" w:rsidRDefault="00343806" w:rsidP="00343806">
            <w:pPr>
              <w:pStyle w:val="ExhibitText"/>
              <w:rPr>
                <w:sz w:val="18"/>
                <w:szCs w:val="18"/>
                <w:lang w:val="en-CA"/>
              </w:rPr>
            </w:pPr>
            <w:r w:rsidRPr="00343806">
              <w:rPr>
                <w:sz w:val="18"/>
                <w:szCs w:val="18"/>
              </w:rPr>
              <w:t> </w:t>
            </w:r>
          </w:p>
        </w:tc>
        <w:tc>
          <w:tcPr>
            <w:tcW w:w="992" w:type="dxa"/>
          </w:tcPr>
          <w:p w14:paraId="79336759" w14:textId="0B2919E3" w:rsidR="00343806" w:rsidRPr="00343806" w:rsidRDefault="00343806" w:rsidP="00343806">
            <w:pPr>
              <w:pStyle w:val="ExhibitText"/>
              <w:rPr>
                <w:sz w:val="18"/>
                <w:szCs w:val="18"/>
                <w:lang w:val="en-CA"/>
              </w:rPr>
            </w:pPr>
            <w:r w:rsidRPr="00343806">
              <w:rPr>
                <w:sz w:val="18"/>
                <w:szCs w:val="18"/>
              </w:rPr>
              <w:t> </w:t>
            </w:r>
          </w:p>
        </w:tc>
        <w:tc>
          <w:tcPr>
            <w:tcW w:w="993" w:type="dxa"/>
          </w:tcPr>
          <w:p w14:paraId="344E4526" w14:textId="4C35864E" w:rsidR="00343806" w:rsidRPr="00343806" w:rsidRDefault="00343806" w:rsidP="00343806">
            <w:pPr>
              <w:pStyle w:val="ExhibitText"/>
              <w:rPr>
                <w:sz w:val="18"/>
                <w:szCs w:val="18"/>
                <w:lang w:val="en-CA"/>
              </w:rPr>
            </w:pPr>
            <w:r w:rsidRPr="00343806">
              <w:rPr>
                <w:sz w:val="18"/>
                <w:szCs w:val="18"/>
              </w:rPr>
              <w:t> </w:t>
            </w:r>
          </w:p>
        </w:tc>
        <w:tc>
          <w:tcPr>
            <w:tcW w:w="992" w:type="dxa"/>
          </w:tcPr>
          <w:p w14:paraId="756EEA78" w14:textId="3135A155" w:rsidR="00343806" w:rsidRPr="00343806" w:rsidRDefault="00343806" w:rsidP="00343806">
            <w:pPr>
              <w:pStyle w:val="ExhibitText"/>
              <w:rPr>
                <w:sz w:val="18"/>
                <w:szCs w:val="18"/>
                <w:lang w:val="en-CA"/>
              </w:rPr>
            </w:pPr>
            <w:r w:rsidRPr="00343806">
              <w:rPr>
                <w:sz w:val="18"/>
                <w:szCs w:val="18"/>
              </w:rPr>
              <w:t> </w:t>
            </w:r>
          </w:p>
        </w:tc>
      </w:tr>
      <w:tr w:rsidR="00343806" w:rsidRPr="00343806" w14:paraId="104BCF7C" w14:textId="77777777" w:rsidTr="00343806">
        <w:trPr>
          <w:jc w:val="center"/>
        </w:trPr>
        <w:tc>
          <w:tcPr>
            <w:tcW w:w="4532" w:type="dxa"/>
          </w:tcPr>
          <w:p w14:paraId="5F06623C" w14:textId="2DAFA10E" w:rsidR="00343806" w:rsidRPr="00343806" w:rsidRDefault="00343806" w:rsidP="00343806">
            <w:pPr>
              <w:pStyle w:val="ExhibitText"/>
              <w:rPr>
                <w:b/>
                <w:sz w:val="18"/>
                <w:szCs w:val="18"/>
              </w:rPr>
            </w:pPr>
            <w:r w:rsidRPr="00343806">
              <w:rPr>
                <w:b/>
                <w:sz w:val="18"/>
                <w:szCs w:val="18"/>
              </w:rPr>
              <w:t>Revenue from Operations</w:t>
            </w:r>
          </w:p>
        </w:tc>
        <w:tc>
          <w:tcPr>
            <w:tcW w:w="917" w:type="dxa"/>
            <w:vAlign w:val="center"/>
          </w:tcPr>
          <w:p w14:paraId="648F845E" w14:textId="674DFDA1" w:rsidR="00343806" w:rsidRPr="00343806" w:rsidRDefault="00343806" w:rsidP="00343806">
            <w:pPr>
              <w:pStyle w:val="ExhibitText"/>
              <w:rPr>
                <w:sz w:val="18"/>
                <w:szCs w:val="18"/>
                <w:lang w:val="en-CA"/>
              </w:rPr>
            </w:pPr>
            <w:r w:rsidRPr="00343806">
              <w:rPr>
                <w:sz w:val="18"/>
                <w:szCs w:val="18"/>
              </w:rPr>
              <w:t>1,210.13</w:t>
            </w:r>
          </w:p>
        </w:tc>
        <w:tc>
          <w:tcPr>
            <w:tcW w:w="925" w:type="dxa"/>
            <w:vAlign w:val="center"/>
          </w:tcPr>
          <w:p w14:paraId="6D34EF3A" w14:textId="3CC2D228" w:rsidR="00343806" w:rsidRPr="00343806" w:rsidRDefault="00343806" w:rsidP="00343806">
            <w:pPr>
              <w:pStyle w:val="ExhibitText"/>
              <w:rPr>
                <w:sz w:val="18"/>
                <w:szCs w:val="18"/>
                <w:lang w:val="en-CA"/>
              </w:rPr>
            </w:pPr>
            <w:r w:rsidRPr="00343806">
              <w:rPr>
                <w:sz w:val="18"/>
                <w:szCs w:val="18"/>
              </w:rPr>
              <w:t>1,361.68</w:t>
            </w:r>
          </w:p>
        </w:tc>
        <w:tc>
          <w:tcPr>
            <w:tcW w:w="992" w:type="dxa"/>
            <w:vAlign w:val="center"/>
          </w:tcPr>
          <w:p w14:paraId="4F0BF6E7" w14:textId="42D2C586" w:rsidR="00343806" w:rsidRPr="00343806" w:rsidRDefault="00343806" w:rsidP="00343806">
            <w:pPr>
              <w:pStyle w:val="ExhibitText"/>
              <w:rPr>
                <w:sz w:val="18"/>
                <w:szCs w:val="18"/>
                <w:lang w:val="en-CA"/>
              </w:rPr>
            </w:pPr>
            <w:r w:rsidRPr="00343806">
              <w:rPr>
                <w:sz w:val="18"/>
                <w:szCs w:val="18"/>
              </w:rPr>
              <w:t>2,043.07</w:t>
            </w:r>
          </w:p>
        </w:tc>
        <w:tc>
          <w:tcPr>
            <w:tcW w:w="993" w:type="dxa"/>
            <w:vAlign w:val="center"/>
          </w:tcPr>
          <w:p w14:paraId="059BC69E" w14:textId="3C6E3E2B" w:rsidR="00343806" w:rsidRPr="00343806" w:rsidRDefault="00343806" w:rsidP="00343806">
            <w:pPr>
              <w:pStyle w:val="ExhibitText"/>
              <w:rPr>
                <w:sz w:val="18"/>
                <w:szCs w:val="18"/>
                <w:lang w:val="en-CA"/>
              </w:rPr>
            </w:pPr>
            <w:r w:rsidRPr="00343806">
              <w:rPr>
                <w:sz w:val="18"/>
                <w:szCs w:val="18"/>
              </w:rPr>
              <w:t>2,268.97</w:t>
            </w:r>
          </w:p>
        </w:tc>
        <w:tc>
          <w:tcPr>
            <w:tcW w:w="992" w:type="dxa"/>
            <w:vAlign w:val="center"/>
          </w:tcPr>
          <w:p w14:paraId="38F85A3E" w14:textId="717AF8BE" w:rsidR="00343806" w:rsidRPr="00343806" w:rsidRDefault="00343806" w:rsidP="00343806">
            <w:pPr>
              <w:pStyle w:val="ExhibitText"/>
              <w:rPr>
                <w:sz w:val="18"/>
                <w:szCs w:val="18"/>
                <w:lang w:val="en-CA"/>
              </w:rPr>
            </w:pPr>
            <w:r w:rsidRPr="00343806">
              <w:rPr>
                <w:sz w:val="18"/>
                <w:szCs w:val="18"/>
              </w:rPr>
              <w:t>2,274.24</w:t>
            </w:r>
          </w:p>
        </w:tc>
      </w:tr>
      <w:tr w:rsidR="00343806" w:rsidRPr="00343806" w14:paraId="014D7BBC" w14:textId="77777777" w:rsidTr="00343806">
        <w:trPr>
          <w:jc w:val="center"/>
        </w:trPr>
        <w:tc>
          <w:tcPr>
            <w:tcW w:w="4532" w:type="dxa"/>
          </w:tcPr>
          <w:p w14:paraId="24E77783" w14:textId="45C2650F" w:rsidR="00343806" w:rsidRPr="00343806" w:rsidRDefault="00343806" w:rsidP="00343806">
            <w:pPr>
              <w:pStyle w:val="ExhibitText"/>
              <w:rPr>
                <w:b/>
                <w:sz w:val="18"/>
                <w:szCs w:val="18"/>
              </w:rPr>
            </w:pPr>
            <w:r w:rsidRPr="00343806">
              <w:rPr>
                <w:b/>
                <w:sz w:val="18"/>
                <w:szCs w:val="18"/>
              </w:rPr>
              <w:t>Other Operating Revenues</w:t>
            </w:r>
          </w:p>
        </w:tc>
        <w:tc>
          <w:tcPr>
            <w:tcW w:w="917" w:type="dxa"/>
            <w:vAlign w:val="center"/>
          </w:tcPr>
          <w:p w14:paraId="47637D2C" w14:textId="360801C0" w:rsidR="00343806" w:rsidRPr="00343806" w:rsidRDefault="00343806" w:rsidP="00343806">
            <w:pPr>
              <w:pStyle w:val="ExhibitText"/>
              <w:rPr>
                <w:sz w:val="18"/>
                <w:szCs w:val="18"/>
                <w:lang w:val="en-CA"/>
              </w:rPr>
            </w:pPr>
            <w:r w:rsidRPr="00343806">
              <w:rPr>
                <w:sz w:val="18"/>
                <w:szCs w:val="18"/>
              </w:rPr>
              <w:t>0.00</w:t>
            </w:r>
          </w:p>
        </w:tc>
        <w:tc>
          <w:tcPr>
            <w:tcW w:w="925" w:type="dxa"/>
            <w:vAlign w:val="center"/>
          </w:tcPr>
          <w:p w14:paraId="4B8F6237" w14:textId="190522F9" w:rsidR="00343806" w:rsidRPr="00343806" w:rsidRDefault="00343806" w:rsidP="00343806">
            <w:pPr>
              <w:pStyle w:val="ExhibitText"/>
              <w:rPr>
                <w:sz w:val="18"/>
                <w:szCs w:val="18"/>
                <w:lang w:val="en-CA"/>
              </w:rPr>
            </w:pPr>
            <w:r w:rsidRPr="00343806">
              <w:rPr>
                <w:sz w:val="18"/>
                <w:szCs w:val="18"/>
              </w:rPr>
              <w:t>0.00</w:t>
            </w:r>
          </w:p>
        </w:tc>
        <w:tc>
          <w:tcPr>
            <w:tcW w:w="992" w:type="dxa"/>
            <w:vAlign w:val="center"/>
          </w:tcPr>
          <w:p w14:paraId="75CC6861" w14:textId="2AF07807" w:rsidR="00343806" w:rsidRPr="00343806" w:rsidRDefault="00343806" w:rsidP="00343806">
            <w:pPr>
              <w:pStyle w:val="ExhibitText"/>
              <w:rPr>
                <w:sz w:val="18"/>
                <w:szCs w:val="18"/>
                <w:lang w:val="en-CA"/>
              </w:rPr>
            </w:pPr>
            <w:r w:rsidRPr="00343806">
              <w:rPr>
                <w:sz w:val="18"/>
                <w:szCs w:val="18"/>
              </w:rPr>
              <w:t>48.23</w:t>
            </w:r>
          </w:p>
        </w:tc>
        <w:tc>
          <w:tcPr>
            <w:tcW w:w="993" w:type="dxa"/>
            <w:vAlign w:val="center"/>
          </w:tcPr>
          <w:p w14:paraId="02B6DB4E" w14:textId="6C53DDAC" w:rsidR="00343806" w:rsidRPr="00343806" w:rsidRDefault="00343806" w:rsidP="00343806">
            <w:pPr>
              <w:pStyle w:val="ExhibitText"/>
              <w:rPr>
                <w:sz w:val="18"/>
                <w:szCs w:val="18"/>
                <w:lang w:val="en-CA"/>
              </w:rPr>
            </w:pPr>
            <w:r w:rsidRPr="00343806">
              <w:rPr>
                <w:sz w:val="18"/>
                <w:szCs w:val="18"/>
              </w:rPr>
              <w:t>54.28</w:t>
            </w:r>
          </w:p>
        </w:tc>
        <w:tc>
          <w:tcPr>
            <w:tcW w:w="992" w:type="dxa"/>
            <w:vAlign w:val="center"/>
          </w:tcPr>
          <w:p w14:paraId="74287F66" w14:textId="15A57A13" w:rsidR="00343806" w:rsidRPr="00343806" w:rsidRDefault="00343806" w:rsidP="00343806">
            <w:pPr>
              <w:pStyle w:val="ExhibitText"/>
              <w:rPr>
                <w:sz w:val="18"/>
                <w:szCs w:val="18"/>
                <w:lang w:val="en-CA"/>
              </w:rPr>
            </w:pPr>
            <w:r w:rsidRPr="00343806">
              <w:rPr>
                <w:sz w:val="18"/>
                <w:szCs w:val="18"/>
              </w:rPr>
              <w:t>35.87</w:t>
            </w:r>
          </w:p>
        </w:tc>
      </w:tr>
      <w:tr w:rsidR="00343806" w:rsidRPr="00343806" w14:paraId="08DBC8DF" w14:textId="77777777" w:rsidTr="00343806">
        <w:trPr>
          <w:jc w:val="center"/>
        </w:trPr>
        <w:tc>
          <w:tcPr>
            <w:tcW w:w="4532" w:type="dxa"/>
          </w:tcPr>
          <w:p w14:paraId="6AC9ADE7" w14:textId="4DABDB85" w:rsidR="00343806" w:rsidRPr="00343806" w:rsidRDefault="00343806" w:rsidP="00343806">
            <w:pPr>
              <w:pStyle w:val="ExhibitText"/>
              <w:rPr>
                <w:b/>
                <w:sz w:val="18"/>
                <w:szCs w:val="18"/>
              </w:rPr>
            </w:pPr>
            <w:r w:rsidRPr="00343806">
              <w:rPr>
                <w:b/>
                <w:sz w:val="18"/>
                <w:szCs w:val="18"/>
              </w:rPr>
              <w:t>Total Operating Revenues</w:t>
            </w:r>
          </w:p>
        </w:tc>
        <w:tc>
          <w:tcPr>
            <w:tcW w:w="917" w:type="dxa"/>
            <w:vAlign w:val="center"/>
          </w:tcPr>
          <w:p w14:paraId="149085B6" w14:textId="6C37EAAE" w:rsidR="00343806" w:rsidRPr="00343806" w:rsidRDefault="00343806" w:rsidP="00343806">
            <w:pPr>
              <w:pStyle w:val="ExhibitText"/>
              <w:rPr>
                <w:sz w:val="18"/>
                <w:szCs w:val="18"/>
                <w:lang w:val="en-CA"/>
              </w:rPr>
            </w:pPr>
            <w:r w:rsidRPr="00343806">
              <w:rPr>
                <w:sz w:val="18"/>
                <w:szCs w:val="18"/>
              </w:rPr>
              <w:t>1,210.13</w:t>
            </w:r>
          </w:p>
        </w:tc>
        <w:tc>
          <w:tcPr>
            <w:tcW w:w="925" w:type="dxa"/>
            <w:vAlign w:val="center"/>
          </w:tcPr>
          <w:p w14:paraId="5FE5BA31" w14:textId="751B6725" w:rsidR="00343806" w:rsidRPr="00343806" w:rsidRDefault="00343806" w:rsidP="00343806">
            <w:pPr>
              <w:pStyle w:val="ExhibitText"/>
              <w:rPr>
                <w:sz w:val="18"/>
                <w:szCs w:val="18"/>
                <w:lang w:val="en-CA"/>
              </w:rPr>
            </w:pPr>
            <w:r w:rsidRPr="00343806">
              <w:rPr>
                <w:sz w:val="18"/>
                <w:szCs w:val="18"/>
              </w:rPr>
              <w:t>1,361.68</w:t>
            </w:r>
          </w:p>
        </w:tc>
        <w:tc>
          <w:tcPr>
            <w:tcW w:w="992" w:type="dxa"/>
            <w:vAlign w:val="center"/>
          </w:tcPr>
          <w:p w14:paraId="06DA2353" w14:textId="66396FEB" w:rsidR="00343806" w:rsidRPr="00343806" w:rsidRDefault="00343806" w:rsidP="00343806">
            <w:pPr>
              <w:pStyle w:val="ExhibitText"/>
              <w:rPr>
                <w:sz w:val="18"/>
                <w:szCs w:val="18"/>
                <w:lang w:val="en-CA"/>
              </w:rPr>
            </w:pPr>
            <w:r w:rsidRPr="00343806">
              <w:rPr>
                <w:sz w:val="18"/>
                <w:szCs w:val="18"/>
              </w:rPr>
              <w:t>2,091.30</w:t>
            </w:r>
          </w:p>
        </w:tc>
        <w:tc>
          <w:tcPr>
            <w:tcW w:w="993" w:type="dxa"/>
            <w:vAlign w:val="center"/>
          </w:tcPr>
          <w:p w14:paraId="1998D49E" w14:textId="686BF875" w:rsidR="00343806" w:rsidRPr="00343806" w:rsidRDefault="00343806" w:rsidP="00343806">
            <w:pPr>
              <w:pStyle w:val="ExhibitText"/>
              <w:rPr>
                <w:sz w:val="18"/>
                <w:szCs w:val="18"/>
                <w:lang w:val="en-CA"/>
              </w:rPr>
            </w:pPr>
            <w:r w:rsidRPr="00343806">
              <w:rPr>
                <w:sz w:val="18"/>
                <w:szCs w:val="18"/>
              </w:rPr>
              <w:t>2,323.24</w:t>
            </w:r>
          </w:p>
        </w:tc>
        <w:tc>
          <w:tcPr>
            <w:tcW w:w="992" w:type="dxa"/>
            <w:vAlign w:val="center"/>
          </w:tcPr>
          <w:p w14:paraId="7F01B17B" w14:textId="0848F7DC" w:rsidR="00343806" w:rsidRPr="00343806" w:rsidRDefault="00343806" w:rsidP="00343806">
            <w:pPr>
              <w:pStyle w:val="ExhibitText"/>
              <w:rPr>
                <w:sz w:val="18"/>
                <w:szCs w:val="18"/>
                <w:lang w:val="en-CA"/>
              </w:rPr>
            </w:pPr>
            <w:r w:rsidRPr="00343806">
              <w:rPr>
                <w:sz w:val="18"/>
                <w:szCs w:val="18"/>
              </w:rPr>
              <w:t>2,310.11</w:t>
            </w:r>
          </w:p>
        </w:tc>
      </w:tr>
      <w:tr w:rsidR="00343806" w:rsidRPr="00343806" w14:paraId="3ACA36BD" w14:textId="77777777" w:rsidTr="00343806">
        <w:trPr>
          <w:jc w:val="center"/>
        </w:trPr>
        <w:tc>
          <w:tcPr>
            <w:tcW w:w="4532" w:type="dxa"/>
          </w:tcPr>
          <w:p w14:paraId="59C1B604" w14:textId="55116CCF" w:rsidR="00343806" w:rsidRPr="00343806" w:rsidRDefault="00343806" w:rsidP="00343806">
            <w:pPr>
              <w:pStyle w:val="ExhibitText"/>
              <w:rPr>
                <w:b/>
                <w:sz w:val="18"/>
                <w:szCs w:val="18"/>
              </w:rPr>
            </w:pPr>
            <w:r w:rsidRPr="00343806">
              <w:rPr>
                <w:b/>
                <w:sz w:val="18"/>
                <w:szCs w:val="18"/>
              </w:rPr>
              <w:t>Other Income</w:t>
            </w:r>
          </w:p>
        </w:tc>
        <w:tc>
          <w:tcPr>
            <w:tcW w:w="917" w:type="dxa"/>
            <w:vAlign w:val="center"/>
          </w:tcPr>
          <w:p w14:paraId="72B5D864" w14:textId="3832FD70" w:rsidR="00343806" w:rsidRPr="00343806" w:rsidRDefault="00343806" w:rsidP="00343806">
            <w:pPr>
              <w:pStyle w:val="ExhibitText"/>
              <w:rPr>
                <w:sz w:val="18"/>
                <w:szCs w:val="18"/>
                <w:lang w:val="en-CA"/>
              </w:rPr>
            </w:pPr>
            <w:r w:rsidRPr="00343806">
              <w:rPr>
                <w:sz w:val="18"/>
                <w:szCs w:val="18"/>
              </w:rPr>
              <w:t>342.54</w:t>
            </w:r>
          </w:p>
        </w:tc>
        <w:tc>
          <w:tcPr>
            <w:tcW w:w="925" w:type="dxa"/>
            <w:vAlign w:val="center"/>
          </w:tcPr>
          <w:p w14:paraId="2051EFA3" w14:textId="3750FB97" w:rsidR="00343806" w:rsidRPr="00343806" w:rsidRDefault="00343806" w:rsidP="00343806">
            <w:pPr>
              <w:pStyle w:val="ExhibitText"/>
              <w:rPr>
                <w:sz w:val="18"/>
                <w:szCs w:val="18"/>
                <w:lang w:val="en-CA"/>
              </w:rPr>
            </w:pPr>
            <w:r w:rsidRPr="00343806">
              <w:rPr>
                <w:sz w:val="18"/>
                <w:szCs w:val="18"/>
              </w:rPr>
              <w:t>417.77</w:t>
            </w:r>
          </w:p>
        </w:tc>
        <w:tc>
          <w:tcPr>
            <w:tcW w:w="992" w:type="dxa"/>
            <w:vAlign w:val="center"/>
          </w:tcPr>
          <w:p w14:paraId="382AC8F2" w14:textId="4487803C" w:rsidR="00343806" w:rsidRPr="00343806" w:rsidRDefault="00343806" w:rsidP="00343806">
            <w:pPr>
              <w:pStyle w:val="ExhibitText"/>
              <w:rPr>
                <w:sz w:val="18"/>
                <w:szCs w:val="18"/>
                <w:lang w:val="en-CA"/>
              </w:rPr>
            </w:pPr>
            <w:r w:rsidRPr="00343806">
              <w:rPr>
                <w:sz w:val="18"/>
                <w:szCs w:val="18"/>
              </w:rPr>
              <w:t>153.92</w:t>
            </w:r>
          </w:p>
        </w:tc>
        <w:tc>
          <w:tcPr>
            <w:tcW w:w="993" w:type="dxa"/>
            <w:vAlign w:val="center"/>
          </w:tcPr>
          <w:p w14:paraId="77D70F28" w14:textId="11278CC7" w:rsidR="00343806" w:rsidRPr="00343806" w:rsidRDefault="00343806" w:rsidP="00343806">
            <w:pPr>
              <w:pStyle w:val="ExhibitText"/>
              <w:rPr>
                <w:sz w:val="18"/>
                <w:szCs w:val="18"/>
                <w:lang w:val="en-CA"/>
              </w:rPr>
            </w:pPr>
            <w:r w:rsidRPr="00343806">
              <w:rPr>
                <w:sz w:val="18"/>
                <w:szCs w:val="18"/>
              </w:rPr>
              <w:t>334.09</w:t>
            </w:r>
          </w:p>
        </w:tc>
        <w:tc>
          <w:tcPr>
            <w:tcW w:w="992" w:type="dxa"/>
            <w:vAlign w:val="center"/>
          </w:tcPr>
          <w:p w14:paraId="2508FB25" w14:textId="725954F0" w:rsidR="00343806" w:rsidRPr="00343806" w:rsidRDefault="00343806" w:rsidP="00343806">
            <w:pPr>
              <w:pStyle w:val="ExhibitText"/>
              <w:rPr>
                <w:sz w:val="18"/>
                <w:szCs w:val="18"/>
                <w:lang w:val="en-CA"/>
              </w:rPr>
            </w:pPr>
            <w:r w:rsidRPr="00343806">
              <w:rPr>
                <w:sz w:val="18"/>
                <w:szCs w:val="18"/>
              </w:rPr>
              <w:t>387.59</w:t>
            </w:r>
          </w:p>
        </w:tc>
      </w:tr>
      <w:tr w:rsidR="00343806" w:rsidRPr="00343806" w14:paraId="50E6489D" w14:textId="77777777" w:rsidTr="00343806">
        <w:trPr>
          <w:jc w:val="center"/>
        </w:trPr>
        <w:tc>
          <w:tcPr>
            <w:tcW w:w="4532" w:type="dxa"/>
          </w:tcPr>
          <w:p w14:paraId="34465EA3" w14:textId="188825D5" w:rsidR="00343806" w:rsidRPr="00343806" w:rsidRDefault="00343806" w:rsidP="00343806">
            <w:pPr>
              <w:pStyle w:val="ExhibitText"/>
              <w:rPr>
                <w:b/>
                <w:sz w:val="18"/>
                <w:szCs w:val="18"/>
              </w:rPr>
            </w:pPr>
            <w:r w:rsidRPr="00343806">
              <w:rPr>
                <w:b/>
                <w:sz w:val="18"/>
                <w:szCs w:val="18"/>
              </w:rPr>
              <w:t>Total Revenue</w:t>
            </w:r>
          </w:p>
        </w:tc>
        <w:tc>
          <w:tcPr>
            <w:tcW w:w="917" w:type="dxa"/>
            <w:vAlign w:val="center"/>
          </w:tcPr>
          <w:p w14:paraId="7AA2BC2F" w14:textId="17317EA4" w:rsidR="00343806" w:rsidRPr="00343806" w:rsidRDefault="00343806" w:rsidP="00343806">
            <w:pPr>
              <w:pStyle w:val="ExhibitText"/>
              <w:rPr>
                <w:sz w:val="18"/>
                <w:szCs w:val="18"/>
                <w:lang w:val="en-CA"/>
              </w:rPr>
            </w:pPr>
            <w:r w:rsidRPr="00343806">
              <w:rPr>
                <w:sz w:val="18"/>
                <w:szCs w:val="18"/>
              </w:rPr>
              <w:t>1,552.67</w:t>
            </w:r>
          </w:p>
        </w:tc>
        <w:tc>
          <w:tcPr>
            <w:tcW w:w="925" w:type="dxa"/>
            <w:vAlign w:val="center"/>
          </w:tcPr>
          <w:p w14:paraId="28C143C2" w14:textId="38D0A127" w:rsidR="00343806" w:rsidRPr="00343806" w:rsidRDefault="00343806" w:rsidP="00343806">
            <w:pPr>
              <w:pStyle w:val="ExhibitText"/>
              <w:rPr>
                <w:sz w:val="18"/>
                <w:szCs w:val="18"/>
                <w:lang w:val="en-CA"/>
              </w:rPr>
            </w:pPr>
            <w:r w:rsidRPr="00343806">
              <w:rPr>
                <w:sz w:val="18"/>
                <w:szCs w:val="18"/>
              </w:rPr>
              <w:t>1,779.45</w:t>
            </w:r>
          </w:p>
        </w:tc>
        <w:tc>
          <w:tcPr>
            <w:tcW w:w="992" w:type="dxa"/>
            <w:vAlign w:val="center"/>
          </w:tcPr>
          <w:p w14:paraId="2D5A911D" w14:textId="1D4F4CEC" w:rsidR="00343806" w:rsidRPr="00343806" w:rsidRDefault="00343806" w:rsidP="00343806">
            <w:pPr>
              <w:pStyle w:val="ExhibitText"/>
              <w:rPr>
                <w:sz w:val="18"/>
                <w:szCs w:val="18"/>
                <w:lang w:val="en-CA"/>
              </w:rPr>
            </w:pPr>
            <w:r w:rsidRPr="00343806">
              <w:rPr>
                <w:sz w:val="18"/>
                <w:szCs w:val="18"/>
              </w:rPr>
              <w:t>2,245.22</w:t>
            </w:r>
          </w:p>
        </w:tc>
        <w:tc>
          <w:tcPr>
            <w:tcW w:w="993" w:type="dxa"/>
            <w:vAlign w:val="center"/>
          </w:tcPr>
          <w:p w14:paraId="4E72507E" w14:textId="355073D4" w:rsidR="00343806" w:rsidRPr="00343806" w:rsidRDefault="00343806" w:rsidP="00343806">
            <w:pPr>
              <w:pStyle w:val="ExhibitText"/>
              <w:rPr>
                <w:sz w:val="18"/>
                <w:szCs w:val="18"/>
                <w:lang w:val="en-CA"/>
              </w:rPr>
            </w:pPr>
            <w:r w:rsidRPr="00343806">
              <w:rPr>
                <w:sz w:val="18"/>
                <w:szCs w:val="18"/>
              </w:rPr>
              <w:t>2,657.33</w:t>
            </w:r>
          </w:p>
        </w:tc>
        <w:tc>
          <w:tcPr>
            <w:tcW w:w="992" w:type="dxa"/>
            <w:vAlign w:val="center"/>
          </w:tcPr>
          <w:p w14:paraId="234C006C" w14:textId="681C66DB" w:rsidR="00343806" w:rsidRPr="00343806" w:rsidRDefault="00343806" w:rsidP="00343806">
            <w:pPr>
              <w:pStyle w:val="ExhibitText"/>
              <w:rPr>
                <w:sz w:val="18"/>
                <w:szCs w:val="18"/>
                <w:lang w:val="en-CA"/>
              </w:rPr>
            </w:pPr>
            <w:r w:rsidRPr="00343806">
              <w:rPr>
                <w:sz w:val="18"/>
                <w:szCs w:val="18"/>
              </w:rPr>
              <w:t>2,697.70</w:t>
            </w:r>
          </w:p>
        </w:tc>
      </w:tr>
      <w:tr w:rsidR="00343806" w:rsidRPr="00343806" w14:paraId="57D4E959" w14:textId="77777777" w:rsidTr="00343806">
        <w:trPr>
          <w:jc w:val="center"/>
        </w:trPr>
        <w:tc>
          <w:tcPr>
            <w:tcW w:w="4532" w:type="dxa"/>
            <w:vAlign w:val="center"/>
          </w:tcPr>
          <w:p w14:paraId="7A285E9A" w14:textId="7AB9B9FA" w:rsidR="00343806" w:rsidRPr="00343806" w:rsidRDefault="00343806" w:rsidP="00343806">
            <w:pPr>
              <w:pStyle w:val="ExhibitText"/>
              <w:rPr>
                <w:b/>
                <w:sz w:val="18"/>
                <w:szCs w:val="18"/>
              </w:rPr>
            </w:pPr>
            <w:r w:rsidRPr="00343806">
              <w:rPr>
                <w:b/>
                <w:sz w:val="18"/>
                <w:szCs w:val="18"/>
              </w:rPr>
              <w:t>EXPENSES</w:t>
            </w:r>
          </w:p>
        </w:tc>
        <w:tc>
          <w:tcPr>
            <w:tcW w:w="917" w:type="dxa"/>
          </w:tcPr>
          <w:p w14:paraId="75CA9C14" w14:textId="27A4D912" w:rsidR="00343806" w:rsidRPr="00343806" w:rsidRDefault="00343806" w:rsidP="00343806">
            <w:pPr>
              <w:pStyle w:val="ExhibitText"/>
              <w:rPr>
                <w:sz w:val="18"/>
                <w:szCs w:val="18"/>
                <w:lang w:val="en-CA"/>
              </w:rPr>
            </w:pPr>
          </w:p>
        </w:tc>
        <w:tc>
          <w:tcPr>
            <w:tcW w:w="925" w:type="dxa"/>
            <w:vAlign w:val="center"/>
          </w:tcPr>
          <w:p w14:paraId="18E4DCC4" w14:textId="79650C18" w:rsidR="00343806" w:rsidRPr="00343806" w:rsidRDefault="00343806" w:rsidP="00343806">
            <w:pPr>
              <w:pStyle w:val="ExhibitText"/>
              <w:rPr>
                <w:sz w:val="18"/>
                <w:szCs w:val="18"/>
                <w:lang w:val="en-CA"/>
              </w:rPr>
            </w:pPr>
            <w:r w:rsidRPr="00343806">
              <w:rPr>
                <w:sz w:val="18"/>
                <w:szCs w:val="18"/>
              </w:rPr>
              <w:t> </w:t>
            </w:r>
          </w:p>
        </w:tc>
        <w:tc>
          <w:tcPr>
            <w:tcW w:w="992" w:type="dxa"/>
            <w:vAlign w:val="center"/>
          </w:tcPr>
          <w:p w14:paraId="6559105D" w14:textId="651B8C7D" w:rsidR="00343806" w:rsidRPr="00343806" w:rsidRDefault="00343806" w:rsidP="00343806">
            <w:pPr>
              <w:pStyle w:val="ExhibitText"/>
              <w:rPr>
                <w:sz w:val="18"/>
                <w:szCs w:val="18"/>
                <w:lang w:val="en-CA"/>
              </w:rPr>
            </w:pPr>
            <w:r w:rsidRPr="00343806">
              <w:rPr>
                <w:sz w:val="18"/>
                <w:szCs w:val="18"/>
              </w:rPr>
              <w:t> </w:t>
            </w:r>
          </w:p>
        </w:tc>
        <w:tc>
          <w:tcPr>
            <w:tcW w:w="993" w:type="dxa"/>
            <w:vAlign w:val="center"/>
          </w:tcPr>
          <w:p w14:paraId="4DCC76D4" w14:textId="25647134" w:rsidR="00343806" w:rsidRPr="00343806" w:rsidRDefault="00343806" w:rsidP="00343806">
            <w:pPr>
              <w:pStyle w:val="ExhibitText"/>
              <w:rPr>
                <w:sz w:val="18"/>
                <w:szCs w:val="18"/>
                <w:lang w:val="en-CA"/>
              </w:rPr>
            </w:pPr>
            <w:r w:rsidRPr="00343806">
              <w:rPr>
                <w:sz w:val="18"/>
                <w:szCs w:val="18"/>
              </w:rPr>
              <w:t> </w:t>
            </w:r>
          </w:p>
        </w:tc>
        <w:tc>
          <w:tcPr>
            <w:tcW w:w="992" w:type="dxa"/>
            <w:vAlign w:val="center"/>
          </w:tcPr>
          <w:p w14:paraId="1ADB3F3E" w14:textId="178BCC39" w:rsidR="00343806" w:rsidRPr="00343806" w:rsidRDefault="00343806" w:rsidP="00343806">
            <w:pPr>
              <w:pStyle w:val="ExhibitText"/>
              <w:rPr>
                <w:sz w:val="18"/>
                <w:szCs w:val="18"/>
                <w:lang w:val="en-CA"/>
              </w:rPr>
            </w:pPr>
            <w:r w:rsidRPr="00343806">
              <w:rPr>
                <w:sz w:val="18"/>
                <w:szCs w:val="18"/>
              </w:rPr>
              <w:t> </w:t>
            </w:r>
          </w:p>
        </w:tc>
      </w:tr>
      <w:tr w:rsidR="00343806" w:rsidRPr="00343806" w14:paraId="4387B7C7" w14:textId="77777777" w:rsidTr="00343806">
        <w:trPr>
          <w:jc w:val="center"/>
        </w:trPr>
        <w:tc>
          <w:tcPr>
            <w:tcW w:w="4532" w:type="dxa"/>
          </w:tcPr>
          <w:p w14:paraId="2B9F5128" w14:textId="4220AFFE" w:rsidR="00343806" w:rsidRPr="00343806" w:rsidRDefault="00343806" w:rsidP="00343806">
            <w:pPr>
              <w:pStyle w:val="ExhibitText"/>
              <w:rPr>
                <w:b/>
                <w:sz w:val="18"/>
                <w:szCs w:val="18"/>
              </w:rPr>
            </w:pPr>
            <w:r w:rsidRPr="00343806">
              <w:rPr>
                <w:b/>
                <w:sz w:val="18"/>
                <w:szCs w:val="18"/>
              </w:rPr>
              <w:t>Purchase of Stock-in-Trade</w:t>
            </w:r>
          </w:p>
        </w:tc>
        <w:tc>
          <w:tcPr>
            <w:tcW w:w="917" w:type="dxa"/>
            <w:vAlign w:val="center"/>
          </w:tcPr>
          <w:p w14:paraId="7A73227F" w14:textId="1134A67C" w:rsidR="00343806" w:rsidRPr="00343806" w:rsidRDefault="00343806" w:rsidP="00343806">
            <w:pPr>
              <w:pStyle w:val="ExhibitText"/>
              <w:rPr>
                <w:sz w:val="18"/>
                <w:szCs w:val="18"/>
                <w:lang w:val="en-CA"/>
              </w:rPr>
            </w:pPr>
            <w:r w:rsidRPr="00343806">
              <w:rPr>
                <w:sz w:val="18"/>
                <w:szCs w:val="18"/>
              </w:rPr>
              <w:t>283.24</w:t>
            </w:r>
          </w:p>
        </w:tc>
        <w:tc>
          <w:tcPr>
            <w:tcW w:w="925" w:type="dxa"/>
            <w:vAlign w:val="center"/>
          </w:tcPr>
          <w:p w14:paraId="6060120D" w14:textId="348DE4F6" w:rsidR="00343806" w:rsidRPr="00343806" w:rsidRDefault="00343806" w:rsidP="00343806">
            <w:pPr>
              <w:pStyle w:val="ExhibitText"/>
              <w:rPr>
                <w:sz w:val="18"/>
                <w:szCs w:val="18"/>
                <w:lang w:val="en-CA"/>
              </w:rPr>
            </w:pPr>
            <w:r w:rsidRPr="00343806">
              <w:rPr>
                <w:sz w:val="18"/>
                <w:szCs w:val="18"/>
              </w:rPr>
              <w:t>88.58</w:t>
            </w:r>
          </w:p>
        </w:tc>
        <w:tc>
          <w:tcPr>
            <w:tcW w:w="992" w:type="dxa"/>
            <w:vAlign w:val="center"/>
          </w:tcPr>
          <w:p w14:paraId="3333CCA0" w14:textId="6CE97CC9" w:rsidR="00343806" w:rsidRPr="00343806" w:rsidRDefault="00343806" w:rsidP="00343806">
            <w:pPr>
              <w:pStyle w:val="ExhibitText"/>
              <w:rPr>
                <w:sz w:val="18"/>
                <w:szCs w:val="18"/>
                <w:lang w:val="en-CA"/>
              </w:rPr>
            </w:pPr>
            <w:r w:rsidRPr="00343806">
              <w:rPr>
                <w:sz w:val="18"/>
                <w:szCs w:val="18"/>
              </w:rPr>
              <w:t>113.47</w:t>
            </w:r>
          </w:p>
        </w:tc>
        <w:tc>
          <w:tcPr>
            <w:tcW w:w="993" w:type="dxa"/>
            <w:vAlign w:val="center"/>
          </w:tcPr>
          <w:p w14:paraId="2C7ACF5C" w14:textId="19578D51" w:rsidR="00343806" w:rsidRPr="00343806" w:rsidRDefault="00343806" w:rsidP="00343806">
            <w:pPr>
              <w:pStyle w:val="ExhibitText"/>
              <w:rPr>
                <w:sz w:val="18"/>
                <w:szCs w:val="18"/>
                <w:lang w:val="en-CA"/>
              </w:rPr>
            </w:pPr>
            <w:r w:rsidRPr="00343806">
              <w:rPr>
                <w:sz w:val="18"/>
                <w:szCs w:val="18"/>
              </w:rPr>
              <w:t>186.50</w:t>
            </w:r>
          </w:p>
        </w:tc>
        <w:tc>
          <w:tcPr>
            <w:tcW w:w="992" w:type="dxa"/>
            <w:vAlign w:val="center"/>
          </w:tcPr>
          <w:p w14:paraId="29B356B1" w14:textId="692656E2" w:rsidR="00343806" w:rsidRPr="00343806" w:rsidRDefault="00343806" w:rsidP="00343806">
            <w:pPr>
              <w:pStyle w:val="ExhibitText"/>
              <w:rPr>
                <w:sz w:val="18"/>
                <w:szCs w:val="18"/>
                <w:lang w:val="en-CA"/>
              </w:rPr>
            </w:pPr>
            <w:r w:rsidRPr="00343806">
              <w:rPr>
                <w:sz w:val="18"/>
                <w:szCs w:val="18"/>
              </w:rPr>
              <w:t>306.58</w:t>
            </w:r>
          </w:p>
        </w:tc>
      </w:tr>
      <w:tr w:rsidR="00343806" w:rsidRPr="00343806" w14:paraId="3E8CBB85" w14:textId="77777777" w:rsidTr="00343806">
        <w:trPr>
          <w:jc w:val="center"/>
        </w:trPr>
        <w:tc>
          <w:tcPr>
            <w:tcW w:w="4532" w:type="dxa"/>
          </w:tcPr>
          <w:p w14:paraId="0823FF00" w14:textId="7B0C8CFE" w:rsidR="00343806" w:rsidRPr="00343806" w:rsidRDefault="00343806" w:rsidP="00343806">
            <w:pPr>
              <w:pStyle w:val="ExhibitText"/>
              <w:rPr>
                <w:b/>
                <w:sz w:val="18"/>
                <w:szCs w:val="18"/>
              </w:rPr>
            </w:pPr>
            <w:r w:rsidRPr="00343806">
              <w:rPr>
                <w:b/>
                <w:sz w:val="18"/>
                <w:szCs w:val="18"/>
              </w:rPr>
              <w:t>Cost of Fuel</w:t>
            </w:r>
          </w:p>
        </w:tc>
        <w:tc>
          <w:tcPr>
            <w:tcW w:w="917" w:type="dxa"/>
            <w:vAlign w:val="center"/>
          </w:tcPr>
          <w:p w14:paraId="4DE6C3AE" w14:textId="2BE397A6" w:rsidR="00343806" w:rsidRPr="00343806" w:rsidRDefault="00343806" w:rsidP="00343806">
            <w:pPr>
              <w:pStyle w:val="ExhibitText"/>
              <w:rPr>
                <w:sz w:val="18"/>
                <w:szCs w:val="18"/>
                <w:lang w:val="en-CA"/>
              </w:rPr>
            </w:pPr>
            <w:r w:rsidRPr="00343806">
              <w:rPr>
                <w:sz w:val="18"/>
                <w:szCs w:val="18"/>
              </w:rPr>
              <w:t>388.17</w:t>
            </w:r>
          </w:p>
        </w:tc>
        <w:tc>
          <w:tcPr>
            <w:tcW w:w="925" w:type="dxa"/>
            <w:vAlign w:val="center"/>
          </w:tcPr>
          <w:p w14:paraId="2A994BEE" w14:textId="42958F1A" w:rsidR="00343806" w:rsidRPr="00343806" w:rsidRDefault="00343806" w:rsidP="00343806">
            <w:pPr>
              <w:pStyle w:val="ExhibitText"/>
              <w:rPr>
                <w:sz w:val="18"/>
                <w:szCs w:val="18"/>
                <w:lang w:val="en-CA"/>
              </w:rPr>
            </w:pPr>
            <w:r w:rsidRPr="00343806">
              <w:rPr>
                <w:sz w:val="18"/>
                <w:szCs w:val="18"/>
              </w:rPr>
              <w:t>444.86</w:t>
            </w:r>
          </w:p>
        </w:tc>
        <w:tc>
          <w:tcPr>
            <w:tcW w:w="992" w:type="dxa"/>
            <w:vAlign w:val="center"/>
          </w:tcPr>
          <w:p w14:paraId="0FBF1B5C" w14:textId="54652201" w:rsidR="00343806" w:rsidRPr="00343806" w:rsidRDefault="00343806" w:rsidP="00343806">
            <w:pPr>
              <w:pStyle w:val="ExhibitText"/>
              <w:rPr>
                <w:sz w:val="18"/>
                <w:szCs w:val="18"/>
                <w:lang w:val="en-CA"/>
              </w:rPr>
            </w:pPr>
            <w:r w:rsidRPr="00343806">
              <w:rPr>
                <w:sz w:val="18"/>
                <w:szCs w:val="18"/>
              </w:rPr>
              <w:t>561.31</w:t>
            </w:r>
          </w:p>
        </w:tc>
        <w:tc>
          <w:tcPr>
            <w:tcW w:w="993" w:type="dxa"/>
            <w:vAlign w:val="center"/>
          </w:tcPr>
          <w:p w14:paraId="70C273AC" w14:textId="4ED52375" w:rsidR="00343806" w:rsidRPr="00343806" w:rsidRDefault="00343806" w:rsidP="00343806">
            <w:pPr>
              <w:pStyle w:val="ExhibitText"/>
              <w:rPr>
                <w:sz w:val="18"/>
                <w:szCs w:val="18"/>
                <w:lang w:val="en-CA"/>
              </w:rPr>
            </w:pPr>
            <w:r w:rsidRPr="00343806">
              <w:rPr>
                <w:sz w:val="18"/>
                <w:szCs w:val="18"/>
              </w:rPr>
              <w:t>664.33</w:t>
            </w:r>
          </w:p>
        </w:tc>
        <w:tc>
          <w:tcPr>
            <w:tcW w:w="992" w:type="dxa"/>
            <w:vAlign w:val="center"/>
          </w:tcPr>
          <w:p w14:paraId="1CE73408" w14:textId="7EE0146F" w:rsidR="00343806" w:rsidRPr="00343806" w:rsidRDefault="00343806" w:rsidP="00343806">
            <w:pPr>
              <w:pStyle w:val="ExhibitText"/>
              <w:rPr>
                <w:sz w:val="18"/>
                <w:szCs w:val="18"/>
                <w:lang w:val="en-CA"/>
              </w:rPr>
            </w:pPr>
            <w:r w:rsidRPr="00343806">
              <w:rPr>
                <w:sz w:val="18"/>
                <w:szCs w:val="18"/>
              </w:rPr>
              <w:t>674.43</w:t>
            </w:r>
          </w:p>
        </w:tc>
      </w:tr>
      <w:tr w:rsidR="00343806" w:rsidRPr="00343806" w14:paraId="734DDA95" w14:textId="77777777" w:rsidTr="00343806">
        <w:trPr>
          <w:jc w:val="center"/>
        </w:trPr>
        <w:tc>
          <w:tcPr>
            <w:tcW w:w="4532" w:type="dxa"/>
          </w:tcPr>
          <w:tbl>
            <w:tblPr>
              <w:tblW w:w="4316" w:type="dxa"/>
              <w:tblCellSpacing w:w="0" w:type="dxa"/>
              <w:tblCellMar>
                <w:left w:w="0" w:type="dxa"/>
                <w:right w:w="0" w:type="dxa"/>
              </w:tblCellMar>
              <w:tblLook w:val="04A0" w:firstRow="1" w:lastRow="0" w:firstColumn="1" w:lastColumn="0" w:noHBand="0" w:noVBand="1"/>
            </w:tblPr>
            <w:tblGrid>
              <w:gridCol w:w="4316"/>
            </w:tblGrid>
            <w:tr w:rsidR="00343806" w:rsidRPr="00343806" w14:paraId="66F3E29D" w14:textId="77777777" w:rsidTr="00FF52EA">
              <w:trPr>
                <w:trHeight w:val="403"/>
                <w:tblCellSpacing w:w="0" w:type="dxa"/>
              </w:trPr>
              <w:tc>
                <w:tcPr>
                  <w:tcW w:w="4316" w:type="dxa"/>
                  <w:tcBorders>
                    <w:top w:val="nil"/>
                    <w:left w:val="nil"/>
                    <w:bottom w:val="nil"/>
                    <w:right w:val="nil"/>
                  </w:tcBorders>
                  <w:shd w:val="clear" w:color="000000" w:fill="FFFFFF"/>
                  <w:vAlign w:val="center"/>
                  <w:hideMark/>
                </w:tcPr>
                <w:p w14:paraId="2B89F7CB" w14:textId="77777777" w:rsidR="00343806" w:rsidRPr="00343806" w:rsidRDefault="00343806" w:rsidP="00343806">
                  <w:pPr>
                    <w:pStyle w:val="ExhibitText"/>
                    <w:rPr>
                      <w:b/>
                      <w:sz w:val="18"/>
                      <w:szCs w:val="18"/>
                    </w:rPr>
                  </w:pPr>
                  <w:r w:rsidRPr="00343806">
                    <w:rPr>
                      <w:b/>
                      <w:sz w:val="18"/>
                      <w:szCs w:val="18"/>
                    </w:rPr>
                    <w:drawing>
                      <wp:anchor distT="0" distB="0" distL="114300" distR="114300" simplePos="0" relativeHeight="251710464" behindDoc="0" locked="0" layoutInCell="1" allowOverlap="1" wp14:anchorId="35497FE5" wp14:editId="5FBC4C61">
                        <wp:simplePos x="0" y="0"/>
                        <wp:positionH relativeFrom="column">
                          <wp:posOffset>2505075</wp:posOffset>
                        </wp:positionH>
                        <wp:positionV relativeFrom="paragraph">
                          <wp:posOffset>95250</wp:posOffset>
                        </wp:positionV>
                        <wp:extent cx="66675" cy="76200"/>
                        <wp:effectExtent l="0" t="0" r="0" b="0"/>
                        <wp:wrapNone/>
                        <wp:docPr id="1" name="Picture 1" descr="https://img-d05.moneycontrol.co.in/images/blank.gif"/>
                        <wp:cNvGraphicFramePr/>
                        <a:graphic xmlns:a="http://schemas.openxmlformats.org/drawingml/2006/main">
                          <a:graphicData uri="http://schemas.openxmlformats.org/drawingml/2006/picture">
                            <pic:pic xmlns:pic="http://schemas.openxmlformats.org/drawingml/2006/picture">
                              <pic:nvPicPr>
                                <pic:cNvPr id="9" name="Picture 8" descr="https://img-d05.moneycontrol.co.in/images/blank.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343806">
                    <w:rPr>
                      <w:b/>
                      <w:sz w:val="18"/>
                      <w:szCs w:val="18"/>
                    </w:rPr>
                    <w:t>Changes in Inventories of FG, WIP, and Stock-in Trade</w:t>
                  </w:r>
                </w:p>
              </w:tc>
            </w:tr>
          </w:tbl>
          <w:p w14:paraId="0C35BC94" w14:textId="77777777" w:rsidR="00343806" w:rsidRPr="00343806" w:rsidRDefault="00343806" w:rsidP="00343806">
            <w:pPr>
              <w:pStyle w:val="ExhibitText"/>
              <w:rPr>
                <w:b/>
                <w:sz w:val="18"/>
                <w:szCs w:val="18"/>
              </w:rPr>
            </w:pPr>
          </w:p>
        </w:tc>
        <w:tc>
          <w:tcPr>
            <w:tcW w:w="917" w:type="dxa"/>
            <w:vAlign w:val="center"/>
          </w:tcPr>
          <w:p w14:paraId="2ED9EB9B" w14:textId="553D90C7" w:rsidR="00343806" w:rsidRPr="00343806" w:rsidRDefault="00343806" w:rsidP="00343806">
            <w:pPr>
              <w:pStyle w:val="ExhibitText"/>
              <w:rPr>
                <w:sz w:val="18"/>
                <w:szCs w:val="18"/>
                <w:lang w:val="en-CA"/>
              </w:rPr>
            </w:pPr>
            <w:r w:rsidRPr="00343806">
              <w:rPr>
                <w:sz w:val="18"/>
                <w:szCs w:val="18"/>
              </w:rPr>
              <w:t>0.00</w:t>
            </w:r>
          </w:p>
        </w:tc>
        <w:tc>
          <w:tcPr>
            <w:tcW w:w="925" w:type="dxa"/>
            <w:vAlign w:val="center"/>
          </w:tcPr>
          <w:p w14:paraId="4316B221" w14:textId="7E9FBB33" w:rsidR="00343806" w:rsidRPr="00343806" w:rsidRDefault="00343806" w:rsidP="00343806">
            <w:pPr>
              <w:pStyle w:val="ExhibitText"/>
              <w:rPr>
                <w:sz w:val="18"/>
                <w:szCs w:val="18"/>
                <w:lang w:val="en-CA"/>
              </w:rPr>
            </w:pPr>
            <w:r w:rsidRPr="00343806">
              <w:rPr>
                <w:sz w:val="18"/>
                <w:szCs w:val="18"/>
              </w:rPr>
              <w:t>28.14</w:t>
            </w:r>
          </w:p>
        </w:tc>
        <w:tc>
          <w:tcPr>
            <w:tcW w:w="992" w:type="dxa"/>
            <w:vAlign w:val="center"/>
          </w:tcPr>
          <w:p w14:paraId="7CFD7388" w14:textId="46D66B49" w:rsidR="00343806" w:rsidRPr="00343806" w:rsidRDefault="00343806" w:rsidP="00343806">
            <w:pPr>
              <w:pStyle w:val="ExhibitText"/>
              <w:rPr>
                <w:sz w:val="18"/>
                <w:szCs w:val="18"/>
                <w:lang w:val="en-CA"/>
              </w:rPr>
            </w:pPr>
            <w:r w:rsidRPr="00343806">
              <w:rPr>
                <w:sz w:val="18"/>
                <w:szCs w:val="18"/>
              </w:rPr>
              <w:t>0.00</w:t>
            </w:r>
          </w:p>
        </w:tc>
        <w:tc>
          <w:tcPr>
            <w:tcW w:w="993" w:type="dxa"/>
            <w:vAlign w:val="center"/>
          </w:tcPr>
          <w:p w14:paraId="1CA1FCCB" w14:textId="61BE20D6" w:rsidR="00343806" w:rsidRPr="00343806" w:rsidRDefault="00343806" w:rsidP="00343806">
            <w:pPr>
              <w:pStyle w:val="ExhibitText"/>
              <w:rPr>
                <w:sz w:val="18"/>
                <w:szCs w:val="18"/>
                <w:lang w:val="en-CA"/>
              </w:rPr>
            </w:pPr>
            <w:r w:rsidRPr="00343806">
              <w:rPr>
                <w:sz w:val="18"/>
                <w:szCs w:val="18"/>
              </w:rPr>
              <w:t>0.00</w:t>
            </w:r>
          </w:p>
        </w:tc>
        <w:tc>
          <w:tcPr>
            <w:tcW w:w="992" w:type="dxa"/>
            <w:vAlign w:val="center"/>
          </w:tcPr>
          <w:p w14:paraId="30150DCE" w14:textId="757CDB96" w:rsidR="00343806" w:rsidRPr="00343806" w:rsidRDefault="00343806" w:rsidP="00343806">
            <w:pPr>
              <w:pStyle w:val="ExhibitText"/>
              <w:rPr>
                <w:sz w:val="18"/>
                <w:szCs w:val="18"/>
                <w:lang w:val="en-CA"/>
              </w:rPr>
            </w:pPr>
            <w:r w:rsidRPr="00343806">
              <w:rPr>
                <w:sz w:val="18"/>
                <w:szCs w:val="18"/>
              </w:rPr>
              <w:t>0.00</w:t>
            </w:r>
          </w:p>
        </w:tc>
      </w:tr>
      <w:tr w:rsidR="00343806" w:rsidRPr="00343806" w14:paraId="7727E019" w14:textId="77777777" w:rsidTr="00343806">
        <w:trPr>
          <w:jc w:val="center"/>
        </w:trPr>
        <w:tc>
          <w:tcPr>
            <w:tcW w:w="4532" w:type="dxa"/>
          </w:tcPr>
          <w:p w14:paraId="2B60A6F9" w14:textId="55CB1D6C" w:rsidR="00343806" w:rsidRPr="00343806" w:rsidRDefault="00343806" w:rsidP="00343806">
            <w:pPr>
              <w:pStyle w:val="ExhibitText"/>
              <w:rPr>
                <w:b/>
                <w:sz w:val="18"/>
                <w:szCs w:val="18"/>
              </w:rPr>
            </w:pPr>
            <w:r w:rsidRPr="00343806">
              <w:rPr>
                <w:b/>
                <w:sz w:val="18"/>
                <w:szCs w:val="18"/>
              </w:rPr>
              <w:t>Employee Benefit Expenses</w:t>
            </w:r>
          </w:p>
        </w:tc>
        <w:tc>
          <w:tcPr>
            <w:tcW w:w="917" w:type="dxa"/>
            <w:vAlign w:val="center"/>
          </w:tcPr>
          <w:p w14:paraId="4580EB60" w14:textId="35E80DAB" w:rsidR="00343806" w:rsidRPr="00343806" w:rsidRDefault="00343806" w:rsidP="00343806">
            <w:pPr>
              <w:pStyle w:val="ExhibitText"/>
              <w:rPr>
                <w:sz w:val="18"/>
                <w:szCs w:val="18"/>
                <w:lang w:val="en-CA"/>
              </w:rPr>
            </w:pPr>
            <w:r w:rsidRPr="00343806">
              <w:rPr>
                <w:sz w:val="18"/>
                <w:szCs w:val="18"/>
              </w:rPr>
              <w:t>17.07</w:t>
            </w:r>
          </w:p>
        </w:tc>
        <w:tc>
          <w:tcPr>
            <w:tcW w:w="925" w:type="dxa"/>
            <w:vAlign w:val="center"/>
          </w:tcPr>
          <w:p w14:paraId="4E7774EA" w14:textId="50DD7CCD" w:rsidR="00343806" w:rsidRPr="00343806" w:rsidRDefault="00343806" w:rsidP="00343806">
            <w:pPr>
              <w:pStyle w:val="ExhibitText"/>
              <w:rPr>
                <w:sz w:val="18"/>
                <w:szCs w:val="18"/>
                <w:lang w:val="en-CA"/>
              </w:rPr>
            </w:pPr>
            <w:r w:rsidRPr="00343806">
              <w:rPr>
                <w:sz w:val="18"/>
                <w:szCs w:val="18"/>
              </w:rPr>
              <w:t>19.01</w:t>
            </w:r>
          </w:p>
        </w:tc>
        <w:tc>
          <w:tcPr>
            <w:tcW w:w="992" w:type="dxa"/>
            <w:vAlign w:val="center"/>
          </w:tcPr>
          <w:p w14:paraId="776B879B" w14:textId="2ADEB114" w:rsidR="00343806" w:rsidRPr="00343806" w:rsidRDefault="00343806" w:rsidP="00343806">
            <w:pPr>
              <w:pStyle w:val="ExhibitText"/>
              <w:rPr>
                <w:sz w:val="18"/>
                <w:szCs w:val="18"/>
                <w:lang w:val="en-CA"/>
              </w:rPr>
            </w:pPr>
            <w:r w:rsidRPr="00343806">
              <w:rPr>
                <w:sz w:val="18"/>
                <w:szCs w:val="18"/>
              </w:rPr>
              <w:t>45.34</w:t>
            </w:r>
          </w:p>
        </w:tc>
        <w:tc>
          <w:tcPr>
            <w:tcW w:w="993" w:type="dxa"/>
            <w:vAlign w:val="center"/>
          </w:tcPr>
          <w:p w14:paraId="77CAED69" w14:textId="55FE89B5" w:rsidR="00343806" w:rsidRPr="00343806" w:rsidRDefault="00343806" w:rsidP="00343806">
            <w:pPr>
              <w:pStyle w:val="ExhibitText"/>
              <w:rPr>
                <w:sz w:val="18"/>
                <w:szCs w:val="18"/>
                <w:lang w:val="en-CA"/>
              </w:rPr>
            </w:pPr>
            <w:r w:rsidRPr="00343806">
              <w:rPr>
                <w:sz w:val="18"/>
                <w:szCs w:val="18"/>
              </w:rPr>
              <w:t>62.70</w:t>
            </w:r>
          </w:p>
        </w:tc>
        <w:tc>
          <w:tcPr>
            <w:tcW w:w="992" w:type="dxa"/>
            <w:vAlign w:val="center"/>
          </w:tcPr>
          <w:p w14:paraId="765EC12C" w14:textId="5200EDAC" w:rsidR="00343806" w:rsidRPr="00343806" w:rsidRDefault="00343806" w:rsidP="00343806">
            <w:pPr>
              <w:pStyle w:val="ExhibitText"/>
              <w:rPr>
                <w:sz w:val="18"/>
                <w:szCs w:val="18"/>
                <w:lang w:val="en-CA"/>
              </w:rPr>
            </w:pPr>
            <w:r w:rsidRPr="00343806">
              <w:rPr>
                <w:sz w:val="18"/>
                <w:szCs w:val="18"/>
              </w:rPr>
              <w:t>59.34</w:t>
            </w:r>
          </w:p>
        </w:tc>
      </w:tr>
      <w:tr w:rsidR="00343806" w:rsidRPr="00343806" w14:paraId="271EB43E" w14:textId="77777777" w:rsidTr="00343806">
        <w:trPr>
          <w:jc w:val="center"/>
        </w:trPr>
        <w:tc>
          <w:tcPr>
            <w:tcW w:w="4532" w:type="dxa"/>
          </w:tcPr>
          <w:p w14:paraId="2D3B041E" w14:textId="6C349F8F" w:rsidR="00343806" w:rsidRPr="00343806" w:rsidRDefault="00343806" w:rsidP="00343806">
            <w:pPr>
              <w:pStyle w:val="ExhibitText"/>
              <w:rPr>
                <w:b/>
                <w:sz w:val="18"/>
                <w:szCs w:val="18"/>
              </w:rPr>
            </w:pPr>
            <w:r w:rsidRPr="00343806">
              <w:rPr>
                <w:b/>
                <w:sz w:val="18"/>
                <w:szCs w:val="18"/>
              </w:rPr>
              <w:t>Finance Costs</w:t>
            </w:r>
          </w:p>
        </w:tc>
        <w:tc>
          <w:tcPr>
            <w:tcW w:w="917" w:type="dxa"/>
            <w:vAlign w:val="center"/>
          </w:tcPr>
          <w:p w14:paraId="231EFAA3" w14:textId="226117C3" w:rsidR="00343806" w:rsidRPr="00343806" w:rsidRDefault="00343806" w:rsidP="00343806">
            <w:pPr>
              <w:pStyle w:val="ExhibitText"/>
              <w:rPr>
                <w:sz w:val="18"/>
                <w:szCs w:val="18"/>
                <w:lang w:val="en-CA"/>
              </w:rPr>
            </w:pPr>
            <w:r w:rsidRPr="00343806">
              <w:rPr>
                <w:sz w:val="18"/>
                <w:szCs w:val="18"/>
              </w:rPr>
              <w:t>430.09</w:t>
            </w:r>
          </w:p>
        </w:tc>
        <w:tc>
          <w:tcPr>
            <w:tcW w:w="925" w:type="dxa"/>
            <w:vAlign w:val="center"/>
          </w:tcPr>
          <w:p w14:paraId="72465AEA" w14:textId="5C09A641" w:rsidR="00343806" w:rsidRPr="00343806" w:rsidRDefault="00343806" w:rsidP="00343806">
            <w:pPr>
              <w:pStyle w:val="ExhibitText"/>
              <w:rPr>
                <w:sz w:val="18"/>
                <w:szCs w:val="18"/>
                <w:lang w:val="en-CA"/>
              </w:rPr>
            </w:pPr>
            <w:r w:rsidRPr="00343806">
              <w:rPr>
                <w:sz w:val="18"/>
                <w:szCs w:val="18"/>
              </w:rPr>
              <w:t>535.62</w:t>
            </w:r>
          </w:p>
        </w:tc>
        <w:tc>
          <w:tcPr>
            <w:tcW w:w="992" w:type="dxa"/>
            <w:vAlign w:val="center"/>
          </w:tcPr>
          <w:p w14:paraId="37B85BDB" w14:textId="3C3C12C6" w:rsidR="00343806" w:rsidRPr="00343806" w:rsidRDefault="00343806" w:rsidP="00343806">
            <w:pPr>
              <w:pStyle w:val="ExhibitText"/>
              <w:rPr>
                <w:sz w:val="18"/>
                <w:szCs w:val="18"/>
                <w:lang w:val="en-CA"/>
              </w:rPr>
            </w:pPr>
            <w:r w:rsidRPr="00343806">
              <w:rPr>
                <w:sz w:val="18"/>
                <w:szCs w:val="18"/>
              </w:rPr>
              <w:t>843.23</w:t>
            </w:r>
          </w:p>
        </w:tc>
        <w:tc>
          <w:tcPr>
            <w:tcW w:w="993" w:type="dxa"/>
            <w:vAlign w:val="center"/>
          </w:tcPr>
          <w:p w14:paraId="6738F1AF" w14:textId="20F5C809" w:rsidR="00343806" w:rsidRPr="00343806" w:rsidRDefault="00343806" w:rsidP="00343806">
            <w:pPr>
              <w:pStyle w:val="ExhibitText"/>
              <w:rPr>
                <w:sz w:val="18"/>
                <w:szCs w:val="18"/>
                <w:lang w:val="en-CA"/>
              </w:rPr>
            </w:pPr>
            <w:r w:rsidRPr="00343806">
              <w:rPr>
                <w:sz w:val="18"/>
                <w:szCs w:val="18"/>
              </w:rPr>
              <w:t>797.20</w:t>
            </w:r>
          </w:p>
        </w:tc>
        <w:tc>
          <w:tcPr>
            <w:tcW w:w="992" w:type="dxa"/>
            <w:vAlign w:val="center"/>
          </w:tcPr>
          <w:p w14:paraId="3A29AC47" w14:textId="08AAB3C8" w:rsidR="00343806" w:rsidRPr="00343806" w:rsidRDefault="00343806" w:rsidP="00343806">
            <w:pPr>
              <w:pStyle w:val="ExhibitText"/>
              <w:rPr>
                <w:sz w:val="18"/>
                <w:szCs w:val="18"/>
                <w:lang w:val="en-CA"/>
              </w:rPr>
            </w:pPr>
            <w:r w:rsidRPr="00343806">
              <w:rPr>
                <w:sz w:val="18"/>
                <w:szCs w:val="18"/>
              </w:rPr>
              <w:t>750.11</w:t>
            </w:r>
          </w:p>
        </w:tc>
      </w:tr>
      <w:tr w:rsidR="00343806" w:rsidRPr="00343806" w14:paraId="3BEB509F" w14:textId="77777777" w:rsidTr="00343806">
        <w:trPr>
          <w:jc w:val="center"/>
        </w:trPr>
        <w:tc>
          <w:tcPr>
            <w:tcW w:w="4532" w:type="dxa"/>
          </w:tcPr>
          <w:p w14:paraId="39DA1D4C" w14:textId="77777777" w:rsidR="00343806" w:rsidRPr="00343806" w:rsidRDefault="00343806" w:rsidP="00343806">
            <w:pPr>
              <w:pStyle w:val="ExhibitText"/>
              <w:rPr>
                <w:b/>
                <w:sz w:val="18"/>
                <w:szCs w:val="18"/>
              </w:rPr>
            </w:pPr>
            <w:r w:rsidRPr="00343806">
              <w:rPr>
                <w:b/>
                <w:sz w:val="18"/>
                <w:szCs w:val="18"/>
              </w:rPr>
              <w:t xml:space="preserve">Depreciation and Amortization </w:t>
            </w:r>
          </w:p>
          <w:p w14:paraId="12241F1D" w14:textId="7FA2B942" w:rsidR="00343806" w:rsidRPr="00343806" w:rsidRDefault="00343806" w:rsidP="00343806">
            <w:pPr>
              <w:pStyle w:val="ExhibitText"/>
              <w:rPr>
                <w:b/>
                <w:sz w:val="18"/>
                <w:szCs w:val="18"/>
              </w:rPr>
            </w:pPr>
            <w:r w:rsidRPr="00343806">
              <w:rPr>
                <w:b/>
                <w:sz w:val="18"/>
                <w:szCs w:val="18"/>
              </w:rPr>
              <w:t>Expenses</w:t>
            </w:r>
          </w:p>
        </w:tc>
        <w:tc>
          <w:tcPr>
            <w:tcW w:w="917" w:type="dxa"/>
            <w:vAlign w:val="center"/>
          </w:tcPr>
          <w:p w14:paraId="5075FE8B" w14:textId="01D967FD" w:rsidR="00343806" w:rsidRPr="00343806" w:rsidRDefault="00343806" w:rsidP="00343806">
            <w:pPr>
              <w:pStyle w:val="ExhibitText"/>
              <w:rPr>
                <w:sz w:val="18"/>
                <w:szCs w:val="18"/>
                <w:lang w:val="en-CA"/>
              </w:rPr>
            </w:pPr>
            <w:r w:rsidRPr="00343806">
              <w:rPr>
                <w:sz w:val="18"/>
                <w:szCs w:val="18"/>
              </w:rPr>
              <w:t>136.31</w:t>
            </w:r>
          </w:p>
        </w:tc>
        <w:tc>
          <w:tcPr>
            <w:tcW w:w="925" w:type="dxa"/>
            <w:vAlign w:val="center"/>
          </w:tcPr>
          <w:p w14:paraId="6A2DA97D" w14:textId="793BE706" w:rsidR="00343806" w:rsidRPr="00343806" w:rsidRDefault="00343806" w:rsidP="00343806">
            <w:pPr>
              <w:pStyle w:val="ExhibitText"/>
              <w:rPr>
                <w:sz w:val="18"/>
                <w:szCs w:val="18"/>
                <w:lang w:val="en-CA"/>
              </w:rPr>
            </w:pPr>
            <w:r w:rsidRPr="00343806">
              <w:rPr>
                <w:sz w:val="18"/>
                <w:szCs w:val="18"/>
              </w:rPr>
              <w:t>152.02</w:t>
            </w:r>
          </w:p>
        </w:tc>
        <w:tc>
          <w:tcPr>
            <w:tcW w:w="992" w:type="dxa"/>
            <w:vAlign w:val="center"/>
          </w:tcPr>
          <w:p w14:paraId="020F2C37" w14:textId="67A90CD8" w:rsidR="00343806" w:rsidRPr="00343806" w:rsidRDefault="00343806" w:rsidP="00343806">
            <w:pPr>
              <w:pStyle w:val="ExhibitText"/>
              <w:rPr>
                <w:sz w:val="18"/>
                <w:szCs w:val="18"/>
                <w:lang w:val="en-CA"/>
              </w:rPr>
            </w:pPr>
            <w:r w:rsidRPr="00343806">
              <w:rPr>
                <w:sz w:val="18"/>
                <w:szCs w:val="18"/>
              </w:rPr>
              <w:t>293.07</w:t>
            </w:r>
          </w:p>
        </w:tc>
        <w:tc>
          <w:tcPr>
            <w:tcW w:w="993" w:type="dxa"/>
            <w:vAlign w:val="center"/>
          </w:tcPr>
          <w:p w14:paraId="2EEFF890" w14:textId="1007CE99" w:rsidR="00343806" w:rsidRPr="00343806" w:rsidRDefault="00343806" w:rsidP="00343806">
            <w:pPr>
              <w:pStyle w:val="ExhibitText"/>
              <w:rPr>
                <w:sz w:val="18"/>
                <w:szCs w:val="18"/>
                <w:lang w:val="en-CA"/>
              </w:rPr>
            </w:pPr>
            <w:r w:rsidRPr="00343806">
              <w:rPr>
                <w:sz w:val="18"/>
                <w:szCs w:val="18"/>
              </w:rPr>
              <w:t>368.29</w:t>
            </w:r>
          </w:p>
        </w:tc>
        <w:tc>
          <w:tcPr>
            <w:tcW w:w="992" w:type="dxa"/>
            <w:vAlign w:val="center"/>
          </w:tcPr>
          <w:p w14:paraId="2EE49092" w14:textId="17BFC066" w:rsidR="00343806" w:rsidRPr="00343806" w:rsidRDefault="00343806" w:rsidP="00343806">
            <w:pPr>
              <w:pStyle w:val="ExhibitText"/>
              <w:rPr>
                <w:sz w:val="18"/>
                <w:szCs w:val="18"/>
                <w:lang w:val="en-CA"/>
              </w:rPr>
            </w:pPr>
            <w:r w:rsidRPr="00343806">
              <w:rPr>
                <w:sz w:val="18"/>
                <w:szCs w:val="18"/>
              </w:rPr>
              <w:t>366.11</w:t>
            </w:r>
          </w:p>
        </w:tc>
      </w:tr>
      <w:tr w:rsidR="00343806" w:rsidRPr="00343806" w14:paraId="496C0DEF" w14:textId="77777777" w:rsidTr="00343806">
        <w:trPr>
          <w:jc w:val="center"/>
        </w:trPr>
        <w:tc>
          <w:tcPr>
            <w:tcW w:w="4532" w:type="dxa"/>
          </w:tcPr>
          <w:p w14:paraId="05765309" w14:textId="20AA1236" w:rsidR="00343806" w:rsidRPr="00343806" w:rsidRDefault="00343806" w:rsidP="00343806">
            <w:pPr>
              <w:pStyle w:val="ExhibitText"/>
              <w:rPr>
                <w:b/>
                <w:sz w:val="18"/>
                <w:szCs w:val="18"/>
              </w:rPr>
            </w:pPr>
            <w:r w:rsidRPr="00343806">
              <w:rPr>
                <w:b/>
                <w:sz w:val="18"/>
                <w:szCs w:val="18"/>
              </w:rPr>
              <w:t>Other Expenses</w:t>
            </w:r>
          </w:p>
        </w:tc>
        <w:tc>
          <w:tcPr>
            <w:tcW w:w="917" w:type="dxa"/>
            <w:vAlign w:val="center"/>
          </w:tcPr>
          <w:p w14:paraId="42133ACE" w14:textId="0C7707B7" w:rsidR="00343806" w:rsidRPr="00343806" w:rsidRDefault="00343806" w:rsidP="00343806">
            <w:pPr>
              <w:pStyle w:val="ExhibitText"/>
              <w:rPr>
                <w:sz w:val="18"/>
                <w:szCs w:val="18"/>
                <w:lang w:val="en-CA"/>
              </w:rPr>
            </w:pPr>
            <w:r w:rsidRPr="00343806">
              <w:rPr>
                <w:sz w:val="18"/>
                <w:szCs w:val="18"/>
              </w:rPr>
              <w:t>37.61</w:t>
            </w:r>
          </w:p>
        </w:tc>
        <w:tc>
          <w:tcPr>
            <w:tcW w:w="925" w:type="dxa"/>
            <w:vAlign w:val="center"/>
          </w:tcPr>
          <w:p w14:paraId="52320511" w14:textId="0A1AC21A" w:rsidR="00343806" w:rsidRPr="00343806" w:rsidRDefault="00343806" w:rsidP="00343806">
            <w:pPr>
              <w:pStyle w:val="ExhibitText"/>
              <w:rPr>
                <w:sz w:val="18"/>
                <w:szCs w:val="18"/>
                <w:lang w:val="en-CA"/>
              </w:rPr>
            </w:pPr>
            <w:r w:rsidRPr="00343806">
              <w:rPr>
                <w:sz w:val="18"/>
                <w:szCs w:val="18"/>
              </w:rPr>
              <w:t>35.37</w:t>
            </w:r>
          </w:p>
        </w:tc>
        <w:tc>
          <w:tcPr>
            <w:tcW w:w="992" w:type="dxa"/>
            <w:vAlign w:val="center"/>
          </w:tcPr>
          <w:p w14:paraId="305BD068" w14:textId="5B5EAF48" w:rsidR="00343806" w:rsidRPr="00343806" w:rsidRDefault="00343806" w:rsidP="00343806">
            <w:pPr>
              <w:pStyle w:val="ExhibitText"/>
              <w:rPr>
                <w:sz w:val="18"/>
                <w:szCs w:val="18"/>
                <w:lang w:val="en-CA"/>
              </w:rPr>
            </w:pPr>
            <w:r w:rsidRPr="00343806">
              <w:rPr>
                <w:sz w:val="18"/>
                <w:szCs w:val="18"/>
              </w:rPr>
              <w:t>350.26</w:t>
            </w:r>
          </w:p>
        </w:tc>
        <w:tc>
          <w:tcPr>
            <w:tcW w:w="993" w:type="dxa"/>
            <w:vAlign w:val="center"/>
          </w:tcPr>
          <w:p w14:paraId="1C599B26" w14:textId="168D8872" w:rsidR="00343806" w:rsidRPr="00343806" w:rsidRDefault="00343806" w:rsidP="00343806">
            <w:pPr>
              <w:pStyle w:val="ExhibitText"/>
              <w:rPr>
                <w:sz w:val="18"/>
                <w:szCs w:val="18"/>
                <w:lang w:val="en-CA"/>
              </w:rPr>
            </w:pPr>
            <w:r w:rsidRPr="00343806">
              <w:rPr>
                <w:sz w:val="18"/>
                <w:szCs w:val="18"/>
              </w:rPr>
              <w:t>394.78</w:t>
            </w:r>
          </w:p>
        </w:tc>
        <w:tc>
          <w:tcPr>
            <w:tcW w:w="992" w:type="dxa"/>
            <w:vAlign w:val="center"/>
          </w:tcPr>
          <w:p w14:paraId="1EC2A4B0" w14:textId="3244BA22" w:rsidR="00343806" w:rsidRPr="00343806" w:rsidRDefault="00343806" w:rsidP="00343806">
            <w:pPr>
              <w:pStyle w:val="ExhibitText"/>
              <w:rPr>
                <w:sz w:val="18"/>
                <w:szCs w:val="18"/>
                <w:lang w:val="en-CA"/>
              </w:rPr>
            </w:pPr>
            <w:r w:rsidRPr="00343806">
              <w:rPr>
                <w:sz w:val="18"/>
                <w:szCs w:val="18"/>
              </w:rPr>
              <w:t>345.71</w:t>
            </w:r>
          </w:p>
        </w:tc>
      </w:tr>
      <w:tr w:rsidR="00343806" w:rsidRPr="00343806" w14:paraId="594A4E06" w14:textId="77777777" w:rsidTr="00343806">
        <w:trPr>
          <w:jc w:val="center"/>
        </w:trPr>
        <w:tc>
          <w:tcPr>
            <w:tcW w:w="4532" w:type="dxa"/>
          </w:tcPr>
          <w:p w14:paraId="19FD183F" w14:textId="37897790" w:rsidR="00343806" w:rsidRPr="00343806" w:rsidRDefault="00343806" w:rsidP="00343806">
            <w:pPr>
              <w:pStyle w:val="ExhibitText"/>
              <w:rPr>
                <w:b/>
                <w:sz w:val="18"/>
                <w:szCs w:val="18"/>
              </w:rPr>
            </w:pPr>
            <w:r w:rsidRPr="00343806">
              <w:rPr>
                <w:b/>
                <w:sz w:val="18"/>
                <w:szCs w:val="18"/>
              </w:rPr>
              <w:t>Total Expenses</w:t>
            </w:r>
          </w:p>
        </w:tc>
        <w:tc>
          <w:tcPr>
            <w:tcW w:w="917" w:type="dxa"/>
            <w:vAlign w:val="center"/>
          </w:tcPr>
          <w:p w14:paraId="3715E515" w14:textId="4D6FB0CD" w:rsidR="00343806" w:rsidRPr="00343806" w:rsidRDefault="00343806" w:rsidP="00343806">
            <w:pPr>
              <w:pStyle w:val="ExhibitText"/>
              <w:rPr>
                <w:sz w:val="18"/>
                <w:szCs w:val="18"/>
                <w:lang w:val="en-CA"/>
              </w:rPr>
            </w:pPr>
            <w:r w:rsidRPr="00343806">
              <w:rPr>
                <w:sz w:val="18"/>
                <w:szCs w:val="18"/>
              </w:rPr>
              <w:t>1,292.49</w:t>
            </w:r>
          </w:p>
        </w:tc>
        <w:tc>
          <w:tcPr>
            <w:tcW w:w="925" w:type="dxa"/>
            <w:vAlign w:val="center"/>
          </w:tcPr>
          <w:p w14:paraId="69CEF0FC" w14:textId="3F9508BB" w:rsidR="00343806" w:rsidRPr="00343806" w:rsidRDefault="00343806" w:rsidP="00343806">
            <w:pPr>
              <w:pStyle w:val="ExhibitText"/>
              <w:rPr>
                <w:sz w:val="18"/>
                <w:szCs w:val="18"/>
                <w:lang w:val="en-CA"/>
              </w:rPr>
            </w:pPr>
            <w:r w:rsidRPr="00343806">
              <w:rPr>
                <w:sz w:val="18"/>
                <w:szCs w:val="18"/>
              </w:rPr>
              <w:t>1,303.60</w:t>
            </w:r>
          </w:p>
        </w:tc>
        <w:tc>
          <w:tcPr>
            <w:tcW w:w="992" w:type="dxa"/>
            <w:vAlign w:val="center"/>
          </w:tcPr>
          <w:p w14:paraId="1CD2F15C" w14:textId="5A773DD0" w:rsidR="00343806" w:rsidRPr="00343806" w:rsidRDefault="00343806" w:rsidP="00343806">
            <w:pPr>
              <w:pStyle w:val="ExhibitText"/>
              <w:rPr>
                <w:sz w:val="18"/>
                <w:szCs w:val="18"/>
                <w:lang w:val="en-CA"/>
              </w:rPr>
            </w:pPr>
            <w:r w:rsidRPr="00343806">
              <w:rPr>
                <w:sz w:val="18"/>
                <w:szCs w:val="18"/>
              </w:rPr>
              <w:t>2,206.67</w:t>
            </w:r>
          </w:p>
        </w:tc>
        <w:tc>
          <w:tcPr>
            <w:tcW w:w="993" w:type="dxa"/>
            <w:vAlign w:val="center"/>
          </w:tcPr>
          <w:p w14:paraId="3C5CCB02" w14:textId="4EB82E1E" w:rsidR="00343806" w:rsidRPr="00343806" w:rsidRDefault="00343806" w:rsidP="00343806">
            <w:pPr>
              <w:pStyle w:val="ExhibitText"/>
              <w:rPr>
                <w:sz w:val="18"/>
                <w:szCs w:val="18"/>
                <w:lang w:val="en-CA"/>
              </w:rPr>
            </w:pPr>
            <w:r w:rsidRPr="00343806">
              <w:rPr>
                <w:sz w:val="18"/>
                <w:szCs w:val="18"/>
              </w:rPr>
              <w:t>2,473.80</w:t>
            </w:r>
          </w:p>
        </w:tc>
        <w:tc>
          <w:tcPr>
            <w:tcW w:w="992" w:type="dxa"/>
            <w:vAlign w:val="center"/>
          </w:tcPr>
          <w:p w14:paraId="7D578489" w14:textId="11A58338" w:rsidR="00343806" w:rsidRPr="00343806" w:rsidRDefault="00343806" w:rsidP="00343806">
            <w:pPr>
              <w:pStyle w:val="ExhibitText"/>
              <w:rPr>
                <w:sz w:val="18"/>
                <w:szCs w:val="18"/>
                <w:lang w:val="en-CA"/>
              </w:rPr>
            </w:pPr>
            <w:r w:rsidRPr="00343806">
              <w:rPr>
                <w:sz w:val="18"/>
                <w:szCs w:val="18"/>
              </w:rPr>
              <w:t>2,502.29</w:t>
            </w:r>
          </w:p>
        </w:tc>
      </w:tr>
      <w:tr w:rsidR="00343806" w:rsidRPr="00343806" w14:paraId="2729501C" w14:textId="77777777" w:rsidTr="00343806">
        <w:trPr>
          <w:jc w:val="center"/>
        </w:trPr>
        <w:tc>
          <w:tcPr>
            <w:tcW w:w="4532" w:type="dxa"/>
          </w:tcPr>
          <w:tbl>
            <w:tblPr>
              <w:tblW w:w="4316" w:type="dxa"/>
              <w:tblCellSpacing w:w="0" w:type="dxa"/>
              <w:tblCellMar>
                <w:left w:w="0" w:type="dxa"/>
                <w:right w:w="0" w:type="dxa"/>
              </w:tblCellMar>
              <w:tblLook w:val="04A0" w:firstRow="1" w:lastRow="0" w:firstColumn="1" w:lastColumn="0" w:noHBand="0" w:noVBand="1"/>
            </w:tblPr>
            <w:tblGrid>
              <w:gridCol w:w="4316"/>
            </w:tblGrid>
            <w:tr w:rsidR="00343806" w:rsidRPr="00343806" w14:paraId="10B26D08" w14:textId="77777777" w:rsidTr="00FF52EA">
              <w:trPr>
                <w:trHeight w:val="403"/>
                <w:tblCellSpacing w:w="0" w:type="dxa"/>
              </w:trPr>
              <w:tc>
                <w:tcPr>
                  <w:tcW w:w="4316" w:type="dxa"/>
                  <w:tcBorders>
                    <w:top w:val="nil"/>
                    <w:left w:val="nil"/>
                    <w:bottom w:val="nil"/>
                    <w:right w:val="nil"/>
                  </w:tcBorders>
                  <w:shd w:val="clear" w:color="000000" w:fill="FFFFFF"/>
                  <w:vAlign w:val="center"/>
                  <w:hideMark/>
                </w:tcPr>
                <w:p w14:paraId="663EC257" w14:textId="49200ACE" w:rsidR="00343806" w:rsidRPr="00343806" w:rsidRDefault="00343806" w:rsidP="00343806">
                  <w:pPr>
                    <w:pStyle w:val="ExhibitText"/>
                    <w:rPr>
                      <w:b/>
                      <w:sz w:val="18"/>
                      <w:szCs w:val="18"/>
                    </w:rPr>
                  </w:pPr>
                  <w:r w:rsidRPr="00343806">
                    <w:rPr>
                      <w:b/>
                      <w:sz w:val="18"/>
                      <w:szCs w:val="18"/>
                    </w:rPr>
                    <w:drawing>
                      <wp:anchor distT="0" distB="0" distL="114300" distR="114300" simplePos="0" relativeHeight="251711488" behindDoc="0" locked="0" layoutInCell="1" allowOverlap="1" wp14:anchorId="280D9530" wp14:editId="2C211EA4">
                        <wp:simplePos x="0" y="0"/>
                        <wp:positionH relativeFrom="column">
                          <wp:posOffset>0</wp:posOffset>
                        </wp:positionH>
                        <wp:positionV relativeFrom="paragraph">
                          <wp:posOffset>0</wp:posOffset>
                        </wp:positionV>
                        <wp:extent cx="76200" cy="76200"/>
                        <wp:effectExtent l="0" t="0" r="0" b="0"/>
                        <wp:wrapNone/>
                        <wp:docPr id="2" name="Picture 2" descr="https://img-d05.moneycontrol.co.in/images/blank.gif"/>
                        <wp:cNvGraphicFramePr/>
                        <a:graphic xmlns:a="http://schemas.openxmlformats.org/drawingml/2006/main">
                          <a:graphicData uri="http://schemas.openxmlformats.org/drawingml/2006/picture">
                            <pic:pic xmlns:pic="http://schemas.openxmlformats.org/drawingml/2006/picture">
                              <pic:nvPicPr>
                                <pic:cNvPr id="12" name="Picture 11" descr="https://img-d05.moneycontrol.co.in/images/blank.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343806">
                    <w:rPr>
                      <w:b/>
                      <w:sz w:val="18"/>
                      <w:szCs w:val="18"/>
                    </w:rPr>
                    <w:t>Profit/Loss before Exceptional, Extraordinary Items, and Tax</w:t>
                  </w:r>
                </w:p>
              </w:tc>
            </w:tr>
          </w:tbl>
          <w:p w14:paraId="40CE6BD0" w14:textId="77777777" w:rsidR="00343806" w:rsidRPr="00343806" w:rsidRDefault="00343806" w:rsidP="00343806">
            <w:pPr>
              <w:pStyle w:val="ExhibitText"/>
              <w:rPr>
                <w:b/>
                <w:sz w:val="18"/>
                <w:szCs w:val="18"/>
              </w:rPr>
            </w:pPr>
          </w:p>
        </w:tc>
        <w:tc>
          <w:tcPr>
            <w:tcW w:w="917" w:type="dxa"/>
            <w:vAlign w:val="center"/>
          </w:tcPr>
          <w:p w14:paraId="75E7EEA8" w14:textId="066A07FF" w:rsidR="00343806" w:rsidRPr="00343806" w:rsidRDefault="00343806" w:rsidP="00343806">
            <w:pPr>
              <w:pStyle w:val="ExhibitText"/>
              <w:rPr>
                <w:sz w:val="18"/>
                <w:szCs w:val="18"/>
                <w:lang w:val="en-CA"/>
              </w:rPr>
            </w:pPr>
            <w:r w:rsidRPr="00343806">
              <w:rPr>
                <w:sz w:val="18"/>
                <w:szCs w:val="18"/>
              </w:rPr>
              <w:t>260.18</w:t>
            </w:r>
          </w:p>
        </w:tc>
        <w:tc>
          <w:tcPr>
            <w:tcW w:w="925" w:type="dxa"/>
            <w:vAlign w:val="center"/>
          </w:tcPr>
          <w:p w14:paraId="16A4DFA5" w14:textId="537CCAFE" w:rsidR="00343806" w:rsidRPr="00343806" w:rsidRDefault="00343806" w:rsidP="00343806">
            <w:pPr>
              <w:pStyle w:val="ExhibitText"/>
              <w:rPr>
                <w:sz w:val="18"/>
                <w:szCs w:val="18"/>
                <w:lang w:val="en-CA"/>
              </w:rPr>
            </w:pPr>
            <w:r w:rsidRPr="00343806">
              <w:rPr>
                <w:sz w:val="18"/>
                <w:szCs w:val="18"/>
              </w:rPr>
              <w:t>475.85</w:t>
            </w:r>
          </w:p>
        </w:tc>
        <w:tc>
          <w:tcPr>
            <w:tcW w:w="992" w:type="dxa"/>
            <w:vAlign w:val="center"/>
          </w:tcPr>
          <w:p w14:paraId="742156A8" w14:textId="1751A224" w:rsidR="00343806" w:rsidRPr="00343806" w:rsidRDefault="00343806" w:rsidP="00343806">
            <w:pPr>
              <w:pStyle w:val="ExhibitText"/>
              <w:rPr>
                <w:sz w:val="18"/>
                <w:szCs w:val="18"/>
                <w:lang w:val="en-CA"/>
              </w:rPr>
            </w:pPr>
            <w:r w:rsidRPr="00343806">
              <w:rPr>
                <w:sz w:val="18"/>
                <w:szCs w:val="18"/>
              </w:rPr>
              <w:t>38.55</w:t>
            </w:r>
          </w:p>
        </w:tc>
        <w:tc>
          <w:tcPr>
            <w:tcW w:w="993" w:type="dxa"/>
            <w:vAlign w:val="center"/>
          </w:tcPr>
          <w:p w14:paraId="30B4CF99" w14:textId="1E79F5F0" w:rsidR="00343806" w:rsidRPr="00343806" w:rsidRDefault="00343806" w:rsidP="00343806">
            <w:pPr>
              <w:pStyle w:val="ExhibitText"/>
              <w:rPr>
                <w:sz w:val="18"/>
                <w:szCs w:val="18"/>
                <w:lang w:val="en-CA"/>
              </w:rPr>
            </w:pPr>
            <w:r w:rsidRPr="00343806">
              <w:rPr>
                <w:sz w:val="18"/>
                <w:szCs w:val="18"/>
              </w:rPr>
              <w:t>183.53</w:t>
            </w:r>
          </w:p>
        </w:tc>
        <w:tc>
          <w:tcPr>
            <w:tcW w:w="992" w:type="dxa"/>
            <w:vAlign w:val="center"/>
          </w:tcPr>
          <w:p w14:paraId="59A90AE7" w14:textId="5F5D23C4" w:rsidR="00343806" w:rsidRPr="00343806" w:rsidRDefault="00343806" w:rsidP="00343806">
            <w:pPr>
              <w:pStyle w:val="ExhibitText"/>
              <w:rPr>
                <w:sz w:val="18"/>
                <w:szCs w:val="18"/>
                <w:lang w:val="en-CA"/>
              </w:rPr>
            </w:pPr>
            <w:r w:rsidRPr="00343806">
              <w:rPr>
                <w:sz w:val="18"/>
                <w:szCs w:val="18"/>
              </w:rPr>
              <w:t>195.41</w:t>
            </w:r>
          </w:p>
        </w:tc>
      </w:tr>
    </w:tbl>
    <w:p w14:paraId="3870BBE0" w14:textId="77777777" w:rsidR="005628BD" w:rsidRPr="0061115E" w:rsidRDefault="005628BD" w:rsidP="00343806">
      <w:pPr>
        <w:pStyle w:val="ExhibitText"/>
        <w:rPr>
          <w:lang w:val="en-CA"/>
        </w:rPr>
      </w:pPr>
    </w:p>
    <w:p w14:paraId="44D4C63B" w14:textId="3072BAC0" w:rsidR="00E66038" w:rsidRPr="0061115E" w:rsidRDefault="00E66038" w:rsidP="00236043">
      <w:pPr>
        <w:pStyle w:val="Footnote"/>
        <w:rPr>
          <w:lang w:val="en-CA"/>
        </w:rPr>
      </w:pPr>
      <w:r w:rsidRPr="0061115E">
        <w:rPr>
          <w:lang w:val="en-CA"/>
        </w:rPr>
        <w:t xml:space="preserve">Note: FY = fiscal year: FG = </w:t>
      </w:r>
      <w:r w:rsidR="00166313" w:rsidRPr="0061115E">
        <w:rPr>
          <w:lang w:val="en-CA"/>
        </w:rPr>
        <w:t>finished goods</w:t>
      </w:r>
      <w:r w:rsidRPr="0061115E">
        <w:rPr>
          <w:lang w:val="en-CA"/>
        </w:rPr>
        <w:t xml:space="preserve"> WIP =</w:t>
      </w:r>
      <w:r w:rsidR="00166313" w:rsidRPr="0061115E">
        <w:rPr>
          <w:lang w:val="en-CA"/>
        </w:rPr>
        <w:t xml:space="preserve"> work in process</w:t>
      </w:r>
    </w:p>
    <w:p w14:paraId="57E4556B" w14:textId="3C731B30" w:rsidR="005628BD" w:rsidRPr="0061115E" w:rsidRDefault="005628BD" w:rsidP="00236043">
      <w:pPr>
        <w:pStyle w:val="Footnote"/>
        <w:rPr>
          <w:b/>
          <w:lang w:val="en-CA"/>
        </w:rPr>
      </w:pPr>
      <w:r w:rsidRPr="0061115E">
        <w:rPr>
          <w:lang w:val="en-CA"/>
        </w:rPr>
        <w:t xml:space="preserve">Source: Created by the </w:t>
      </w:r>
      <w:r w:rsidR="001402DF" w:rsidRPr="0061115E">
        <w:rPr>
          <w:lang w:val="en-CA"/>
        </w:rPr>
        <w:t>authors</w:t>
      </w:r>
      <w:r w:rsidRPr="0061115E">
        <w:rPr>
          <w:lang w:val="en-CA"/>
        </w:rPr>
        <w:t>.</w:t>
      </w:r>
    </w:p>
    <w:p w14:paraId="6DADC9ED" w14:textId="77777777" w:rsidR="005628BD" w:rsidRPr="0061115E" w:rsidRDefault="005628BD" w:rsidP="00236043">
      <w:pPr>
        <w:pStyle w:val="ExhibitText"/>
        <w:rPr>
          <w:lang w:val="en-CA"/>
        </w:rPr>
      </w:pPr>
    </w:p>
    <w:p w14:paraId="3F28840E" w14:textId="1C154BBB" w:rsidR="005628BD" w:rsidRPr="0061115E" w:rsidRDefault="005628BD" w:rsidP="00236043">
      <w:pPr>
        <w:pStyle w:val="ExhibitText"/>
        <w:rPr>
          <w:lang w:val="en-CA"/>
        </w:rPr>
      </w:pPr>
    </w:p>
    <w:p w14:paraId="4C2B79C6" w14:textId="1323D3A3" w:rsidR="00385B3A" w:rsidRPr="0061115E" w:rsidRDefault="00385B3A" w:rsidP="00385B3A">
      <w:pPr>
        <w:pStyle w:val="ExhibitHeading"/>
        <w:rPr>
          <w:lang w:val="en-CA"/>
        </w:rPr>
      </w:pPr>
      <w:r w:rsidRPr="0061115E">
        <w:rPr>
          <w:lang w:val="en-CA"/>
        </w:rPr>
        <w:t xml:space="preserve">Exhibit 2: </w:t>
      </w:r>
      <w:r w:rsidR="00B6487D" w:rsidRPr="0061115E">
        <w:rPr>
          <w:lang w:val="en-CA"/>
        </w:rPr>
        <w:t xml:space="preserve">APTURJA </w:t>
      </w:r>
      <w:r w:rsidRPr="0061115E">
        <w:rPr>
          <w:lang w:val="en-CA"/>
        </w:rPr>
        <w:t>Power Limited’s functional power plants across India</w:t>
      </w:r>
    </w:p>
    <w:p w14:paraId="3AEB7B12" w14:textId="77777777" w:rsidR="00385B3A" w:rsidRPr="0061115E" w:rsidRDefault="00385B3A" w:rsidP="00385B3A">
      <w:pPr>
        <w:pStyle w:val="ExhibitText"/>
        <w:rPr>
          <w:lang w:val="en-CA"/>
        </w:rPr>
      </w:pPr>
    </w:p>
    <w:tbl>
      <w:tblPr>
        <w:tblStyle w:val="TableGrid"/>
        <w:tblW w:w="8642" w:type="dxa"/>
        <w:jc w:val="center"/>
        <w:tblLayout w:type="fixed"/>
        <w:tblLook w:val="04A0" w:firstRow="1" w:lastRow="0" w:firstColumn="1" w:lastColumn="0" w:noHBand="0" w:noVBand="1"/>
      </w:tblPr>
      <w:tblGrid>
        <w:gridCol w:w="1330"/>
        <w:gridCol w:w="1361"/>
        <w:gridCol w:w="1558"/>
        <w:gridCol w:w="1113"/>
        <w:gridCol w:w="1721"/>
        <w:gridCol w:w="1559"/>
      </w:tblGrid>
      <w:tr w:rsidR="00385B3A" w:rsidRPr="0061115E" w14:paraId="29A658AE" w14:textId="77777777" w:rsidTr="00CF2E98">
        <w:trPr>
          <w:trHeight w:val="20"/>
          <w:jc w:val="center"/>
        </w:trPr>
        <w:tc>
          <w:tcPr>
            <w:tcW w:w="1330" w:type="dxa"/>
            <w:noWrap/>
            <w:vAlign w:val="center"/>
            <w:hideMark/>
          </w:tcPr>
          <w:p w14:paraId="76DD28B8" w14:textId="77777777" w:rsidR="00385B3A" w:rsidRPr="0061115E" w:rsidRDefault="00385B3A" w:rsidP="00CF2E98">
            <w:pPr>
              <w:rPr>
                <w:rFonts w:ascii="Arial" w:hAnsi="Arial" w:cs="Arial"/>
                <w:b/>
                <w:bCs/>
                <w:lang w:val="en-CA"/>
              </w:rPr>
            </w:pPr>
          </w:p>
          <w:p w14:paraId="1D700A1D" w14:textId="77777777" w:rsidR="00385B3A" w:rsidRPr="0061115E" w:rsidRDefault="00385B3A" w:rsidP="00CF2E98">
            <w:pPr>
              <w:rPr>
                <w:rFonts w:ascii="Arial" w:hAnsi="Arial" w:cs="Arial"/>
                <w:b/>
                <w:bCs/>
                <w:lang w:val="en-CA"/>
              </w:rPr>
            </w:pPr>
            <w:r w:rsidRPr="0061115E">
              <w:rPr>
                <w:rFonts w:ascii="Arial" w:hAnsi="Arial" w:cs="Arial"/>
                <w:b/>
                <w:bCs/>
                <w:lang w:val="en-CA"/>
              </w:rPr>
              <w:t>Location</w:t>
            </w:r>
          </w:p>
        </w:tc>
        <w:tc>
          <w:tcPr>
            <w:tcW w:w="1361" w:type="dxa"/>
            <w:noWrap/>
            <w:vAlign w:val="center"/>
            <w:hideMark/>
          </w:tcPr>
          <w:p w14:paraId="6E40CA55" w14:textId="77777777" w:rsidR="00385B3A" w:rsidRPr="0061115E" w:rsidRDefault="00385B3A" w:rsidP="00CF2E98">
            <w:pPr>
              <w:jc w:val="center"/>
              <w:rPr>
                <w:rFonts w:ascii="Arial" w:hAnsi="Arial" w:cs="Arial"/>
                <w:b/>
                <w:bCs/>
                <w:lang w:val="en-CA"/>
              </w:rPr>
            </w:pPr>
          </w:p>
          <w:p w14:paraId="469F09E0" w14:textId="77777777" w:rsidR="00385B3A" w:rsidRPr="0061115E" w:rsidRDefault="00385B3A" w:rsidP="00CF2E98">
            <w:pPr>
              <w:jc w:val="center"/>
              <w:rPr>
                <w:rFonts w:ascii="Arial" w:hAnsi="Arial" w:cs="Arial"/>
                <w:b/>
                <w:bCs/>
                <w:lang w:val="en-CA"/>
              </w:rPr>
            </w:pPr>
            <w:r w:rsidRPr="0061115E">
              <w:rPr>
                <w:rFonts w:ascii="Arial" w:hAnsi="Arial" w:cs="Arial"/>
                <w:b/>
                <w:bCs/>
                <w:lang w:val="en-CA"/>
              </w:rPr>
              <w:t>No. of Units</w:t>
            </w:r>
          </w:p>
        </w:tc>
        <w:tc>
          <w:tcPr>
            <w:tcW w:w="1558" w:type="dxa"/>
            <w:noWrap/>
            <w:vAlign w:val="center"/>
            <w:hideMark/>
          </w:tcPr>
          <w:p w14:paraId="5E4ABEE6" w14:textId="77777777" w:rsidR="00385B3A" w:rsidRPr="0061115E" w:rsidRDefault="00385B3A" w:rsidP="00CF2E98">
            <w:pPr>
              <w:jc w:val="center"/>
              <w:rPr>
                <w:rFonts w:ascii="Arial" w:hAnsi="Arial" w:cs="Arial"/>
                <w:b/>
                <w:bCs/>
                <w:lang w:val="en-CA"/>
              </w:rPr>
            </w:pPr>
          </w:p>
          <w:p w14:paraId="748A664D" w14:textId="77777777" w:rsidR="00385B3A" w:rsidRPr="0061115E" w:rsidRDefault="00385B3A" w:rsidP="00CF2E98">
            <w:pPr>
              <w:jc w:val="center"/>
              <w:rPr>
                <w:rFonts w:ascii="Arial" w:hAnsi="Arial" w:cs="Arial"/>
                <w:b/>
                <w:bCs/>
                <w:lang w:val="en-CA"/>
              </w:rPr>
            </w:pPr>
            <w:r w:rsidRPr="0061115E">
              <w:rPr>
                <w:rFonts w:ascii="Arial" w:hAnsi="Arial" w:cs="Arial"/>
                <w:b/>
                <w:bCs/>
                <w:lang w:val="en-CA"/>
              </w:rPr>
              <w:t>Unit Capacity (MW)</w:t>
            </w:r>
          </w:p>
        </w:tc>
        <w:tc>
          <w:tcPr>
            <w:tcW w:w="1113" w:type="dxa"/>
            <w:noWrap/>
            <w:vAlign w:val="center"/>
            <w:hideMark/>
          </w:tcPr>
          <w:p w14:paraId="7C8395A0" w14:textId="77777777" w:rsidR="00385B3A" w:rsidRPr="0061115E" w:rsidRDefault="00385B3A" w:rsidP="00CF2E98">
            <w:pPr>
              <w:jc w:val="center"/>
              <w:rPr>
                <w:rFonts w:ascii="Arial" w:hAnsi="Arial" w:cs="Arial"/>
                <w:b/>
                <w:bCs/>
                <w:lang w:val="en-CA"/>
              </w:rPr>
            </w:pPr>
          </w:p>
          <w:p w14:paraId="5F100C7D" w14:textId="77777777" w:rsidR="00385B3A" w:rsidRPr="0061115E" w:rsidRDefault="00385B3A" w:rsidP="00CF2E98">
            <w:pPr>
              <w:jc w:val="center"/>
              <w:rPr>
                <w:rFonts w:ascii="Arial" w:hAnsi="Arial" w:cs="Arial"/>
                <w:b/>
                <w:bCs/>
                <w:lang w:val="en-CA"/>
              </w:rPr>
            </w:pPr>
            <w:r w:rsidRPr="0061115E">
              <w:rPr>
                <w:rFonts w:ascii="Arial" w:hAnsi="Arial" w:cs="Arial"/>
                <w:b/>
                <w:bCs/>
                <w:lang w:val="en-CA"/>
              </w:rPr>
              <w:t>Total Capacity (MW)</w:t>
            </w:r>
          </w:p>
        </w:tc>
        <w:tc>
          <w:tcPr>
            <w:tcW w:w="1721" w:type="dxa"/>
            <w:vAlign w:val="center"/>
          </w:tcPr>
          <w:p w14:paraId="05BC10DF" w14:textId="77777777" w:rsidR="00385B3A" w:rsidRPr="0061115E" w:rsidRDefault="00385B3A" w:rsidP="00CF2E98">
            <w:pPr>
              <w:jc w:val="center"/>
              <w:rPr>
                <w:rFonts w:ascii="Arial" w:hAnsi="Arial" w:cs="Arial"/>
                <w:b/>
                <w:bCs/>
                <w:lang w:val="en-CA"/>
              </w:rPr>
            </w:pPr>
          </w:p>
          <w:p w14:paraId="1ADFFF59" w14:textId="77777777" w:rsidR="00385B3A" w:rsidRPr="0061115E" w:rsidRDefault="00385B3A" w:rsidP="00CF2E98">
            <w:pPr>
              <w:jc w:val="center"/>
              <w:rPr>
                <w:rFonts w:ascii="Arial" w:hAnsi="Arial" w:cs="Arial"/>
                <w:b/>
                <w:bCs/>
                <w:lang w:val="en-CA"/>
              </w:rPr>
            </w:pPr>
            <w:r w:rsidRPr="0061115E">
              <w:rPr>
                <w:rFonts w:ascii="Arial" w:hAnsi="Arial" w:cs="Arial"/>
                <w:b/>
                <w:bCs/>
                <w:lang w:val="en-CA"/>
              </w:rPr>
              <w:t>Distance from Nearest Urban Area (in km)</w:t>
            </w:r>
          </w:p>
          <w:p w14:paraId="1E53C5FC" w14:textId="77777777" w:rsidR="00385B3A" w:rsidRPr="0061115E" w:rsidRDefault="00385B3A" w:rsidP="00CF2E98">
            <w:pPr>
              <w:jc w:val="center"/>
              <w:rPr>
                <w:rFonts w:ascii="Arial" w:hAnsi="Arial" w:cs="Arial"/>
                <w:b/>
                <w:bCs/>
                <w:lang w:val="en-CA"/>
              </w:rPr>
            </w:pPr>
          </w:p>
        </w:tc>
        <w:tc>
          <w:tcPr>
            <w:tcW w:w="1559" w:type="dxa"/>
            <w:vAlign w:val="center"/>
          </w:tcPr>
          <w:p w14:paraId="0EDF276C" w14:textId="77777777" w:rsidR="00385B3A" w:rsidRPr="0061115E" w:rsidRDefault="00385B3A" w:rsidP="00CF2E98">
            <w:pPr>
              <w:jc w:val="center"/>
              <w:rPr>
                <w:rFonts w:ascii="Arial" w:hAnsi="Arial" w:cs="Arial"/>
                <w:b/>
                <w:bCs/>
                <w:lang w:val="en-CA"/>
              </w:rPr>
            </w:pPr>
          </w:p>
          <w:p w14:paraId="21F809AB" w14:textId="77777777" w:rsidR="00385B3A" w:rsidRPr="0061115E" w:rsidRDefault="00385B3A" w:rsidP="00CF2E98">
            <w:pPr>
              <w:jc w:val="center"/>
              <w:rPr>
                <w:rFonts w:ascii="Arial" w:hAnsi="Arial" w:cs="Arial"/>
                <w:b/>
                <w:bCs/>
                <w:lang w:val="en-CA"/>
              </w:rPr>
            </w:pPr>
            <w:r w:rsidRPr="0061115E">
              <w:rPr>
                <w:rFonts w:ascii="Arial" w:hAnsi="Arial" w:cs="Arial"/>
                <w:b/>
                <w:bCs/>
                <w:lang w:val="en-CA"/>
              </w:rPr>
              <w:t>Distance from Nearest Airport</w:t>
            </w:r>
          </w:p>
          <w:p w14:paraId="439797C6" w14:textId="77777777" w:rsidR="00385B3A" w:rsidRPr="0061115E" w:rsidRDefault="00385B3A" w:rsidP="00CF2E98">
            <w:pPr>
              <w:jc w:val="center"/>
              <w:rPr>
                <w:rFonts w:ascii="Arial" w:hAnsi="Arial" w:cs="Arial"/>
                <w:b/>
                <w:bCs/>
                <w:lang w:val="en-CA"/>
              </w:rPr>
            </w:pPr>
            <w:r w:rsidRPr="0061115E">
              <w:rPr>
                <w:rFonts w:ascii="Arial" w:hAnsi="Arial" w:cs="Arial"/>
                <w:b/>
                <w:bCs/>
                <w:lang w:val="en-CA"/>
              </w:rPr>
              <w:t>(in km)</w:t>
            </w:r>
          </w:p>
        </w:tc>
      </w:tr>
      <w:tr w:rsidR="00385B3A" w:rsidRPr="0061115E" w14:paraId="691A1AE6" w14:textId="77777777" w:rsidTr="00CF2E98">
        <w:trPr>
          <w:trHeight w:val="20"/>
          <w:jc w:val="center"/>
        </w:trPr>
        <w:tc>
          <w:tcPr>
            <w:tcW w:w="1330" w:type="dxa"/>
            <w:noWrap/>
            <w:vAlign w:val="center"/>
            <w:hideMark/>
          </w:tcPr>
          <w:p w14:paraId="6DA4C534" w14:textId="77777777" w:rsidR="00385B3A" w:rsidRPr="0061115E" w:rsidRDefault="00385B3A" w:rsidP="00CF2E98">
            <w:pPr>
              <w:rPr>
                <w:rFonts w:ascii="Arial" w:hAnsi="Arial" w:cs="Arial"/>
                <w:lang w:val="en-CA"/>
              </w:rPr>
            </w:pPr>
            <w:r w:rsidRPr="0061115E">
              <w:rPr>
                <w:rFonts w:ascii="Arial" w:hAnsi="Arial" w:cs="Arial"/>
                <w:lang w:val="en-CA"/>
              </w:rPr>
              <w:t>Korba</w:t>
            </w:r>
          </w:p>
        </w:tc>
        <w:tc>
          <w:tcPr>
            <w:tcW w:w="1361" w:type="dxa"/>
            <w:noWrap/>
            <w:vAlign w:val="center"/>
            <w:hideMark/>
          </w:tcPr>
          <w:p w14:paraId="652E4C5B" w14:textId="77777777" w:rsidR="00385B3A" w:rsidRPr="0061115E" w:rsidRDefault="00385B3A" w:rsidP="00385B3A">
            <w:pPr>
              <w:jc w:val="center"/>
              <w:rPr>
                <w:rFonts w:ascii="Arial" w:hAnsi="Arial" w:cs="Arial"/>
                <w:lang w:val="en-CA"/>
              </w:rPr>
            </w:pPr>
            <w:r w:rsidRPr="0061115E">
              <w:rPr>
                <w:rFonts w:ascii="Arial" w:hAnsi="Arial" w:cs="Arial"/>
                <w:lang w:val="en-CA"/>
              </w:rPr>
              <w:t>6</w:t>
            </w:r>
          </w:p>
          <w:p w14:paraId="3C3431A0" w14:textId="77777777" w:rsidR="00385B3A" w:rsidRPr="0061115E" w:rsidRDefault="00385B3A" w:rsidP="00385B3A">
            <w:pPr>
              <w:jc w:val="center"/>
              <w:rPr>
                <w:rFonts w:ascii="Arial" w:hAnsi="Arial" w:cs="Arial"/>
                <w:lang w:val="en-CA"/>
              </w:rPr>
            </w:pPr>
            <w:r w:rsidRPr="0061115E">
              <w:rPr>
                <w:rFonts w:ascii="Arial" w:hAnsi="Arial" w:cs="Arial"/>
                <w:lang w:val="en-CA"/>
              </w:rPr>
              <w:t>5</w:t>
            </w:r>
          </w:p>
        </w:tc>
        <w:tc>
          <w:tcPr>
            <w:tcW w:w="1558" w:type="dxa"/>
            <w:noWrap/>
            <w:vAlign w:val="center"/>
            <w:hideMark/>
          </w:tcPr>
          <w:p w14:paraId="3960968D" w14:textId="77777777" w:rsidR="00385B3A" w:rsidRPr="0061115E" w:rsidRDefault="00385B3A" w:rsidP="00385B3A">
            <w:pPr>
              <w:jc w:val="center"/>
              <w:rPr>
                <w:rFonts w:ascii="Arial" w:hAnsi="Arial" w:cs="Arial"/>
                <w:lang w:val="en-CA"/>
              </w:rPr>
            </w:pPr>
            <w:r w:rsidRPr="0061115E">
              <w:rPr>
                <w:rFonts w:ascii="Arial" w:hAnsi="Arial" w:cs="Arial"/>
                <w:lang w:val="en-CA"/>
              </w:rPr>
              <w:t>250</w:t>
            </w:r>
          </w:p>
          <w:p w14:paraId="497C6761" w14:textId="77777777" w:rsidR="00385B3A" w:rsidRPr="0061115E" w:rsidRDefault="00385B3A" w:rsidP="00385B3A">
            <w:pPr>
              <w:jc w:val="center"/>
              <w:rPr>
                <w:rFonts w:ascii="Arial" w:hAnsi="Arial" w:cs="Arial"/>
                <w:lang w:val="en-CA"/>
              </w:rPr>
            </w:pPr>
            <w:r w:rsidRPr="0061115E">
              <w:rPr>
                <w:rFonts w:ascii="Arial" w:hAnsi="Arial" w:cs="Arial"/>
                <w:lang w:val="en-CA"/>
              </w:rPr>
              <w:t>330</w:t>
            </w:r>
          </w:p>
        </w:tc>
        <w:tc>
          <w:tcPr>
            <w:tcW w:w="1113" w:type="dxa"/>
            <w:noWrap/>
            <w:vAlign w:val="center"/>
            <w:hideMark/>
          </w:tcPr>
          <w:p w14:paraId="4496CB01" w14:textId="77777777" w:rsidR="00385B3A" w:rsidRPr="0061115E" w:rsidRDefault="00385B3A" w:rsidP="00385B3A">
            <w:pPr>
              <w:jc w:val="center"/>
              <w:rPr>
                <w:rFonts w:ascii="Arial" w:hAnsi="Arial" w:cs="Arial"/>
                <w:lang w:val="en-CA"/>
              </w:rPr>
            </w:pPr>
            <w:r w:rsidRPr="0061115E">
              <w:rPr>
                <w:rFonts w:ascii="Arial" w:hAnsi="Arial" w:cs="Arial"/>
                <w:lang w:val="en-CA"/>
              </w:rPr>
              <w:t>1,500</w:t>
            </w:r>
          </w:p>
          <w:p w14:paraId="67F6CC3D" w14:textId="77777777" w:rsidR="00385B3A" w:rsidRPr="0061115E" w:rsidRDefault="00385B3A" w:rsidP="00385B3A">
            <w:pPr>
              <w:jc w:val="center"/>
              <w:rPr>
                <w:rFonts w:ascii="Arial" w:hAnsi="Arial" w:cs="Arial"/>
                <w:lang w:val="en-CA"/>
              </w:rPr>
            </w:pPr>
            <w:r w:rsidRPr="0061115E">
              <w:rPr>
                <w:rFonts w:ascii="Arial" w:hAnsi="Arial" w:cs="Arial"/>
                <w:lang w:val="en-CA"/>
              </w:rPr>
              <w:t>1,650</w:t>
            </w:r>
          </w:p>
        </w:tc>
        <w:tc>
          <w:tcPr>
            <w:tcW w:w="1721" w:type="dxa"/>
            <w:vAlign w:val="center"/>
          </w:tcPr>
          <w:p w14:paraId="02062910" w14:textId="77777777" w:rsidR="00385B3A" w:rsidRPr="0061115E" w:rsidRDefault="00385B3A" w:rsidP="00385B3A">
            <w:pPr>
              <w:tabs>
                <w:tab w:val="decimal" w:pos="1008"/>
              </w:tabs>
              <w:rPr>
                <w:rFonts w:ascii="Arial" w:hAnsi="Arial" w:cs="Arial"/>
                <w:lang w:val="en-CA"/>
              </w:rPr>
            </w:pPr>
            <w:r w:rsidRPr="0061115E">
              <w:rPr>
                <w:rFonts w:ascii="Arial" w:hAnsi="Arial" w:cs="Arial"/>
                <w:lang w:val="en-CA"/>
              </w:rPr>
              <w:t>200</w:t>
            </w:r>
          </w:p>
        </w:tc>
        <w:tc>
          <w:tcPr>
            <w:tcW w:w="1559" w:type="dxa"/>
            <w:vAlign w:val="center"/>
          </w:tcPr>
          <w:p w14:paraId="416209AD" w14:textId="77777777" w:rsidR="00385B3A" w:rsidRPr="0061115E" w:rsidRDefault="00385B3A" w:rsidP="00385B3A">
            <w:pPr>
              <w:tabs>
                <w:tab w:val="decimal" w:pos="900"/>
              </w:tabs>
              <w:rPr>
                <w:rFonts w:ascii="Arial" w:hAnsi="Arial" w:cs="Arial"/>
                <w:lang w:val="en-CA"/>
              </w:rPr>
            </w:pPr>
            <w:r w:rsidRPr="0061115E">
              <w:rPr>
                <w:rFonts w:ascii="Arial" w:hAnsi="Arial" w:cs="Arial"/>
                <w:lang w:val="en-CA"/>
              </w:rPr>
              <w:t>275</w:t>
            </w:r>
          </w:p>
        </w:tc>
      </w:tr>
      <w:tr w:rsidR="00385B3A" w:rsidRPr="0061115E" w14:paraId="18484B6A" w14:textId="77777777" w:rsidTr="00CF2E98">
        <w:trPr>
          <w:trHeight w:val="20"/>
          <w:jc w:val="center"/>
        </w:trPr>
        <w:tc>
          <w:tcPr>
            <w:tcW w:w="1330" w:type="dxa"/>
            <w:noWrap/>
            <w:vAlign w:val="center"/>
            <w:hideMark/>
          </w:tcPr>
          <w:p w14:paraId="2986CD5C" w14:textId="77777777" w:rsidR="00385B3A" w:rsidRPr="0061115E" w:rsidRDefault="00385B3A" w:rsidP="00CF2E98">
            <w:pPr>
              <w:rPr>
                <w:rFonts w:ascii="Arial" w:hAnsi="Arial" w:cs="Arial"/>
                <w:lang w:val="en-CA"/>
              </w:rPr>
            </w:pPr>
            <w:r w:rsidRPr="0061115E">
              <w:rPr>
                <w:rFonts w:ascii="Arial" w:hAnsi="Arial" w:cs="Arial"/>
                <w:lang w:val="en-CA"/>
              </w:rPr>
              <w:t>Mundra</w:t>
            </w:r>
          </w:p>
        </w:tc>
        <w:tc>
          <w:tcPr>
            <w:tcW w:w="1361" w:type="dxa"/>
            <w:noWrap/>
            <w:vAlign w:val="center"/>
            <w:hideMark/>
          </w:tcPr>
          <w:p w14:paraId="33811A2A" w14:textId="77777777" w:rsidR="00385B3A" w:rsidRPr="0061115E" w:rsidRDefault="00385B3A" w:rsidP="00385B3A">
            <w:pPr>
              <w:jc w:val="center"/>
              <w:rPr>
                <w:rFonts w:ascii="Arial" w:hAnsi="Arial" w:cs="Arial"/>
                <w:lang w:val="en-CA"/>
              </w:rPr>
            </w:pPr>
            <w:r w:rsidRPr="0061115E">
              <w:rPr>
                <w:rFonts w:ascii="Arial" w:hAnsi="Arial" w:cs="Arial"/>
                <w:lang w:val="en-CA"/>
              </w:rPr>
              <w:t>6</w:t>
            </w:r>
          </w:p>
        </w:tc>
        <w:tc>
          <w:tcPr>
            <w:tcW w:w="1558" w:type="dxa"/>
            <w:noWrap/>
            <w:vAlign w:val="center"/>
            <w:hideMark/>
          </w:tcPr>
          <w:p w14:paraId="7AD58BA1" w14:textId="77777777" w:rsidR="00385B3A" w:rsidRPr="0061115E" w:rsidRDefault="00385B3A" w:rsidP="00385B3A">
            <w:pPr>
              <w:jc w:val="center"/>
              <w:rPr>
                <w:rFonts w:ascii="Arial" w:hAnsi="Arial" w:cs="Arial"/>
                <w:lang w:val="en-CA"/>
              </w:rPr>
            </w:pPr>
            <w:r w:rsidRPr="0061115E">
              <w:rPr>
                <w:rFonts w:ascii="Arial" w:hAnsi="Arial" w:cs="Arial"/>
                <w:lang w:val="en-CA"/>
              </w:rPr>
              <w:t>330</w:t>
            </w:r>
          </w:p>
        </w:tc>
        <w:tc>
          <w:tcPr>
            <w:tcW w:w="1113" w:type="dxa"/>
            <w:noWrap/>
            <w:vAlign w:val="center"/>
            <w:hideMark/>
          </w:tcPr>
          <w:p w14:paraId="6D5A9F8A" w14:textId="77777777" w:rsidR="00385B3A" w:rsidRPr="0061115E" w:rsidRDefault="00385B3A" w:rsidP="00385B3A">
            <w:pPr>
              <w:jc w:val="center"/>
              <w:rPr>
                <w:rFonts w:ascii="Arial" w:hAnsi="Arial" w:cs="Arial"/>
                <w:lang w:val="en-CA"/>
              </w:rPr>
            </w:pPr>
            <w:r w:rsidRPr="0061115E">
              <w:rPr>
                <w:rFonts w:ascii="Arial" w:hAnsi="Arial" w:cs="Arial"/>
                <w:lang w:val="en-CA"/>
              </w:rPr>
              <w:t>1,980</w:t>
            </w:r>
          </w:p>
        </w:tc>
        <w:tc>
          <w:tcPr>
            <w:tcW w:w="1721" w:type="dxa"/>
            <w:vAlign w:val="center"/>
          </w:tcPr>
          <w:p w14:paraId="48A75B4E" w14:textId="77777777" w:rsidR="00385B3A" w:rsidRPr="0061115E" w:rsidRDefault="00385B3A" w:rsidP="00385B3A">
            <w:pPr>
              <w:tabs>
                <w:tab w:val="decimal" w:pos="1008"/>
              </w:tabs>
              <w:rPr>
                <w:rFonts w:ascii="Arial" w:hAnsi="Arial" w:cs="Arial"/>
                <w:lang w:val="en-CA"/>
              </w:rPr>
            </w:pPr>
            <w:r w:rsidRPr="0061115E">
              <w:rPr>
                <w:rFonts w:ascii="Arial" w:hAnsi="Arial" w:cs="Arial"/>
                <w:lang w:val="en-CA"/>
              </w:rPr>
              <w:t>45</w:t>
            </w:r>
          </w:p>
        </w:tc>
        <w:tc>
          <w:tcPr>
            <w:tcW w:w="1559" w:type="dxa"/>
            <w:vAlign w:val="center"/>
          </w:tcPr>
          <w:p w14:paraId="5766A802" w14:textId="77777777" w:rsidR="00385B3A" w:rsidRPr="0061115E" w:rsidRDefault="00385B3A" w:rsidP="00385B3A">
            <w:pPr>
              <w:tabs>
                <w:tab w:val="decimal" w:pos="900"/>
              </w:tabs>
              <w:rPr>
                <w:rFonts w:ascii="Arial" w:hAnsi="Arial" w:cs="Arial"/>
                <w:lang w:val="en-CA"/>
              </w:rPr>
            </w:pPr>
            <w:r w:rsidRPr="0061115E">
              <w:rPr>
                <w:rFonts w:ascii="Arial" w:hAnsi="Arial" w:cs="Arial"/>
                <w:lang w:val="en-CA"/>
              </w:rPr>
              <w:t>60</w:t>
            </w:r>
          </w:p>
        </w:tc>
      </w:tr>
      <w:tr w:rsidR="00385B3A" w:rsidRPr="0061115E" w14:paraId="024DCDB3" w14:textId="77777777" w:rsidTr="00CF2E98">
        <w:trPr>
          <w:trHeight w:val="20"/>
          <w:jc w:val="center"/>
        </w:trPr>
        <w:tc>
          <w:tcPr>
            <w:tcW w:w="1330" w:type="dxa"/>
            <w:noWrap/>
            <w:vAlign w:val="center"/>
            <w:hideMark/>
          </w:tcPr>
          <w:p w14:paraId="2881F08F" w14:textId="77777777" w:rsidR="00385B3A" w:rsidRPr="0061115E" w:rsidRDefault="00385B3A" w:rsidP="00CF2E98">
            <w:pPr>
              <w:rPr>
                <w:rFonts w:ascii="Arial" w:hAnsi="Arial" w:cs="Arial"/>
                <w:lang w:val="en-CA"/>
              </w:rPr>
            </w:pPr>
            <w:r w:rsidRPr="0061115E">
              <w:rPr>
                <w:rFonts w:ascii="Arial" w:hAnsi="Arial" w:cs="Arial"/>
                <w:lang w:val="en-CA"/>
              </w:rPr>
              <w:t>Raigarh</w:t>
            </w:r>
          </w:p>
        </w:tc>
        <w:tc>
          <w:tcPr>
            <w:tcW w:w="1361" w:type="dxa"/>
            <w:noWrap/>
            <w:vAlign w:val="center"/>
            <w:hideMark/>
          </w:tcPr>
          <w:p w14:paraId="1BF669A1" w14:textId="77777777" w:rsidR="00385B3A" w:rsidRPr="0061115E" w:rsidRDefault="00385B3A" w:rsidP="00385B3A">
            <w:pPr>
              <w:jc w:val="center"/>
              <w:rPr>
                <w:rFonts w:ascii="Arial" w:hAnsi="Arial" w:cs="Arial"/>
                <w:lang w:val="en-CA"/>
              </w:rPr>
            </w:pPr>
            <w:r w:rsidRPr="0061115E">
              <w:rPr>
                <w:rFonts w:ascii="Arial" w:hAnsi="Arial" w:cs="Arial"/>
                <w:lang w:val="en-CA"/>
              </w:rPr>
              <w:t>6</w:t>
            </w:r>
          </w:p>
        </w:tc>
        <w:tc>
          <w:tcPr>
            <w:tcW w:w="1558" w:type="dxa"/>
            <w:noWrap/>
            <w:vAlign w:val="center"/>
            <w:hideMark/>
          </w:tcPr>
          <w:p w14:paraId="573F0A7F" w14:textId="77777777" w:rsidR="00385B3A" w:rsidRPr="0061115E" w:rsidRDefault="00385B3A" w:rsidP="00385B3A">
            <w:pPr>
              <w:jc w:val="center"/>
              <w:rPr>
                <w:rFonts w:ascii="Arial" w:hAnsi="Arial" w:cs="Arial"/>
                <w:lang w:val="en-CA"/>
              </w:rPr>
            </w:pPr>
            <w:r w:rsidRPr="0061115E">
              <w:rPr>
                <w:rFonts w:ascii="Arial" w:hAnsi="Arial" w:cs="Arial"/>
                <w:lang w:val="en-CA"/>
              </w:rPr>
              <w:t>250</w:t>
            </w:r>
          </w:p>
        </w:tc>
        <w:tc>
          <w:tcPr>
            <w:tcW w:w="1113" w:type="dxa"/>
            <w:noWrap/>
            <w:vAlign w:val="center"/>
            <w:hideMark/>
          </w:tcPr>
          <w:p w14:paraId="28828F24" w14:textId="77777777" w:rsidR="00385B3A" w:rsidRPr="0061115E" w:rsidRDefault="00385B3A" w:rsidP="00385B3A">
            <w:pPr>
              <w:jc w:val="center"/>
              <w:rPr>
                <w:rFonts w:ascii="Arial" w:hAnsi="Arial" w:cs="Arial"/>
                <w:lang w:val="en-CA"/>
              </w:rPr>
            </w:pPr>
            <w:r w:rsidRPr="0061115E">
              <w:rPr>
                <w:rFonts w:ascii="Arial" w:hAnsi="Arial" w:cs="Arial"/>
                <w:lang w:val="en-CA"/>
              </w:rPr>
              <w:t>1,500</w:t>
            </w:r>
          </w:p>
        </w:tc>
        <w:tc>
          <w:tcPr>
            <w:tcW w:w="1721" w:type="dxa"/>
            <w:vAlign w:val="center"/>
          </w:tcPr>
          <w:p w14:paraId="33BA2C39" w14:textId="77777777" w:rsidR="00385B3A" w:rsidRPr="0061115E" w:rsidRDefault="00385B3A" w:rsidP="00385B3A">
            <w:pPr>
              <w:tabs>
                <w:tab w:val="decimal" w:pos="1008"/>
              </w:tabs>
              <w:rPr>
                <w:rFonts w:ascii="Arial" w:hAnsi="Arial" w:cs="Arial"/>
                <w:lang w:val="en-CA"/>
              </w:rPr>
            </w:pPr>
            <w:r w:rsidRPr="0061115E">
              <w:rPr>
                <w:rFonts w:ascii="Arial" w:hAnsi="Arial" w:cs="Arial"/>
                <w:lang w:val="en-CA"/>
              </w:rPr>
              <w:t>110</w:t>
            </w:r>
          </w:p>
        </w:tc>
        <w:tc>
          <w:tcPr>
            <w:tcW w:w="1559" w:type="dxa"/>
            <w:vAlign w:val="center"/>
          </w:tcPr>
          <w:p w14:paraId="083F5FE0" w14:textId="77777777" w:rsidR="00385B3A" w:rsidRPr="0061115E" w:rsidRDefault="00385B3A" w:rsidP="00385B3A">
            <w:pPr>
              <w:tabs>
                <w:tab w:val="decimal" w:pos="900"/>
              </w:tabs>
              <w:rPr>
                <w:rFonts w:ascii="Arial" w:hAnsi="Arial" w:cs="Arial"/>
                <w:lang w:val="en-CA"/>
              </w:rPr>
            </w:pPr>
            <w:r w:rsidRPr="0061115E">
              <w:rPr>
                <w:rFonts w:ascii="Arial" w:hAnsi="Arial" w:cs="Arial"/>
                <w:lang w:val="en-CA"/>
              </w:rPr>
              <w:t>135</w:t>
            </w:r>
          </w:p>
        </w:tc>
      </w:tr>
      <w:tr w:rsidR="00385B3A" w:rsidRPr="0061115E" w14:paraId="33A6CE93" w14:textId="77777777" w:rsidTr="00CF2E98">
        <w:trPr>
          <w:trHeight w:val="20"/>
          <w:jc w:val="center"/>
        </w:trPr>
        <w:tc>
          <w:tcPr>
            <w:tcW w:w="1330" w:type="dxa"/>
            <w:noWrap/>
            <w:vAlign w:val="center"/>
            <w:hideMark/>
          </w:tcPr>
          <w:p w14:paraId="7DD8FDC7" w14:textId="77777777" w:rsidR="00385B3A" w:rsidRPr="0061115E" w:rsidRDefault="00385B3A" w:rsidP="00CF2E98">
            <w:pPr>
              <w:rPr>
                <w:rFonts w:ascii="Arial" w:hAnsi="Arial" w:cs="Arial"/>
                <w:lang w:val="en-CA"/>
              </w:rPr>
            </w:pPr>
            <w:r w:rsidRPr="0061115E">
              <w:rPr>
                <w:rFonts w:ascii="Arial" w:hAnsi="Arial" w:cs="Arial"/>
                <w:lang w:val="en-CA"/>
              </w:rPr>
              <w:t>Singrauli</w:t>
            </w:r>
          </w:p>
        </w:tc>
        <w:tc>
          <w:tcPr>
            <w:tcW w:w="1361" w:type="dxa"/>
            <w:noWrap/>
            <w:vAlign w:val="center"/>
            <w:hideMark/>
          </w:tcPr>
          <w:p w14:paraId="088CAC84" w14:textId="77777777" w:rsidR="00385B3A" w:rsidRPr="0061115E" w:rsidRDefault="00385B3A" w:rsidP="00385B3A">
            <w:pPr>
              <w:jc w:val="center"/>
              <w:rPr>
                <w:rFonts w:ascii="Arial" w:hAnsi="Arial" w:cs="Arial"/>
                <w:lang w:val="en-CA"/>
              </w:rPr>
            </w:pPr>
            <w:r w:rsidRPr="0061115E">
              <w:rPr>
                <w:rFonts w:ascii="Arial" w:hAnsi="Arial" w:cs="Arial"/>
                <w:lang w:val="en-CA"/>
              </w:rPr>
              <w:t>5</w:t>
            </w:r>
          </w:p>
        </w:tc>
        <w:tc>
          <w:tcPr>
            <w:tcW w:w="1558" w:type="dxa"/>
            <w:noWrap/>
            <w:vAlign w:val="center"/>
            <w:hideMark/>
          </w:tcPr>
          <w:p w14:paraId="17C2F9AE" w14:textId="77777777" w:rsidR="00385B3A" w:rsidRPr="0061115E" w:rsidRDefault="00385B3A" w:rsidP="00385B3A">
            <w:pPr>
              <w:jc w:val="center"/>
              <w:rPr>
                <w:rFonts w:ascii="Arial" w:hAnsi="Arial" w:cs="Arial"/>
                <w:lang w:val="en-CA"/>
              </w:rPr>
            </w:pPr>
            <w:r w:rsidRPr="0061115E">
              <w:rPr>
                <w:rFonts w:ascii="Arial" w:hAnsi="Arial" w:cs="Arial"/>
                <w:lang w:val="en-CA"/>
              </w:rPr>
              <w:t>250</w:t>
            </w:r>
          </w:p>
        </w:tc>
        <w:tc>
          <w:tcPr>
            <w:tcW w:w="1113" w:type="dxa"/>
            <w:noWrap/>
            <w:vAlign w:val="center"/>
            <w:hideMark/>
          </w:tcPr>
          <w:p w14:paraId="2DF144C1" w14:textId="77777777" w:rsidR="00385B3A" w:rsidRPr="0061115E" w:rsidRDefault="00385B3A" w:rsidP="00385B3A">
            <w:pPr>
              <w:jc w:val="center"/>
              <w:rPr>
                <w:rFonts w:ascii="Arial" w:hAnsi="Arial" w:cs="Arial"/>
                <w:lang w:val="en-CA"/>
              </w:rPr>
            </w:pPr>
            <w:r w:rsidRPr="0061115E">
              <w:rPr>
                <w:rFonts w:ascii="Arial" w:hAnsi="Arial" w:cs="Arial"/>
                <w:lang w:val="en-CA"/>
              </w:rPr>
              <w:t>1,250</w:t>
            </w:r>
          </w:p>
        </w:tc>
        <w:tc>
          <w:tcPr>
            <w:tcW w:w="1721" w:type="dxa"/>
            <w:vAlign w:val="center"/>
          </w:tcPr>
          <w:p w14:paraId="1BE770F7" w14:textId="77777777" w:rsidR="00385B3A" w:rsidRPr="0061115E" w:rsidRDefault="00385B3A" w:rsidP="00385B3A">
            <w:pPr>
              <w:tabs>
                <w:tab w:val="decimal" w:pos="1008"/>
              </w:tabs>
              <w:rPr>
                <w:rFonts w:ascii="Arial" w:hAnsi="Arial" w:cs="Arial"/>
                <w:lang w:val="en-CA"/>
              </w:rPr>
            </w:pPr>
            <w:r w:rsidRPr="0061115E">
              <w:rPr>
                <w:rFonts w:ascii="Arial" w:hAnsi="Arial" w:cs="Arial"/>
                <w:lang w:val="en-CA"/>
              </w:rPr>
              <w:t>50</w:t>
            </w:r>
          </w:p>
        </w:tc>
        <w:tc>
          <w:tcPr>
            <w:tcW w:w="1559" w:type="dxa"/>
            <w:vAlign w:val="center"/>
          </w:tcPr>
          <w:p w14:paraId="18E566D6" w14:textId="77777777" w:rsidR="00385B3A" w:rsidRPr="0061115E" w:rsidRDefault="00385B3A" w:rsidP="00385B3A">
            <w:pPr>
              <w:tabs>
                <w:tab w:val="decimal" w:pos="900"/>
              </w:tabs>
              <w:rPr>
                <w:rFonts w:ascii="Arial" w:hAnsi="Arial" w:cs="Arial"/>
                <w:lang w:val="en-CA"/>
              </w:rPr>
            </w:pPr>
            <w:r w:rsidRPr="0061115E">
              <w:rPr>
                <w:rFonts w:ascii="Arial" w:hAnsi="Arial" w:cs="Arial"/>
                <w:lang w:val="en-CA"/>
              </w:rPr>
              <w:t>75</w:t>
            </w:r>
          </w:p>
        </w:tc>
      </w:tr>
      <w:tr w:rsidR="00385B3A" w:rsidRPr="0061115E" w14:paraId="7801E7D7" w14:textId="77777777" w:rsidTr="00CF2E98">
        <w:trPr>
          <w:trHeight w:val="20"/>
          <w:jc w:val="center"/>
        </w:trPr>
        <w:tc>
          <w:tcPr>
            <w:tcW w:w="1330" w:type="dxa"/>
            <w:noWrap/>
            <w:vAlign w:val="center"/>
            <w:hideMark/>
          </w:tcPr>
          <w:p w14:paraId="214FA509" w14:textId="77777777" w:rsidR="00385B3A" w:rsidRPr="0061115E" w:rsidRDefault="00385B3A" w:rsidP="00CF2E98">
            <w:pPr>
              <w:rPr>
                <w:rFonts w:ascii="Arial" w:hAnsi="Arial" w:cs="Arial"/>
                <w:lang w:val="en-CA"/>
              </w:rPr>
            </w:pPr>
            <w:r w:rsidRPr="0061115E">
              <w:rPr>
                <w:rFonts w:ascii="Arial" w:hAnsi="Arial" w:cs="Arial"/>
                <w:lang w:val="en-CA"/>
              </w:rPr>
              <w:t>Kawai</w:t>
            </w:r>
          </w:p>
        </w:tc>
        <w:tc>
          <w:tcPr>
            <w:tcW w:w="1361" w:type="dxa"/>
            <w:noWrap/>
            <w:vAlign w:val="center"/>
            <w:hideMark/>
          </w:tcPr>
          <w:p w14:paraId="077B16A0" w14:textId="77777777" w:rsidR="00385B3A" w:rsidRPr="0061115E" w:rsidRDefault="00385B3A" w:rsidP="00385B3A">
            <w:pPr>
              <w:jc w:val="center"/>
              <w:rPr>
                <w:rFonts w:ascii="Arial" w:hAnsi="Arial" w:cs="Arial"/>
                <w:lang w:val="en-CA"/>
              </w:rPr>
            </w:pPr>
            <w:r w:rsidRPr="0061115E">
              <w:rPr>
                <w:rFonts w:ascii="Arial" w:hAnsi="Arial" w:cs="Arial"/>
                <w:lang w:val="en-CA"/>
              </w:rPr>
              <w:t>5</w:t>
            </w:r>
          </w:p>
        </w:tc>
        <w:tc>
          <w:tcPr>
            <w:tcW w:w="1558" w:type="dxa"/>
            <w:noWrap/>
            <w:vAlign w:val="center"/>
            <w:hideMark/>
          </w:tcPr>
          <w:p w14:paraId="181FAF20" w14:textId="77777777" w:rsidR="00385B3A" w:rsidRPr="0061115E" w:rsidRDefault="00385B3A" w:rsidP="00385B3A">
            <w:pPr>
              <w:jc w:val="center"/>
              <w:rPr>
                <w:rFonts w:ascii="Arial" w:hAnsi="Arial" w:cs="Arial"/>
                <w:lang w:val="en-CA"/>
              </w:rPr>
            </w:pPr>
            <w:r w:rsidRPr="0061115E">
              <w:rPr>
                <w:rFonts w:ascii="Arial" w:hAnsi="Arial" w:cs="Arial"/>
                <w:lang w:val="en-CA"/>
              </w:rPr>
              <w:t>200</w:t>
            </w:r>
          </w:p>
        </w:tc>
        <w:tc>
          <w:tcPr>
            <w:tcW w:w="1113" w:type="dxa"/>
            <w:noWrap/>
            <w:vAlign w:val="center"/>
            <w:hideMark/>
          </w:tcPr>
          <w:p w14:paraId="128E1E8B" w14:textId="77777777" w:rsidR="00385B3A" w:rsidRPr="0061115E" w:rsidRDefault="00385B3A" w:rsidP="00385B3A">
            <w:pPr>
              <w:jc w:val="center"/>
              <w:rPr>
                <w:rFonts w:ascii="Arial" w:hAnsi="Arial" w:cs="Arial"/>
                <w:lang w:val="en-CA"/>
              </w:rPr>
            </w:pPr>
            <w:r w:rsidRPr="0061115E">
              <w:rPr>
                <w:rFonts w:ascii="Arial" w:hAnsi="Arial" w:cs="Arial"/>
                <w:lang w:val="en-CA"/>
              </w:rPr>
              <w:t>1,000</w:t>
            </w:r>
          </w:p>
        </w:tc>
        <w:tc>
          <w:tcPr>
            <w:tcW w:w="1721" w:type="dxa"/>
            <w:vAlign w:val="center"/>
          </w:tcPr>
          <w:p w14:paraId="71366BA5" w14:textId="77777777" w:rsidR="00385B3A" w:rsidRPr="0061115E" w:rsidRDefault="00385B3A" w:rsidP="00385B3A">
            <w:pPr>
              <w:tabs>
                <w:tab w:val="decimal" w:pos="1008"/>
              </w:tabs>
              <w:rPr>
                <w:rFonts w:ascii="Arial" w:hAnsi="Arial" w:cs="Arial"/>
                <w:lang w:val="en-CA"/>
              </w:rPr>
            </w:pPr>
            <w:r w:rsidRPr="0061115E">
              <w:rPr>
                <w:rFonts w:ascii="Arial" w:hAnsi="Arial" w:cs="Arial"/>
                <w:lang w:val="en-CA"/>
              </w:rPr>
              <w:t>300</w:t>
            </w:r>
          </w:p>
        </w:tc>
        <w:tc>
          <w:tcPr>
            <w:tcW w:w="1559" w:type="dxa"/>
            <w:vAlign w:val="center"/>
          </w:tcPr>
          <w:p w14:paraId="4FCC9F23" w14:textId="77777777" w:rsidR="00385B3A" w:rsidRPr="0061115E" w:rsidRDefault="00385B3A" w:rsidP="00385B3A">
            <w:pPr>
              <w:tabs>
                <w:tab w:val="decimal" w:pos="900"/>
              </w:tabs>
              <w:rPr>
                <w:rFonts w:ascii="Arial" w:hAnsi="Arial" w:cs="Arial"/>
                <w:lang w:val="en-CA"/>
              </w:rPr>
            </w:pPr>
            <w:r w:rsidRPr="0061115E">
              <w:rPr>
                <w:rFonts w:ascii="Arial" w:hAnsi="Arial" w:cs="Arial"/>
                <w:lang w:val="en-CA"/>
              </w:rPr>
              <w:t>375</w:t>
            </w:r>
          </w:p>
        </w:tc>
      </w:tr>
    </w:tbl>
    <w:p w14:paraId="7C28130C" w14:textId="77777777" w:rsidR="00385B3A" w:rsidRPr="0061115E" w:rsidRDefault="00385B3A" w:rsidP="00385B3A">
      <w:pPr>
        <w:pStyle w:val="ExhibitText"/>
        <w:rPr>
          <w:lang w:val="en-CA"/>
        </w:rPr>
      </w:pPr>
    </w:p>
    <w:p w14:paraId="286F9B96" w14:textId="70FFD7C8" w:rsidR="00385B3A" w:rsidRPr="0061115E" w:rsidRDefault="00385B3A" w:rsidP="00385B3A">
      <w:pPr>
        <w:pStyle w:val="Footnote"/>
        <w:rPr>
          <w:lang w:val="en-CA"/>
        </w:rPr>
      </w:pPr>
      <w:r w:rsidRPr="0061115E">
        <w:rPr>
          <w:lang w:val="en-CA"/>
        </w:rPr>
        <w:t>Note: MW = megawatts; km = kilometres</w:t>
      </w:r>
      <w:r w:rsidR="00343806">
        <w:rPr>
          <w:lang w:val="en-CA"/>
        </w:rPr>
        <w:t>.</w:t>
      </w:r>
    </w:p>
    <w:p w14:paraId="5CB09671" w14:textId="77777777" w:rsidR="00385B3A" w:rsidRPr="0061115E" w:rsidRDefault="00385B3A" w:rsidP="00385B3A">
      <w:pPr>
        <w:pStyle w:val="Footnote"/>
        <w:rPr>
          <w:b/>
          <w:lang w:val="en-CA"/>
        </w:rPr>
      </w:pPr>
      <w:r w:rsidRPr="0061115E">
        <w:rPr>
          <w:lang w:val="en-CA"/>
        </w:rPr>
        <w:t>Source: Created by the authors.</w:t>
      </w:r>
    </w:p>
    <w:p w14:paraId="7D885BCB" w14:textId="77777777" w:rsidR="00385B3A" w:rsidRPr="0061115E" w:rsidRDefault="00385B3A" w:rsidP="00385B3A">
      <w:pPr>
        <w:pStyle w:val="ExhibitText"/>
        <w:rPr>
          <w:lang w:val="en-CA"/>
        </w:rPr>
      </w:pPr>
    </w:p>
    <w:p w14:paraId="7806FD6D" w14:textId="7336666A" w:rsidR="00385B3A" w:rsidRPr="0061115E" w:rsidRDefault="00385B3A" w:rsidP="00385B3A">
      <w:pPr>
        <w:pStyle w:val="ExhibitText"/>
        <w:rPr>
          <w:lang w:val="en-CA"/>
        </w:rPr>
      </w:pPr>
      <w:r w:rsidRPr="0061115E">
        <w:rPr>
          <w:lang w:val="en-CA"/>
        </w:rPr>
        <w:br w:type="page"/>
      </w:r>
    </w:p>
    <w:p w14:paraId="105EE9C7" w14:textId="0F200328" w:rsidR="005628BD" w:rsidRPr="0061115E" w:rsidRDefault="005628BD" w:rsidP="00236043">
      <w:pPr>
        <w:pStyle w:val="ExhibitHeading"/>
        <w:rPr>
          <w:lang w:val="en-CA"/>
        </w:rPr>
      </w:pPr>
      <w:r w:rsidRPr="0061115E">
        <w:rPr>
          <w:lang w:val="en-CA"/>
        </w:rPr>
        <w:lastRenderedPageBreak/>
        <w:t xml:space="preserve">Exhibit </w:t>
      </w:r>
      <w:r w:rsidR="00166313" w:rsidRPr="0061115E">
        <w:rPr>
          <w:lang w:val="en-CA"/>
        </w:rPr>
        <w:t>3</w:t>
      </w:r>
      <w:r w:rsidRPr="0061115E">
        <w:rPr>
          <w:lang w:val="en-CA"/>
        </w:rPr>
        <w:t xml:space="preserve">: </w:t>
      </w:r>
      <w:r w:rsidR="0075462B" w:rsidRPr="0061115E">
        <w:rPr>
          <w:lang w:val="en-CA"/>
        </w:rPr>
        <w:t xml:space="preserve">Departments at </w:t>
      </w:r>
      <w:r w:rsidR="00C376E4" w:rsidRPr="0061115E">
        <w:rPr>
          <w:lang w:val="en-CA"/>
        </w:rPr>
        <w:t>APTURJA</w:t>
      </w:r>
      <w:r w:rsidR="00A720FF" w:rsidRPr="0061115E">
        <w:rPr>
          <w:lang w:val="en-CA"/>
        </w:rPr>
        <w:t xml:space="preserve"> </w:t>
      </w:r>
      <w:r w:rsidRPr="0061115E">
        <w:rPr>
          <w:lang w:val="en-CA"/>
        </w:rPr>
        <w:t>Power Limited</w:t>
      </w:r>
    </w:p>
    <w:p w14:paraId="243B1EDB" w14:textId="77777777" w:rsidR="00236043" w:rsidRPr="0061115E" w:rsidRDefault="00236043" w:rsidP="00236043">
      <w:pPr>
        <w:pStyle w:val="ExhibitText"/>
        <w:rPr>
          <w:lang w:val="en-CA"/>
        </w:rPr>
      </w:pPr>
    </w:p>
    <w:tbl>
      <w:tblPr>
        <w:tblStyle w:val="GridTable1Light-Accent51"/>
        <w:tblpPr w:leftFromText="180" w:rightFromText="180" w:vertAnchor="text" w:horzAnchor="margin" w:tblpY="108"/>
        <w:tblW w:w="4420" w:type="dxa"/>
        <w:tblLook w:val="0480" w:firstRow="0" w:lastRow="0" w:firstColumn="1" w:lastColumn="0" w:noHBand="0" w:noVBand="1"/>
      </w:tblPr>
      <w:tblGrid>
        <w:gridCol w:w="4420"/>
      </w:tblGrid>
      <w:tr w:rsidR="005628BD" w:rsidRPr="0061115E" w14:paraId="3B1BCDEF" w14:textId="77777777" w:rsidTr="00236043">
        <w:trPr>
          <w:trHeight w:val="54"/>
        </w:trPr>
        <w:tc>
          <w:tcPr>
            <w:cnfStyle w:val="001000000000" w:firstRow="0" w:lastRow="0" w:firstColumn="1" w:lastColumn="0" w:oddVBand="0" w:evenVBand="0" w:oddHBand="0" w:evenHBand="0" w:firstRowFirstColumn="0" w:firstRowLastColumn="0" w:lastRowFirstColumn="0" w:lastRowLastColumn="0"/>
            <w:tcW w:w="4420" w:type="dxa"/>
            <w:noWrap/>
            <w:hideMark/>
          </w:tcPr>
          <w:p w14:paraId="0B1B8DCE" w14:textId="7DFCF6AE" w:rsidR="005628BD" w:rsidRPr="0061115E" w:rsidRDefault="00B82249" w:rsidP="00E4405E">
            <w:pPr>
              <w:rPr>
                <w:rFonts w:ascii="Arial" w:hAnsi="Arial" w:cs="Arial"/>
                <w:color w:val="000000"/>
                <w:lang w:val="en-CA"/>
              </w:rPr>
            </w:pPr>
            <w:r w:rsidRPr="0061115E">
              <w:rPr>
                <w:rFonts w:ascii="Arial" w:hAnsi="Arial" w:cs="Arial"/>
                <w:color w:val="000000"/>
                <w:lang w:val="en-CA"/>
              </w:rPr>
              <w:t>Administration</w:t>
            </w:r>
          </w:p>
        </w:tc>
      </w:tr>
      <w:tr w:rsidR="005628BD" w:rsidRPr="0061115E" w14:paraId="1811B8DD" w14:textId="77777777" w:rsidTr="00236043">
        <w:trPr>
          <w:trHeight w:val="54"/>
        </w:trPr>
        <w:tc>
          <w:tcPr>
            <w:cnfStyle w:val="001000000000" w:firstRow="0" w:lastRow="0" w:firstColumn="1" w:lastColumn="0" w:oddVBand="0" w:evenVBand="0" w:oddHBand="0" w:evenHBand="0" w:firstRowFirstColumn="0" w:firstRowLastColumn="0" w:lastRowFirstColumn="0" w:lastRowLastColumn="0"/>
            <w:tcW w:w="4420" w:type="dxa"/>
            <w:noWrap/>
          </w:tcPr>
          <w:p w14:paraId="34B82935" w14:textId="77777777" w:rsidR="005628BD" w:rsidRPr="0061115E" w:rsidRDefault="005628BD" w:rsidP="00E4405E">
            <w:pPr>
              <w:rPr>
                <w:rFonts w:ascii="Arial" w:hAnsi="Arial" w:cs="Arial"/>
                <w:color w:val="000000"/>
                <w:lang w:val="en-CA"/>
              </w:rPr>
            </w:pPr>
            <w:r w:rsidRPr="0061115E">
              <w:rPr>
                <w:rFonts w:ascii="Arial" w:hAnsi="Arial" w:cs="Arial"/>
                <w:color w:val="000000"/>
                <w:lang w:val="en-CA"/>
              </w:rPr>
              <w:t>Finance</w:t>
            </w:r>
          </w:p>
        </w:tc>
      </w:tr>
      <w:tr w:rsidR="005628BD" w:rsidRPr="0061115E" w14:paraId="0ACFECEE" w14:textId="77777777" w:rsidTr="00236043">
        <w:trPr>
          <w:trHeight w:val="54"/>
        </w:trPr>
        <w:tc>
          <w:tcPr>
            <w:cnfStyle w:val="001000000000" w:firstRow="0" w:lastRow="0" w:firstColumn="1" w:lastColumn="0" w:oddVBand="0" w:evenVBand="0" w:oddHBand="0" w:evenHBand="0" w:firstRowFirstColumn="0" w:firstRowLastColumn="0" w:lastRowFirstColumn="0" w:lastRowLastColumn="0"/>
            <w:tcW w:w="4420" w:type="dxa"/>
            <w:noWrap/>
          </w:tcPr>
          <w:p w14:paraId="7AEDAB42" w14:textId="77777777" w:rsidR="005628BD" w:rsidRPr="0061115E" w:rsidRDefault="005628BD" w:rsidP="00E4405E">
            <w:pPr>
              <w:rPr>
                <w:rFonts w:ascii="Arial" w:hAnsi="Arial" w:cs="Arial"/>
                <w:color w:val="000000"/>
                <w:lang w:val="en-CA"/>
              </w:rPr>
            </w:pPr>
            <w:r w:rsidRPr="0061115E">
              <w:rPr>
                <w:rFonts w:ascii="Arial" w:hAnsi="Arial" w:cs="Arial"/>
                <w:color w:val="000000"/>
                <w:lang w:val="en-CA"/>
              </w:rPr>
              <w:t>Human Resources</w:t>
            </w:r>
          </w:p>
        </w:tc>
      </w:tr>
      <w:tr w:rsidR="000B5EF7" w:rsidRPr="0061115E" w14:paraId="3B26E835" w14:textId="77777777" w:rsidTr="00236043">
        <w:trPr>
          <w:trHeight w:val="54"/>
        </w:trPr>
        <w:tc>
          <w:tcPr>
            <w:cnfStyle w:val="001000000000" w:firstRow="0" w:lastRow="0" w:firstColumn="1" w:lastColumn="0" w:oddVBand="0" w:evenVBand="0" w:oddHBand="0" w:evenHBand="0" w:firstRowFirstColumn="0" w:firstRowLastColumn="0" w:lastRowFirstColumn="0" w:lastRowLastColumn="0"/>
            <w:tcW w:w="4420" w:type="dxa"/>
            <w:noWrap/>
          </w:tcPr>
          <w:p w14:paraId="65C113F1" w14:textId="1C7E7EED" w:rsidR="000B5EF7" w:rsidRPr="0061115E" w:rsidRDefault="000B5EF7" w:rsidP="000B5EF7">
            <w:pPr>
              <w:rPr>
                <w:rFonts w:ascii="Arial" w:hAnsi="Arial" w:cs="Arial"/>
                <w:color w:val="000000"/>
                <w:lang w:val="en-CA"/>
              </w:rPr>
            </w:pPr>
            <w:r w:rsidRPr="0061115E">
              <w:rPr>
                <w:rFonts w:ascii="Arial" w:hAnsi="Arial" w:cs="Arial"/>
                <w:color w:val="000000"/>
                <w:lang w:val="en-CA"/>
              </w:rPr>
              <w:t>Information Technology</w:t>
            </w:r>
          </w:p>
        </w:tc>
      </w:tr>
      <w:tr w:rsidR="000B5EF7" w:rsidRPr="0061115E" w14:paraId="482D2D11" w14:textId="77777777" w:rsidTr="00236043">
        <w:trPr>
          <w:trHeight w:val="54"/>
        </w:trPr>
        <w:tc>
          <w:tcPr>
            <w:cnfStyle w:val="001000000000" w:firstRow="0" w:lastRow="0" w:firstColumn="1" w:lastColumn="0" w:oddVBand="0" w:evenVBand="0" w:oddHBand="0" w:evenHBand="0" w:firstRowFirstColumn="0" w:firstRowLastColumn="0" w:lastRowFirstColumn="0" w:lastRowLastColumn="0"/>
            <w:tcW w:w="4420" w:type="dxa"/>
            <w:noWrap/>
          </w:tcPr>
          <w:p w14:paraId="5EA7030F" w14:textId="3BD800B9" w:rsidR="000B5EF7" w:rsidRPr="0061115E" w:rsidRDefault="000B5EF7" w:rsidP="000B5EF7">
            <w:pPr>
              <w:rPr>
                <w:rFonts w:ascii="Arial" w:hAnsi="Arial" w:cs="Arial"/>
                <w:color w:val="000000"/>
                <w:lang w:val="en-CA"/>
              </w:rPr>
            </w:pPr>
            <w:r w:rsidRPr="0061115E">
              <w:rPr>
                <w:rFonts w:ascii="Arial" w:hAnsi="Arial" w:cs="Arial"/>
                <w:color w:val="000000"/>
                <w:lang w:val="en-CA"/>
              </w:rPr>
              <w:t>Legal</w:t>
            </w:r>
          </w:p>
        </w:tc>
      </w:tr>
      <w:tr w:rsidR="000B5EF7" w:rsidRPr="0061115E" w14:paraId="51584FAD" w14:textId="77777777" w:rsidTr="00236043">
        <w:trPr>
          <w:trHeight w:val="54"/>
        </w:trPr>
        <w:tc>
          <w:tcPr>
            <w:cnfStyle w:val="001000000000" w:firstRow="0" w:lastRow="0" w:firstColumn="1" w:lastColumn="0" w:oddVBand="0" w:evenVBand="0" w:oddHBand="0" w:evenHBand="0" w:firstRowFirstColumn="0" w:firstRowLastColumn="0" w:lastRowFirstColumn="0" w:lastRowLastColumn="0"/>
            <w:tcW w:w="4420" w:type="dxa"/>
            <w:noWrap/>
          </w:tcPr>
          <w:p w14:paraId="0826BE1F" w14:textId="68A07CA4" w:rsidR="000B5EF7" w:rsidRPr="0061115E" w:rsidRDefault="000B5EF7" w:rsidP="000B5EF7">
            <w:pPr>
              <w:rPr>
                <w:rFonts w:ascii="Arial" w:hAnsi="Arial" w:cs="Arial"/>
                <w:color w:val="000000"/>
                <w:lang w:val="en-CA"/>
              </w:rPr>
            </w:pPr>
            <w:r w:rsidRPr="0061115E">
              <w:rPr>
                <w:rFonts w:ascii="Arial" w:hAnsi="Arial" w:cs="Arial"/>
                <w:color w:val="000000"/>
                <w:lang w:val="en-CA"/>
              </w:rPr>
              <w:t>Production</w:t>
            </w:r>
          </w:p>
        </w:tc>
      </w:tr>
      <w:tr w:rsidR="000B5EF7" w:rsidRPr="0061115E" w14:paraId="3CE2543F" w14:textId="77777777" w:rsidTr="00236043">
        <w:trPr>
          <w:trHeight w:val="54"/>
        </w:trPr>
        <w:tc>
          <w:tcPr>
            <w:cnfStyle w:val="001000000000" w:firstRow="0" w:lastRow="0" w:firstColumn="1" w:lastColumn="0" w:oddVBand="0" w:evenVBand="0" w:oddHBand="0" w:evenHBand="0" w:firstRowFirstColumn="0" w:firstRowLastColumn="0" w:lastRowFirstColumn="0" w:lastRowLastColumn="0"/>
            <w:tcW w:w="4420" w:type="dxa"/>
            <w:noWrap/>
          </w:tcPr>
          <w:p w14:paraId="43F58454" w14:textId="6FDA8BB2" w:rsidR="000B5EF7" w:rsidRPr="0061115E" w:rsidRDefault="000B5EF7" w:rsidP="000B5EF7">
            <w:pPr>
              <w:rPr>
                <w:rFonts w:ascii="Arial" w:hAnsi="Arial" w:cs="Arial"/>
                <w:color w:val="000000"/>
                <w:lang w:val="en-CA"/>
              </w:rPr>
            </w:pPr>
            <w:r w:rsidRPr="0061115E">
              <w:rPr>
                <w:rFonts w:ascii="Arial" w:hAnsi="Arial" w:cs="Arial"/>
                <w:color w:val="000000"/>
                <w:lang w:val="en-CA"/>
              </w:rPr>
              <w:t>Projects and Engineering</w:t>
            </w:r>
          </w:p>
        </w:tc>
      </w:tr>
    </w:tbl>
    <w:tbl>
      <w:tblPr>
        <w:tblStyle w:val="GridTable1Light-Accent51"/>
        <w:tblpPr w:leftFromText="180" w:rightFromText="180" w:vertAnchor="text" w:horzAnchor="margin" w:tblpXSpec="right" w:tblpY="67"/>
        <w:tblW w:w="4420" w:type="dxa"/>
        <w:tblLook w:val="0480" w:firstRow="0" w:lastRow="0" w:firstColumn="1" w:lastColumn="0" w:noHBand="0" w:noVBand="1"/>
      </w:tblPr>
      <w:tblGrid>
        <w:gridCol w:w="4420"/>
      </w:tblGrid>
      <w:tr w:rsidR="005628BD" w:rsidRPr="0061115E" w14:paraId="516E98D4" w14:textId="77777777" w:rsidTr="00236043">
        <w:trPr>
          <w:trHeight w:val="79"/>
        </w:trPr>
        <w:tc>
          <w:tcPr>
            <w:cnfStyle w:val="001000000000" w:firstRow="0" w:lastRow="0" w:firstColumn="1" w:lastColumn="0" w:oddVBand="0" w:evenVBand="0" w:oddHBand="0" w:evenHBand="0" w:firstRowFirstColumn="0" w:firstRowLastColumn="0" w:lastRowFirstColumn="0" w:lastRowLastColumn="0"/>
            <w:tcW w:w="4420" w:type="dxa"/>
            <w:noWrap/>
            <w:hideMark/>
          </w:tcPr>
          <w:p w14:paraId="51C6C489" w14:textId="77777777" w:rsidR="005628BD" w:rsidRPr="0061115E" w:rsidRDefault="005628BD" w:rsidP="00E4405E">
            <w:pPr>
              <w:rPr>
                <w:rFonts w:ascii="Arial" w:hAnsi="Arial" w:cs="Arial"/>
                <w:color w:val="000000"/>
                <w:lang w:val="en-CA"/>
              </w:rPr>
            </w:pPr>
            <w:r w:rsidRPr="0061115E">
              <w:rPr>
                <w:rFonts w:ascii="Arial" w:hAnsi="Arial" w:cs="Arial"/>
                <w:color w:val="000000"/>
                <w:lang w:val="en-CA"/>
              </w:rPr>
              <w:t>Quality Assurance</w:t>
            </w:r>
          </w:p>
        </w:tc>
      </w:tr>
      <w:tr w:rsidR="000B5EF7" w:rsidRPr="0061115E" w14:paraId="1B53F9A9" w14:textId="77777777" w:rsidTr="00236043">
        <w:trPr>
          <w:trHeight w:val="54"/>
        </w:trPr>
        <w:tc>
          <w:tcPr>
            <w:cnfStyle w:val="001000000000" w:firstRow="0" w:lastRow="0" w:firstColumn="1" w:lastColumn="0" w:oddVBand="0" w:evenVBand="0" w:oddHBand="0" w:evenHBand="0" w:firstRowFirstColumn="0" w:firstRowLastColumn="0" w:lastRowFirstColumn="0" w:lastRowLastColumn="0"/>
            <w:tcW w:w="4420" w:type="dxa"/>
            <w:noWrap/>
            <w:hideMark/>
          </w:tcPr>
          <w:p w14:paraId="1AE9EDC9" w14:textId="2E2E2FFD" w:rsidR="000B5EF7" w:rsidRPr="0061115E" w:rsidRDefault="000B5EF7" w:rsidP="000B5EF7">
            <w:pPr>
              <w:rPr>
                <w:rFonts w:ascii="Arial" w:hAnsi="Arial" w:cs="Arial"/>
                <w:color w:val="000000"/>
                <w:lang w:val="en-CA"/>
              </w:rPr>
            </w:pPr>
            <w:r w:rsidRPr="0061115E">
              <w:rPr>
                <w:rFonts w:ascii="Arial" w:hAnsi="Arial" w:cs="Arial"/>
                <w:color w:val="000000"/>
                <w:lang w:val="en-CA"/>
              </w:rPr>
              <w:t>Research and Development</w:t>
            </w:r>
          </w:p>
        </w:tc>
      </w:tr>
      <w:tr w:rsidR="000B5EF7" w:rsidRPr="0061115E" w14:paraId="585263EC" w14:textId="77777777" w:rsidTr="00056811">
        <w:trPr>
          <w:trHeight w:val="54"/>
        </w:trPr>
        <w:tc>
          <w:tcPr>
            <w:cnfStyle w:val="001000000000" w:firstRow="0" w:lastRow="0" w:firstColumn="1" w:lastColumn="0" w:oddVBand="0" w:evenVBand="0" w:oddHBand="0" w:evenHBand="0" w:firstRowFirstColumn="0" w:firstRowLastColumn="0" w:lastRowFirstColumn="0" w:lastRowLastColumn="0"/>
            <w:tcW w:w="0" w:type="dxa"/>
            <w:noWrap/>
          </w:tcPr>
          <w:p w14:paraId="7F9D805D" w14:textId="5E05A91F" w:rsidR="000B5EF7" w:rsidRPr="0061115E" w:rsidRDefault="000B5EF7" w:rsidP="000B5EF7">
            <w:pPr>
              <w:rPr>
                <w:rFonts w:ascii="Arial" w:hAnsi="Arial" w:cs="Arial"/>
                <w:color w:val="000000"/>
                <w:lang w:val="en-CA"/>
              </w:rPr>
            </w:pPr>
            <w:r w:rsidRPr="0061115E">
              <w:rPr>
                <w:rFonts w:ascii="Arial" w:hAnsi="Arial" w:cs="Arial"/>
                <w:color w:val="000000"/>
                <w:lang w:val="en-CA"/>
              </w:rPr>
              <w:t>Safety</w:t>
            </w:r>
          </w:p>
        </w:tc>
      </w:tr>
      <w:tr w:rsidR="000B5EF7" w:rsidRPr="0061115E" w14:paraId="2FBC6ADD" w14:textId="77777777" w:rsidTr="00236043">
        <w:trPr>
          <w:trHeight w:val="54"/>
        </w:trPr>
        <w:tc>
          <w:tcPr>
            <w:cnfStyle w:val="001000000000" w:firstRow="0" w:lastRow="0" w:firstColumn="1" w:lastColumn="0" w:oddVBand="0" w:evenVBand="0" w:oddHBand="0" w:evenHBand="0" w:firstRowFirstColumn="0" w:firstRowLastColumn="0" w:lastRowFirstColumn="0" w:lastRowLastColumn="0"/>
            <w:tcW w:w="4420" w:type="dxa"/>
            <w:noWrap/>
            <w:hideMark/>
          </w:tcPr>
          <w:p w14:paraId="6BD0438D" w14:textId="3C4138C9" w:rsidR="000B5EF7" w:rsidRPr="0061115E" w:rsidRDefault="000B5EF7" w:rsidP="000B5EF7">
            <w:pPr>
              <w:rPr>
                <w:rFonts w:ascii="Arial" w:hAnsi="Arial" w:cs="Arial"/>
                <w:color w:val="000000"/>
                <w:lang w:val="en-CA"/>
              </w:rPr>
            </w:pPr>
            <w:r w:rsidRPr="0061115E">
              <w:rPr>
                <w:rFonts w:ascii="Arial" w:hAnsi="Arial" w:cs="Arial"/>
                <w:color w:val="000000"/>
                <w:lang w:val="en-CA"/>
              </w:rPr>
              <w:t>Sales and Promotion</w:t>
            </w:r>
          </w:p>
        </w:tc>
      </w:tr>
      <w:tr w:rsidR="000B5EF7" w:rsidRPr="0061115E" w14:paraId="784774FC" w14:textId="77777777" w:rsidTr="00236043">
        <w:trPr>
          <w:trHeight w:val="54"/>
        </w:trPr>
        <w:tc>
          <w:tcPr>
            <w:cnfStyle w:val="001000000000" w:firstRow="0" w:lastRow="0" w:firstColumn="1" w:lastColumn="0" w:oddVBand="0" w:evenVBand="0" w:oddHBand="0" w:evenHBand="0" w:firstRowFirstColumn="0" w:firstRowLastColumn="0" w:lastRowFirstColumn="0" w:lastRowLastColumn="0"/>
            <w:tcW w:w="4420" w:type="dxa"/>
            <w:noWrap/>
            <w:hideMark/>
          </w:tcPr>
          <w:p w14:paraId="6A5C76D3" w14:textId="68C6933D" w:rsidR="000B5EF7" w:rsidRPr="0061115E" w:rsidRDefault="000B5EF7" w:rsidP="000B5EF7">
            <w:pPr>
              <w:rPr>
                <w:rFonts w:ascii="Arial" w:hAnsi="Arial" w:cs="Arial"/>
                <w:color w:val="000000"/>
                <w:lang w:val="en-CA"/>
              </w:rPr>
            </w:pPr>
            <w:r w:rsidRPr="0061115E">
              <w:rPr>
                <w:rFonts w:ascii="Arial" w:hAnsi="Arial" w:cs="Arial"/>
                <w:color w:val="000000"/>
                <w:lang w:val="en-CA"/>
              </w:rPr>
              <w:t>Supply Chain Management</w:t>
            </w:r>
          </w:p>
        </w:tc>
      </w:tr>
      <w:tr w:rsidR="000B5EF7" w:rsidRPr="0061115E" w14:paraId="40A6D561" w14:textId="77777777" w:rsidTr="00236043">
        <w:trPr>
          <w:trHeight w:val="54"/>
        </w:trPr>
        <w:tc>
          <w:tcPr>
            <w:cnfStyle w:val="001000000000" w:firstRow="0" w:lastRow="0" w:firstColumn="1" w:lastColumn="0" w:oddVBand="0" w:evenVBand="0" w:oddHBand="0" w:evenHBand="0" w:firstRowFirstColumn="0" w:firstRowLastColumn="0" w:lastRowFirstColumn="0" w:lastRowLastColumn="0"/>
            <w:tcW w:w="4420" w:type="dxa"/>
            <w:noWrap/>
            <w:hideMark/>
          </w:tcPr>
          <w:p w14:paraId="685FDCCF" w14:textId="159356B8" w:rsidR="000B5EF7" w:rsidRPr="0061115E" w:rsidRDefault="000B5EF7" w:rsidP="000B5EF7">
            <w:pPr>
              <w:rPr>
                <w:rFonts w:ascii="Arial" w:hAnsi="Arial" w:cs="Arial"/>
                <w:color w:val="000000"/>
                <w:lang w:val="en-CA"/>
              </w:rPr>
            </w:pPr>
            <w:r w:rsidRPr="0061115E">
              <w:rPr>
                <w:rFonts w:ascii="Arial" w:hAnsi="Arial" w:cs="Arial"/>
                <w:color w:val="000000"/>
                <w:lang w:val="en-CA"/>
              </w:rPr>
              <w:t>Strategy</w:t>
            </w:r>
          </w:p>
        </w:tc>
      </w:tr>
      <w:tr w:rsidR="000B5EF7" w:rsidRPr="0061115E" w14:paraId="5D1B6EA3" w14:textId="77777777" w:rsidTr="00236043">
        <w:trPr>
          <w:trHeight w:val="54"/>
        </w:trPr>
        <w:tc>
          <w:tcPr>
            <w:cnfStyle w:val="001000000000" w:firstRow="0" w:lastRow="0" w:firstColumn="1" w:lastColumn="0" w:oddVBand="0" w:evenVBand="0" w:oddHBand="0" w:evenHBand="0" w:firstRowFirstColumn="0" w:firstRowLastColumn="0" w:lastRowFirstColumn="0" w:lastRowLastColumn="0"/>
            <w:tcW w:w="4420" w:type="dxa"/>
            <w:noWrap/>
            <w:hideMark/>
          </w:tcPr>
          <w:p w14:paraId="5B54BE75" w14:textId="77777777" w:rsidR="000B5EF7" w:rsidRPr="0061115E" w:rsidRDefault="000B5EF7" w:rsidP="000B5EF7">
            <w:pPr>
              <w:rPr>
                <w:rFonts w:ascii="Arial" w:hAnsi="Arial" w:cs="Arial"/>
                <w:color w:val="000000"/>
                <w:lang w:val="en-CA"/>
              </w:rPr>
            </w:pPr>
            <w:r w:rsidRPr="0061115E">
              <w:rPr>
                <w:rFonts w:ascii="Arial" w:hAnsi="Arial" w:cs="Arial"/>
                <w:color w:val="000000"/>
                <w:lang w:val="en-CA"/>
              </w:rPr>
              <w:t>Warehouse</w:t>
            </w:r>
          </w:p>
        </w:tc>
      </w:tr>
    </w:tbl>
    <w:p w14:paraId="00703EC8" w14:textId="77777777" w:rsidR="005628BD" w:rsidRPr="0061115E" w:rsidRDefault="005628BD" w:rsidP="00236043">
      <w:pPr>
        <w:pStyle w:val="ExhibitText"/>
        <w:rPr>
          <w:sz w:val="14"/>
          <w:szCs w:val="14"/>
          <w:lang w:val="en-CA"/>
        </w:rPr>
      </w:pPr>
    </w:p>
    <w:p w14:paraId="4F3A1DF3" w14:textId="080EBED7" w:rsidR="00B82249" w:rsidRPr="0061115E" w:rsidRDefault="00B82249" w:rsidP="00236043">
      <w:pPr>
        <w:pStyle w:val="Footnote"/>
        <w:rPr>
          <w:lang w:val="en-CA"/>
        </w:rPr>
      </w:pPr>
    </w:p>
    <w:p w14:paraId="03FBA4E2" w14:textId="2D2C555B" w:rsidR="005628BD" w:rsidRPr="0061115E" w:rsidRDefault="005628BD" w:rsidP="00236043">
      <w:pPr>
        <w:pStyle w:val="Footnote"/>
        <w:rPr>
          <w:b/>
          <w:lang w:val="en-CA"/>
        </w:rPr>
      </w:pPr>
      <w:r w:rsidRPr="0061115E">
        <w:rPr>
          <w:lang w:val="en-CA"/>
        </w:rPr>
        <w:t xml:space="preserve">Source: Created by the </w:t>
      </w:r>
      <w:r w:rsidR="00B82249" w:rsidRPr="0061115E">
        <w:rPr>
          <w:lang w:val="en-CA"/>
        </w:rPr>
        <w:t>authors</w:t>
      </w:r>
      <w:r w:rsidRPr="0061115E">
        <w:rPr>
          <w:lang w:val="en-CA"/>
        </w:rPr>
        <w:t>.</w:t>
      </w:r>
    </w:p>
    <w:p w14:paraId="67F11B89" w14:textId="20215C8B" w:rsidR="00401EB9" w:rsidRPr="0061115E" w:rsidRDefault="00401EB9" w:rsidP="00AE2374">
      <w:pPr>
        <w:pStyle w:val="ExhibitText"/>
        <w:rPr>
          <w:lang w:val="en-CA"/>
        </w:rPr>
      </w:pPr>
    </w:p>
    <w:p w14:paraId="3AE80A27" w14:textId="77777777" w:rsidR="00AE2374" w:rsidRPr="0061115E" w:rsidRDefault="00AE2374" w:rsidP="00AE2374">
      <w:pPr>
        <w:pStyle w:val="ExhibitText"/>
        <w:rPr>
          <w:lang w:val="en-CA"/>
        </w:rPr>
      </w:pPr>
    </w:p>
    <w:p w14:paraId="1B0658DE" w14:textId="72507959" w:rsidR="00401EB9" w:rsidRPr="0061115E" w:rsidRDefault="3AE70F20" w:rsidP="00401EB9">
      <w:pPr>
        <w:pStyle w:val="ExhibitHeading"/>
        <w:rPr>
          <w:lang w:val="en-CA"/>
        </w:rPr>
      </w:pPr>
      <w:r w:rsidRPr="0061115E">
        <w:rPr>
          <w:lang w:val="en-CA"/>
        </w:rPr>
        <w:t xml:space="preserve">Exhibit </w:t>
      </w:r>
      <w:r w:rsidR="00166313" w:rsidRPr="0061115E">
        <w:rPr>
          <w:lang w:val="en-CA"/>
        </w:rPr>
        <w:t>4</w:t>
      </w:r>
      <w:r w:rsidRPr="0061115E">
        <w:rPr>
          <w:lang w:val="en-CA"/>
        </w:rPr>
        <w:t xml:space="preserve">: </w:t>
      </w:r>
      <w:r w:rsidR="00AE2381" w:rsidRPr="0061115E">
        <w:rPr>
          <w:lang w:val="en-CA"/>
        </w:rPr>
        <w:t xml:space="preserve">ADDITIONAL INFORMATION ABOUT NEW </w:t>
      </w:r>
      <w:r w:rsidR="006822FF" w:rsidRPr="0061115E">
        <w:rPr>
          <w:lang w:val="en-CA"/>
        </w:rPr>
        <w:t xml:space="preserve">Hires </w:t>
      </w:r>
      <w:r w:rsidR="00262638" w:rsidRPr="0061115E">
        <w:rPr>
          <w:lang w:val="en-CA"/>
        </w:rPr>
        <w:t xml:space="preserve">in the first year of </w:t>
      </w:r>
      <w:r w:rsidR="00EF0AD9" w:rsidRPr="0061115E">
        <w:rPr>
          <w:lang w:val="en-CA"/>
        </w:rPr>
        <w:t>employment</w:t>
      </w:r>
    </w:p>
    <w:p w14:paraId="3FFF4FA6" w14:textId="77777777" w:rsidR="00401EB9" w:rsidRPr="0061115E" w:rsidRDefault="00401EB9" w:rsidP="00401EB9">
      <w:pPr>
        <w:pStyle w:val="ExhibitHeading"/>
        <w:rPr>
          <w:lang w:val="en-CA"/>
        </w:rPr>
      </w:pPr>
    </w:p>
    <w:p w14:paraId="66A1CD14" w14:textId="5EC0B6AB" w:rsidR="005628BD" w:rsidRPr="0061115E" w:rsidRDefault="3AE70F20" w:rsidP="00236043">
      <w:pPr>
        <w:pStyle w:val="ExhibitText"/>
        <w:numPr>
          <w:ilvl w:val="0"/>
          <w:numId w:val="14"/>
        </w:numPr>
        <w:rPr>
          <w:lang w:val="en-CA"/>
        </w:rPr>
      </w:pPr>
      <w:r w:rsidRPr="0061115E">
        <w:rPr>
          <w:lang w:val="en-CA"/>
        </w:rPr>
        <w:t xml:space="preserve">Performance </w:t>
      </w:r>
      <w:r w:rsidR="00737171" w:rsidRPr="0061115E">
        <w:rPr>
          <w:lang w:val="en-CA"/>
        </w:rPr>
        <w:t>rat</w:t>
      </w:r>
      <w:r w:rsidR="00DE79A6" w:rsidRPr="0061115E">
        <w:rPr>
          <w:lang w:val="en-CA"/>
        </w:rPr>
        <w:t>e</w:t>
      </w:r>
      <w:r w:rsidRPr="0061115E">
        <w:rPr>
          <w:lang w:val="en-CA"/>
        </w:rPr>
        <w:t xml:space="preserve">: </w:t>
      </w:r>
      <w:r w:rsidR="00F11CD5" w:rsidRPr="0061115E">
        <w:rPr>
          <w:lang w:val="en-CA"/>
        </w:rPr>
        <w:t xml:space="preserve">A </w:t>
      </w:r>
      <w:r w:rsidR="00DE79A6" w:rsidRPr="0061115E">
        <w:rPr>
          <w:lang w:val="en-CA"/>
        </w:rPr>
        <w:t>performance rating</w:t>
      </w:r>
      <w:r w:rsidRPr="0061115E">
        <w:rPr>
          <w:lang w:val="en-CA"/>
        </w:rPr>
        <w:t xml:space="preserve"> was given by the immediate manager based on mapping </w:t>
      </w:r>
      <w:r w:rsidR="00F11CD5" w:rsidRPr="0061115E">
        <w:rPr>
          <w:lang w:val="en-CA"/>
        </w:rPr>
        <w:t xml:space="preserve">the </w:t>
      </w:r>
      <w:r w:rsidR="00737171" w:rsidRPr="0061115E">
        <w:rPr>
          <w:lang w:val="en-CA"/>
        </w:rPr>
        <w:t xml:space="preserve">employee’s </w:t>
      </w:r>
      <w:r w:rsidRPr="0061115E">
        <w:rPr>
          <w:lang w:val="en-CA"/>
        </w:rPr>
        <w:t xml:space="preserve">key result areas. </w:t>
      </w:r>
      <w:r w:rsidR="00737171" w:rsidRPr="0061115E">
        <w:rPr>
          <w:lang w:val="en-CA"/>
        </w:rPr>
        <w:t xml:space="preserve">The </w:t>
      </w:r>
      <w:r w:rsidR="00DE79A6" w:rsidRPr="0061115E">
        <w:rPr>
          <w:lang w:val="en-CA"/>
        </w:rPr>
        <w:t>performance rate</w:t>
      </w:r>
      <w:r w:rsidRPr="0061115E">
        <w:rPr>
          <w:lang w:val="en-CA"/>
        </w:rPr>
        <w:t xml:space="preserve"> depicted </w:t>
      </w:r>
      <w:r w:rsidR="00737171" w:rsidRPr="0061115E">
        <w:rPr>
          <w:lang w:val="en-CA"/>
        </w:rPr>
        <w:t xml:space="preserve">the </w:t>
      </w:r>
      <w:r w:rsidRPr="0061115E">
        <w:rPr>
          <w:lang w:val="en-CA"/>
        </w:rPr>
        <w:t xml:space="preserve">number of employees with </w:t>
      </w:r>
      <w:r w:rsidR="00077411" w:rsidRPr="0061115E">
        <w:rPr>
          <w:lang w:val="en-CA"/>
        </w:rPr>
        <w:t>a performance rating</w:t>
      </w:r>
      <w:r w:rsidRPr="0061115E">
        <w:rPr>
          <w:lang w:val="en-CA"/>
        </w:rPr>
        <w:t xml:space="preserve"> above 70</w:t>
      </w:r>
      <w:r w:rsidR="00737171" w:rsidRPr="0061115E">
        <w:rPr>
          <w:lang w:val="en-CA"/>
        </w:rPr>
        <w:t xml:space="preserve"> per cent</w:t>
      </w:r>
      <w:r w:rsidRPr="0061115E">
        <w:rPr>
          <w:lang w:val="en-CA"/>
        </w:rPr>
        <w:t xml:space="preserve"> in </w:t>
      </w:r>
      <w:r w:rsidR="006822FF" w:rsidRPr="0061115E">
        <w:rPr>
          <w:lang w:val="en-CA"/>
        </w:rPr>
        <w:t xml:space="preserve">a particular </w:t>
      </w:r>
      <w:r w:rsidR="00737171" w:rsidRPr="0061115E">
        <w:rPr>
          <w:lang w:val="en-CA"/>
        </w:rPr>
        <w:t>FY</w:t>
      </w:r>
      <w:r w:rsidRPr="0061115E">
        <w:rPr>
          <w:lang w:val="en-CA"/>
        </w:rPr>
        <w:t>. In FY</w:t>
      </w:r>
      <w:r w:rsidR="00077411" w:rsidRPr="0061115E">
        <w:rPr>
          <w:lang w:val="en-CA"/>
        </w:rPr>
        <w:t xml:space="preserve"> 2018</w:t>
      </w:r>
      <w:r w:rsidRPr="0061115E">
        <w:rPr>
          <w:lang w:val="en-CA"/>
        </w:rPr>
        <w:t>,</w:t>
      </w:r>
      <w:r w:rsidR="00737171" w:rsidRPr="0061115E">
        <w:rPr>
          <w:lang w:val="en-CA"/>
        </w:rPr>
        <w:t xml:space="preserve"> </w:t>
      </w:r>
      <w:r w:rsidRPr="0061115E">
        <w:rPr>
          <w:lang w:val="en-CA"/>
        </w:rPr>
        <w:t xml:space="preserve">of </w:t>
      </w:r>
      <w:r w:rsidR="00737171" w:rsidRPr="0061115E">
        <w:rPr>
          <w:lang w:val="en-CA"/>
        </w:rPr>
        <w:t xml:space="preserve">1,000 </w:t>
      </w:r>
      <w:r w:rsidRPr="0061115E">
        <w:rPr>
          <w:lang w:val="en-CA"/>
        </w:rPr>
        <w:t>employees in the</w:t>
      </w:r>
      <w:r w:rsidR="00F0304D" w:rsidRPr="0061115E">
        <w:rPr>
          <w:lang w:val="en-CA"/>
        </w:rPr>
        <w:t>ir</w:t>
      </w:r>
      <w:r w:rsidRPr="0061115E">
        <w:rPr>
          <w:lang w:val="en-CA"/>
        </w:rPr>
        <w:t xml:space="preserve"> first year of employment, 764 had </w:t>
      </w:r>
      <w:r w:rsidR="00737171" w:rsidRPr="0061115E">
        <w:rPr>
          <w:lang w:val="en-CA"/>
        </w:rPr>
        <w:t xml:space="preserve">a </w:t>
      </w:r>
      <w:r w:rsidR="007249F9" w:rsidRPr="0061115E">
        <w:rPr>
          <w:lang w:val="en-CA"/>
        </w:rPr>
        <w:t xml:space="preserve">performance </w:t>
      </w:r>
      <w:r w:rsidR="008A4D4D" w:rsidRPr="0061115E">
        <w:rPr>
          <w:lang w:val="en-CA"/>
        </w:rPr>
        <w:t>rating</w:t>
      </w:r>
      <w:r w:rsidRPr="0061115E">
        <w:rPr>
          <w:lang w:val="en-CA"/>
        </w:rPr>
        <w:t xml:space="preserve"> above 70</w:t>
      </w:r>
      <w:r w:rsidR="00737171" w:rsidRPr="0061115E">
        <w:rPr>
          <w:lang w:val="en-CA"/>
        </w:rPr>
        <w:t xml:space="preserve"> per cent</w:t>
      </w:r>
      <w:r w:rsidRPr="0061115E">
        <w:rPr>
          <w:lang w:val="en-CA"/>
        </w:rPr>
        <w:t xml:space="preserve">. In </w:t>
      </w:r>
      <w:r w:rsidR="00C644D5" w:rsidRPr="0061115E">
        <w:rPr>
          <w:lang w:val="en-CA"/>
        </w:rPr>
        <w:t>FY 2019</w:t>
      </w:r>
      <w:r w:rsidRPr="0061115E">
        <w:rPr>
          <w:lang w:val="en-CA"/>
        </w:rPr>
        <w:t>, this number grew to 778.</w:t>
      </w:r>
    </w:p>
    <w:p w14:paraId="684569A1" w14:textId="222C9EEE" w:rsidR="005628BD" w:rsidRPr="0061115E" w:rsidRDefault="005628BD" w:rsidP="00236043">
      <w:pPr>
        <w:pStyle w:val="ExhibitText"/>
        <w:numPr>
          <w:ilvl w:val="0"/>
          <w:numId w:val="14"/>
        </w:numPr>
        <w:rPr>
          <w:lang w:val="en-CA"/>
        </w:rPr>
      </w:pPr>
      <w:r w:rsidRPr="0061115E">
        <w:rPr>
          <w:lang w:val="en-CA"/>
        </w:rPr>
        <w:t>Training efficiency</w:t>
      </w:r>
      <w:r w:rsidR="008F15C0" w:rsidRPr="0061115E">
        <w:rPr>
          <w:lang w:val="en-CA"/>
        </w:rPr>
        <w:t xml:space="preserve"> </w:t>
      </w:r>
      <w:r w:rsidR="00047781" w:rsidRPr="0061115E">
        <w:rPr>
          <w:lang w:val="en-CA"/>
        </w:rPr>
        <w:t>rate</w:t>
      </w:r>
      <w:r w:rsidRPr="0061115E">
        <w:rPr>
          <w:lang w:val="en-CA"/>
        </w:rPr>
        <w:t xml:space="preserve">: </w:t>
      </w:r>
      <w:r w:rsidR="00F54355" w:rsidRPr="0061115E">
        <w:rPr>
          <w:lang w:val="en-CA"/>
        </w:rPr>
        <w:t>Training efficiency</w:t>
      </w:r>
      <w:r w:rsidRPr="0061115E">
        <w:rPr>
          <w:lang w:val="en-CA"/>
        </w:rPr>
        <w:t xml:space="preserve"> was </w:t>
      </w:r>
      <w:r w:rsidR="008E7F20" w:rsidRPr="0061115E">
        <w:rPr>
          <w:lang w:val="en-CA"/>
        </w:rPr>
        <w:t>based on evaluation of the employee after each training session</w:t>
      </w:r>
      <w:r w:rsidRPr="0061115E">
        <w:rPr>
          <w:lang w:val="en-CA"/>
        </w:rPr>
        <w:t>. This evaluation was mostly written</w:t>
      </w:r>
      <w:r w:rsidR="00A636BC" w:rsidRPr="0061115E">
        <w:rPr>
          <w:lang w:val="en-CA"/>
        </w:rPr>
        <w:t>;</w:t>
      </w:r>
      <w:r w:rsidRPr="0061115E">
        <w:rPr>
          <w:lang w:val="en-CA"/>
        </w:rPr>
        <w:t xml:space="preserve"> however, in crucial trainings</w:t>
      </w:r>
      <w:r w:rsidR="0095456B" w:rsidRPr="0061115E">
        <w:rPr>
          <w:lang w:val="en-CA"/>
        </w:rPr>
        <w:t>,</w:t>
      </w:r>
      <w:r w:rsidRPr="0061115E">
        <w:rPr>
          <w:lang w:val="en-CA"/>
        </w:rPr>
        <w:t xml:space="preserve"> such as </w:t>
      </w:r>
      <w:r w:rsidR="00A636BC" w:rsidRPr="0061115E">
        <w:rPr>
          <w:lang w:val="en-CA"/>
        </w:rPr>
        <w:t>boiler operations</w:t>
      </w:r>
      <w:r w:rsidRPr="0061115E">
        <w:rPr>
          <w:lang w:val="en-CA"/>
        </w:rPr>
        <w:t>, the trainer</w:t>
      </w:r>
      <w:r w:rsidR="0095456B" w:rsidRPr="0061115E">
        <w:rPr>
          <w:lang w:val="en-CA"/>
        </w:rPr>
        <w:t xml:space="preserve"> evaluated the employee</w:t>
      </w:r>
      <w:r w:rsidRPr="0061115E">
        <w:rPr>
          <w:lang w:val="en-CA"/>
        </w:rPr>
        <w:t xml:space="preserve"> based on performance with the equipment for 30 days. </w:t>
      </w:r>
      <w:r w:rsidR="00DE79A6" w:rsidRPr="0061115E">
        <w:rPr>
          <w:lang w:val="en-CA"/>
        </w:rPr>
        <w:t xml:space="preserve">The </w:t>
      </w:r>
      <w:r w:rsidR="0095456B" w:rsidRPr="0061115E">
        <w:rPr>
          <w:lang w:val="en-CA"/>
        </w:rPr>
        <w:t>training efficiency</w:t>
      </w:r>
      <w:r w:rsidRPr="0061115E">
        <w:rPr>
          <w:lang w:val="en-CA"/>
        </w:rPr>
        <w:t xml:space="preserve"> rate depicted </w:t>
      </w:r>
      <w:r w:rsidR="00127F42" w:rsidRPr="0061115E">
        <w:rPr>
          <w:lang w:val="en-CA"/>
        </w:rPr>
        <w:t xml:space="preserve">the </w:t>
      </w:r>
      <w:r w:rsidRPr="0061115E">
        <w:rPr>
          <w:lang w:val="en-CA"/>
        </w:rPr>
        <w:t xml:space="preserve">number of employees with </w:t>
      </w:r>
      <w:r w:rsidR="00127F42" w:rsidRPr="0061115E">
        <w:rPr>
          <w:lang w:val="en-CA"/>
        </w:rPr>
        <w:t xml:space="preserve">training </w:t>
      </w:r>
      <w:r w:rsidR="004D0A2E" w:rsidRPr="0061115E">
        <w:rPr>
          <w:lang w:val="en-CA"/>
        </w:rPr>
        <w:t>efficiency</w:t>
      </w:r>
      <w:r w:rsidRPr="0061115E">
        <w:rPr>
          <w:lang w:val="en-CA"/>
        </w:rPr>
        <w:t xml:space="preserve"> above 70</w:t>
      </w:r>
      <w:r w:rsidR="001476E8" w:rsidRPr="0061115E">
        <w:rPr>
          <w:lang w:val="en-CA"/>
        </w:rPr>
        <w:t xml:space="preserve"> per cent</w:t>
      </w:r>
      <w:r w:rsidRPr="0061115E">
        <w:rPr>
          <w:lang w:val="en-CA"/>
        </w:rPr>
        <w:t xml:space="preserve"> in </w:t>
      </w:r>
      <w:r w:rsidR="001476E8" w:rsidRPr="0061115E">
        <w:rPr>
          <w:lang w:val="en-CA"/>
        </w:rPr>
        <w:t xml:space="preserve">a particular </w:t>
      </w:r>
      <w:r w:rsidR="008C0BC4" w:rsidRPr="0061115E">
        <w:rPr>
          <w:lang w:val="en-CA"/>
        </w:rPr>
        <w:t xml:space="preserve">fiscal </w:t>
      </w:r>
      <w:r w:rsidRPr="0061115E">
        <w:rPr>
          <w:lang w:val="en-CA"/>
        </w:rPr>
        <w:t>year. In FY</w:t>
      </w:r>
      <w:r w:rsidR="00C81157" w:rsidRPr="0061115E">
        <w:rPr>
          <w:lang w:val="en-CA"/>
        </w:rPr>
        <w:t xml:space="preserve"> 2018</w:t>
      </w:r>
      <w:r w:rsidRPr="0061115E">
        <w:rPr>
          <w:lang w:val="en-CA"/>
        </w:rPr>
        <w:t xml:space="preserve">, </w:t>
      </w:r>
      <w:r w:rsidR="00C81157" w:rsidRPr="0061115E">
        <w:rPr>
          <w:lang w:val="en-CA"/>
        </w:rPr>
        <w:t xml:space="preserve">out </w:t>
      </w:r>
      <w:r w:rsidRPr="0061115E">
        <w:rPr>
          <w:lang w:val="en-CA"/>
        </w:rPr>
        <w:t>of 1</w:t>
      </w:r>
      <w:r w:rsidR="00C81157" w:rsidRPr="0061115E">
        <w:rPr>
          <w:lang w:val="en-CA"/>
        </w:rPr>
        <w:t>,</w:t>
      </w:r>
      <w:r w:rsidRPr="0061115E">
        <w:rPr>
          <w:lang w:val="en-CA"/>
        </w:rPr>
        <w:t xml:space="preserve">000 employees, 808 had </w:t>
      </w:r>
      <w:r w:rsidR="00C81157" w:rsidRPr="0061115E">
        <w:rPr>
          <w:lang w:val="en-CA"/>
        </w:rPr>
        <w:t xml:space="preserve">a </w:t>
      </w:r>
      <w:r w:rsidR="00166313" w:rsidRPr="0061115E">
        <w:rPr>
          <w:lang w:val="en-CA"/>
        </w:rPr>
        <w:t>training efficiency</w:t>
      </w:r>
      <w:r w:rsidR="00C81157" w:rsidRPr="0061115E">
        <w:rPr>
          <w:lang w:val="en-CA"/>
        </w:rPr>
        <w:t xml:space="preserve"> rating</w:t>
      </w:r>
      <w:r w:rsidRPr="0061115E">
        <w:rPr>
          <w:lang w:val="en-CA"/>
        </w:rPr>
        <w:t xml:space="preserve"> above 70</w:t>
      </w:r>
      <w:r w:rsidR="009623B4" w:rsidRPr="0061115E">
        <w:rPr>
          <w:lang w:val="en-CA"/>
        </w:rPr>
        <w:t xml:space="preserve"> per cent</w:t>
      </w:r>
      <w:r w:rsidRPr="0061115E">
        <w:rPr>
          <w:lang w:val="en-CA"/>
        </w:rPr>
        <w:t>. In FY</w:t>
      </w:r>
      <w:r w:rsidR="009623B4" w:rsidRPr="0061115E">
        <w:rPr>
          <w:lang w:val="en-CA"/>
        </w:rPr>
        <w:t xml:space="preserve"> 2019</w:t>
      </w:r>
      <w:r w:rsidRPr="0061115E">
        <w:rPr>
          <w:lang w:val="en-CA"/>
        </w:rPr>
        <w:t>, this number grew to 812.</w:t>
      </w:r>
    </w:p>
    <w:p w14:paraId="49F23EDF" w14:textId="467FF509" w:rsidR="005628BD" w:rsidRPr="0061115E" w:rsidRDefault="005628BD" w:rsidP="00236043">
      <w:pPr>
        <w:pStyle w:val="ExhibitText"/>
        <w:numPr>
          <w:ilvl w:val="0"/>
          <w:numId w:val="14"/>
        </w:numPr>
        <w:rPr>
          <w:lang w:val="en-CA"/>
        </w:rPr>
      </w:pPr>
      <w:r w:rsidRPr="0061115E">
        <w:rPr>
          <w:lang w:val="en-CA"/>
        </w:rPr>
        <w:t xml:space="preserve">Retention </w:t>
      </w:r>
      <w:r w:rsidR="006A44A8" w:rsidRPr="0061115E">
        <w:rPr>
          <w:lang w:val="en-CA"/>
        </w:rPr>
        <w:t xml:space="preserve">rate: </w:t>
      </w:r>
      <w:r w:rsidR="0003370C" w:rsidRPr="0061115E">
        <w:rPr>
          <w:lang w:val="en-CA"/>
        </w:rPr>
        <w:t>The retention rate</w:t>
      </w:r>
      <w:r w:rsidRPr="0061115E">
        <w:rPr>
          <w:lang w:val="en-CA"/>
        </w:rPr>
        <w:t xml:space="preserve"> indicated </w:t>
      </w:r>
      <w:r w:rsidR="0003370C" w:rsidRPr="0061115E">
        <w:rPr>
          <w:lang w:val="en-CA"/>
        </w:rPr>
        <w:t xml:space="preserve">the </w:t>
      </w:r>
      <w:r w:rsidRPr="0061115E">
        <w:rPr>
          <w:lang w:val="en-CA"/>
        </w:rPr>
        <w:t xml:space="preserve">number of employees </w:t>
      </w:r>
      <w:r w:rsidR="00901A8A" w:rsidRPr="0061115E">
        <w:rPr>
          <w:lang w:val="en-CA"/>
        </w:rPr>
        <w:t xml:space="preserve">who were </w:t>
      </w:r>
      <w:r w:rsidRPr="0061115E">
        <w:rPr>
          <w:lang w:val="en-CA"/>
        </w:rPr>
        <w:t xml:space="preserve">retained after </w:t>
      </w:r>
      <w:r w:rsidR="007C6F9A" w:rsidRPr="0061115E">
        <w:rPr>
          <w:lang w:val="en-CA"/>
        </w:rPr>
        <w:t xml:space="preserve">their </w:t>
      </w:r>
      <w:r w:rsidRPr="0061115E">
        <w:rPr>
          <w:lang w:val="en-CA"/>
        </w:rPr>
        <w:t>first year of joining</w:t>
      </w:r>
      <w:r w:rsidR="007C6F9A" w:rsidRPr="0061115E">
        <w:rPr>
          <w:lang w:val="en-CA"/>
        </w:rPr>
        <w:t xml:space="preserve"> the company</w:t>
      </w:r>
      <w:r w:rsidRPr="0061115E">
        <w:rPr>
          <w:lang w:val="en-CA"/>
        </w:rPr>
        <w:t>. In FY</w:t>
      </w:r>
      <w:r w:rsidR="00CB1046" w:rsidRPr="0061115E">
        <w:rPr>
          <w:lang w:val="en-CA"/>
        </w:rPr>
        <w:t xml:space="preserve"> 2018</w:t>
      </w:r>
      <w:r w:rsidRPr="0061115E">
        <w:rPr>
          <w:lang w:val="en-CA"/>
        </w:rPr>
        <w:t xml:space="preserve">, </w:t>
      </w:r>
      <w:r w:rsidR="00CB1046" w:rsidRPr="0061115E">
        <w:rPr>
          <w:lang w:val="en-CA"/>
        </w:rPr>
        <w:t>out</w:t>
      </w:r>
      <w:r w:rsidRPr="0061115E">
        <w:rPr>
          <w:lang w:val="en-CA"/>
        </w:rPr>
        <w:t xml:space="preserve"> of 1</w:t>
      </w:r>
      <w:r w:rsidR="00CB1046" w:rsidRPr="0061115E">
        <w:rPr>
          <w:lang w:val="en-CA"/>
        </w:rPr>
        <w:t>,</w:t>
      </w:r>
      <w:r w:rsidRPr="0061115E">
        <w:rPr>
          <w:lang w:val="en-CA"/>
        </w:rPr>
        <w:t>000 employees, 455 resigned within the first</w:t>
      </w:r>
      <w:r w:rsidR="00901A8A" w:rsidRPr="0061115E">
        <w:rPr>
          <w:lang w:val="en-CA"/>
        </w:rPr>
        <w:t xml:space="preserve"> year</w:t>
      </w:r>
      <w:r w:rsidRPr="0061115E">
        <w:rPr>
          <w:lang w:val="en-CA"/>
        </w:rPr>
        <w:t xml:space="preserve">. In </w:t>
      </w:r>
      <w:r w:rsidR="003D210E" w:rsidRPr="0061115E">
        <w:rPr>
          <w:lang w:val="en-CA"/>
        </w:rPr>
        <w:t>FY 2019</w:t>
      </w:r>
      <w:r w:rsidRPr="0061115E">
        <w:rPr>
          <w:lang w:val="en-CA"/>
        </w:rPr>
        <w:t>, this number grew to 545.</w:t>
      </w:r>
    </w:p>
    <w:p w14:paraId="6D62D4BD" w14:textId="77777777" w:rsidR="005628BD" w:rsidRPr="0061115E" w:rsidRDefault="005628BD" w:rsidP="00236043">
      <w:pPr>
        <w:pStyle w:val="ExhibitText"/>
        <w:rPr>
          <w:sz w:val="12"/>
          <w:szCs w:val="12"/>
          <w:lang w:val="en-CA"/>
        </w:rPr>
      </w:pPr>
    </w:p>
    <w:p w14:paraId="7E04BB1D" w14:textId="22060CBE" w:rsidR="00C81157" w:rsidRPr="0061115E" w:rsidRDefault="00C81157" w:rsidP="00236043">
      <w:pPr>
        <w:pStyle w:val="Footnote"/>
        <w:rPr>
          <w:lang w:val="en-CA"/>
        </w:rPr>
      </w:pPr>
      <w:r w:rsidRPr="0061115E">
        <w:rPr>
          <w:lang w:val="en-CA"/>
        </w:rPr>
        <w:t>Note: FY = fiscal year</w:t>
      </w:r>
      <w:r w:rsidR="00343806">
        <w:rPr>
          <w:lang w:val="en-CA"/>
        </w:rPr>
        <w:t>.</w:t>
      </w:r>
      <w:bookmarkStart w:id="2" w:name="_GoBack"/>
      <w:bookmarkEnd w:id="2"/>
    </w:p>
    <w:p w14:paraId="03884DCD" w14:textId="35E830AA" w:rsidR="00B87DC0" w:rsidRPr="0061115E" w:rsidRDefault="005628BD" w:rsidP="00236043">
      <w:pPr>
        <w:pStyle w:val="Footnote"/>
        <w:rPr>
          <w:lang w:val="en-CA"/>
        </w:rPr>
      </w:pPr>
      <w:r w:rsidRPr="0061115E">
        <w:rPr>
          <w:lang w:val="en-CA"/>
        </w:rPr>
        <w:t xml:space="preserve">Source: Created by </w:t>
      </w:r>
      <w:r w:rsidR="001F2B89" w:rsidRPr="0061115E">
        <w:rPr>
          <w:lang w:val="en-CA"/>
        </w:rPr>
        <w:t>the authors</w:t>
      </w:r>
      <w:r w:rsidRPr="0061115E">
        <w:rPr>
          <w:lang w:val="en-CA"/>
        </w:rPr>
        <w:t>.</w:t>
      </w:r>
    </w:p>
    <w:sectPr w:rsidR="00B87DC0" w:rsidRPr="0061115E" w:rsidSect="00751E0B">
      <w:headerReference w:type="default" r:id="rId10"/>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57E29" w14:textId="77777777" w:rsidR="00F42404" w:rsidRDefault="00F42404" w:rsidP="00D75295">
      <w:r>
        <w:separator/>
      </w:r>
    </w:p>
  </w:endnote>
  <w:endnote w:type="continuationSeparator" w:id="0">
    <w:p w14:paraId="67B7852B" w14:textId="77777777" w:rsidR="00F42404" w:rsidRDefault="00F42404"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D5864" w14:textId="77777777" w:rsidR="00F42404" w:rsidRDefault="00F42404" w:rsidP="00D75295">
      <w:r>
        <w:separator/>
      </w:r>
    </w:p>
  </w:footnote>
  <w:footnote w:type="continuationSeparator" w:id="0">
    <w:p w14:paraId="7769D6F6" w14:textId="77777777" w:rsidR="00F42404" w:rsidRDefault="00F42404" w:rsidP="00D75295">
      <w:r>
        <w:continuationSeparator/>
      </w:r>
    </w:p>
  </w:footnote>
  <w:footnote w:id="1">
    <w:p w14:paraId="2CF64D8F" w14:textId="44ABB71B" w:rsidR="00927AC9" w:rsidRPr="00D24E65" w:rsidRDefault="00927AC9">
      <w:pPr>
        <w:pStyle w:val="FootnoteText"/>
        <w:rPr>
          <w:rFonts w:ascii="Arial" w:hAnsi="Arial" w:cs="Arial"/>
          <w:sz w:val="17"/>
          <w:szCs w:val="17"/>
          <w:lang w:val="en-CA"/>
        </w:rPr>
      </w:pPr>
      <w:r w:rsidRPr="00D24E65">
        <w:rPr>
          <w:rStyle w:val="FootnoteReference"/>
          <w:rFonts w:ascii="Arial" w:hAnsi="Arial" w:cs="Arial"/>
          <w:sz w:val="17"/>
          <w:szCs w:val="17"/>
        </w:rPr>
        <w:footnoteRef/>
      </w:r>
      <w:r w:rsidRPr="00D24E65">
        <w:rPr>
          <w:rFonts w:ascii="Arial" w:hAnsi="Arial" w:cs="Arial"/>
          <w:sz w:val="17"/>
          <w:szCs w:val="17"/>
        </w:rPr>
        <w:t xml:space="preserve"> </w:t>
      </w:r>
      <w:r w:rsidRPr="00D24E65">
        <w:rPr>
          <w:rFonts w:ascii="Arial" w:hAnsi="Arial" w:cs="Arial"/>
          <w:sz w:val="17"/>
          <w:szCs w:val="17"/>
          <w:lang w:val="en-CA"/>
        </w:rPr>
        <w:t xml:space="preserve">All </w:t>
      </w:r>
      <w:r>
        <w:rPr>
          <w:rFonts w:ascii="Arial" w:hAnsi="Arial" w:cs="Arial"/>
          <w:sz w:val="17"/>
          <w:szCs w:val="17"/>
          <w:lang w:val="en-CA"/>
        </w:rPr>
        <w:t>currency</w:t>
      </w:r>
      <w:r w:rsidRPr="00D24E65">
        <w:rPr>
          <w:rFonts w:ascii="Arial" w:hAnsi="Arial" w:cs="Arial"/>
          <w:sz w:val="17"/>
          <w:szCs w:val="17"/>
          <w:lang w:val="en-CA"/>
        </w:rPr>
        <w:t xml:space="preserve"> amounts are in US dollars</w:t>
      </w:r>
      <w:r>
        <w:rPr>
          <w:rFonts w:ascii="Arial" w:hAnsi="Arial" w:cs="Arial"/>
          <w:sz w:val="17"/>
          <w:szCs w:val="17"/>
          <w:lang w:val="en-CA"/>
        </w:rPr>
        <w:t xml:space="preserve"> unless otherwise indicated</w:t>
      </w:r>
      <w:r w:rsidRPr="00D24E65">
        <w:rPr>
          <w:rFonts w:ascii="Arial" w:hAnsi="Arial" w:cs="Arial"/>
          <w:sz w:val="17"/>
          <w:szCs w:val="17"/>
          <w:lang w:val="en-CA"/>
        </w:rPr>
        <w:t xml:space="preserve">. </w:t>
      </w:r>
    </w:p>
  </w:footnote>
  <w:footnote w:id="2">
    <w:p w14:paraId="7CEB8A66" w14:textId="0E5C25D8" w:rsidR="0077245D" w:rsidRPr="0077245D" w:rsidRDefault="0077245D" w:rsidP="0061115E">
      <w:pPr>
        <w:pStyle w:val="Footnote"/>
      </w:pPr>
      <w:r>
        <w:rPr>
          <w:rStyle w:val="FootnoteReference"/>
        </w:rPr>
        <w:footnoteRef/>
      </w:r>
      <w:r>
        <w:t xml:space="preserve"> </w:t>
      </w:r>
      <w:r w:rsidR="00602E21" w:rsidRPr="00602E21">
        <w:t>Discussion Paper on Market Based Economic Dispatch of Electricity: Re-designing of Day-ahead Market (DAM) in India, No RA-14026(11)/3/2018-CERC, Prepared by Staff of Central Electricity Regulatory Commission, December, 2018</w:t>
      </w:r>
      <w:r w:rsidR="00602E21">
        <w:t xml:space="preserve"> </w:t>
      </w:r>
      <w:r w:rsidR="00195C8D" w:rsidRPr="0061115E">
        <w:t>http://www.cercind.gov.in/2018/draft_reg/DP31.pdf</w:t>
      </w:r>
      <w:r w:rsidR="00195C8D">
        <w:t xml:space="preserve">, </w:t>
      </w:r>
      <w:r w:rsidR="00195C8D" w:rsidRPr="00602E21">
        <w:t>Introduction (1.2),</w:t>
      </w:r>
      <w:r w:rsidR="00195C8D">
        <w:t xml:space="preserve"> Page 5</w:t>
      </w:r>
      <w:r w:rsidR="0061115E">
        <w:t>.</w:t>
      </w:r>
      <w:r w:rsidR="00195C8D">
        <w:t xml:space="preserve"> </w:t>
      </w:r>
      <w:r>
        <w:t xml:space="preserve"> </w:t>
      </w:r>
    </w:p>
  </w:footnote>
  <w:footnote w:id="3">
    <w:p w14:paraId="30A4BEC8" w14:textId="4F6108FD" w:rsidR="00927AC9" w:rsidRPr="004C586A" w:rsidRDefault="00927AC9" w:rsidP="00401EB9">
      <w:pPr>
        <w:pStyle w:val="Footnote"/>
        <w:rPr>
          <w:lang w:val="en-GB"/>
        </w:rPr>
      </w:pPr>
      <w:r w:rsidRPr="004C586A">
        <w:rPr>
          <w:rStyle w:val="FootnoteReference"/>
          <w:lang w:val="en-GB"/>
        </w:rPr>
        <w:footnoteRef/>
      </w:r>
      <w:r w:rsidRPr="004C586A">
        <w:rPr>
          <w:lang w:val="en-GB"/>
        </w:rPr>
        <w:t xml:space="preserve"> Open access customers </w:t>
      </w:r>
      <w:r>
        <w:rPr>
          <w:lang w:val="en-GB"/>
        </w:rPr>
        <w:t>procured</w:t>
      </w:r>
      <w:r w:rsidRPr="004C586A">
        <w:rPr>
          <w:lang w:val="en-GB"/>
        </w:rPr>
        <w:t xml:space="preserve"> power directly from power generation units</w:t>
      </w:r>
      <w:r>
        <w:rPr>
          <w:lang w:val="en-GB"/>
        </w:rPr>
        <w:t>,</w:t>
      </w:r>
      <w:r w:rsidRPr="004C586A">
        <w:rPr>
          <w:lang w:val="en-GB"/>
        </w:rPr>
        <w:t xml:space="preserve"> </w:t>
      </w:r>
      <w:r>
        <w:rPr>
          <w:lang w:val="en-GB"/>
        </w:rPr>
        <w:t>whereas</w:t>
      </w:r>
      <w:r w:rsidRPr="004C586A">
        <w:rPr>
          <w:lang w:val="en-GB"/>
        </w:rPr>
        <w:t xml:space="preserve"> traditional consumers availed their power from </w:t>
      </w:r>
      <w:r>
        <w:rPr>
          <w:lang w:val="en-GB"/>
        </w:rPr>
        <w:t xml:space="preserve">commercial </w:t>
      </w:r>
      <w:r w:rsidRPr="004C586A">
        <w:rPr>
          <w:lang w:val="en-GB"/>
        </w:rPr>
        <w:t xml:space="preserve">power distribution companies, which acted </w:t>
      </w:r>
      <w:r>
        <w:rPr>
          <w:lang w:val="en-GB"/>
        </w:rPr>
        <w:t>as aggregators</w:t>
      </w:r>
      <w:r w:rsidRPr="004C586A">
        <w:rPr>
          <w:lang w:val="en-GB"/>
        </w:rPr>
        <w:t xml:space="preserve"> in the supply chain.</w:t>
      </w:r>
    </w:p>
  </w:footnote>
  <w:footnote w:id="4">
    <w:p w14:paraId="6E34DFCD" w14:textId="36D75F75" w:rsidR="00A87FCD" w:rsidRPr="0061115E" w:rsidRDefault="00A87FCD" w:rsidP="0061115E">
      <w:pPr>
        <w:pStyle w:val="Footnote"/>
        <w:rPr>
          <w:lang w:val="en-IN"/>
        </w:rPr>
      </w:pPr>
      <w:r>
        <w:rPr>
          <w:rStyle w:val="FootnoteReference"/>
        </w:rPr>
        <w:footnoteRef/>
      </w:r>
      <w:r>
        <w:t xml:space="preserve"> </w:t>
      </w:r>
      <w:r w:rsidR="00195C8D">
        <w:t xml:space="preserve">Extension of Pilot on Security Constrained Economic Dispatch (SCED) of InterState Generating Stations (ISGS) Pan India, </w:t>
      </w:r>
      <w:r>
        <w:t>CENTRAL ELECTRICITY REGULATORY COMMISSION, NEW DELHI, Petition No. 08/SM/2019 (Suo-Motu),</w:t>
      </w:r>
      <w:r w:rsidR="00195C8D">
        <w:t xml:space="preserve"> September 2019, </w:t>
      </w:r>
      <w:r w:rsidR="00195C8D" w:rsidRPr="0061115E">
        <w:t>http://cercind.gov.in/2019/orders/08-SM-2019.pdf</w:t>
      </w:r>
      <w:r w:rsidR="00195C8D">
        <w:t>,</w:t>
      </w:r>
      <w:r w:rsidR="00195C8D" w:rsidRPr="00195C8D">
        <w:t xml:space="preserve"> </w:t>
      </w:r>
      <w:r w:rsidR="00195C8D">
        <w:t>2(b), Page 2</w:t>
      </w:r>
      <w:r w:rsidR="0061115E">
        <w:t>.</w:t>
      </w:r>
    </w:p>
  </w:footnote>
  <w:footnote w:id="5">
    <w:p w14:paraId="3B37DC64" w14:textId="062F5637" w:rsidR="00927AC9" w:rsidRPr="004C586A" w:rsidRDefault="00927AC9" w:rsidP="00401EB9">
      <w:pPr>
        <w:pStyle w:val="Footnote"/>
        <w:rPr>
          <w:lang w:val="en-GB"/>
        </w:rPr>
      </w:pPr>
      <w:r w:rsidRPr="004C586A">
        <w:rPr>
          <w:rStyle w:val="FootnoteReference"/>
          <w:lang w:val="en-GB"/>
        </w:rPr>
        <w:footnoteRef/>
      </w:r>
      <w:r w:rsidRPr="004C586A">
        <w:rPr>
          <w:lang w:val="en-GB"/>
        </w:rPr>
        <w:t xml:space="preserve"> </w:t>
      </w:r>
      <w:bookmarkStart w:id="1" w:name="_Hlk55028206"/>
      <w:r w:rsidRPr="004C586A">
        <w:rPr>
          <w:lang w:val="en-GB"/>
        </w:rPr>
        <w:t>Township dwellers</w:t>
      </w:r>
      <w:r>
        <w:rPr>
          <w:lang w:val="en-GB"/>
        </w:rPr>
        <w:t>, which were individuals who</w:t>
      </w:r>
      <w:r w:rsidRPr="004C586A">
        <w:rPr>
          <w:lang w:val="en-GB"/>
        </w:rPr>
        <w:t xml:space="preserve"> either </w:t>
      </w:r>
      <w:r>
        <w:rPr>
          <w:lang w:val="en-GB"/>
        </w:rPr>
        <w:t>resided</w:t>
      </w:r>
      <w:r w:rsidRPr="004C586A">
        <w:rPr>
          <w:lang w:val="en-GB"/>
        </w:rPr>
        <w:t xml:space="preserve"> </w:t>
      </w:r>
      <w:r>
        <w:rPr>
          <w:lang w:val="en-GB"/>
        </w:rPr>
        <w:t xml:space="preserve">in </w:t>
      </w:r>
      <w:r w:rsidRPr="004C586A">
        <w:rPr>
          <w:lang w:val="en-GB"/>
        </w:rPr>
        <w:t xml:space="preserve">or </w:t>
      </w:r>
      <w:r>
        <w:rPr>
          <w:lang w:val="en-GB"/>
        </w:rPr>
        <w:t>worked</w:t>
      </w:r>
      <w:r w:rsidRPr="004C586A">
        <w:rPr>
          <w:lang w:val="en-GB"/>
        </w:rPr>
        <w:t xml:space="preserve"> </w:t>
      </w:r>
      <w:r>
        <w:rPr>
          <w:lang w:val="en-GB"/>
        </w:rPr>
        <w:t>in</w:t>
      </w:r>
      <w:r w:rsidRPr="004C586A">
        <w:rPr>
          <w:lang w:val="en-GB"/>
        </w:rPr>
        <w:t xml:space="preserve"> the township developed by APL in the vicinity of </w:t>
      </w:r>
      <w:r>
        <w:rPr>
          <w:lang w:val="en-GB"/>
        </w:rPr>
        <w:t>its</w:t>
      </w:r>
      <w:r w:rsidRPr="004C586A">
        <w:rPr>
          <w:lang w:val="en-GB"/>
        </w:rPr>
        <w:t xml:space="preserve"> power plant</w:t>
      </w:r>
      <w:r>
        <w:rPr>
          <w:lang w:val="en-GB"/>
        </w:rPr>
        <w:t>, included</w:t>
      </w:r>
      <w:r w:rsidRPr="004C586A">
        <w:rPr>
          <w:lang w:val="en-GB"/>
        </w:rPr>
        <w:t xml:space="preserve"> families of </w:t>
      </w:r>
      <w:r>
        <w:rPr>
          <w:lang w:val="en-GB"/>
        </w:rPr>
        <w:t xml:space="preserve">both </w:t>
      </w:r>
      <w:r w:rsidRPr="004C586A">
        <w:rPr>
          <w:lang w:val="en-GB"/>
        </w:rPr>
        <w:t>APL employees and other small business</w:t>
      </w:r>
      <w:r>
        <w:rPr>
          <w:lang w:val="en-GB"/>
        </w:rPr>
        <w:t xml:space="preserve"> owners</w:t>
      </w:r>
      <w:r w:rsidRPr="004C586A">
        <w:rPr>
          <w:lang w:val="en-GB"/>
        </w:rPr>
        <w:t xml:space="preserve"> operating in the township.</w:t>
      </w:r>
      <w:bookmarkEnd w:id="1"/>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F321B" w14:textId="4FDE43A0" w:rsidR="00927AC9" w:rsidRPr="00C92CC4" w:rsidRDefault="00927AC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756AC">
      <w:rPr>
        <w:rFonts w:ascii="Arial" w:hAnsi="Arial"/>
        <w:b/>
        <w:noProof/>
      </w:rPr>
      <w:t>7</w:t>
    </w:r>
    <w:r>
      <w:rPr>
        <w:rFonts w:ascii="Arial" w:hAnsi="Arial"/>
        <w:b/>
      </w:rPr>
      <w:fldChar w:fldCharType="end"/>
    </w:r>
    <w:r>
      <w:rPr>
        <w:rFonts w:ascii="Arial" w:hAnsi="Arial"/>
        <w:b/>
      </w:rPr>
      <w:tab/>
    </w:r>
    <w:r w:rsidR="0061115E">
      <w:rPr>
        <w:rFonts w:ascii="Arial" w:hAnsi="Arial"/>
        <w:b/>
      </w:rPr>
      <w:t>9B21C001</w:t>
    </w:r>
  </w:p>
  <w:p w14:paraId="12121ECA" w14:textId="77777777" w:rsidR="00927AC9" w:rsidRDefault="00927AC9" w:rsidP="00D13667">
    <w:pPr>
      <w:pStyle w:val="Header"/>
      <w:tabs>
        <w:tab w:val="clear" w:pos="4680"/>
      </w:tabs>
      <w:rPr>
        <w:sz w:val="18"/>
        <w:szCs w:val="18"/>
      </w:rPr>
    </w:pPr>
  </w:p>
  <w:p w14:paraId="5C33D651" w14:textId="77777777" w:rsidR="00927AC9" w:rsidRPr="00C92CC4" w:rsidRDefault="00927AC9"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17194"/>
    <w:multiLevelType w:val="hybridMultilevel"/>
    <w:tmpl w:val="18C24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95DF8"/>
    <w:multiLevelType w:val="hybridMultilevel"/>
    <w:tmpl w:val="9064F2E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4"/>
  </w:num>
  <w:num w:numId="4">
    <w:abstractNumId w:val="11"/>
  </w:num>
  <w:num w:numId="5">
    <w:abstractNumId w:val="5"/>
  </w:num>
  <w:num w:numId="6">
    <w:abstractNumId w:val="9"/>
  </w:num>
  <w:num w:numId="7">
    <w:abstractNumId w:val="2"/>
  </w:num>
  <w:num w:numId="8">
    <w:abstractNumId w:val="13"/>
  </w:num>
  <w:num w:numId="9">
    <w:abstractNumId w:val="10"/>
  </w:num>
  <w:num w:numId="10">
    <w:abstractNumId w:val="3"/>
  </w:num>
  <w:num w:numId="11">
    <w:abstractNumId w:val="7"/>
  </w:num>
  <w:num w:numId="12">
    <w:abstractNumId w:val="8"/>
  </w:num>
  <w:num w:numId="13">
    <w:abstractNumId w:val="0"/>
  </w:num>
  <w:num w:numId="1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407D"/>
    <w:rsid w:val="00005EB4"/>
    <w:rsid w:val="000061CD"/>
    <w:rsid w:val="000066DE"/>
    <w:rsid w:val="00013360"/>
    <w:rsid w:val="00016759"/>
    <w:rsid w:val="000216CE"/>
    <w:rsid w:val="00024ED4"/>
    <w:rsid w:val="00025DC7"/>
    <w:rsid w:val="00025F7F"/>
    <w:rsid w:val="00032168"/>
    <w:rsid w:val="0003370C"/>
    <w:rsid w:val="00035F09"/>
    <w:rsid w:val="000412FB"/>
    <w:rsid w:val="00044ECC"/>
    <w:rsid w:val="000452B8"/>
    <w:rsid w:val="00047781"/>
    <w:rsid w:val="000531D3"/>
    <w:rsid w:val="0005449D"/>
    <w:rsid w:val="00055AF8"/>
    <w:rsid w:val="0005646B"/>
    <w:rsid w:val="00056811"/>
    <w:rsid w:val="000615D1"/>
    <w:rsid w:val="0006269A"/>
    <w:rsid w:val="00066E44"/>
    <w:rsid w:val="00071422"/>
    <w:rsid w:val="00071C06"/>
    <w:rsid w:val="00072548"/>
    <w:rsid w:val="000756E1"/>
    <w:rsid w:val="00077411"/>
    <w:rsid w:val="0008020A"/>
    <w:rsid w:val="00080C44"/>
    <w:rsid w:val="0008102D"/>
    <w:rsid w:val="00081970"/>
    <w:rsid w:val="0008237C"/>
    <w:rsid w:val="00082945"/>
    <w:rsid w:val="00086B26"/>
    <w:rsid w:val="000916A1"/>
    <w:rsid w:val="00094C0E"/>
    <w:rsid w:val="000974B2"/>
    <w:rsid w:val="000A146D"/>
    <w:rsid w:val="000A2EBB"/>
    <w:rsid w:val="000B0EA1"/>
    <w:rsid w:val="000B2D97"/>
    <w:rsid w:val="000B3F13"/>
    <w:rsid w:val="000B5164"/>
    <w:rsid w:val="000B5EF7"/>
    <w:rsid w:val="000C318B"/>
    <w:rsid w:val="000D2A2F"/>
    <w:rsid w:val="000D3F0A"/>
    <w:rsid w:val="000D7091"/>
    <w:rsid w:val="000E1373"/>
    <w:rsid w:val="000E1381"/>
    <w:rsid w:val="000E16D5"/>
    <w:rsid w:val="000E6389"/>
    <w:rsid w:val="000E6F50"/>
    <w:rsid w:val="000F0C22"/>
    <w:rsid w:val="000F48FA"/>
    <w:rsid w:val="000F59AB"/>
    <w:rsid w:val="000F6B09"/>
    <w:rsid w:val="000F6FDC"/>
    <w:rsid w:val="000F7B05"/>
    <w:rsid w:val="00102F26"/>
    <w:rsid w:val="001038A7"/>
    <w:rsid w:val="00104567"/>
    <w:rsid w:val="00104916"/>
    <w:rsid w:val="00104AA7"/>
    <w:rsid w:val="001134A2"/>
    <w:rsid w:val="00114583"/>
    <w:rsid w:val="001153E6"/>
    <w:rsid w:val="00121B30"/>
    <w:rsid w:val="001250E8"/>
    <w:rsid w:val="0012628F"/>
    <w:rsid w:val="0012732D"/>
    <w:rsid w:val="00127F42"/>
    <w:rsid w:val="001346AA"/>
    <w:rsid w:val="001402DF"/>
    <w:rsid w:val="00143D99"/>
    <w:rsid w:val="00143F25"/>
    <w:rsid w:val="00144892"/>
    <w:rsid w:val="00144969"/>
    <w:rsid w:val="00145A0C"/>
    <w:rsid w:val="001476E8"/>
    <w:rsid w:val="001477F9"/>
    <w:rsid w:val="00152479"/>
    <w:rsid w:val="00152682"/>
    <w:rsid w:val="0015349E"/>
    <w:rsid w:val="00154FC9"/>
    <w:rsid w:val="00155FB8"/>
    <w:rsid w:val="00161105"/>
    <w:rsid w:val="001661A5"/>
    <w:rsid w:val="00166313"/>
    <w:rsid w:val="00170E57"/>
    <w:rsid w:val="00171C4E"/>
    <w:rsid w:val="001767DB"/>
    <w:rsid w:val="001847AE"/>
    <w:rsid w:val="001901C0"/>
    <w:rsid w:val="00191C40"/>
    <w:rsid w:val="00191FC1"/>
    <w:rsid w:val="0019241A"/>
    <w:rsid w:val="00192A18"/>
    <w:rsid w:val="00195C8D"/>
    <w:rsid w:val="00196247"/>
    <w:rsid w:val="00196652"/>
    <w:rsid w:val="00197889"/>
    <w:rsid w:val="001A22D1"/>
    <w:rsid w:val="001A752D"/>
    <w:rsid w:val="001A756C"/>
    <w:rsid w:val="001A757E"/>
    <w:rsid w:val="001A7F8D"/>
    <w:rsid w:val="001B101C"/>
    <w:rsid w:val="001B24D1"/>
    <w:rsid w:val="001B5032"/>
    <w:rsid w:val="001B6395"/>
    <w:rsid w:val="001B69F4"/>
    <w:rsid w:val="001C7777"/>
    <w:rsid w:val="001C7A9D"/>
    <w:rsid w:val="001D1DC7"/>
    <w:rsid w:val="001D344B"/>
    <w:rsid w:val="001E364F"/>
    <w:rsid w:val="001E559C"/>
    <w:rsid w:val="001E6938"/>
    <w:rsid w:val="001F2B89"/>
    <w:rsid w:val="001F4222"/>
    <w:rsid w:val="001F57C7"/>
    <w:rsid w:val="001F5869"/>
    <w:rsid w:val="001F77DE"/>
    <w:rsid w:val="0020306D"/>
    <w:rsid w:val="00203AA1"/>
    <w:rsid w:val="00207134"/>
    <w:rsid w:val="00212209"/>
    <w:rsid w:val="00213E98"/>
    <w:rsid w:val="00225139"/>
    <w:rsid w:val="00230150"/>
    <w:rsid w:val="0023081A"/>
    <w:rsid w:val="0023197D"/>
    <w:rsid w:val="00233111"/>
    <w:rsid w:val="00236043"/>
    <w:rsid w:val="002438C8"/>
    <w:rsid w:val="0025454D"/>
    <w:rsid w:val="0025463F"/>
    <w:rsid w:val="00255019"/>
    <w:rsid w:val="00262638"/>
    <w:rsid w:val="00265A64"/>
    <w:rsid w:val="00265FA8"/>
    <w:rsid w:val="0026646A"/>
    <w:rsid w:val="00270867"/>
    <w:rsid w:val="002752E0"/>
    <w:rsid w:val="002816EB"/>
    <w:rsid w:val="00285D4E"/>
    <w:rsid w:val="00287812"/>
    <w:rsid w:val="0029497C"/>
    <w:rsid w:val="00295B36"/>
    <w:rsid w:val="002B40FF"/>
    <w:rsid w:val="002B4962"/>
    <w:rsid w:val="002C4E29"/>
    <w:rsid w:val="002C6261"/>
    <w:rsid w:val="002E25A9"/>
    <w:rsid w:val="002E61C3"/>
    <w:rsid w:val="002E63E0"/>
    <w:rsid w:val="002F460C"/>
    <w:rsid w:val="002F48D6"/>
    <w:rsid w:val="00305D30"/>
    <w:rsid w:val="00305F0A"/>
    <w:rsid w:val="0031019F"/>
    <w:rsid w:val="00310CE3"/>
    <w:rsid w:val="003129BE"/>
    <w:rsid w:val="00313CF6"/>
    <w:rsid w:val="00313F3B"/>
    <w:rsid w:val="00315F87"/>
    <w:rsid w:val="003160B1"/>
    <w:rsid w:val="00317391"/>
    <w:rsid w:val="00317C47"/>
    <w:rsid w:val="00321AD7"/>
    <w:rsid w:val="00323516"/>
    <w:rsid w:val="003242A5"/>
    <w:rsid w:val="00325F28"/>
    <w:rsid w:val="00326216"/>
    <w:rsid w:val="003319E6"/>
    <w:rsid w:val="003329D4"/>
    <w:rsid w:val="00336580"/>
    <w:rsid w:val="00340DD2"/>
    <w:rsid w:val="00343806"/>
    <w:rsid w:val="00347BA6"/>
    <w:rsid w:val="00353824"/>
    <w:rsid w:val="00354899"/>
    <w:rsid w:val="00355FD6"/>
    <w:rsid w:val="0035740F"/>
    <w:rsid w:val="0036453A"/>
    <w:rsid w:val="00364A5C"/>
    <w:rsid w:val="00370C3B"/>
    <w:rsid w:val="003715D4"/>
    <w:rsid w:val="00373FB1"/>
    <w:rsid w:val="00381BB1"/>
    <w:rsid w:val="00381F3E"/>
    <w:rsid w:val="00383574"/>
    <w:rsid w:val="00385B3A"/>
    <w:rsid w:val="00392F69"/>
    <w:rsid w:val="00396BF9"/>
    <w:rsid w:val="00396C76"/>
    <w:rsid w:val="00396E5F"/>
    <w:rsid w:val="003A3B61"/>
    <w:rsid w:val="003A448C"/>
    <w:rsid w:val="003A6939"/>
    <w:rsid w:val="003B2ACC"/>
    <w:rsid w:val="003B30D8"/>
    <w:rsid w:val="003B5EFB"/>
    <w:rsid w:val="003B6557"/>
    <w:rsid w:val="003B6F32"/>
    <w:rsid w:val="003B7B78"/>
    <w:rsid w:val="003B7EF2"/>
    <w:rsid w:val="003C1CA9"/>
    <w:rsid w:val="003C3FA4"/>
    <w:rsid w:val="003D0BA1"/>
    <w:rsid w:val="003D210E"/>
    <w:rsid w:val="003E3424"/>
    <w:rsid w:val="003E6693"/>
    <w:rsid w:val="003F2B0C"/>
    <w:rsid w:val="003F4B8C"/>
    <w:rsid w:val="00401EB9"/>
    <w:rsid w:val="0040441A"/>
    <w:rsid w:val="004105B2"/>
    <w:rsid w:val="0041145A"/>
    <w:rsid w:val="00412900"/>
    <w:rsid w:val="00413EA0"/>
    <w:rsid w:val="004163EB"/>
    <w:rsid w:val="004221E4"/>
    <w:rsid w:val="00423BF5"/>
    <w:rsid w:val="004273F8"/>
    <w:rsid w:val="004355A3"/>
    <w:rsid w:val="00436F3E"/>
    <w:rsid w:val="0044107A"/>
    <w:rsid w:val="00444094"/>
    <w:rsid w:val="00446546"/>
    <w:rsid w:val="00447100"/>
    <w:rsid w:val="0044712D"/>
    <w:rsid w:val="00452769"/>
    <w:rsid w:val="00452C1D"/>
    <w:rsid w:val="00453B2B"/>
    <w:rsid w:val="00454FA7"/>
    <w:rsid w:val="0046193B"/>
    <w:rsid w:val="004645A6"/>
    <w:rsid w:val="00465348"/>
    <w:rsid w:val="00472A6F"/>
    <w:rsid w:val="0047391F"/>
    <w:rsid w:val="00494CB8"/>
    <w:rsid w:val="004953CE"/>
    <w:rsid w:val="004974A3"/>
    <w:rsid w:val="004979A5"/>
    <w:rsid w:val="004A0055"/>
    <w:rsid w:val="004A25E0"/>
    <w:rsid w:val="004A6EAB"/>
    <w:rsid w:val="004B1CCB"/>
    <w:rsid w:val="004B632F"/>
    <w:rsid w:val="004C11B8"/>
    <w:rsid w:val="004C2910"/>
    <w:rsid w:val="004C4D89"/>
    <w:rsid w:val="004C586A"/>
    <w:rsid w:val="004D0A2E"/>
    <w:rsid w:val="004D3FB1"/>
    <w:rsid w:val="004D4734"/>
    <w:rsid w:val="004D6427"/>
    <w:rsid w:val="004D6F21"/>
    <w:rsid w:val="004D73A5"/>
    <w:rsid w:val="004E5F70"/>
    <w:rsid w:val="004F0490"/>
    <w:rsid w:val="004F65E6"/>
    <w:rsid w:val="00503BC9"/>
    <w:rsid w:val="0050535B"/>
    <w:rsid w:val="00512E19"/>
    <w:rsid w:val="005160F1"/>
    <w:rsid w:val="005214E4"/>
    <w:rsid w:val="00524F2F"/>
    <w:rsid w:val="00527E5C"/>
    <w:rsid w:val="00532CF5"/>
    <w:rsid w:val="005508C9"/>
    <w:rsid w:val="005528CB"/>
    <w:rsid w:val="00554E3F"/>
    <w:rsid w:val="00560210"/>
    <w:rsid w:val="00560694"/>
    <w:rsid w:val="005609D5"/>
    <w:rsid w:val="00561B1A"/>
    <w:rsid w:val="005628BD"/>
    <w:rsid w:val="00566771"/>
    <w:rsid w:val="00571191"/>
    <w:rsid w:val="005819BB"/>
    <w:rsid w:val="00581E2E"/>
    <w:rsid w:val="00584F15"/>
    <w:rsid w:val="00593921"/>
    <w:rsid w:val="0059514B"/>
    <w:rsid w:val="005A10D1"/>
    <w:rsid w:val="005A1B0F"/>
    <w:rsid w:val="005B4CE6"/>
    <w:rsid w:val="005B5EFE"/>
    <w:rsid w:val="005B63FB"/>
    <w:rsid w:val="005C2CE3"/>
    <w:rsid w:val="005C35A1"/>
    <w:rsid w:val="005C5AC2"/>
    <w:rsid w:val="005D0D56"/>
    <w:rsid w:val="005D182A"/>
    <w:rsid w:val="005D3F7F"/>
    <w:rsid w:val="005D412A"/>
    <w:rsid w:val="005D5FBA"/>
    <w:rsid w:val="005E7BC8"/>
    <w:rsid w:val="005F1046"/>
    <w:rsid w:val="005F2D3C"/>
    <w:rsid w:val="00602E21"/>
    <w:rsid w:val="00603724"/>
    <w:rsid w:val="00604F4E"/>
    <w:rsid w:val="00606E5C"/>
    <w:rsid w:val="0061115E"/>
    <w:rsid w:val="006136C6"/>
    <w:rsid w:val="006163F7"/>
    <w:rsid w:val="0062374F"/>
    <w:rsid w:val="00627C63"/>
    <w:rsid w:val="00630674"/>
    <w:rsid w:val="0063350B"/>
    <w:rsid w:val="00635C21"/>
    <w:rsid w:val="006365F4"/>
    <w:rsid w:val="00643446"/>
    <w:rsid w:val="0065119E"/>
    <w:rsid w:val="00652606"/>
    <w:rsid w:val="006526CD"/>
    <w:rsid w:val="006571AD"/>
    <w:rsid w:val="006756AC"/>
    <w:rsid w:val="006822FF"/>
    <w:rsid w:val="0068753A"/>
    <w:rsid w:val="006946EE"/>
    <w:rsid w:val="006A1EEF"/>
    <w:rsid w:val="006A2209"/>
    <w:rsid w:val="006A44A8"/>
    <w:rsid w:val="006A45B3"/>
    <w:rsid w:val="006A58A9"/>
    <w:rsid w:val="006A5EEF"/>
    <w:rsid w:val="006A606D"/>
    <w:rsid w:val="006B07CB"/>
    <w:rsid w:val="006B271E"/>
    <w:rsid w:val="006B3FD8"/>
    <w:rsid w:val="006B51E8"/>
    <w:rsid w:val="006B60DB"/>
    <w:rsid w:val="006C0371"/>
    <w:rsid w:val="006C08B6"/>
    <w:rsid w:val="006C0B1A"/>
    <w:rsid w:val="006C1FB2"/>
    <w:rsid w:val="006C305B"/>
    <w:rsid w:val="006C3C98"/>
    <w:rsid w:val="006C3E4E"/>
    <w:rsid w:val="006C6065"/>
    <w:rsid w:val="006C7F9F"/>
    <w:rsid w:val="006D0BB2"/>
    <w:rsid w:val="006D561A"/>
    <w:rsid w:val="006E09CB"/>
    <w:rsid w:val="006E1A8C"/>
    <w:rsid w:val="006E2F6D"/>
    <w:rsid w:val="006E58F6"/>
    <w:rsid w:val="006E5B28"/>
    <w:rsid w:val="006E77E1"/>
    <w:rsid w:val="006E7985"/>
    <w:rsid w:val="006F131D"/>
    <w:rsid w:val="006F1F41"/>
    <w:rsid w:val="00704E2E"/>
    <w:rsid w:val="00710C44"/>
    <w:rsid w:val="00711642"/>
    <w:rsid w:val="00716B86"/>
    <w:rsid w:val="007249F9"/>
    <w:rsid w:val="0072688D"/>
    <w:rsid w:val="00727992"/>
    <w:rsid w:val="00730159"/>
    <w:rsid w:val="00737171"/>
    <w:rsid w:val="007434D6"/>
    <w:rsid w:val="007478E5"/>
    <w:rsid w:val="00747C47"/>
    <w:rsid w:val="007507C6"/>
    <w:rsid w:val="007512B9"/>
    <w:rsid w:val="00751E0B"/>
    <w:rsid w:val="00752BCD"/>
    <w:rsid w:val="0075462B"/>
    <w:rsid w:val="0075589A"/>
    <w:rsid w:val="00766DA1"/>
    <w:rsid w:val="00766FCE"/>
    <w:rsid w:val="0077245D"/>
    <w:rsid w:val="0077251E"/>
    <w:rsid w:val="007736B5"/>
    <w:rsid w:val="00774975"/>
    <w:rsid w:val="00780D94"/>
    <w:rsid w:val="00783A26"/>
    <w:rsid w:val="00783C2C"/>
    <w:rsid w:val="00784065"/>
    <w:rsid w:val="007866A6"/>
    <w:rsid w:val="007874FB"/>
    <w:rsid w:val="007A130D"/>
    <w:rsid w:val="007B31AD"/>
    <w:rsid w:val="007B784B"/>
    <w:rsid w:val="007C3058"/>
    <w:rsid w:val="007C6F9A"/>
    <w:rsid w:val="007D1A2D"/>
    <w:rsid w:val="007D32E6"/>
    <w:rsid w:val="007D3915"/>
    <w:rsid w:val="007D4102"/>
    <w:rsid w:val="007E54A7"/>
    <w:rsid w:val="007E6E76"/>
    <w:rsid w:val="007F43B7"/>
    <w:rsid w:val="00804662"/>
    <w:rsid w:val="0081428E"/>
    <w:rsid w:val="00820663"/>
    <w:rsid w:val="00821940"/>
    <w:rsid w:val="00821FFC"/>
    <w:rsid w:val="00822277"/>
    <w:rsid w:val="008271CA"/>
    <w:rsid w:val="00827619"/>
    <w:rsid w:val="0083450F"/>
    <w:rsid w:val="0084030B"/>
    <w:rsid w:val="00842F69"/>
    <w:rsid w:val="008467D5"/>
    <w:rsid w:val="008519B8"/>
    <w:rsid w:val="00860B03"/>
    <w:rsid w:val="00863BDA"/>
    <w:rsid w:val="00865BB0"/>
    <w:rsid w:val="0086718B"/>
    <w:rsid w:val="00874D95"/>
    <w:rsid w:val="00874EB8"/>
    <w:rsid w:val="008769A8"/>
    <w:rsid w:val="00882D04"/>
    <w:rsid w:val="00884F38"/>
    <w:rsid w:val="00885BDD"/>
    <w:rsid w:val="00890945"/>
    <w:rsid w:val="0089269E"/>
    <w:rsid w:val="00892EB6"/>
    <w:rsid w:val="00894BEE"/>
    <w:rsid w:val="008A0DD1"/>
    <w:rsid w:val="008A1214"/>
    <w:rsid w:val="008A4D4D"/>
    <w:rsid w:val="008A4DC4"/>
    <w:rsid w:val="008B438C"/>
    <w:rsid w:val="008C0BC4"/>
    <w:rsid w:val="008C15A0"/>
    <w:rsid w:val="008D06CA"/>
    <w:rsid w:val="008D3A46"/>
    <w:rsid w:val="008D41FB"/>
    <w:rsid w:val="008E6CE2"/>
    <w:rsid w:val="008E777B"/>
    <w:rsid w:val="008E7F20"/>
    <w:rsid w:val="008F15C0"/>
    <w:rsid w:val="008F2385"/>
    <w:rsid w:val="00901A8A"/>
    <w:rsid w:val="00903309"/>
    <w:rsid w:val="009058C5"/>
    <w:rsid w:val="009067A4"/>
    <w:rsid w:val="00917FD2"/>
    <w:rsid w:val="00921113"/>
    <w:rsid w:val="009269F4"/>
    <w:rsid w:val="00926B9C"/>
    <w:rsid w:val="009279FD"/>
    <w:rsid w:val="00927AC9"/>
    <w:rsid w:val="00930885"/>
    <w:rsid w:val="00931558"/>
    <w:rsid w:val="00933D68"/>
    <w:rsid w:val="009340DB"/>
    <w:rsid w:val="00940C4F"/>
    <w:rsid w:val="009443C1"/>
    <w:rsid w:val="0094618C"/>
    <w:rsid w:val="0095456B"/>
    <w:rsid w:val="0095684B"/>
    <w:rsid w:val="00961FF5"/>
    <w:rsid w:val="009623B4"/>
    <w:rsid w:val="00962B29"/>
    <w:rsid w:val="0096695B"/>
    <w:rsid w:val="00972498"/>
    <w:rsid w:val="00973393"/>
    <w:rsid w:val="0097481F"/>
    <w:rsid w:val="00974CC6"/>
    <w:rsid w:val="00976AD4"/>
    <w:rsid w:val="00983999"/>
    <w:rsid w:val="0099090D"/>
    <w:rsid w:val="0099311D"/>
    <w:rsid w:val="00995547"/>
    <w:rsid w:val="009979DA"/>
    <w:rsid w:val="009A312F"/>
    <w:rsid w:val="009A5348"/>
    <w:rsid w:val="009A722D"/>
    <w:rsid w:val="009B0456"/>
    <w:rsid w:val="009B0AB7"/>
    <w:rsid w:val="009B2972"/>
    <w:rsid w:val="009B7D35"/>
    <w:rsid w:val="009C01D7"/>
    <w:rsid w:val="009C0587"/>
    <w:rsid w:val="009C1EA0"/>
    <w:rsid w:val="009C2A6D"/>
    <w:rsid w:val="009C5601"/>
    <w:rsid w:val="009C76D5"/>
    <w:rsid w:val="009F34BE"/>
    <w:rsid w:val="009F3957"/>
    <w:rsid w:val="009F7AA4"/>
    <w:rsid w:val="00A0066A"/>
    <w:rsid w:val="00A10AD7"/>
    <w:rsid w:val="00A23EA5"/>
    <w:rsid w:val="00A323B0"/>
    <w:rsid w:val="00A32F70"/>
    <w:rsid w:val="00A36AD4"/>
    <w:rsid w:val="00A42524"/>
    <w:rsid w:val="00A4256C"/>
    <w:rsid w:val="00A45C4D"/>
    <w:rsid w:val="00A54EFB"/>
    <w:rsid w:val="00A559DB"/>
    <w:rsid w:val="00A569EA"/>
    <w:rsid w:val="00A636BC"/>
    <w:rsid w:val="00A64483"/>
    <w:rsid w:val="00A676A0"/>
    <w:rsid w:val="00A720FF"/>
    <w:rsid w:val="00A7333C"/>
    <w:rsid w:val="00A871C6"/>
    <w:rsid w:val="00A87FCD"/>
    <w:rsid w:val="00A92DFC"/>
    <w:rsid w:val="00AA3B5A"/>
    <w:rsid w:val="00AB0FF0"/>
    <w:rsid w:val="00AB1320"/>
    <w:rsid w:val="00AC3396"/>
    <w:rsid w:val="00AE2374"/>
    <w:rsid w:val="00AE2381"/>
    <w:rsid w:val="00AF35FC"/>
    <w:rsid w:val="00AF5556"/>
    <w:rsid w:val="00B03639"/>
    <w:rsid w:val="00B0652A"/>
    <w:rsid w:val="00B06DDB"/>
    <w:rsid w:val="00B16AE0"/>
    <w:rsid w:val="00B17635"/>
    <w:rsid w:val="00B23651"/>
    <w:rsid w:val="00B23F3D"/>
    <w:rsid w:val="00B35F06"/>
    <w:rsid w:val="00B40937"/>
    <w:rsid w:val="00B423EF"/>
    <w:rsid w:val="00B428A5"/>
    <w:rsid w:val="00B453DE"/>
    <w:rsid w:val="00B463F5"/>
    <w:rsid w:val="00B62497"/>
    <w:rsid w:val="00B6428E"/>
    <w:rsid w:val="00B6487D"/>
    <w:rsid w:val="00B72597"/>
    <w:rsid w:val="00B82249"/>
    <w:rsid w:val="00B83461"/>
    <w:rsid w:val="00B87DC0"/>
    <w:rsid w:val="00B901F9"/>
    <w:rsid w:val="00B91B06"/>
    <w:rsid w:val="00B92B57"/>
    <w:rsid w:val="00B94095"/>
    <w:rsid w:val="00BA03E0"/>
    <w:rsid w:val="00BA4CF3"/>
    <w:rsid w:val="00BC4D98"/>
    <w:rsid w:val="00BD4BD0"/>
    <w:rsid w:val="00BD6EFB"/>
    <w:rsid w:val="00BE0BAC"/>
    <w:rsid w:val="00BE3DF5"/>
    <w:rsid w:val="00BF342B"/>
    <w:rsid w:val="00BF410E"/>
    <w:rsid w:val="00BF43CB"/>
    <w:rsid w:val="00BF5A46"/>
    <w:rsid w:val="00BF5EAB"/>
    <w:rsid w:val="00BF66F2"/>
    <w:rsid w:val="00C02410"/>
    <w:rsid w:val="00C05EE4"/>
    <w:rsid w:val="00C1584D"/>
    <w:rsid w:val="00C15BE2"/>
    <w:rsid w:val="00C3447F"/>
    <w:rsid w:val="00C376E4"/>
    <w:rsid w:val="00C42B84"/>
    <w:rsid w:val="00C4430D"/>
    <w:rsid w:val="00C44714"/>
    <w:rsid w:val="00C47689"/>
    <w:rsid w:val="00C603DF"/>
    <w:rsid w:val="00C61BDC"/>
    <w:rsid w:val="00C644D5"/>
    <w:rsid w:val="00C67102"/>
    <w:rsid w:val="00C71F9E"/>
    <w:rsid w:val="00C81157"/>
    <w:rsid w:val="00C81491"/>
    <w:rsid w:val="00C81676"/>
    <w:rsid w:val="00C82A85"/>
    <w:rsid w:val="00C85C5D"/>
    <w:rsid w:val="00C8769D"/>
    <w:rsid w:val="00C87B24"/>
    <w:rsid w:val="00C87CEE"/>
    <w:rsid w:val="00C92CC4"/>
    <w:rsid w:val="00C92FE9"/>
    <w:rsid w:val="00C9675D"/>
    <w:rsid w:val="00CA0AFB"/>
    <w:rsid w:val="00CA2CE1"/>
    <w:rsid w:val="00CA3976"/>
    <w:rsid w:val="00CA50E3"/>
    <w:rsid w:val="00CA757B"/>
    <w:rsid w:val="00CB1046"/>
    <w:rsid w:val="00CB4E71"/>
    <w:rsid w:val="00CC1787"/>
    <w:rsid w:val="00CC182C"/>
    <w:rsid w:val="00CD0824"/>
    <w:rsid w:val="00CD2908"/>
    <w:rsid w:val="00CE0FD7"/>
    <w:rsid w:val="00D03A82"/>
    <w:rsid w:val="00D03AD4"/>
    <w:rsid w:val="00D0614B"/>
    <w:rsid w:val="00D11687"/>
    <w:rsid w:val="00D11A1E"/>
    <w:rsid w:val="00D12264"/>
    <w:rsid w:val="00D13667"/>
    <w:rsid w:val="00D15344"/>
    <w:rsid w:val="00D16BD5"/>
    <w:rsid w:val="00D21B31"/>
    <w:rsid w:val="00D23F57"/>
    <w:rsid w:val="00D24E65"/>
    <w:rsid w:val="00D27124"/>
    <w:rsid w:val="00D31BEC"/>
    <w:rsid w:val="00D34B6C"/>
    <w:rsid w:val="00D368F7"/>
    <w:rsid w:val="00D37AB9"/>
    <w:rsid w:val="00D418D8"/>
    <w:rsid w:val="00D44167"/>
    <w:rsid w:val="00D466C5"/>
    <w:rsid w:val="00D4740E"/>
    <w:rsid w:val="00D4793C"/>
    <w:rsid w:val="00D529DA"/>
    <w:rsid w:val="00D63150"/>
    <w:rsid w:val="00D636BA"/>
    <w:rsid w:val="00D64A32"/>
    <w:rsid w:val="00D64EFC"/>
    <w:rsid w:val="00D66BD7"/>
    <w:rsid w:val="00D73EFD"/>
    <w:rsid w:val="00D75295"/>
    <w:rsid w:val="00D75B5B"/>
    <w:rsid w:val="00D76CE9"/>
    <w:rsid w:val="00D804F2"/>
    <w:rsid w:val="00D8111C"/>
    <w:rsid w:val="00D818DF"/>
    <w:rsid w:val="00D90B2A"/>
    <w:rsid w:val="00D93543"/>
    <w:rsid w:val="00D970A9"/>
    <w:rsid w:val="00D97F12"/>
    <w:rsid w:val="00DA1120"/>
    <w:rsid w:val="00DA4FD1"/>
    <w:rsid w:val="00DA5CB6"/>
    <w:rsid w:val="00DA6095"/>
    <w:rsid w:val="00DB1677"/>
    <w:rsid w:val="00DB182A"/>
    <w:rsid w:val="00DB42E7"/>
    <w:rsid w:val="00DB464C"/>
    <w:rsid w:val="00DC09D8"/>
    <w:rsid w:val="00DC2113"/>
    <w:rsid w:val="00DC7B14"/>
    <w:rsid w:val="00DD0113"/>
    <w:rsid w:val="00DE01A6"/>
    <w:rsid w:val="00DE79A6"/>
    <w:rsid w:val="00DE7A98"/>
    <w:rsid w:val="00DF0015"/>
    <w:rsid w:val="00DF03C3"/>
    <w:rsid w:val="00DF32C2"/>
    <w:rsid w:val="00DF5F20"/>
    <w:rsid w:val="00DF5FCC"/>
    <w:rsid w:val="00DF62D8"/>
    <w:rsid w:val="00E00E12"/>
    <w:rsid w:val="00E016C2"/>
    <w:rsid w:val="00E072F5"/>
    <w:rsid w:val="00E21A78"/>
    <w:rsid w:val="00E276D4"/>
    <w:rsid w:val="00E33320"/>
    <w:rsid w:val="00E41302"/>
    <w:rsid w:val="00E4405E"/>
    <w:rsid w:val="00E46775"/>
    <w:rsid w:val="00E471A7"/>
    <w:rsid w:val="00E47971"/>
    <w:rsid w:val="00E5166F"/>
    <w:rsid w:val="00E57C70"/>
    <w:rsid w:val="00E60BB2"/>
    <w:rsid w:val="00E610B3"/>
    <w:rsid w:val="00E635CF"/>
    <w:rsid w:val="00E64C9D"/>
    <w:rsid w:val="00E66038"/>
    <w:rsid w:val="00E70317"/>
    <w:rsid w:val="00E72A4B"/>
    <w:rsid w:val="00E77567"/>
    <w:rsid w:val="00E810A3"/>
    <w:rsid w:val="00E833F2"/>
    <w:rsid w:val="00E87F55"/>
    <w:rsid w:val="00E92D79"/>
    <w:rsid w:val="00E93D32"/>
    <w:rsid w:val="00E96D96"/>
    <w:rsid w:val="00EA1E4E"/>
    <w:rsid w:val="00EA21BA"/>
    <w:rsid w:val="00EB1E3B"/>
    <w:rsid w:val="00EB24FB"/>
    <w:rsid w:val="00EB4FC4"/>
    <w:rsid w:val="00EB793D"/>
    <w:rsid w:val="00EC1802"/>
    <w:rsid w:val="00EC3C08"/>
    <w:rsid w:val="00EC6E0A"/>
    <w:rsid w:val="00ED2DC0"/>
    <w:rsid w:val="00ED4E18"/>
    <w:rsid w:val="00ED7922"/>
    <w:rsid w:val="00EE02C4"/>
    <w:rsid w:val="00EE1F37"/>
    <w:rsid w:val="00EE59CB"/>
    <w:rsid w:val="00EE5F9A"/>
    <w:rsid w:val="00EF0AD9"/>
    <w:rsid w:val="00EF36C9"/>
    <w:rsid w:val="00EF4959"/>
    <w:rsid w:val="00EF72AB"/>
    <w:rsid w:val="00F008AA"/>
    <w:rsid w:val="00F0159C"/>
    <w:rsid w:val="00F0304D"/>
    <w:rsid w:val="00F06604"/>
    <w:rsid w:val="00F105B7"/>
    <w:rsid w:val="00F11CD5"/>
    <w:rsid w:val="00F13220"/>
    <w:rsid w:val="00F17A21"/>
    <w:rsid w:val="00F26605"/>
    <w:rsid w:val="00F30BDF"/>
    <w:rsid w:val="00F351DD"/>
    <w:rsid w:val="00F36F8D"/>
    <w:rsid w:val="00F36FC2"/>
    <w:rsid w:val="00F37B27"/>
    <w:rsid w:val="00F42404"/>
    <w:rsid w:val="00F46556"/>
    <w:rsid w:val="00F50E91"/>
    <w:rsid w:val="00F51CEA"/>
    <w:rsid w:val="00F536C1"/>
    <w:rsid w:val="00F54355"/>
    <w:rsid w:val="00F56799"/>
    <w:rsid w:val="00F57D29"/>
    <w:rsid w:val="00F60786"/>
    <w:rsid w:val="00F647B8"/>
    <w:rsid w:val="00F81E58"/>
    <w:rsid w:val="00F91BC7"/>
    <w:rsid w:val="00F94A4A"/>
    <w:rsid w:val="00F96201"/>
    <w:rsid w:val="00FA1BBC"/>
    <w:rsid w:val="00FC2CD7"/>
    <w:rsid w:val="00FC6215"/>
    <w:rsid w:val="00FD0B18"/>
    <w:rsid w:val="00FD2755"/>
    <w:rsid w:val="00FD28BC"/>
    <w:rsid w:val="00FD2FAD"/>
    <w:rsid w:val="00FD7ED4"/>
    <w:rsid w:val="00FE5FFB"/>
    <w:rsid w:val="00FE714F"/>
    <w:rsid w:val="34B8D314"/>
    <w:rsid w:val="3AE70F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243DB7"/>
  <w15:docId w15:val="{6A41E7CE-EB23-4DF4-9B5F-FECD0EB3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E60BB2"/>
  </w:style>
  <w:style w:type="character" w:customStyle="1" w:styleId="CommentTextChar">
    <w:name w:val="Comment Text Char"/>
    <w:basedOn w:val="DefaultParagraphFont"/>
    <w:link w:val="CommentText"/>
    <w:uiPriority w:val="99"/>
    <w:rsid w:val="00E60BB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rPr>
  </w:style>
  <w:style w:type="character" w:customStyle="1" w:styleId="EndnoteTextChar">
    <w:name w:val="Endnote Text Char"/>
    <w:basedOn w:val="DefaultParagraphFont"/>
    <w:link w:val="EndnoteText"/>
    <w:rsid w:val="004273F8"/>
    <w:rPr>
      <w:rFonts w:ascii="Calibri" w:eastAsia="Calibri" w:hAnsi="Calibri" w:cs="Times New Roman"/>
      <w:sz w:val="20"/>
      <w:szCs w:val="20"/>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MediumList11">
    <w:name w:val="Medium List 1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GridTable41">
    <w:name w:val="Grid Table 41"/>
    <w:basedOn w:val="TableNormal"/>
    <w:uiPriority w:val="49"/>
    <w:rsid w:val="005628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21">
    <w:name w:val="Plain Table 21"/>
    <w:basedOn w:val="TableNormal"/>
    <w:uiPriority w:val="42"/>
    <w:rsid w:val="005628B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Accent51">
    <w:name w:val="Grid Table 1 Light - Accent 51"/>
    <w:basedOn w:val="TableNormal"/>
    <w:uiPriority w:val="46"/>
    <w:rsid w:val="005628BD"/>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5628B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stTable5Dark-Accent31">
    <w:name w:val="List Table 5 Dark - Accent 31"/>
    <w:basedOn w:val="TableNormal"/>
    <w:uiPriority w:val="50"/>
    <w:rsid w:val="005628BD"/>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UnresolvedMention">
    <w:name w:val="Unresolved Mention"/>
    <w:basedOn w:val="DefaultParagraphFont"/>
    <w:uiPriority w:val="99"/>
    <w:semiHidden/>
    <w:unhideWhenUsed/>
    <w:rsid w:val="007724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129371">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CEN19</b:Tag>
    <b:SourceType>DocumentFromInternetSite</b:SourceType>
    <b:Guid>{EBFE33BF-6899-4521-AE81-50D939A6CC13}</b:Guid>
    <b:Year>2019</b:Year>
    <b:Author>
      <b:Author>
        <b:Corporate>CENTRAL ELECTRICITY REGULATORY COMMISSION NEW DELHI</b:Corporate>
      </b:Author>
    </b:Author>
    <b:Month>September</b:Month>
    <b:Day>11</b:Day>
    <b:URL>http://cercind.gov.in/2019/orders/08-SM-2019.pdf</b:URL>
    <b:RefOrder>1</b:RefOrder>
  </b:Source>
</b:Sources>
</file>

<file path=customXml/itemProps1.xml><?xml version="1.0" encoding="utf-8"?>
<ds:datastoreItem xmlns:ds="http://schemas.openxmlformats.org/officeDocument/2006/customXml" ds:itemID="{8A59BF52-417D-405B-A3CE-8273B71FC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2877</Words>
  <Characters>16399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3</cp:revision>
  <cp:lastPrinted>2015-03-04T20:34:00Z</cp:lastPrinted>
  <dcterms:created xsi:type="dcterms:W3CDTF">2021-02-01T14:57:00Z</dcterms:created>
  <dcterms:modified xsi:type="dcterms:W3CDTF">2021-02-01T15:04:00Z</dcterms:modified>
</cp:coreProperties>
</file>