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FBF82" w14:textId="53A25C36" w:rsidR="00542CB6" w:rsidRPr="008202C5" w:rsidRDefault="003B08A5" w:rsidP="00C02410">
      <w:pPr>
        <w:pBdr>
          <w:bottom w:val="single" w:sz="18" w:space="1" w:color="auto"/>
        </w:pBdr>
        <w:tabs>
          <w:tab w:val="left" w:pos="-1440"/>
          <w:tab w:val="left" w:pos="-720"/>
          <w:tab w:val="left" w:pos="1"/>
        </w:tabs>
        <w:jc w:val="both"/>
        <w:rPr>
          <w:rFonts w:ascii="Arial" w:hAnsi="Arial"/>
          <w:b/>
          <w:sz w:val="2"/>
          <w:szCs w:val="2"/>
          <w:lang w:val="en-GB" w:eastAsia="en-CA"/>
        </w:rPr>
      </w:pPr>
      <w:r w:rsidRPr="003B08A5">
        <w:rPr>
          <w:rFonts w:ascii="Arial" w:hAnsi="Arial"/>
          <w:b/>
          <w:noProof/>
          <w:sz w:val="24"/>
          <w:szCs w:val="2"/>
          <w:lang w:val="en-CA" w:eastAsia="en-CA"/>
        </w:rPr>
        <w:drawing>
          <wp:inline distT="0" distB="0" distL="0" distR="0" wp14:anchorId="3E4DA443" wp14:editId="43A3684B">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r w:rsidR="00F90DB4">
        <w:rPr>
          <w:rFonts w:ascii="Arial" w:hAnsi="Arial"/>
          <w:b/>
          <w:sz w:val="2"/>
          <w:szCs w:val="2"/>
          <w:lang w:val="en-GB" w:eastAsia="en-CA"/>
        </w:rPr>
        <w:tab/>
      </w:r>
      <w:r w:rsidR="00F90DB4">
        <w:rPr>
          <w:rFonts w:ascii="Arial" w:hAnsi="Arial"/>
          <w:b/>
          <w:sz w:val="2"/>
          <w:szCs w:val="2"/>
          <w:lang w:val="en-GB" w:eastAsia="en-CA"/>
        </w:rPr>
        <w:tab/>
      </w:r>
      <w:r w:rsidR="00F90DB4">
        <w:rPr>
          <w:rFonts w:ascii="Arial" w:hAnsi="Arial"/>
          <w:b/>
          <w:sz w:val="2"/>
          <w:szCs w:val="2"/>
          <w:lang w:val="en-GB" w:eastAsia="en-CA"/>
        </w:rPr>
        <w:tab/>
      </w:r>
      <w:r w:rsidR="00F90DB4">
        <w:rPr>
          <w:rFonts w:ascii="Arial" w:hAnsi="Arial"/>
          <w:b/>
          <w:sz w:val="2"/>
          <w:szCs w:val="2"/>
          <w:lang w:val="en-GB" w:eastAsia="en-CA"/>
        </w:rPr>
        <w:tab/>
        <w:t xml:space="preserve">                  </w:t>
      </w:r>
      <w:r w:rsidR="00F90DB4">
        <w:rPr>
          <w:rFonts w:ascii="Arial" w:hAnsi="Arial"/>
          <w:b/>
          <w:lang w:val="en-GB" w:eastAsia="en-CA"/>
        </w:rPr>
        <w:t xml:space="preserve">         </w:t>
      </w:r>
      <w:bookmarkStart w:id="0" w:name="_GoBack"/>
      <w:bookmarkEnd w:id="0"/>
      <w:r w:rsidR="00F90DB4">
        <w:rPr>
          <w:noProof/>
        </w:rPr>
        <w:drawing>
          <wp:inline distT="0" distB="0" distL="0" distR="0" wp14:anchorId="45604A89" wp14:editId="18E33A9C">
            <wp:extent cx="1427018" cy="530035"/>
            <wp:effectExtent l="0" t="0" r="190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84534" cy="551398"/>
                    </a:xfrm>
                    <a:prstGeom prst="rect">
                      <a:avLst/>
                    </a:prstGeom>
                  </pic:spPr>
                </pic:pic>
              </a:graphicData>
            </a:graphic>
          </wp:inline>
        </w:drawing>
      </w:r>
    </w:p>
    <w:p w14:paraId="61BBD9A0" w14:textId="24941B75" w:rsidR="00C02410" w:rsidRPr="00CD5D09" w:rsidRDefault="008202C5" w:rsidP="00C02410">
      <w:pPr>
        <w:pStyle w:val="ProductNumber"/>
        <w:rPr>
          <w:lang w:val="en-GB"/>
        </w:rPr>
      </w:pPr>
      <w:r>
        <w:rPr>
          <w:lang w:val="en-GB"/>
        </w:rPr>
        <w:t>9B21C008</w:t>
      </w:r>
    </w:p>
    <w:p w14:paraId="4E057522" w14:textId="7A113CB1" w:rsidR="00D75295" w:rsidRPr="00CD5D09" w:rsidRDefault="00D75295" w:rsidP="00D75295">
      <w:pPr>
        <w:jc w:val="right"/>
        <w:rPr>
          <w:rFonts w:ascii="Arial" w:hAnsi="Arial"/>
          <w:b/>
          <w:lang w:val="en-GB"/>
        </w:rPr>
      </w:pPr>
    </w:p>
    <w:p w14:paraId="02524312" w14:textId="77777777" w:rsidR="001901C0" w:rsidRPr="00CD5D09" w:rsidRDefault="001901C0" w:rsidP="00D75295">
      <w:pPr>
        <w:jc w:val="right"/>
        <w:rPr>
          <w:rFonts w:ascii="Arial" w:hAnsi="Arial"/>
          <w:b/>
          <w:lang w:val="en-GB"/>
        </w:rPr>
      </w:pPr>
    </w:p>
    <w:p w14:paraId="2F03D26A" w14:textId="3BEFEDDD" w:rsidR="00013360" w:rsidRPr="00CD5D09" w:rsidRDefault="00542CB6" w:rsidP="00013360">
      <w:pPr>
        <w:pStyle w:val="CaseTitle"/>
        <w:spacing w:after="0" w:line="240" w:lineRule="auto"/>
        <w:rPr>
          <w:sz w:val="20"/>
          <w:szCs w:val="20"/>
          <w:lang w:val="en-GB"/>
        </w:rPr>
      </w:pPr>
      <w:r w:rsidRPr="00CD5D09">
        <w:rPr>
          <w:lang w:val="en-GB"/>
        </w:rPr>
        <w:t>breadtalk group: transformation through talent and technology</w:t>
      </w:r>
    </w:p>
    <w:p w14:paraId="40ABF6FD" w14:textId="77777777" w:rsidR="00CA3976" w:rsidRPr="00CD5D09" w:rsidRDefault="00CA3976" w:rsidP="00013360">
      <w:pPr>
        <w:pStyle w:val="CaseTitle"/>
        <w:spacing w:after="0" w:line="240" w:lineRule="auto"/>
        <w:rPr>
          <w:sz w:val="20"/>
          <w:szCs w:val="20"/>
          <w:lang w:val="en-GB"/>
        </w:rPr>
      </w:pPr>
    </w:p>
    <w:p w14:paraId="202F1085" w14:textId="77777777" w:rsidR="00013360" w:rsidRPr="00CD5D09" w:rsidRDefault="00013360" w:rsidP="00013360">
      <w:pPr>
        <w:pStyle w:val="CaseTitle"/>
        <w:spacing w:after="0" w:line="240" w:lineRule="auto"/>
        <w:rPr>
          <w:sz w:val="20"/>
          <w:szCs w:val="20"/>
          <w:lang w:val="en-GB"/>
        </w:rPr>
      </w:pPr>
    </w:p>
    <w:p w14:paraId="58B0C73F" w14:textId="240FEBD3" w:rsidR="00086B26" w:rsidRPr="00CD5D09" w:rsidRDefault="00542CB6" w:rsidP="00086B26">
      <w:pPr>
        <w:pStyle w:val="StyleCopyrightStatementAfter0ptBottomSinglesolidline1"/>
        <w:rPr>
          <w:lang w:val="en-GB"/>
        </w:rPr>
      </w:pPr>
      <w:r w:rsidRPr="00CD5D09">
        <w:rPr>
          <w:lang w:val="en-GB"/>
        </w:rPr>
        <w:t xml:space="preserve">Jean Lee, Rebecca Chung, and Leah Tan </w:t>
      </w:r>
      <w:r w:rsidR="00086B26" w:rsidRPr="00CD5D09">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9639676" w:rsidR="00086B26" w:rsidRPr="00CD5D09" w:rsidRDefault="00086B26" w:rsidP="00086B26">
      <w:pPr>
        <w:pStyle w:val="StyleCopyrightStatementAfter0ptBottomSinglesolidline1"/>
        <w:rPr>
          <w:lang w:val="en-GB"/>
        </w:rPr>
      </w:pPr>
    </w:p>
    <w:p w14:paraId="6BFFE510" w14:textId="77777777" w:rsidR="008202C5" w:rsidRDefault="008202C5" w:rsidP="008202C5">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47F9BD73" w14:textId="77777777" w:rsidR="008202C5" w:rsidRDefault="008202C5" w:rsidP="008202C5">
      <w:pPr>
        <w:pStyle w:val="StyleStyleCopyrightStatementAfter0ptBottomSinglesolid"/>
        <w:rPr>
          <w:rFonts w:cs="Arial"/>
          <w:iCs w:val="0"/>
          <w:color w:val="auto"/>
          <w:szCs w:val="16"/>
        </w:rPr>
      </w:pPr>
    </w:p>
    <w:p w14:paraId="3922E14F" w14:textId="55668732" w:rsidR="00751E0B" w:rsidRPr="008202C5" w:rsidRDefault="008202C5" w:rsidP="00A323B0">
      <w:pPr>
        <w:pStyle w:val="StyleStyleCopyrightStatementAfter0ptBottomSinglesolid"/>
        <w:rPr>
          <w:rFonts w:cs="Arial"/>
          <w:color w:val="FFFFFF" w:themeColor="background1"/>
          <w:szCs w:val="16"/>
        </w:rPr>
      </w:pPr>
      <w:r>
        <w:rPr>
          <w:rFonts w:cs="Arial"/>
          <w:iCs w:val="0"/>
          <w:color w:val="auto"/>
          <w:szCs w:val="16"/>
        </w:rPr>
        <w:t>Copyright © 2021</w:t>
      </w:r>
      <w:r w:rsidRPr="00A323B0">
        <w:rPr>
          <w:rFonts w:cs="Arial"/>
          <w:iCs w:val="0"/>
          <w:color w:val="auto"/>
          <w:szCs w:val="16"/>
        </w:rPr>
        <w:t xml:space="preserve">, </w:t>
      </w:r>
      <w:r w:rsidRPr="008202C5">
        <w:rPr>
          <w:rFonts w:cs="Arial"/>
          <w:iCs w:val="0"/>
          <w:color w:val="auto"/>
          <w:szCs w:val="16"/>
          <w:lang w:val="en-CA"/>
        </w:rPr>
        <w:t>CEIBS (China Europe International Business School)</w:t>
      </w:r>
      <w:r w:rsidR="00A323B0" w:rsidRPr="00CD5D09">
        <w:rPr>
          <w:rFonts w:cs="Arial"/>
          <w:iCs w:val="0"/>
          <w:color w:val="auto"/>
          <w:szCs w:val="16"/>
          <w:lang w:val="en-GB"/>
        </w:rPr>
        <w:tab/>
      </w:r>
      <w:r w:rsidR="00542CB6" w:rsidRPr="00CD5D09">
        <w:rPr>
          <w:rFonts w:cs="Arial"/>
          <w:iCs w:val="0"/>
          <w:color w:val="auto"/>
          <w:szCs w:val="16"/>
          <w:lang w:val="en-GB"/>
        </w:rPr>
        <w:t>Version: 2021-</w:t>
      </w:r>
      <w:r w:rsidR="004D3C49">
        <w:rPr>
          <w:rFonts w:cs="Arial"/>
          <w:iCs w:val="0"/>
          <w:color w:val="auto"/>
          <w:szCs w:val="16"/>
          <w:lang w:val="en-GB"/>
        </w:rPr>
        <w:t>03-</w:t>
      </w:r>
      <w:r>
        <w:rPr>
          <w:rFonts w:cs="Arial"/>
          <w:iCs w:val="0"/>
          <w:color w:val="auto"/>
          <w:szCs w:val="16"/>
          <w:lang w:val="en-GB"/>
        </w:rPr>
        <w:t>17</w:t>
      </w:r>
    </w:p>
    <w:p w14:paraId="0A2A54E4" w14:textId="4EA164DF" w:rsidR="00751E0B" w:rsidRPr="00CD5D09" w:rsidRDefault="00751E0B" w:rsidP="00751E0B">
      <w:pPr>
        <w:pStyle w:val="StyleCopyrightStatementAfter0ptBottomSinglesolidline1"/>
        <w:rPr>
          <w:rFonts w:ascii="Times New Roman" w:hAnsi="Times New Roman"/>
          <w:sz w:val="20"/>
          <w:lang w:val="en-GB"/>
        </w:rPr>
      </w:pPr>
    </w:p>
    <w:p w14:paraId="20A7909C" w14:textId="77777777" w:rsidR="00542CB6" w:rsidRPr="00CD5D09" w:rsidRDefault="00542CB6" w:rsidP="00751E0B">
      <w:pPr>
        <w:pStyle w:val="StyleCopyrightStatementAfter0ptBottomSinglesolidline1"/>
        <w:rPr>
          <w:rFonts w:ascii="Times New Roman" w:hAnsi="Times New Roman"/>
          <w:sz w:val="20"/>
          <w:lang w:val="en-GB"/>
        </w:rPr>
      </w:pPr>
    </w:p>
    <w:p w14:paraId="4C243F36" w14:textId="5AF115FE" w:rsidR="00542CB6" w:rsidRPr="006466FE" w:rsidRDefault="00542CB6" w:rsidP="00542CB6">
      <w:pPr>
        <w:pStyle w:val="BodyTextMain"/>
        <w:ind w:left="720" w:right="110"/>
        <w:jc w:val="right"/>
        <w:rPr>
          <w:lang w:val="en-GB"/>
        </w:rPr>
      </w:pPr>
      <w:r w:rsidRPr="006466FE">
        <w:rPr>
          <w:lang w:val="en-GB"/>
        </w:rPr>
        <w:t>The biggest risk of an enterprise concerns the competitiveness of its people.</w:t>
      </w:r>
    </w:p>
    <w:p w14:paraId="6DE5A569" w14:textId="77777777" w:rsidR="00CD5D09" w:rsidRPr="006466FE" w:rsidRDefault="00CD5D09" w:rsidP="00542CB6">
      <w:pPr>
        <w:pStyle w:val="BodyTextMain"/>
        <w:ind w:left="720" w:right="110"/>
        <w:jc w:val="right"/>
        <w:rPr>
          <w:lang w:val="en-GB"/>
        </w:rPr>
      </w:pPr>
    </w:p>
    <w:p w14:paraId="2599D9B4" w14:textId="02557D1E" w:rsidR="00542CB6" w:rsidRPr="006466FE" w:rsidRDefault="00542CB6" w:rsidP="00542CB6">
      <w:pPr>
        <w:pStyle w:val="BodyTextMain"/>
        <w:ind w:left="360"/>
        <w:jc w:val="right"/>
        <w:rPr>
          <w:lang w:val="en-GB"/>
        </w:rPr>
      </w:pPr>
      <w:r w:rsidRPr="006466FE">
        <w:rPr>
          <w:lang w:val="en-GB"/>
        </w:rPr>
        <w:t xml:space="preserve">George Quek, </w:t>
      </w:r>
      <w:r w:rsidR="00CD5D09" w:rsidRPr="006466FE">
        <w:rPr>
          <w:lang w:val="en-GB"/>
        </w:rPr>
        <w:t>f</w:t>
      </w:r>
      <w:r w:rsidRPr="006466FE">
        <w:rPr>
          <w:lang w:val="en-GB"/>
        </w:rPr>
        <w:t xml:space="preserve">ounder and </w:t>
      </w:r>
      <w:r w:rsidR="00CD5D09" w:rsidRPr="006466FE">
        <w:rPr>
          <w:lang w:val="en-GB"/>
        </w:rPr>
        <w:t>b</w:t>
      </w:r>
      <w:r w:rsidRPr="006466FE">
        <w:rPr>
          <w:lang w:val="en-GB"/>
        </w:rPr>
        <w:t xml:space="preserve">oard </w:t>
      </w:r>
      <w:r w:rsidR="00CD5D09" w:rsidRPr="006466FE">
        <w:rPr>
          <w:lang w:val="en-GB"/>
        </w:rPr>
        <w:t>c</w:t>
      </w:r>
      <w:r w:rsidRPr="006466FE">
        <w:rPr>
          <w:lang w:val="en-GB"/>
        </w:rPr>
        <w:t>hairman</w:t>
      </w:r>
      <w:r w:rsidR="00CD5D09" w:rsidRPr="006466FE">
        <w:rPr>
          <w:lang w:val="en-GB"/>
        </w:rPr>
        <w:t xml:space="preserve"> of</w:t>
      </w:r>
      <w:r w:rsidRPr="006466FE">
        <w:rPr>
          <w:lang w:val="en-GB"/>
        </w:rPr>
        <w:t xml:space="preserve"> </w:t>
      </w:r>
      <w:proofErr w:type="spellStart"/>
      <w:r w:rsidRPr="006466FE">
        <w:rPr>
          <w:lang w:val="en-GB"/>
        </w:rPr>
        <w:t>BreadTalk</w:t>
      </w:r>
      <w:proofErr w:type="spellEnd"/>
      <w:r w:rsidRPr="006466FE">
        <w:rPr>
          <w:lang w:val="en-GB"/>
        </w:rPr>
        <w:t xml:space="preserve"> Group  </w:t>
      </w:r>
    </w:p>
    <w:p w14:paraId="1A419520" w14:textId="020F928C" w:rsidR="00542CB6" w:rsidRPr="00CD5D09" w:rsidRDefault="00542CB6" w:rsidP="00542CB6">
      <w:pPr>
        <w:jc w:val="both"/>
        <w:rPr>
          <w:rFonts w:eastAsia="SimSun"/>
          <w:sz w:val="22"/>
          <w:szCs w:val="22"/>
          <w:lang w:val="en-GB" w:eastAsia="zh-CN"/>
        </w:rPr>
      </w:pPr>
    </w:p>
    <w:p w14:paraId="7FE9E2B8" w14:textId="0597725E" w:rsidR="009D1E48" w:rsidRDefault="00542CB6" w:rsidP="00542CB6">
      <w:pPr>
        <w:jc w:val="both"/>
        <w:rPr>
          <w:sz w:val="22"/>
          <w:szCs w:val="22"/>
          <w:lang w:val="en-GB"/>
        </w:rPr>
      </w:pPr>
      <w:r w:rsidRPr="00CD5D09">
        <w:rPr>
          <w:sz w:val="22"/>
          <w:szCs w:val="22"/>
          <w:lang w:val="en-GB"/>
        </w:rPr>
        <w:t xml:space="preserve">In 2018, George Quek, </w:t>
      </w:r>
      <w:r w:rsidR="00CD5D09">
        <w:rPr>
          <w:sz w:val="22"/>
          <w:szCs w:val="22"/>
          <w:lang w:val="en-GB"/>
        </w:rPr>
        <w:t xml:space="preserve">the </w:t>
      </w:r>
      <w:r w:rsidRPr="00CD5D09">
        <w:rPr>
          <w:sz w:val="22"/>
          <w:szCs w:val="22"/>
          <w:lang w:val="en-GB"/>
        </w:rPr>
        <w:t xml:space="preserve">founder and chairman of </w:t>
      </w:r>
      <w:r w:rsidR="00CD5D09">
        <w:rPr>
          <w:sz w:val="22"/>
          <w:szCs w:val="22"/>
          <w:lang w:val="en-GB"/>
        </w:rPr>
        <w:t xml:space="preserve">the Singapore company </w:t>
      </w:r>
      <w:proofErr w:type="spellStart"/>
      <w:r w:rsidRPr="00CD5D09">
        <w:rPr>
          <w:sz w:val="22"/>
          <w:szCs w:val="22"/>
          <w:lang w:val="en-GB"/>
        </w:rPr>
        <w:t>BreadTalk</w:t>
      </w:r>
      <w:proofErr w:type="spellEnd"/>
      <w:r w:rsidRPr="00CD5D09">
        <w:rPr>
          <w:sz w:val="22"/>
          <w:szCs w:val="22"/>
          <w:lang w:val="en-GB"/>
        </w:rPr>
        <w:t xml:space="preserve"> Group</w:t>
      </w:r>
      <w:r w:rsidR="006B2B62">
        <w:rPr>
          <w:sz w:val="22"/>
          <w:szCs w:val="22"/>
          <w:lang w:val="en-GB"/>
        </w:rPr>
        <w:t xml:space="preserve"> Limited</w:t>
      </w:r>
      <w:r w:rsidRPr="00CD5D09">
        <w:rPr>
          <w:sz w:val="22"/>
          <w:szCs w:val="22"/>
          <w:lang w:val="en-GB"/>
        </w:rPr>
        <w:t xml:space="preserve"> (</w:t>
      </w:r>
      <w:proofErr w:type="spellStart"/>
      <w:r w:rsidRPr="00CD5D09">
        <w:rPr>
          <w:sz w:val="22"/>
          <w:szCs w:val="22"/>
          <w:lang w:val="en-GB"/>
        </w:rPr>
        <w:t>BreadTalk</w:t>
      </w:r>
      <w:proofErr w:type="spellEnd"/>
      <w:r w:rsidRPr="00CD5D09">
        <w:rPr>
          <w:sz w:val="22"/>
          <w:szCs w:val="22"/>
          <w:lang w:val="en-GB"/>
        </w:rPr>
        <w:t xml:space="preserve">), was preparing for the next </w:t>
      </w:r>
      <w:r w:rsidR="009D1E48">
        <w:rPr>
          <w:sz w:val="22"/>
          <w:szCs w:val="22"/>
          <w:lang w:val="en-GB"/>
        </w:rPr>
        <w:t xml:space="preserve">phase of </w:t>
      </w:r>
      <w:r w:rsidRPr="00CD5D09">
        <w:rPr>
          <w:sz w:val="22"/>
          <w:szCs w:val="22"/>
          <w:lang w:val="en-GB"/>
        </w:rPr>
        <w:t>growth</w:t>
      </w:r>
      <w:r w:rsidR="00CD5D09">
        <w:rPr>
          <w:sz w:val="22"/>
          <w:szCs w:val="22"/>
          <w:lang w:val="en-GB"/>
        </w:rPr>
        <w:t>. Quek was wondering</w:t>
      </w:r>
      <w:r w:rsidRPr="00CD5D09">
        <w:rPr>
          <w:sz w:val="22"/>
          <w:szCs w:val="22"/>
          <w:lang w:val="en-GB"/>
        </w:rPr>
        <w:t xml:space="preserve"> how to </w:t>
      </w:r>
      <w:r w:rsidR="00CD5D09">
        <w:rPr>
          <w:sz w:val="22"/>
          <w:szCs w:val="22"/>
          <w:lang w:val="en-GB"/>
        </w:rPr>
        <w:t>make</w:t>
      </w:r>
      <w:r w:rsidRPr="00CD5D09">
        <w:rPr>
          <w:sz w:val="22"/>
          <w:szCs w:val="22"/>
          <w:lang w:val="en-GB"/>
        </w:rPr>
        <w:t xml:space="preserve"> his </w:t>
      </w:r>
      <w:r w:rsidR="00CD5D09">
        <w:rPr>
          <w:sz w:val="22"/>
          <w:szCs w:val="22"/>
          <w:lang w:val="en-GB"/>
        </w:rPr>
        <w:t xml:space="preserve">company’s </w:t>
      </w:r>
      <w:r w:rsidRPr="00CD5D09">
        <w:rPr>
          <w:sz w:val="22"/>
          <w:szCs w:val="22"/>
          <w:lang w:val="en-GB"/>
        </w:rPr>
        <w:t xml:space="preserve">brand truly international and how to </w:t>
      </w:r>
      <w:r w:rsidR="00CD5D09">
        <w:rPr>
          <w:sz w:val="22"/>
          <w:szCs w:val="22"/>
          <w:lang w:val="en-GB"/>
        </w:rPr>
        <w:t>continue being an</w:t>
      </w:r>
      <w:r w:rsidRPr="00CD5D09">
        <w:rPr>
          <w:sz w:val="22"/>
          <w:szCs w:val="22"/>
          <w:lang w:val="en-GB"/>
        </w:rPr>
        <w:t xml:space="preserve"> innovative </w:t>
      </w:r>
      <w:r w:rsidR="00CD5D09">
        <w:rPr>
          <w:sz w:val="22"/>
          <w:szCs w:val="22"/>
          <w:lang w:val="en-GB"/>
        </w:rPr>
        <w:t xml:space="preserve">force </w:t>
      </w:r>
      <w:r w:rsidRPr="00CD5D09">
        <w:rPr>
          <w:sz w:val="22"/>
          <w:szCs w:val="22"/>
          <w:lang w:val="en-GB"/>
        </w:rPr>
        <w:t xml:space="preserve">in the </w:t>
      </w:r>
      <w:r w:rsidR="00FC03D0">
        <w:rPr>
          <w:sz w:val="22"/>
          <w:szCs w:val="22"/>
          <w:lang w:val="en-GB"/>
        </w:rPr>
        <w:t xml:space="preserve">global </w:t>
      </w:r>
      <w:r w:rsidRPr="00CD5D09">
        <w:rPr>
          <w:sz w:val="22"/>
          <w:szCs w:val="22"/>
          <w:lang w:val="en-GB"/>
        </w:rPr>
        <w:t xml:space="preserve">food and beverage (F&amp;B) industry. Founded in 2000 and headquartered in Singapore, </w:t>
      </w:r>
      <w:proofErr w:type="spellStart"/>
      <w:r w:rsidRPr="00CD5D09">
        <w:rPr>
          <w:sz w:val="22"/>
          <w:szCs w:val="22"/>
          <w:lang w:val="en-GB"/>
        </w:rPr>
        <w:t>BreadTalk</w:t>
      </w:r>
      <w:proofErr w:type="spellEnd"/>
      <w:r w:rsidRPr="00CD5D09">
        <w:rPr>
          <w:sz w:val="22"/>
          <w:szCs w:val="22"/>
          <w:lang w:val="en-GB"/>
        </w:rPr>
        <w:t xml:space="preserve"> wowed consumers who</w:t>
      </w:r>
      <w:r w:rsidR="00FC03D0">
        <w:rPr>
          <w:sz w:val="22"/>
          <w:szCs w:val="22"/>
          <w:lang w:val="en-GB"/>
        </w:rPr>
        <w:t xml:space="preserve"> were</w:t>
      </w:r>
      <w:r w:rsidRPr="00CD5D09">
        <w:rPr>
          <w:sz w:val="22"/>
          <w:szCs w:val="22"/>
          <w:lang w:val="en-GB"/>
        </w:rPr>
        <w:t xml:space="preserve"> used to </w:t>
      </w:r>
      <w:r w:rsidR="00FC03D0">
        <w:rPr>
          <w:sz w:val="22"/>
          <w:szCs w:val="22"/>
          <w:lang w:val="en-GB"/>
        </w:rPr>
        <w:t>thinking of</w:t>
      </w:r>
      <w:r w:rsidRPr="00CD5D09">
        <w:rPr>
          <w:sz w:val="22"/>
          <w:szCs w:val="22"/>
          <w:lang w:val="en-GB"/>
        </w:rPr>
        <w:t xml:space="preserve"> bread as a basic</w:t>
      </w:r>
      <w:r w:rsidR="00FC03D0">
        <w:rPr>
          <w:sz w:val="22"/>
          <w:szCs w:val="22"/>
          <w:lang w:val="en-GB"/>
        </w:rPr>
        <w:t xml:space="preserve"> and inexpensive</w:t>
      </w:r>
      <w:r w:rsidRPr="00CD5D09">
        <w:rPr>
          <w:sz w:val="22"/>
          <w:szCs w:val="22"/>
          <w:lang w:val="en-GB"/>
        </w:rPr>
        <w:t xml:space="preserve"> food</w:t>
      </w:r>
      <w:r w:rsidR="00FC03D0">
        <w:rPr>
          <w:sz w:val="22"/>
          <w:szCs w:val="22"/>
          <w:lang w:val="en-GB"/>
        </w:rPr>
        <w:t xml:space="preserve">. </w:t>
      </w:r>
      <w:proofErr w:type="spellStart"/>
      <w:r w:rsidR="00FC03D0">
        <w:rPr>
          <w:sz w:val="22"/>
          <w:szCs w:val="22"/>
          <w:lang w:val="en-GB"/>
        </w:rPr>
        <w:t>BreadTalk</w:t>
      </w:r>
      <w:proofErr w:type="spellEnd"/>
      <w:r w:rsidRPr="00CD5D09">
        <w:rPr>
          <w:sz w:val="22"/>
          <w:szCs w:val="22"/>
          <w:lang w:val="en-GB"/>
        </w:rPr>
        <w:t xml:space="preserve"> instead presented it</w:t>
      </w:r>
      <w:r w:rsidR="00FC03D0">
        <w:rPr>
          <w:sz w:val="22"/>
          <w:szCs w:val="22"/>
          <w:lang w:val="en-GB"/>
        </w:rPr>
        <w:t>s product</w:t>
      </w:r>
      <w:r w:rsidRPr="00CD5D09">
        <w:rPr>
          <w:sz w:val="22"/>
          <w:szCs w:val="22"/>
          <w:lang w:val="en-GB"/>
        </w:rPr>
        <w:t xml:space="preserve"> as a creative lifestyle concept. In 2003, </w:t>
      </w:r>
      <w:r w:rsidR="009D1E48">
        <w:rPr>
          <w:sz w:val="22"/>
          <w:szCs w:val="22"/>
          <w:lang w:val="en-GB"/>
        </w:rPr>
        <w:t xml:space="preserve">after only three years in operation, </w:t>
      </w:r>
      <w:r w:rsidRPr="00CD5D09">
        <w:rPr>
          <w:sz w:val="22"/>
          <w:szCs w:val="22"/>
          <w:lang w:val="en-GB"/>
        </w:rPr>
        <w:t xml:space="preserve">Quek </w:t>
      </w:r>
      <w:r w:rsidR="009D1E48">
        <w:rPr>
          <w:sz w:val="22"/>
          <w:szCs w:val="22"/>
          <w:lang w:val="en-GB"/>
        </w:rPr>
        <w:t>was successful in</w:t>
      </w:r>
      <w:r w:rsidRPr="00CD5D09">
        <w:rPr>
          <w:sz w:val="22"/>
          <w:szCs w:val="22"/>
          <w:lang w:val="en-GB"/>
        </w:rPr>
        <w:t xml:space="preserve"> list</w:t>
      </w:r>
      <w:r w:rsidR="00FC03D0">
        <w:rPr>
          <w:sz w:val="22"/>
          <w:szCs w:val="22"/>
          <w:lang w:val="en-GB"/>
        </w:rPr>
        <w:t>ing</w:t>
      </w:r>
      <w:r w:rsidRPr="00CD5D09">
        <w:rPr>
          <w:sz w:val="22"/>
          <w:szCs w:val="22"/>
          <w:lang w:val="en-GB"/>
        </w:rPr>
        <w:t xml:space="preserve"> </w:t>
      </w:r>
      <w:proofErr w:type="spellStart"/>
      <w:r w:rsidRPr="00CD5D09">
        <w:rPr>
          <w:sz w:val="22"/>
          <w:szCs w:val="22"/>
          <w:lang w:val="en-GB"/>
        </w:rPr>
        <w:t>BreadTalk</w:t>
      </w:r>
      <w:proofErr w:type="spellEnd"/>
      <w:r w:rsidRPr="00CD5D09">
        <w:rPr>
          <w:sz w:val="22"/>
          <w:szCs w:val="22"/>
          <w:lang w:val="en-GB"/>
        </w:rPr>
        <w:t xml:space="preserve"> on the Singapore Exchange</w:t>
      </w:r>
      <w:r w:rsidR="009D1E48">
        <w:rPr>
          <w:sz w:val="22"/>
          <w:szCs w:val="22"/>
          <w:lang w:val="en-GB"/>
        </w:rPr>
        <w:t xml:space="preserve"> Limited</w:t>
      </w:r>
      <w:r w:rsidRPr="00CD5D09">
        <w:rPr>
          <w:sz w:val="22"/>
          <w:szCs w:val="22"/>
          <w:lang w:val="en-GB"/>
        </w:rPr>
        <w:t xml:space="preserve"> </w:t>
      </w:r>
      <w:r w:rsidR="009D1E48">
        <w:rPr>
          <w:sz w:val="22"/>
          <w:szCs w:val="22"/>
          <w:lang w:val="en-GB"/>
        </w:rPr>
        <w:t>and</w:t>
      </w:r>
      <w:r w:rsidRPr="00CD5D09">
        <w:rPr>
          <w:sz w:val="22"/>
          <w:szCs w:val="22"/>
          <w:lang w:val="en-GB"/>
        </w:rPr>
        <w:t xml:space="preserve"> </w:t>
      </w:r>
      <w:r w:rsidR="009A665C">
        <w:rPr>
          <w:sz w:val="22"/>
          <w:szCs w:val="22"/>
          <w:lang w:val="en-GB"/>
        </w:rPr>
        <w:t xml:space="preserve">in </w:t>
      </w:r>
      <w:r w:rsidRPr="00CD5D09">
        <w:rPr>
          <w:sz w:val="22"/>
          <w:szCs w:val="22"/>
          <w:lang w:val="en-GB"/>
        </w:rPr>
        <w:t>rais</w:t>
      </w:r>
      <w:r w:rsidR="009A665C">
        <w:rPr>
          <w:sz w:val="22"/>
          <w:szCs w:val="22"/>
          <w:lang w:val="en-GB"/>
        </w:rPr>
        <w:t>ing</w:t>
      </w:r>
      <w:r w:rsidR="009D1E48">
        <w:rPr>
          <w:sz w:val="22"/>
          <w:szCs w:val="22"/>
          <w:lang w:val="en-GB"/>
        </w:rPr>
        <w:t xml:space="preserve"> new</w:t>
      </w:r>
      <w:r w:rsidRPr="00CD5D09">
        <w:rPr>
          <w:sz w:val="22"/>
          <w:szCs w:val="22"/>
          <w:lang w:val="en-GB"/>
        </w:rPr>
        <w:t xml:space="preserve"> capital </w:t>
      </w:r>
      <w:r w:rsidR="009D1E48">
        <w:rPr>
          <w:sz w:val="22"/>
          <w:szCs w:val="22"/>
          <w:lang w:val="en-GB"/>
        </w:rPr>
        <w:t>to</w:t>
      </w:r>
      <w:r w:rsidRPr="00CD5D09">
        <w:rPr>
          <w:sz w:val="22"/>
          <w:szCs w:val="22"/>
          <w:lang w:val="en-GB"/>
        </w:rPr>
        <w:t xml:space="preserve"> scal</w:t>
      </w:r>
      <w:r w:rsidR="009D1E48">
        <w:rPr>
          <w:sz w:val="22"/>
          <w:szCs w:val="22"/>
          <w:lang w:val="en-GB"/>
        </w:rPr>
        <w:t>e</w:t>
      </w:r>
      <w:r w:rsidRPr="00CD5D09">
        <w:rPr>
          <w:sz w:val="22"/>
          <w:szCs w:val="22"/>
          <w:lang w:val="en-GB"/>
        </w:rPr>
        <w:t xml:space="preserve"> up his company. </w:t>
      </w:r>
      <w:r w:rsidR="009D1E48">
        <w:rPr>
          <w:sz w:val="22"/>
          <w:szCs w:val="22"/>
          <w:lang w:val="en-GB"/>
        </w:rPr>
        <w:t>That</w:t>
      </w:r>
      <w:r w:rsidRPr="00CD5D09">
        <w:rPr>
          <w:sz w:val="22"/>
          <w:szCs w:val="22"/>
          <w:lang w:val="en-GB"/>
        </w:rPr>
        <w:t xml:space="preserve"> same year, the </w:t>
      </w:r>
      <w:r w:rsidR="00FC03D0">
        <w:rPr>
          <w:sz w:val="22"/>
          <w:szCs w:val="22"/>
          <w:lang w:val="en-GB"/>
        </w:rPr>
        <w:t>company</w:t>
      </w:r>
      <w:r w:rsidRPr="00CD5D09">
        <w:rPr>
          <w:sz w:val="22"/>
          <w:szCs w:val="22"/>
          <w:lang w:val="en-GB"/>
        </w:rPr>
        <w:t xml:space="preserve"> set up </w:t>
      </w:r>
      <w:r w:rsidR="00FC03D0">
        <w:rPr>
          <w:sz w:val="22"/>
          <w:szCs w:val="22"/>
          <w:lang w:val="en-GB"/>
        </w:rPr>
        <w:t>a</w:t>
      </w:r>
      <w:r w:rsidRPr="00CD5D09">
        <w:rPr>
          <w:sz w:val="22"/>
          <w:szCs w:val="22"/>
          <w:lang w:val="en-GB"/>
        </w:rPr>
        <w:t xml:space="preserve"> wholly-owned subsidiary in Shanghai, China, and opened </w:t>
      </w:r>
      <w:r w:rsidR="00FC03D0">
        <w:rPr>
          <w:sz w:val="22"/>
          <w:szCs w:val="22"/>
          <w:lang w:val="en-GB"/>
        </w:rPr>
        <w:t>the</w:t>
      </w:r>
      <w:r w:rsidRPr="00CD5D09">
        <w:rPr>
          <w:sz w:val="22"/>
          <w:szCs w:val="22"/>
          <w:lang w:val="en-GB"/>
        </w:rPr>
        <w:t xml:space="preserve"> first </w:t>
      </w:r>
      <w:proofErr w:type="spellStart"/>
      <w:r w:rsidRPr="00CD5D09">
        <w:rPr>
          <w:sz w:val="22"/>
          <w:szCs w:val="22"/>
          <w:lang w:val="en-GB"/>
        </w:rPr>
        <w:t>BreadTalk</w:t>
      </w:r>
      <w:proofErr w:type="spellEnd"/>
      <w:r w:rsidRPr="00CD5D09">
        <w:rPr>
          <w:sz w:val="22"/>
          <w:szCs w:val="22"/>
          <w:lang w:val="en-GB"/>
        </w:rPr>
        <w:t xml:space="preserve"> outlet </w:t>
      </w:r>
      <w:r w:rsidR="009D1E48">
        <w:rPr>
          <w:sz w:val="22"/>
          <w:szCs w:val="22"/>
          <w:lang w:val="en-GB"/>
        </w:rPr>
        <w:t>outside Singapore</w:t>
      </w:r>
      <w:r w:rsidRPr="00CD5D09">
        <w:rPr>
          <w:sz w:val="22"/>
          <w:szCs w:val="22"/>
          <w:lang w:val="en-GB"/>
        </w:rPr>
        <w:t>.</w:t>
      </w:r>
    </w:p>
    <w:p w14:paraId="35CD061C" w14:textId="77777777" w:rsidR="009D1E48" w:rsidRDefault="009D1E48" w:rsidP="00542CB6">
      <w:pPr>
        <w:jc w:val="both"/>
        <w:rPr>
          <w:sz w:val="22"/>
          <w:szCs w:val="22"/>
          <w:lang w:val="en-GB"/>
        </w:rPr>
      </w:pPr>
    </w:p>
    <w:p w14:paraId="05A8EC19" w14:textId="3BB18FFA" w:rsidR="00DD118B" w:rsidRDefault="00542CB6" w:rsidP="00542CB6">
      <w:pPr>
        <w:jc w:val="both"/>
        <w:rPr>
          <w:sz w:val="22"/>
          <w:szCs w:val="22"/>
          <w:lang w:val="en-GB"/>
        </w:rPr>
      </w:pPr>
      <w:r w:rsidRPr="00CD5D09">
        <w:rPr>
          <w:sz w:val="22"/>
          <w:szCs w:val="22"/>
          <w:lang w:val="en-GB"/>
        </w:rPr>
        <w:t xml:space="preserve">Over the years, the </w:t>
      </w:r>
      <w:r w:rsidR="00FC03D0">
        <w:rPr>
          <w:sz w:val="22"/>
          <w:szCs w:val="22"/>
          <w:lang w:val="en-GB"/>
        </w:rPr>
        <w:t>company</w:t>
      </w:r>
      <w:r w:rsidRPr="00CD5D09">
        <w:rPr>
          <w:sz w:val="22"/>
          <w:szCs w:val="22"/>
          <w:lang w:val="en-GB"/>
        </w:rPr>
        <w:t xml:space="preserve"> </w:t>
      </w:r>
      <w:r w:rsidR="009D1E48">
        <w:rPr>
          <w:sz w:val="22"/>
          <w:szCs w:val="22"/>
          <w:lang w:val="en-GB"/>
        </w:rPr>
        <w:t xml:space="preserve">introduced </w:t>
      </w:r>
      <w:r w:rsidRPr="00CD5D09">
        <w:rPr>
          <w:sz w:val="22"/>
          <w:szCs w:val="22"/>
          <w:lang w:val="en-GB"/>
        </w:rPr>
        <w:t>innovat</w:t>
      </w:r>
      <w:r w:rsidR="009D1E48">
        <w:rPr>
          <w:sz w:val="22"/>
          <w:szCs w:val="22"/>
          <w:lang w:val="en-GB"/>
        </w:rPr>
        <w:t>ions</w:t>
      </w:r>
      <w:r w:rsidRPr="00CD5D09">
        <w:rPr>
          <w:sz w:val="22"/>
          <w:szCs w:val="22"/>
          <w:lang w:val="en-GB"/>
        </w:rPr>
        <w:t xml:space="preserve"> in various </w:t>
      </w:r>
      <w:r w:rsidR="009D1E48">
        <w:rPr>
          <w:sz w:val="22"/>
          <w:szCs w:val="22"/>
          <w:lang w:val="en-GB"/>
        </w:rPr>
        <w:t>areas</w:t>
      </w:r>
      <w:r w:rsidRPr="00CD5D09">
        <w:rPr>
          <w:sz w:val="22"/>
          <w:szCs w:val="22"/>
          <w:lang w:val="en-GB"/>
        </w:rPr>
        <w:t xml:space="preserve"> including product development, marketing, outlet design, and consumer experience</w:t>
      </w:r>
      <w:r w:rsidR="00FC03D0">
        <w:rPr>
          <w:sz w:val="22"/>
          <w:szCs w:val="22"/>
          <w:lang w:val="en-GB"/>
        </w:rPr>
        <w:t>,</w:t>
      </w:r>
      <w:r w:rsidRPr="00CD5D09">
        <w:rPr>
          <w:sz w:val="22"/>
          <w:szCs w:val="22"/>
          <w:lang w:val="en-GB"/>
        </w:rPr>
        <w:t xml:space="preserve"> </w:t>
      </w:r>
      <w:r w:rsidR="009D1E48">
        <w:rPr>
          <w:sz w:val="22"/>
          <w:szCs w:val="22"/>
          <w:lang w:val="en-GB"/>
        </w:rPr>
        <w:t xml:space="preserve">for which the company </w:t>
      </w:r>
      <w:r w:rsidRPr="00CD5D09">
        <w:rPr>
          <w:sz w:val="22"/>
          <w:szCs w:val="22"/>
          <w:lang w:val="en-GB"/>
        </w:rPr>
        <w:t>garner</w:t>
      </w:r>
      <w:r w:rsidR="009D1E48">
        <w:rPr>
          <w:sz w:val="22"/>
          <w:szCs w:val="22"/>
          <w:lang w:val="en-GB"/>
        </w:rPr>
        <w:t>ed</w:t>
      </w:r>
      <w:r w:rsidRPr="00CD5D09">
        <w:rPr>
          <w:sz w:val="22"/>
          <w:szCs w:val="22"/>
          <w:lang w:val="en-GB"/>
        </w:rPr>
        <w:t xml:space="preserve"> numerous accolades. </w:t>
      </w:r>
      <w:proofErr w:type="spellStart"/>
      <w:r w:rsidR="00DD118B">
        <w:rPr>
          <w:sz w:val="22"/>
          <w:szCs w:val="22"/>
          <w:lang w:val="en-GB"/>
        </w:rPr>
        <w:t>BreadTalk’s</w:t>
      </w:r>
      <w:proofErr w:type="spellEnd"/>
      <w:r w:rsidR="00DD118B">
        <w:rPr>
          <w:sz w:val="22"/>
          <w:szCs w:val="22"/>
          <w:lang w:val="en-GB"/>
        </w:rPr>
        <w:t xml:space="preserve"> business operations were structured along</w:t>
      </w:r>
      <w:r w:rsidR="00FC03D0">
        <w:rPr>
          <w:sz w:val="22"/>
          <w:szCs w:val="22"/>
          <w:lang w:val="en-GB"/>
        </w:rPr>
        <w:t xml:space="preserve"> </w:t>
      </w:r>
      <w:r w:rsidR="009D1E48">
        <w:rPr>
          <w:sz w:val="22"/>
          <w:szCs w:val="22"/>
          <w:lang w:val="en-GB"/>
        </w:rPr>
        <w:t xml:space="preserve">three </w:t>
      </w:r>
      <w:r w:rsidR="00DD118B">
        <w:rPr>
          <w:sz w:val="22"/>
          <w:szCs w:val="22"/>
          <w:lang w:val="en-GB"/>
        </w:rPr>
        <w:t xml:space="preserve">main </w:t>
      </w:r>
      <w:r w:rsidR="009D1E48">
        <w:rPr>
          <w:sz w:val="22"/>
          <w:szCs w:val="22"/>
          <w:lang w:val="en-GB"/>
        </w:rPr>
        <w:t>corporate divisions</w:t>
      </w:r>
      <w:r w:rsidR="00DD118B">
        <w:rPr>
          <w:sz w:val="22"/>
          <w:szCs w:val="22"/>
          <w:lang w:val="en-GB"/>
        </w:rPr>
        <w:t>:</w:t>
      </w:r>
      <w:r w:rsidR="00FC03D0">
        <w:rPr>
          <w:sz w:val="22"/>
          <w:szCs w:val="22"/>
          <w:lang w:val="en-GB"/>
        </w:rPr>
        <w:t xml:space="preserve"> </w:t>
      </w:r>
      <w:r w:rsidRPr="00CD5D09">
        <w:rPr>
          <w:sz w:val="22"/>
          <w:szCs w:val="22"/>
          <w:lang w:val="en-GB"/>
        </w:rPr>
        <w:t>baker</w:t>
      </w:r>
      <w:r w:rsidR="00DD118B">
        <w:rPr>
          <w:sz w:val="22"/>
          <w:szCs w:val="22"/>
          <w:lang w:val="en-GB"/>
        </w:rPr>
        <w:t>ies</w:t>
      </w:r>
      <w:r w:rsidRPr="00CD5D09">
        <w:rPr>
          <w:sz w:val="22"/>
          <w:szCs w:val="22"/>
          <w:lang w:val="en-GB"/>
        </w:rPr>
        <w:t>, restaurant</w:t>
      </w:r>
      <w:r w:rsidR="00DD118B">
        <w:rPr>
          <w:sz w:val="22"/>
          <w:szCs w:val="22"/>
          <w:lang w:val="en-GB"/>
        </w:rPr>
        <w:t>s</w:t>
      </w:r>
      <w:r w:rsidRPr="00CD5D09">
        <w:rPr>
          <w:sz w:val="22"/>
          <w:szCs w:val="22"/>
          <w:lang w:val="en-GB"/>
        </w:rPr>
        <w:t>, and food atrium</w:t>
      </w:r>
      <w:r w:rsidR="00DD118B">
        <w:rPr>
          <w:sz w:val="22"/>
          <w:szCs w:val="22"/>
          <w:lang w:val="en-GB"/>
        </w:rPr>
        <w:t>s. Before long,</w:t>
      </w:r>
      <w:r w:rsidR="00FC03D0">
        <w:rPr>
          <w:sz w:val="22"/>
          <w:szCs w:val="22"/>
          <w:lang w:val="en-GB"/>
        </w:rPr>
        <w:t xml:space="preserve"> </w:t>
      </w:r>
      <w:r w:rsidR="00DD118B">
        <w:rPr>
          <w:sz w:val="22"/>
          <w:szCs w:val="22"/>
          <w:lang w:val="en-GB"/>
        </w:rPr>
        <w:t>the company added a new corporate division, which was appropriately named</w:t>
      </w:r>
      <w:r w:rsidRPr="00CD5D09">
        <w:rPr>
          <w:sz w:val="22"/>
          <w:szCs w:val="22"/>
          <w:lang w:val="en-GB"/>
        </w:rPr>
        <w:t xml:space="preserve"> 4orth Food Concepts (pronounced “</w:t>
      </w:r>
      <w:r w:rsidR="00FC03D0">
        <w:rPr>
          <w:sz w:val="22"/>
          <w:szCs w:val="22"/>
          <w:lang w:val="en-GB"/>
        </w:rPr>
        <w:t>F</w:t>
      </w:r>
      <w:r w:rsidRPr="00CD5D09">
        <w:rPr>
          <w:sz w:val="22"/>
          <w:szCs w:val="22"/>
          <w:lang w:val="en-GB"/>
        </w:rPr>
        <w:t>ourth</w:t>
      </w:r>
      <w:r w:rsidR="00FC03D0">
        <w:rPr>
          <w:sz w:val="22"/>
          <w:szCs w:val="22"/>
          <w:lang w:val="en-GB"/>
        </w:rPr>
        <w:t xml:space="preserve"> </w:t>
      </w:r>
      <w:r w:rsidR="00FC03D0" w:rsidRPr="00CD5D09">
        <w:rPr>
          <w:sz w:val="22"/>
          <w:szCs w:val="22"/>
          <w:lang w:val="en-GB"/>
        </w:rPr>
        <w:t>Food Concepts</w:t>
      </w:r>
      <w:r w:rsidRPr="00CD5D09">
        <w:rPr>
          <w:sz w:val="22"/>
          <w:szCs w:val="22"/>
          <w:lang w:val="en-GB"/>
        </w:rPr>
        <w:t>”)</w:t>
      </w:r>
      <w:r w:rsidR="00DD118B">
        <w:rPr>
          <w:sz w:val="22"/>
          <w:szCs w:val="22"/>
          <w:lang w:val="en-GB"/>
        </w:rPr>
        <w:t>. This latest division was intended</w:t>
      </w:r>
      <w:r w:rsidRPr="00CD5D09">
        <w:rPr>
          <w:sz w:val="22"/>
          <w:szCs w:val="22"/>
          <w:lang w:val="en-GB"/>
        </w:rPr>
        <w:t xml:space="preserve"> to nurture innovative start-ups with established partners. </w:t>
      </w:r>
    </w:p>
    <w:p w14:paraId="1A109637" w14:textId="77777777" w:rsidR="00DD118B" w:rsidRDefault="00DD118B" w:rsidP="00542CB6">
      <w:pPr>
        <w:jc w:val="both"/>
        <w:rPr>
          <w:sz w:val="22"/>
          <w:szCs w:val="22"/>
          <w:lang w:val="en-GB"/>
        </w:rPr>
      </w:pPr>
    </w:p>
    <w:p w14:paraId="6102B215" w14:textId="791B5C88" w:rsidR="00542CB6" w:rsidRPr="00CD5D09" w:rsidRDefault="00542CB6" w:rsidP="00542CB6">
      <w:pPr>
        <w:jc w:val="both"/>
        <w:rPr>
          <w:sz w:val="22"/>
          <w:szCs w:val="22"/>
          <w:lang w:val="en-GB"/>
        </w:rPr>
      </w:pPr>
      <w:r w:rsidRPr="00CD5D09">
        <w:rPr>
          <w:sz w:val="22"/>
          <w:szCs w:val="22"/>
          <w:lang w:val="en-GB"/>
        </w:rPr>
        <w:t>I</w:t>
      </w:r>
      <w:r w:rsidR="00FC03D0">
        <w:rPr>
          <w:sz w:val="22"/>
          <w:szCs w:val="22"/>
          <w:lang w:val="en-GB"/>
        </w:rPr>
        <w:t xml:space="preserve">n 2017, </w:t>
      </w:r>
      <w:proofErr w:type="spellStart"/>
      <w:r w:rsidR="00FC03D0">
        <w:rPr>
          <w:sz w:val="22"/>
          <w:szCs w:val="22"/>
          <w:lang w:val="en-GB"/>
        </w:rPr>
        <w:t>BreadTalk</w:t>
      </w:r>
      <w:proofErr w:type="spellEnd"/>
      <w:r w:rsidR="00FC03D0">
        <w:rPr>
          <w:sz w:val="22"/>
          <w:szCs w:val="22"/>
          <w:lang w:val="en-GB"/>
        </w:rPr>
        <w:t xml:space="preserve"> earned</w:t>
      </w:r>
      <w:r w:rsidRPr="00CD5D09">
        <w:rPr>
          <w:sz w:val="22"/>
          <w:szCs w:val="22"/>
          <w:lang w:val="en-GB"/>
        </w:rPr>
        <w:t xml:space="preserve"> S$599.7</w:t>
      </w:r>
      <w:r w:rsidR="009A665C">
        <w:rPr>
          <w:sz w:val="22"/>
          <w:szCs w:val="22"/>
          <w:lang w:val="en-GB"/>
        </w:rPr>
        <w:t xml:space="preserve"> million</w:t>
      </w:r>
      <w:r w:rsidR="00FC03D0">
        <w:rPr>
          <w:rStyle w:val="FootnoteReference"/>
          <w:sz w:val="22"/>
          <w:szCs w:val="22"/>
          <w:lang w:val="en-GB"/>
        </w:rPr>
        <w:footnoteReference w:id="1"/>
      </w:r>
      <w:r w:rsidRPr="00CD5D09">
        <w:rPr>
          <w:sz w:val="22"/>
          <w:szCs w:val="22"/>
          <w:lang w:val="en-GB"/>
        </w:rPr>
        <w:t xml:space="preserve"> </w:t>
      </w:r>
      <w:r w:rsidR="00DD118B">
        <w:rPr>
          <w:sz w:val="22"/>
          <w:szCs w:val="22"/>
          <w:lang w:val="en-GB"/>
        </w:rPr>
        <w:t xml:space="preserve">in revenue </w:t>
      </w:r>
      <w:r w:rsidRPr="00CD5D09">
        <w:rPr>
          <w:sz w:val="22"/>
          <w:szCs w:val="22"/>
          <w:lang w:val="en-GB"/>
        </w:rPr>
        <w:t xml:space="preserve">and S$21.8 million </w:t>
      </w:r>
      <w:r w:rsidR="00DD118B">
        <w:rPr>
          <w:sz w:val="22"/>
          <w:szCs w:val="22"/>
          <w:lang w:val="en-GB"/>
        </w:rPr>
        <w:t xml:space="preserve">in net profit </w:t>
      </w:r>
      <w:r w:rsidRPr="00CD5D09">
        <w:rPr>
          <w:sz w:val="22"/>
          <w:szCs w:val="22"/>
          <w:lang w:val="en-GB"/>
        </w:rPr>
        <w:t xml:space="preserve">(see Exhibit 1 </w:t>
      </w:r>
      <w:r w:rsidR="0056641D">
        <w:rPr>
          <w:sz w:val="22"/>
          <w:szCs w:val="22"/>
          <w:lang w:val="en-GB"/>
        </w:rPr>
        <w:t>and</w:t>
      </w:r>
      <w:r w:rsidRPr="00CD5D09">
        <w:rPr>
          <w:sz w:val="22"/>
          <w:szCs w:val="22"/>
          <w:lang w:val="en-GB"/>
        </w:rPr>
        <w:t xml:space="preserve"> </w:t>
      </w:r>
      <w:r w:rsidR="00DD118B">
        <w:rPr>
          <w:sz w:val="22"/>
          <w:szCs w:val="22"/>
          <w:lang w:val="en-GB"/>
        </w:rPr>
        <w:t xml:space="preserve">Exhibit </w:t>
      </w:r>
      <w:r w:rsidRPr="00CD5D09">
        <w:rPr>
          <w:sz w:val="22"/>
          <w:szCs w:val="22"/>
          <w:lang w:val="en-GB"/>
        </w:rPr>
        <w:t xml:space="preserve">2). By 2018, </w:t>
      </w:r>
      <w:r w:rsidR="00DD118B">
        <w:rPr>
          <w:sz w:val="22"/>
          <w:szCs w:val="22"/>
          <w:lang w:val="en-GB"/>
        </w:rPr>
        <w:t xml:space="preserve">the company had achieved considerable growth </w:t>
      </w:r>
      <w:r w:rsidRPr="00CD5D09">
        <w:rPr>
          <w:sz w:val="22"/>
          <w:szCs w:val="22"/>
          <w:lang w:val="en-GB"/>
        </w:rPr>
        <w:t>through direct investment, franchising, joint</w:t>
      </w:r>
      <w:r w:rsidR="009A665C">
        <w:rPr>
          <w:sz w:val="22"/>
          <w:szCs w:val="22"/>
          <w:lang w:val="en-GB"/>
        </w:rPr>
        <w:t xml:space="preserve"> </w:t>
      </w:r>
      <w:r w:rsidRPr="00CD5D09">
        <w:rPr>
          <w:sz w:val="22"/>
          <w:szCs w:val="22"/>
          <w:lang w:val="en-GB"/>
        </w:rPr>
        <w:t>venture</w:t>
      </w:r>
      <w:r w:rsidR="00DD118B">
        <w:rPr>
          <w:sz w:val="22"/>
          <w:szCs w:val="22"/>
          <w:lang w:val="en-GB"/>
        </w:rPr>
        <w:t>s</w:t>
      </w:r>
      <w:r w:rsidRPr="00CD5D09">
        <w:rPr>
          <w:sz w:val="22"/>
          <w:szCs w:val="22"/>
          <w:lang w:val="en-GB"/>
        </w:rPr>
        <w:t xml:space="preserve"> (JV)</w:t>
      </w:r>
      <w:r w:rsidR="0056641D">
        <w:rPr>
          <w:sz w:val="22"/>
          <w:szCs w:val="22"/>
          <w:lang w:val="en-GB"/>
        </w:rPr>
        <w:t>,</w:t>
      </w:r>
      <w:r w:rsidRPr="00CD5D09">
        <w:rPr>
          <w:sz w:val="22"/>
          <w:szCs w:val="22"/>
          <w:lang w:val="en-GB"/>
        </w:rPr>
        <w:t xml:space="preserve"> and other strategic alliances</w:t>
      </w:r>
      <w:r w:rsidR="00DD118B">
        <w:rPr>
          <w:sz w:val="22"/>
          <w:szCs w:val="22"/>
          <w:lang w:val="en-GB"/>
        </w:rPr>
        <w:t>.</w:t>
      </w:r>
      <w:r w:rsidRPr="00CD5D09">
        <w:rPr>
          <w:sz w:val="22"/>
          <w:szCs w:val="22"/>
          <w:lang w:val="en-GB"/>
        </w:rPr>
        <w:t xml:space="preserve"> </w:t>
      </w:r>
      <w:proofErr w:type="spellStart"/>
      <w:r w:rsidR="00DD118B">
        <w:rPr>
          <w:sz w:val="22"/>
          <w:szCs w:val="22"/>
          <w:lang w:val="en-GB"/>
        </w:rPr>
        <w:t>BreadTalk</w:t>
      </w:r>
      <w:proofErr w:type="spellEnd"/>
      <w:r w:rsidR="00DD118B">
        <w:rPr>
          <w:sz w:val="22"/>
          <w:szCs w:val="22"/>
          <w:lang w:val="en-GB"/>
        </w:rPr>
        <w:t xml:space="preserve"> had become a major</w:t>
      </w:r>
      <w:r w:rsidRPr="00CD5D09">
        <w:rPr>
          <w:sz w:val="22"/>
          <w:szCs w:val="22"/>
          <w:lang w:val="en-GB"/>
        </w:rPr>
        <w:t xml:space="preserve"> multi-brand F&amp;B enterprise with </w:t>
      </w:r>
      <w:r w:rsidR="00DD118B">
        <w:rPr>
          <w:sz w:val="22"/>
          <w:szCs w:val="22"/>
          <w:lang w:val="en-GB"/>
        </w:rPr>
        <w:t>almost</w:t>
      </w:r>
      <w:r w:rsidRPr="00CD5D09">
        <w:rPr>
          <w:sz w:val="22"/>
          <w:szCs w:val="22"/>
          <w:lang w:val="en-GB"/>
        </w:rPr>
        <w:t xml:space="preserve"> 1,000 outlets </w:t>
      </w:r>
      <w:r w:rsidR="00DD118B">
        <w:rPr>
          <w:sz w:val="22"/>
          <w:szCs w:val="22"/>
          <w:lang w:val="en-GB"/>
        </w:rPr>
        <w:t>across</w:t>
      </w:r>
      <w:r w:rsidRPr="00CD5D09">
        <w:rPr>
          <w:sz w:val="22"/>
          <w:szCs w:val="22"/>
          <w:lang w:val="en-GB"/>
        </w:rPr>
        <w:t xml:space="preserve"> 18 emerging markets</w:t>
      </w:r>
      <w:r w:rsidR="0056641D">
        <w:rPr>
          <w:sz w:val="22"/>
          <w:szCs w:val="22"/>
          <w:lang w:val="en-GB"/>
        </w:rPr>
        <w:t xml:space="preserve">, </w:t>
      </w:r>
      <w:r w:rsidRPr="00CD5D09">
        <w:rPr>
          <w:sz w:val="22"/>
          <w:szCs w:val="22"/>
          <w:lang w:val="en-GB"/>
        </w:rPr>
        <w:t xml:space="preserve">over 7,500 </w:t>
      </w:r>
      <w:r w:rsidR="00DD118B">
        <w:rPr>
          <w:sz w:val="22"/>
          <w:szCs w:val="22"/>
          <w:lang w:val="en-GB"/>
        </w:rPr>
        <w:t>employees,</w:t>
      </w:r>
      <w:r w:rsidRPr="00CD5D09">
        <w:rPr>
          <w:sz w:val="22"/>
          <w:szCs w:val="22"/>
          <w:lang w:val="en-GB"/>
        </w:rPr>
        <w:t xml:space="preserve"> and a portfolio of </w:t>
      </w:r>
      <w:r w:rsidRPr="00CD5D09">
        <w:rPr>
          <w:sz w:val="22"/>
          <w:szCs w:val="22"/>
          <w:lang w:val="en-GB" w:eastAsia="zh-CN"/>
        </w:rPr>
        <w:t>11</w:t>
      </w:r>
      <w:r w:rsidRPr="00CD5D09">
        <w:rPr>
          <w:sz w:val="22"/>
          <w:szCs w:val="22"/>
          <w:lang w:val="en-GB"/>
        </w:rPr>
        <w:t xml:space="preserve"> </w:t>
      </w:r>
      <w:r w:rsidR="00DD118B">
        <w:rPr>
          <w:sz w:val="22"/>
          <w:szCs w:val="22"/>
          <w:lang w:val="en-GB"/>
        </w:rPr>
        <w:t xml:space="preserve">different </w:t>
      </w:r>
      <w:r w:rsidRPr="00CD5D09">
        <w:rPr>
          <w:sz w:val="22"/>
          <w:szCs w:val="22"/>
          <w:lang w:val="en-GB"/>
        </w:rPr>
        <w:t xml:space="preserve">brands. </w:t>
      </w:r>
      <w:r w:rsidR="0056641D">
        <w:rPr>
          <w:sz w:val="22"/>
          <w:szCs w:val="22"/>
          <w:lang w:val="en-GB"/>
        </w:rPr>
        <w:t>At</w:t>
      </w:r>
      <w:r w:rsidR="0056641D" w:rsidRPr="00CD5D09">
        <w:rPr>
          <w:sz w:val="22"/>
          <w:szCs w:val="22"/>
          <w:lang w:val="en-GB"/>
        </w:rPr>
        <w:t xml:space="preserve"> </w:t>
      </w:r>
      <w:r w:rsidRPr="00CD5D09">
        <w:rPr>
          <w:sz w:val="22"/>
          <w:szCs w:val="22"/>
          <w:lang w:val="en-GB"/>
        </w:rPr>
        <w:t xml:space="preserve">the end of 2018, </w:t>
      </w:r>
      <w:r w:rsidR="0056641D">
        <w:rPr>
          <w:sz w:val="22"/>
          <w:szCs w:val="22"/>
          <w:lang w:val="en-GB"/>
        </w:rPr>
        <w:t>the company</w:t>
      </w:r>
      <w:r w:rsidRPr="00CD5D09">
        <w:rPr>
          <w:sz w:val="22"/>
          <w:szCs w:val="22"/>
          <w:lang w:val="en-GB"/>
        </w:rPr>
        <w:t xml:space="preserve"> was preparing to </w:t>
      </w:r>
      <w:r w:rsidR="0056641D">
        <w:rPr>
          <w:sz w:val="22"/>
          <w:szCs w:val="22"/>
          <w:lang w:val="en-GB"/>
        </w:rPr>
        <w:t>open a restaurant in London, U</w:t>
      </w:r>
      <w:r w:rsidR="009A665C">
        <w:rPr>
          <w:sz w:val="22"/>
          <w:szCs w:val="22"/>
          <w:lang w:val="en-GB"/>
        </w:rPr>
        <w:t xml:space="preserve">nited </w:t>
      </w:r>
      <w:r w:rsidR="0056641D">
        <w:rPr>
          <w:sz w:val="22"/>
          <w:szCs w:val="22"/>
          <w:lang w:val="en-GB"/>
        </w:rPr>
        <w:t>K</w:t>
      </w:r>
      <w:r w:rsidR="009A665C">
        <w:rPr>
          <w:sz w:val="22"/>
          <w:szCs w:val="22"/>
          <w:lang w:val="en-GB"/>
        </w:rPr>
        <w:t>ingdom</w:t>
      </w:r>
      <w:r w:rsidR="00DD118B">
        <w:rPr>
          <w:sz w:val="22"/>
          <w:szCs w:val="22"/>
          <w:lang w:val="en-GB"/>
        </w:rPr>
        <w:t>.</w:t>
      </w:r>
      <w:r w:rsidR="0056641D">
        <w:rPr>
          <w:sz w:val="22"/>
          <w:szCs w:val="22"/>
          <w:lang w:val="en-GB"/>
        </w:rPr>
        <w:t xml:space="preserve"> </w:t>
      </w:r>
      <w:r w:rsidR="00DD118B">
        <w:rPr>
          <w:sz w:val="22"/>
          <w:szCs w:val="22"/>
          <w:lang w:val="en-GB"/>
        </w:rPr>
        <w:t>Working with its</w:t>
      </w:r>
      <w:r w:rsidRPr="00CD5D09">
        <w:rPr>
          <w:sz w:val="22"/>
          <w:szCs w:val="22"/>
          <w:lang w:val="en-GB"/>
        </w:rPr>
        <w:t xml:space="preserve"> Taiwanese partner Din Tai Fung</w:t>
      </w:r>
      <w:r w:rsidR="00DD118B">
        <w:rPr>
          <w:sz w:val="22"/>
          <w:szCs w:val="22"/>
          <w:lang w:val="en-GB"/>
        </w:rPr>
        <w:t>, the restaurant opening</w:t>
      </w:r>
      <w:r w:rsidRPr="00CD5D09">
        <w:rPr>
          <w:sz w:val="22"/>
          <w:szCs w:val="22"/>
          <w:lang w:val="en-GB"/>
        </w:rPr>
        <w:t xml:space="preserve"> would </w:t>
      </w:r>
      <w:r w:rsidR="00DD118B">
        <w:rPr>
          <w:sz w:val="22"/>
          <w:szCs w:val="22"/>
          <w:lang w:val="en-GB"/>
        </w:rPr>
        <w:t>mark</w:t>
      </w:r>
      <w:r w:rsidRPr="00CD5D09">
        <w:rPr>
          <w:sz w:val="22"/>
          <w:szCs w:val="22"/>
          <w:lang w:val="en-GB"/>
        </w:rPr>
        <w:t xml:space="preserve"> the </w:t>
      </w:r>
      <w:r w:rsidR="00FC03D0">
        <w:rPr>
          <w:sz w:val="22"/>
          <w:szCs w:val="22"/>
          <w:lang w:val="en-GB"/>
        </w:rPr>
        <w:t>company</w:t>
      </w:r>
      <w:r w:rsidRPr="00CD5D09">
        <w:rPr>
          <w:sz w:val="22"/>
          <w:szCs w:val="22"/>
          <w:lang w:val="en-GB"/>
        </w:rPr>
        <w:t xml:space="preserve">’s entry in a developed market in the West. </w:t>
      </w:r>
    </w:p>
    <w:p w14:paraId="4880B90C" w14:textId="31A8EF6D" w:rsidR="00542CB6" w:rsidRPr="00CD5D09" w:rsidRDefault="00A163A5" w:rsidP="00542CB6">
      <w:pPr>
        <w:jc w:val="both"/>
        <w:rPr>
          <w:rFonts w:eastAsia="SimSun"/>
          <w:sz w:val="22"/>
          <w:szCs w:val="22"/>
          <w:lang w:val="en-GB" w:eastAsia="zh-CN"/>
        </w:rPr>
      </w:pPr>
      <w:r>
        <w:rPr>
          <w:rFonts w:eastAsia="SimSun"/>
          <w:sz w:val="22"/>
          <w:szCs w:val="22"/>
          <w:lang w:val="en-GB" w:eastAsia="zh-CN"/>
        </w:rPr>
        <w:lastRenderedPageBreak/>
        <w:t>In early 2018, Quek was</w:t>
      </w:r>
      <w:r w:rsidR="00542CB6" w:rsidRPr="00CD5D09">
        <w:rPr>
          <w:rFonts w:eastAsia="SimSun"/>
          <w:sz w:val="22"/>
          <w:szCs w:val="22"/>
          <w:lang w:val="en-GB" w:eastAsia="zh-CN"/>
        </w:rPr>
        <w:t xml:space="preserve"> reviewing </w:t>
      </w:r>
      <w:proofErr w:type="spellStart"/>
      <w:r w:rsidR="00CD5D09" w:rsidRPr="00CD5D09">
        <w:rPr>
          <w:rFonts w:eastAsia="SimSun"/>
          <w:sz w:val="22"/>
          <w:szCs w:val="22"/>
          <w:lang w:val="en-GB" w:eastAsia="zh-CN"/>
        </w:rPr>
        <w:t>BreadTalk</w:t>
      </w:r>
      <w:r w:rsidR="00542CB6" w:rsidRPr="00CD5D09">
        <w:rPr>
          <w:rFonts w:eastAsia="SimSun"/>
          <w:sz w:val="22"/>
          <w:szCs w:val="22"/>
          <w:lang w:val="en-GB" w:eastAsia="zh-CN"/>
        </w:rPr>
        <w:t>’s</w:t>
      </w:r>
      <w:proofErr w:type="spellEnd"/>
      <w:r w:rsidR="00542CB6" w:rsidRPr="00CD5D09">
        <w:rPr>
          <w:rFonts w:eastAsia="SimSun"/>
          <w:sz w:val="22"/>
          <w:szCs w:val="22"/>
          <w:lang w:val="en-GB" w:eastAsia="zh-CN"/>
        </w:rPr>
        <w:t xml:space="preserve"> vision, mission, and values at a </w:t>
      </w:r>
      <w:r>
        <w:rPr>
          <w:rFonts w:eastAsia="SimSun"/>
          <w:sz w:val="22"/>
          <w:szCs w:val="22"/>
          <w:lang w:val="en-GB" w:eastAsia="zh-CN"/>
        </w:rPr>
        <w:t xml:space="preserve">company </w:t>
      </w:r>
      <w:r w:rsidR="00542CB6" w:rsidRPr="00CD5D09">
        <w:rPr>
          <w:rFonts w:eastAsia="SimSun"/>
          <w:sz w:val="22"/>
          <w:szCs w:val="22"/>
          <w:lang w:val="en-GB" w:eastAsia="zh-CN"/>
        </w:rPr>
        <w:t>retreat</w:t>
      </w:r>
      <w:r w:rsidR="00A438F4">
        <w:rPr>
          <w:rFonts w:eastAsia="SimSun"/>
          <w:sz w:val="22"/>
          <w:szCs w:val="22"/>
          <w:lang w:val="en-GB" w:eastAsia="zh-CN"/>
        </w:rPr>
        <w:t xml:space="preserve"> when he realized</w:t>
      </w:r>
      <w:r w:rsidR="00542CB6" w:rsidRPr="00CD5D09">
        <w:rPr>
          <w:rFonts w:eastAsia="SimSun"/>
          <w:sz w:val="22"/>
          <w:szCs w:val="22"/>
          <w:lang w:val="en-GB" w:eastAsia="zh-CN"/>
        </w:rPr>
        <w:t xml:space="preserve"> that talent </w:t>
      </w:r>
      <w:r w:rsidR="0067080A">
        <w:rPr>
          <w:rFonts w:eastAsia="SimSun"/>
          <w:sz w:val="22"/>
          <w:szCs w:val="22"/>
          <w:lang w:val="en-GB" w:eastAsia="zh-CN"/>
        </w:rPr>
        <w:t xml:space="preserve">management </w:t>
      </w:r>
      <w:r w:rsidR="00A438F4">
        <w:rPr>
          <w:rFonts w:eastAsia="SimSun"/>
          <w:sz w:val="22"/>
          <w:szCs w:val="22"/>
          <w:lang w:val="en-GB" w:eastAsia="zh-CN"/>
        </w:rPr>
        <w:t>w</w:t>
      </w:r>
      <w:r w:rsidR="009A665C">
        <w:rPr>
          <w:rFonts w:eastAsia="SimSun"/>
          <w:sz w:val="22"/>
          <w:szCs w:val="22"/>
          <w:lang w:val="en-GB" w:eastAsia="zh-CN"/>
        </w:rPr>
        <w:t>ould be</w:t>
      </w:r>
      <w:r w:rsidR="00542CB6" w:rsidRPr="00CD5D09">
        <w:rPr>
          <w:rFonts w:eastAsia="SimSun"/>
          <w:sz w:val="22"/>
          <w:szCs w:val="22"/>
          <w:lang w:val="en-GB" w:eastAsia="zh-CN"/>
        </w:rPr>
        <w:t xml:space="preserve"> </w:t>
      </w:r>
      <w:r>
        <w:rPr>
          <w:rFonts w:eastAsia="SimSun"/>
          <w:sz w:val="22"/>
          <w:szCs w:val="22"/>
          <w:lang w:val="en-GB" w:eastAsia="zh-CN"/>
        </w:rPr>
        <w:t xml:space="preserve">a </w:t>
      </w:r>
      <w:r w:rsidR="00542CB6" w:rsidRPr="00CD5D09">
        <w:rPr>
          <w:rFonts w:eastAsia="SimSun"/>
          <w:sz w:val="22"/>
          <w:szCs w:val="22"/>
          <w:lang w:val="en-GB" w:eastAsia="zh-CN"/>
        </w:rPr>
        <w:t xml:space="preserve">critical </w:t>
      </w:r>
      <w:r>
        <w:rPr>
          <w:rFonts w:eastAsia="SimSun"/>
          <w:sz w:val="22"/>
          <w:szCs w:val="22"/>
          <w:lang w:val="en-GB" w:eastAsia="zh-CN"/>
        </w:rPr>
        <w:t>factor for</w:t>
      </w:r>
      <w:r w:rsidR="00542CB6" w:rsidRPr="00CD5D09">
        <w:rPr>
          <w:rFonts w:eastAsia="SimSun"/>
          <w:sz w:val="22"/>
          <w:szCs w:val="22"/>
          <w:lang w:val="en-GB" w:eastAsia="zh-CN"/>
        </w:rPr>
        <w:t xml:space="preserve"> </w:t>
      </w:r>
      <w:proofErr w:type="spellStart"/>
      <w:r w:rsidR="00542CB6" w:rsidRPr="00CD5D09">
        <w:rPr>
          <w:rFonts w:eastAsia="SimSun"/>
          <w:sz w:val="22"/>
          <w:szCs w:val="22"/>
          <w:lang w:val="en-GB" w:eastAsia="zh-CN"/>
        </w:rPr>
        <w:t>BreadTalk’s</w:t>
      </w:r>
      <w:proofErr w:type="spellEnd"/>
      <w:r w:rsidR="00542CB6" w:rsidRPr="00CD5D09">
        <w:rPr>
          <w:rFonts w:eastAsia="SimSun"/>
          <w:sz w:val="22"/>
          <w:szCs w:val="22"/>
          <w:lang w:val="en-GB" w:eastAsia="zh-CN"/>
        </w:rPr>
        <w:t xml:space="preserve"> next phase of growth. </w:t>
      </w:r>
      <w:r w:rsidR="00A438F4">
        <w:rPr>
          <w:rFonts w:eastAsia="SimSun"/>
          <w:sz w:val="22"/>
          <w:szCs w:val="22"/>
          <w:lang w:val="en-GB" w:eastAsia="zh-CN"/>
        </w:rPr>
        <w:t>Faced with</w:t>
      </w:r>
      <w:r w:rsidR="00542CB6" w:rsidRPr="00CD5D09">
        <w:rPr>
          <w:rFonts w:eastAsia="SimSun"/>
          <w:sz w:val="22"/>
          <w:szCs w:val="22"/>
          <w:lang w:val="en-GB" w:eastAsia="zh-CN"/>
        </w:rPr>
        <w:t xml:space="preserve"> intensifying digitalization </w:t>
      </w:r>
      <w:r w:rsidR="00115063">
        <w:rPr>
          <w:rFonts w:eastAsia="SimSun"/>
          <w:sz w:val="22"/>
          <w:szCs w:val="22"/>
          <w:lang w:val="en-GB" w:eastAsia="zh-CN"/>
        </w:rPr>
        <w:t xml:space="preserve">from competitors </w:t>
      </w:r>
      <w:r w:rsidR="00542CB6" w:rsidRPr="00CD5D09">
        <w:rPr>
          <w:rFonts w:eastAsia="SimSun"/>
          <w:sz w:val="22"/>
          <w:szCs w:val="22"/>
          <w:lang w:val="en-GB" w:eastAsia="zh-CN"/>
        </w:rPr>
        <w:t>in its key markets</w:t>
      </w:r>
      <w:r w:rsidR="00A438F4">
        <w:rPr>
          <w:rFonts w:eastAsia="SimSun"/>
          <w:sz w:val="22"/>
          <w:szCs w:val="22"/>
          <w:lang w:val="en-GB" w:eastAsia="zh-CN"/>
        </w:rPr>
        <w:t>, the company</w:t>
      </w:r>
      <w:r w:rsidR="00542CB6" w:rsidRPr="00CD5D09">
        <w:rPr>
          <w:rFonts w:eastAsia="SimSun"/>
          <w:sz w:val="22"/>
          <w:szCs w:val="22"/>
          <w:lang w:val="en-GB" w:eastAsia="zh-CN"/>
        </w:rPr>
        <w:t xml:space="preserve"> had</w:t>
      </w:r>
      <w:r w:rsidR="00115063">
        <w:rPr>
          <w:rFonts w:eastAsia="SimSun"/>
          <w:sz w:val="22"/>
          <w:szCs w:val="22"/>
          <w:lang w:val="en-GB" w:eastAsia="zh-CN"/>
        </w:rPr>
        <w:t xml:space="preserve"> </w:t>
      </w:r>
      <w:r w:rsidR="00542CB6" w:rsidRPr="00CD5D09">
        <w:rPr>
          <w:rFonts w:eastAsia="SimSun"/>
          <w:sz w:val="22"/>
          <w:szCs w:val="22"/>
          <w:lang w:val="en-GB" w:eastAsia="zh-CN"/>
        </w:rPr>
        <w:t>already adopted SAP SuccessFactors performance management</w:t>
      </w:r>
      <w:r w:rsidR="00115063">
        <w:rPr>
          <w:rFonts w:eastAsia="SimSun"/>
          <w:sz w:val="22"/>
          <w:szCs w:val="22"/>
          <w:lang w:val="en-GB" w:eastAsia="zh-CN"/>
        </w:rPr>
        <w:t xml:space="preserve"> software</w:t>
      </w:r>
      <w:r w:rsidR="00A438F4">
        <w:rPr>
          <w:rFonts w:eastAsia="SimSun"/>
          <w:sz w:val="22"/>
          <w:szCs w:val="22"/>
          <w:lang w:val="en-GB" w:eastAsia="zh-CN"/>
        </w:rPr>
        <w:t xml:space="preserve"> and </w:t>
      </w:r>
      <w:r w:rsidR="00A438F4" w:rsidRPr="00CD5D09">
        <w:rPr>
          <w:rFonts w:eastAsia="SimSun"/>
          <w:sz w:val="22"/>
          <w:szCs w:val="22"/>
          <w:lang w:val="en-GB" w:eastAsia="zh-CN"/>
        </w:rPr>
        <w:t>new technologies</w:t>
      </w:r>
      <w:r w:rsidR="00A438F4">
        <w:rPr>
          <w:rFonts w:eastAsia="SimSun"/>
          <w:sz w:val="22"/>
          <w:szCs w:val="22"/>
          <w:lang w:val="en-GB" w:eastAsia="zh-CN"/>
        </w:rPr>
        <w:t xml:space="preserve"> for employee salary information forms (or pay stubs) and for leave of absence applications</w:t>
      </w:r>
      <w:r w:rsidR="00542CB6" w:rsidRPr="00CD5D09">
        <w:rPr>
          <w:rFonts w:eastAsia="SimSun"/>
          <w:sz w:val="22"/>
          <w:szCs w:val="22"/>
          <w:lang w:val="en-GB" w:eastAsia="zh-CN"/>
        </w:rPr>
        <w:t xml:space="preserve">. </w:t>
      </w:r>
      <w:r>
        <w:rPr>
          <w:rFonts w:eastAsia="SimSun"/>
          <w:sz w:val="22"/>
          <w:szCs w:val="22"/>
          <w:lang w:val="en-GB" w:eastAsia="zh-CN"/>
        </w:rPr>
        <w:t>However</w:t>
      </w:r>
      <w:r w:rsidR="00542CB6" w:rsidRPr="00CD5D09">
        <w:rPr>
          <w:rFonts w:eastAsia="SimSun"/>
          <w:sz w:val="22"/>
          <w:szCs w:val="22"/>
          <w:lang w:val="en-GB" w:eastAsia="zh-CN"/>
        </w:rPr>
        <w:t xml:space="preserve">, Quek </w:t>
      </w:r>
      <w:r>
        <w:rPr>
          <w:rFonts w:eastAsia="SimSun"/>
          <w:sz w:val="22"/>
          <w:szCs w:val="22"/>
          <w:lang w:val="en-GB" w:eastAsia="zh-CN"/>
        </w:rPr>
        <w:t>was w</w:t>
      </w:r>
      <w:r w:rsidR="00542CB6" w:rsidRPr="00CD5D09">
        <w:rPr>
          <w:rFonts w:eastAsia="SimSun"/>
          <w:sz w:val="22"/>
          <w:szCs w:val="22"/>
          <w:lang w:val="en-GB" w:eastAsia="zh-CN"/>
        </w:rPr>
        <w:t>onder</w:t>
      </w:r>
      <w:r>
        <w:rPr>
          <w:rFonts w:eastAsia="SimSun"/>
          <w:sz w:val="22"/>
          <w:szCs w:val="22"/>
          <w:lang w:val="en-GB" w:eastAsia="zh-CN"/>
        </w:rPr>
        <w:t>ing</w:t>
      </w:r>
      <w:r w:rsidR="00542CB6" w:rsidRPr="00CD5D09">
        <w:rPr>
          <w:rFonts w:eastAsia="SimSun"/>
          <w:sz w:val="22"/>
          <w:szCs w:val="22"/>
          <w:lang w:val="en-GB" w:eastAsia="zh-CN"/>
        </w:rPr>
        <w:t xml:space="preserve"> how to </w:t>
      </w:r>
      <w:r w:rsidR="00A438F4">
        <w:rPr>
          <w:rFonts w:eastAsia="SimSun"/>
          <w:sz w:val="22"/>
          <w:szCs w:val="22"/>
          <w:lang w:val="en-GB" w:eastAsia="zh-CN"/>
        </w:rPr>
        <w:t xml:space="preserve">use technology to </w:t>
      </w:r>
      <w:r w:rsidR="00542CB6" w:rsidRPr="00CD5D09">
        <w:rPr>
          <w:rFonts w:eastAsia="SimSun"/>
          <w:sz w:val="22"/>
          <w:szCs w:val="22"/>
          <w:lang w:val="en-GB" w:eastAsia="zh-CN"/>
        </w:rPr>
        <w:t xml:space="preserve">further improve talent management, </w:t>
      </w:r>
      <w:r w:rsidR="00A438F4">
        <w:rPr>
          <w:rFonts w:eastAsia="SimSun"/>
          <w:sz w:val="22"/>
          <w:szCs w:val="22"/>
          <w:lang w:val="en-GB" w:eastAsia="zh-CN"/>
        </w:rPr>
        <w:t>which would have a direct effect on the</w:t>
      </w:r>
      <w:r w:rsidRPr="00CD5D09">
        <w:rPr>
          <w:rFonts w:eastAsia="SimSun"/>
          <w:sz w:val="22"/>
          <w:szCs w:val="22"/>
          <w:lang w:val="en-GB" w:eastAsia="zh-CN"/>
        </w:rPr>
        <w:t xml:space="preserve"> </w:t>
      </w:r>
      <w:r>
        <w:rPr>
          <w:rFonts w:eastAsia="SimSun"/>
          <w:sz w:val="22"/>
          <w:szCs w:val="22"/>
          <w:lang w:val="en-GB" w:eastAsia="zh-CN"/>
        </w:rPr>
        <w:t>company</w:t>
      </w:r>
      <w:r w:rsidRPr="00CD5D09">
        <w:rPr>
          <w:rFonts w:eastAsia="SimSun"/>
          <w:sz w:val="22"/>
          <w:szCs w:val="22"/>
          <w:lang w:val="en-GB" w:eastAsia="zh-CN"/>
        </w:rPr>
        <w:t xml:space="preserve">’s </w:t>
      </w:r>
      <w:r w:rsidR="00A438F4">
        <w:rPr>
          <w:rFonts w:eastAsia="SimSun"/>
          <w:sz w:val="22"/>
          <w:szCs w:val="22"/>
          <w:lang w:val="en-GB" w:eastAsia="zh-CN"/>
        </w:rPr>
        <w:t xml:space="preserve">total </w:t>
      </w:r>
      <w:r w:rsidRPr="00CD5D09">
        <w:rPr>
          <w:rFonts w:eastAsia="SimSun"/>
          <w:sz w:val="22"/>
          <w:szCs w:val="22"/>
          <w:lang w:val="en-GB" w:eastAsia="zh-CN"/>
        </w:rPr>
        <w:t xml:space="preserve">revenue, </w:t>
      </w:r>
      <w:r w:rsidR="00A438F4">
        <w:rPr>
          <w:rFonts w:eastAsia="SimSun"/>
          <w:sz w:val="22"/>
          <w:szCs w:val="22"/>
          <w:lang w:val="en-GB" w:eastAsia="zh-CN"/>
        </w:rPr>
        <w:t xml:space="preserve">number of </w:t>
      </w:r>
      <w:r w:rsidRPr="00CD5D09">
        <w:rPr>
          <w:rFonts w:eastAsia="SimSun"/>
          <w:sz w:val="22"/>
          <w:szCs w:val="22"/>
          <w:lang w:val="en-GB" w:eastAsia="zh-CN"/>
        </w:rPr>
        <w:t>outlet</w:t>
      </w:r>
      <w:r w:rsidR="00A438F4">
        <w:rPr>
          <w:rFonts w:eastAsia="SimSun"/>
          <w:sz w:val="22"/>
          <w:szCs w:val="22"/>
          <w:lang w:val="en-GB" w:eastAsia="zh-CN"/>
        </w:rPr>
        <w:t>s</w:t>
      </w:r>
      <w:r>
        <w:rPr>
          <w:rFonts w:eastAsia="SimSun"/>
          <w:sz w:val="22"/>
          <w:szCs w:val="22"/>
          <w:lang w:val="en-GB" w:eastAsia="zh-CN"/>
        </w:rPr>
        <w:t>,</w:t>
      </w:r>
      <w:r w:rsidRPr="00CD5D09">
        <w:rPr>
          <w:rFonts w:eastAsia="SimSun"/>
          <w:sz w:val="22"/>
          <w:szCs w:val="22"/>
          <w:lang w:val="en-GB" w:eastAsia="zh-CN"/>
        </w:rPr>
        <w:t xml:space="preserve"> and net </w:t>
      </w:r>
      <w:r w:rsidR="00A438F4">
        <w:rPr>
          <w:rFonts w:eastAsia="SimSun"/>
          <w:sz w:val="22"/>
          <w:szCs w:val="22"/>
          <w:lang w:val="en-GB" w:eastAsia="zh-CN"/>
        </w:rPr>
        <w:t xml:space="preserve">profit </w:t>
      </w:r>
      <w:r w:rsidRPr="00CD5D09">
        <w:rPr>
          <w:rFonts w:eastAsia="SimSun"/>
          <w:sz w:val="22"/>
          <w:szCs w:val="22"/>
          <w:lang w:val="en-GB" w:eastAsia="zh-CN"/>
        </w:rPr>
        <w:t>margin</w:t>
      </w:r>
      <w:r w:rsidR="00A438F4">
        <w:rPr>
          <w:rFonts w:eastAsia="SimSun"/>
          <w:sz w:val="22"/>
          <w:szCs w:val="22"/>
          <w:lang w:val="en-GB" w:eastAsia="zh-CN"/>
        </w:rPr>
        <w:t>s</w:t>
      </w:r>
      <w:r w:rsidR="00542CB6" w:rsidRPr="00CD5D09">
        <w:rPr>
          <w:rFonts w:eastAsia="SimSun"/>
          <w:sz w:val="22"/>
          <w:szCs w:val="22"/>
          <w:lang w:val="en-GB" w:eastAsia="zh-CN"/>
        </w:rPr>
        <w:t xml:space="preserve">. </w:t>
      </w:r>
      <w:r w:rsidR="00A438F4">
        <w:rPr>
          <w:rFonts w:eastAsia="SimSun"/>
          <w:sz w:val="22"/>
          <w:szCs w:val="22"/>
          <w:lang w:val="en-GB" w:eastAsia="zh-CN"/>
        </w:rPr>
        <w:t>The first step would be</w:t>
      </w:r>
      <w:r w:rsidR="00542CB6" w:rsidRPr="00CD5D09">
        <w:rPr>
          <w:rFonts w:eastAsia="SimSun"/>
          <w:sz w:val="22"/>
          <w:szCs w:val="22"/>
          <w:lang w:val="en-GB" w:eastAsia="zh-CN"/>
        </w:rPr>
        <w:t xml:space="preserve"> to build the </w:t>
      </w:r>
      <w:r w:rsidR="004A4C92">
        <w:rPr>
          <w:rFonts w:eastAsia="SimSun"/>
          <w:sz w:val="22"/>
          <w:szCs w:val="22"/>
          <w:lang w:val="en-GB" w:eastAsia="zh-CN"/>
        </w:rPr>
        <w:t xml:space="preserve">right </w:t>
      </w:r>
      <w:r w:rsidR="00542CB6" w:rsidRPr="00CD5D09">
        <w:rPr>
          <w:rFonts w:eastAsia="SimSun"/>
          <w:sz w:val="22"/>
          <w:szCs w:val="22"/>
          <w:lang w:val="en-GB" w:eastAsia="zh-CN"/>
        </w:rPr>
        <w:t xml:space="preserve">management team for the </w:t>
      </w:r>
      <w:r w:rsidR="00A438F4">
        <w:rPr>
          <w:rFonts w:eastAsia="SimSun"/>
          <w:sz w:val="22"/>
          <w:szCs w:val="22"/>
          <w:lang w:val="en-GB" w:eastAsia="zh-CN"/>
        </w:rPr>
        <w:t xml:space="preserve">new </w:t>
      </w:r>
      <w:r w:rsidR="00542CB6" w:rsidRPr="00CD5D09">
        <w:rPr>
          <w:rFonts w:eastAsia="SimSun"/>
          <w:sz w:val="22"/>
          <w:szCs w:val="22"/>
          <w:lang w:val="en-GB" w:eastAsia="zh-CN"/>
        </w:rPr>
        <w:t xml:space="preserve">restaurant opening in London at the end of the year. </w:t>
      </w:r>
    </w:p>
    <w:p w14:paraId="0D47DCC6" w14:textId="2D7995D0" w:rsidR="00542CB6" w:rsidRPr="00CD5D09" w:rsidRDefault="00542CB6" w:rsidP="00542CB6">
      <w:pPr>
        <w:pStyle w:val="BodyTextMain"/>
        <w:rPr>
          <w:lang w:val="en-GB"/>
        </w:rPr>
      </w:pPr>
    </w:p>
    <w:p w14:paraId="2C75097B" w14:textId="77777777" w:rsidR="00542CB6" w:rsidRPr="00CD5D09" w:rsidRDefault="00542CB6" w:rsidP="00542CB6">
      <w:pPr>
        <w:pStyle w:val="BodyTextMain"/>
        <w:rPr>
          <w:lang w:val="en-GB"/>
        </w:rPr>
      </w:pPr>
    </w:p>
    <w:p w14:paraId="18ED627C" w14:textId="77777777" w:rsidR="00542CB6" w:rsidRPr="00CD5D09" w:rsidRDefault="00542CB6" w:rsidP="00542CB6">
      <w:pPr>
        <w:pStyle w:val="Casehead1"/>
        <w:keepNext/>
        <w:rPr>
          <w:lang w:val="en-GB"/>
        </w:rPr>
      </w:pPr>
      <w:r w:rsidRPr="00CD5D09">
        <w:rPr>
          <w:lang w:val="en-GB"/>
        </w:rPr>
        <w:t>QUEK’S EARLY ENTREPRENEURIAL EXPERIENCE</w:t>
      </w:r>
    </w:p>
    <w:p w14:paraId="65E7FE9E" w14:textId="77777777" w:rsidR="00542CB6" w:rsidRPr="00CD5D09" w:rsidRDefault="00542CB6" w:rsidP="00542CB6">
      <w:pPr>
        <w:keepNext/>
        <w:spacing w:before="1" w:after="1"/>
        <w:jc w:val="both"/>
        <w:rPr>
          <w:rFonts w:ascii="Arial" w:hAnsi="Arial" w:cs="Arial"/>
          <w:lang w:val="en-GB" w:eastAsia="zh-CN"/>
        </w:rPr>
      </w:pPr>
    </w:p>
    <w:p w14:paraId="101FEFDC" w14:textId="5DCAD119" w:rsidR="00542CB6" w:rsidRPr="00CD5D09" w:rsidRDefault="00542CB6" w:rsidP="00542CB6">
      <w:pPr>
        <w:pStyle w:val="BodyTextMain"/>
        <w:keepNext/>
        <w:rPr>
          <w:lang w:val="en-GB" w:eastAsia="zh-CN"/>
        </w:rPr>
      </w:pPr>
      <w:r w:rsidRPr="00CD5D09">
        <w:rPr>
          <w:lang w:val="en-GB" w:eastAsia="zh-CN"/>
        </w:rPr>
        <w:t xml:space="preserve">After </w:t>
      </w:r>
      <w:r w:rsidR="00590043">
        <w:rPr>
          <w:lang w:val="en-GB" w:eastAsia="zh-CN"/>
        </w:rPr>
        <w:t xml:space="preserve">completing </w:t>
      </w:r>
      <w:r w:rsidRPr="00CD5D09">
        <w:rPr>
          <w:lang w:val="en-GB" w:eastAsia="zh-CN"/>
        </w:rPr>
        <w:t xml:space="preserve">his military service in Singapore, Quek worked in a craft centre in Hong Kong for </w:t>
      </w:r>
      <w:r w:rsidR="00CD2859">
        <w:rPr>
          <w:lang w:val="en-GB" w:eastAsia="zh-CN"/>
        </w:rPr>
        <w:t>some time</w:t>
      </w:r>
      <w:r w:rsidRPr="00CD5D09">
        <w:rPr>
          <w:lang w:val="en-GB" w:eastAsia="zh-CN"/>
        </w:rPr>
        <w:t xml:space="preserve">. In 1982, he </w:t>
      </w:r>
      <w:r w:rsidR="00F27A13">
        <w:rPr>
          <w:lang w:val="en-GB" w:eastAsia="zh-CN"/>
        </w:rPr>
        <w:t>travelled</w:t>
      </w:r>
      <w:r w:rsidRPr="00CD5D09">
        <w:rPr>
          <w:lang w:val="en-GB" w:eastAsia="zh-CN"/>
        </w:rPr>
        <w:t xml:space="preserve"> to Taiwan to study art</w:t>
      </w:r>
      <w:r w:rsidR="00590043">
        <w:rPr>
          <w:lang w:val="en-GB" w:eastAsia="zh-CN"/>
        </w:rPr>
        <w:t>, b</w:t>
      </w:r>
      <w:r w:rsidRPr="00CD5D09">
        <w:rPr>
          <w:lang w:val="en-GB" w:eastAsia="zh-CN"/>
        </w:rPr>
        <w:t xml:space="preserve">ut ended up starting a chain of </w:t>
      </w:r>
      <w:r w:rsidR="00F27A13">
        <w:rPr>
          <w:lang w:val="en-GB" w:eastAsia="zh-CN"/>
        </w:rPr>
        <w:t>street vending booths that sold</w:t>
      </w:r>
      <w:r w:rsidRPr="00CD5D09">
        <w:rPr>
          <w:lang w:val="en-GB" w:eastAsia="zh-CN"/>
        </w:rPr>
        <w:t xml:space="preserve"> Singaporean noodles. Within three months, he </w:t>
      </w:r>
      <w:r w:rsidR="00F27A13">
        <w:rPr>
          <w:lang w:val="en-GB" w:eastAsia="zh-CN"/>
        </w:rPr>
        <w:t xml:space="preserve">had </w:t>
      </w:r>
      <w:r w:rsidRPr="00CD5D09">
        <w:rPr>
          <w:lang w:val="en-GB" w:eastAsia="zh-CN"/>
        </w:rPr>
        <w:t xml:space="preserve">closed </w:t>
      </w:r>
      <w:r w:rsidR="00590043">
        <w:rPr>
          <w:lang w:val="en-GB" w:eastAsia="zh-CN"/>
        </w:rPr>
        <w:t xml:space="preserve">down </w:t>
      </w:r>
      <w:r w:rsidR="00F27A13">
        <w:rPr>
          <w:lang w:val="en-GB" w:eastAsia="zh-CN"/>
        </w:rPr>
        <w:t xml:space="preserve">the business </w:t>
      </w:r>
      <w:r w:rsidR="00CD2859">
        <w:rPr>
          <w:lang w:val="en-GB" w:eastAsia="zh-CN"/>
        </w:rPr>
        <w:t>after</w:t>
      </w:r>
      <w:r w:rsidR="00F27A13">
        <w:rPr>
          <w:lang w:val="en-GB" w:eastAsia="zh-CN"/>
        </w:rPr>
        <w:t xml:space="preserve"> </w:t>
      </w:r>
      <w:r w:rsidRPr="00CD5D09">
        <w:rPr>
          <w:lang w:val="en-GB" w:eastAsia="zh-CN"/>
        </w:rPr>
        <w:t>los</w:t>
      </w:r>
      <w:r w:rsidR="00CD2859">
        <w:rPr>
          <w:lang w:val="en-GB" w:eastAsia="zh-CN"/>
        </w:rPr>
        <w:t>ing</w:t>
      </w:r>
      <w:r w:rsidRPr="00CD5D09">
        <w:rPr>
          <w:lang w:val="en-GB" w:eastAsia="zh-CN"/>
        </w:rPr>
        <w:t xml:space="preserve"> most of his savings</w:t>
      </w:r>
      <w:r w:rsidR="00590043">
        <w:rPr>
          <w:lang w:val="en-GB" w:eastAsia="zh-CN"/>
        </w:rPr>
        <w:t xml:space="preserve"> due t</w:t>
      </w:r>
      <w:r w:rsidRPr="00CD5D09">
        <w:rPr>
          <w:lang w:val="en-GB" w:eastAsia="zh-CN"/>
        </w:rPr>
        <w:t>o</w:t>
      </w:r>
      <w:r w:rsidR="00F27A13">
        <w:rPr>
          <w:lang w:val="en-GB" w:eastAsia="zh-CN"/>
        </w:rPr>
        <w:t xml:space="preserve"> low sales</w:t>
      </w:r>
      <w:r w:rsidRPr="00CD5D09">
        <w:rPr>
          <w:lang w:val="en-GB" w:eastAsia="zh-CN"/>
        </w:rPr>
        <w:t xml:space="preserve">. Six months later, </w:t>
      </w:r>
      <w:r w:rsidR="00590043">
        <w:rPr>
          <w:lang w:val="en-GB" w:eastAsia="zh-CN"/>
        </w:rPr>
        <w:t xml:space="preserve">however, </w:t>
      </w:r>
      <w:r w:rsidRPr="00CD5D09">
        <w:rPr>
          <w:lang w:val="en-GB" w:eastAsia="zh-CN"/>
        </w:rPr>
        <w:t xml:space="preserve">he revived the concept by modifying the menu and recipes to suit local tastes. He successfully grew </w:t>
      </w:r>
      <w:r w:rsidR="00590043">
        <w:rPr>
          <w:lang w:val="en-GB" w:eastAsia="zh-CN"/>
        </w:rPr>
        <w:t xml:space="preserve">the </w:t>
      </w:r>
      <w:r w:rsidR="004D39D5">
        <w:rPr>
          <w:lang w:val="en-GB" w:eastAsia="zh-CN"/>
        </w:rPr>
        <w:t>company</w:t>
      </w:r>
      <w:r w:rsidRPr="00CD5D09">
        <w:rPr>
          <w:lang w:val="en-GB" w:eastAsia="zh-CN"/>
        </w:rPr>
        <w:t xml:space="preserve"> </w:t>
      </w:r>
      <w:r w:rsidR="00CD2859">
        <w:rPr>
          <w:lang w:val="en-GB" w:eastAsia="zh-CN"/>
        </w:rPr>
        <w:t>in</w:t>
      </w:r>
      <w:r w:rsidRPr="00CD5D09">
        <w:rPr>
          <w:lang w:val="en-GB" w:eastAsia="zh-CN"/>
        </w:rPr>
        <w:t xml:space="preserve">to a 21-outlet chain. </w:t>
      </w:r>
      <w:r w:rsidR="004D39D5">
        <w:rPr>
          <w:lang w:val="en-GB" w:eastAsia="zh-CN"/>
        </w:rPr>
        <w:t>However, by</w:t>
      </w:r>
      <w:r w:rsidRPr="00CD5D09">
        <w:rPr>
          <w:lang w:val="en-GB" w:eastAsia="zh-CN"/>
        </w:rPr>
        <w:t xml:space="preserve"> 1992, </w:t>
      </w:r>
      <w:r w:rsidR="004D39D5">
        <w:rPr>
          <w:lang w:val="en-GB" w:eastAsia="zh-CN"/>
        </w:rPr>
        <w:t>Quek was</w:t>
      </w:r>
      <w:r w:rsidRPr="00CD5D09">
        <w:rPr>
          <w:lang w:val="en-GB" w:eastAsia="zh-CN"/>
        </w:rPr>
        <w:t xml:space="preserve"> feeling exhausted</w:t>
      </w:r>
      <w:r w:rsidR="004D39D5">
        <w:rPr>
          <w:lang w:val="en-GB" w:eastAsia="zh-CN"/>
        </w:rPr>
        <w:t xml:space="preserve"> and</w:t>
      </w:r>
      <w:r w:rsidRPr="00CD5D09">
        <w:rPr>
          <w:lang w:val="en-GB" w:eastAsia="zh-CN"/>
        </w:rPr>
        <w:t xml:space="preserve"> closed </w:t>
      </w:r>
      <w:r w:rsidR="004D39D5">
        <w:rPr>
          <w:lang w:val="en-GB" w:eastAsia="zh-CN"/>
        </w:rPr>
        <w:t xml:space="preserve">it </w:t>
      </w:r>
      <w:r w:rsidRPr="00CD5D09">
        <w:rPr>
          <w:lang w:val="en-GB" w:eastAsia="zh-CN"/>
        </w:rPr>
        <w:t xml:space="preserve">down </w:t>
      </w:r>
      <w:r w:rsidR="004D39D5">
        <w:rPr>
          <w:lang w:val="en-GB" w:eastAsia="zh-CN"/>
        </w:rPr>
        <w:t>again. He then moved</w:t>
      </w:r>
      <w:r w:rsidRPr="00CD5D09">
        <w:rPr>
          <w:lang w:val="en-GB" w:eastAsia="zh-CN"/>
        </w:rPr>
        <w:t xml:space="preserve"> to Shanghai to set up </w:t>
      </w:r>
      <w:r w:rsidR="004D39D5">
        <w:rPr>
          <w:lang w:val="en-GB" w:eastAsia="zh-CN"/>
        </w:rPr>
        <w:t>an</w:t>
      </w:r>
      <w:r w:rsidRPr="00CD5D09">
        <w:rPr>
          <w:lang w:val="en-GB" w:eastAsia="zh-CN"/>
        </w:rPr>
        <w:t xml:space="preserve"> ice-cream </w:t>
      </w:r>
      <w:r w:rsidR="004D39D5">
        <w:rPr>
          <w:lang w:val="en-GB" w:eastAsia="zh-CN"/>
        </w:rPr>
        <w:t>business with three stores</w:t>
      </w:r>
      <w:r w:rsidR="0001610A">
        <w:rPr>
          <w:lang w:val="en-GB" w:eastAsia="zh-CN"/>
        </w:rPr>
        <w:t>,</w:t>
      </w:r>
      <w:r w:rsidR="004D39D5">
        <w:rPr>
          <w:lang w:val="en-GB" w:eastAsia="zh-CN"/>
        </w:rPr>
        <w:t xml:space="preserve"> but </w:t>
      </w:r>
      <w:r w:rsidR="0001610A">
        <w:rPr>
          <w:lang w:val="en-GB" w:eastAsia="zh-CN"/>
        </w:rPr>
        <w:t xml:space="preserve">he </w:t>
      </w:r>
      <w:r w:rsidR="004D39D5">
        <w:rPr>
          <w:lang w:val="en-GB" w:eastAsia="zh-CN"/>
        </w:rPr>
        <w:t>soon got</w:t>
      </w:r>
      <w:r w:rsidRPr="00CD5D09">
        <w:rPr>
          <w:lang w:val="en-GB" w:eastAsia="zh-CN"/>
        </w:rPr>
        <w:t xml:space="preserve"> homesick</w:t>
      </w:r>
      <w:r w:rsidR="004D39D5">
        <w:rPr>
          <w:lang w:val="en-GB" w:eastAsia="zh-CN"/>
        </w:rPr>
        <w:t xml:space="preserve"> and travelled back </w:t>
      </w:r>
      <w:r w:rsidR="0001610A">
        <w:rPr>
          <w:lang w:val="en-GB" w:eastAsia="zh-CN"/>
        </w:rPr>
        <w:t xml:space="preserve">to Singapore </w:t>
      </w:r>
      <w:r w:rsidR="004D39D5">
        <w:rPr>
          <w:lang w:val="en-GB" w:eastAsia="zh-CN"/>
        </w:rPr>
        <w:t>with</w:t>
      </w:r>
      <w:r w:rsidRPr="00CD5D09">
        <w:rPr>
          <w:lang w:val="en-GB" w:eastAsia="zh-CN"/>
        </w:rPr>
        <w:t xml:space="preserve"> his young family</w:t>
      </w:r>
      <w:r w:rsidR="004D39D5">
        <w:rPr>
          <w:lang w:val="en-GB" w:eastAsia="zh-CN"/>
        </w:rPr>
        <w:t>.</w:t>
      </w:r>
      <w:r w:rsidRPr="00CD5D09">
        <w:rPr>
          <w:lang w:val="en-GB" w:eastAsia="zh-CN"/>
        </w:rPr>
        <w:t xml:space="preserve"> </w:t>
      </w:r>
      <w:r w:rsidR="004D39D5">
        <w:rPr>
          <w:lang w:val="en-GB" w:eastAsia="zh-CN"/>
        </w:rPr>
        <w:t>I</w:t>
      </w:r>
      <w:r w:rsidRPr="00CD5D09">
        <w:rPr>
          <w:lang w:val="en-GB" w:eastAsia="zh-CN"/>
        </w:rPr>
        <w:t xml:space="preserve">n 1993, </w:t>
      </w:r>
      <w:r w:rsidR="0001610A">
        <w:rPr>
          <w:lang w:val="en-GB" w:eastAsia="zh-CN"/>
        </w:rPr>
        <w:t>Quek</w:t>
      </w:r>
      <w:r w:rsidRPr="00CD5D09">
        <w:rPr>
          <w:lang w:val="en-GB" w:eastAsia="zh-CN"/>
        </w:rPr>
        <w:t xml:space="preserve"> founded </w:t>
      </w:r>
      <w:proofErr w:type="spellStart"/>
      <w:r w:rsidRPr="00CD5D09">
        <w:rPr>
          <w:lang w:val="en-GB" w:eastAsia="zh-CN"/>
        </w:rPr>
        <w:t>Topwin</w:t>
      </w:r>
      <w:proofErr w:type="spellEnd"/>
      <w:r w:rsidRPr="00CD5D09">
        <w:rPr>
          <w:lang w:val="en-GB" w:eastAsia="zh-CN"/>
        </w:rPr>
        <w:t xml:space="preserve"> Investment Holding </w:t>
      </w:r>
      <w:proofErr w:type="spellStart"/>
      <w:r w:rsidRPr="00CD5D09">
        <w:rPr>
          <w:lang w:val="en-GB" w:eastAsia="zh-CN"/>
        </w:rPr>
        <w:t>Pte</w:t>
      </w:r>
      <w:r w:rsidR="004D39D5">
        <w:rPr>
          <w:lang w:val="en-GB" w:eastAsia="zh-CN"/>
        </w:rPr>
        <w:t>.</w:t>
      </w:r>
      <w:proofErr w:type="spellEnd"/>
      <w:r w:rsidRPr="00CD5D09">
        <w:rPr>
          <w:lang w:val="en-GB" w:eastAsia="zh-CN"/>
        </w:rPr>
        <w:t xml:space="preserve"> Ltd</w:t>
      </w:r>
      <w:r w:rsidR="004D39D5">
        <w:rPr>
          <w:lang w:val="en-GB" w:eastAsia="zh-CN"/>
        </w:rPr>
        <w:t>.</w:t>
      </w:r>
      <w:r w:rsidRPr="00CD5D09">
        <w:rPr>
          <w:lang w:val="en-GB" w:eastAsia="zh-CN"/>
        </w:rPr>
        <w:t xml:space="preserve"> and </w:t>
      </w:r>
      <w:r w:rsidR="0001610A">
        <w:rPr>
          <w:lang w:val="en-GB" w:eastAsia="zh-CN"/>
        </w:rPr>
        <w:t xml:space="preserve">launched </w:t>
      </w:r>
      <w:r w:rsidRPr="00CD5D09">
        <w:rPr>
          <w:lang w:val="en-GB" w:eastAsia="zh-CN"/>
        </w:rPr>
        <w:t xml:space="preserve">the brand </w:t>
      </w:r>
      <w:proofErr w:type="spellStart"/>
      <w:r w:rsidRPr="00CD5D09">
        <w:rPr>
          <w:lang w:val="en-GB" w:eastAsia="zh-CN"/>
        </w:rPr>
        <w:t>Megabite</w:t>
      </w:r>
      <w:proofErr w:type="spellEnd"/>
      <w:r w:rsidRPr="00CD5D09">
        <w:rPr>
          <w:lang w:val="en-GB" w:eastAsia="zh-CN"/>
        </w:rPr>
        <w:t xml:space="preserve"> China</w:t>
      </w:r>
      <w:r w:rsidR="0001610A">
        <w:rPr>
          <w:lang w:val="en-GB" w:eastAsia="zh-CN"/>
        </w:rPr>
        <w:t xml:space="preserve"> brand</w:t>
      </w:r>
      <w:r w:rsidRPr="00CD5D09">
        <w:rPr>
          <w:lang w:val="en-GB" w:eastAsia="zh-CN"/>
        </w:rPr>
        <w:t xml:space="preserve">, which </w:t>
      </w:r>
      <w:r w:rsidR="004D39D5">
        <w:rPr>
          <w:lang w:val="en-GB" w:eastAsia="zh-CN"/>
        </w:rPr>
        <w:t xml:space="preserve">would </w:t>
      </w:r>
      <w:r w:rsidRPr="00CD5D09">
        <w:rPr>
          <w:lang w:val="en-GB" w:eastAsia="zh-CN"/>
        </w:rPr>
        <w:t>later bec</w:t>
      </w:r>
      <w:r w:rsidR="004D39D5">
        <w:rPr>
          <w:lang w:val="en-GB" w:eastAsia="zh-CN"/>
        </w:rPr>
        <w:t>o</w:t>
      </w:r>
      <w:r w:rsidRPr="00CD5D09">
        <w:rPr>
          <w:lang w:val="en-GB" w:eastAsia="zh-CN"/>
        </w:rPr>
        <w:t xml:space="preserve">me </w:t>
      </w:r>
      <w:proofErr w:type="spellStart"/>
      <w:r w:rsidR="004D39D5">
        <w:rPr>
          <w:lang w:val="en-GB" w:eastAsia="zh-CN"/>
        </w:rPr>
        <w:t>Brea</w:t>
      </w:r>
      <w:r w:rsidR="0001610A">
        <w:rPr>
          <w:lang w:val="en-GB" w:eastAsia="zh-CN"/>
        </w:rPr>
        <w:t>d</w:t>
      </w:r>
      <w:r w:rsidR="004D39D5">
        <w:rPr>
          <w:lang w:val="en-GB" w:eastAsia="zh-CN"/>
        </w:rPr>
        <w:t>Talk</w:t>
      </w:r>
      <w:r w:rsidRPr="00CD5D09">
        <w:rPr>
          <w:lang w:val="en-GB" w:eastAsia="zh-CN"/>
        </w:rPr>
        <w:t>’s</w:t>
      </w:r>
      <w:proofErr w:type="spellEnd"/>
      <w:r w:rsidRPr="00CD5D09">
        <w:rPr>
          <w:lang w:val="en-GB" w:eastAsia="zh-CN"/>
        </w:rPr>
        <w:t xml:space="preserve"> food</w:t>
      </w:r>
      <w:r w:rsidR="0001610A">
        <w:rPr>
          <w:lang w:val="en-GB" w:eastAsia="zh-CN"/>
        </w:rPr>
        <w:t xml:space="preserve"> </w:t>
      </w:r>
      <w:r w:rsidRPr="00CD5D09">
        <w:rPr>
          <w:lang w:val="en-GB" w:eastAsia="zh-CN"/>
        </w:rPr>
        <w:t xml:space="preserve">atrium </w:t>
      </w:r>
      <w:r w:rsidR="0001610A">
        <w:rPr>
          <w:lang w:val="en-GB" w:eastAsia="zh-CN"/>
        </w:rPr>
        <w:t>division</w:t>
      </w:r>
      <w:r w:rsidRPr="00CD5D09">
        <w:rPr>
          <w:lang w:val="en-GB" w:eastAsia="zh-CN"/>
        </w:rPr>
        <w:t xml:space="preserve">. </w:t>
      </w:r>
      <w:r w:rsidR="004D39D5">
        <w:rPr>
          <w:lang w:val="en-GB" w:eastAsia="zh-CN"/>
        </w:rPr>
        <w:t>R</w:t>
      </w:r>
      <w:r w:rsidRPr="00CD5D09">
        <w:rPr>
          <w:lang w:val="en-GB" w:eastAsia="zh-CN"/>
        </w:rPr>
        <w:t>eflect</w:t>
      </w:r>
      <w:r w:rsidR="004D39D5">
        <w:rPr>
          <w:lang w:val="en-GB" w:eastAsia="zh-CN"/>
        </w:rPr>
        <w:t>ing on his entrepreneurial path, Quek stat</w:t>
      </w:r>
      <w:r w:rsidRPr="00CD5D09">
        <w:rPr>
          <w:lang w:val="en-GB" w:eastAsia="zh-CN"/>
        </w:rPr>
        <w:t>ed, “I tasted the difficulties of setting up a business, especially on the finance front.”</w:t>
      </w:r>
    </w:p>
    <w:p w14:paraId="34417316" w14:textId="77777777" w:rsidR="00542CB6" w:rsidRPr="00CD5D09" w:rsidRDefault="00542CB6" w:rsidP="00542CB6">
      <w:pPr>
        <w:pStyle w:val="BodyTextMain"/>
        <w:rPr>
          <w:lang w:val="en-GB"/>
        </w:rPr>
      </w:pPr>
    </w:p>
    <w:p w14:paraId="4DE8D441" w14:textId="77777777" w:rsidR="00542CB6" w:rsidRPr="00CD5D09" w:rsidRDefault="00542CB6" w:rsidP="00542CB6">
      <w:pPr>
        <w:pStyle w:val="BodyTextMain"/>
        <w:rPr>
          <w:lang w:val="en-GB"/>
        </w:rPr>
      </w:pPr>
    </w:p>
    <w:p w14:paraId="7823A377" w14:textId="48C494C2" w:rsidR="00542CB6" w:rsidRPr="00CD5D09" w:rsidRDefault="00542CB6" w:rsidP="00542CB6">
      <w:pPr>
        <w:pStyle w:val="Casehead1"/>
        <w:rPr>
          <w:lang w:val="en-GB"/>
        </w:rPr>
      </w:pPr>
      <w:r w:rsidRPr="00CD5D09">
        <w:rPr>
          <w:lang w:val="en-GB"/>
        </w:rPr>
        <w:t xml:space="preserve">from one outlet to </w:t>
      </w:r>
      <w:r w:rsidR="008C7263">
        <w:rPr>
          <w:lang w:val="en-GB"/>
        </w:rPr>
        <w:t>11</w:t>
      </w:r>
      <w:r w:rsidRPr="00CD5D09">
        <w:rPr>
          <w:lang w:val="en-GB"/>
        </w:rPr>
        <w:t xml:space="preserve"> multinational brands</w:t>
      </w:r>
    </w:p>
    <w:p w14:paraId="0A4314FA" w14:textId="77777777" w:rsidR="00542CB6" w:rsidRPr="00CD5D09" w:rsidRDefault="00542CB6" w:rsidP="00542CB6">
      <w:pPr>
        <w:pStyle w:val="Casehead2"/>
        <w:rPr>
          <w:rFonts w:ascii="Times New Roman" w:hAnsi="Times New Roman" w:cs="Times New Roman"/>
          <w:lang w:val="en-GB"/>
        </w:rPr>
      </w:pPr>
    </w:p>
    <w:p w14:paraId="4A888154" w14:textId="77777777" w:rsidR="00542CB6" w:rsidRPr="00CD5D09" w:rsidRDefault="00542CB6" w:rsidP="00542CB6">
      <w:pPr>
        <w:pStyle w:val="Casehead2"/>
        <w:rPr>
          <w:lang w:val="en-GB"/>
        </w:rPr>
      </w:pPr>
      <w:r w:rsidRPr="00CD5D09">
        <w:rPr>
          <w:lang w:val="en-GB"/>
        </w:rPr>
        <w:t xml:space="preserve">Inception </w:t>
      </w:r>
    </w:p>
    <w:p w14:paraId="71D64A6E" w14:textId="77777777" w:rsidR="00542CB6" w:rsidRPr="00CD5D09" w:rsidRDefault="00542CB6" w:rsidP="00542CB6">
      <w:pPr>
        <w:pStyle w:val="Casehead2"/>
        <w:rPr>
          <w:rFonts w:ascii="Times New Roman" w:hAnsi="Times New Roman" w:cs="Times New Roman"/>
          <w:b w:val="0"/>
          <w:sz w:val="22"/>
          <w:szCs w:val="22"/>
          <w:lang w:val="en-GB" w:eastAsia="zh-CN"/>
        </w:rPr>
      </w:pPr>
    </w:p>
    <w:p w14:paraId="44F252C6" w14:textId="6DFB4524" w:rsidR="00542CB6" w:rsidRPr="00CD5D09" w:rsidRDefault="00542CB6" w:rsidP="00542CB6">
      <w:pPr>
        <w:pStyle w:val="BodyTextMain"/>
        <w:rPr>
          <w:lang w:val="en-GB" w:eastAsia="zh-CN"/>
        </w:rPr>
      </w:pPr>
      <w:r w:rsidRPr="00CD5D09">
        <w:rPr>
          <w:lang w:val="en-GB" w:eastAsia="zh-CN"/>
        </w:rPr>
        <w:t xml:space="preserve">In </w:t>
      </w:r>
      <w:r w:rsidR="00C25064">
        <w:rPr>
          <w:lang w:val="en-GB" w:eastAsia="zh-CN"/>
        </w:rPr>
        <w:t xml:space="preserve">the </w:t>
      </w:r>
      <w:r w:rsidRPr="00CD5D09">
        <w:rPr>
          <w:lang w:val="en-GB" w:eastAsia="zh-CN"/>
        </w:rPr>
        <w:t xml:space="preserve">late 1990s, Quek aspired to create a lifestyle brand for bread </w:t>
      </w:r>
      <w:r w:rsidR="00C25064">
        <w:rPr>
          <w:lang w:val="en-GB" w:eastAsia="zh-CN"/>
        </w:rPr>
        <w:t>by</w:t>
      </w:r>
      <w:r w:rsidRPr="00CD5D09">
        <w:rPr>
          <w:lang w:val="en-GB" w:eastAsia="zh-CN"/>
        </w:rPr>
        <w:t xml:space="preserve"> incorporating his artistic sense and culinary experiences</w:t>
      </w:r>
      <w:r w:rsidR="00ED29DB">
        <w:rPr>
          <w:lang w:val="en-GB" w:eastAsia="zh-CN"/>
        </w:rPr>
        <w:t>.</w:t>
      </w:r>
      <w:r w:rsidR="00D07A05">
        <w:rPr>
          <w:lang w:val="en-GB" w:eastAsia="zh-CN"/>
        </w:rPr>
        <w:t xml:space="preserve"> </w:t>
      </w:r>
      <w:r w:rsidRPr="00CD5D09">
        <w:rPr>
          <w:lang w:val="en-GB" w:eastAsia="zh-CN"/>
        </w:rPr>
        <w:t>“A brand needs positioning and personalities</w:t>
      </w:r>
      <w:r w:rsidR="00ED29DB">
        <w:rPr>
          <w:lang w:val="en-GB" w:eastAsia="zh-CN"/>
        </w:rPr>
        <w:t>,” he stated</w:t>
      </w:r>
      <w:r w:rsidRPr="00CD5D09">
        <w:rPr>
          <w:lang w:val="en-GB" w:eastAsia="zh-CN"/>
        </w:rPr>
        <w:t xml:space="preserve">. </w:t>
      </w:r>
      <w:r w:rsidR="00ED29DB">
        <w:rPr>
          <w:lang w:val="en-GB" w:eastAsia="zh-CN"/>
        </w:rPr>
        <w:t>“</w:t>
      </w:r>
      <w:proofErr w:type="spellStart"/>
      <w:r w:rsidRPr="00CD5D09">
        <w:rPr>
          <w:lang w:val="en-GB" w:eastAsia="zh-CN"/>
        </w:rPr>
        <w:t>BreadTalk</w:t>
      </w:r>
      <w:proofErr w:type="spellEnd"/>
      <w:r w:rsidRPr="00CD5D09">
        <w:rPr>
          <w:lang w:val="en-GB" w:eastAsia="zh-CN"/>
        </w:rPr>
        <w:t xml:space="preserve"> gives liveliness to bread.” At that time, freshly-made bread in Singapore</w:t>
      </w:r>
      <w:r w:rsidR="00D07A05">
        <w:rPr>
          <w:lang w:val="en-GB" w:eastAsia="zh-CN"/>
        </w:rPr>
        <w:t xml:space="preserve"> was mainly available in small local stores </w:t>
      </w:r>
      <w:r w:rsidR="00F27A13">
        <w:rPr>
          <w:lang w:val="en-GB" w:eastAsia="zh-CN"/>
        </w:rPr>
        <w:t>(</w:t>
      </w:r>
      <w:r w:rsidR="00D07A05">
        <w:rPr>
          <w:lang w:val="en-GB" w:eastAsia="zh-CN"/>
        </w:rPr>
        <w:t>commonly known as “mom-and-pop shops</w:t>
      </w:r>
      <w:r w:rsidR="00ED29DB">
        <w:rPr>
          <w:lang w:val="en-GB" w:eastAsia="zh-CN"/>
        </w:rPr>
        <w:t>”</w:t>
      </w:r>
      <w:r w:rsidR="00D07A05">
        <w:rPr>
          <w:lang w:val="en-GB" w:eastAsia="zh-CN"/>
        </w:rPr>
        <w:t>)</w:t>
      </w:r>
      <w:r w:rsidR="00F27A13">
        <w:rPr>
          <w:lang w:val="en-GB" w:eastAsia="zh-CN"/>
        </w:rPr>
        <w:t xml:space="preserve"> and </w:t>
      </w:r>
      <w:r w:rsidR="00ED29DB">
        <w:rPr>
          <w:lang w:val="en-GB" w:eastAsia="zh-CN"/>
        </w:rPr>
        <w:t xml:space="preserve">few major </w:t>
      </w:r>
      <w:r w:rsidR="00F27A13">
        <w:rPr>
          <w:lang w:val="en-GB" w:eastAsia="zh-CN"/>
        </w:rPr>
        <w:t>s</w:t>
      </w:r>
      <w:r w:rsidR="00ED29DB">
        <w:rPr>
          <w:lang w:val="en-GB" w:eastAsia="zh-CN"/>
        </w:rPr>
        <w:t>upermarkets</w:t>
      </w:r>
      <w:r w:rsidRPr="00CD5D09">
        <w:rPr>
          <w:lang w:val="en-GB" w:eastAsia="zh-CN"/>
        </w:rPr>
        <w:t xml:space="preserve">. </w:t>
      </w:r>
      <w:r w:rsidR="00D07A05">
        <w:rPr>
          <w:lang w:val="en-GB" w:eastAsia="zh-CN"/>
        </w:rPr>
        <w:t>In 2000, against the advice of</w:t>
      </w:r>
      <w:r w:rsidRPr="00CD5D09">
        <w:rPr>
          <w:lang w:val="en-GB" w:eastAsia="zh-CN"/>
        </w:rPr>
        <w:t xml:space="preserve"> many people, Quek followed his intuition and opened the first </w:t>
      </w:r>
      <w:proofErr w:type="spellStart"/>
      <w:r w:rsidRPr="00CD5D09">
        <w:rPr>
          <w:lang w:val="en-GB" w:eastAsia="zh-CN"/>
        </w:rPr>
        <w:t>BreadTalk</w:t>
      </w:r>
      <w:proofErr w:type="spellEnd"/>
      <w:r w:rsidRPr="00CD5D09">
        <w:rPr>
          <w:lang w:val="en-GB" w:eastAsia="zh-CN"/>
        </w:rPr>
        <w:t xml:space="preserve"> </w:t>
      </w:r>
      <w:r w:rsidR="00ED29DB">
        <w:rPr>
          <w:lang w:val="en-GB" w:eastAsia="zh-CN"/>
        </w:rPr>
        <w:t>store with</w:t>
      </w:r>
      <w:r w:rsidRPr="00CD5D09">
        <w:rPr>
          <w:lang w:val="en-GB" w:eastAsia="zh-CN"/>
        </w:rPr>
        <w:t xml:space="preserve"> products </w:t>
      </w:r>
      <w:r w:rsidR="00ED29DB">
        <w:rPr>
          <w:lang w:val="en-GB" w:eastAsia="zh-CN"/>
        </w:rPr>
        <w:t xml:space="preserve">that </w:t>
      </w:r>
      <w:r w:rsidR="00D07A05">
        <w:rPr>
          <w:lang w:val="en-GB" w:eastAsia="zh-CN"/>
        </w:rPr>
        <w:t xml:space="preserve">were </w:t>
      </w:r>
      <w:r w:rsidRPr="00CD5D09">
        <w:rPr>
          <w:lang w:val="en-GB" w:eastAsia="zh-CN"/>
        </w:rPr>
        <w:t>creative, diverse, and delicious</w:t>
      </w:r>
      <w:r w:rsidR="00D07A05">
        <w:rPr>
          <w:lang w:val="en-GB" w:eastAsia="zh-CN"/>
        </w:rPr>
        <w:t xml:space="preserve">. </w:t>
      </w:r>
      <w:r w:rsidR="00ED29DB">
        <w:rPr>
          <w:lang w:val="en-GB" w:eastAsia="zh-CN"/>
        </w:rPr>
        <w:t>T</w:t>
      </w:r>
      <w:r w:rsidRPr="00CD5D09">
        <w:rPr>
          <w:lang w:val="en-GB" w:eastAsia="zh-CN"/>
        </w:rPr>
        <w:t xml:space="preserve">he </w:t>
      </w:r>
      <w:r w:rsidR="00ED29DB">
        <w:rPr>
          <w:lang w:val="en-GB" w:eastAsia="zh-CN"/>
        </w:rPr>
        <w:t>first store</w:t>
      </w:r>
      <w:r w:rsidRPr="00CD5D09">
        <w:rPr>
          <w:lang w:val="en-GB" w:eastAsia="zh-CN"/>
        </w:rPr>
        <w:t xml:space="preserve"> </w:t>
      </w:r>
      <w:r w:rsidR="00D07A05">
        <w:rPr>
          <w:lang w:val="en-GB" w:eastAsia="zh-CN"/>
        </w:rPr>
        <w:t xml:space="preserve">featured an attractive interior </w:t>
      </w:r>
      <w:r w:rsidRPr="00CD5D09">
        <w:rPr>
          <w:lang w:val="en-GB" w:eastAsia="zh-CN"/>
        </w:rPr>
        <w:t>design w</w:t>
      </w:r>
      <w:r w:rsidR="00D07A05">
        <w:rPr>
          <w:lang w:val="en-GB" w:eastAsia="zh-CN"/>
        </w:rPr>
        <w:t>ith</w:t>
      </w:r>
      <w:r w:rsidRPr="00CD5D09">
        <w:rPr>
          <w:lang w:val="en-GB" w:eastAsia="zh-CN"/>
        </w:rPr>
        <w:t xml:space="preserve"> an open kitchen </w:t>
      </w:r>
      <w:r w:rsidR="00D07A05">
        <w:rPr>
          <w:lang w:val="en-GB" w:eastAsia="zh-CN"/>
        </w:rPr>
        <w:t>and</w:t>
      </w:r>
      <w:r w:rsidRPr="00CD5D09">
        <w:rPr>
          <w:lang w:val="en-GB" w:eastAsia="zh-CN"/>
        </w:rPr>
        <w:t xml:space="preserve"> full-length windows</w:t>
      </w:r>
      <w:r w:rsidR="009A665C">
        <w:rPr>
          <w:lang w:val="en-GB" w:eastAsia="zh-CN"/>
        </w:rPr>
        <w:t xml:space="preserve"> that</w:t>
      </w:r>
      <w:r w:rsidR="00D07A05">
        <w:rPr>
          <w:lang w:val="en-GB" w:eastAsia="zh-CN"/>
        </w:rPr>
        <w:t xml:space="preserve"> clearly</w:t>
      </w:r>
      <w:r w:rsidRPr="00CD5D09">
        <w:rPr>
          <w:lang w:val="en-GB" w:eastAsia="zh-CN"/>
        </w:rPr>
        <w:t xml:space="preserve"> show</w:t>
      </w:r>
      <w:r w:rsidR="009A665C">
        <w:rPr>
          <w:lang w:val="en-GB" w:eastAsia="zh-CN"/>
        </w:rPr>
        <w:t>ed</w:t>
      </w:r>
      <w:r w:rsidRPr="00CD5D09">
        <w:rPr>
          <w:lang w:val="en-GB" w:eastAsia="zh-CN"/>
        </w:rPr>
        <w:t xml:space="preserve"> customers how t</w:t>
      </w:r>
      <w:r w:rsidR="00D07A05">
        <w:rPr>
          <w:lang w:val="en-GB" w:eastAsia="zh-CN"/>
        </w:rPr>
        <w:t>he</w:t>
      </w:r>
      <w:r w:rsidRPr="00CD5D09">
        <w:rPr>
          <w:lang w:val="en-GB" w:eastAsia="zh-CN"/>
        </w:rPr>
        <w:t xml:space="preserve"> bread</w:t>
      </w:r>
      <w:r w:rsidR="00D07A05">
        <w:rPr>
          <w:lang w:val="en-GB" w:eastAsia="zh-CN"/>
        </w:rPr>
        <w:t xml:space="preserve"> was made</w:t>
      </w:r>
      <w:r w:rsidRPr="00CD5D09">
        <w:rPr>
          <w:lang w:val="en-GB" w:eastAsia="zh-CN"/>
        </w:rPr>
        <w:t xml:space="preserve">. </w:t>
      </w:r>
      <w:r w:rsidR="00D07A05">
        <w:rPr>
          <w:lang w:val="en-GB" w:eastAsia="zh-CN"/>
        </w:rPr>
        <w:t>Despite its higher pricing,</w:t>
      </w:r>
      <w:r w:rsidRPr="00CD5D09">
        <w:rPr>
          <w:lang w:val="en-GB" w:eastAsia="zh-CN"/>
        </w:rPr>
        <w:t xml:space="preserve"> </w:t>
      </w:r>
      <w:proofErr w:type="spellStart"/>
      <w:r w:rsidRPr="00CD5D09">
        <w:rPr>
          <w:lang w:val="en-GB" w:eastAsia="zh-CN"/>
        </w:rPr>
        <w:t>BreadTalk</w:t>
      </w:r>
      <w:proofErr w:type="spellEnd"/>
      <w:r w:rsidRPr="00CD5D09">
        <w:rPr>
          <w:lang w:val="en-GB" w:eastAsia="zh-CN"/>
        </w:rPr>
        <w:t xml:space="preserve"> </w:t>
      </w:r>
      <w:r w:rsidR="00D07A05">
        <w:rPr>
          <w:lang w:val="en-GB" w:eastAsia="zh-CN"/>
        </w:rPr>
        <w:t>quickly attracted</w:t>
      </w:r>
      <w:r w:rsidRPr="00CD5D09">
        <w:rPr>
          <w:lang w:val="en-GB" w:eastAsia="zh-CN"/>
        </w:rPr>
        <w:t xml:space="preserve"> consumers</w:t>
      </w:r>
      <w:r w:rsidR="00ED29DB">
        <w:rPr>
          <w:lang w:val="en-GB" w:eastAsia="zh-CN"/>
        </w:rPr>
        <w:t>. However</w:t>
      </w:r>
      <w:r w:rsidR="00D07A05">
        <w:rPr>
          <w:lang w:val="en-GB" w:eastAsia="zh-CN"/>
        </w:rPr>
        <w:t xml:space="preserve">, </w:t>
      </w:r>
      <w:r w:rsidRPr="00CD5D09">
        <w:rPr>
          <w:lang w:val="en-GB" w:eastAsia="zh-CN"/>
        </w:rPr>
        <w:t>high</w:t>
      </w:r>
      <w:r w:rsidR="00D07A05">
        <w:rPr>
          <w:lang w:val="en-GB" w:eastAsia="zh-CN"/>
        </w:rPr>
        <w:t xml:space="preserve"> business expenses</w:t>
      </w:r>
      <w:r w:rsidR="00ED29DB">
        <w:rPr>
          <w:lang w:val="en-GB" w:eastAsia="zh-CN"/>
        </w:rPr>
        <w:t xml:space="preserve"> meant finding ways</w:t>
      </w:r>
      <w:r w:rsidRPr="00CD5D09">
        <w:rPr>
          <w:lang w:val="en-GB" w:eastAsia="zh-CN"/>
        </w:rPr>
        <w:t xml:space="preserve"> to leverage media </w:t>
      </w:r>
      <w:r w:rsidR="00ED29DB">
        <w:rPr>
          <w:lang w:val="en-GB" w:eastAsia="zh-CN"/>
        </w:rPr>
        <w:t xml:space="preserve">coverage </w:t>
      </w:r>
      <w:r w:rsidRPr="00CD5D09">
        <w:rPr>
          <w:lang w:val="en-GB" w:eastAsia="zh-CN"/>
        </w:rPr>
        <w:t>and word of mouth to promote its product</w:t>
      </w:r>
      <w:r w:rsidR="00ED29DB">
        <w:rPr>
          <w:lang w:val="en-GB" w:eastAsia="zh-CN"/>
        </w:rPr>
        <w:t>s and</w:t>
      </w:r>
      <w:r w:rsidR="00D07A05">
        <w:rPr>
          <w:lang w:val="en-GB" w:eastAsia="zh-CN"/>
        </w:rPr>
        <w:t xml:space="preserve"> avoid</w:t>
      </w:r>
      <w:r w:rsidRPr="00CD5D09">
        <w:rPr>
          <w:lang w:val="en-GB" w:eastAsia="zh-CN"/>
        </w:rPr>
        <w:t xml:space="preserve"> advertisement costs. Quek </w:t>
      </w:r>
      <w:r w:rsidR="00D07A05">
        <w:rPr>
          <w:lang w:val="en-GB" w:eastAsia="zh-CN"/>
        </w:rPr>
        <w:t>explained the attraction of his store:</w:t>
      </w:r>
      <w:r w:rsidRPr="00CD5D09">
        <w:rPr>
          <w:lang w:val="en-GB" w:eastAsia="zh-CN"/>
        </w:rPr>
        <w:t xml:space="preserve"> “Why do the media and customers trust me? It’s because I have built my credibility through the way I treat people and project myself.” </w:t>
      </w:r>
    </w:p>
    <w:p w14:paraId="1F5E56AA" w14:textId="77777777" w:rsidR="00542CB6" w:rsidRPr="00CD5D09" w:rsidRDefault="00542CB6" w:rsidP="00542CB6">
      <w:pPr>
        <w:pStyle w:val="BodyTextMain"/>
        <w:rPr>
          <w:lang w:val="en-GB" w:eastAsia="zh-CN"/>
        </w:rPr>
      </w:pPr>
    </w:p>
    <w:p w14:paraId="012F7E58" w14:textId="5B98681E" w:rsidR="00542CB6" w:rsidRPr="00CD5D09" w:rsidRDefault="00542CB6" w:rsidP="00542CB6">
      <w:pPr>
        <w:pStyle w:val="BodyTextMain"/>
        <w:rPr>
          <w:lang w:val="en-GB" w:eastAsia="zh-CN"/>
        </w:rPr>
      </w:pPr>
      <w:r w:rsidRPr="00CD5D09">
        <w:rPr>
          <w:lang w:val="en-GB" w:eastAsia="zh-CN"/>
        </w:rPr>
        <w:t xml:space="preserve">Within a year, the </w:t>
      </w:r>
      <w:r w:rsidR="00FC03D0">
        <w:rPr>
          <w:lang w:val="en-GB" w:eastAsia="zh-CN"/>
        </w:rPr>
        <w:t>company</w:t>
      </w:r>
      <w:r w:rsidRPr="00CD5D09">
        <w:rPr>
          <w:lang w:val="en-GB" w:eastAsia="zh-CN"/>
        </w:rPr>
        <w:t xml:space="preserve"> had </w:t>
      </w:r>
      <w:r w:rsidR="00D07A05">
        <w:rPr>
          <w:lang w:val="en-GB" w:eastAsia="zh-CN"/>
        </w:rPr>
        <w:t>received</w:t>
      </w:r>
      <w:r w:rsidRPr="00CD5D09">
        <w:rPr>
          <w:lang w:val="en-GB" w:eastAsia="zh-CN"/>
        </w:rPr>
        <w:t xml:space="preserve"> over 1,000 enquiries for international franchise</w:t>
      </w:r>
      <w:r w:rsidR="00D07A05">
        <w:rPr>
          <w:lang w:val="en-GB" w:eastAsia="zh-CN"/>
        </w:rPr>
        <w:t>s</w:t>
      </w:r>
      <w:r w:rsidRPr="00CD5D09">
        <w:rPr>
          <w:lang w:val="en-GB" w:eastAsia="zh-CN"/>
        </w:rPr>
        <w:t xml:space="preserve">. Quek </w:t>
      </w:r>
      <w:r w:rsidR="00ED29DB">
        <w:rPr>
          <w:lang w:val="en-GB" w:eastAsia="zh-CN"/>
        </w:rPr>
        <w:t>decided that he wanted</w:t>
      </w:r>
      <w:r w:rsidRPr="00CD5D09">
        <w:rPr>
          <w:lang w:val="en-GB" w:eastAsia="zh-CN"/>
        </w:rPr>
        <w:t xml:space="preserve"> </w:t>
      </w:r>
      <w:r w:rsidR="00D07A05">
        <w:rPr>
          <w:lang w:val="en-GB" w:eastAsia="zh-CN"/>
        </w:rPr>
        <w:t>t</w:t>
      </w:r>
      <w:r w:rsidRPr="00CD5D09">
        <w:rPr>
          <w:lang w:val="en-GB" w:eastAsia="zh-CN"/>
        </w:rPr>
        <w:t>o list the company on Singapore</w:t>
      </w:r>
      <w:r w:rsidR="00ED29DB">
        <w:rPr>
          <w:lang w:val="en-GB" w:eastAsia="zh-CN"/>
        </w:rPr>
        <w:t>’s stock</w:t>
      </w:r>
      <w:r w:rsidRPr="00CD5D09">
        <w:rPr>
          <w:lang w:val="en-GB" w:eastAsia="zh-CN"/>
        </w:rPr>
        <w:t xml:space="preserve"> </w:t>
      </w:r>
      <w:r w:rsidR="00ED29DB">
        <w:rPr>
          <w:lang w:val="en-GB" w:eastAsia="zh-CN"/>
        </w:rPr>
        <w:t>e</w:t>
      </w:r>
      <w:r w:rsidRPr="00CD5D09">
        <w:rPr>
          <w:lang w:val="en-GB" w:eastAsia="zh-CN"/>
        </w:rPr>
        <w:t>xchange</w:t>
      </w:r>
      <w:r w:rsidR="00ED29DB">
        <w:rPr>
          <w:lang w:val="en-GB" w:eastAsia="zh-CN"/>
        </w:rPr>
        <w:t xml:space="preserve"> </w:t>
      </w:r>
      <w:r w:rsidRPr="00CD5D09">
        <w:rPr>
          <w:lang w:val="en-GB" w:eastAsia="zh-CN"/>
        </w:rPr>
        <w:t xml:space="preserve">within </w:t>
      </w:r>
      <w:r w:rsidR="00ED29DB">
        <w:rPr>
          <w:lang w:val="en-GB" w:eastAsia="zh-CN"/>
        </w:rPr>
        <w:t xml:space="preserve">only </w:t>
      </w:r>
      <w:r w:rsidRPr="00CD5D09">
        <w:rPr>
          <w:lang w:val="en-GB" w:eastAsia="zh-CN"/>
        </w:rPr>
        <w:t xml:space="preserve">three years </w:t>
      </w:r>
      <w:r w:rsidR="00ED29DB">
        <w:rPr>
          <w:lang w:val="en-GB" w:eastAsia="zh-CN"/>
        </w:rPr>
        <w:t xml:space="preserve">of operation, </w:t>
      </w:r>
      <w:r w:rsidR="00D07A05">
        <w:rPr>
          <w:lang w:val="en-GB" w:eastAsia="zh-CN"/>
        </w:rPr>
        <w:t>as p</w:t>
      </w:r>
      <w:r w:rsidR="002B28FF">
        <w:rPr>
          <w:lang w:val="en-GB" w:eastAsia="zh-CN"/>
        </w:rPr>
        <w:t>a</w:t>
      </w:r>
      <w:r w:rsidR="00D07A05">
        <w:rPr>
          <w:lang w:val="en-GB" w:eastAsia="zh-CN"/>
        </w:rPr>
        <w:t>rt of a</w:t>
      </w:r>
      <w:r w:rsidRPr="00CD5D09">
        <w:rPr>
          <w:lang w:val="en-GB" w:eastAsia="zh-CN"/>
        </w:rPr>
        <w:t xml:space="preserve"> rapid expansion</w:t>
      </w:r>
      <w:r w:rsidR="00D07A05">
        <w:rPr>
          <w:lang w:val="en-GB" w:eastAsia="zh-CN"/>
        </w:rPr>
        <w:t xml:space="preserve"> plan</w:t>
      </w:r>
      <w:r w:rsidR="00ED29DB">
        <w:rPr>
          <w:lang w:val="en-GB" w:eastAsia="zh-CN"/>
        </w:rPr>
        <w:t>.</w:t>
      </w:r>
      <w:r w:rsidRPr="00CD5D09">
        <w:rPr>
          <w:lang w:val="en-GB" w:eastAsia="zh-CN"/>
        </w:rPr>
        <w:t xml:space="preserve"> “Once I decided to do the IPO</w:t>
      </w:r>
      <w:r w:rsidR="00D07A05">
        <w:rPr>
          <w:lang w:val="en-GB" w:eastAsia="zh-CN"/>
        </w:rPr>
        <w:t xml:space="preserve"> [initial public offering]</w:t>
      </w:r>
      <w:r w:rsidRPr="00CD5D09">
        <w:rPr>
          <w:lang w:val="en-GB" w:eastAsia="zh-CN"/>
        </w:rPr>
        <w:t>, the planning of human resources, finance, operations and branding had to be more systematic</w:t>
      </w:r>
      <w:r w:rsidR="00ED29DB">
        <w:rPr>
          <w:lang w:val="en-GB" w:eastAsia="zh-CN"/>
        </w:rPr>
        <w:t>,</w:t>
      </w:r>
      <w:r w:rsidRPr="00CD5D09">
        <w:rPr>
          <w:lang w:val="en-GB" w:eastAsia="zh-CN"/>
        </w:rPr>
        <w:t>”</w:t>
      </w:r>
      <w:r w:rsidR="00ED29DB">
        <w:rPr>
          <w:lang w:val="en-GB" w:eastAsia="zh-CN"/>
        </w:rPr>
        <w:t xml:space="preserve"> he explained.</w:t>
      </w:r>
      <w:r w:rsidRPr="00CD5D09">
        <w:rPr>
          <w:lang w:val="en-GB" w:eastAsia="zh-CN"/>
        </w:rPr>
        <w:t xml:space="preserve"> As </w:t>
      </w:r>
      <w:r w:rsidR="00ED29DB">
        <w:rPr>
          <w:lang w:val="en-GB" w:eastAsia="zh-CN"/>
        </w:rPr>
        <w:t>planned</w:t>
      </w:r>
      <w:r w:rsidRPr="00CD5D09">
        <w:rPr>
          <w:lang w:val="en-GB" w:eastAsia="zh-CN"/>
        </w:rPr>
        <w:t xml:space="preserve">, </w:t>
      </w:r>
      <w:proofErr w:type="spellStart"/>
      <w:r w:rsidRPr="00CD5D09">
        <w:rPr>
          <w:lang w:val="en-GB" w:eastAsia="zh-CN"/>
        </w:rPr>
        <w:t>BreadTalk</w:t>
      </w:r>
      <w:proofErr w:type="spellEnd"/>
      <w:r w:rsidRPr="00CD5D09">
        <w:rPr>
          <w:lang w:val="en-GB" w:eastAsia="zh-CN"/>
        </w:rPr>
        <w:t xml:space="preserve"> </w:t>
      </w:r>
      <w:r w:rsidR="00ED29DB">
        <w:rPr>
          <w:lang w:val="en-GB" w:eastAsia="zh-CN"/>
        </w:rPr>
        <w:t xml:space="preserve">was listed </w:t>
      </w:r>
      <w:r w:rsidRPr="00CD5D09">
        <w:rPr>
          <w:lang w:val="en-GB" w:eastAsia="zh-CN"/>
        </w:rPr>
        <w:t xml:space="preserve">on </w:t>
      </w:r>
      <w:r w:rsidR="00D07A05">
        <w:rPr>
          <w:lang w:val="en-GB" w:eastAsia="zh-CN"/>
        </w:rPr>
        <w:t xml:space="preserve">the </w:t>
      </w:r>
      <w:r w:rsidRPr="00CD5D09">
        <w:rPr>
          <w:lang w:val="en-GB" w:eastAsia="zh-CN"/>
        </w:rPr>
        <w:t xml:space="preserve">SESDAQ </w:t>
      </w:r>
      <w:r w:rsidR="00D07A05">
        <w:rPr>
          <w:lang w:val="en-GB" w:eastAsia="zh-CN"/>
        </w:rPr>
        <w:t xml:space="preserve">board </w:t>
      </w:r>
      <w:r w:rsidRPr="00CD5D09">
        <w:rPr>
          <w:lang w:val="en-GB" w:eastAsia="zh-CN"/>
        </w:rPr>
        <w:t xml:space="preserve">of </w:t>
      </w:r>
      <w:r w:rsidR="00D07A05">
        <w:rPr>
          <w:lang w:val="en-GB" w:eastAsia="zh-CN"/>
        </w:rPr>
        <w:t xml:space="preserve">the </w:t>
      </w:r>
      <w:r w:rsidRPr="00CD5D09">
        <w:rPr>
          <w:lang w:val="en-GB" w:eastAsia="zh-CN"/>
        </w:rPr>
        <w:t xml:space="preserve">Singapore Exchange </w:t>
      </w:r>
      <w:r w:rsidR="00ED29DB">
        <w:rPr>
          <w:lang w:val="en-GB" w:eastAsia="zh-CN"/>
        </w:rPr>
        <w:t xml:space="preserve">Limited </w:t>
      </w:r>
      <w:r w:rsidR="00D07A05">
        <w:rPr>
          <w:lang w:val="en-GB" w:eastAsia="zh-CN"/>
        </w:rPr>
        <w:t xml:space="preserve">in 2003, </w:t>
      </w:r>
      <w:r w:rsidR="00ED29DB">
        <w:rPr>
          <w:lang w:val="en-GB" w:eastAsia="zh-CN"/>
        </w:rPr>
        <w:t xml:space="preserve">and was </w:t>
      </w:r>
      <w:r w:rsidR="00D07A05">
        <w:rPr>
          <w:lang w:val="en-GB" w:eastAsia="zh-CN"/>
        </w:rPr>
        <w:t>eventually</w:t>
      </w:r>
      <w:r w:rsidRPr="00CD5D09">
        <w:rPr>
          <w:lang w:val="en-GB" w:eastAsia="zh-CN"/>
        </w:rPr>
        <w:t xml:space="preserve"> transferr</w:t>
      </w:r>
      <w:r w:rsidR="00ED29DB">
        <w:rPr>
          <w:lang w:val="en-GB" w:eastAsia="zh-CN"/>
        </w:rPr>
        <w:t>ed</w:t>
      </w:r>
      <w:r w:rsidRPr="00CD5D09">
        <w:rPr>
          <w:lang w:val="en-GB" w:eastAsia="zh-CN"/>
        </w:rPr>
        <w:t xml:space="preserve"> to the </w:t>
      </w:r>
      <w:r w:rsidR="00D07A05">
        <w:rPr>
          <w:lang w:val="en-GB" w:eastAsia="zh-CN"/>
        </w:rPr>
        <w:t>exchange’s m</w:t>
      </w:r>
      <w:r w:rsidRPr="00CD5D09">
        <w:rPr>
          <w:lang w:val="en-GB" w:eastAsia="zh-CN"/>
        </w:rPr>
        <w:t xml:space="preserve">ain </w:t>
      </w:r>
      <w:r w:rsidR="00D07A05">
        <w:rPr>
          <w:lang w:val="en-GB" w:eastAsia="zh-CN"/>
        </w:rPr>
        <w:t>b</w:t>
      </w:r>
      <w:r w:rsidRPr="00CD5D09">
        <w:rPr>
          <w:lang w:val="en-GB" w:eastAsia="zh-CN"/>
        </w:rPr>
        <w:t xml:space="preserve">oard in 2009. </w:t>
      </w:r>
      <w:r w:rsidR="00D07A05">
        <w:rPr>
          <w:lang w:val="en-GB" w:eastAsia="zh-CN"/>
        </w:rPr>
        <w:t>Quek</w:t>
      </w:r>
      <w:r w:rsidRPr="00CD5D09">
        <w:rPr>
          <w:lang w:val="en-GB" w:eastAsia="zh-CN"/>
        </w:rPr>
        <w:t xml:space="preserve"> recalled the </w:t>
      </w:r>
      <w:r w:rsidR="00ED29DB">
        <w:rPr>
          <w:lang w:val="en-GB" w:eastAsia="zh-CN"/>
        </w:rPr>
        <w:t xml:space="preserve">many </w:t>
      </w:r>
      <w:r w:rsidR="00D07A05">
        <w:rPr>
          <w:lang w:val="en-GB" w:eastAsia="zh-CN"/>
        </w:rPr>
        <w:t xml:space="preserve">challenges </w:t>
      </w:r>
      <w:r w:rsidR="00ED29DB">
        <w:rPr>
          <w:lang w:val="en-GB" w:eastAsia="zh-CN"/>
        </w:rPr>
        <w:t>involved in preparing a</w:t>
      </w:r>
      <w:r w:rsidR="00D07A05">
        <w:rPr>
          <w:lang w:val="en-GB" w:eastAsia="zh-CN"/>
        </w:rPr>
        <w:t xml:space="preserve"> company </w:t>
      </w:r>
      <w:r w:rsidR="00ED29DB">
        <w:rPr>
          <w:lang w:val="en-GB" w:eastAsia="zh-CN"/>
        </w:rPr>
        <w:t xml:space="preserve">for an </w:t>
      </w:r>
      <w:r w:rsidRPr="00CD5D09">
        <w:rPr>
          <w:lang w:val="en-GB" w:eastAsia="zh-CN"/>
        </w:rPr>
        <w:t xml:space="preserve">IPO </w:t>
      </w:r>
      <w:r w:rsidR="00ED29DB">
        <w:rPr>
          <w:lang w:val="en-GB" w:eastAsia="zh-CN"/>
        </w:rPr>
        <w:t>launch</w:t>
      </w:r>
      <w:r w:rsidR="00031CF4">
        <w:rPr>
          <w:lang w:val="en-GB" w:eastAsia="zh-CN"/>
        </w:rPr>
        <w:t>. H</w:t>
      </w:r>
      <w:r w:rsidRPr="00CD5D09">
        <w:rPr>
          <w:lang w:val="en-GB" w:eastAsia="zh-CN"/>
        </w:rPr>
        <w:t>is management team</w:t>
      </w:r>
      <w:r w:rsidR="00031CF4">
        <w:rPr>
          <w:lang w:val="en-GB" w:eastAsia="zh-CN"/>
        </w:rPr>
        <w:t xml:space="preserve"> </w:t>
      </w:r>
      <w:r w:rsidR="00ED29DB">
        <w:rPr>
          <w:lang w:val="en-GB" w:eastAsia="zh-CN"/>
        </w:rPr>
        <w:t>also</w:t>
      </w:r>
      <w:r w:rsidRPr="00CD5D09">
        <w:rPr>
          <w:lang w:val="en-GB" w:eastAsia="zh-CN"/>
        </w:rPr>
        <w:t xml:space="preserve"> </w:t>
      </w:r>
      <w:r w:rsidR="00031CF4">
        <w:rPr>
          <w:lang w:val="en-GB" w:eastAsia="zh-CN"/>
        </w:rPr>
        <w:t>expressed</w:t>
      </w:r>
      <w:r w:rsidRPr="00CD5D09">
        <w:rPr>
          <w:lang w:val="en-GB" w:eastAsia="zh-CN"/>
        </w:rPr>
        <w:t xml:space="preserve"> </w:t>
      </w:r>
      <w:r w:rsidR="00ED29DB">
        <w:rPr>
          <w:lang w:val="en-GB" w:eastAsia="zh-CN"/>
        </w:rPr>
        <w:t>reservations</w:t>
      </w:r>
      <w:r w:rsidRPr="00CD5D09">
        <w:rPr>
          <w:lang w:val="en-GB" w:eastAsia="zh-CN"/>
        </w:rPr>
        <w:t xml:space="preserve"> about </w:t>
      </w:r>
      <w:r w:rsidR="00ED29DB">
        <w:rPr>
          <w:lang w:val="en-GB" w:eastAsia="zh-CN"/>
        </w:rPr>
        <w:t>listing the company</w:t>
      </w:r>
      <w:r w:rsidRPr="00CD5D09">
        <w:rPr>
          <w:lang w:val="en-GB" w:eastAsia="zh-CN"/>
        </w:rPr>
        <w:t xml:space="preserve">, </w:t>
      </w:r>
      <w:r w:rsidR="00031CF4">
        <w:rPr>
          <w:lang w:val="en-GB" w:eastAsia="zh-CN"/>
        </w:rPr>
        <w:t>but</w:t>
      </w:r>
      <w:r w:rsidRPr="00CD5D09">
        <w:rPr>
          <w:lang w:val="en-GB" w:eastAsia="zh-CN"/>
        </w:rPr>
        <w:t xml:space="preserve"> Quek </w:t>
      </w:r>
      <w:r w:rsidR="00031CF4">
        <w:rPr>
          <w:lang w:val="en-GB" w:eastAsia="zh-CN"/>
        </w:rPr>
        <w:t>was confident</w:t>
      </w:r>
      <w:r w:rsidR="00ED29DB">
        <w:rPr>
          <w:lang w:val="en-GB" w:eastAsia="zh-CN"/>
        </w:rPr>
        <w:t>.</w:t>
      </w:r>
      <w:r w:rsidRPr="00CD5D09">
        <w:rPr>
          <w:lang w:val="en-GB" w:eastAsia="zh-CN"/>
        </w:rPr>
        <w:t xml:space="preserve"> “The team was crucial to our success</w:t>
      </w:r>
      <w:r w:rsidR="00ED29DB">
        <w:rPr>
          <w:lang w:val="en-GB" w:eastAsia="zh-CN"/>
        </w:rPr>
        <w:t>,” he explained</w:t>
      </w:r>
      <w:r w:rsidRPr="00CD5D09">
        <w:rPr>
          <w:lang w:val="en-GB" w:eastAsia="zh-CN"/>
        </w:rPr>
        <w:t xml:space="preserve">. </w:t>
      </w:r>
      <w:r w:rsidR="00ED29DB">
        <w:rPr>
          <w:lang w:val="en-GB" w:eastAsia="zh-CN"/>
        </w:rPr>
        <w:t>“</w:t>
      </w:r>
      <w:r w:rsidRPr="00CD5D09">
        <w:rPr>
          <w:lang w:val="en-GB" w:eastAsia="zh-CN"/>
        </w:rPr>
        <w:t>My determination came from my five-year army training, which made me more independent. Such attitude is applicable everywhere.”</w:t>
      </w:r>
    </w:p>
    <w:p w14:paraId="4C22851A" w14:textId="4783B5D4" w:rsidR="00542CB6" w:rsidRPr="00CD5D09" w:rsidRDefault="00542CB6" w:rsidP="00542CB6">
      <w:pPr>
        <w:pStyle w:val="Casehead2"/>
        <w:rPr>
          <w:lang w:val="en-GB"/>
        </w:rPr>
      </w:pPr>
      <w:r w:rsidRPr="00CD5D09">
        <w:rPr>
          <w:lang w:val="en-GB"/>
        </w:rPr>
        <w:lastRenderedPageBreak/>
        <w:t xml:space="preserve">Proliferation of the Bakery </w:t>
      </w:r>
      <w:r w:rsidR="00367546">
        <w:rPr>
          <w:lang w:val="en-GB"/>
        </w:rPr>
        <w:t>Division—O</w:t>
      </w:r>
      <w:r w:rsidRPr="00CD5D09">
        <w:rPr>
          <w:lang w:val="en-GB"/>
        </w:rPr>
        <w:t xml:space="preserve">utlets, </w:t>
      </w:r>
      <w:r w:rsidR="00367546">
        <w:rPr>
          <w:lang w:val="en-GB"/>
        </w:rPr>
        <w:t>T</w:t>
      </w:r>
      <w:r w:rsidRPr="00CD5D09">
        <w:rPr>
          <w:lang w:val="en-GB"/>
        </w:rPr>
        <w:t xml:space="preserve">erritories, and </w:t>
      </w:r>
      <w:r w:rsidR="00367546">
        <w:rPr>
          <w:lang w:val="en-GB"/>
        </w:rPr>
        <w:t>B</w:t>
      </w:r>
      <w:r w:rsidRPr="00CD5D09">
        <w:rPr>
          <w:lang w:val="en-GB"/>
        </w:rPr>
        <w:t>rands</w:t>
      </w:r>
    </w:p>
    <w:p w14:paraId="635922FA" w14:textId="77777777" w:rsidR="00542CB6" w:rsidRPr="00CD5D09" w:rsidRDefault="00542CB6" w:rsidP="00542CB6">
      <w:pPr>
        <w:jc w:val="both"/>
        <w:rPr>
          <w:sz w:val="22"/>
          <w:szCs w:val="22"/>
          <w:lang w:val="en-GB"/>
        </w:rPr>
      </w:pPr>
    </w:p>
    <w:p w14:paraId="3457FD02" w14:textId="6CCB92D8" w:rsidR="00EE30AF" w:rsidRPr="008202C5" w:rsidRDefault="00542CB6" w:rsidP="00542CB6">
      <w:pPr>
        <w:jc w:val="both"/>
        <w:rPr>
          <w:spacing w:val="-2"/>
          <w:kern w:val="22"/>
          <w:sz w:val="22"/>
          <w:szCs w:val="22"/>
          <w:lang w:val="en-GB"/>
        </w:rPr>
      </w:pPr>
      <w:r w:rsidRPr="008202C5">
        <w:rPr>
          <w:spacing w:val="-2"/>
          <w:kern w:val="22"/>
          <w:sz w:val="22"/>
          <w:szCs w:val="22"/>
          <w:lang w:val="en-GB"/>
        </w:rPr>
        <w:t xml:space="preserve">In 2003, </w:t>
      </w:r>
      <w:proofErr w:type="spellStart"/>
      <w:r w:rsidRPr="008202C5">
        <w:rPr>
          <w:spacing w:val="-2"/>
          <w:kern w:val="22"/>
          <w:sz w:val="22"/>
          <w:szCs w:val="22"/>
          <w:lang w:val="en-GB"/>
        </w:rPr>
        <w:t>BreadTalk</w:t>
      </w:r>
      <w:proofErr w:type="spellEnd"/>
      <w:r w:rsidRPr="008202C5">
        <w:rPr>
          <w:spacing w:val="-2"/>
          <w:kern w:val="22"/>
          <w:sz w:val="22"/>
          <w:szCs w:val="22"/>
          <w:lang w:val="en-GB"/>
        </w:rPr>
        <w:t xml:space="preserve"> opened its first overseas outlet in Jakarta, Indonesia</w:t>
      </w:r>
      <w:r w:rsidR="009A665C" w:rsidRPr="008202C5">
        <w:rPr>
          <w:spacing w:val="-2"/>
          <w:kern w:val="22"/>
          <w:sz w:val="22"/>
          <w:szCs w:val="22"/>
          <w:lang w:val="en-GB"/>
        </w:rPr>
        <w:t>,</w:t>
      </w:r>
      <w:r w:rsidR="00EE30AF" w:rsidRPr="008202C5">
        <w:rPr>
          <w:spacing w:val="-2"/>
          <w:kern w:val="22"/>
          <w:sz w:val="22"/>
          <w:szCs w:val="22"/>
          <w:lang w:val="en-GB"/>
        </w:rPr>
        <w:t xml:space="preserve"> and a</w:t>
      </w:r>
      <w:r w:rsidRPr="008202C5">
        <w:rPr>
          <w:spacing w:val="-2"/>
          <w:kern w:val="22"/>
          <w:sz w:val="22"/>
          <w:szCs w:val="22"/>
          <w:lang w:val="en-GB"/>
        </w:rPr>
        <w:t xml:space="preserve"> wholly-owned subsidiary in Shanghai</w:t>
      </w:r>
      <w:r w:rsidR="00EE30AF" w:rsidRPr="008202C5">
        <w:rPr>
          <w:spacing w:val="-2"/>
          <w:kern w:val="22"/>
          <w:sz w:val="22"/>
          <w:szCs w:val="22"/>
          <w:lang w:val="en-GB"/>
        </w:rPr>
        <w:t xml:space="preserve">, where he </w:t>
      </w:r>
      <w:r w:rsidR="007058F6" w:rsidRPr="008202C5">
        <w:rPr>
          <w:spacing w:val="-2"/>
          <w:kern w:val="22"/>
          <w:sz w:val="22"/>
          <w:szCs w:val="22"/>
          <w:lang w:val="en-GB"/>
        </w:rPr>
        <w:t xml:space="preserve">had </w:t>
      </w:r>
      <w:r w:rsidR="00EE30AF" w:rsidRPr="008202C5">
        <w:rPr>
          <w:spacing w:val="-2"/>
          <w:kern w:val="22"/>
          <w:sz w:val="22"/>
          <w:szCs w:val="22"/>
          <w:lang w:val="en-GB"/>
        </w:rPr>
        <w:t xml:space="preserve">opened the first </w:t>
      </w:r>
      <w:proofErr w:type="spellStart"/>
      <w:r w:rsidR="00EE30AF" w:rsidRPr="008202C5">
        <w:rPr>
          <w:spacing w:val="-2"/>
          <w:kern w:val="22"/>
          <w:sz w:val="22"/>
          <w:szCs w:val="22"/>
          <w:lang w:val="en-GB"/>
        </w:rPr>
        <w:t>BreadTalk</w:t>
      </w:r>
      <w:proofErr w:type="spellEnd"/>
      <w:r w:rsidR="00EE30AF" w:rsidRPr="008202C5">
        <w:rPr>
          <w:spacing w:val="-2"/>
          <w:kern w:val="22"/>
          <w:sz w:val="22"/>
          <w:szCs w:val="22"/>
          <w:lang w:val="en-GB"/>
        </w:rPr>
        <w:t xml:space="preserve"> outlet</w:t>
      </w:r>
      <w:r w:rsidRPr="008202C5">
        <w:rPr>
          <w:spacing w:val="-2"/>
          <w:kern w:val="22"/>
          <w:sz w:val="22"/>
          <w:szCs w:val="22"/>
          <w:lang w:val="en-GB"/>
        </w:rPr>
        <w:t xml:space="preserve"> (see Exhibit 3)</w:t>
      </w:r>
      <w:r w:rsidR="00EE30AF" w:rsidRPr="008202C5">
        <w:rPr>
          <w:spacing w:val="-2"/>
          <w:kern w:val="22"/>
          <w:sz w:val="22"/>
          <w:szCs w:val="22"/>
          <w:lang w:val="en-GB"/>
        </w:rPr>
        <w:t xml:space="preserve">. Shanghai would later become the company’s headquarters </w:t>
      </w:r>
      <w:r w:rsidR="007058F6" w:rsidRPr="008202C5">
        <w:rPr>
          <w:spacing w:val="-2"/>
          <w:kern w:val="22"/>
          <w:sz w:val="22"/>
          <w:szCs w:val="22"/>
          <w:lang w:val="en-GB"/>
        </w:rPr>
        <w:t>for</w:t>
      </w:r>
      <w:r w:rsidR="00EE30AF" w:rsidRPr="008202C5">
        <w:rPr>
          <w:spacing w:val="-2"/>
          <w:kern w:val="22"/>
          <w:sz w:val="22"/>
          <w:szCs w:val="22"/>
          <w:lang w:val="en-GB"/>
        </w:rPr>
        <w:t xml:space="preserve"> mainland China</w:t>
      </w:r>
      <w:r w:rsidRPr="008202C5">
        <w:rPr>
          <w:spacing w:val="-2"/>
          <w:kern w:val="22"/>
          <w:sz w:val="22"/>
          <w:szCs w:val="22"/>
          <w:lang w:val="en-GB"/>
        </w:rPr>
        <w:t xml:space="preserve">. </w:t>
      </w:r>
      <w:r w:rsidR="00EE30AF" w:rsidRPr="008202C5">
        <w:rPr>
          <w:spacing w:val="-2"/>
          <w:kern w:val="22"/>
          <w:sz w:val="22"/>
          <w:szCs w:val="22"/>
          <w:lang w:val="en-GB"/>
        </w:rPr>
        <w:t>Quek worked closely with his team to</w:t>
      </w:r>
      <w:r w:rsidRPr="008202C5">
        <w:rPr>
          <w:spacing w:val="-2"/>
          <w:kern w:val="22"/>
          <w:sz w:val="22"/>
          <w:szCs w:val="22"/>
          <w:lang w:val="en-GB"/>
        </w:rPr>
        <w:t xml:space="preserve"> quickly replicate the store concept</w:t>
      </w:r>
      <w:r w:rsidR="00EE30AF" w:rsidRPr="008202C5">
        <w:rPr>
          <w:spacing w:val="-2"/>
          <w:kern w:val="22"/>
          <w:sz w:val="22"/>
          <w:szCs w:val="22"/>
          <w:lang w:val="en-GB"/>
        </w:rPr>
        <w:t>. To</w:t>
      </w:r>
      <w:r w:rsidRPr="008202C5">
        <w:rPr>
          <w:spacing w:val="-2"/>
          <w:kern w:val="22"/>
          <w:sz w:val="22"/>
          <w:szCs w:val="22"/>
          <w:lang w:val="en-GB"/>
        </w:rPr>
        <w:t xml:space="preserve"> </w:t>
      </w:r>
      <w:r w:rsidR="007058F6" w:rsidRPr="008202C5">
        <w:rPr>
          <w:spacing w:val="-2"/>
          <w:kern w:val="22"/>
          <w:sz w:val="22"/>
          <w:szCs w:val="22"/>
          <w:lang w:val="en-GB"/>
        </w:rPr>
        <w:t>ensure that the right</w:t>
      </w:r>
      <w:r w:rsidRPr="008202C5">
        <w:rPr>
          <w:spacing w:val="-2"/>
          <w:kern w:val="22"/>
          <w:sz w:val="22"/>
          <w:szCs w:val="22"/>
          <w:lang w:val="en-GB"/>
        </w:rPr>
        <w:t xml:space="preserve"> franchisees</w:t>
      </w:r>
      <w:r w:rsidR="007058F6" w:rsidRPr="008202C5">
        <w:rPr>
          <w:spacing w:val="-2"/>
          <w:kern w:val="22"/>
          <w:sz w:val="22"/>
          <w:szCs w:val="22"/>
          <w:lang w:val="en-GB"/>
        </w:rPr>
        <w:t xml:space="preserve"> would be chosen</w:t>
      </w:r>
      <w:r w:rsidRPr="008202C5">
        <w:rPr>
          <w:spacing w:val="-2"/>
          <w:kern w:val="22"/>
          <w:sz w:val="22"/>
          <w:szCs w:val="22"/>
          <w:lang w:val="en-GB"/>
        </w:rPr>
        <w:t xml:space="preserve">, he set </w:t>
      </w:r>
      <w:r w:rsidR="00EE30AF" w:rsidRPr="008202C5">
        <w:rPr>
          <w:spacing w:val="-2"/>
          <w:kern w:val="22"/>
          <w:sz w:val="22"/>
          <w:szCs w:val="22"/>
          <w:lang w:val="en-GB"/>
        </w:rPr>
        <w:t>up</w:t>
      </w:r>
      <w:r w:rsidR="007058F6" w:rsidRPr="008202C5">
        <w:rPr>
          <w:spacing w:val="-2"/>
          <w:kern w:val="22"/>
          <w:sz w:val="22"/>
          <w:szCs w:val="22"/>
          <w:lang w:val="en-GB"/>
        </w:rPr>
        <w:t xml:space="preserve"> </w:t>
      </w:r>
      <w:r w:rsidRPr="008202C5">
        <w:rPr>
          <w:spacing w:val="-2"/>
          <w:kern w:val="22"/>
          <w:sz w:val="22"/>
          <w:szCs w:val="22"/>
          <w:lang w:val="en-GB"/>
        </w:rPr>
        <w:t xml:space="preserve">the evaluation criteria </w:t>
      </w:r>
      <w:r w:rsidR="007058F6" w:rsidRPr="008202C5">
        <w:rPr>
          <w:spacing w:val="-2"/>
          <w:kern w:val="22"/>
          <w:sz w:val="22"/>
          <w:szCs w:val="22"/>
          <w:lang w:val="en-GB"/>
        </w:rPr>
        <w:t>that</w:t>
      </w:r>
      <w:r w:rsidR="00EE30AF" w:rsidRPr="008202C5">
        <w:rPr>
          <w:spacing w:val="-2"/>
          <w:kern w:val="22"/>
          <w:sz w:val="22"/>
          <w:szCs w:val="22"/>
          <w:lang w:val="en-GB"/>
        </w:rPr>
        <w:t xml:space="preserve"> his team </w:t>
      </w:r>
      <w:r w:rsidR="007058F6" w:rsidRPr="008202C5">
        <w:rPr>
          <w:spacing w:val="-2"/>
          <w:kern w:val="22"/>
          <w:sz w:val="22"/>
          <w:szCs w:val="22"/>
          <w:lang w:val="en-GB"/>
        </w:rPr>
        <w:t xml:space="preserve">would use </w:t>
      </w:r>
      <w:r w:rsidR="00EE30AF" w:rsidRPr="008202C5">
        <w:rPr>
          <w:spacing w:val="-2"/>
          <w:kern w:val="22"/>
          <w:sz w:val="22"/>
          <w:szCs w:val="22"/>
          <w:lang w:val="en-GB"/>
        </w:rPr>
        <w:t>to select</w:t>
      </w:r>
      <w:r w:rsidRPr="008202C5">
        <w:rPr>
          <w:spacing w:val="-2"/>
          <w:kern w:val="22"/>
          <w:sz w:val="22"/>
          <w:szCs w:val="22"/>
          <w:lang w:val="en-GB"/>
        </w:rPr>
        <w:t xml:space="preserve"> preferred candidates who were trustworthy and committed to increasing brand awareness.</w:t>
      </w:r>
    </w:p>
    <w:p w14:paraId="306F8D42" w14:textId="77777777" w:rsidR="00EE30AF" w:rsidRDefault="00EE30AF" w:rsidP="00542CB6">
      <w:pPr>
        <w:jc w:val="both"/>
        <w:rPr>
          <w:sz w:val="22"/>
          <w:szCs w:val="22"/>
          <w:lang w:val="en-GB"/>
        </w:rPr>
      </w:pPr>
    </w:p>
    <w:p w14:paraId="4BE01CCF" w14:textId="0D9E25D1" w:rsidR="00860EB3" w:rsidRDefault="00542CB6" w:rsidP="00542CB6">
      <w:pPr>
        <w:jc w:val="both"/>
        <w:rPr>
          <w:sz w:val="22"/>
          <w:szCs w:val="22"/>
          <w:lang w:val="en-GB"/>
        </w:rPr>
      </w:pPr>
      <w:r w:rsidRPr="00CD5D09">
        <w:rPr>
          <w:sz w:val="22"/>
          <w:szCs w:val="22"/>
          <w:lang w:val="en-GB"/>
        </w:rPr>
        <w:t xml:space="preserve">In 2007, </w:t>
      </w:r>
      <w:r w:rsidR="007058F6">
        <w:rPr>
          <w:sz w:val="22"/>
          <w:szCs w:val="22"/>
          <w:lang w:val="en-GB"/>
        </w:rPr>
        <w:t>Quek</w:t>
      </w:r>
      <w:r w:rsidRPr="00CD5D09">
        <w:rPr>
          <w:sz w:val="22"/>
          <w:szCs w:val="22"/>
          <w:lang w:val="en-GB"/>
        </w:rPr>
        <w:t xml:space="preserve"> opened </w:t>
      </w:r>
      <w:r w:rsidR="00EE30AF">
        <w:rPr>
          <w:sz w:val="22"/>
          <w:szCs w:val="22"/>
          <w:lang w:val="en-GB"/>
        </w:rPr>
        <w:t>the</w:t>
      </w:r>
      <w:r w:rsidRPr="00CD5D09">
        <w:rPr>
          <w:sz w:val="22"/>
          <w:szCs w:val="22"/>
          <w:lang w:val="en-GB"/>
        </w:rPr>
        <w:t xml:space="preserve"> 100th </w:t>
      </w:r>
      <w:proofErr w:type="spellStart"/>
      <w:r w:rsidR="007058F6">
        <w:rPr>
          <w:sz w:val="22"/>
          <w:szCs w:val="22"/>
          <w:lang w:val="en-GB"/>
        </w:rPr>
        <w:t>BreadTalk</w:t>
      </w:r>
      <w:proofErr w:type="spellEnd"/>
      <w:r w:rsidR="007058F6">
        <w:rPr>
          <w:sz w:val="22"/>
          <w:szCs w:val="22"/>
          <w:lang w:val="en-GB"/>
        </w:rPr>
        <w:t xml:space="preserve"> store</w:t>
      </w:r>
      <w:r w:rsidRPr="00CD5D09">
        <w:rPr>
          <w:sz w:val="22"/>
          <w:szCs w:val="22"/>
          <w:lang w:val="en-GB"/>
        </w:rPr>
        <w:t xml:space="preserve">. </w:t>
      </w:r>
      <w:r w:rsidR="007058F6">
        <w:rPr>
          <w:sz w:val="22"/>
          <w:szCs w:val="22"/>
          <w:lang w:val="en-GB"/>
        </w:rPr>
        <w:t>He</w:t>
      </w:r>
      <w:r w:rsidRPr="00CD5D09">
        <w:rPr>
          <w:sz w:val="22"/>
          <w:szCs w:val="22"/>
          <w:lang w:val="en-GB"/>
        </w:rPr>
        <w:t xml:space="preserve"> then established a central kitchen</w:t>
      </w:r>
      <w:r w:rsidR="007058F6">
        <w:rPr>
          <w:sz w:val="22"/>
          <w:szCs w:val="22"/>
          <w:lang w:val="en-GB"/>
        </w:rPr>
        <w:t>, where</w:t>
      </w:r>
      <w:r w:rsidRPr="00CD5D09">
        <w:rPr>
          <w:sz w:val="22"/>
          <w:szCs w:val="22"/>
          <w:lang w:val="en-GB"/>
        </w:rPr>
        <w:t xml:space="preserve"> dough </w:t>
      </w:r>
      <w:r w:rsidR="007058F6">
        <w:rPr>
          <w:sz w:val="22"/>
          <w:szCs w:val="22"/>
          <w:lang w:val="en-GB"/>
        </w:rPr>
        <w:t>would be prepared and</w:t>
      </w:r>
      <w:r w:rsidRPr="00CD5D09">
        <w:rPr>
          <w:sz w:val="22"/>
          <w:szCs w:val="22"/>
          <w:lang w:val="en-GB"/>
        </w:rPr>
        <w:t xml:space="preserve"> distributed </w:t>
      </w:r>
      <w:r w:rsidR="007058F6">
        <w:rPr>
          <w:sz w:val="22"/>
          <w:szCs w:val="22"/>
          <w:lang w:val="en-GB"/>
        </w:rPr>
        <w:t xml:space="preserve">in frozen form </w:t>
      </w:r>
      <w:r w:rsidRPr="00CD5D09">
        <w:rPr>
          <w:sz w:val="22"/>
          <w:szCs w:val="22"/>
          <w:lang w:val="en-GB"/>
        </w:rPr>
        <w:t xml:space="preserve">to </w:t>
      </w:r>
      <w:r w:rsidR="00EE30AF">
        <w:rPr>
          <w:sz w:val="22"/>
          <w:szCs w:val="22"/>
          <w:lang w:val="en-GB"/>
        </w:rPr>
        <w:t>all</w:t>
      </w:r>
      <w:r w:rsidRPr="00CD5D09">
        <w:rPr>
          <w:sz w:val="22"/>
          <w:szCs w:val="22"/>
          <w:lang w:val="en-GB"/>
        </w:rPr>
        <w:t xml:space="preserve"> outlets</w:t>
      </w:r>
      <w:r w:rsidR="007058F6">
        <w:rPr>
          <w:sz w:val="22"/>
          <w:szCs w:val="22"/>
          <w:lang w:val="en-GB"/>
        </w:rPr>
        <w:t>.</w:t>
      </w:r>
      <w:r w:rsidRPr="00CD5D09">
        <w:rPr>
          <w:sz w:val="22"/>
          <w:szCs w:val="22"/>
          <w:lang w:val="en-GB"/>
        </w:rPr>
        <w:t xml:space="preserve"> “Operating 50 stores is very different from operating 500 stores</w:t>
      </w:r>
      <w:r w:rsidR="007058F6">
        <w:rPr>
          <w:sz w:val="22"/>
          <w:szCs w:val="22"/>
          <w:lang w:val="en-GB"/>
        </w:rPr>
        <w:t xml:space="preserve">,” </w:t>
      </w:r>
      <w:r w:rsidR="009A665C">
        <w:rPr>
          <w:sz w:val="22"/>
          <w:szCs w:val="22"/>
          <w:lang w:val="en-GB"/>
        </w:rPr>
        <w:t xml:space="preserve">Quek </w:t>
      </w:r>
      <w:r w:rsidR="007058F6">
        <w:rPr>
          <w:sz w:val="22"/>
          <w:szCs w:val="22"/>
          <w:lang w:val="en-GB"/>
        </w:rPr>
        <w:t>explained</w:t>
      </w:r>
      <w:r w:rsidRPr="00CD5D09">
        <w:rPr>
          <w:sz w:val="22"/>
          <w:szCs w:val="22"/>
          <w:lang w:val="en-GB"/>
        </w:rPr>
        <w:t xml:space="preserve">. </w:t>
      </w:r>
      <w:r w:rsidR="007058F6">
        <w:rPr>
          <w:sz w:val="22"/>
          <w:szCs w:val="22"/>
          <w:lang w:val="en-GB"/>
        </w:rPr>
        <w:t>“</w:t>
      </w:r>
      <w:r w:rsidRPr="00CD5D09">
        <w:rPr>
          <w:sz w:val="22"/>
          <w:szCs w:val="22"/>
          <w:lang w:val="en-GB"/>
        </w:rPr>
        <w:t>The central kitchen allows us to maintain product quality by controlling ingredients and standardizing production process.”</w:t>
      </w:r>
      <w:r w:rsidR="007058F6">
        <w:rPr>
          <w:sz w:val="22"/>
          <w:szCs w:val="22"/>
          <w:lang w:val="en-GB"/>
        </w:rPr>
        <w:t xml:space="preserve"> </w:t>
      </w:r>
      <w:r w:rsidRPr="00CD5D09">
        <w:rPr>
          <w:sz w:val="22"/>
          <w:szCs w:val="22"/>
          <w:lang w:val="en-GB"/>
        </w:rPr>
        <w:t xml:space="preserve">Quek also </w:t>
      </w:r>
      <w:r w:rsidR="00EE30AF">
        <w:rPr>
          <w:sz w:val="22"/>
          <w:szCs w:val="22"/>
          <w:lang w:val="en-GB"/>
        </w:rPr>
        <w:t>identified</w:t>
      </w:r>
      <w:r w:rsidRPr="00CD5D09">
        <w:rPr>
          <w:sz w:val="22"/>
          <w:szCs w:val="22"/>
          <w:lang w:val="en-GB"/>
        </w:rPr>
        <w:t xml:space="preserve"> new b</w:t>
      </w:r>
      <w:r w:rsidR="00EE30AF">
        <w:rPr>
          <w:sz w:val="22"/>
          <w:szCs w:val="22"/>
          <w:lang w:val="en-GB"/>
        </w:rPr>
        <w:t>usiness</w:t>
      </w:r>
      <w:r w:rsidRPr="00CD5D09">
        <w:rPr>
          <w:sz w:val="22"/>
          <w:szCs w:val="22"/>
          <w:lang w:val="en-GB"/>
        </w:rPr>
        <w:t xml:space="preserve"> opportunities</w:t>
      </w:r>
      <w:r w:rsidR="00EE30AF">
        <w:rPr>
          <w:sz w:val="22"/>
          <w:szCs w:val="22"/>
          <w:lang w:val="en-GB"/>
        </w:rPr>
        <w:t xml:space="preserve"> by opening related shops under their own brands</w:t>
      </w:r>
      <w:r w:rsidR="006B0AFA">
        <w:rPr>
          <w:sz w:val="22"/>
          <w:szCs w:val="22"/>
          <w:lang w:val="en-GB"/>
        </w:rPr>
        <w:t xml:space="preserve"> in Singapore</w:t>
      </w:r>
      <w:r w:rsidRPr="00CD5D09">
        <w:rPr>
          <w:sz w:val="22"/>
          <w:szCs w:val="22"/>
          <w:lang w:val="en-GB"/>
        </w:rPr>
        <w:t xml:space="preserve">. In 2005, the </w:t>
      </w:r>
      <w:r w:rsidR="00FC03D0">
        <w:rPr>
          <w:sz w:val="22"/>
          <w:szCs w:val="22"/>
          <w:lang w:val="en-GB"/>
        </w:rPr>
        <w:t>company</w:t>
      </w:r>
      <w:r w:rsidRPr="00CD5D09">
        <w:rPr>
          <w:sz w:val="22"/>
          <w:szCs w:val="22"/>
          <w:lang w:val="en-GB"/>
        </w:rPr>
        <w:t xml:space="preserve"> launched the Toast Box coffee shop</w:t>
      </w:r>
      <w:r w:rsidR="006B0AFA">
        <w:rPr>
          <w:sz w:val="22"/>
          <w:szCs w:val="22"/>
          <w:lang w:val="en-GB"/>
        </w:rPr>
        <w:t>, which</w:t>
      </w:r>
      <w:r w:rsidR="00EE30AF">
        <w:rPr>
          <w:sz w:val="22"/>
          <w:szCs w:val="22"/>
          <w:lang w:val="en-GB"/>
        </w:rPr>
        <w:t xml:space="preserve"> </w:t>
      </w:r>
      <w:r w:rsidRPr="00CD5D09">
        <w:rPr>
          <w:sz w:val="22"/>
          <w:szCs w:val="22"/>
          <w:lang w:val="en-GB"/>
        </w:rPr>
        <w:t>featur</w:t>
      </w:r>
      <w:r w:rsidR="00EE30AF">
        <w:rPr>
          <w:sz w:val="22"/>
          <w:szCs w:val="22"/>
          <w:lang w:val="en-GB"/>
        </w:rPr>
        <w:t>ed</w:t>
      </w:r>
      <w:r w:rsidRPr="00CD5D09">
        <w:rPr>
          <w:sz w:val="22"/>
          <w:szCs w:val="22"/>
          <w:lang w:val="en-GB"/>
        </w:rPr>
        <w:t xml:space="preserve"> local Nanyang Kopi</w:t>
      </w:r>
      <w:r w:rsidR="00EE30AF">
        <w:rPr>
          <w:sz w:val="22"/>
          <w:szCs w:val="22"/>
          <w:lang w:val="en-GB"/>
        </w:rPr>
        <w:t xml:space="preserve"> coffee</w:t>
      </w:r>
      <w:r w:rsidRPr="00CD5D09">
        <w:rPr>
          <w:sz w:val="22"/>
          <w:szCs w:val="22"/>
          <w:lang w:val="en-GB"/>
        </w:rPr>
        <w:t xml:space="preserve"> and thick toast (see Exhibit 4). </w:t>
      </w:r>
      <w:r w:rsidR="00EE30AF">
        <w:rPr>
          <w:sz w:val="22"/>
          <w:szCs w:val="22"/>
          <w:lang w:val="en-GB"/>
        </w:rPr>
        <w:t>Three years later, i</w:t>
      </w:r>
      <w:r w:rsidRPr="00CD5D09">
        <w:rPr>
          <w:sz w:val="22"/>
          <w:szCs w:val="22"/>
          <w:lang w:val="en-GB"/>
        </w:rPr>
        <w:t xml:space="preserve">n 2008, the </w:t>
      </w:r>
      <w:r w:rsidR="00FC03D0">
        <w:rPr>
          <w:sz w:val="22"/>
          <w:szCs w:val="22"/>
          <w:lang w:val="en-GB"/>
        </w:rPr>
        <w:t>company</w:t>
      </w:r>
      <w:r w:rsidRPr="00CD5D09">
        <w:rPr>
          <w:sz w:val="22"/>
          <w:szCs w:val="22"/>
          <w:lang w:val="en-GB"/>
        </w:rPr>
        <w:t xml:space="preserve"> </w:t>
      </w:r>
      <w:r w:rsidR="00EE30AF">
        <w:rPr>
          <w:sz w:val="22"/>
          <w:szCs w:val="22"/>
          <w:lang w:val="en-GB"/>
        </w:rPr>
        <w:t>opened</w:t>
      </w:r>
      <w:r w:rsidRPr="00CD5D09">
        <w:rPr>
          <w:sz w:val="22"/>
          <w:szCs w:val="22"/>
          <w:lang w:val="en-GB"/>
        </w:rPr>
        <w:t xml:space="preserve"> </w:t>
      </w:r>
      <w:r w:rsidR="006B0AFA">
        <w:rPr>
          <w:sz w:val="22"/>
          <w:szCs w:val="22"/>
          <w:lang w:val="en-GB"/>
        </w:rPr>
        <w:t>the</w:t>
      </w:r>
      <w:r w:rsidRPr="00CD5D09">
        <w:rPr>
          <w:sz w:val="22"/>
          <w:szCs w:val="22"/>
          <w:lang w:val="en-GB"/>
        </w:rPr>
        <w:t xml:space="preserve"> Icing Room cake shop, </w:t>
      </w:r>
      <w:r w:rsidR="006B0AFA">
        <w:rPr>
          <w:sz w:val="22"/>
          <w:szCs w:val="22"/>
          <w:lang w:val="en-GB"/>
        </w:rPr>
        <w:t xml:space="preserve">which </w:t>
      </w:r>
      <w:r w:rsidRPr="00CD5D09">
        <w:rPr>
          <w:sz w:val="22"/>
          <w:szCs w:val="22"/>
          <w:lang w:val="en-GB"/>
        </w:rPr>
        <w:t>featur</w:t>
      </w:r>
      <w:r w:rsidR="006B0AFA">
        <w:rPr>
          <w:sz w:val="22"/>
          <w:szCs w:val="22"/>
          <w:lang w:val="en-GB"/>
        </w:rPr>
        <w:t>ed create-your-own</w:t>
      </w:r>
      <w:r w:rsidRPr="00CD5D09">
        <w:rPr>
          <w:sz w:val="22"/>
          <w:szCs w:val="22"/>
          <w:lang w:val="en-GB"/>
        </w:rPr>
        <w:t xml:space="preserve"> cakes</w:t>
      </w:r>
      <w:r w:rsidR="006B0AFA">
        <w:rPr>
          <w:sz w:val="22"/>
          <w:szCs w:val="22"/>
          <w:lang w:val="en-GB"/>
        </w:rPr>
        <w:t>. Using</w:t>
      </w:r>
      <w:r w:rsidRPr="00CD5D09">
        <w:rPr>
          <w:sz w:val="22"/>
          <w:szCs w:val="22"/>
          <w:lang w:val="en-GB"/>
        </w:rPr>
        <w:t xml:space="preserve"> the </w:t>
      </w:r>
      <w:r w:rsidR="006B0AFA">
        <w:rPr>
          <w:sz w:val="22"/>
          <w:szCs w:val="22"/>
          <w:lang w:val="en-GB"/>
        </w:rPr>
        <w:t xml:space="preserve">same </w:t>
      </w:r>
      <w:r w:rsidRPr="00CD5D09">
        <w:rPr>
          <w:sz w:val="22"/>
          <w:szCs w:val="22"/>
          <w:lang w:val="en-GB"/>
        </w:rPr>
        <w:t>concept</w:t>
      </w:r>
      <w:r w:rsidR="006B0AFA">
        <w:rPr>
          <w:sz w:val="22"/>
          <w:szCs w:val="22"/>
          <w:lang w:val="en-GB"/>
        </w:rPr>
        <w:t>, Quek opened Icing Room shops</w:t>
      </w:r>
      <w:r w:rsidRPr="00CD5D09">
        <w:rPr>
          <w:sz w:val="22"/>
          <w:szCs w:val="22"/>
          <w:lang w:val="en-GB"/>
        </w:rPr>
        <w:t xml:space="preserve"> in China</w:t>
      </w:r>
      <w:r w:rsidR="006B0AFA">
        <w:rPr>
          <w:sz w:val="22"/>
          <w:szCs w:val="22"/>
          <w:lang w:val="en-GB"/>
        </w:rPr>
        <w:t xml:space="preserve"> but adapted the business model </w:t>
      </w:r>
      <w:r w:rsidR="009A665C">
        <w:rPr>
          <w:sz w:val="22"/>
          <w:szCs w:val="22"/>
          <w:lang w:val="en-GB"/>
        </w:rPr>
        <w:t>to suit</w:t>
      </w:r>
      <w:r w:rsidRPr="00CD5D09">
        <w:rPr>
          <w:sz w:val="22"/>
          <w:szCs w:val="22"/>
          <w:lang w:val="en-GB"/>
        </w:rPr>
        <w:t xml:space="preserve"> local preferences, </w:t>
      </w:r>
      <w:r w:rsidR="006B0AFA">
        <w:rPr>
          <w:sz w:val="22"/>
          <w:szCs w:val="22"/>
          <w:lang w:val="en-GB"/>
        </w:rPr>
        <w:t>selling</w:t>
      </w:r>
      <w:r w:rsidRPr="00CD5D09">
        <w:rPr>
          <w:sz w:val="22"/>
          <w:szCs w:val="22"/>
          <w:lang w:val="en-GB"/>
        </w:rPr>
        <w:t xml:space="preserve"> finished products</w:t>
      </w:r>
      <w:r w:rsidR="006B0AFA">
        <w:rPr>
          <w:sz w:val="22"/>
          <w:szCs w:val="22"/>
          <w:lang w:val="en-GB"/>
        </w:rPr>
        <w:t xml:space="preserve"> (rather than make-your-own) with customized</w:t>
      </w:r>
      <w:r w:rsidRPr="00CD5D09">
        <w:rPr>
          <w:sz w:val="22"/>
          <w:szCs w:val="22"/>
          <w:lang w:val="en-GB"/>
        </w:rPr>
        <w:t xml:space="preserve"> size</w:t>
      </w:r>
      <w:r w:rsidR="006B0AFA">
        <w:rPr>
          <w:sz w:val="22"/>
          <w:szCs w:val="22"/>
          <w:lang w:val="en-GB"/>
        </w:rPr>
        <w:t>s</w:t>
      </w:r>
      <w:r w:rsidRPr="00CD5D09">
        <w:rPr>
          <w:sz w:val="22"/>
          <w:szCs w:val="22"/>
          <w:lang w:val="en-GB"/>
        </w:rPr>
        <w:t xml:space="preserve"> and colour. </w:t>
      </w:r>
    </w:p>
    <w:p w14:paraId="6A8BFB5A" w14:textId="77777777" w:rsidR="00860EB3" w:rsidRDefault="00860EB3" w:rsidP="00542CB6">
      <w:pPr>
        <w:jc w:val="both"/>
        <w:rPr>
          <w:sz w:val="22"/>
          <w:szCs w:val="22"/>
          <w:lang w:val="en-GB"/>
        </w:rPr>
      </w:pPr>
    </w:p>
    <w:p w14:paraId="61D1F4A2" w14:textId="598902BC" w:rsidR="00542CB6" w:rsidRPr="00CD5D09" w:rsidRDefault="00542CB6" w:rsidP="00542CB6">
      <w:pPr>
        <w:jc w:val="both"/>
        <w:rPr>
          <w:sz w:val="22"/>
          <w:szCs w:val="22"/>
          <w:lang w:val="en-GB"/>
        </w:rPr>
      </w:pPr>
      <w:r w:rsidRPr="00CD5D09">
        <w:rPr>
          <w:sz w:val="22"/>
          <w:szCs w:val="22"/>
          <w:lang w:val="en-GB"/>
        </w:rPr>
        <w:t xml:space="preserve">The launch </w:t>
      </w:r>
      <w:r w:rsidR="006B0AFA">
        <w:rPr>
          <w:sz w:val="22"/>
          <w:szCs w:val="22"/>
          <w:lang w:val="en-GB"/>
        </w:rPr>
        <w:t xml:space="preserve">in China </w:t>
      </w:r>
      <w:r w:rsidRPr="00CD5D09">
        <w:rPr>
          <w:sz w:val="22"/>
          <w:szCs w:val="22"/>
          <w:lang w:val="en-GB"/>
        </w:rPr>
        <w:t xml:space="preserve">was successful, which reflected the market assessment capabilities of local managers. In 2009, </w:t>
      </w:r>
      <w:r w:rsidR="006B0AFA">
        <w:rPr>
          <w:sz w:val="22"/>
          <w:szCs w:val="22"/>
          <w:lang w:val="en-GB"/>
        </w:rPr>
        <w:t>with</w:t>
      </w:r>
      <w:r w:rsidRPr="00CD5D09">
        <w:rPr>
          <w:sz w:val="22"/>
          <w:szCs w:val="22"/>
          <w:lang w:val="en-GB"/>
        </w:rPr>
        <w:t xml:space="preserve"> Singaporean consumers </w:t>
      </w:r>
      <w:r w:rsidR="006B0AFA">
        <w:rPr>
          <w:sz w:val="22"/>
          <w:szCs w:val="22"/>
          <w:lang w:val="en-GB"/>
        </w:rPr>
        <w:t>continuing to</w:t>
      </w:r>
      <w:r w:rsidRPr="00CD5D09">
        <w:rPr>
          <w:sz w:val="22"/>
          <w:szCs w:val="22"/>
          <w:lang w:val="en-GB"/>
        </w:rPr>
        <w:t xml:space="preserve"> demand </w:t>
      </w:r>
      <w:r w:rsidR="006B0AFA">
        <w:rPr>
          <w:sz w:val="22"/>
          <w:szCs w:val="22"/>
          <w:lang w:val="en-GB"/>
        </w:rPr>
        <w:t xml:space="preserve">high </w:t>
      </w:r>
      <w:r w:rsidRPr="00CD5D09">
        <w:rPr>
          <w:sz w:val="22"/>
          <w:szCs w:val="22"/>
          <w:lang w:val="en-GB"/>
        </w:rPr>
        <w:t>quality</w:t>
      </w:r>
      <w:r w:rsidR="006B0AFA">
        <w:rPr>
          <w:sz w:val="22"/>
          <w:szCs w:val="22"/>
          <w:lang w:val="en-GB"/>
        </w:rPr>
        <w:t xml:space="preserve"> breads</w:t>
      </w:r>
      <w:r w:rsidRPr="00CD5D09">
        <w:rPr>
          <w:sz w:val="22"/>
          <w:szCs w:val="22"/>
          <w:lang w:val="en-GB"/>
        </w:rPr>
        <w:t xml:space="preserve">, the </w:t>
      </w:r>
      <w:r w:rsidR="00FC03D0">
        <w:rPr>
          <w:sz w:val="22"/>
          <w:szCs w:val="22"/>
          <w:lang w:val="en-GB"/>
        </w:rPr>
        <w:t>company</w:t>
      </w:r>
      <w:r w:rsidRPr="00CD5D09">
        <w:rPr>
          <w:sz w:val="22"/>
          <w:szCs w:val="22"/>
          <w:lang w:val="en-GB"/>
        </w:rPr>
        <w:t xml:space="preserve"> created </w:t>
      </w:r>
      <w:r w:rsidR="006B0AFA">
        <w:rPr>
          <w:sz w:val="22"/>
          <w:szCs w:val="22"/>
          <w:lang w:val="en-GB"/>
        </w:rPr>
        <w:t>a</w:t>
      </w:r>
      <w:r w:rsidRPr="00CD5D09">
        <w:rPr>
          <w:sz w:val="22"/>
          <w:szCs w:val="22"/>
          <w:lang w:val="en-GB"/>
        </w:rPr>
        <w:t xml:space="preserve"> high-end </w:t>
      </w:r>
      <w:r w:rsidR="006B0AFA">
        <w:rPr>
          <w:sz w:val="22"/>
          <w:szCs w:val="22"/>
          <w:lang w:val="en-GB"/>
        </w:rPr>
        <w:t xml:space="preserve">store called the </w:t>
      </w:r>
      <w:r w:rsidRPr="00CD5D09">
        <w:rPr>
          <w:sz w:val="22"/>
          <w:szCs w:val="22"/>
          <w:lang w:val="en-GB"/>
        </w:rPr>
        <w:t>Bread Society artisanal bakery, which offered European-style rustic recipe</w:t>
      </w:r>
      <w:r w:rsidR="006B0AFA">
        <w:rPr>
          <w:sz w:val="22"/>
          <w:szCs w:val="22"/>
          <w:lang w:val="en-GB"/>
        </w:rPr>
        <w:t xml:space="preserve"> product</w:t>
      </w:r>
      <w:r w:rsidRPr="00CD5D09">
        <w:rPr>
          <w:sz w:val="22"/>
          <w:szCs w:val="22"/>
          <w:lang w:val="en-GB"/>
        </w:rPr>
        <w:t xml:space="preserve">s. Quek </w:t>
      </w:r>
      <w:r w:rsidR="006B0AFA">
        <w:rPr>
          <w:sz w:val="22"/>
          <w:szCs w:val="22"/>
          <w:lang w:val="en-GB"/>
        </w:rPr>
        <w:t>explained his strategy for new stores:</w:t>
      </w:r>
      <w:r w:rsidRPr="00CD5D09">
        <w:rPr>
          <w:sz w:val="22"/>
          <w:szCs w:val="22"/>
          <w:lang w:val="en-GB"/>
        </w:rPr>
        <w:t xml:space="preserve"> “There is no need to constantly come up with new brands, but we need to regularly refresh existing brands.” </w:t>
      </w:r>
    </w:p>
    <w:p w14:paraId="4EA2E7D5" w14:textId="77777777" w:rsidR="00542CB6" w:rsidRPr="00CD5D09" w:rsidRDefault="00542CB6" w:rsidP="00542CB6">
      <w:pPr>
        <w:jc w:val="both"/>
        <w:rPr>
          <w:sz w:val="22"/>
          <w:szCs w:val="22"/>
          <w:lang w:val="en-GB"/>
        </w:rPr>
      </w:pPr>
    </w:p>
    <w:p w14:paraId="26814E08" w14:textId="38A54C31" w:rsidR="006C17F6" w:rsidRDefault="006C17F6" w:rsidP="00542CB6">
      <w:pPr>
        <w:jc w:val="both"/>
        <w:rPr>
          <w:sz w:val="22"/>
          <w:szCs w:val="22"/>
          <w:lang w:val="en-GB"/>
        </w:rPr>
      </w:pPr>
      <w:r>
        <w:rPr>
          <w:sz w:val="22"/>
          <w:szCs w:val="22"/>
          <w:lang w:val="en-GB"/>
        </w:rPr>
        <w:t>T</w:t>
      </w:r>
      <w:r w:rsidR="00542CB6" w:rsidRPr="00CD5D09">
        <w:rPr>
          <w:sz w:val="22"/>
          <w:szCs w:val="22"/>
          <w:lang w:val="en-GB"/>
        </w:rPr>
        <w:t>he 2008–09 global financial crisis</w:t>
      </w:r>
      <w:r>
        <w:rPr>
          <w:sz w:val="22"/>
          <w:szCs w:val="22"/>
          <w:lang w:val="en-GB"/>
        </w:rPr>
        <w:t xml:space="preserve"> caused great challenges</w:t>
      </w:r>
      <w:r w:rsidR="00E2342C">
        <w:rPr>
          <w:sz w:val="22"/>
          <w:szCs w:val="22"/>
          <w:lang w:val="en-GB"/>
        </w:rPr>
        <w:t>. However, it</w:t>
      </w:r>
      <w:r>
        <w:rPr>
          <w:sz w:val="22"/>
          <w:szCs w:val="22"/>
          <w:lang w:val="en-GB"/>
        </w:rPr>
        <w:t xml:space="preserve"> also made available new locations and skilled employees</w:t>
      </w:r>
      <w:r w:rsidR="00E2342C">
        <w:rPr>
          <w:sz w:val="22"/>
          <w:szCs w:val="22"/>
          <w:lang w:val="en-GB"/>
        </w:rPr>
        <w:t>, which</w:t>
      </w:r>
      <w:r w:rsidR="00542CB6" w:rsidRPr="00CD5D09">
        <w:rPr>
          <w:sz w:val="22"/>
          <w:szCs w:val="22"/>
          <w:lang w:val="en-GB"/>
        </w:rPr>
        <w:t xml:space="preserve"> Quek s</w:t>
      </w:r>
      <w:r w:rsidR="00E2342C">
        <w:rPr>
          <w:sz w:val="22"/>
          <w:szCs w:val="22"/>
          <w:lang w:val="en-GB"/>
        </w:rPr>
        <w:t>aw</w:t>
      </w:r>
      <w:r w:rsidR="00542CB6" w:rsidRPr="00CD5D09">
        <w:rPr>
          <w:sz w:val="22"/>
          <w:szCs w:val="22"/>
          <w:lang w:val="en-GB"/>
        </w:rPr>
        <w:t xml:space="preserve"> </w:t>
      </w:r>
      <w:r w:rsidR="00E2342C">
        <w:rPr>
          <w:sz w:val="22"/>
          <w:szCs w:val="22"/>
          <w:lang w:val="en-GB"/>
        </w:rPr>
        <w:t xml:space="preserve">as </w:t>
      </w:r>
      <w:r w:rsidR="00542CB6" w:rsidRPr="00CD5D09">
        <w:rPr>
          <w:sz w:val="22"/>
          <w:szCs w:val="22"/>
          <w:lang w:val="en-GB"/>
        </w:rPr>
        <w:t>an opportunity to quickly expand</w:t>
      </w:r>
      <w:r>
        <w:rPr>
          <w:sz w:val="22"/>
          <w:szCs w:val="22"/>
          <w:lang w:val="en-GB"/>
        </w:rPr>
        <w:t xml:space="preserve"> the business</w:t>
      </w:r>
      <w:r w:rsidR="00542CB6" w:rsidRPr="00CD5D09">
        <w:rPr>
          <w:sz w:val="22"/>
          <w:szCs w:val="22"/>
          <w:lang w:val="en-GB"/>
        </w:rPr>
        <w:t>. By 2010</w:t>
      </w:r>
      <w:r>
        <w:rPr>
          <w:sz w:val="22"/>
          <w:szCs w:val="22"/>
          <w:lang w:val="en-GB"/>
        </w:rPr>
        <w:t xml:space="preserve">, on </w:t>
      </w:r>
      <w:proofErr w:type="spellStart"/>
      <w:r>
        <w:rPr>
          <w:sz w:val="22"/>
          <w:szCs w:val="22"/>
          <w:lang w:val="en-GB"/>
        </w:rPr>
        <w:t>BreadTalk’s</w:t>
      </w:r>
      <w:proofErr w:type="spellEnd"/>
      <w:r w:rsidR="00542CB6" w:rsidRPr="00CD5D09">
        <w:rPr>
          <w:sz w:val="22"/>
          <w:szCs w:val="22"/>
          <w:lang w:val="en-GB"/>
        </w:rPr>
        <w:t xml:space="preserve"> 10th anniversary</w:t>
      </w:r>
      <w:r>
        <w:rPr>
          <w:sz w:val="22"/>
          <w:szCs w:val="22"/>
          <w:lang w:val="en-GB"/>
        </w:rPr>
        <w:t xml:space="preserve">, </w:t>
      </w:r>
      <w:r w:rsidR="00542CB6" w:rsidRPr="00CD5D09">
        <w:rPr>
          <w:sz w:val="22"/>
          <w:szCs w:val="22"/>
          <w:lang w:val="en-GB"/>
        </w:rPr>
        <w:t xml:space="preserve">the </w:t>
      </w:r>
      <w:r>
        <w:rPr>
          <w:sz w:val="22"/>
          <w:szCs w:val="22"/>
          <w:lang w:val="en-GB"/>
        </w:rPr>
        <w:t>total number of</w:t>
      </w:r>
      <w:r w:rsidR="00542CB6" w:rsidRPr="00CD5D09">
        <w:rPr>
          <w:sz w:val="22"/>
          <w:szCs w:val="22"/>
          <w:lang w:val="en-GB"/>
        </w:rPr>
        <w:t xml:space="preserve"> </w:t>
      </w:r>
      <w:r w:rsidR="00E2342C">
        <w:rPr>
          <w:sz w:val="22"/>
          <w:szCs w:val="22"/>
          <w:lang w:val="en-GB"/>
        </w:rPr>
        <w:t>stores</w:t>
      </w:r>
      <w:r w:rsidR="00542CB6" w:rsidRPr="00CD5D09">
        <w:rPr>
          <w:sz w:val="22"/>
          <w:szCs w:val="22"/>
          <w:lang w:val="en-GB"/>
        </w:rPr>
        <w:t xml:space="preserve"> in Asia and the Middle East </w:t>
      </w:r>
      <w:r>
        <w:rPr>
          <w:sz w:val="22"/>
          <w:szCs w:val="22"/>
          <w:lang w:val="en-GB"/>
        </w:rPr>
        <w:t xml:space="preserve">had increased </w:t>
      </w:r>
      <w:r w:rsidR="00542CB6" w:rsidRPr="00CD5D09">
        <w:rPr>
          <w:sz w:val="22"/>
          <w:szCs w:val="22"/>
          <w:lang w:val="en-GB"/>
        </w:rPr>
        <w:t xml:space="preserve">to 448. In 2012, the </w:t>
      </w:r>
      <w:r w:rsidR="00FC03D0">
        <w:rPr>
          <w:sz w:val="22"/>
          <w:szCs w:val="22"/>
          <w:lang w:val="en-GB"/>
        </w:rPr>
        <w:t>company</w:t>
      </w:r>
      <w:r w:rsidR="00542CB6" w:rsidRPr="00CD5D09">
        <w:rPr>
          <w:sz w:val="22"/>
          <w:szCs w:val="22"/>
          <w:lang w:val="en-GB"/>
        </w:rPr>
        <w:t xml:space="preserve"> revived </w:t>
      </w:r>
      <w:r>
        <w:rPr>
          <w:sz w:val="22"/>
          <w:szCs w:val="22"/>
          <w:lang w:val="en-GB"/>
        </w:rPr>
        <w:t>the</w:t>
      </w:r>
      <w:r w:rsidR="00542CB6" w:rsidRPr="00CD5D09">
        <w:rPr>
          <w:sz w:val="22"/>
          <w:szCs w:val="22"/>
          <w:lang w:val="en-GB"/>
        </w:rPr>
        <w:t xml:space="preserve"> 70-year-old traditional Chinese confectionery </w:t>
      </w:r>
      <w:proofErr w:type="spellStart"/>
      <w:r w:rsidR="00542CB6" w:rsidRPr="00CD5D09">
        <w:rPr>
          <w:sz w:val="22"/>
          <w:szCs w:val="22"/>
          <w:lang w:val="en-GB"/>
        </w:rPr>
        <w:t>Thye</w:t>
      </w:r>
      <w:proofErr w:type="spellEnd"/>
      <w:r w:rsidR="00542CB6" w:rsidRPr="00CD5D09">
        <w:rPr>
          <w:sz w:val="22"/>
          <w:szCs w:val="22"/>
          <w:lang w:val="en-GB"/>
        </w:rPr>
        <w:t xml:space="preserve"> </w:t>
      </w:r>
      <w:proofErr w:type="spellStart"/>
      <w:r w:rsidR="00542CB6" w:rsidRPr="00CD5D09">
        <w:rPr>
          <w:sz w:val="22"/>
          <w:szCs w:val="22"/>
          <w:lang w:val="en-GB"/>
        </w:rPr>
        <w:t>Moh</w:t>
      </w:r>
      <w:proofErr w:type="spellEnd"/>
      <w:r w:rsidR="00542CB6" w:rsidRPr="00CD5D09">
        <w:rPr>
          <w:sz w:val="22"/>
          <w:szCs w:val="22"/>
          <w:lang w:val="en-GB"/>
        </w:rPr>
        <w:t xml:space="preserve"> Chan, </w:t>
      </w:r>
      <w:r>
        <w:rPr>
          <w:sz w:val="22"/>
          <w:szCs w:val="22"/>
          <w:lang w:val="en-GB"/>
        </w:rPr>
        <w:t xml:space="preserve">with a goal </w:t>
      </w:r>
      <w:r w:rsidR="00542CB6" w:rsidRPr="00CD5D09">
        <w:rPr>
          <w:sz w:val="22"/>
          <w:szCs w:val="22"/>
          <w:lang w:val="en-GB"/>
        </w:rPr>
        <w:t xml:space="preserve">to </w:t>
      </w:r>
      <w:r>
        <w:rPr>
          <w:sz w:val="22"/>
          <w:szCs w:val="22"/>
          <w:lang w:val="en-GB"/>
        </w:rPr>
        <w:t>turn it into</w:t>
      </w:r>
      <w:r w:rsidR="00542CB6" w:rsidRPr="00CD5D09">
        <w:rPr>
          <w:sz w:val="22"/>
          <w:szCs w:val="22"/>
          <w:lang w:val="en-GB"/>
        </w:rPr>
        <w:t xml:space="preserve"> a cultural and heritage icon </w:t>
      </w:r>
      <w:r>
        <w:rPr>
          <w:sz w:val="22"/>
          <w:szCs w:val="22"/>
          <w:lang w:val="en-GB"/>
        </w:rPr>
        <w:t>in</w:t>
      </w:r>
      <w:r w:rsidR="00542CB6" w:rsidRPr="00CD5D09">
        <w:rPr>
          <w:sz w:val="22"/>
          <w:szCs w:val="22"/>
          <w:lang w:val="en-GB"/>
        </w:rPr>
        <w:t xml:space="preserve"> Singapore. </w:t>
      </w:r>
    </w:p>
    <w:p w14:paraId="674AE086" w14:textId="77777777" w:rsidR="006C17F6" w:rsidRDefault="006C17F6" w:rsidP="00542CB6">
      <w:pPr>
        <w:jc w:val="both"/>
        <w:rPr>
          <w:sz w:val="22"/>
          <w:szCs w:val="22"/>
          <w:lang w:val="en-GB"/>
        </w:rPr>
      </w:pPr>
    </w:p>
    <w:p w14:paraId="5AA4AF51" w14:textId="3B4BEFFE" w:rsidR="00542CB6" w:rsidRPr="00CD5D09" w:rsidRDefault="00542CB6" w:rsidP="00542CB6">
      <w:pPr>
        <w:jc w:val="both"/>
        <w:rPr>
          <w:sz w:val="22"/>
          <w:szCs w:val="22"/>
          <w:highlight w:val="yellow"/>
          <w:lang w:val="en-GB"/>
        </w:rPr>
      </w:pPr>
      <w:r w:rsidRPr="00CD5D09">
        <w:rPr>
          <w:sz w:val="22"/>
          <w:szCs w:val="22"/>
          <w:lang w:val="en-GB"/>
        </w:rPr>
        <w:t>In 2017, the bakery division contributed 50</w:t>
      </w:r>
      <w:r w:rsidR="006C17F6">
        <w:rPr>
          <w:sz w:val="22"/>
          <w:szCs w:val="22"/>
          <w:lang w:val="en-GB"/>
        </w:rPr>
        <w:t xml:space="preserve"> per cent</w:t>
      </w:r>
      <w:r w:rsidRPr="00CD5D09">
        <w:rPr>
          <w:sz w:val="22"/>
          <w:szCs w:val="22"/>
          <w:lang w:val="en-GB"/>
        </w:rPr>
        <w:t xml:space="preserve"> of </w:t>
      </w:r>
      <w:proofErr w:type="spellStart"/>
      <w:r w:rsidR="006C17F6">
        <w:rPr>
          <w:sz w:val="22"/>
          <w:szCs w:val="22"/>
          <w:lang w:val="en-GB"/>
        </w:rPr>
        <w:t>BreadTalk</w:t>
      </w:r>
      <w:r w:rsidRPr="00CD5D09">
        <w:rPr>
          <w:sz w:val="22"/>
          <w:szCs w:val="22"/>
          <w:lang w:val="en-GB"/>
        </w:rPr>
        <w:t>’s</w:t>
      </w:r>
      <w:proofErr w:type="spellEnd"/>
      <w:r w:rsidRPr="00CD5D09">
        <w:rPr>
          <w:sz w:val="22"/>
          <w:szCs w:val="22"/>
          <w:lang w:val="en-GB"/>
        </w:rPr>
        <w:t xml:space="preserve"> total revenue (see Exhibit 2). Over the years, </w:t>
      </w:r>
      <w:proofErr w:type="spellStart"/>
      <w:r w:rsidRPr="00CD5D09">
        <w:rPr>
          <w:sz w:val="22"/>
          <w:szCs w:val="22"/>
          <w:lang w:val="en-GB"/>
        </w:rPr>
        <w:t>BreadTalk’s</w:t>
      </w:r>
      <w:proofErr w:type="spellEnd"/>
      <w:r w:rsidRPr="00CD5D09">
        <w:rPr>
          <w:sz w:val="22"/>
          <w:szCs w:val="22"/>
          <w:lang w:val="en-GB"/>
        </w:rPr>
        <w:t xml:space="preserve"> rapid overseas expansion relied </w:t>
      </w:r>
      <w:r w:rsidR="006C17F6">
        <w:rPr>
          <w:sz w:val="22"/>
          <w:szCs w:val="22"/>
          <w:lang w:val="en-GB"/>
        </w:rPr>
        <w:t xml:space="preserve">heavily </w:t>
      </w:r>
      <w:r w:rsidRPr="00CD5D09">
        <w:rPr>
          <w:sz w:val="22"/>
          <w:szCs w:val="22"/>
          <w:lang w:val="en-GB"/>
        </w:rPr>
        <w:t xml:space="preserve">on </w:t>
      </w:r>
      <w:r w:rsidR="006C17F6">
        <w:rPr>
          <w:sz w:val="22"/>
          <w:szCs w:val="22"/>
          <w:lang w:val="en-GB"/>
        </w:rPr>
        <w:t xml:space="preserve">the success of </w:t>
      </w:r>
      <w:r w:rsidRPr="00CD5D09">
        <w:rPr>
          <w:sz w:val="22"/>
          <w:szCs w:val="22"/>
          <w:lang w:val="en-GB"/>
        </w:rPr>
        <w:t>franchises</w:t>
      </w:r>
      <w:r w:rsidR="006C17F6">
        <w:rPr>
          <w:sz w:val="22"/>
          <w:szCs w:val="22"/>
          <w:lang w:val="en-GB"/>
        </w:rPr>
        <w:t>, b</w:t>
      </w:r>
      <w:r w:rsidRPr="00CD5D09">
        <w:rPr>
          <w:sz w:val="22"/>
          <w:szCs w:val="22"/>
          <w:lang w:val="en-GB"/>
        </w:rPr>
        <w:t xml:space="preserve">ut </w:t>
      </w:r>
      <w:r w:rsidR="006C17F6">
        <w:rPr>
          <w:sz w:val="22"/>
          <w:szCs w:val="22"/>
          <w:lang w:val="en-GB"/>
        </w:rPr>
        <w:t>the company would quickly terminate its relationship with any poor</w:t>
      </w:r>
      <w:r w:rsidR="00E2342C">
        <w:rPr>
          <w:sz w:val="22"/>
          <w:szCs w:val="22"/>
          <w:lang w:val="en-GB"/>
        </w:rPr>
        <w:t>ly-</w:t>
      </w:r>
      <w:r w:rsidR="006C17F6">
        <w:rPr>
          <w:sz w:val="22"/>
          <w:szCs w:val="22"/>
          <w:lang w:val="en-GB"/>
        </w:rPr>
        <w:t>performing</w:t>
      </w:r>
      <w:r w:rsidRPr="00CD5D09">
        <w:rPr>
          <w:sz w:val="22"/>
          <w:szCs w:val="22"/>
          <w:lang w:val="en-GB"/>
        </w:rPr>
        <w:t xml:space="preserve"> franchise</w:t>
      </w:r>
      <w:r w:rsidR="00E2342C">
        <w:rPr>
          <w:sz w:val="22"/>
          <w:szCs w:val="22"/>
          <w:lang w:val="en-GB"/>
        </w:rPr>
        <w:t>e</w:t>
      </w:r>
      <w:r w:rsidR="006C17F6">
        <w:rPr>
          <w:sz w:val="22"/>
          <w:szCs w:val="22"/>
          <w:lang w:val="en-GB"/>
        </w:rPr>
        <w:t xml:space="preserve"> to avoid an</w:t>
      </w:r>
      <w:r w:rsidR="00E2342C">
        <w:rPr>
          <w:sz w:val="22"/>
          <w:szCs w:val="22"/>
          <w:lang w:val="en-GB"/>
        </w:rPr>
        <w:t>y</w:t>
      </w:r>
      <w:r w:rsidRPr="00CD5D09">
        <w:rPr>
          <w:sz w:val="22"/>
          <w:szCs w:val="22"/>
          <w:lang w:val="en-GB"/>
        </w:rPr>
        <w:t xml:space="preserve"> damage </w:t>
      </w:r>
      <w:r w:rsidR="006C17F6">
        <w:rPr>
          <w:sz w:val="22"/>
          <w:szCs w:val="22"/>
          <w:lang w:val="en-GB"/>
        </w:rPr>
        <w:t xml:space="preserve">to </w:t>
      </w:r>
      <w:r w:rsidRPr="00CD5D09">
        <w:rPr>
          <w:sz w:val="22"/>
          <w:szCs w:val="22"/>
          <w:lang w:val="en-GB"/>
        </w:rPr>
        <w:t xml:space="preserve">the </w:t>
      </w:r>
      <w:proofErr w:type="spellStart"/>
      <w:r w:rsidR="00E2342C">
        <w:rPr>
          <w:sz w:val="22"/>
          <w:szCs w:val="22"/>
          <w:lang w:val="en-GB"/>
        </w:rPr>
        <w:t>BreadTalk</w:t>
      </w:r>
      <w:proofErr w:type="spellEnd"/>
      <w:r w:rsidR="00E2342C">
        <w:rPr>
          <w:sz w:val="22"/>
          <w:szCs w:val="22"/>
          <w:lang w:val="en-GB"/>
        </w:rPr>
        <w:t xml:space="preserve"> </w:t>
      </w:r>
      <w:r w:rsidRPr="00CD5D09">
        <w:rPr>
          <w:sz w:val="22"/>
          <w:szCs w:val="22"/>
          <w:lang w:val="en-GB"/>
        </w:rPr>
        <w:t xml:space="preserve">brand image, even </w:t>
      </w:r>
      <w:r w:rsidR="006C17F6">
        <w:rPr>
          <w:sz w:val="22"/>
          <w:szCs w:val="22"/>
          <w:lang w:val="en-GB"/>
        </w:rPr>
        <w:t>if it meant</w:t>
      </w:r>
      <w:r w:rsidRPr="00CD5D09">
        <w:rPr>
          <w:sz w:val="22"/>
          <w:szCs w:val="22"/>
          <w:lang w:val="en-GB"/>
        </w:rPr>
        <w:t xml:space="preserve"> exit</w:t>
      </w:r>
      <w:r w:rsidR="006C17F6">
        <w:rPr>
          <w:sz w:val="22"/>
          <w:szCs w:val="22"/>
          <w:lang w:val="en-GB"/>
        </w:rPr>
        <w:t>ing</w:t>
      </w:r>
      <w:r w:rsidRPr="00CD5D09">
        <w:rPr>
          <w:sz w:val="22"/>
          <w:szCs w:val="22"/>
          <w:lang w:val="en-GB"/>
        </w:rPr>
        <w:t xml:space="preserve"> th</w:t>
      </w:r>
      <w:r w:rsidR="00E2342C">
        <w:rPr>
          <w:sz w:val="22"/>
          <w:szCs w:val="22"/>
          <w:lang w:val="en-GB"/>
        </w:rPr>
        <w:t>at</w:t>
      </w:r>
      <w:r w:rsidRPr="00CD5D09">
        <w:rPr>
          <w:sz w:val="22"/>
          <w:szCs w:val="22"/>
          <w:lang w:val="en-GB"/>
        </w:rPr>
        <w:t xml:space="preserve"> territory</w:t>
      </w:r>
      <w:r w:rsidR="00E2342C">
        <w:rPr>
          <w:sz w:val="22"/>
          <w:szCs w:val="22"/>
          <w:lang w:val="en-GB"/>
        </w:rPr>
        <w:t xml:space="preserve"> completely</w:t>
      </w:r>
      <w:r w:rsidRPr="00CD5D09">
        <w:rPr>
          <w:sz w:val="22"/>
          <w:szCs w:val="22"/>
          <w:lang w:val="en-GB"/>
        </w:rPr>
        <w:t>.</w:t>
      </w:r>
      <w:r w:rsidR="00E2342C">
        <w:rPr>
          <w:sz w:val="22"/>
          <w:szCs w:val="22"/>
          <w:lang w:val="en-GB"/>
        </w:rPr>
        <w:t xml:space="preserve"> </w:t>
      </w:r>
      <w:r w:rsidR="006C17F6">
        <w:rPr>
          <w:sz w:val="22"/>
          <w:szCs w:val="22"/>
          <w:lang w:val="en-GB"/>
        </w:rPr>
        <w:t xml:space="preserve">To control the company’s image, </w:t>
      </w:r>
      <w:proofErr w:type="spellStart"/>
      <w:r w:rsidR="006C17F6">
        <w:rPr>
          <w:sz w:val="22"/>
          <w:szCs w:val="22"/>
          <w:lang w:val="en-GB"/>
        </w:rPr>
        <w:t>BreadTalk</w:t>
      </w:r>
      <w:proofErr w:type="spellEnd"/>
      <w:r w:rsidR="006C17F6">
        <w:rPr>
          <w:sz w:val="22"/>
          <w:szCs w:val="22"/>
          <w:lang w:val="en-GB"/>
        </w:rPr>
        <w:t xml:space="preserve"> was</w:t>
      </w:r>
      <w:r w:rsidRPr="00CD5D09">
        <w:rPr>
          <w:sz w:val="22"/>
          <w:szCs w:val="22"/>
          <w:lang w:val="en-GB"/>
        </w:rPr>
        <w:t xml:space="preserve"> open</w:t>
      </w:r>
      <w:r w:rsidR="006C17F6">
        <w:rPr>
          <w:sz w:val="22"/>
          <w:szCs w:val="22"/>
          <w:lang w:val="en-GB"/>
        </w:rPr>
        <w:t>ing</w:t>
      </w:r>
      <w:r w:rsidRPr="00CD5D09">
        <w:rPr>
          <w:sz w:val="22"/>
          <w:szCs w:val="22"/>
          <w:lang w:val="en-GB"/>
        </w:rPr>
        <w:t xml:space="preserve"> and clos</w:t>
      </w:r>
      <w:r w:rsidR="006C17F6">
        <w:rPr>
          <w:sz w:val="22"/>
          <w:szCs w:val="22"/>
          <w:lang w:val="en-GB"/>
        </w:rPr>
        <w:t>ing down</w:t>
      </w:r>
      <w:r w:rsidRPr="00CD5D09">
        <w:rPr>
          <w:sz w:val="22"/>
          <w:szCs w:val="22"/>
          <w:lang w:val="en-GB"/>
        </w:rPr>
        <w:t xml:space="preserve"> a similar number of bakery outlets e</w:t>
      </w:r>
      <w:r w:rsidR="006C17F6">
        <w:rPr>
          <w:sz w:val="22"/>
          <w:szCs w:val="22"/>
          <w:lang w:val="en-GB"/>
        </w:rPr>
        <w:t>ach</w:t>
      </w:r>
      <w:r w:rsidRPr="00CD5D09">
        <w:rPr>
          <w:sz w:val="22"/>
          <w:szCs w:val="22"/>
          <w:lang w:val="en-GB"/>
        </w:rPr>
        <w:t xml:space="preserve"> year (see Exhibit 5). By the end of 2017, </w:t>
      </w:r>
      <w:proofErr w:type="spellStart"/>
      <w:r w:rsidRPr="00CD5D09">
        <w:rPr>
          <w:sz w:val="22"/>
          <w:szCs w:val="22"/>
          <w:lang w:val="en-GB"/>
        </w:rPr>
        <w:t>BreadTalk</w:t>
      </w:r>
      <w:proofErr w:type="spellEnd"/>
      <w:r w:rsidRPr="00CD5D09">
        <w:rPr>
          <w:sz w:val="22"/>
          <w:szCs w:val="22"/>
          <w:lang w:val="en-GB"/>
        </w:rPr>
        <w:t xml:space="preserve"> had 871 </w:t>
      </w:r>
      <w:r w:rsidR="00E2342C">
        <w:rPr>
          <w:sz w:val="22"/>
          <w:szCs w:val="22"/>
          <w:lang w:val="en-GB"/>
        </w:rPr>
        <w:t>stores</w:t>
      </w:r>
      <w:r w:rsidRPr="00CD5D09">
        <w:rPr>
          <w:sz w:val="22"/>
          <w:szCs w:val="22"/>
          <w:lang w:val="en-GB"/>
        </w:rPr>
        <w:t xml:space="preserve"> in Asia and the Middle East, of which 240 were directly operated by the </w:t>
      </w:r>
      <w:r w:rsidR="00FC03D0">
        <w:rPr>
          <w:sz w:val="22"/>
          <w:szCs w:val="22"/>
          <w:lang w:val="en-GB"/>
        </w:rPr>
        <w:t>company</w:t>
      </w:r>
      <w:r w:rsidRPr="00CD5D09">
        <w:rPr>
          <w:sz w:val="22"/>
          <w:szCs w:val="22"/>
          <w:lang w:val="en-GB"/>
        </w:rPr>
        <w:t xml:space="preserve"> and 631 were franchises. Mainland China had the highest number of bakery outlets</w:t>
      </w:r>
      <w:r w:rsidR="006C17F6">
        <w:rPr>
          <w:sz w:val="22"/>
          <w:szCs w:val="22"/>
          <w:lang w:val="en-GB"/>
        </w:rPr>
        <w:t xml:space="preserve">, with </w:t>
      </w:r>
      <w:r w:rsidRPr="00CD5D09">
        <w:rPr>
          <w:sz w:val="22"/>
          <w:szCs w:val="22"/>
          <w:lang w:val="en-GB"/>
        </w:rPr>
        <w:t xml:space="preserve">361 </w:t>
      </w:r>
      <w:r w:rsidR="00E2342C">
        <w:rPr>
          <w:sz w:val="22"/>
          <w:szCs w:val="22"/>
          <w:lang w:val="en-GB"/>
        </w:rPr>
        <w:t>stores</w:t>
      </w:r>
      <w:r w:rsidRPr="00CD5D09">
        <w:rPr>
          <w:sz w:val="22"/>
          <w:szCs w:val="22"/>
          <w:lang w:val="en-GB"/>
        </w:rPr>
        <w:t xml:space="preserve"> in more than 50 cities, of which over 75</w:t>
      </w:r>
      <w:r w:rsidR="006C17F6">
        <w:rPr>
          <w:sz w:val="22"/>
          <w:szCs w:val="22"/>
          <w:lang w:val="en-GB"/>
        </w:rPr>
        <w:t xml:space="preserve"> per cent</w:t>
      </w:r>
      <w:r w:rsidRPr="00CD5D09">
        <w:rPr>
          <w:sz w:val="22"/>
          <w:szCs w:val="22"/>
          <w:lang w:val="en-GB"/>
        </w:rPr>
        <w:t xml:space="preserve"> were franchises. The next </w:t>
      </w:r>
      <w:r w:rsidR="006C17F6">
        <w:rPr>
          <w:sz w:val="22"/>
          <w:szCs w:val="22"/>
          <w:lang w:val="en-GB"/>
        </w:rPr>
        <w:t xml:space="preserve">two </w:t>
      </w:r>
      <w:r w:rsidR="00E2342C">
        <w:rPr>
          <w:sz w:val="22"/>
          <w:szCs w:val="22"/>
          <w:lang w:val="en-GB"/>
        </w:rPr>
        <w:t xml:space="preserve">markets, in terms of </w:t>
      </w:r>
      <w:r w:rsidRPr="00CD5D09">
        <w:rPr>
          <w:sz w:val="22"/>
          <w:szCs w:val="22"/>
          <w:lang w:val="en-GB"/>
        </w:rPr>
        <w:t>importan</w:t>
      </w:r>
      <w:r w:rsidR="00E2342C">
        <w:rPr>
          <w:sz w:val="22"/>
          <w:szCs w:val="22"/>
          <w:lang w:val="en-GB"/>
        </w:rPr>
        <w:t>ce,</w:t>
      </w:r>
      <w:r w:rsidRPr="00CD5D09">
        <w:rPr>
          <w:sz w:val="22"/>
          <w:szCs w:val="22"/>
          <w:lang w:val="en-GB"/>
        </w:rPr>
        <w:t xml:space="preserve"> were Hong Kong and Thailand.  </w:t>
      </w:r>
    </w:p>
    <w:p w14:paraId="7AE6A790" w14:textId="320D9C98" w:rsidR="00542CB6" w:rsidRPr="00CD5D09" w:rsidRDefault="00542CB6" w:rsidP="00542CB6">
      <w:pPr>
        <w:jc w:val="both"/>
        <w:rPr>
          <w:sz w:val="22"/>
          <w:szCs w:val="22"/>
          <w:lang w:val="en-GB"/>
        </w:rPr>
      </w:pPr>
    </w:p>
    <w:p w14:paraId="4F3D3155" w14:textId="77777777" w:rsidR="00542CB6" w:rsidRPr="00CD5D09" w:rsidRDefault="00542CB6" w:rsidP="00542CB6">
      <w:pPr>
        <w:jc w:val="both"/>
        <w:rPr>
          <w:sz w:val="22"/>
          <w:szCs w:val="22"/>
          <w:lang w:val="en-GB"/>
        </w:rPr>
      </w:pPr>
    </w:p>
    <w:p w14:paraId="7DB74A27" w14:textId="7C467D38" w:rsidR="00542CB6" w:rsidRPr="00CD5D09" w:rsidRDefault="00542CB6" w:rsidP="00542CB6">
      <w:pPr>
        <w:pStyle w:val="Casehead2"/>
        <w:rPr>
          <w:rFonts w:eastAsia="SimSun"/>
          <w:lang w:val="en-GB" w:eastAsia="zh-CN"/>
        </w:rPr>
      </w:pPr>
      <w:r w:rsidRPr="00CD5D09">
        <w:rPr>
          <w:lang w:val="en-GB"/>
        </w:rPr>
        <w:t xml:space="preserve">Three </w:t>
      </w:r>
      <w:r w:rsidR="00860EB3">
        <w:rPr>
          <w:lang w:val="en-GB"/>
        </w:rPr>
        <w:t>New</w:t>
      </w:r>
      <w:r w:rsidRPr="00CD5D09">
        <w:rPr>
          <w:lang w:val="en-GB"/>
        </w:rPr>
        <w:t xml:space="preserve"> F&amp;B Divisions</w:t>
      </w:r>
      <w:r w:rsidR="00860EB3">
        <w:rPr>
          <w:lang w:val="en-GB"/>
        </w:rPr>
        <w:t>: Restaurants, Food Atriums, and 4orth Food Concept Stores</w:t>
      </w:r>
    </w:p>
    <w:p w14:paraId="7BA4AA55" w14:textId="77777777" w:rsidR="00542CB6" w:rsidRPr="00CD5D09" w:rsidRDefault="00542CB6" w:rsidP="00542CB6">
      <w:pPr>
        <w:jc w:val="both"/>
        <w:rPr>
          <w:sz w:val="22"/>
          <w:szCs w:val="22"/>
          <w:lang w:val="en-GB"/>
        </w:rPr>
      </w:pPr>
    </w:p>
    <w:p w14:paraId="77277BEE" w14:textId="38477372" w:rsidR="00542CB6" w:rsidRPr="00CD5D09" w:rsidRDefault="00542CB6" w:rsidP="00542CB6">
      <w:pPr>
        <w:pStyle w:val="Casehead3"/>
        <w:rPr>
          <w:lang w:val="en-GB"/>
        </w:rPr>
      </w:pPr>
      <w:r w:rsidRPr="00CD5D09">
        <w:rPr>
          <w:lang w:val="en-GB"/>
        </w:rPr>
        <w:t>Restaurant</w:t>
      </w:r>
      <w:r w:rsidR="00F857CA">
        <w:rPr>
          <w:lang w:val="en-GB"/>
        </w:rPr>
        <w:t>s</w:t>
      </w:r>
      <w:r w:rsidRPr="00CD5D09">
        <w:rPr>
          <w:lang w:val="en-GB"/>
        </w:rPr>
        <w:t xml:space="preserve"> </w:t>
      </w:r>
    </w:p>
    <w:p w14:paraId="40CA5FCF" w14:textId="77777777" w:rsidR="00542CB6" w:rsidRPr="00CD5D09" w:rsidRDefault="00542CB6" w:rsidP="00542CB6">
      <w:pPr>
        <w:jc w:val="both"/>
        <w:rPr>
          <w:sz w:val="22"/>
          <w:szCs w:val="22"/>
          <w:lang w:val="en-GB"/>
        </w:rPr>
      </w:pPr>
    </w:p>
    <w:p w14:paraId="2ECA55E7" w14:textId="1176B5DE" w:rsidR="00542CB6" w:rsidRPr="00CD5D09" w:rsidRDefault="00542CB6" w:rsidP="00542CB6">
      <w:pPr>
        <w:jc w:val="both"/>
        <w:rPr>
          <w:rFonts w:eastAsia="SimSun"/>
          <w:sz w:val="22"/>
          <w:szCs w:val="22"/>
          <w:lang w:val="en-GB" w:eastAsia="zh-CN"/>
        </w:rPr>
      </w:pPr>
      <w:r w:rsidRPr="00CD5D09">
        <w:rPr>
          <w:sz w:val="22"/>
          <w:szCs w:val="22"/>
          <w:lang w:val="en-GB"/>
        </w:rPr>
        <w:t xml:space="preserve">In 2004, </w:t>
      </w:r>
      <w:proofErr w:type="spellStart"/>
      <w:r w:rsidR="00860EB3">
        <w:rPr>
          <w:sz w:val="22"/>
          <w:szCs w:val="22"/>
          <w:lang w:val="en-GB"/>
        </w:rPr>
        <w:t>BreadTalk</w:t>
      </w:r>
      <w:proofErr w:type="spellEnd"/>
      <w:r w:rsidR="00860EB3">
        <w:rPr>
          <w:sz w:val="22"/>
          <w:szCs w:val="22"/>
          <w:lang w:val="en-GB"/>
        </w:rPr>
        <w:t xml:space="preserve"> opened the</w:t>
      </w:r>
      <w:r w:rsidRPr="00CD5D09">
        <w:rPr>
          <w:sz w:val="22"/>
          <w:szCs w:val="22"/>
          <w:lang w:val="en-GB"/>
        </w:rPr>
        <w:t xml:space="preserve"> </w:t>
      </w:r>
      <w:r w:rsidR="00860EB3">
        <w:rPr>
          <w:sz w:val="22"/>
          <w:szCs w:val="22"/>
          <w:lang w:val="en-GB"/>
        </w:rPr>
        <w:t xml:space="preserve">Taiwan </w:t>
      </w:r>
      <w:r w:rsidRPr="00CD5D09">
        <w:rPr>
          <w:sz w:val="22"/>
          <w:szCs w:val="22"/>
          <w:lang w:val="en-GB"/>
        </w:rPr>
        <w:t xml:space="preserve">world-class restaurant Din Tai Fung </w:t>
      </w:r>
      <w:r w:rsidR="00860EB3">
        <w:rPr>
          <w:sz w:val="22"/>
          <w:szCs w:val="22"/>
          <w:lang w:val="en-GB"/>
        </w:rPr>
        <w:t>in</w:t>
      </w:r>
      <w:r w:rsidRPr="00CD5D09">
        <w:rPr>
          <w:sz w:val="22"/>
          <w:szCs w:val="22"/>
          <w:lang w:val="en-GB"/>
        </w:rPr>
        <w:t xml:space="preserve"> Singapore. Quek </w:t>
      </w:r>
      <w:r w:rsidR="00860EB3">
        <w:rPr>
          <w:sz w:val="22"/>
          <w:szCs w:val="22"/>
          <w:lang w:val="en-GB"/>
        </w:rPr>
        <w:t>explained the process:</w:t>
      </w:r>
      <w:r w:rsidRPr="00CD5D09">
        <w:rPr>
          <w:sz w:val="22"/>
          <w:szCs w:val="22"/>
          <w:lang w:val="en-GB"/>
        </w:rPr>
        <w:t xml:space="preserve"> “I knew Mr. Yang Chi-Hua, the owner of Din Tai Fung, when I was in Taiwan. When he saw </w:t>
      </w:r>
      <w:proofErr w:type="spellStart"/>
      <w:r w:rsidRPr="00CD5D09">
        <w:rPr>
          <w:sz w:val="22"/>
          <w:szCs w:val="22"/>
          <w:lang w:val="en-GB"/>
        </w:rPr>
        <w:t>BreadTalk</w:t>
      </w:r>
      <w:proofErr w:type="spellEnd"/>
      <w:r w:rsidRPr="00CD5D09">
        <w:rPr>
          <w:sz w:val="22"/>
          <w:szCs w:val="22"/>
          <w:lang w:val="en-GB"/>
        </w:rPr>
        <w:t xml:space="preserve"> in Singapore, I earned his trust.” </w:t>
      </w:r>
      <w:r w:rsidRPr="00CD5D09">
        <w:rPr>
          <w:rFonts w:eastAsia="SimSun"/>
          <w:sz w:val="22"/>
          <w:szCs w:val="22"/>
          <w:lang w:val="en-GB" w:eastAsia="zh-CN"/>
        </w:rPr>
        <w:t>In 2017, the restaurant division contributed 24</w:t>
      </w:r>
      <w:r w:rsidR="00860EB3">
        <w:rPr>
          <w:rFonts w:eastAsia="SimSun"/>
          <w:sz w:val="22"/>
          <w:szCs w:val="22"/>
          <w:lang w:val="en-GB" w:eastAsia="zh-CN"/>
        </w:rPr>
        <w:t xml:space="preserve"> per cent</w:t>
      </w:r>
      <w:r w:rsidRPr="00CD5D09">
        <w:rPr>
          <w:rFonts w:eastAsia="SimSun"/>
          <w:sz w:val="22"/>
          <w:szCs w:val="22"/>
          <w:lang w:val="en-GB" w:eastAsia="zh-CN"/>
        </w:rPr>
        <w:t xml:space="preserve"> of the </w:t>
      </w:r>
      <w:r w:rsidR="00FC03D0">
        <w:rPr>
          <w:rFonts w:eastAsia="SimSun"/>
          <w:sz w:val="22"/>
          <w:szCs w:val="22"/>
          <w:lang w:val="en-GB" w:eastAsia="zh-CN"/>
        </w:rPr>
        <w:t>company</w:t>
      </w:r>
      <w:r w:rsidRPr="00CD5D09">
        <w:rPr>
          <w:rFonts w:eastAsia="SimSun"/>
          <w:sz w:val="22"/>
          <w:szCs w:val="22"/>
          <w:lang w:val="en-GB" w:eastAsia="zh-CN"/>
        </w:rPr>
        <w:t xml:space="preserve">’s total revenue (see Exhibit 2). By the end of year, </w:t>
      </w:r>
      <w:r w:rsidR="00860EB3">
        <w:rPr>
          <w:rFonts w:eastAsia="SimSun"/>
          <w:sz w:val="22"/>
          <w:szCs w:val="22"/>
          <w:lang w:val="en-GB" w:eastAsia="zh-CN"/>
        </w:rPr>
        <w:t xml:space="preserve">the company had opened 21 </w:t>
      </w:r>
      <w:r w:rsidRPr="00CD5D09">
        <w:rPr>
          <w:rFonts w:eastAsia="SimSun"/>
          <w:sz w:val="22"/>
          <w:szCs w:val="22"/>
          <w:lang w:val="en-GB" w:eastAsia="zh-CN"/>
        </w:rPr>
        <w:t xml:space="preserve">Din Tai Fung restaurants in Singapore and four </w:t>
      </w:r>
      <w:r w:rsidR="00860EB3">
        <w:rPr>
          <w:rFonts w:eastAsia="SimSun"/>
          <w:sz w:val="22"/>
          <w:szCs w:val="22"/>
          <w:lang w:val="en-GB" w:eastAsia="zh-CN"/>
        </w:rPr>
        <w:t xml:space="preserve">more </w:t>
      </w:r>
      <w:r w:rsidRPr="00CD5D09">
        <w:rPr>
          <w:rFonts w:eastAsia="SimSun"/>
          <w:sz w:val="22"/>
          <w:szCs w:val="22"/>
          <w:lang w:val="en-GB" w:eastAsia="zh-CN"/>
        </w:rPr>
        <w:t>in Thailand (see Exhibit 5).</w:t>
      </w:r>
    </w:p>
    <w:p w14:paraId="0C03E671" w14:textId="7A04DD6B" w:rsidR="00542CB6" w:rsidRPr="00CD5D09" w:rsidRDefault="00542CB6" w:rsidP="00542CB6">
      <w:pPr>
        <w:pStyle w:val="Casehead3"/>
        <w:rPr>
          <w:lang w:val="en-GB"/>
        </w:rPr>
      </w:pPr>
      <w:r w:rsidRPr="00CD5D09">
        <w:rPr>
          <w:lang w:val="en-GB"/>
        </w:rPr>
        <w:lastRenderedPageBreak/>
        <w:t>Food Atrium</w:t>
      </w:r>
      <w:r w:rsidR="00F857CA">
        <w:rPr>
          <w:lang w:val="en-GB"/>
        </w:rPr>
        <w:t>s</w:t>
      </w:r>
      <w:r w:rsidRPr="00CD5D09">
        <w:rPr>
          <w:lang w:val="en-GB"/>
        </w:rPr>
        <w:t xml:space="preserve"> </w:t>
      </w:r>
    </w:p>
    <w:p w14:paraId="0CAC34F3" w14:textId="77777777" w:rsidR="00542CB6" w:rsidRPr="00CD5D09" w:rsidRDefault="00542CB6" w:rsidP="00542CB6">
      <w:pPr>
        <w:jc w:val="both"/>
        <w:rPr>
          <w:sz w:val="22"/>
          <w:szCs w:val="22"/>
          <w:lang w:val="en-GB"/>
        </w:rPr>
      </w:pPr>
    </w:p>
    <w:p w14:paraId="45781516" w14:textId="524B8983" w:rsidR="00542CB6" w:rsidRPr="00CD5D09" w:rsidRDefault="00542CB6" w:rsidP="00542CB6">
      <w:pPr>
        <w:jc w:val="both"/>
        <w:rPr>
          <w:rFonts w:eastAsia="SimSun"/>
          <w:sz w:val="22"/>
          <w:szCs w:val="22"/>
          <w:lang w:val="en-GB" w:eastAsia="zh-CN"/>
        </w:rPr>
      </w:pPr>
      <w:r w:rsidRPr="00CD5D09">
        <w:rPr>
          <w:sz w:val="22"/>
          <w:szCs w:val="22"/>
          <w:lang w:val="en-GB"/>
        </w:rPr>
        <w:t xml:space="preserve">In 2005, </w:t>
      </w:r>
      <w:proofErr w:type="spellStart"/>
      <w:r w:rsidR="00415374">
        <w:rPr>
          <w:sz w:val="22"/>
          <w:szCs w:val="22"/>
          <w:lang w:val="en-GB"/>
        </w:rPr>
        <w:t>BreadTalk</w:t>
      </w:r>
      <w:proofErr w:type="spellEnd"/>
      <w:r w:rsidRPr="00CD5D09">
        <w:rPr>
          <w:sz w:val="22"/>
          <w:szCs w:val="22"/>
          <w:lang w:val="en-GB"/>
        </w:rPr>
        <w:t xml:space="preserve"> launched </w:t>
      </w:r>
      <w:r w:rsidR="00F27A13">
        <w:rPr>
          <w:sz w:val="22"/>
          <w:szCs w:val="22"/>
          <w:lang w:val="en-GB"/>
        </w:rPr>
        <w:t>the</w:t>
      </w:r>
      <w:r w:rsidRPr="00CD5D09">
        <w:rPr>
          <w:sz w:val="22"/>
          <w:szCs w:val="22"/>
          <w:lang w:val="en-GB"/>
        </w:rPr>
        <w:t xml:space="preserve"> food atrium brand Food Republic in Singapore, offering </w:t>
      </w:r>
      <w:r w:rsidR="00F857CA">
        <w:rPr>
          <w:sz w:val="22"/>
          <w:szCs w:val="22"/>
          <w:lang w:val="en-GB"/>
        </w:rPr>
        <w:t>high quality</w:t>
      </w:r>
      <w:r w:rsidRPr="00CD5D09">
        <w:rPr>
          <w:sz w:val="22"/>
          <w:szCs w:val="22"/>
          <w:lang w:val="en-GB"/>
        </w:rPr>
        <w:t xml:space="preserve"> food with street</w:t>
      </w:r>
      <w:r w:rsidR="00F27A13">
        <w:rPr>
          <w:sz w:val="22"/>
          <w:szCs w:val="22"/>
          <w:lang w:val="en-GB"/>
        </w:rPr>
        <w:t xml:space="preserve"> vendor</w:t>
      </w:r>
      <w:r w:rsidRPr="00CD5D09">
        <w:rPr>
          <w:sz w:val="22"/>
          <w:szCs w:val="22"/>
          <w:lang w:val="en-GB"/>
        </w:rPr>
        <w:t xml:space="preserve"> fare.</w:t>
      </w:r>
      <w:r w:rsidRPr="00CD5D09">
        <w:rPr>
          <w:rFonts w:eastAsia="SimSun"/>
          <w:sz w:val="22"/>
          <w:szCs w:val="22"/>
          <w:lang w:val="en-GB" w:eastAsia="zh-CN"/>
        </w:rPr>
        <w:t xml:space="preserve"> In 2017, the food atrium division contributed 25</w:t>
      </w:r>
      <w:r w:rsidR="00F27A13">
        <w:rPr>
          <w:rFonts w:eastAsia="SimSun"/>
          <w:sz w:val="22"/>
          <w:szCs w:val="22"/>
          <w:lang w:val="en-GB" w:eastAsia="zh-CN"/>
        </w:rPr>
        <w:t xml:space="preserve"> per cent</w:t>
      </w:r>
      <w:r w:rsidRPr="00CD5D09">
        <w:rPr>
          <w:rFonts w:eastAsia="SimSun"/>
          <w:sz w:val="22"/>
          <w:szCs w:val="22"/>
          <w:lang w:val="en-GB" w:eastAsia="zh-CN"/>
        </w:rPr>
        <w:t xml:space="preserve"> of the </w:t>
      </w:r>
      <w:r w:rsidR="00FC03D0">
        <w:rPr>
          <w:rFonts w:eastAsia="SimSun"/>
          <w:sz w:val="22"/>
          <w:szCs w:val="22"/>
          <w:lang w:val="en-GB" w:eastAsia="zh-CN"/>
        </w:rPr>
        <w:t>company</w:t>
      </w:r>
      <w:r w:rsidRPr="00CD5D09">
        <w:rPr>
          <w:rFonts w:eastAsia="SimSun"/>
          <w:sz w:val="22"/>
          <w:szCs w:val="22"/>
          <w:lang w:val="en-GB" w:eastAsia="zh-CN"/>
        </w:rPr>
        <w:t>’s total revenue (see Exhibit 2). By year</w:t>
      </w:r>
      <w:r w:rsidR="00F27A13">
        <w:rPr>
          <w:rFonts w:eastAsia="SimSun"/>
          <w:sz w:val="22"/>
          <w:szCs w:val="22"/>
          <w:lang w:val="en-GB" w:eastAsia="zh-CN"/>
        </w:rPr>
        <w:t xml:space="preserve"> end</w:t>
      </w:r>
      <w:r w:rsidRPr="00CD5D09">
        <w:rPr>
          <w:rFonts w:eastAsia="SimSun"/>
          <w:sz w:val="22"/>
          <w:szCs w:val="22"/>
          <w:lang w:val="en-GB" w:eastAsia="zh-CN"/>
        </w:rPr>
        <w:t xml:space="preserve">, </w:t>
      </w:r>
      <w:proofErr w:type="spellStart"/>
      <w:r w:rsidR="00F27A13">
        <w:rPr>
          <w:rFonts w:eastAsia="SimSun"/>
          <w:sz w:val="22"/>
          <w:szCs w:val="22"/>
          <w:lang w:val="en-GB" w:eastAsia="zh-CN"/>
        </w:rPr>
        <w:t>BreadTalk</w:t>
      </w:r>
      <w:proofErr w:type="spellEnd"/>
      <w:r w:rsidR="00F27A13">
        <w:rPr>
          <w:rFonts w:eastAsia="SimSun"/>
          <w:sz w:val="22"/>
          <w:szCs w:val="22"/>
          <w:lang w:val="en-GB" w:eastAsia="zh-CN"/>
        </w:rPr>
        <w:t xml:space="preserve"> had opened 53</w:t>
      </w:r>
      <w:r w:rsidRPr="00CD5D09">
        <w:rPr>
          <w:rFonts w:eastAsia="SimSun"/>
          <w:sz w:val="22"/>
          <w:szCs w:val="22"/>
          <w:lang w:val="en-GB" w:eastAsia="zh-CN"/>
        </w:rPr>
        <w:t xml:space="preserve"> food atrium outlets</w:t>
      </w:r>
      <w:r w:rsidR="00F27A13">
        <w:rPr>
          <w:rFonts w:eastAsia="SimSun"/>
          <w:sz w:val="22"/>
          <w:szCs w:val="22"/>
          <w:lang w:val="en-GB" w:eastAsia="zh-CN"/>
        </w:rPr>
        <w:t xml:space="preserve">, including </w:t>
      </w:r>
      <w:r w:rsidRPr="00CD5D09">
        <w:rPr>
          <w:rFonts w:eastAsia="SimSun"/>
          <w:sz w:val="22"/>
          <w:szCs w:val="22"/>
          <w:lang w:val="en-GB" w:eastAsia="zh-CN"/>
        </w:rPr>
        <w:t>14 in Singapore and 27 in mainland China (see Exhibit 5).</w:t>
      </w:r>
    </w:p>
    <w:p w14:paraId="2ACDB96C" w14:textId="0E6C9FDB" w:rsidR="00542CB6" w:rsidRPr="00CD5D09" w:rsidRDefault="00542CB6" w:rsidP="00542CB6">
      <w:pPr>
        <w:jc w:val="both"/>
        <w:rPr>
          <w:rFonts w:eastAsia="SimSun"/>
          <w:sz w:val="22"/>
          <w:szCs w:val="22"/>
          <w:lang w:val="en-GB" w:eastAsia="zh-CN"/>
        </w:rPr>
      </w:pPr>
    </w:p>
    <w:p w14:paraId="783D3FA4" w14:textId="77777777" w:rsidR="00542CB6" w:rsidRPr="00CD5D09" w:rsidRDefault="00542CB6" w:rsidP="00542CB6">
      <w:pPr>
        <w:jc w:val="both"/>
        <w:rPr>
          <w:rFonts w:eastAsia="SimSun"/>
          <w:sz w:val="22"/>
          <w:szCs w:val="22"/>
          <w:lang w:val="en-GB" w:eastAsia="zh-CN"/>
        </w:rPr>
      </w:pPr>
    </w:p>
    <w:p w14:paraId="314F2234" w14:textId="77777777" w:rsidR="00542CB6" w:rsidRPr="00CD5D09" w:rsidRDefault="00542CB6" w:rsidP="00542CB6">
      <w:pPr>
        <w:pStyle w:val="Casehead3"/>
        <w:rPr>
          <w:lang w:val="en-GB"/>
        </w:rPr>
      </w:pPr>
      <w:r w:rsidRPr="00CD5D09">
        <w:rPr>
          <w:lang w:val="en-GB"/>
        </w:rPr>
        <w:t>4orth</w:t>
      </w:r>
      <w:r w:rsidRPr="00CD5D09">
        <w:rPr>
          <w:rFonts w:eastAsia="SimSun"/>
          <w:lang w:val="en-GB" w:eastAsia="zh-CN"/>
        </w:rPr>
        <w:t xml:space="preserve"> Food Concepts</w:t>
      </w:r>
      <w:r w:rsidRPr="00CD5D09">
        <w:rPr>
          <w:lang w:val="en-GB"/>
        </w:rPr>
        <w:t xml:space="preserve"> </w:t>
      </w:r>
    </w:p>
    <w:p w14:paraId="43DFE0AF" w14:textId="77777777" w:rsidR="00542CB6" w:rsidRPr="00CD5D09" w:rsidRDefault="00542CB6" w:rsidP="00542CB6">
      <w:pPr>
        <w:jc w:val="both"/>
        <w:rPr>
          <w:sz w:val="22"/>
          <w:szCs w:val="22"/>
          <w:lang w:val="en-GB"/>
        </w:rPr>
      </w:pPr>
    </w:p>
    <w:p w14:paraId="7EBB7176" w14:textId="071D6878" w:rsidR="00542CB6" w:rsidRPr="00CD5D09" w:rsidRDefault="00542CB6" w:rsidP="00542CB6">
      <w:pPr>
        <w:jc w:val="both"/>
        <w:rPr>
          <w:rFonts w:eastAsia="SimSun"/>
          <w:sz w:val="22"/>
          <w:szCs w:val="22"/>
          <w:lang w:val="en-GB" w:eastAsia="zh-CN"/>
        </w:rPr>
      </w:pPr>
      <w:r w:rsidRPr="00CD5D09">
        <w:rPr>
          <w:sz w:val="22"/>
          <w:szCs w:val="22"/>
          <w:lang w:val="en-GB"/>
        </w:rPr>
        <w:t xml:space="preserve">In 2017, </w:t>
      </w:r>
      <w:proofErr w:type="spellStart"/>
      <w:r w:rsidR="00F27A13">
        <w:rPr>
          <w:sz w:val="22"/>
          <w:szCs w:val="22"/>
          <w:lang w:val="en-GB"/>
        </w:rPr>
        <w:t>BreadTalk’s</w:t>
      </w:r>
      <w:proofErr w:type="spellEnd"/>
      <w:r w:rsidR="00F27A13">
        <w:rPr>
          <w:sz w:val="22"/>
          <w:szCs w:val="22"/>
          <w:lang w:val="en-GB"/>
        </w:rPr>
        <w:t xml:space="preserve"> new chief executive officer </w:t>
      </w:r>
      <w:r w:rsidR="004B3D71">
        <w:rPr>
          <w:sz w:val="22"/>
          <w:szCs w:val="22"/>
          <w:lang w:val="en-GB"/>
        </w:rPr>
        <w:t>(CEO)</w:t>
      </w:r>
      <w:r w:rsidR="00712CC0">
        <w:rPr>
          <w:sz w:val="22"/>
          <w:szCs w:val="22"/>
          <w:lang w:val="en-GB"/>
        </w:rPr>
        <w:t>,</w:t>
      </w:r>
      <w:r w:rsidR="004B3D71">
        <w:rPr>
          <w:sz w:val="22"/>
          <w:szCs w:val="22"/>
          <w:lang w:val="en-GB"/>
        </w:rPr>
        <w:t xml:space="preserve"> </w:t>
      </w:r>
      <w:r w:rsidRPr="00CD5D09">
        <w:rPr>
          <w:sz w:val="22"/>
          <w:szCs w:val="22"/>
          <w:lang w:val="en-GB"/>
        </w:rPr>
        <w:t>Henry Chu</w:t>
      </w:r>
      <w:r w:rsidR="00712CC0">
        <w:rPr>
          <w:sz w:val="22"/>
          <w:szCs w:val="22"/>
          <w:lang w:val="en-GB"/>
        </w:rPr>
        <w:t>,</w:t>
      </w:r>
      <w:r w:rsidR="00F27A13">
        <w:rPr>
          <w:sz w:val="22"/>
          <w:szCs w:val="22"/>
          <w:lang w:val="en-GB"/>
        </w:rPr>
        <w:t xml:space="preserve"> created</w:t>
      </w:r>
      <w:r w:rsidRPr="00CD5D09">
        <w:rPr>
          <w:sz w:val="22"/>
          <w:szCs w:val="22"/>
          <w:lang w:val="en-GB"/>
        </w:rPr>
        <w:t xml:space="preserve"> a new </w:t>
      </w:r>
      <w:r w:rsidR="00F27A13">
        <w:rPr>
          <w:sz w:val="22"/>
          <w:szCs w:val="22"/>
          <w:lang w:val="en-GB"/>
        </w:rPr>
        <w:t xml:space="preserve">business </w:t>
      </w:r>
      <w:r w:rsidRPr="00CD5D09">
        <w:rPr>
          <w:sz w:val="22"/>
          <w:szCs w:val="22"/>
          <w:lang w:val="en-GB"/>
        </w:rPr>
        <w:t xml:space="preserve">division called 4orth Food Concepts to </w:t>
      </w:r>
      <w:r w:rsidR="00F27A13">
        <w:rPr>
          <w:sz w:val="22"/>
          <w:szCs w:val="22"/>
          <w:lang w:val="en-GB"/>
        </w:rPr>
        <w:t>reflect</w:t>
      </w:r>
      <w:r w:rsidRPr="00CD5D09">
        <w:rPr>
          <w:sz w:val="22"/>
          <w:szCs w:val="22"/>
          <w:lang w:val="en-GB"/>
        </w:rPr>
        <w:t xml:space="preserve"> changing consumer preferences</w:t>
      </w:r>
      <w:r w:rsidR="00F27A13">
        <w:rPr>
          <w:sz w:val="22"/>
          <w:szCs w:val="22"/>
          <w:lang w:val="en-GB"/>
        </w:rPr>
        <w:t xml:space="preserve"> in the F&amp;B industry</w:t>
      </w:r>
      <w:r w:rsidRPr="00CD5D09">
        <w:rPr>
          <w:sz w:val="22"/>
          <w:szCs w:val="22"/>
          <w:lang w:val="en-GB"/>
        </w:rPr>
        <w:t xml:space="preserve">. </w:t>
      </w:r>
      <w:r w:rsidR="004A1985">
        <w:rPr>
          <w:sz w:val="22"/>
          <w:szCs w:val="22"/>
          <w:lang w:val="en-GB"/>
        </w:rPr>
        <w:t xml:space="preserve">Under this new division, </w:t>
      </w:r>
      <w:r w:rsidRPr="00CD5D09">
        <w:rPr>
          <w:sz w:val="22"/>
          <w:szCs w:val="22"/>
          <w:lang w:val="en-GB"/>
        </w:rPr>
        <w:t xml:space="preserve">Chu </w:t>
      </w:r>
      <w:r w:rsidR="004A1985">
        <w:rPr>
          <w:sz w:val="22"/>
          <w:szCs w:val="22"/>
          <w:lang w:val="en-GB"/>
        </w:rPr>
        <w:t xml:space="preserve">launched </w:t>
      </w:r>
      <w:proofErr w:type="spellStart"/>
      <w:r w:rsidR="004A1985" w:rsidRPr="00CD5D09">
        <w:rPr>
          <w:sz w:val="22"/>
          <w:szCs w:val="22"/>
          <w:lang w:val="en-GB"/>
        </w:rPr>
        <w:t>Sō</w:t>
      </w:r>
      <w:proofErr w:type="spellEnd"/>
      <w:r w:rsidR="004A1985" w:rsidRPr="00CD5D09">
        <w:rPr>
          <w:sz w:val="22"/>
          <w:szCs w:val="22"/>
          <w:lang w:val="en-GB"/>
        </w:rPr>
        <w:t xml:space="preserve"> Ramen</w:t>
      </w:r>
      <w:r w:rsidR="004A1985">
        <w:rPr>
          <w:sz w:val="22"/>
          <w:szCs w:val="22"/>
          <w:lang w:val="en-GB"/>
        </w:rPr>
        <w:t xml:space="preserve">, which was a </w:t>
      </w:r>
      <w:r w:rsidRPr="00CD5D09">
        <w:rPr>
          <w:sz w:val="22"/>
          <w:szCs w:val="22"/>
          <w:lang w:val="en-GB"/>
        </w:rPr>
        <w:t xml:space="preserve">rebranded </w:t>
      </w:r>
      <w:r w:rsidR="004A1985">
        <w:rPr>
          <w:sz w:val="22"/>
          <w:szCs w:val="22"/>
          <w:lang w:val="en-GB"/>
        </w:rPr>
        <w:t xml:space="preserve">version of </w:t>
      </w:r>
      <w:proofErr w:type="spellStart"/>
      <w:r w:rsidRPr="00CD5D09">
        <w:rPr>
          <w:sz w:val="22"/>
          <w:szCs w:val="22"/>
          <w:lang w:val="en-GB"/>
        </w:rPr>
        <w:t>RamenPlay</w:t>
      </w:r>
      <w:proofErr w:type="spellEnd"/>
      <w:r w:rsidRPr="00CD5D09">
        <w:rPr>
          <w:sz w:val="22"/>
          <w:szCs w:val="22"/>
          <w:lang w:val="en-GB"/>
        </w:rPr>
        <w:t xml:space="preserve">, </w:t>
      </w:r>
      <w:r w:rsidR="004A1985">
        <w:rPr>
          <w:sz w:val="22"/>
          <w:szCs w:val="22"/>
          <w:lang w:val="en-GB"/>
        </w:rPr>
        <w:t xml:space="preserve">a business that had been </w:t>
      </w:r>
      <w:r w:rsidRPr="00CD5D09">
        <w:rPr>
          <w:sz w:val="22"/>
          <w:szCs w:val="22"/>
          <w:lang w:val="en-GB"/>
        </w:rPr>
        <w:t xml:space="preserve">launched in 2009 under </w:t>
      </w:r>
      <w:r w:rsidR="004A1985">
        <w:rPr>
          <w:sz w:val="22"/>
          <w:szCs w:val="22"/>
          <w:lang w:val="en-GB"/>
        </w:rPr>
        <w:t>a</w:t>
      </w:r>
      <w:r w:rsidRPr="00CD5D09">
        <w:rPr>
          <w:sz w:val="22"/>
          <w:szCs w:val="22"/>
          <w:lang w:val="en-GB"/>
        </w:rPr>
        <w:t xml:space="preserve"> partnership with </w:t>
      </w:r>
      <w:r w:rsidR="004A1985">
        <w:rPr>
          <w:sz w:val="22"/>
          <w:szCs w:val="22"/>
          <w:lang w:val="en-GB"/>
        </w:rPr>
        <w:t xml:space="preserve">the </w:t>
      </w:r>
      <w:r w:rsidRPr="00CD5D09">
        <w:rPr>
          <w:sz w:val="22"/>
          <w:szCs w:val="22"/>
          <w:lang w:val="en-GB"/>
        </w:rPr>
        <w:t xml:space="preserve">Japanese </w:t>
      </w:r>
      <w:r w:rsidR="00FC03D0">
        <w:rPr>
          <w:sz w:val="22"/>
          <w:szCs w:val="22"/>
          <w:lang w:val="en-GB"/>
        </w:rPr>
        <w:t>company</w:t>
      </w:r>
      <w:r w:rsidR="004A1985">
        <w:rPr>
          <w:sz w:val="22"/>
          <w:szCs w:val="22"/>
          <w:lang w:val="en-GB"/>
        </w:rPr>
        <w:t xml:space="preserve"> </w:t>
      </w:r>
      <w:proofErr w:type="spellStart"/>
      <w:r w:rsidR="004A1985" w:rsidRPr="00CD5D09">
        <w:rPr>
          <w:sz w:val="22"/>
          <w:szCs w:val="22"/>
          <w:lang w:val="en-GB"/>
        </w:rPr>
        <w:t>Sanpou</w:t>
      </w:r>
      <w:proofErr w:type="spellEnd"/>
      <w:r w:rsidR="004A1985">
        <w:rPr>
          <w:sz w:val="22"/>
          <w:szCs w:val="22"/>
          <w:lang w:val="en-GB"/>
        </w:rPr>
        <w:t>. Chu</w:t>
      </w:r>
      <w:r w:rsidRPr="00CD5D09">
        <w:rPr>
          <w:sz w:val="22"/>
          <w:szCs w:val="22"/>
          <w:lang w:val="en-GB"/>
        </w:rPr>
        <w:t xml:space="preserve"> also opened a new restaurant</w:t>
      </w:r>
      <w:r w:rsidR="004A1985" w:rsidRPr="00CD5D09">
        <w:rPr>
          <w:sz w:val="22"/>
          <w:szCs w:val="22"/>
          <w:lang w:val="en-GB"/>
        </w:rPr>
        <w:t xml:space="preserve"> in Singapore</w:t>
      </w:r>
      <w:r w:rsidRPr="00CD5D09">
        <w:rPr>
          <w:sz w:val="22"/>
          <w:szCs w:val="22"/>
          <w:lang w:val="en-GB"/>
        </w:rPr>
        <w:t xml:space="preserve"> and re</w:t>
      </w:r>
      <w:r w:rsidR="004A1985">
        <w:rPr>
          <w:sz w:val="22"/>
          <w:szCs w:val="22"/>
          <w:lang w:val="en-GB"/>
        </w:rPr>
        <w:t>no</w:t>
      </w:r>
      <w:r w:rsidRPr="00CD5D09">
        <w:rPr>
          <w:sz w:val="22"/>
          <w:szCs w:val="22"/>
          <w:lang w:val="en-GB"/>
        </w:rPr>
        <w:t>va</w:t>
      </w:r>
      <w:r w:rsidR="004A1985">
        <w:rPr>
          <w:sz w:val="22"/>
          <w:szCs w:val="22"/>
          <w:lang w:val="en-GB"/>
        </w:rPr>
        <w:t>t</w:t>
      </w:r>
      <w:r w:rsidRPr="00CD5D09">
        <w:rPr>
          <w:sz w:val="22"/>
          <w:szCs w:val="22"/>
          <w:lang w:val="en-GB"/>
        </w:rPr>
        <w:t xml:space="preserve">ed four old ones. The </w:t>
      </w:r>
      <w:r w:rsidR="004A1985">
        <w:rPr>
          <w:sz w:val="22"/>
          <w:szCs w:val="22"/>
          <w:lang w:val="en-GB"/>
        </w:rPr>
        <w:t xml:space="preserve">new business </w:t>
      </w:r>
      <w:r w:rsidRPr="00CD5D09">
        <w:rPr>
          <w:sz w:val="22"/>
          <w:szCs w:val="22"/>
          <w:lang w:val="en-GB"/>
        </w:rPr>
        <w:t xml:space="preserve">division also formed a JV with Singapore-based Song Fa Holdings to introduce </w:t>
      </w:r>
      <w:proofErr w:type="spellStart"/>
      <w:r w:rsidRPr="00CD5D09">
        <w:rPr>
          <w:sz w:val="22"/>
          <w:szCs w:val="22"/>
          <w:lang w:val="en-GB"/>
        </w:rPr>
        <w:t>Bak</w:t>
      </w:r>
      <w:proofErr w:type="spellEnd"/>
      <w:r w:rsidRPr="00CD5D09">
        <w:rPr>
          <w:sz w:val="22"/>
          <w:szCs w:val="22"/>
          <w:lang w:val="en-GB"/>
        </w:rPr>
        <w:t xml:space="preserve"> </w:t>
      </w:r>
      <w:proofErr w:type="spellStart"/>
      <w:r w:rsidRPr="00CD5D09">
        <w:rPr>
          <w:sz w:val="22"/>
          <w:szCs w:val="22"/>
          <w:lang w:val="en-GB"/>
        </w:rPr>
        <w:t>Kut</w:t>
      </w:r>
      <w:proofErr w:type="spellEnd"/>
      <w:r w:rsidRPr="00CD5D09">
        <w:rPr>
          <w:sz w:val="22"/>
          <w:szCs w:val="22"/>
          <w:lang w:val="en-GB"/>
        </w:rPr>
        <w:t xml:space="preserve"> </w:t>
      </w:r>
      <w:proofErr w:type="spellStart"/>
      <w:r w:rsidRPr="00CD5D09">
        <w:rPr>
          <w:sz w:val="22"/>
          <w:szCs w:val="22"/>
          <w:lang w:val="en-GB"/>
        </w:rPr>
        <w:t>Teh</w:t>
      </w:r>
      <w:proofErr w:type="spellEnd"/>
      <w:r w:rsidRPr="00CD5D09">
        <w:rPr>
          <w:sz w:val="22"/>
          <w:szCs w:val="22"/>
          <w:lang w:val="en-GB"/>
        </w:rPr>
        <w:t xml:space="preserve"> </w:t>
      </w:r>
      <w:r w:rsidR="004A1985">
        <w:rPr>
          <w:sz w:val="22"/>
          <w:szCs w:val="22"/>
          <w:lang w:val="en-GB"/>
        </w:rPr>
        <w:t xml:space="preserve">cuisine </w:t>
      </w:r>
      <w:r w:rsidRPr="00CD5D09">
        <w:rPr>
          <w:sz w:val="22"/>
          <w:szCs w:val="22"/>
          <w:lang w:val="en-GB"/>
        </w:rPr>
        <w:t xml:space="preserve">(Singapore’s traditional pork-bone broth) to China and Thailand. The JV opened </w:t>
      </w:r>
      <w:r w:rsidR="00F857CA">
        <w:rPr>
          <w:sz w:val="22"/>
          <w:szCs w:val="22"/>
          <w:lang w:val="en-GB"/>
        </w:rPr>
        <w:t>the</w:t>
      </w:r>
      <w:r w:rsidR="004A1985">
        <w:rPr>
          <w:sz w:val="22"/>
          <w:szCs w:val="22"/>
          <w:lang w:val="en-GB"/>
        </w:rPr>
        <w:t xml:space="preserve"> </w:t>
      </w:r>
      <w:r w:rsidRPr="00CD5D09">
        <w:rPr>
          <w:sz w:val="22"/>
          <w:szCs w:val="22"/>
          <w:lang w:val="en-GB"/>
        </w:rPr>
        <w:t xml:space="preserve">first </w:t>
      </w:r>
      <w:proofErr w:type="spellStart"/>
      <w:r w:rsidRPr="00CD5D09">
        <w:rPr>
          <w:sz w:val="22"/>
          <w:szCs w:val="22"/>
          <w:lang w:val="en-GB"/>
        </w:rPr>
        <w:t>Bak</w:t>
      </w:r>
      <w:proofErr w:type="spellEnd"/>
      <w:r w:rsidRPr="00CD5D09">
        <w:rPr>
          <w:sz w:val="22"/>
          <w:szCs w:val="22"/>
          <w:lang w:val="en-GB"/>
        </w:rPr>
        <w:t xml:space="preserve"> </w:t>
      </w:r>
      <w:proofErr w:type="spellStart"/>
      <w:r w:rsidRPr="00CD5D09">
        <w:rPr>
          <w:sz w:val="22"/>
          <w:szCs w:val="22"/>
          <w:lang w:val="en-GB"/>
        </w:rPr>
        <w:t>Kut</w:t>
      </w:r>
      <w:proofErr w:type="spellEnd"/>
      <w:r w:rsidRPr="00CD5D09">
        <w:rPr>
          <w:sz w:val="22"/>
          <w:szCs w:val="22"/>
          <w:lang w:val="en-GB"/>
        </w:rPr>
        <w:t xml:space="preserve"> </w:t>
      </w:r>
      <w:proofErr w:type="spellStart"/>
      <w:r w:rsidRPr="00CD5D09">
        <w:rPr>
          <w:sz w:val="22"/>
          <w:szCs w:val="22"/>
          <w:lang w:val="en-GB"/>
        </w:rPr>
        <w:t>Teh</w:t>
      </w:r>
      <w:proofErr w:type="spellEnd"/>
      <w:r w:rsidRPr="00CD5D09">
        <w:rPr>
          <w:sz w:val="22"/>
          <w:szCs w:val="22"/>
          <w:lang w:val="en-GB"/>
        </w:rPr>
        <w:t xml:space="preserve"> restaurant </w:t>
      </w:r>
      <w:r w:rsidR="00F857CA">
        <w:rPr>
          <w:sz w:val="22"/>
          <w:szCs w:val="22"/>
          <w:lang w:val="en-GB"/>
        </w:rPr>
        <w:t xml:space="preserve">of its own </w:t>
      </w:r>
      <w:r w:rsidRPr="00CD5D09">
        <w:rPr>
          <w:sz w:val="22"/>
          <w:szCs w:val="22"/>
          <w:lang w:val="en-GB"/>
        </w:rPr>
        <w:t>in Shanghai’s IAPM Mall in January 2018</w:t>
      </w:r>
      <w:r w:rsidR="00F857CA">
        <w:rPr>
          <w:sz w:val="22"/>
          <w:szCs w:val="22"/>
          <w:lang w:val="en-GB"/>
        </w:rPr>
        <w:t>,</w:t>
      </w:r>
      <w:r w:rsidRPr="00CD5D09">
        <w:rPr>
          <w:sz w:val="22"/>
          <w:szCs w:val="22"/>
          <w:lang w:val="en-GB"/>
        </w:rPr>
        <w:t xml:space="preserve"> leverag</w:t>
      </w:r>
      <w:r w:rsidR="00F857CA">
        <w:rPr>
          <w:sz w:val="22"/>
          <w:szCs w:val="22"/>
          <w:lang w:val="en-GB"/>
        </w:rPr>
        <w:t>ing</w:t>
      </w:r>
      <w:r w:rsidRPr="00CD5D09">
        <w:rPr>
          <w:sz w:val="22"/>
          <w:szCs w:val="22"/>
          <w:lang w:val="en-GB"/>
        </w:rPr>
        <w:t xml:space="preserve"> its strong presence in southern China </w:t>
      </w:r>
      <w:r w:rsidR="00F857CA">
        <w:rPr>
          <w:sz w:val="22"/>
          <w:szCs w:val="22"/>
          <w:lang w:val="en-GB"/>
        </w:rPr>
        <w:t>for the restaurant’s</w:t>
      </w:r>
      <w:r w:rsidRPr="00CD5D09">
        <w:rPr>
          <w:sz w:val="22"/>
          <w:szCs w:val="22"/>
          <w:lang w:val="en-GB"/>
        </w:rPr>
        <w:t xml:space="preserve"> grow</w:t>
      </w:r>
      <w:r w:rsidR="00F857CA">
        <w:rPr>
          <w:sz w:val="22"/>
          <w:szCs w:val="22"/>
          <w:lang w:val="en-GB"/>
        </w:rPr>
        <w:t>th</w:t>
      </w:r>
      <w:r w:rsidRPr="00CD5D09">
        <w:rPr>
          <w:sz w:val="22"/>
          <w:szCs w:val="22"/>
          <w:lang w:val="en-GB"/>
        </w:rPr>
        <w:t>.</w:t>
      </w:r>
    </w:p>
    <w:p w14:paraId="77FCBE8A" w14:textId="2BDC2CA0" w:rsidR="00542CB6" w:rsidRPr="00CD5D09" w:rsidRDefault="00542CB6" w:rsidP="00542CB6">
      <w:pPr>
        <w:jc w:val="both"/>
        <w:rPr>
          <w:sz w:val="22"/>
          <w:szCs w:val="22"/>
          <w:lang w:val="en-GB"/>
        </w:rPr>
      </w:pPr>
    </w:p>
    <w:p w14:paraId="38A8D2D0" w14:textId="77777777" w:rsidR="00542CB6" w:rsidRPr="00CD5D09" w:rsidRDefault="00542CB6" w:rsidP="00542CB6">
      <w:pPr>
        <w:jc w:val="both"/>
        <w:rPr>
          <w:sz w:val="22"/>
          <w:szCs w:val="22"/>
          <w:lang w:val="en-GB"/>
        </w:rPr>
      </w:pPr>
    </w:p>
    <w:p w14:paraId="3626ABF2" w14:textId="77777777" w:rsidR="00542CB6" w:rsidRPr="00CD5D09" w:rsidRDefault="00542CB6" w:rsidP="00542CB6">
      <w:pPr>
        <w:pStyle w:val="Casehead2"/>
        <w:rPr>
          <w:lang w:val="en-GB"/>
        </w:rPr>
      </w:pPr>
      <w:r w:rsidRPr="00CD5D09">
        <w:rPr>
          <w:lang w:val="en-GB"/>
        </w:rPr>
        <w:t xml:space="preserve">Further Strategic </w:t>
      </w:r>
      <w:r w:rsidRPr="00CD5D09">
        <w:rPr>
          <w:rFonts w:eastAsia="SimSun"/>
          <w:lang w:val="en-GB" w:eastAsia="zh-CN"/>
        </w:rPr>
        <w:t>A</w:t>
      </w:r>
      <w:r w:rsidRPr="00CD5D09">
        <w:rPr>
          <w:lang w:val="en-GB"/>
        </w:rPr>
        <w:t>lliances</w:t>
      </w:r>
    </w:p>
    <w:p w14:paraId="049F277A" w14:textId="77777777" w:rsidR="00542CB6" w:rsidRPr="00CD5D09" w:rsidRDefault="00542CB6" w:rsidP="00542CB6">
      <w:pPr>
        <w:jc w:val="both"/>
        <w:rPr>
          <w:sz w:val="22"/>
          <w:szCs w:val="22"/>
          <w:lang w:val="en-GB"/>
        </w:rPr>
      </w:pPr>
    </w:p>
    <w:p w14:paraId="68BA2E83" w14:textId="22EC3C1E" w:rsidR="00542CB6" w:rsidRPr="00CD5D09" w:rsidRDefault="003029C5" w:rsidP="00542CB6">
      <w:pPr>
        <w:jc w:val="both"/>
        <w:rPr>
          <w:sz w:val="22"/>
          <w:szCs w:val="22"/>
          <w:lang w:val="en-GB"/>
        </w:rPr>
      </w:pPr>
      <w:r>
        <w:rPr>
          <w:sz w:val="22"/>
          <w:szCs w:val="22"/>
          <w:lang w:val="en-GB"/>
        </w:rPr>
        <w:t>H</w:t>
      </w:r>
      <w:r w:rsidR="00172956">
        <w:rPr>
          <w:sz w:val="22"/>
          <w:szCs w:val="22"/>
          <w:lang w:val="en-GB"/>
        </w:rPr>
        <w:t>aving established a</w:t>
      </w:r>
      <w:r w:rsidR="00542CB6" w:rsidRPr="00CD5D09">
        <w:rPr>
          <w:sz w:val="22"/>
          <w:szCs w:val="22"/>
          <w:lang w:val="en-GB"/>
        </w:rPr>
        <w:t xml:space="preserve"> reputation in Asia and </w:t>
      </w:r>
      <w:r w:rsidR="00A176B5">
        <w:rPr>
          <w:sz w:val="22"/>
          <w:szCs w:val="22"/>
          <w:lang w:val="en-GB"/>
        </w:rPr>
        <w:t xml:space="preserve">the </w:t>
      </w:r>
      <w:r w:rsidR="00542CB6" w:rsidRPr="00CD5D09">
        <w:rPr>
          <w:sz w:val="22"/>
          <w:szCs w:val="22"/>
          <w:lang w:val="en-GB"/>
        </w:rPr>
        <w:t xml:space="preserve">Middle East, </w:t>
      </w:r>
      <w:proofErr w:type="spellStart"/>
      <w:r w:rsidR="00542CB6" w:rsidRPr="00CD5D09">
        <w:rPr>
          <w:sz w:val="22"/>
          <w:szCs w:val="22"/>
          <w:lang w:val="en-GB"/>
        </w:rPr>
        <w:t>BreadTalk</w:t>
      </w:r>
      <w:proofErr w:type="spellEnd"/>
      <w:r w:rsidR="00542CB6" w:rsidRPr="00CD5D09">
        <w:rPr>
          <w:sz w:val="22"/>
          <w:szCs w:val="22"/>
          <w:lang w:val="en-GB"/>
        </w:rPr>
        <w:t xml:space="preserve"> </w:t>
      </w:r>
      <w:r w:rsidR="00323420">
        <w:rPr>
          <w:sz w:val="22"/>
          <w:szCs w:val="22"/>
          <w:lang w:val="en-GB"/>
        </w:rPr>
        <w:t xml:space="preserve">was </w:t>
      </w:r>
      <w:r w:rsidR="00460727">
        <w:rPr>
          <w:sz w:val="22"/>
          <w:szCs w:val="22"/>
          <w:lang w:val="en-GB"/>
        </w:rPr>
        <w:t>eager to enter</w:t>
      </w:r>
      <w:r w:rsidR="00323420">
        <w:rPr>
          <w:sz w:val="22"/>
          <w:szCs w:val="22"/>
          <w:lang w:val="en-GB"/>
        </w:rPr>
        <w:t xml:space="preserve"> Western</w:t>
      </w:r>
      <w:r w:rsidR="00542CB6" w:rsidRPr="00CD5D09">
        <w:rPr>
          <w:sz w:val="22"/>
          <w:szCs w:val="22"/>
          <w:lang w:val="en-GB"/>
        </w:rPr>
        <w:t xml:space="preserve"> market</w:t>
      </w:r>
      <w:r w:rsidR="00323420">
        <w:rPr>
          <w:sz w:val="22"/>
          <w:szCs w:val="22"/>
          <w:lang w:val="en-GB"/>
        </w:rPr>
        <w:t>s,</w:t>
      </w:r>
      <w:r w:rsidR="00542CB6" w:rsidRPr="00CD5D09">
        <w:rPr>
          <w:sz w:val="22"/>
          <w:szCs w:val="22"/>
          <w:lang w:val="en-GB"/>
        </w:rPr>
        <w:t xml:space="preserve"> </w:t>
      </w:r>
      <w:r w:rsidR="00460727">
        <w:rPr>
          <w:sz w:val="22"/>
          <w:szCs w:val="22"/>
          <w:lang w:val="en-GB"/>
        </w:rPr>
        <w:t xml:space="preserve">which started with </w:t>
      </w:r>
      <w:r w:rsidR="00323420">
        <w:rPr>
          <w:sz w:val="22"/>
          <w:szCs w:val="22"/>
          <w:lang w:val="en-GB"/>
        </w:rPr>
        <w:t xml:space="preserve">the </w:t>
      </w:r>
      <w:r w:rsidR="00542CB6" w:rsidRPr="00CD5D09">
        <w:rPr>
          <w:sz w:val="22"/>
          <w:szCs w:val="22"/>
          <w:lang w:val="en-GB"/>
        </w:rPr>
        <w:t>restaurant division</w:t>
      </w:r>
      <w:r w:rsidR="00460727">
        <w:rPr>
          <w:sz w:val="22"/>
          <w:szCs w:val="22"/>
          <w:lang w:val="en-GB"/>
        </w:rPr>
        <w:t>’s</w:t>
      </w:r>
      <w:r w:rsidR="00323420">
        <w:rPr>
          <w:sz w:val="22"/>
          <w:szCs w:val="22"/>
          <w:lang w:val="en-GB"/>
        </w:rPr>
        <w:t xml:space="preserve"> open</w:t>
      </w:r>
      <w:r w:rsidR="00460727">
        <w:rPr>
          <w:sz w:val="22"/>
          <w:szCs w:val="22"/>
          <w:lang w:val="en-GB"/>
        </w:rPr>
        <w:t>ing of</w:t>
      </w:r>
      <w:r w:rsidR="00A176B5">
        <w:rPr>
          <w:sz w:val="22"/>
          <w:szCs w:val="22"/>
          <w:lang w:val="en-GB"/>
        </w:rPr>
        <w:t xml:space="preserve"> its</w:t>
      </w:r>
      <w:r w:rsidR="00323420">
        <w:rPr>
          <w:sz w:val="22"/>
          <w:szCs w:val="22"/>
          <w:lang w:val="en-GB"/>
        </w:rPr>
        <w:t xml:space="preserve"> first</w:t>
      </w:r>
      <w:r w:rsidR="00542CB6" w:rsidRPr="00CD5D09">
        <w:rPr>
          <w:sz w:val="22"/>
          <w:szCs w:val="22"/>
          <w:lang w:val="en-GB"/>
        </w:rPr>
        <w:t xml:space="preserve"> Din Tai Fung restaurant in London</w:t>
      </w:r>
      <w:r w:rsidR="00323420">
        <w:rPr>
          <w:sz w:val="22"/>
          <w:szCs w:val="22"/>
          <w:lang w:val="en-GB"/>
        </w:rPr>
        <w:t>.</w:t>
      </w:r>
      <w:r w:rsidR="00542CB6" w:rsidRPr="00CD5D09">
        <w:rPr>
          <w:sz w:val="22"/>
          <w:szCs w:val="22"/>
          <w:lang w:val="en-GB"/>
        </w:rPr>
        <w:t xml:space="preserve"> </w:t>
      </w:r>
      <w:r w:rsidR="00323420">
        <w:rPr>
          <w:sz w:val="22"/>
          <w:szCs w:val="22"/>
          <w:lang w:val="en-GB"/>
        </w:rPr>
        <w:t>From</w:t>
      </w:r>
      <w:r w:rsidR="00542CB6" w:rsidRPr="00CD5D09">
        <w:rPr>
          <w:sz w:val="22"/>
          <w:szCs w:val="22"/>
          <w:lang w:val="en-GB"/>
        </w:rPr>
        <w:t xml:space="preserve"> </w:t>
      </w:r>
      <w:r w:rsidR="00460727">
        <w:rPr>
          <w:sz w:val="22"/>
          <w:szCs w:val="22"/>
          <w:lang w:val="en-GB"/>
        </w:rPr>
        <w:t>that point on</w:t>
      </w:r>
      <w:r w:rsidR="00323420">
        <w:rPr>
          <w:sz w:val="22"/>
          <w:szCs w:val="22"/>
          <w:lang w:val="en-GB"/>
        </w:rPr>
        <w:t xml:space="preserve">, </w:t>
      </w:r>
      <w:r w:rsidR="00460727">
        <w:rPr>
          <w:sz w:val="22"/>
          <w:szCs w:val="22"/>
          <w:lang w:val="en-GB"/>
        </w:rPr>
        <w:t xml:space="preserve">the company planned to expand across </w:t>
      </w:r>
      <w:r w:rsidR="00542CB6" w:rsidRPr="00CD5D09">
        <w:rPr>
          <w:sz w:val="22"/>
          <w:szCs w:val="22"/>
          <w:lang w:val="en-GB"/>
        </w:rPr>
        <w:t>other cities in the U</w:t>
      </w:r>
      <w:r w:rsidR="00323420">
        <w:rPr>
          <w:sz w:val="22"/>
          <w:szCs w:val="22"/>
          <w:lang w:val="en-GB"/>
        </w:rPr>
        <w:t xml:space="preserve">nited </w:t>
      </w:r>
      <w:r w:rsidR="00542CB6" w:rsidRPr="00CD5D09">
        <w:rPr>
          <w:sz w:val="22"/>
          <w:szCs w:val="22"/>
          <w:lang w:val="en-GB"/>
        </w:rPr>
        <w:t>K</w:t>
      </w:r>
      <w:r w:rsidR="00323420">
        <w:rPr>
          <w:sz w:val="22"/>
          <w:szCs w:val="22"/>
          <w:lang w:val="en-GB"/>
        </w:rPr>
        <w:t>ingdom</w:t>
      </w:r>
      <w:r w:rsidR="00542CB6" w:rsidRPr="00CD5D09">
        <w:rPr>
          <w:sz w:val="22"/>
          <w:szCs w:val="22"/>
          <w:lang w:val="en-GB"/>
        </w:rPr>
        <w:t xml:space="preserve"> and </w:t>
      </w:r>
      <w:r w:rsidR="00323420">
        <w:rPr>
          <w:sz w:val="22"/>
          <w:szCs w:val="22"/>
          <w:lang w:val="en-GB"/>
        </w:rPr>
        <w:t xml:space="preserve">in </w:t>
      </w:r>
      <w:r w:rsidR="00542CB6" w:rsidRPr="00CD5D09">
        <w:rPr>
          <w:sz w:val="22"/>
          <w:szCs w:val="22"/>
          <w:lang w:val="en-GB"/>
        </w:rPr>
        <w:t xml:space="preserve">France. </w:t>
      </w:r>
      <w:proofErr w:type="spellStart"/>
      <w:r w:rsidR="00460727">
        <w:rPr>
          <w:sz w:val="22"/>
          <w:szCs w:val="22"/>
          <w:lang w:val="en-GB"/>
        </w:rPr>
        <w:t>BreadTalk</w:t>
      </w:r>
      <w:proofErr w:type="spellEnd"/>
      <w:r w:rsidR="00542CB6" w:rsidRPr="00CD5D09">
        <w:rPr>
          <w:sz w:val="22"/>
          <w:szCs w:val="22"/>
          <w:lang w:val="en-GB"/>
        </w:rPr>
        <w:t xml:space="preserve"> formed a JV with </w:t>
      </w:r>
      <w:r w:rsidR="00A176B5">
        <w:rPr>
          <w:sz w:val="22"/>
          <w:szCs w:val="22"/>
          <w:lang w:val="en-GB"/>
        </w:rPr>
        <w:t>the</w:t>
      </w:r>
      <w:r w:rsidR="00542CB6" w:rsidRPr="00CD5D09">
        <w:rPr>
          <w:sz w:val="22"/>
          <w:szCs w:val="22"/>
          <w:lang w:val="en-GB"/>
        </w:rPr>
        <w:t xml:space="preserve"> leading Japanese trading and restaurant company Shinmei Corporation to jointly procure high</w:t>
      </w:r>
      <w:r w:rsidR="00460727">
        <w:rPr>
          <w:sz w:val="22"/>
          <w:szCs w:val="22"/>
          <w:lang w:val="en-GB"/>
        </w:rPr>
        <w:t xml:space="preserve"> </w:t>
      </w:r>
      <w:r w:rsidR="00542CB6" w:rsidRPr="00CD5D09">
        <w:rPr>
          <w:sz w:val="22"/>
          <w:szCs w:val="22"/>
          <w:lang w:val="en-GB"/>
        </w:rPr>
        <w:t xml:space="preserve">quality ingredients </w:t>
      </w:r>
      <w:r w:rsidR="00460727">
        <w:rPr>
          <w:sz w:val="22"/>
          <w:szCs w:val="22"/>
          <w:lang w:val="en-GB"/>
        </w:rPr>
        <w:t>for</w:t>
      </w:r>
      <w:r w:rsidR="00542CB6" w:rsidRPr="00CD5D09">
        <w:rPr>
          <w:sz w:val="22"/>
          <w:szCs w:val="22"/>
          <w:lang w:val="en-GB"/>
        </w:rPr>
        <w:t xml:space="preserve"> </w:t>
      </w:r>
      <w:r w:rsidR="00460727">
        <w:rPr>
          <w:sz w:val="22"/>
          <w:szCs w:val="22"/>
          <w:lang w:val="en-GB"/>
        </w:rPr>
        <w:t>sale</w:t>
      </w:r>
      <w:r w:rsidR="00542CB6" w:rsidRPr="00CD5D09">
        <w:rPr>
          <w:sz w:val="22"/>
          <w:szCs w:val="22"/>
          <w:lang w:val="en-GB"/>
        </w:rPr>
        <w:t xml:space="preserve"> in Japanese and Western markets.</w:t>
      </w:r>
    </w:p>
    <w:p w14:paraId="49974476" w14:textId="77777777" w:rsidR="00542CB6" w:rsidRPr="00CD5D09" w:rsidRDefault="00542CB6" w:rsidP="00542CB6">
      <w:pPr>
        <w:jc w:val="both"/>
        <w:rPr>
          <w:sz w:val="22"/>
          <w:szCs w:val="22"/>
          <w:lang w:val="en-GB"/>
        </w:rPr>
      </w:pPr>
    </w:p>
    <w:p w14:paraId="4B2A39C9" w14:textId="2A8494C5" w:rsidR="00542CB6" w:rsidRPr="00CD5D09" w:rsidRDefault="00542CB6" w:rsidP="00542CB6">
      <w:pPr>
        <w:jc w:val="both"/>
        <w:rPr>
          <w:rFonts w:eastAsia="SimSun"/>
          <w:sz w:val="22"/>
          <w:szCs w:val="22"/>
          <w:lang w:val="en-GB" w:eastAsia="zh-CN"/>
        </w:rPr>
      </w:pPr>
      <w:r w:rsidRPr="00CD5D09">
        <w:rPr>
          <w:rFonts w:eastAsia="SimSun"/>
          <w:sz w:val="22"/>
          <w:szCs w:val="22"/>
          <w:lang w:val="en-GB" w:eastAsia="zh-CN"/>
        </w:rPr>
        <w:t>To speed up market penetration</w:t>
      </w:r>
      <w:r w:rsidR="00A176B5">
        <w:rPr>
          <w:rFonts w:eastAsia="SimSun"/>
          <w:sz w:val="22"/>
          <w:szCs w:val="22"/>
          <w:lang w:val="en-GB" w:eastAsia="zh-CN"/>
        </w:rPr>
        <w:t>,</w:t>
      </w:r>
      <w:r w:rsidRPr="00CD5D09">
        <w:rPr>
          <w:rFonts w:eastAsia="SimSun"/>
          <w:sz w:val="22"/>
          <w:szCs w:val="22"/>
          <w:lang w:val="en-GB" w:eastAsia="zh-CN"/>
        </w:rPr>
        <w:t xml:space="preserve"> while ensuring quality control and good business performance, </w:t>
      </w:r>
      <w:proofErr w:type="spellStart"/>
      <w:r w:rsidR="00446EE7">
        <w:rPr>
          <w:rFonts w:eastAsia="SimSun"/>
          <w:sz w:val="22"/>
          <w:szCs w:val="22"/>
          <w:lang w:val="en-GB" w:eastAsia="zh-CN"/>
        </w:rPr>
        <w:t>BreadTalk’s</w:t>
      </w:r>
      <w:proofErr w:type="spellEnd"/>
      <w:r w:rsidR="00446EE7">
        <w:rPr>
          <w:rFonts w:eastAsia="SimSun"/>
          <w:sz w:val="22"/>
          <w:szCs w:val="22"/>
          <w:lang w:val="en-GB" w:eastAsia="zh-CN"/>
        </w:rPr>
        <w:t xml:space="preserve"> </w:t>
      </w:r>
      <w:r w:rsidRPr="00CD5D09">
        <w:rPr>
          <w:rFonts w:eastAsia="SimSun"/>
          <w:sz w:val="22"/>
          <w:szCs w:val="22"/>
          <w:lang w:val="en-GB" w:eastAsia="zh-CN"/>
        </w:rPr>
        <w:t xml:space="preserve">bakery division </w:t>
      </w:r>
      <w:r w:rsidR="00A176B5">
        <w:rPr>
          <w:rFonts w:eastAsia="SimSun"/>
          <w:sz w:val="22"/>
          <w:szCs w:val="22"/>
          <w:lang w:val="en-GB" w:eastAsia="zh-CN"/>
        </w:rPr>
        <w:t>developed</w:t>
      </w:r>
      <w:r w:rsidRPr="00CD5D09">
        <w:rPr>
          <w:rFonts w:eastAsia="SimSun"/>
          <w:sz w:val="22"/>
          <w:szCs w:val="22"/>
          <w:lang w:val="en-GB" w:eastAsia="zh-CN"/>
        </w:rPr>
        <w:t xml:space="preserve"> a new ownership</w:t>
      </w:r>
      <w:r w:rsidR="00A176B5">
        <w:rPr>
          <w:rFonts w:eastAsia="SimSun"/>
          <w:sz w:val="22"/>
          <w:szCs w:val="22"/>
          <w:lang w:val="en-GB" w:eastAsia="zh-CN"/>
        </w:rPr>
        <w:t xml:space="preserve"> model</w:t>
      </w:r>
      <w:r w:rsidRPr="00CD5D09">
        <w:rPr>
          <w:rFonts w:eastAsia="SimSun"/>
          <w:sz w:val="22"/>
          <w:szCs w:val="22"/>
          <w:lang w:val="en-GB" w:eastAsia="zh-CN"/>
        </w:rPr>
        <w:t xml:space="preserve">. Instead of working with </w:t>
      </w:r>
      <w:r w:rsidR="00712CC0">
        <w:rPr>
          <w:rFonts w:eastAsia="SimSun"/>
          <w:sz w:val="22"/>
          <w:szCs w:val="22"/>
          <w:lang w:val="en-GB" w:eastAsia="zh-CN"/>
        </w:rPr>
        <w:t xml:space="preserve">a </w:t>
      </w:r>
      <w:r w:rsidR="00460727">
        <w:rPr>
          <w:rFonts w:eastAsia="SimSun"/>
          <w:sz w:val="22"/>
          <w:szCs w:val="22"/>
          <w:lang w:val="en-GB" w:eastAsia="zh-CN"/>
        </w:rPr>
        <w:t>large number of</w:t>
      </w:r>
      <w:r w:rsidRPr="00CD5D09">
        <w:rPr>
          <w:rFonts w:eastAsia="SimSun"/>
          <w:sz w:val="22"/>
          <w:szCs w:val="22"/>
          <w:lang w:val="en-GB" w:eastAsia="zh-CN"/>
        </w:rPr>
        <w:t xml:space="preserve"> individual franchisees, </w:t>
      </w:r>
      <w:r w:rsidR="00446EE7">
        <w:rPr>
          <w:rFonts w:eastAsia="SimSun"/>
          <w:sz w:val="22"/>
          <w:szCs w:val="22"/>
          <w:lang w:val="en-GB" w:eastAsia="zh-CN"/>
        </w:rPr>
        <w:t>i</w:t>
      </w:r>
      <w:r w:rsidRPr="00CD5D09">
        <w:rPr>
          <w:rFonts w:eastAsia="SimSun"/>
          <w:sz w:val="22"/>
          <w:szCs w:val="22"/>
          <w:lang w:val="en-GB" w:eastAsia="zh-CN"/>
        </w:rPr>
        <w:t xml:space="preserve">t sought reliable JV partners </w:t>
      </w:r>
      <w:r w:rsidR="00446EE7">
        <w:rPr>
          <w:rFonts w:eastAsia="SimSun"/>
          <w:sz w:val="22"/>
          <w:szCs w:val="22"/>
          <w:lang w:val="en-GB" w:eastAsia="zh-CN"/>
        </w:rPr>
        <w:t>that could</w:t>
      </w:r>
      <w:r w:rsidRPr="00CD5D09">
        <w:rPr>
          <w:rFonts w:eastAsia="SimSun"/>
          <w:sz w:val="22"/>
          <w:szCs w:val="22"/>
          <w:lang w:val="en-GB" w:eastAsia="zh-CN"/>
        </w:rPr>
        <w:t xml:space="preserve"> grow </w:t>
      </w:r>
      <w:r w:rsidR="00460727">
        <w:rPr>
          <w:rFonts w:eastAsia="SimSun"/>
          <w:sz w:val="22"/>
          <w:szCs w:val="22"/>
          <w:lang w:val="en-GB" w:eastAsia="zh-CN"/>
        </w:rPr>
        <w:t>substantially</w:t>
      </w:r>
      <w:r w:rsidRPr="00CD5D09">
        <w:rPr>
          <w:rFonts w:eastAsia="SimSun"/>
          <w:sz w:val="22"/>
          <w:szCs w:val="22"/>
          <w:lang w:val="en-GB" w:eastAsia="zh-CN"/>
        </w:rPr>
        <w:t xml:space="preserve"> in </w:t>
      </w:r>
      <w:r w:rsidR="00460727">
        <w:rPr>
          <w:rFonts w:eastAsia="SimSun"/>
          <w:sz w:val="22"/>
          <w:szCs w:val="22"/>
          <w:lang w:val="en-GB" w:eastAsia="zh-CN"/>
        </w:rPr>
        <w:t>each</w:t>
      </w:r>
      <w:r w:rsidRPr="00CD5D09">
        <w:rPr>
          <w:rFonts w:eastAsia="SimSun"/>
          <w:sz w:val="22"/>
          <w:szCs w:val="22"/>
          <w:lang w:val="en-GB" w:eastAsia="zh-CN"/>
        </w:rPr>
        <w:t xml:space="preserve"> region. For e</w:t>
      </w:r>
      <w:r w:rsidR="00A176B5">
        <w:rPr>
          <w:rFonts w:eastAsia="SimSun"/>
          <w:sz w:val="22"/>
          <w:szCs w:val="22"/>
          <w:lang w:val="en-GB" w:eastAsia="zh-CN"/>
        </w:rPr>
        <w:t>xample</w:t>
      </w:r>
      <w:r w:rsidRPr="00CD5D09">
        <w:rPr>
          <w:rFonts w:eastAsia="SimSun"/>
          <w:sz w:val="22"/>
          <w:szCs w:val="22"/>
          <w:lang w:val="en-GB" w:eastAsia="zh-CN"/>
        </w:rPr>
        <w:t xml:space="preserve">, in 2018, the </w:t>
      </w:r>
      <w:r w:rsidR="00A176B5">
        <w:rPr>
          <w:rFonts w:eastAsia="SimSun"/>
          <w:sz w:val="22"/>
          <w:szCs w:val="22"/>
          <w:lang w:val="en-GB" w:eastAsia="zh-CN"/>
        </w:rPr>
        <w:t xml:space="preserve">bakery </w:t>
      </w:r>
      <w:r w:rsidRPr="00CD5D09">
        <w:rPr>
          <w:rFonts w:eastAsia="SimSun"/>
          <w:sz w:val="22"/>
          <w:szCs w:val="22"/>
          <w:lang w:val="en-GB" w:eastAsia="zh-CN"/>
        </w:rPr>
        <w:t xml:space="preserve">division formed a JV with </w:t>
      </w:r>
      <w:r w:rsidR="00A176B5">
        <w:rPr>
          <w:rFonts w:eastAsia="SimSun"/>
          <w:sz w:val="22"/>
          <w:szCs w:val="22"/>
          <w:lang w:val="en-GB" w:eastAsia="zh-CN"/>
        </w:rPr>
        <w:t xml:space="preserve">Ge Ying, </w:t>
      </w:r>
      <w:r w:rsidR="00446EE7">
        <w:rPr>
          <w:rFonts w:eastAsia="SimSun"/>
          <w:sz w:val="22"/>
          <w:szCs w:val="22"/>
          <w:lang w:val="en-GB" w:eastAsia="zh-CN"/>
        </w:rPr>
        <w:t>a</w:t>
      </w:r>
      <w:r w:rsidRPr="00CD5D09">
        <w:rPr>
          <w:rFonts w:eastAsia="SimSun"/>
          <w:sz w:val="22"/>
          <w:szCs w:val="22"/>
          <w:lang w:val="en-GB" w:eastAsia="zh-CN"/>
        </w:rPr>
        <w:t xml:space="preserve"> franchisee in the Tibet Autonomous </w:t>
      </w:r>
      <w:r w:rsidR="00A176B5">
        <w:rPr>
          <w:rFonts w:eastAsia="SimSun"/>
          <w:sz w:val="22"/>
          <w:szCs w:val="22"/>
          <w:lang w:val="en-GB" w:eastAsia="zh-CN"/>
        </w:rPr>
        <w:t>R</w:t>
      </w:r>
      <w:r w:rsidRPr="00CD5D09">
        <w:rPr>
          <w:rFonts w:eastAsia="SimSun"/>
          <w:sz w:val="22"/>
          <w:szCs w:val="22"/>
          <w:lang w:val="en-GB" w:eastAsia="zh-CN"/>
        </w:rPr>
        <w:t>egion</w:t>
      </w:r>
      <w:r w:rsidR="00446EE7">
        <w:rPr>
          <w:rFonts w:eastAsia="SimSun"/>
          <w:sz w:val="22"/>
          <w:szCs w:val="22"/>
          <w:lang w:val="en-GB" w:eastAsia="zh-CN"/>
        </w:rPr>
        <w:t xml:space="preserve"> that</w:t>
      </w:r>
      <w:r w:rsidRPr="00CD5D09">
        <w:rPr>
          <w:rFonts w:eastAsia="SimSun"/>
          <w:sz w:val="22"/>
          <w:szCs w:val="22"/>
          <w:lang w:val="en-GB" w:eastAsia="zh-CN"/>
        </w:rPr>
        <w:t xml:space="preserve"> had maintained </w:t>
      </w:r>
      <w:r w:rsidR="00460727">
        <w:rPr>
          <w:rFonts w:eastAsia="SimSun"/>
          <w:sz w:val="22"/>
          <w:szCs w:val="22"/>
          <w:lang w:val="en-GB" w:eastAsia="zh-CN"/>
        </w:rPr>
        <w:t>high</w:t>
      </w:r>
      <w:r w:rsidRPr="00CD5D09">
        <w:rPr>
          <w:rFonts w:eastAsia="SimSun"/>
          <w:sz w:val="22"/>
          <w:szCs w:val="22"/>
          <w:lang w:val="en-GB" w:eastAsia="zh-CN"/>
        </w:rPr>
        <w:t xml:space="preserve"> performance for six years</w:t>
      </w:r>
      <w:r w:rsidR="00460727">
        <w:rPr>
          <w:rFonts w:eastAsia="SimSun"/>
          <w:sz w:val="22"/>
          <w:szCs w:val="22"/>
          <w:lang w:val="en-GB" w:eastAsia="zh-CN"/>
        </w:rPr>
        <w:t xml:space="preserve">, and </w:t>
      </w:r>
      <w:r w:rsidRPr="00CD5D09">
        <w:rPr>
          <w:rFonts w:eastAsia="SimSun"/>
          <w:sz w:val="22"/>
          <w:szCs w:val="22"/>
          <w:lang w:val="en-GB" w:eastAsia="zh-CN"/>
        </w:rPr>
        <w:t xml:space="preserve">entered </w:t>
      </w:r>
      <w:r w:rsidR="00446EE7">
        <w:rPr>
          <w:rFonts w:eastAsia="SimSun"/>
          <w:sz w:val="22"/>
          <w:szCs w:val="22"/>
          <w:lang w:val="en-GB" w:eastAsia="zh-CN"/>
        </w:rPr>
        <w:t>th</w:t>
      </w:r>
      <w:r w:rsidR="00460727">
        <w:rPr>
          <w:rFonts w:eastAsia="SimSun"/>
          <w:sz w:val="22"/>
          <w:szCs w:val="22"/>
          <w:lang w:val="en-GB" w:eastAsia="zh-CN"/>
        </w:rPr>
        <w:t>e</w:t>
      </w:r>
      <w:r w:rsidR="00446EE7">
        <w:rPr>
          <w:rFonts w:eastAsia="SimSun"/>
          <w:sz w:val="22"/>
          <w:szCs w:val="22"/>
          <w:lang w:val="en-GB" w:eastAsia="zh-CN"/>
        </w:rPr>
        <w:t xml:space="preserve"> </w:t>
      </w:r>
      <w:r w:rsidRPr="00CD5D09">
        <w:rPr>
          <w:rFonts w:eastAsia="SimSun"/>
          <w:sz w:val="22"/>
          <w:szCs w:val="22"/>
          <w:lang w:val="en-GB" w:eastAsia="zh-CN"/>
        </w:rPr>
        <w:t>Chongqing</w:t>
      </w:r>
      <w:r w:rsidR="00446EE7">
        <w:rPr>
          <w:rFonts w:eastAsia="SimSun"/>
          <w:sz w:val="22"/>
          <w:szCs w:val="22"/>
          <w:lang w:val="en-GB" w:eastAsia="zh-CN"/>
        </w:rPr>
        <w:t xml:space="preserve"> market</w:t>
      </w:r>
      <w:r w:rsidR="00460727">
        <w:rPr>
          <w:rFonts w:eastAsia="SimSun"/>
          <w:sz w:val="22"/>
          <w:szCs w:val="22"/>
          <w:lang w:val="en-GB" w:eastAsia="zh-CN"/>
        </w:rPr>
        <w:t xml:space="preserve"> in southwest China. From there, the company planned to</w:t>
      </w:r>
      <w:r w:rsidRPr="00CD5D09">
        <w:rPr>
          <w:rFonts w:eastAsia="SimSun"/>
          <w:sz w:val="22"/>
          <w:szCs w:val="22"/>
          <w:lang w:val="en-GB" w:eastAsia="zh-CN"/>
        </w:rPr>
        <w:t xml:space="preserve"> expand into </w:t>
      </w:r>
      <w:r w:rsidR="00460727">
        <w:rPr>
          <w:rFonts w:eastAsia="SimSun"/>
          <w:sz w:val="22"/>
          <w:szCs w:val="22"/>
          <w:lang w:val="en-GB" w:eastAsia="zh-CN"/>
        </w:rPr>
        <w:t xml:space="preserve">nearby cities </w:t>
      </w:r>
      <w:r w:rsidRPr="00CD5D09">
        <w:rPr>
          <w:rFonts w:eastAsia="SimSun"/>
          <w:sz w:val="22"/>
          <w:szCs w:val="22"/>
          <w:lang w:val="en-GB" w:eastAsia="zh-CN"/>
        </w:rPr>
        <w:t>Yunnan and Guiyang</w:t>
      </w:r>
      <w:r w:rsidR="00460727">
        <w:rPr>
          <w:rFonts w:eastAsia="SimSun"/>
          <w:sz w:val="22"/>
          <w:szCs w:val="22"/>
          <w:lang w:val="en-GB" w:eastAsia="zh-CN"/>
        </w:rPr>
        <w:t>, among others</w:t>
      </w:r>
      <w:r w:rsidRPr="00CD5D09">
        <w:rPr>
          <w:rFonts w:eastAsia="SimSun"/>
          <w:sz w:val="22"/>
          <w:szCs w:val="22"/>
          <w:lang w:val="en-GB" w:eastAsia="zh-CN"/>
        </w:rPr>
        <w:t xml:space="preserve">. The </w:t>
      </w:r>
      <w:r w:rsidR="00FC03D0">
        <w:rPr>
          <w:rFonts w:eastAsia="SimSun"/>
          <w:sz w:val="22"/>
          <w:szCs w:val="22"/>
          <w:lang w:val="en-GB" w:eastAsia="zh-CN"/>
        </w:rPr>
        <w:t>company</w:t>
      </w:r>
      <w:r w:rsidR="00446EE7">
        <w:rPr>
          <w:rFonts w:eastAsia="SimSun"/>
          <w:sz w:val="22"/>
          <w:szCs w:val="22"/>
          <w:lang w:val="en-GB" w:eastAsia="zh-CN"/>
        </w:rPr>
        <w:t xml:space="preserve"> then</w:t>
      </w:r>
      <w:r w:rsidRPr="00CD5D09">
        <w:rPr>
          <w:rFonts w:eastAsia="SimSun"/>
          <w:sz w:val="22"/>
          <w:szCs w:val="22"/>
          <w:lang w:val="en-GB" w:eastAsia="zh-CN"/>
        </w:rPr>
        <w:t xml:space="preserve"> formed a similar JV with PT Pura Indah </w:t>
      </w:r>
      <w:proofErr w:type="spellStart"/>
      <w:r w:rsidRPr="00CD5D09">
        <w:rPr>
          <w:rFonts w:eastAsia="SimSun"/>
          <w:sz w:val="22"/>
          <w:szCs w:val="22"/>
          <w:lang w:val="en-GB" w:eastAsia="zh-CN"/>
        </w:rPr>
        <w:t>Berkat</w:t>
      </w:r>
      <w:proofErr w:type="spellEnd"/>
      <w:r w:rsidRPr="00CD5D09">
        <w:rPr>
          <w:rFonts w:eastAsia="SimSun"/>
          <w:sz w:val="22"/>
          <w:szCs w:val="22"/>
          <w:lang w:val="en-GB" w:eastAsia="zh-CN"/>
        </w:rPr>
        <w:t xml:space="preserve"> to bring Toast Box </w:t>
      </w:r>
      <w:r w:rsidR="000A0AEB">
        <w:rPr>
          <w:rFonts w:eastAsia="SimSun"/>
          <w:sz w:val="22"/>
          <w:szCs w:val="22"/>
          <w:lang w:val="en-GB" w:eastAsia="zh-CN"/>
        </w:rPr>
        <w:t xml:space="preserve">stores </w:t>
      </w:r>
      <w:r w:rsidRPr="00CD5D09">
        <w:rPr>
          <w:rFonts w:eastAsia="SimSun"/>
          <w:sz w:val="22"/>
          <w:szCs w:val="22"/>
          <w:lang w:val="en-GB" w:eastAsia="zh-CN"/>
        </w:rPr>
        <w:t xml:space="preserve">to Indonesia. </w:t>
      </w:r>
    </w:p>
    <w:p w14:paraId="2DF7A279" w14:textId="77777777" w:rsidR="00542CB6" w:rsidRPr="00CD5D09" w:rsidRDefault="00542CB6" w:rsidP="00542CB6">
      <w:pPr>
        <w:jc w:val="both"/>
        <w:rPr>
          <w:sz w:val="22"/>
          <w:szCs w:val="22"/>
          <w:lang w:val="en-GB"/>
        </w:rPr>
      </w:pPr>
    </w:p>
    <w:p w14:paraId="6546CAAD" w14:textId="6A0AB83B" w:rsidR="000A0AEB" w:rsidRDefault="00542CB6" w:rsidP="00542CB6">
      <w:pPr>
        <w:jc w:val="both"/>
        <w:rPr>
          <w:sz w:val="22"/>
          <w:szCs w:val="22"/>
          <w:lang w:val="en-GB"/>
        </w:rPr>
      </w:pPr>
      <w:r w:rsidRPr="00CD5D09">
        <w:rPr>
          <w:sz w:val="22"/>
          <w:szCs w:val="22"/>
          <w:lang w:val="en-GB"/>
        </w:rPr>
        <w:t xml:space="preserve">Leveraging its market knowledge, the </w:t>
      </w:r>
      <w:r w:rsidR="00FC03D0">
        <w:rPr>
          <w:sz w:val="22"/>
          <w:szCs w:val="22"/>
          <w:lang w:val="en-GB"/>
        </w:rPr>
        <w:t>company</w:t>
      </w:r>
      <w:r w:rsidRPr="00CD5D09">
        <w:rPr>
          <w:sz w:val="22"/>
          <w:szCs w:val="22"/>
          <w:lang w:val="en-GB"/>
        </w:rPr>
        <w:t xml:space="preserve"> </w:t>
      </w:r>
      <w:r w:rsidR="000A0AEB">
        <w:rPr>
          <w:sz w:val="22"/>
          <w:szCs w:val="22"/>
          <w:lang w:val="en-GB"/>
        </w:rPr>
        <w:t>continued to</w:t>
      </w:r>
      <w:r w:rsidR="00446EE7">
        <w:rPr>
          <w:sz w:val="22"/>
          <w:szCs w:val="22"/>
          <w:lang w:val="en-GB"/>
        </w:rPr>
        <w:t xml:space="preserve"> </w:t>
      </w:r>
      <w:r w:rsidRPr="00CD5D09">
        <w:rPr>
          <w:sz w:val="22"/>
          <w:szCs w:val="22"/>
          <w:lang w:val="en-GB"/>
        </w:rPr>
        <w:t>form JV</w:t>
      </w:r>
      <w:r w:rsidR="000A0AEB">
        <w:rPr>
          <w:sz w:val="22"/>
          <w:szCs w:val="22"/>
          <w:lang w:val="en-GB"/>
        </w:rPr>
        <w:t xml:space="preserve"> arrangements, and established a partnership</w:t>
      </w:r>
      <w:r w:rsidRPr="00CD5D09">
        <w:rPr>
          <w:sz w:val="22"/>
          <w:szCs w:val="22"/>
          <w:lang w:val="en-GB"/>
        </w:rPr>
        <w:t xml:space="preserve"> with Wu Pao Chun</w:t>
      </w:r>
      <w:r w:rsidR="000A0AEB">
        <w:rPr>
          <w:sz w:val="22"/>
          <w:szCs w:val="22"/>
          <w:lang w:val="en-GB"/>
        </w:rPr>
        <w:t>. This JV</w:t>
      </w:r>
      <w:r w:rsidRPr="00CD5D09">
        <w:rPr>
          <w:sz w:val="22"/>
          <w:szCs w:val="22"/>
          <w:lang w:val="en-GB"/>
        </w:rPr>
        <w:t xml:space="preserve"> introduce</w:t>
      </w:r>
      <w:r w:rsidR="000A0AEB">
        <w:rPr>
          <w:sz w:val="22"/>
          <w:szCs w:val="22"/>
          <w:lang w:val="en-GB"/>
        </w:rPr>
        <w:t>d</w:t>
      </w:r>
      <w:r w:rsidRPr="00CD5D09">
        <w:rPr>
          <w:sz w:val="22"/>
          <w:szCs w:val="22"/>
          <w:lang w:val="en-GB"/>
        </w:rPr>
        <w:t xml:space="preserve"> the Taiwanese bakery brand to four major cities in mainland China</w:t>
      </w:r>
      <w:r w:rsidR="00446EE7">
        <w:rPr>
          <w:sz w:val="22"/>
          <w:szCs w:val="22"/>
          <w:lang w:val="en-GB"/>
        </w:rPr>
        <w:t>—</w:t>
      </w:r>
      <w:r w:rsidRPr="00CD5D09">
        <w:rPr>
          <w:sz w:val="22"/>
          <w:szCs w:val="22"/>
          <w:lang w:val="en-GB"/>
        </w:rPr>
        <w:t>Shanghai, Beijing, Shenzhen, and Guangzhou</w:t>
      </w:r>
      <w:r w:rsidR="00446EE7">
        <w:rPr>
          <w:sz w:val="22"/>
          <w:szCs w:val="22"/>
          <w:lang w:val="en-GB"/>
        </w:rPr>
        <w:t>—</w:t>
      </w:r>
      <w:r w:rsidRPr="00CD5D09">
        <w:rPr>
          <w:sz w:val="22"/>
          <w:szCs w:val="22"/>
          <w:lang w:val="en-GB"/>
        </w:rPr>
        <w:t xml:space="preserve">as well as to Hong Kong and Singapore. </w:t>
      </w:r>
      <w:proofErr w:type="spellStart"/>
      <w:r w:rsidR="000A0AEB">
        <w:rPr>
          <w:sz w:val="22"/>
          <w:szCs w:val="22"/>
          <w:lang w:val="en-GB"/>
        </w:rPr>
        <w:t>BreadTalk</w:t>
      </w:r>
      <w:proofErr w:type="spellEnd"/>
      <w:r w:rsidRPr="00CD5D09">
        <w:rPr>
          <w:sz w:val="22"/>
          <w:szCs w:val="22"/>
          <w:lang w:val="en-GB"/>
        </w:rPr>
        <w:t xml:space="preserve"> also entered into an agreement with</w:t>
      </w:r>
      <w:r w:rsidR="000A0AEB">
        <w:rPr>
          <w:sz w:val="22"/>
          <w:szCs w:val="22"/>
          <w:lang w:val="en-GB"/>
        </w:rPr>
        <w:t xml:space="preserve"> the F&amp;B management company</w:t>
      </w:r>
      <w:r w:rsidRPr="00CD5D09">
        <w:rPr>
          <w:sz w:val="22"/>
          <w:szCs w:val="22"/>
          <w:lang w:val="en-GB"/>
        </w:rPr>
        <w:t xml:space="preserve"> Shenzhen </w:t>
      </w:r>
      <w:proofErr w:type="spellStart"/>
      <w:r w:rsidRPr="00CD5D09">
        <w:rPr>
          <w:sz w:val="22"/>
          <w:szCs w:val="22"/>
          <w:lang w:val="en-GB"/>
        </w:rPr>
        <w:t>Pindao</w:t>
      </w:r>
      <w:proofErr w:type="spellEnd"/>
      <w:r w:rsidRPr="00CD5D09">
        <w:rPr>
          <w:sz w:val="22"/>
          <w:szCs w:val="22"/>
          <w:lang w:val="en-GB"/>
        </w:rPr>
        <w:t xml:space="preserve"> to </w:t>
      </w:r>
      <w:r w:rsidR="00446EE7">
        <w:rPr>
          <w:sz w:val="22"/>
          <w:szCs w:val="22"/>
          <w:lang w:val="en-GB"/>
        </w:rPr>
        <w:t>sell its</w:t>
      </w:r>
      <w:r w:rsidRPr="00CD5D09">
        <w:rPr>
          <w:sz w:val="22"/>
          <w:szCs w:val="22"/>
          <w:lang w:val="en-GB"/>
        </w:rPr>
        <w:t xml:space="preserve"> new-style tea brands</w:t>
      </w:r>
      <w:r w:rsidR="000A0AEB">
        <w:rPr>
          <w:sz w:val="22"/>
          <w:szCs w:val="22"/>
          <w:lang w:val="en-GB"/>
        </w:rPr>
        <w:t>,</w:t>
      </w:r>
      <w:r w:rsidRPr="00CD5D09">
        <w:rPr>
          <w:sz w:val="22"/>
          <w:szCs w:val="22"/>
          <w:lang w:val="en-GB"/>
        </w:rPr>
        <w:t xml:space="preserve"> </w:t>
      </w:r>
      <w:proofErr w:type="spellStart"/>
      <w:r w:rsidRPr="00CD5D09">
        <w:rPr>
          <w:sz w:val="22"/>
          <w:szCs w:val="22"/>
          <w:lang w:val="en-GB"/>
        </w:rPr>
        <w:t>Nayuki</w:t>
      </w:r>
      <w:proofErr w:type="spellEnd"/>
      <w:r w:rsidRPr="00CD5D09">
        <w:rPr>
          <w:sz w:val="22"/>
          <w:szCs w:val="22"/>
          <w:lang w:val="en-GB"/>
        </w:rPr>
        <w:t xml:space="preserve"> and Tai Gai</w:t>
      </w:r>
      <w:r w:rsidR="000A0AEB">
        <w:rPr>
          <w:sz w:val="22"/>
          <w:szCs w:val="22"/>
          <w:lang w:val="en-GB"/>
        </w:rPr>
        <w:t>,</w:t>
      </w:r>
      <w:r w:rsidRPr="00CD5D09">
        <w:rPr>
          <w:sz w:val="22"/>
          <w:szCs w:val="22"/>
          <w:lang w:val="en-GB"/>
        </w:rPr>
        <w:t xml:space="preserve"> </w:t>
      </w:r>
      <w:r w:rsidR="00446EE7">
        <w:rPr>
          <w:sz w:val="22"/>
          <w:szCs w:val="22"/>
          <w:lang w:val="en-GB"/>
        </w:rPr>
        <w:t>in</w:t>
      </w:r>
      <w:r w:rsidRPr="00CD5D09">
        <w:rPr>
          <w:sz w:val="22"/>
          <w:szCs w:val="22"/>
          <w:lang w:val="en-GB"/>
        </w:rPr>
        <w:t xml:space="preserve"> Singapore and Thailand. </w:t>
      </w:r>
    </w:p>
    <w:p w14:paraId="39AD9EB6" w14:textId="77777777" w:rsidR="000A0AEB" w:rsidRDefault="000A0AEB" w:rsidP="00542CB6">
      <w:pPr>
        <w:jc w:val="both"/>
        <w:rPr>
          <w:sz w:val="22"/>
          <w:szCs w:val="22"/>
          <w:lang w:val="en-GB"/>
        </w:rPr>
      </w:pPr>
    </w:p>
    <w:p w14:paraId="1020B641" w14:textId="429271B7" w:rsidR="00542CB6" w:rsidRDefault="00446EE7" w:rsidP="00542CB6">
      <w:pPr>
        <w:jc w:val="both"/>
        <w:rPr>
          <w:sz w:val="22"/>
          <w:szCs w:val="22"/>
          <w:lang w:val="en-GB"/>
        </w:rPr>
      </w:pPr>
      <w:r>
        <w:rPr>
          <w:sz w:val="22"/>
          <w:szCs w:val="22"/>
          <w:lang w:val="en-GB"/>
        </w:rPr>
        <w:t xml:space="preserve">By 2018, </w:t>
      </w:r>
      <w:proofErr w:type="spellStart"/>
      <w:r w:rsidR="000A0AEB">
        <w:rPr>
          <w:sz w:val="22"/>
          <w:szCs w:val="22"/>
          <w:lang w:val="en-GB"/>
        </w:rPr>
        <w:t>BreadTalk</w:t>
      </w:r>
      <w:proofErr w:type="spellEnd"/>
      <w:r w:rsidR="000A0AEB">
        <w:rPr>
          <w:sz w:val="22"/>
          <w:szCs w:val="22"/>
          <w:lang w:val="en-GB"/>
        </w:rPr>
        <w:t xml:space="preserve"> had expanded its</w:t>
      </w:r>
      <w:r w:rsidR="00542CB6" w:rsidRPr="00CD5D09">
        <w:rPr>
          <w:sz w:val="22"/>
          <w:szCs w:val="22"/>
          <w:lang w:val="en-GB"/>
        </w:rPr>
        <w:t xml:space="preserve"> portfolio to</w:t>
      </w:r>
      <w:r w:rsidR="00542CB6" w:rsidRPr="00CD5D09">
        <w:rPr>
          <w:rFonts w:eastAsia="SimSun"/>
          <w:sz w:val="22"/>
          <w:szCs w:val="22"/>
          <w:lang w:val="en-GB" w:eastAsia="zh-CN"/>
        </w:rPr>
        <w:t xml:space="preserve"> </w:t>
      </w:r>
      <w:r w:rsidR="00542CB6" w:rsidRPr="00CD5D09">
        <w:rPr>
          <w:sz w:val="22"/>
          <w:szCs w:val="22"/>
          <w:lang w:val="en-GB" w:eastAsia="zh-CN"/>
        </w:rPr>
        <w:t>1</w:t>
      </w:r>
      <w:r w:rsidR="00542CB6" w:rsidRPr="00CD5D09">
        <w:rPr>
          <w:rFonts w:eastAsia="SimSun"/>
          <w:sz w:val="22"/>
          <w:szCs w:val="22"/>
          <w:lang w:val="en-GB" w:eastAsia="zh-CN"/>
        </w:rPr>
        <w:t xml:space="preserve">1 </w:t>
      </w:r>
      <w:r w:rsidR="000A0AEB">
        <w:rPr>
          <w:rFonts w:eastAsia="SimSun"/>
          <w:sz w:val="22"/>
          <w:szCs w:val="22"/>
          <w:lang w:val="en-GB" w:eastAsia="zh-CN"/>
        </w:rPr>
        <w:t xml:space="preserve">different </w:t>
      </w:r>
      <w:r w:rsidR="00542CB6" w:rsidRPr="00CD5D09">
        <w:rPr>
          <w:rFonts w:eastAsia="SimSun"/>
          <w:sz w:val="22"/>
          <w:szCs w:val="22"/>
          <w:lang w:val="en-GB" w:eastAsia="zh-CN"/>
        </w:rPr>
        <w:t>brands</w:t>
      </w:r>
      <w:r w:rsidR="00542CB6" w:rsidRPr="00CD5D09">
        <w:rPr>
          <w:sz w:val="22"/>
          <w:szCs w:val="22"/>
          <w:lang w:val="en-GB"/>
        </w:rPr>
        <w:t>.</w:t>
      </w:r>
    </w:p>
    <w:p w14:paraId="63BD65AF" w14:textId="77777777" w:rsidR="000A0AEB" w:rsidRPr="008202C5" w:rsidRDefault="000A0AEB" w:rsidP="008202C5">
      <w:pPr>
        <w:pStyle w:val="BodyTextMain"/>
        <w:rPr>
          <w:sz w:val="14"/>
          <w:szCs w:val="14"/>
          <w:lang w:val="en-GB"/>
        </w:rPr>
      </w:pPr>
    </w:p>
    <w:p w14:paraId="47EC5410" w14:textId="77777777" w:rsidR="000A0AEB" w:rsidRPr="008202C5" w:rsidRDefault="000A0AEB" w:rsidP="008202C5">
      <w:pPr>
        <w:pStyle w:val="BodyTextMain"/>
        <w:rPr>
          <w:rFonts w:eastAsia="SimSun"/>
          <w:sz w:val="14"/>
          <w:szCs w:val="14"/>
          <w:lang w:val="en-GB"/>
        </w:rPr>
      </w:pPr>
    </w:p>
    <w:p w14:paraId="76E858B7" w14:textId="270D055D" w:rsidR="00C43E0A" w:rsidRPr="002569DC" w:rsidRDefault="00C43E0A" w:rsidP="00E61193">
      <w:pPr>
        <w:pStyle w:val="Casehead1"/>
        <w:keepNext/>
        <w:rPr>
          <w:rFonts w:eastAsia="SimSun"/>
        </w:rPr>
      </w:pPr>
      <w:r w:rsidRPr="002569DC">
        <w:rPr>
          <w:rFonts w:eastAsia="SimSun"/>
        </w:rPr>
        <w:t>BREADTALK LEADERSHIP and MANAGEMENT</w:t>
      </w:r>
    </w:p>
    <w:p w14:paraId="4AA0522D" w14:textId="77777777" w:rsidR="00C43E0A" w:rsidRPr="008202C5" w:rsidRDefault="00C43E0A" w:rsidP="00E61193">
      <w:pPr>
        <w:pStyle w:val="BodyTextMain"/>
        <w:rPr>
          <w:sz w:val="14"/>
          <w:szCs w:val="14"/>
          <w:lang w:val="en-GB"/>
        </w:rPr>
      </w:pPr>
    </w:p>
    <w:p w14:paraId="037D5F32" w14:textId="77777777" w:rsidR="00C43E0A" w:rsidRPr="002569DC" w:rsidRDefault="00C43E0A" w:rsidP="008202C5">
      <w:pPr>
        <w:pStyle w:val="Casehead2"/>
      </w:pPr>
      <w:r w:rsidRPr="002569DC">
        <w:t>New Top Management Team</w:t>
      </w:r>
    </w:p>
    <w:p w14:paraId="7BB9A247" w14:textId="77777777" w:rsidR="00C43E0A" w:rsidRPr="008202C5" w:rsidRDefault="00C43E0A" w:rsidP="008202C5">
      <w:pPr>
        <w:jc w:val="both"/>
        <w:rPr>
          <w:rFonts w:eastAsia="SimSun"/>
          <w:sz w:val="14"/>
          <w:szCs w:val="14"/>
          <w:lang w:val="en-GB" w:eastAsia="zh-CN"/>
        </w:rPr>
      </w:pPr>
    </w:p>
    <w:p w14:paraId="1B9388F0" w14:textId="0C69968C" w:rsidR="00C43E0A" w:rsidRPr="00656696" w:rsidRDefault="00C43E0A" w:rsidP="008202C5">
      <w:pPr>
        <w:jc w:val="both"/>
        <w:rPr>
          <w:rFonts w:eastAsia="SimSun"/>
          <w:sz w:val="22"/>
          <w:szCs w:val="22"/>
          <w:lang w:val="en-GB" w:eastAsia="zh-CN"/>
        </w:rPr>
      </w:pPr>
      <w:r w:rsidRPr="00656696">
        <w:rPr>
          <w:rFonts w:eastAsia="SimSun"/>
          <w:sz w:val="22"/>
          <w:szCs w:val="22"/>
          <w:lang w:val="en-GB" w:eastAsia="zh-CN"/>
        </w:rPr>
        <w:t xml:space="preserve">In the early 2010s, </w:t>
      </w:r>
      <w:proofErr w:type="spellStart"/>
      <w:r w:rsidRPr="00656696">
        <w:rPr>
          <w:rFonts w:eastAsia="SimSun"/>
          <w:sz w:val="22"/>
          <w:szCs w:val="22"/>
          <w:lang w:val="en-GB" w:eastAsia="zh-CN"/>
        </w:rPr>
        <w:t>BreadTalk</w:t>
      </w:r>
      <w:proofErr w:type="spellEnd"/>
      <w:r w:rsidRPr="00656696">
        <w:rPr>
          <w:rFonts w:eastAsia="SimSun"/>
          <w:sz w:val="22"/>
          <w:szCs w:val="22"/>
          <w:lang w:val="en-GB" w:eastAsia="zh-CN"/>
        </w:rPr>
        <w:t xml:space="preserve"> initiated</w:t>
      </w:r>
      <w:r w:rsidRPr="00656696">
        <w:rPr>
          <w:sz w:val="22"/>
          <w:szCs w:val="22"/>
          <w:lang w:val="en-GB"/>
        </w:rPr>
        <w:t xml:space="preserve"> a leadership renewal process to hire younger executives from industry-leading firms</w:t>
      </w:r>
      <w:r w:rsidRPr="00656696">
        <w:rPr>
          <w:rFonts w:eastAsia="SimSun"/>
          <w:sz w:val="22"/>
          <w:szCs w:val="22"/>
          <w:lang w:val="en-GB" w:eastAsia="zh-CN"/>
        </w:rPr>
        <w:t xml:space="preserve"> (see Exhibit 6)</w:t>
      </w:r>
      <w:r w:rsidRPr="00656696">
        <w:rPr>
          <w:sz w:val="22"/>
          <w:szCs w:val="22"/>
          <w:lang w:val="en-GB"/>
        </w:rPr>
        <w:t xml:space="preserve">. The bakery division’s two top executives were appointed in 2015, </w:t>
      </w:r>
      <w:r w:rsidRPr="00656696">
        <w:rPr>
          <w:sz w:val="22"/>
          <w:szCs w:val="22"/>
          <w:lang w:val="en-GB"/>
        </w:rPr>
        <w:lastRenderedPageBreak/>
        <w:t xml:space="preserve">after having joined the company only one year earlier. Soon after, Chan Wing Git was appointed </w:t>
      </w:r>
      <w:proofErr w:type="spellStart"/>
      <w:r w:rsidRPr="00656696">
        <w:rPr>
          <w:sz w:val="22"/>
          <w:szCs w:val="22"/>
          <w:lang w:val="en-GB"/>
        </w:rPr>
        <w:t>BreadTalk’s</w:t>
      </w:r>
      <w:proofErr w:type="spellEnd"/>
      <w:r w:rsidRPr="00656696">
        <w:rPr>
          <w:sz w:val="22"/>
          <w:szCs w:val="22"/>
          <w:lang w:val="en-GB"/>
        </w:rPr>
        <w:t xml:space="preserve"> head</w:t>
      </w:r>
      <w:r w:rsidRPr="00656696">
        <w:rPr>
          <w:rFonts w:eastAsia="SimSun"/>
          <w:sz w:val="22"/>
          <w:szCs w:val="22"/>
          <w:lang w:val="en-GB" w:eastAsia="zh-CN"/>
        </w:rPr>
        <w:t xml:space="preserve"> of</w:t>
      </w:r>
      <w:r w:rsidRPr="00656696">
        <w:rPr>
          <w:sz w:val="22"/>
          <w:szCs w:val="22"/>
          <w:lang w:val="en-GB"/>
        </w:rPr>
        <w:t xml:space="preserve"> human resources</w:t>
      </w:r>
      <w:r w:rsidR="009D1F3B">
        <w:rPr>
          <w:sz w:val="22"/>
          <w:szCs w:val="22"/>
          <w:lang w:val="en-GB"/>
        </w:rPr>
        <w:t xml:space="preserve"> (HR)</w:t>
      </w:r>
      <w:r w:rsidRPr="00656696">
        <w:rPr>
          <w:sz w:val="22"/>
          <w:szCs w:val="22"/>
          <w:lang w:val="en-GB"/>
        </w:rPr>
        <w:t xml:space="preserve">, administration, and training, while Glenn Huang was appointed vice-president of corporate affairs and communication. On July 1, 2017, Chu succeed Oh </w:t>
      </w:r>
      <w:proofErr w:type="spellStart"/>
      <w:r w:rsidRPr="00656696">
        <w:rPr>
          <w:sz w:val="22"/>
          <w:szCs w:val="22"/>
          <w:lang w:val="en-GB"/>
        </w:rPr>
        <w:t>Eng</w:t>
      </w:r>
      <w:proofErr w:type="spellEnd"/>
      <w:r w:rsidRPr="00656696">
        <w:rPr>
          <w:sz w:val="22"/>
          <w:szCs w:val="22"/>
          <w:lang w:val="en-GB"/>
        </w:rPr>
        <w:t xml:space="preserve"> Lock as </w:t>
      </w:r>
      <w:proofErr w:type="spellStart"/>
      <w:r w:rsidRPr="00656696">
        <w:rPr>
          <w:sz w:val="22"/>
          <w:szCs w:val="22"/>
          <w:lang w:val="en-GB"/>
        </w:rPr>
        <w:t>BreadTalk’s</w:t>
      </w:r>
      <w:proofErr w:type="spellEnd"/>
      <w:r w:rsidRPr="00656696">
        <w:rPr>
          <w:sz w:val="22"/>
          <w:szCs w:val="22"/>
          <w:lang w:val="en-GB"/>
        </w:rPr>
        <w:t xml:space="preserve"> new CEO. Chu had decades of experience as a leader in F&amp;B and retail companies. He had also spent two years as CEO of </w:t>
      </w:r>
      <w:proofErr w:type="spellStart"/>
      <w:r w:rsidRPr="00656696">
        <w:rPr>
          <w:sz w:val="22"/>
          <w:szCs w:val="22"/>
          <w:lang w:val="en-GB"/>
        </w:rPr>
        <w:t>BreadTalk’s</w:t>
      </w:r>
      <w:proofErr w:type="spellEnd"/>
      <w:r w:rsidRPr="00656696">
        <w:rPr>
          <w:sz w:val="22"/>
          <w:szCs w:val="22"/>
          <w:lang w:val="en-GB"/>
        </w:rPr>
        <w:t xml:space="preserve"> bakery division in the early 2010s, and was managing director starting in 2016.</w:t>
      </w:r>
    </w:p>
    <w:p w14:paraId="05F91E81" w14:textId="77777777" w:rsidR="00C43E0A" w:rsidRPr="00656696" w:rsidRDefault="00C43E0A" w:rsidP="00C43E0A">
      <w:pPr>
        <w:jc w:val="both"/>
        <w:rPr>
          <w:rFonts w:eastAsia="SimSun"/>
          <w:sz w:val="22"/>
          <w:szCs w:val="22"/>
          <w:lang w:val="en-GB" w:eastAsia="zh-CN"/>
        </w:rPr>
      </w:pPr>
    </w:p>
    <w:p w14:paraId="411400FF" w14:textId="56F7F9E2" w:rsidR="00C43E0A" w:rsidRPr="00656696" w:rsidRDefault="00C43E0A" w:rsidP="00C43E0A">
      <w:pPr>
        <w:jc w:val="both"/>
        <w:rPr>
          <w:sz w:val="22"/>
          <w:szCs w:val="22"/>
          <w:lang w:val="en-GB"/>
        </w:rPr>
      </w:pPr>
      <w:r w:rsidRPr="00656696">
        <w:rPr>
          <w:rFonts w:eastAsia="SimSun"/>
          <w:sz w:val="22"/>
          <w:szCs w:val="22"/>
          <w:lang w:val="en-GB" w:eastAsia="zh-CN"/>
        </w:rPr>
        <w:t xml:space="preserve">With intensifying market competition, and with continuing expansion of the company, Quek saw his role at </w:t>
      </w:r>
      <w:proofErr w:type="spellStart"/>
      <w:r w:rsidRPr="00656696">
        <w:rPr>
          <w:rFonts w:eastAsia="SimSun"/>
          <w:sz w:val="22"/>
          <w:szCs w:val="22"/>
          <w:lang w:val="en-GB" w:eastAsia="zh-CN"/>
        </w:rPr>
        <w:t>BreadTalk</w:t>
      </w:r>
      <w:proofErr w:type="spellEnd"/>
      <w:r w:rsidRPr="00656696">
        <w:rPr>
          <w:rFonts w:eastAsia="SimSun"/>
          <w:sz w:val="22"/>
          <w:szCs w:val="22"/>
          <w:lang w:val="en-GB" w:eastAsia="zh-CN"/>
        </w:rPr>
        <w:t xml:space="preserve"> as evolving in the future. He expected that he would have to make room for the new management team to press ahead with reforms, integrating resources, and commitment to innovation: </w:t>
      </w:r>
    </w:p>
    <w:p w14:paraId="37771113" w14:textId="77777777" w:rsidR="00C43E0A" w:rsidRPr="00656696" w:rsidRDefault="00C43E0A" w:rsidP="00C43E0A">
      <w:pPr>
        <w:jc w:val="both"/>
        <w:rPr>
          <w:sz w:val="22"/>
          <w:szCs w:val="22"/>
          <w:lang w:val="en-GB"/>
        </w:rPr>
      </w:pPr>
    </w:p>
    <w:p w14:paraId="6DD6E8F4" w14:textId="71FB61FC" w:rsidR="00C43E0A" w:rsidRPr="00656696" w:rsidRDefault="00C43E0A" w:rsidP="00C43E0A">
      <w:pPr>
        <w:ind w:left="720"/>
        <w:jc w:val="both"/>
        <w:rPr>
          <w:sz w:val="22"/>
          <w:szCs w:val="22"/>
          <w:lang w:val="en-GB"/>
        </w:rPr>
      </w:pPr>
      <w:r w:rsidRPr="00656696">
        <w:rPr>
          <w:sz w:val="22"/>
          <w:szCs w:val="22"/>
          <w:lang w:val="en-GB"/>
        </w:rPr>
        <w:t>When you lead 100 soldiers, you take them to the front line to fight together. When you lead 10,000 soldiers, you expand the battlefield and support them to advance. . . . I am stepping down to give them [</w:t>
      </w:r>
      <w:r w:rsidR="005078AA">
        <w:rPr>
          <w:sz w:val="22"/>
          <w:szCs w:val="22"/>
          <w:lang w:val="en-GB"/>
        </w:rPr>
        <w:t xml:space="preserve">the </w:t>
      </w:r>
      <w:r w:rsidRPr="00656696">
        <w:rPr>
          <w:sz w:val="22"/>
          <w:szCs w:val="22"/>
          <w:lang w:val="en-GB"/>
        </w:rPr>
        <w:t>executives] opportunities to drive their own seats. They come to ask me for opinions less often now.</w:t>
      </w:r>
    </w:p>
    <w:p w14:paraId="68B3DDC9" w14:textId="77777777" w:rsidR="00C43E0A" w:rsidRPr="00656696" w:rsidRDefault="00C43E0A" w:rsidP="00C43E0A">
      <w:pPr>
        <w:jc w:val="both"/>
        <w:rPr>
          <w:sz w:val="22"/>
          <w:szCs w:val="22"/>
          <w:lang w:val="en-GB"/>
        </w:rPr>
      </w:pPr>
    </w:p>
    <w:p w14:paraId="57505FAE" w14:textId="77777777" w:rsidR="00C43E0A" w:rsidRPr="00185910" w:rsidRDefault="00C43E0A" w:rsidP="00C43E0A">
      <w:pPr>
        <w:jc w:val="both"/>
        <w:rPr>
          <w:lang w:val="en-GB"/>
        </w:rPr>
      </w:pPr>
    </w:p>
    <w:p w14:paraId="4173731F" w14:textId="77777777" w:rsidR="00C43E0A" w:rsidRPr="002569DC" w:rsidRDefault="00C43E0A" w:rsidP="00C43E0A">
      <w:pPr>
        <w:pStyle w:val="Casehead2"/>
      </w:pPr>
      <w:r w:rsidRPr="002569DC">
        <w:t xml:space="preserve">Divisional </w:t>
      </w:r>
      <w:r w:rsidRPr="002569DC">
        <w:rPr>
          <w:rFonts w:eastAsia="SimSun"/>
        </w:rPr>
        <w:t>C</w:t>
      </w:r>
      <w:r w:rsidRPr="002569DC">
        <w:t>ollaboration</w:t>
      </w:r>
    </w:p>
    <w:p w14:paraId="05144F19" w14:textId="77777777" w:rsidR="00C43E0A" w:rsidRPr="00185910" w:rsidRDefault="00C43E0A" w:rsidP="00C43E0A">
      <w:pPr>
        <w:jc w:val="both"/>
        <w:rPr>
          <w:lang w:val="en-GB"/>
        </w:rPr>
      </w:pPr>
    </w:p>
    <w:p w14:paraId="772B1598" w14:textId="5BFF0208" w:rsidR="00C43E0A" w:rsidRPr="00656696" w:rsidRDefault="00C43E0A" w:rsidP="00C43E0A">
      <w:pPr>
        <w:jc w:val="both"/>
        <w:rPr>
          <w:sz w:val="22"/>
          <w:szCs w:val="22"/>
          <w:lang w:val="en-GB"/>
        </w:rPr>
      </w:pPr>
      <w:proofErr w:type="spellStart"/>
      <w:r w:rsidRPr="00656696">
        <w:rPr>
          <w:sz w:val="22"/>
          <w:szCs w:val="22"/>
          <w:lang w:val="en-GB"/>
        </w:rPr>
        <w:t>BreadTalk</w:t>
      </w:r>
      <w:proofErr w:type="spellEnd"/>
      <w:r w:rsidRPr="00656696">
        <w:rPr>
          <w:sz w:val="22"/>
          <w:szCs w:val="22"/>
          <w:lang w:val="en-GB"/>
        </w:rPr>
        <w:t xml:space="preserve"> had developed into a matrix organizational structure (see Exhibit 7). The first three divisions—bakeries, restaurants, and food emporiums—were individual companies that had their own business function and HR department. The divisional head of HR reported to both its division’s CEO and </w:t>
      </w:r>
      <w:proofErr w:type="spellStart"/>
      <w:r w:rsidRPr="00656696">
        <w:rPr>
          <w:sz w:val="22"/>
          <w:szCs w:val="22"/>
          <w:lang w:val="en-GB"/>
        </w:rPr>
        <w:t>BreadTalk’s</w:t>
      </w:r>
      <w:proofErr w:type="spellEnd"/>
      <w:r w:rsidRPr="00656696">
        <w:rPr>
          <w:sz w:val="22"/>
          <w:szCs w:val="22"/>
          <w:lang w:val="en-GB"/>
        </w:rPr>
        <w:t xml:space="preserve"> head of HR. According to Quek, each division could then leverage its expertise, focus on sensing new business opportunities, and add value to its domain. However, Chu was emphasizing teamwork at the company level, and aimed to break the company’s structural silos. </w:t>
      </w:r>
    </w:p>
    <w:p w14:paraId="4AE86C2B" w14:textId="77777777" w:rsidR="00C43E0A" w:rsidRPr="00656696" w:rsidRDefault="00C43E0A" w:rsidP="00C43E0A">
      <w:pPr>
        <w:jc w:val="both"/>
        <w:rPr>
          <w:sz w:val="22"/>
          <w:szCs w:val="22"/>
          <w:lang w:val="en-GB"/>
        </w:rPr>
      </w:pPr>
    </w:p>
    <w:p w14:paraId="518A8284" w14:textId="30D93E0D" w:rsidR="00C43E0A" w:rsidRPr="00656696" w:rsidRDefault="00C43E0A" w:rsidP="00C43E0A">
      <w:pPr>
        <w:jc w:val="both"/>
        <w:rPr>
          <w:sz w:val="22"/>
          <w:szCs w:val="22"/>
          <w:lang w:val="en-GB"/>
        </w:rPr>
      </w:pPr>
      <w:r w:rsidRPr="00656696">
        <w:rPr>
          <w:sz w:val="22"/>
          <w:szCs w:val="22"/>
          <w:lang w:val="en-GB"/>
        </w:rPr>
        <w:t xml:space="preserve">For the leadership of the fourth division—4orth Food Concepts—Chu appointed a cross-divisional team of high-potential employees from different functions that included divisional heads and other executives. This team was expected to brainstorm new F&amp;B concepts to meet evolving consumer preferences and to identify potential partners. </w:t>
      </w:r>
    </w:p>
    <w:p w14:paraId="49BDD413" w14:textId="77777777" w:rsidR="00C43E0A" w:rsidRPr="00656696" w:rsidRDefault="00C43E0A" w:rsidP="00C43E0A">
      <w:pPr>
        <w:jc w:val="both"/>
        <w:rPr>
          <w:sz w:val="22"/>
          <w:szCs w:val="22"/>
          <w:lang w:val="en-GB"/>
        </w:rPr>
      </w:pPr>
    </w:p>
    <w:p w14:paraId="127DB9BE" w14:textId="3B4C18C4" w:rsidR="00C43E0A" w:rsidRPr="00656696" w:rsidRDefault="00C43E0A" w:rsidP="00C43E0A">
      <w:pPr>
        <w:jc w:val="both"/>
        <w:rPr>
          <w:sz w:val="22"/>
          <w:szCs w:val="22"/>
          <w:lang w:val="en-GB"/>
        </w:rPr>
      </w:pPr>
      <w:r w:rsidRPr="00656696">
        <w:rPr>
          <w:sz w:val="22"/>
          <w:szCs w:val="22"/>
          <w:lang w:val="en-GB"/>
        </w:rPr>
        <w:t xml:space="preserve">In 2018, the 4orth Food Concepts cross-divisional team opened the first Una-Yu dining outlet in </w:t>
      </w:r>
      <w:proofErr w:type="spellStart"/>
      <w:r w:rsidRPr="00656696">
        <w:rPr>
          <w:sz w:val="22"/>
          <w:szCs w:val="22"/>
          <w:lang w:val="en-GB"/>
        </w:rPr>
        <w:t>BreadTalk’s</w:t>
      </w:r>
      <w:proofErr w:type="spellEnd"/>
      <w:r w:rsidRPr="00656696">
        <w:rPr>
          <w:sz w:val="22"/>
          <w:szCs w:val="22"/>
          <w:lang w:val="en-GB"/>
        </w:rPr>
        <w:t xml:space="preserve"> Shanghai Tower food atrium. The new outlet added a sense of vitality and diversity </w:t>
      </w:r>
      <w:r w:rsidR="009E3A9A">
        <w:rPr>
          <w:sz w:val="22"/>
          <w:szCs w:val="22"/>
          <w:lang w:val="en-GB"/>
        </w:rPr>
        <w:t>to</w:t>
      </w:r>
      <w:r w:rsidRPr="00656696">
        <w:rPr>
          <w:sz w:val="22"/>
          <w:szCs w:val="22"/>
          <w:lang w:val="en-GB"/>
        </w:rPr>
        <w:t xml:space="preserve"> the company’s business portfolio. Huang felt that such cross-divisional collaboration created synergy at the company level: “It’s not you, me among </w:t>
      </w:r>
      <w:r w:rsidR="009C3997" w:rsidRPr="00656696">
        <w:rPr>
          <w:sz w:val="22"/>
          <w:szCs w:val="22"/>
          <w:lang w:val="en-GB"/>
        </w:rPr>
        <w:t>divisions . . .</w:t>
      </w:r>
      <w:r w:rsidRPr="00656696">
        <w:rPr>
          <w:sz w:val="22"/>
          <w:szCs w:val="22"/>
          <w:lang w:val="en-GB"/>
        </w:rPr>
        <w:t xml:space="preserve"> we are one team.” </w:t>
      </w:r>
    </w:p>
    <w:p w14:paraId="7C4B6385" w14:textId="77777777" w:rsidR="00C43E0A" w:rsidRPr="00656696" w:rsidRDefault="00C43E0A" w:rsidP="00C43E0A">
      <w:pPr>
        <w:jc w:val="both"/>
        <w:rPr>
          <w:sz w:val="22"/>
          <w:szCs w:val="22"/>
          <w:lang w:val="en-GB"/>
        </w:rPr>
      </w:pPr>
    </w:p>
    <w:p w14:paraId="7335D9AD" w14:textId="2FC3479A" w:rsidR="00C43E0A" w:rsidRPr="00656696" w:rsidRDefault="00C43E0A" w:rsidP="00C43E0A">
      <w:pPr>
        <w:jc w:val="both"/>
        <w:rPr>
          <w:sz w:val="22"/>
          <w:szCs w:val="22"/>
          <w:lang w:val="en-GB"/>
        </w:rPr>
      </w:pPr>
      <w:r w:rsidRPr="00656696">
        <w:rPr>
          <w:sz w:val="22"/>
          <w:szCs w:val="22"/>
          <w:lang w:val="en-GB"/>
        </w:rPr>
        <w:t xml:space="preserve">Chu also aimed to </w:t>
      </w:r>
      <w:proofErr w:type="spellStart"/>
      <w:r w:rsidRPr="00656696">
        <w:rPr>
          <w:sz w:val="22"/>
          <w:szCs w:val="22"/>
          <w:lang w:val="en-GB"/>
        </w:rPr>
        <w:t>instill</w:t>
      </w:r>
      <w:proofErr w:type="spellEnd"/>
      <w:r w:rsidRPr="00656696">
        <w:rPr>
          <w:sz w:val="22"/>
          <w:szCs w:val="22"/>
          <w:lang w:val="en-GB"/>
        </w:rPr>
        <w:t xml:space="preserve"> in all employees a common sense of purpose by defining a clear financial objective for the company and conveying it in simple terms. As Huang pointed out, “In the past 18 years, we pulled it off with these three divisions. Nevertheless, this model might not work well in the future. We will need to expand our business by considering the company as a whole.” However, </w:t>
      </w:r>
      <w:proofErr w:type="spellStart"/>
      <w:r w:rsidRPr="00656696">
        <w:rPr>
          <w:sz w:val="22"/>
          <w:szCs w:val="22"/>
          <w:lang w:val="en-GB"/>
        </w:rPr>
        <w:t>BreadTalk</w:t>
      </w:r>
      <w:proofErr w:type="spellEnd"/>
      <w:r w:rsidRPr="00656696">
        <w:rPr>
          <w:sz w:val="22"/>
          <w:szCs w:val="22"/>
          <w:lang w:val="en-GB"/>
        </w:rPr>
        <w:t xml:space="preserve"> was less known to investors as the overall company and more familiar as individual brands.</w:t>
      </w:r>
    </w:p>
    <w:p w14:paraId="73ECC57E" w14:textId="77777777" w:rsidR="00C43E0A" w:rsidRPr="00185910" w:rsidRDefault="00C43E0A" w:rsidP="00C43E0A">
      <w:pPr>
        <w:jc w:val="both"/>
        <w:rPr>
          <w:rFonts w:eastAsia="SimSun"/>
          <w:lang w:val="en-GB" w:eastAsia="zh-CN"/>
        </w:rPr>
      </w:pPr>
    </w:p>
    <w:p w14:paraId="7F5968FE" w14:textId="4FE87FA6" w:rsidR="00C43E0A" w:rsidRPr="00185910" w:rsidRDefault="00C43E0A" w:rsidP="00C43E0A">
      <w:pPr>
        <w:pStyle w:val="Casehead2"/>
        <w:rPr>
          <w:rFonts w:ascii="Times New Roman" w:hAnsi="Times New Roman" w:cs="Times New Roman"/>
          <w:sz w:val="22"/>
          <w:szCs w:val="22"/>
          <w:lang w:val="en-GB"/>
        </w:rPr>
      </w:pPr>
    </w:p>
    <w:p w14:paraId="241DE0F2" w14:textId="77777777" w:rsidR="00C43E0A" w:rsidRPr="002569DC" w:rsidRDefault="00C43E0A" w:rsidP="00C43E0A">
      <w:pPr>
        <w:pStyle w:val="Casehead2"/>
      </w:pPr>
      <w:r w:rsidRPr="002569DC">
        <w:t xml:space="preserve">HR </w:t>
      </w:r>
      <w:r w:rsidRPr="002569DC">
        <w:rPr>
          <w:rFonts w:eastAsia="SimSun"/>
        </w:rPr>
        <w:t>Depart</w:t>
      </w:r>
      <w:r w:rsidRPr="002569DC">
        <w:t>ment</w:t>
      </w:r>
    </w:p>
    <w:p w14:paraId="294B6361" w14:textId="77777777" w:rsidR="00C43E0A" w:rsidRPr="00185910" w:rsidRDefault="00C43E0A" w:rsidP="00C43E0A">
      <w:pPr>
        <w:jc w:val="both"/>
        <w:rPr>
          <w:lang w:val="en-GB"/>
        </w:rPr>
      </w:pPr>
    </w:p>
    <w:p w14:paraId="4C30544F" w14:textId="794D5870" w:rsidR="00C43E0A" w:rsidRPr="00656696" w:rsidRDefault="00C43E0A" w:rsidP="00C43E0A">
      <w:pPr>
        <w:jc w:val="both"/>
        <w:rPr>
          <w:sz w:val="22"/>
          <w:szCs w:val="22"/>
          <w:lang w:val="en-GB"/>
        </w:rPr>
      </w:pPr>
      <w:proofErr w:type="spellStart"/>
      <w:r w:rsidRPr="00656696">
        <w:rPr>
          <w:sz w:val="22"/>
          <w:szCs w:val="22"/>
          <w:lang w:val="en-GB"/>
        </w:rPr>
        <w:t>BreadTalk’s</w:t>
      </w:r>
      <w:proofErr w:type="spellEnd"/>
      <w:r w:rsidRPr="00656696">
        <w:rPr>
          <w:sz w:val="22"/>
          <w:szCs w:val="22"/>
          <w:lang w:val="en-GB"/>
        </w:rPr>
        <w:t xml:space="preserve"> headquarters in Singapore employed 30 people to work in the company’s HR department, which supported four business divisions, and 70 people worked in the divisional HR departments. All HR teams worked together, but each team specialized in performing different HR management functions. </w:t>
      </w:r>
      <w:proofErr w:type="spellStart"/>
      <w:r w:rsidRPr="00656696">
        <w:rPr>
          <w:sz w:val="22"/>
          <w:szCs w:val="22"/>
          <w:lang w:val="en-GB"/>
        </w:rPr>
        <w:t>BreadTalk’s</w:t>
      </w:r>
      <w:proofErr w:type="spellEnd"/>
      <w:r w:rsidRPr="00656696">
        <w:rPr>
          <w:sz w:val="22"/>
          <w:szCs w:val="22"/>
          <w:lang w:val="en-GB"/>
        </w:rPr>
        <w:t xml:space="preserve"> HR department was focused on setting key policies and guidelines, such as creating an overall salary grade structure, managing payroll and HR information systems, aligning benefit plans across </w:t>
      </w:r>
      <w:r w:rsidRPr="00656696">
        <w:rPr>
          <w:sz w:val="22"/>
          <w:szCs w:val="22"/>
          <w:lang w:val="en-GB"/>
        </w:rPr>
        <w:lastRenderedPageBreak/>
        <w:t xml:space="preserve">divisions and territories, and conducting labour-related research. The divisional HR departments followed the company’s guidelines to define employee roles, determine staff remuneration (i.e., salary and annual bonus), and conduct local hiring and division-specific training. Divisional CEOs insisted on customized solutions for their own division’s needs, so the company’s HR department worked to foster a line of communication that achieved a balance between corporate standards and individual business needs.  </w:t>
      </w:r>
    </w:p>
    <w:p w14:paraId="751F2CE5" w14:textId="77777777" w:rsidR="00C43E0A" w:rsidRPr="00656696" w:rsidRDefault="00C43E0A" w:rsidP="00C43E0A">
      <w:pPr>
        <w:jc w:val="both"/>
        <w:rPr>
          <w:sz w:val="22"/>
          <w:szCs w:val="22"/>
          <w:lang w:val="en-GB"/>
        </w:rPr>
      </w:pPr>
    </w:p>
    <w:p w14:paraId="480A30FF" w14:textId="03CEE734" w:rsidR="00C43E0A" w:rsidRPr="00656696" w:rsidRDefault="00C43E0A" w:rsidP="00C43E0A">
      <w:pPr>
        <w:jc w:val="both"/>
        <w:rPr>
          <w:rFonts w:eastAsia="SimSun"/>
          <w:sz w:val="22"/>
          <w:szCs w:val="22"/>
          <w:lang w:val="en-GB" w:eastAsia="zh-CN"/>
        </w:rPr>
      </w:pPr>
      <w:r w:rsidRPr="00656696">
        <w:rPr>
          <w:sz w:val="22"/>
          <w:szCs w:val="22"/>
          <w:lang w:val="en-GB"/>
        </w:rPr>
        <w:t xml:space="preserve">After Chan was appointed head of </w:t>
      </w:r>
      <w:proofErr w:type="spellStart"/>
      <w:r w:rsidRPr="00656696">
        <w:rPr>
          <w:sz w:val="22"/>
          <w:szCs w:val="22"/>
          <w:lang w:val="en-GB"/>
        </w:rPr>
        <w:t>BreadTalk’s</w:t>
      </w:r>
      <w:proofErr w:type="spellEnd"/>
      <w:r w:rsidRPr="00656696">
        <w:rPr>
          <w:sz w:val="22"/>
          <w:szCs w:val="22"/>
          <w:lang w:val="en-GB"/>
        </w:rPr>
        <w:t xml:space="preserve"> HR department, he first focused on basic corporate responsibilities, such as ensuring legal compliance, and then streamlined HR processes, developed a company-wide training program, facilitated internal communications, and started working on the management succession plan. Chan also implemented sophisticated and centralized performance management practices. He believed that key performance indicators and performance measurements were generic across all divisions and territories, so he aimed to align HR strategy with the company’s approach. </w:t>
      </w:r>
    </w:p>
    <w:p w14:paraId="55F30314" w14:textId="66C9EA42" w:rsidR="00656696" w:rsidRDefault="00656696" w:rsidP="00C43E0A">
      <w:pPr>
        <w:pStyle w:val="Casehead1"/>
        <w:rPr>
          <w:rFonts w:ascii="Times New Roman" w:eastAsia="SimSun" w:hAnsi="Times New Roman" w:cs="Times New Roman"/>
          <w:sz w:val="22"/>
          <w:szCs w:val="22"/>
          <w:lang w:val="en-GB" w:eastAsia="zh-CN"/>
        </w:rPr>
      </w:pPr>
    </w:p>
    <w:p w14:paraId="6B2CD791" w14:textId="77777777" w:rsidR="00656696" w:rsidRDefault="00656696" w:rsidP="00C43E0A">
      <w:pPr>
        <w:pStyle w:val="Casehead1"/>
        <w:rPr>
          <w:rFonts w:ascii="Times New Roman" w:eastAsia="SimSun" w:hAnsi="Times New Roman" w:cs="Times New Roman"/>
          <w:sz w:val="22"/>
          <w:szCs w:val="22"/>
          <w:lang w:val="en-GB" w:eastAsia="zh-CN"/>
        </w:rPr>
      </w:pPr>
    </w:p>
    <w:p w14:paraId="6F1BE9B9" w14:textId="57904D51" w:rsidR="00C43E0A" w:rsidRPr="002569DC" w:rsidRDefault="00C43E0A" w:rsidP="00C43E0A">
      <w:pPr>
        <w:pStyle w:val="Casehead1"/>
      </w:pPr>
      <w:r w:rsidRPr="002569DC">
        <w:rPr>
          <w:rFonts w:eastAsia="SimSun"/>
        </w:rPr>
        <w:t>talent management PRACTICES</w:t>
      </w:r>
    </w:p>
    <w:p w14:paraId="1CE24862" w14:textId="77777777" w:rsidR="00C43E0A" w:rsidRPr="00185910" w:rsidRDefault="00C43E0A" w:rsidP="00C43E0A">
      <w:pPr>
        <w:jc w:val="both"/>
        <w:rPr>
          <w:lang w:val="en-GB"/>
        </w:rPr>
      </w:pPr>
    </w:p>
    <w:p w14:paraId="2FFF99EA" w14:textId="77777777" w:rsidR="00C43E0A" w:rsidRPr="002569DC" w:rsidRDefault="00C43E0A" w:rsidP="00C43E0A">
      <w:pPr>
        <w:pStyle w:val="Casehead2"/>
      </w:pPr>
      <w:r w:rsidRPr="002569DC">
        <w:t>Building an Overseas Management Team</w:t>
      </w:r>
    </w:p>
    <w:p w14:paraId="7BC07654" w14:textId="77777777" w:rsidR="00C43E0A" w:rsidRPr="00185910" w:rsidRDefault="00C43E0A" w:rsidP="00C43E0A">
      <w:pPr>
        <w:jc w:val="both"/>
        <w:rPr>
          <w:lang w:val="en-GB"/>
        </w:rPr>
      </w:pPr>
    </w:p>
    <w:p w14:paraId="218869EE" w14:textId="29F863B7" w:rsidR="00C43E0A" w:rsidRPr="00656696" w:rsidRDefault="00C43E0A" w:rsidP="00C43E0A">
      <w:pPr>
        <w:jc w:val="both"/>
        <w:rPr>
          <w:sz w:val="22"/>
          <w:szCs w:val="22"/>
          <w:lang w:val="en-GB"/>
        </w:rPr>
      </w:pPr>
      <w:r w:rsidRPr="00656696">
        <w:rPr>
          <w:sz w:val="22"/>
          <w:szCs w:val="22"/>
          <w:lang w:val="en-GB"/>
        </w:rPr>
        <w:t xml:space="preserve">Entering a new territory required </w:t>
      </w:r>
      <w:proofErr w:type="spellStart"/>
      <w:r w:rsidRPr="00656696">
        <w:rPr>
          <w:sz w:val="22"/>
          <w:szCs w:val="22"/>
          <w:lang w:val="en-GB"/>
        </w:rPr>
        <w:t>BreadTalk</w:t>
      </w:r>
      <w:proofErr w:type="spellEnd"/>
      <w:r w:rsidRPr="00656696">
        <w:rPr>
          <w:sz w:val="22"/>
          <w:szCs w:val="22"/>
          <w:lang w:val="en-GB"/>
        </w:rPr>
        <w:t xml:space="preserve"> to adapt to local tastes. For example, the company found that customers in the Middle East seemed to prefer sweet foods, such as chocolates and cookies. During the company’s early expansion phase, Quek experienced the challenges associated with management of overseas divisions. For example, a Singaporean manager that had performed well in his home country had found managing the company in China too difficult. Quek explained that “China is huge and diverse. Even within a city, consumer preferences and behaviours vary from one commercial zone to another.” Therefore, Quek decided to hire local managers and groom them to perform to the company’s expectations. Quek believed that it could take a decade of hard work for a general manager to become independent: </w:t>
      </w:r>
    </w:p>
    <w:p w14:paraId="09549B38" w14:textId="77777777" w:rsidR="00C43E0A" w:rsidRPr="00656696" w:rsidRDefault="00C43E0A" w:rsidP="00C43E0A">
      <w:pPr>
        <w:jc w:val="both"/>
        <w:rPr>
          <w:sz w:val="22"/>
          <w:szCs w:val="22"/>
          <w:lang w:val="en-GB"/>
        </w:rPr>
      </w:pPr>
    </w:p>
    <w:p w14:paraId="0DD358F6" w14:textId="39163A9F" w:rsidR="00C43E0A" w:rsidRPr="00656696" w:rsidRDefault="00C43E0A" w:rsidP="00C43E0A">
      <w:pPr>
        <w:ind w:left="720"/>
        <w:jc w:val="both"/>
        <w:rPr>
          <w:sz w:val="22"/>
          <w:szCs w:val="22"/>
          <w:lang w:val="en-GB"/>
        </w:rPr>
      </w:pPr>
      <w:r w:rsidRPr="00656696">
        <w:rPr>
          <w:sz w:val="22"/>
          <w:szCs w:val="22"/>
          <w:lang w:val="en-GB"/>
        </w:rPr>
        <w:t>Rapidly replicating a store concept is not easy, especially if the general manager is not experienced and flexible enough. For instance, we need talent that can precisely open outlets. I prefer to bring people up within the organization. But if the growth is too fast, we have to seek capable managers from outside.</w:t>
      </w:r>
    </w:p>
    <w:p w14:paraId="00088FE4" w14:textId="77777777" w:rsidR="00C43E0A" w:rsidRPr="00656696" w:rsidRDefault="00C43E0A" w:rsidP="00C43E0A">
      <w:pPr>
        <w:jc w:val="both"/>
        <w:rPr>
          <w:sz w:val="22"/>
          <w:szCs w:val="22"/>
          <w:lang w:val="en-GB"/>
        </w:rPr>
      </w:pPr>
    </w:p>
    <w:p w14:paraId="6384CBFB" w14:textId="24D3C91E" w:rsidR="00C43E0A" w:rsidRPr="00656696" w:rsidRDefault="00C43E0A" w:rsidP="00C43E0A">
      <w:pPr>
        <w:jc w:val="both"/>
        <w:rPr>
          <w:sz w:val="22"/>
          <w:szCs w:val="22"/>
          <w:lang w:val="en-GB"/>
        </w:rPr>
      </w:pPr>
      <w:r w:rsidRPr="00656696">
        <w:rPr>
          <w:sz w:val="22"/>
          <w:szCs w:val="22"/>
          <w:lang w:val="en-GB"/>
        </w:rPr>
        <w:t xml:space="preserve">By 2018, the company had relocated seven managers from the headquarters to overseas markets. </w:t>
      </w:r>
    </w:p>
    <w:p w14:paraId="78925830" w14:textId="77777777" w:rsidR="00C43E0A" w:rsidRPr="008202C5" w:rsidRDefault="00C43E0A" w:rsidP="00C43E0A">
      <w:pPr>
        <w:jc w:val="both"/>
        <w:rPr>
          <w:sz w:val="14"/>
          <w:szCs w:val="14"/>
          <w:lang w:val="en-GB"/>
        </w:rPr>
      </w:pPr>
    </w:p>
    <w:p w14:paraId="214E2885" w14:textId="77777777" w:rsidR="00C43E0A" w:rsidRPr="008202C5" w:rsidRDefault="00C43E0A" w:rsidP="00C43E0A">
      <w:pPr>
        <w:jc w:val="both"/>
        <w:rPr>
          <w:sz w:val="14"/>
          <w:szCs w:val="14"/>
          <w:lang w:val="en-GB"/>
        </w:rPr>
      </w:pPr>
    </w:p>
    <w:p w14:paraId="4E752C30" w14:textId="77777777" w:rsidR="00C43E0A" w:rsidRPr="002569DC" w:rsidRDefault="00C43E0A" w:rsidP="00C43E0A">
      <w:pPr>
        <w:pStyle w:val="Casehead2"/>
      </w:pPr>
      <w:r w:rsidRPr="002569DC">
        <w:t>Developing and Retaining Talent</w:t>
      </w:r>
    </w:p>
    <w:p w14:paraId="002D1E49" w14:textId="77777777" w:rsidR="00C43E0A" w:rsidRPr="008202C5" w:rsidRDefault="00C43E0A" w:rsidP="00C43E0A">
      <w:pPr>
        <w:jc w:val="both"/>
        <w:rPr>
          <w:sz w:val="14"/>
          <w:szCs w:val="14"/>
          <w:lang w:val="en-GB"/>
        </w:rPr>
      </w:pPr>
    </w:p>
    <w:p w14:paraId="5DEF78C3" w14:textId="31C32DA9" w:rsidR="00C43E0A" w:rsidRDefault="00C43E0A" w:rsidP="00C43E0A">
      <w:pPr>
        <w:jc w:val="both"/>
        <w:rPr>
          <w:rFonts w:eastAsia="SimSun"/>
          <w:sz w:val="22"/>
          <w:szCs w:val="22"/>
          <w:lang w:val="en-GB" w:eastAsia="zh-CN"/>
        </w:rPr>
      </w:pPr>
      <w:r w:rsidRPr="00656696">
        <w:rPr>
          <w:sz w:val="22"/>
          <w:szCs w:val="22"/>
          <w:lang w:val="en-GB"/>
        </w:rPr>
        <w:t xml:space="preserve">In 2018, </w:t>
      </w:r>
      <w:proofErr w:type="spellStart"/>
      <w:r w:rsidRPr="00656696">
        <w:rPr>
          <w:sz w:val="22"/>
          <w:szCs w:val="22"/>
          <w:lang w:val="en-GB"/>
        </w:rPr>
        <w:t>BreadTalk</w:t>
      </w:r>
      <w:proofErr w:type="spellEnd"/>
      <w:r w:rsidRPr="00656696">
        <w:rPr>
          <w:sz w:val="22"/>
          <w:szCs w:val="22"/>
          <w:lang w:val="en-GB"/>
        </w:rPr>
        <w:t xml:space="preserve"> employed over 7,500 people, with 5,300 more employees working in franchises (see Exhibit 8). The company had four main categories of staff: leadership and management (12 corporate grades), research and development (R&amp;D) and technical staff, outlet operations, and franchisees. </w:t>
      </w:r>
      <w:r w:rsidRPr="00656696">
        <w:rPr>
          <w:rFonts w:eastAsia="SimSun"/>
          <w:sz w:val="22"/>
          <w:szCs w:val="22"/>
          <w:lang w:val="en-GB" w:eastAsia="zh-CN"/>
        </w:rPr>
        <w:t>Approximately 85 per cent of the company’s workers were relatively young</w:t>
      </w:r>
      <w:r w:rsidR="009E3A9A">
        <w:rPr>
          <w:rFonts w:eastAsia="SimSun"/>
          <w:sz w:val="22"/>
          <w:szCs w:val="22"/>
          <w:lang w:val="en-GB" w:eastAsia="zh-CN"/>
        </w:rPr>
        <w:t>,</w:t>
      </w:r>
      <w:r w:rsidRPr="00656696">
        <w:rPr>
          <w:rFonts w:eastAsia="SimSun"/>
          <w:sz w:val="22"/>
          <w:szCs w:val="22"/>
          <w:lang w:val="en-GB" w:eastAsia="zh-CN"/>
        </w:rPr>
        <w:t xml:space="preserve"> front line staff. They were a new generation of employees who emphasized personality and self-worth, but traditional practices and incentives did not meet their expectations, as Chan discovered: </w:t>
      </w:r>
    </w:p>
    <w:p w14:paraId="27BB8CFB" w14:textId="77777777" w:rsidR="008202C5" w:rsidRPr="008202C5" w:rsidRDefault="008202C5" w:rsidP="00C43E0A">
      <w:pPr>
        <w:jc w:val="both"/>
        <w:rPr>
          <w:rFonts w:eastAsia="SimSun"/>
          <w:sz w:val="14"/>
          <w:szCs w:val="14"/>
          <w:lang w:val="en-GB" w:eastAsia="zh-CN"/>
        </w:rPr>
      </w:pPr>
    </w:p>
    <w:p w14:paraId="4CC7149F" w14:textId="5AF2F2A6" w:rsidR="00C43E0A" w:rsidRPr="00656696" w:rsidRDefault="00C43E0A" w:rsidP="00C43E0A">
      <w:pPr>
        <w:ind w:left="720"/>
        <w:jc w:val="both"/>
        <w:rPr>
          <w:rFonts w:eastAsia="SimSun"/>
          <w:sz w:val="22"/>
          <w:szCs w:val="22"/>
          <w:lang w:val="en-GB" w:eastAsia="zh-CN"/>
        </w:rPr>
      </w:pPr>
      <w:r w:rsidRPr="00656696">
        <w:rPr>
          <w:rFonts w:eastAsia="SimSun"/>
          <w:sz w:val="22"/>
          <w:szCs w:val="22"/>
          <w:lang w:val="en-GB" w:eastAsia="zh-CN"/>
        </w:rPr>
        <w:t>We aimed at hiring motivated talents and bringing them up. Hiring of outlet staff was decentralized to allow local managers to recruit quickly, which was important, especially when the manpower was short but the expansion was fast in those markets.</w:t>
      </w:r>
    </w:p>
    <w:p w14:paraId="0C6EFE1E" w14:textId="77777777" w:rsidR="00C43E0A" w:rsidRPr="008202C5" w:rsidRDefault="00C43E0A" w:rsidP="00C43E0A">
      <w:pPr>
        <w:jc w:val="both"/>
        <w:rPr>
          <w:rFonts w:eastAsia="SimSun"/>
          <w:sz w:val="14"/>
          <w:szCs w:val="14"/>
          <w:lang w:val="en-GB" w:eastAsia="zh-CN"/>
        </w:rPr>
      </w:pPr>
    </w:p>
    <w:p w14:paraId="19177D06" w14:textId="6249650E" w:rsidR="00C43E0A" w:rsidRPr="00656696" w:rsidRDefault="00C43E0A" w:rsidP="00C43E0A">
      <w:pPr>
        <w:jc w:val="both"/>
        <w:rPr>
          <w:sz w:val="22"/>
          <w:szCs w:val="22"/>
          <w:lang w:val="en-GB"/>
        </w:rPr>
      </w:pPr>
      <w:r w:rsidRPr="00656696">
        <w:rPr>
          <w:rFonts w:eastAsia="SimSun"/>
          <w:sz w:val="22"/>
          <w:szCs w:val="22"/>
          <w:lang w:val="en-GB" w:eastAsia="zh-CN"/>
        </w:rPr>
        <w:t>The company encouraged employees to move across roles, divisions, and territories. Although varying from country to country, the employee turnover was approximately 30 per cent. Chan noted that “</w:t>
      </w:r>
      <w:r w:rsidR="009E3A9A">
        <w:rPr>
          <w:rFonts w:eastAsia="SimSun"/>
          <w:sz w:val="22"/>
          <w:szCs w:val="22"/>
          <w:lang w:val="en-GB" w:eastAsia="zh-CN"/>
        </w:rPr>
        <w:t>f</w:t>
      </w:r>
      <w:r w:rsidRPr="00656696">
        <w:rPr>
          <w:rFonts w:eastAsia="SimSun"/>
          <w:sz w:val="22"/>
          <w:szCs w:val="22"/>
          <w:lang w:val="en-GB" w:eastAsia="zh-CN"/>
        </w:rPr>
        <w:t>or young people, if they stay for two to three years, it’s already quite good. For HR, we do our best to keep them by aligning their development with their career interests. We also use technology to make their life easier.”</w:t>
      </w:r>
    </w:p>
    <w:p w14:paraId="2D49020C" w14:textId="77777777" w:rsidR="00C43E0A" w:rsidRPr="00656696" w:rsidRDefault="00C43E0A" w:rsidP="00C43E0A">
      <w:pPr>
        <w:pStyle w:val="Casehead3"/>
        <w:rPr>
          <w:b/>
          <w:lang w:val="en-GB"/>
        </w:rPr>
      </w:pPr>
      <w:r w:rsidRPr="00656696">
        <w:rPr>
          <w:lang w:val="en-GB"/>
        </w:rPr>
        <w:lastRenderedPageBreak/>
        <w:t xml:space="preserve">Improving the </w:t>
      </w:r>
      <w:r w:rsidRPr="00656696">
        <w:rPr>
          <w:rFonts w:eastAsia="SimSun"/>
          <w:lang w:val="en-GB" w:eastAsia="zh-CN"/>
        </w:rPr>
        <w:t>Working and Training Environment</w:t>
      </w:r>
    </w:p>
    <w:p w14:paraId="64E05DF3" w14:textId="77777777" w:rsidR="00C43E0A" w:rsidRPr="00656696" w:rsidRDefault="00C43E0A" w:rsidP="00C43E0A">
      <w:pPr>
        <w:jc w:val="both"/>
        <w:rPr>
          <w:rFonts w:eastAsia="SimSun"/>
          <w:sz w:val="22"/>
          <w:szCs w:val="22"/>
          <w:lang w:val="en-GB" w:eastAsia="zh-CN"/>
        </w:rPr>
      </w:pPr>
    </w:p>
    <w:p w14:paraId="0E811A15" w14:textId="5F877813" w:rsidR="00C43E0A" w:rsidRPr="00656696" w:rsidRDefault="00C43E0A" w:rsidP="00C43E0A">
      <w:pPr>
        <w:jc w:val="both"/>
        <w:rPr>
          <w:sz w:val="22"/>
          <w:szCs w:val="22"/>
          <w:lang w:val="en-GB"/>
        </w:rPr>
      </w:pPr>
      <w:r w:rsidRPr="00656696">
        <w:rPr>
          <w:rFonts w:eastAsia="SimSun"/>
          <w:sz w:val="22"/>
          <w:szCs w:val="22"/>
          <w:lang w:val="en-GB" w:eastAsia="zh-CN"/>
        </w:rPr>
        <w:t xml:space="preserve">All </w:t>
      </w:r>
      <w:proofErr w:type="spellStart"/>
      <w:r w:rsidRPr="00656696">
        <w:rPr>
          <w:rFonts w:eastAsia="SimSun"/>
          <w:sz w:val="22"/>
          <w:szCs w:val="22"/>
          <w:lang w:val="en-GB" w:eastAsia="zh-CN"/>
        </w:rPr>
        <w:t>BreadTalk</w:t>
      </w:r>
      <w:proofErr w:type="spellEnd"/>
      <w:r w:rsidRPr="00656696">
        <w:rPr>
          <w:rFonts w:eastAsia="SimSun"/>
          <w:sz w:val="22"/>
          <w:szCs w:val="22"/>
          <w:lang w:val="en-GB" w:eastAsia="zh-CN"/>
        </w:rPr>
        <w:t xml:space="preserve"> divisions provided a pleasant working environment for employees. The company’s headquarters in Singapore was specifically designed for the comfort of employees. It</w:t>
      </w:r>
      <w:r w:rsidRPr="00656696">
        <w:rPr>
          <w:sz w:val="22"/>
          <w:szCs w:val="22"/>
          <w:lang w:val="en-GB"/>
        </w:rPr>
        <w:t xml:space="preserve"> featured</w:t>
      </w:r>
      <w:r w:rsidRPr="00656696">
        <w:rPr>
          <w:rFonts w:eastAsia="SimSun"/>
          <w:sz w:val="22"/>
          <w:szCs w:val="22"/>
          <w:lang w:val="en-GB" w:eastAsia="zh-CN"/>
        </w:rPr>
        <w:t xml:space="preserve"> a green rooftop with staff activities</w:t>
      </w:r>
      <w:r w:rsidR="009E3A9A">
        <w:rPr>
          <w:rFonts w:eastAsia="SimSun"/>
          <w:sz w:val="22"/>
          <w:szCs w:val="22"/>
          <w:lang w:val="en-GB" w:eastAsia="zh-CN"/>
        </w:rPr>
        <w:t>;</w:t>
      </w:r>
      <w:r w:rsidRPr="00656696">
        <w:rPr>
          <w:rFonts w:eastAsia="SimSun"/>
          <w:sz w:val="22"/>
          <w:szCs w:val="22"/>
          <w:lang w:val="en-GB" w:eastAsia="zh-CN"/>
        </w:rPr>
        <w:t xml:space="preserve"> a professional training centre</w:t>
      </w:r>
      <w:r w:rsidR="009E3A9A">
        <w:rPr>
          <w:rFonts w:eastAsia="SimSun"/>
          <w:sz w:val="22"/>
          <w:szCs w:val="22"/>
          <w:lang w:val="en-GB" w:eastAsia="zh-CN"/>
        </w:rPr>
        <w:t>;</w:t>
      </w:r>
      <w:r w:rsidRPr="00656696">
        <w:rPr>
          <w:rFonts w:eastAsia="SimSun"/>
          <w:sz w:val="22"/>
          <w:szCs w:val="22"/>
          <w:lang w:val="en-GB" w:eastAsia="zh-CN"/>
        </w:rPr>
        <w:t xml:space="preserve"> and the </w:t>
      </w:r>
      <w:proofErr w:type="spellStart"/>
      <w:r w:rsidRPr="00656696">
        <w:rPr>
          <w:rFonts w:eastAsia="SimSun"/>
          <w:sz w:val="22"/>
          <w:szCs w:val="22"/>
          <w:lang w:val="en-GB" w:eastAsia="zh-CN"/>
        </w:rPr>
        <w:t>BreadTalk</w:t>
      </w:r>
      <w:proofErr w:type="spellEnd"/>
      <w:r w:rsidRPr="00656696">
        <w:rPr>
          <w:rFonts w:eastAsia="SimSun"/>
          <w:sz w:val="22"/>
          <w:szCs w:val="22"/>
          <w:lang w:val="en-GB" w:eastAsia="zh-CN"/>
        </w:rPr>
        <w:t xml:space="preserve"> Academy, which integrated holistic theory with onsite training for the central kitchen and all divisions. In 2015, the country’s Workforce Development Agency approved the </w:t>
      </w:r>
      <w:proofErr w:type="spellStart"/>
      <w:r w:rsidRPr="00656696">
        <w:rPr>
          <w:rFonts w:eastAsia="SimSun"/>
          <w:sz w:val="22"/>
          <w:szCs w:val="22"/>
          <w:lang w:val="en-GB" w:eastAsia="zh-CN"/>
        </w:rPr>
        <w:t>BreadTalk</w:t>
      </w:r>
      <w:proofErr w:type="spellEnd"/>
      <w:r w:rsidRPr="00656696">
        <w:rPr>
          <w:rFonts w:eastAsia="SimSun"/>
          <w:sz w:val="22"/>
          <w:szCs w:val="22"/>
          <w:lang w:val="en-GB" w:eastAsia="zh-CN"/>
        </w:rPr>
        <w:t xml:space="preserve"> Academy to offer workforce skill qualification courses toward completion of a nationally recognized F&amp;B certification. In 2017, the Academy received further approval to offer courses toward a professional diploma in leadership and people development, another nationally recognized certification in Singapore.</w:t>
      </w:r>
    </w:p>
    <w:p w14:paraId="09D25333" w14:textId="77777777" w:rsidR="00C43E0A" w:rsidRPr="00656696" w:rsidRDefault="00C43E0A" w:rsidP="00C43E0A">
      <w:pPr>
        <w:jc w:val="both"/>
        <w:rPr>
          <w:rFonts w:eastAsia="SimSun"/>
          <w:sz w:val="22"/>
          <w:szCs w:val="22"/>
          <w:lang w:val="en-GB" w:eastAsia="zh-CN"/>
        </w:rPr>
      </w:pPr>
    </w:p>
    <w:p w14:paraId="64CE8E83" w14:textId="77777777" w:rsidR="00C43E0A" w:rsidRPr="00656696" w:rsidRDefault="00C43E0A" w:rsidP="00C43E0A">
      <w:pPr>
        <w:jc w:val="both"/>
        <w:rPr>
          <w:rFonts w:eastAsia="SimSun"/>
          <w:sz w:val="22"/>
          <w:szCs w:val="22"/>
          <w:lang w:val="en-GB" w:eastAsia="zh-CN"/>
        </w:rPr>
      </w:pPr>
    </w:p>
    <w:p w14:paraId="633E2043" w14:textId="69A6B5D1" w:rsidR="00C43E0A" w:rsidRPr="00656696" w:rsidRDefault="00C43E0A" w:rsidP="00C43E0A">
      <w:pPr>
        <w:pStyle w:val="Casehead3"/>
        <w:rPr>
          <w:b/>
          <w:lang w:val="en-GB"/>
        </w:rPr>
      </w:pPr>
      <w:r w:rsidRPr="00656696">
        <w:rPr>
          <w:lang w:val="en-GB"/>
        </w:rPr>
        <w:t>Establishing an Overall Training Program</w:t>
      </w:r>
    </w:p>
    <w:p w14:paraId="6168A106" w14:textId="77777777" w:rsidR="00C43E0A" w:rsidRPr="00656696" w:rsidRDefault="00C43E0A" w:rsidP="00C43E0A">
      <w:pPr>
        <w:jc w:val="both"/>
        <w:rPr>
          <w:rFonts w:eastAsia="SimSun"/>
          <w:sz w:val="22"/>
          <w:szCs w:val="22"/>
          <w:lang w:val="en-GB" w:eastAsia="zh-CN"/>
        </w:rPr>
      </w:pPr>
    </w:p>
    <w:p w14:paraId="05F65899" w14:textId="6B166976" w:rsidR="00C43E0A" w:rsidRPr="00656696" w:rsidRDefault="00C43E0A" w:rsidP="00C43E0A">
      <w:pPr>
        <w:jc w:val="both"/>
        <w:rPr>
          <w:rFonts w:eastAsia="SimSun"/>
          <w:sz w:val="22"/>
          <w:szCs w:val="22"/>
          <w:lang w:val="en-GB" w:eastAsia="zh-CN"/>
        </w:rPr>
      </w:pPr>
      <w:r w:rsidRPr="00656696">
        <w:rPr>
          <w:rFonts w:eastAsia="SimSun"/>
          <w:sz w:val="22"/>
          <w:szCs w:val="22"/>
          <w:lang w:val="en-GB" w:eastAsia="zh-CN"/>
        </w:rPr>
        <w:t xml:space="preserve">To align training objectives across the company, an integrated training program was developed for all staff. The divisional HR departments focused on business-specific operational techniques and service standards, while the company’s HR department focused on soft skills, such as leadership and communications. For example, Din Tai Fung placed greater emphasis on customer interaction to create a superb dining experience, while </w:t>
      </w:r>
      <w:proofErr w:type="spellStart"/>
      <w:r w:rsidRPr="00656696">
        <w:rPr>
          <w:rFonts w:eastAsia="SimSun"/>
          <w:sz w:val="22"/>
          <w:szCs w:val="22"/>
          <w:lang w:val="en-GB" w:eastAsia="zh-CN"/>
        </w:rPr>
        <w:t>BreadTalk</w:t>
      </w:r>
      <w:proofErr w:type="spellEnd"/>
      <w:r w:rsidRPr="00656696">
        <w:rPr>
          <w:rFonts w:eastAsia="SimSun"/>
          <w:sz w:val="22"/>
          <w:szCs w:val="22"/>
          <w:lang w:val="en-GB" w:eastAsia="zh-CN"/>
        </w:rPr>
        <w:t xml:space="preserve"> emphasized skills for greeters and cashiers. Staff members from different countries differed in their view of training. For example, staff members from China were more likely to be eager to learn, as Chan found</w:t>
      </w:r>
      <w:r w:rsidR="009E3A9A">
        <w:rPr>
          <w:rFonts w:eastAsia="SimSun"/>
          <w:sz w:val="22"/>
          <w:szCs w:val="22"/>
          <w:lang w:val="en-GB" w:eastAsia="zh-CN"/>
        </w:rPr>
        <w:t>. He commented,</w:t>
      </w:r>
      <w:r w:rsidRPr="00656696">
        <w:rPr>
          <w:rFonts w:eastAsia="SimSun"/>
          <w:sz w:val="22"/>
          <w:szCs w:val="22"/>
          <w:lang w:val="en-GB" w:eastAsia="zh-CN"/>
        </w:rPr>
        <w:t xml:space="preserve"> “We don’t force employees to take courses. The initiative has to come from them. We just provide them with opportunities, if they are interested.”</w:t>
      </w:r>
    </w:p>
    <w:p w14:paraId="56B18AE5" w14:textId="77777777" w:rsidR="00C43E0A" w:rsidRPr="00656696" w:rsidRDefault="00C43E0A" w:rsidP="00C43E0A">
      <w:pPr>
        <w:jc w:val="both"/>
        <w:rPr>
          <w:sz w:val="22"/>
          <w:szCs w:val="22"/>
          <w:lang w:val="en-GB"/>
        </w:rPr>
      </w:pPr>
    </w:p>
    <w:p w14:paraId="742A5E90" w14:textId="760B1939" w:rsidR="00C43E0A" w:rsidRPr="00656696" w:rsidRDefault="00C43E0A" w:rsidP="00C43E0A">
      <w:pPr>
        <w:jc w:val="both"/>
        <w:rPr>
          <w:rFonts w:eastAsia="SimSun"/>
          <w:sz w:val="22"/>
          <w:szCs w:val="22"/>
          <w:lang w:val="en-GB" w:eastAsia="zh-CN"/>
        </w:rPr>
      </w:pPr>
      <w:r w:rsidRPr="00656696">
        <w:rPr>
          <w:rFonts w:eastAsia="SimSun"/>
          <w:sz w:val="22"/>
          <w:szCs w:val="22"/>
          <w:lang w:val="en-GB" w:eastAsia="zh-CN"/>
        </w:rPr>
        <w:t xml:space="preserve">With </w:t>
      </w:r>
      <w:proofErr w:type="spellStart"/>
      <w:r w:rsidRPr="00656696">
        <w:rPr>
          <w:rFonts w:eastAsia="SimSun"/>
          <w:sz w:val="22"/>
          <w:szCs w:val="22"/>
          <w:lang w:val="en-GB" w:eastAsia="zh-CN"/>
        </w:rPr>
        <w:t>BreadTalk’s</w:t>
      </w:r>
      <w:proofErr w:type="spellEnd"/>
      <w:r w:rsidRPr="00656696">
        <w:rPr>
          <w:rFonts w:eastAsia="SimSun"/>
          <w:sz w:val="22"/>
          <w:szCs w:val="22"/>
          <w:lang w:val="en-GB" w:eastAsia="zh-CN"/>
        </w:rPr>
        <w:t xml:space="preserve"> frequent new product launches and new outlet openings, efficient training became critical. The company developed standard training packages </w:t>
      </w:r>
      <w:r w:rsidR="009E3A9A">
        <w:rPr>
          <w:rFonts w:eastAsia="SimSun"/>
          <w:sz w:val="22"/>
          <w:szCs w:val="22"/>
          <w:lang w:val="en-GB" w:eastAsia="zh-CN"/>
        </w:rPr>
        <w:t>for</w:t>
      </w:r>
      <w:r w:rsidRPr="00656696">
        <w:rPr>
          <w:rFonts w:eastAsia="SimSun"/>
          <w:sz w:val="22"/>
          <w:szCs w:val="22"/>
          <w:lang w:val="en-GB" w:eastAsia="zh-CN"/>
        </w:rPr>
        <w:t xml:space="preserve"> topics such as food hygiene, workplace safety, service excellence, and equipment use. It also leveraged a new learning management system to disseminate knowledge and complement traditional onsite training. For locations that found it difficult to attract employees, the different divisions organized fast-track job-rotation programs to train new hires to become store managers within two years. </w:t>
      </w:r>
    </w:p>
    <w:p w14:paraId="187A9F52" w14:textId="77777777" w:rsidR="00C43E0A" w:rsidRPr="00656696" w:rsidRDefault="00C43E0A" w:rsidP="00C43E0A">
      <w:pPr>
        <w:jc w:val="both"/>
        <w:rPr>
          <w:rFonts w:eastAsia="SimSun"/>
          <w:sz w:val="22"/>
          <w:szCs w:val="22"/>
          <w:lang w:val="en-GB" w:eastAsia="zh-CN"/>
        </w:rPr>
      </w:pPr>
    </w:p>
    <w:p w14:paraId="333EBA92" w14:textId="22D39473" w:rsidR="00C43E0A" w:rsidRPr="00656696" w:rsidRDefault="00C43E0A" w:rsidP="00C43E0A">
      <w:pPr>
        <w:jc w:val="both"/>
        <w:rPr>
          <w:rFonts w:eastAsia="SimSun"/>
          <w:sz w:val="22"/>
          <w:szCs w:val="22"/>
          <w:lang w:val="en-GB" w:eastAsia="zh-CN"/>
        </w:rPr>
      </w:pPr>
      <w:r w:rsidRPr="00656696">
        <w:rPr>
          <w:rFonts w:eastAsia="SimSun"/>
          <w:sz w:val="22"/>
          <w:szCs w:val="22"/>
          <w:lang w:val="en-GB" w:eastAsia="zh-CN"/>
        </w:rPr>
        <w:t xml:space="preserve">In 2014, the company launched a management associate program to recruit and develop high-performing new graduates from various institutions. The program evolved to grooming 20 internal talented graduates per year. After being nominated by supervisors and having passed certain assessment criteria, these graduates were placed </w:t>
      </w:r>
      <w:r w:rsidR="009E3A9A">
        <w:rPr>
          <w:rFonts w:eastAsia="SimSun"/>
          <w:sz w:val="22"/>
          <w:szCs w:val="22"/>
          <w:lang w:val="en-GB" w:eastAsia="zh-CN"/>
        </w:rPr>
        <w:t>in</w:t>
      </w:r>
      <w:r w:rsidR="009E3A9A" w:rsidRPr="00656696">
        <w:rPr>
          <w:rFonts w:eastAsia="SimSun"/>
          <w:sz w:val="22"/>
          <w:szCs w:val="22"/>
          <w:lang w:val="en-GB" w:eastAsia="zh-CN"/>
        </w:rPr>
        <w:t xml:space="preserve"> </w:t>
      </w:r>
      <w:r w:rsidRPr="00656696">
        <w:rPr>
          <w:rFonts w:eastAsia="SimSun"/>
          <w:sz w:val="22"/>
          <w:szCs w:val="22"/>
          <w:lang w:val="en-GB" w:eastAsia="zh-CN"/>
        </w:rPr>
        <w:t xml:space="preserve">an intensive training and mentorship program, where they were given preferential consideration for promotion and overseas posting opportunities. In 2018, approximately 55 per cent of all leadership and management staff were internally trained. </w:t>
      </w:r>
    </w:p>
    <w:p w14:paraId="08884C35" w14:textId="77777777" w:rsidR="00C43E0A" w:rsidRPr="00656696" w:rsidRDefault="00C43E0A" w:rsidP="00C43E0A">
      <w:pPr>
        <w:jc w:val="both"/>
        <w:rPr>
          <w:rFonts w:eastAsia="SimSun"/>
          <w:sz w:val="22"/>
          <w:szCs w:val="22"/>
          <w:lang w:val="en-GB" w:eastAsia="zh-CN"/>
        </w:rPr>
      </w:pPr>
    </w:p>
    <w:p w14:paraId="6FE04692" w14:textId="77777777" w:rsidR="00C43E0A" w:rsidRPr="00656696" w:rsidRDefault="00C43E0A" w:rsidP="00C43E0A">
      <w:pPr>
        <w:jc w:val="both"/>
        <w:rPr>
          <w:rFonts w:eastAsia="SimSun"/>
          <w:sz w:val="22"/>
          <w:szCs w:val="22"/>
          <w:lang w:val="en-GB" w:eastAsia="zh-CN"/>
        </w:rPr>
      </w:pPr>
    </w:p>
    <w:p w14:paraId="0A004D86" w14:textId="5EF4A717" w:rsidR="00C43E0A" w:rsidRPr="00656696" w:rsidRDefault="00C43E0A" w:rsidP="00E61193">
      <w:pPr>
        <w:pStyle w:val="Casehead3"/>
        <w:keepNext/>
        <w:rPr>
          <w:b/>
          <w:lang w:val="en-GB"/>
        </w:rPr>
      </w:pPr>
      <w:r w:rsidRPr="00656696">
        <w:rPr>
          <w:lang w:val="en-GB"/>
        </w:rPr>
        <w:t>Engaging Employees</w:t>
      </w:r>
    </w:p>
    <w:p w14:paraId="48AAB22B" w14:textId="77777777" w:rsidR="00C43E0A" w:rsidRPr="00656696" w:rsidRDefault="00C43E0A" w:rsidP="00E61193">
      <w:pPr>
        <w:keepNext/>
        <w:jc w:val="both"/>
        <w:rPr>
          <w:rFonts w:eastAsia="SimSun"/>
          <w:sz w:val="22"/>
          <w:szCs w:val="22"/>
          <w:lang w:val="en-GB" w:eastAsia="zh-CN"/>
        </w:rPr>
      </w:pPr>
    </w:p>
    <w:p w14:paraId="57820711" w14:textId="6613DA8D" w:rsidR="00C43E0A" w:rsidRPr="00656696" w:rsidRDefault="00C43E0A" w:rsidP="00E61193">
      <w:pPr>
        <w:keepNext/>
        <w:jc w:val="both"/>
        <w:rPr>
          <w:sz w:val="22"/>
          <w:szCs w:val="22"/>
          <w:lang w:val="en-GB"/>
        </w:rPr>
      </w:pPr>
      <w:proofErr w:type="spellStart"/>
      <w:r w:rsidRPr="00656696">
        <w:rPr>
          <w:sz w:val="22"/>
          <w:szCs w:val="22"/>
          <w:lang w:val="en-GB"/>
        </w:rPr>
        <w:t>BreadTalk</w:t>
      </w:r>
      <w:proofErr w:type="spellEnd"/>
      <w:r w:rsidRPr="00656696">
        <w:rPr>
          <w:sz w:val="22"/>
          <w:szCs w:val="22"/>
          <w:lang w:val="en-GB"/>
        </w:rPr>
        <w:t xml:space="preserve"> increasingly invested in promoting employee engagement, as Huang explained: “We encourage our staff to voice their opinion as a way to engage in the company’s development rather than to merely pursue material rewards. We need to provide them with a platform for engagement.” In 2017, the company conducted an employee survey and encouraged staff suggestions. The result was an increase in team-building events, which had seldom occurred before. </w:t>
      </w:r>
    </w:p>
    <w:p w14:paraId="32560326" w14:textId="77777777" w:rsidR="00C43E0A" w:rsidRPr="008202C5" w:rsidRDefault="00C43E0A" w:rsidP="00C43E0A">
      <w:pPr>
        <w:jc w:val="both"/>
        <w:rPr>
          <w:sz w:val="14"/>
          <w:szCs w:val="14"/>
          <w:lang w:val="en-GB"/>
        </w:rPr>
      </w:pPr>
    </w:p>
    <w:p w14:paraId="28C398D4" w14:textId="04245488" w:rsidR="00C43E0A" w:rsidRPr="00656696" w:rsidRDefault="00C43E0A" w:rsidP="00C43E0A">
      <w:pPr>
        <w:jc w:val="both"/>
        <w:rPr>
          <w:sz w:val="22"/>
          <w:szCs w:val="22"/>
          <w:lang w:val="en-GB"/>
        </w:rPr>
      </w:pPr>
      <w:r w:rsidRPr="00656696">
        <w:rPr>
          <w:sz w:val="22"/>
          <w:szCs w:val="22"/>
          <w:lang w:val="en-GB"/>
        </w:rPr>
        <w:t xml:space="preserve">The company maintained regular interaction with staff using mobile applications </w:t>
      </w:r>
      <w:r w:rsidR="00E421B6">
        <w:rPr>
          <w:sz w:val="22"/>
          <w:szCs w:val="22"/>
          <w:lang w:val="en-GB"/>
        </w:rPr>
        <w:t xml:space="preserve">(apps) </w:t>
      </w:r>
      <w:r w:rsidRPr="00656696">
        <w:rPr>
          <w:sz w:val="22"/>
          <w:szCs w:val="22"/>
          <w:lang w:val="en-GB"/>
        </w:rPr>
        <w:t xml:space="preserve">such as WeChat. Chinese workers received text messages and pay stubs from head office. Starting in early 2018, they also began receiving the previous year’s financial results and Chinese New Year Greetings, accompanied by a short video of Quek and his wife, who served as </w:t>
      </w:r>
      <w:proofErr w:type="spellStart"/>
      <w:r w:rsidRPr="00656696">
        <w:rPr>
          <w:sz w:val="22"/>
          <w:szCs w:val="22"/>
          <w:lang w:val="en-GB"/>
        </w:rPr>
        <w:t>BreadTalk’s</w:t>
      </w:r>
      <w:proofErr w:type="spellEnd"/>
      <w:r w:rsidRPr="00656696">
        <w:rPr>
          <w:sz w:val="22"/>
          <w:szCs w:val="22"/>
          <w:lang w:val="en-GB"/>
        </w:rPr>
        <w:t xml:space="preserve"> deputy chairwoman. </w:t>
      </w:r>
    </w:p>
    <w:p w14:paraId="1302466A" w14:textId="77777777" w:rsidR="00C43E0A" w:rsidRPr="002569DC" w:rsidRDefault="00C43E0A" w:rsidP="00C43E0A">
      <w:pPr>
        <w:pStyle w:val="Casehead2"/>
      </w:pPr>
      <w:r w:rsidRPr="002569DC">
        <w:lastRenderedPageBreak/>
        <w:t>Coordinating Cross-Territory Talent</w:t>
      </w:r>
    </w:p>
    <w:p w14:paraId="595404CE" w14:textId="77777777" w:rsidR="00C43E0A" w:rsidRPr="00656696" w:rsidRDefault="00C43E0A" w:rsidP="00C43E0A">
      <w:pPr>
        <w:jc w:val="both"/>
        <w:rPr>
          <w:rFonts w:eastAsia="SimSun"/>
          <w:sz w:val="22"/>
          <w:szCs w:val="22"/>
          <w:lang w:val="en-GB" w:eastAsia="zh-CN"/>
        </w:rPr>
      </w:pPr>
    </w:p>
    <w:p w14:paraId="07494ACD" w14:textId="1447D6C5" w:rsidR="00C43E0A" w:rsidRPr="00656696" w:rsidRDefault="00C43E0A" w:rsidP="00C43E0A">
      <w:pPr>
        <w:jc w:val="both"/>
        <w:rPr>
          <w:sz w:val="22"/>
          <w:szCs w:val="22"/>
          <w:lang w:val="en-GB"/>
        </w:rPr>
      </w:pPr>
      <w:r w:rsidRPr="00656696">
        <w:rPr>
          <w:sz w:val="22"/>
          <w:szCs w:val="22"/>
          <w:lang w:val="en-GB"/>
        </w:rPr>
        <w:t xml:space="preserve">In 2018, </w:t>
      </w:r>
      <w:proofErr w:type="spellStart"/>
      <w:r w:rsidRPr="00656696">
        <w:rPr>
          <w:sz w:val="22"/>
          <w:szCs w:val="22"/>
          <w:lang w:val="en-GB"/>
        </w:rPr>
        <w:t>BreadTalk</w:t>
      </w:r>
      <w:proofErr w:type="spellEnd"/>
      <w:r w:rsidRPr="00656696">
        <w:rPr>
          <w:sz w:val="22"/>
          <w:szCs w:val="22"/>
          <w:lang w:val="en-GB"/>
        </w:rPr>
        <w:t xml:space="preserve"> employed approximately 3,500 workers in Singapore and 2,500 more in mainland China (see Exhibit 8). As the company grew, it became difficult to maintain internal communications with staff members across countries, as well as within the same country. </w:t>
      </w:r>
      <w:proofErr w:type="spellStart"/>
      <w:r w:rsidRPr="00656696">
        <w:rPr>
          <w:sz w:val="22"/>
          <w:szCs w:val="22"/>
          <w:lang w:val="en-GB"/>
        </w:rPr>
        <w:t>BreadTalk</w:t>
      </w:r>
      <w:proofErr w:type="spellEnd"/>
      <w:r w:rsidRPr="00656696">
        <w:rPr>
          <w:sz w:val="22"/>
          <w:szCs w:val="22"/>
          <w:lang w:val="en-GB"/>
        </w:rPr>
        <w:t xml:space="preserve"> operated 150 outlets within Singapore and almost 400 more stores scattered across 150 cities in China. The company’s HR department was constantly working to enhance communication between the </w:t>
      </w:r>
      <w:proofErr w:type="spellStart"/>
      <w:r w:rsidRPr="00656696">
        <w:rPr>
          <w:sz w:val="22"/>
          <w:szCs w:val="22"/>
          <w:lang w:val="en-GB"/>
        </w:rPr>
        <w:t>BreadTalk</w:t>
      </w:r>
      <w:proofErr w:type="spellEnd"/>
      <w:r w:rsidRPr="00656696">
        <w:rPr>
          <w:sz w:val="22"/>
          <w:szCs w:val="22"/>
          <w:lang w:val="en-GB"/>
        </w:rPr>
        <w:t xml:space="preserve"> headquarters and the various locations. In January 2017, the company’s overall HR department organized the first ever employee townhall in Singapore, which was followed by regularly scheduled team-building activities in other cities (e.g., Beijing, Shanghai, and Bangkok). At these events, executives engaged openly with staff over an online communication platform, where employees were able to ask any question or make a comment through a mobile device. As Huang explained, “I think the key is whether the employees perceive that top management team is sincere in communicating with them, rather than for doing it as a show.” The bakery division also organized a G12 Summit, where top-performing general managers of franchises in different markets could share their experiences and insights.</w:t>
      </w:r>
    </w:p>
    <w:p w14:paraId="21C74688" w14:textId="77777777" w:rsidR="00C43E0A" w:rsidRPr="00656696" w:rsidRDefault="00C43E0A" w:rsidP="00C43E0A">
      <w:pPr>
        <w:jc w:val="both"/>
        <w:rPr>
          <w:sz w:val="22"/>
          <w:szCs w:val="22"/>
          <w:lang w:val="en-GB"/>
        </w:rPr>
      </w:pPr>
    </w:p>
    <w:p w14:paraId="74E9A1C0" w14:textId="29F2B341" w:rsidR="00C43E0A" w:rsidRPr="00656696" w:rsidRDefault="00C43E0A" w:rsidP="00C43E0A">
      <w:pPr>
        <w:jc w:val="both"/>
        <w:rPr>
          <w:rFonts w:eastAsia="SimSun"/>
          <w:sz w:val="22"/>
          <w:szCs w:val="22"/>
          <w:lang w:val="en-GB" w:eastAsia="zh-CN"/>
        </w:rPr>
      </w:pPr>
      <w:r w:rsidRPr="00656696">
        <w:rPr>
          <w:sz w:val="22"/>
          <w:szCs w:val="22"/>
          <w:lang w:val="en-GB"/>
        </w:rPr>
        <w:t xml:space="preserve">In early 2018, </w:t>
      </w:r>
      <w:proofErr w:type="spellStart"/>
      <w:r w:rsidRPr="00656696">
        <w:rPr>
          <w:sz w:val="22"/>
          <w:szCs w:val="22"/>
          <w:lang w:val="en-GB"/>
        </w:rPr>
        <w:t>BreadTalk</w:t>
      </w:r>
      <w:proofErr w:type="spellEnd"/>
      <w:r w:rsidRPr="00656696">
        <w:rPr>
          <w:sz w:val="22"/>
          <w:szCs w:val="22"/>
          <w:lang w:val="en-GB"/>
        </w:rPr>
        <w:t xml:space="preserve"> launched a new HR information system in Singapore, which was rolled out in mainland China and other areas later that year. The new system allowed Chan to efficiently collect employee data from the various divisions without having to issue templates, which would gather only limited and scattered data. The new system was accessible via a mobile app and allowed divisional CEOs to easily collect HR information and produce effective management reports for data analysis, such as predicting fluctuations in attrition.</w:t>
      </w:r>
    </w:p>
    <w:p w14:paraId="41EF347E" w14:textId="77777777" w:rsidR="00C43E0A" w:rsidRPr="00656696" w:rsidRDefault="00C43E0A" w:rsidP="00C43E0A">
      <w:pPr>
        <w:jc w:val="both"/>
        <w:rPr>
          <w:rFonts w:eastAsia="SimSun"/>
          <w:sz w:val="22"/>
          <w:szCs w:val="22"/>
          <w:lang w:val="en-GB" w:eastAsia="zh-CN"/>
        </w:rPr>
      </w:pPr>
    </w:p>
    <w:p w14:paraId="10BD956D" w14:textId="77777777" w:rsidR="00C43E0A" w:rsidRPr="00656696" w:rsidRDefault="00C43E0A" w:rsidP="00C43E0A">
      <w:pPr>
        <w:jc w:val="both"/>
        <w:rPr>
          <w:rFonts w:eastAsia="SimSun"/>
          <w:sz w:val="22"/>
          <w:szCs w:val="22"/>
          <w:lang w:val="en-GB" w:eastAsia="zh-CN"/>
        </w:rPr>
      </w:pPr>
    </w:p>
    <w:p w14:paraId="541A2D4B" w14:textId="77777777" w:rsidR="00C43E0A" w:rsidRPr="002569DC" w:rsidRDefault="00C43E0A" w:rsidP="00C43E0A">
      <w:pPr>
        <w:pStyle w:val="Casehead2"/>
      </w:pPr>
      <w:r w:rsidRPr="002569DC">
        <w:t>Nurturing the Culture of Innovation</w:t>
      </w:r>
    </w:p>
    <w:p w14:paraId="0B488704" w14:textId="77777777" w:rsidR="00C43E0A" w:rsidRPr="00656696" w:rsidRDefault="00C43E0A" w:rsidP="00C43E0A">
      <w:pPr>
        <w:jc w:val="both"/>
        <w:rPr>
          <w:rFonts w:eastAsia="SimSun"/>
          <w:sz w:val="22"/>
          <w:szCs w:val="22"/>
          <w:lang w:val="en-GB" w:eastAsia="zh-CN"/>
        </w:rPr>
      </w:pPr>
    </w:p>
    <w:p w14:paraId="78706616" w14:textId="763947E8" w:rsidR="00C43E0A" w:rsidRPr="00656696" w:rsidRDefault="00C43E0A" w:rsidP="00C43E0A">
      <w:pPr>
        <w:jc w:val="both"/>
        <w:rPr>
          <w:sz w:val="22"/>
          <w:szCs w:val="22"/>
          <w:lang w:val="en-GB"/>
        </w:rPr>
      </w:pPr>
      <w:r w:rsidRPr="00656696">
        <w:rPr>
          <w:sz w:val="22"/>
          <w:szCs w:val="22"/>
          <w:lang w:val="en-GB"/>
        </w:rPr>
        <w:t xml:space="preserve">Since founding </w:t>
      </w:r>
      <w:proofErr w:type="spellStart"/>
      <w:r w:rsidRPr="00656696">
        <w:rPr>
          <w:sz w:val="22"/>
          <w:szCs w:val="22"/>
          <w:lang w:val="en-GB"/>
        </w:rPr>
        <w:t>BreadTalk</w:t>
      </w:r>
      <w:proofErr w:type="spellEnd"/>
      <w:r w:rsidRPr="00656696">
        <w:rPr>
          <w:sz w:val="22"/>
          <w:szCs w:val="22"/>
          <w:lang w:val="en-GB"/>
        </w:rPr>
        <w:t xml:space="preserve">, Quek </w:t>
      </w:r>
      <w:r w:rsidR="009E3A9A">
        <w:rPr>
          <w:sz w:val="22"/>
          <w:szCs w:val="22"/>
          <w:lang w:val="en-GB"/>
        </w:rPr>
        <w:t>had consistently</w:t>
      </w:r>
      <w:r w:rsidRPr="00656696">
        <w:rPr>
          <w:sz w:val="22"/>
          <w:szCs w:val="22"/>
          <w:lang w:val="en-GB"/>
        </w:rPr>
        <w:t xml:space="preserve"> </w:t>
      </w:r>
      <w:r w:rsidRPr="00656696">
        <w:rPr>
          <w:rFonts w:eastAsia="SimSun"/>
          <w:sz w:val="22"/>
          <w:szCs w:val="22"/>
          <w:lang w:val="en-GB" w:eastAsia="zh-CN"/>
        </w:rPr>
        <w:t>emphasized</w:t>
      </w:r>
      <w:r w:rsidRPr="00656696">
        <w:rPr>
          <w:sz w:val="22"/>
          <w:szCs w:val="22"/>
          <w:lang w:val="en-GB"/>
        </w:rPr>
        <w:t xml:space="preserve"> a philosophy of innovation, change, and differentiation. In the early days, he built an R&amp;D team of more than 20 people to regularly design new products that strongly encouraged innovation. The company prided itself </w:t>
      </w:r>
      <w:r w:rsidR="00E421B6">
        <w:rPr>
          <w:sz w:val="22"/>
          <w:szCs w:val="22"/>
          <w:lang w:val="en-GB"/>
        </w:rPr>
        <w:t>o</w:t>
      </w:r>
      <w:r w:rsidRPr="00656696">
        <w:rPr>
          <w:sz w:val="22"/>
          <w:szCs w:val="22"/>
          <w:lang w:val="en-GB"/>
        </w:rPr>
        <w:t xml:space="preserve">n </w:t>
      </w:r>
      <w:r w:rsidR="00E421B6">
        <w:rPr>
          <w:sz w:val="22"/>
          <w:szCs w:val="22"/>
          <w:lang w:val="en-GB"/>
        </w:rPr>
        <w:t xml:space="preserve">having </w:t>
      </w:r>
      <w:r w:rsidRPr="00656696">
        <w:rPr>
          <w:sz w:val="22"/>
          <w:szCs w:val="22"/>
          <w:lang w:val="en-GB"/>
        </w:rPr>
        <w:t xml:space="preserve">a culture of continuous innovation, rather than focusing on one-time new projects. With the impact that technology was having in the F&amp;B industry and in brick-and-mortar retail stores, the company felt it needed to continue innovating to better respond to evolving market changes. </w:t>
      </w:r>
    </w:p>
    <w:p w14:paraId="0B095EB2" w14:textId="77777777" w:rsidR="00C43E0A" w:rsidRPr="00656696" w:rsidRDefault="00C43E0A" w:rsidP="00C43E0A">
      <w:pPr>
        <w:jc w:val="both"/>
        <w:rPr>
          <w:sz w:val="22"/>
          <w:szCs w:val="22"/>
          <w:lang w:val="en-GB"/>
        </w:rPr>
      </w:pPr>
    </w:p>
    <w:p w14:paraId="01827A28" w14:textId="03C4DE5B" w:rsidR="00C43E0A" w:rsidRPr="00656696" w:rsidRDefault="00C43E0A" w:rsidP="00C43E0A">
      <w:pPr>
        <w:jc w:val="both"/>
        <w:rPr>
          <w:sz w:val="22"/>
          <w:szCs w:val="22"/>
          <w:lang w:val="en-GB"/>
        </w:rPr>
      </w:pPr>
      <w:r w:rsidRPr="00656696">
        <w:rPr>
          <w:sz w:val="22"/>
          <w:szCs w:val="22"/>
          <w:lang w:val="en-GB"/>
        </w:rPr>
        <w:t xml:space="preserve">In 2013, </w:t>
      </w:r>
      <w:proofErr w:type="spellStart"/>
      <w:r w:rsidRPr="00656696">
        <w:rPr>
          <w:sz w:val="22"/>
          <w:szCs w:val="22"/>
          <w:lang w:val="en-GB"/>
        </w:rPr>
        <w:t>BreadTalk</w:t>
      </w:r>
      <w:proofErr w:type="spellEnd"/>
      <w:r w:rsidRPr="00656696">
        <w:rPr>
          <w:sz w:val="22"/>
          <w:szCs w:val="22"/>
          <w:lang w:val="en-GB"/>
        </w:rPr>
        <w:t xml:space="preserve"> relocated its headquarters and used architecture to promote a spirit of innovation. The design of the new 10-storey building resembled layers of a Danish pastry and housed a high-tech central kitchen, in which the company invested S$8 million. It had an automated production line to create over 85,000 batches of dough per day. Dough production efficiency improved from having five people create 100 portions of frozen dough per day to needing only two people to producing 300 portions per day.</w:t>
      </w:r>
    </w:p>
    <w:p w14:paraId="0594F972" w14:textId="77777777" w:rsidR="00C43E0A" w:rsidRPr="00656696" w:rsidRDefault="00C43E0A" w:rsidP="00C43E0A">
      <w:pPr>
        <w:jc w:val="both"/>
        <w:rPr>
          <w:sz w:val="22"/>
          <w:szCs w:val="22"/>
          <w:lang w:val="en-GB"/>
        </w:rPr>
      </w:pPr>
    </w:p>
    <w:p w14:paraId="3F3244A3" w14:textId="0106BCEA" w:rsidR="00C43E0A" w:rsidRPr="008202C5" w:rsidRDefault="00C43E0A" w:rsidP="00C43E0A">
      <w:pPr>
        <w:jc w:val="both"/>
        <w:rPr>
          <w:spacing w:val="-2"/>
          <w:kern w:val="22"/>
          <w:sz w:val="22"/>
          <w:szCs w:val="22"/>
          <w:lang w:val="en-GB"/>
        </w:rPr>
      </w:pPr>
      <w:r w:rsidRPr="008202C5">
        <w:rPr>
          <w:spacing w:val="-2"/>
          <w:kern w:val="22"/>
          <w:sz w:val="22"/>
          <w:szCs w:val="22"/>
          <w:lang w:val="en-GB"/>
        </w:rPr>
        <w:t xml:space="preserve">In 2015, </w:t>
      </w:r>
      <w:proofErr w:type="spellStart"/>
      <w:r w:rsidRPr="008202C5">
        <w:rPr>
          <w:spacing w:val="-2"/>
          <w:kern w:val="22"/>
          <w:sz w:val="22"/>
          <w:szCs w:val="22"/>
          <w:lang w:val="en-GB"/>
        </w:rPr>
        <w:t>BreadTalk</w:t>
      </w:r>
      <w:proofErr w:type="spellEnd"/>
      <w:r w:rsidRPr="008202C5">
        <w:rPr>
          <w:spacing w:val="-2"/>
          <w:kern w:val="22"/>
          <w:sz w:val="22"/>
          <w:szCs w:val="22"/>
          <w:lang w:val="en-GB"/>
        </w:rPr>
        <w:t xml:space="preserve"> launched the fourth generation of its global concept store in </w:t>
      </w:r>
      <w:proofErr w:type="spellStart"/>
      <w:r w:rsidRPr="008202C5">
        <w:rPr>
          <w:spacing w:val="-2"/>
          <w:kern w:val="22"/>
          <w:sz w:val="22"/>
          <w:szCs w:val="22"/>
          <w:lang w:val="en-GB"/>
        </w:rPr>
        <w:t>VivoCity</w:t>
      </w:r>
      <w:proofErr w:type="spellEnd"/>
      <w:r w:rsidRPr="008202C5">
        <w:rPr>
          <w:spacing w:val="-2"/>
          <w:kern w:val="22"/>
          <w:sz w:val="22"/>
          <w:szCs w:val="22"/>
          <w:lang w:val="en-GB"/>
        </w:rPr>
        <w:t xml:space="preserve">, Singapore. The new store concept, which incorporated three-dimensional microfilm technology to engage customers, was later rolled out to </w:t>
      </w:r>
      <w:proofErr w:type="spellStart"/>
      <w:r w:rsidRPr="008202C5">
        <w:rPr>
          <w:spacing w:val="-2"/>
          <w:kern w:val="22"/>
          <w:sz w:val="22"/>
          <w:szCs w:val="22"/>
          <w:lang w:val="en-GB"/>
        </w:rPr>
        <w:t>BreadTalk</w:t>
      </w:r>
      <w:proofErr w:type="spellEnd"/>
      <w:r w:rsidRPr="008202C5">
        <w:rPr>
          <w:spacing w:val="-2"/>
          <w:kern w:val="22"/>
          <w:sz w:val="22"/>
          <w:szCs w:val="22"/>
          <w:lang w:val="en-GB"/>
        </w:rPr>
        <w:t xml:space="preserve"> locations in other countries. </w:t>
      </w:r>
      <w:proofErr w:type="spellStart"/>
      <w:r w:rsidRPr="008202C5">
        <w:rPr>
          <w:spacing w:val="-2"/>
          <w:kern w:val="22"/>
          <w:sz w:val="22"/>
          <w:szCs w:val="22"/>
          <w:lang w:val="en-GB"/>
        </w:rPr>
        <w:t>BreadTalk’s</w:t>
      </w:r>
      <w:proofErr w:type="spellEnd"/>
      <w:r w:rsidRPr="008202C5">
        <w:rPr>
          <w:spacing w:val="-2"/>
          <w:kern w:val="22"/>
          <w:sz w:val="22"/>
          <w:szCs w:val="22"/>
          <w:lang w:val="en-GB"/>
        </w:rPr>
        <w:t xml:space="preserve"> competitors had always attempted to imitate its concepts, as Quek noted: “It might be easy to copy our products. But it will be more difficult to copy our outlet design if we renew it once every three to four years.” To better find and secure prominent locations to showcase its flagship stores, the company went as far as becoming involved in the real estate business. </w:t>
      </w:r>
    </w:p>
    <w:p w14:paraId="067FE55C" w14:textId="77777777" w:rsidR="00C43E0A" w:rsidRPr="00656696" w:rsidRDefault="00C43E0A" w:rsidP="00C43E0A">
      <w:pPr>
        <w:jc w:val="both"/>
        <w:rPr>
          <w:sz w:val="22"/>
          <w:szCs w:val="22"/>
          <w:lang w:val="en-GB"/>
        </w:rPr>
      </w:pPr>
    </w:p>
    <w:p w14:paraId="738EC13A" w14:textId="2637CDC4" w:rsidR="00C43E0A" w:rsidRPr="00656696" w:rsidRDefault="00C43E0A" w:rsidP="00C43E0A">
      <w:pPr>
        <w:jc w:val="both"/>
        <w:rPr>
          <w:sz w:val="22"/>
          <w:szCs w:val="22"/>
          <w:lang w:val="en-GB"/>
        </w:rPr>
      </w:pPr>
      <w:r w:rsidRPr="00656696">
        <w:rPr>
          <w:sz w:val="22"/>
          <w:szCs w:val="22"/>
          <w:lang w:val="en-GB"/>
        </w:rPr>
        <w:t xml:space="preserve">In 2017, the </w:t>
      </w:r>
      <w:proofErr w:type="spellStart"/>
      <w:r w:rsidRPr="00656696">
        <w:rPr>
          <w:sz w:val="22"/>
          <w:szCs w:val="22"/>
          <w:lang w:val="en-GB"/>
        </w:rPr>
        <w:t>BreadTalk</w:t>
      </w:r>
      <w:proofErr w:type="spellEnd"/>
      <w:r w:rsidRPr="00656696">
        <w:rPr>
          <w:sz w:val="22"/>
          <w:szCs w:val="22"/>
          <w:lang w:val="en-GB"/>
        </w:rPr>
        <w:t xml:space="preserve"> Rewards mobile app was launched, which offered customers special value deals. While observing data protection laws in the various territories of operation, </w:t>
      </w:r>
      <w:proofErr w:type="spellStart"/>
      <w:r w:rsidRPr="00656696">
        <w:rPr>
          <w:sz w:val="22"/>
          <w:szCs w:val="22"/>
          <w:lang w:val="en-GB"/>
        </w:rPr>
        <w:t>BreadTalk</w:t>
      </w:r>
      <w:proofErr w:type="spellEnd"/>
      <w:r w:rsidRPr="00656696">
        <w:rPr>
          <w:sz w:val="22"/>
          <w:szCs w:val="22"/>
          <w:lang w:val="en-GB"/>
        </w:rPr>
        <w:t xml:space="preserve"> hoped to use these technological channels to collect information on customer preferences and behaviours. In 2018, the company’s first Song Fa </w:t>
      </w:r>
      <w:proofErr w:type="spellStart"/>
      <w:r w:rsidRPr="00656696">
        <w:rPr>
          <w:sz w:val="22"/>
          <w:szCs w:val="22"/>
          <w:lang w:val="en-GB"/>
        </w:rPr>
        <w:t>Bak</w:t>
      </w:r>
      <w:proofErr w:type="spellEnd"/>
      <w:r w:rsidRPr="00656696">
        <w:rPr>
          <w:sz w:val="22"/>
          <w:szCs w:val="22"/>
          <w:lang w:val="en-GB"/>
        </w:rPr>
        <w:t xml:space="preserve"> </w:t>
      </w:r>
      <w:proofErr w:type="spellStart"/>
      <w:r w:rsidRPr="00656696">
        <w:rPr>
          <w:sz w:val="22"/>
          <w:szCs w:val="22"/>
          <w:lang w:val="en-GB"/>
        </w:rPr>
        <w:t>Kut</w:t>
      </w:r>
      <w:proofErr w:type="spellEnd"/>
      <w:r w:rsidRPr="00656696">
        <w:rPr>
          <w:sz w:val="22"/>
          <w:szCs w:val="22"/>
          <w:lang w:val="en-GB"/>
        </w:rPr>
        <w:t xml:space="preserve"> </w:t>
      </w:r>
      <w:proofErr w:type="spellStart"/>
      <w:r w:rsidRPr="00656696">
        <w:rPr>
          <w:sz w:val="22"/>
          <w:szCs w:val="22"/>
          <w:lang w:val="en-GB"/>
        </w:rPr>
        <w:t>Teh</w:t>
      </w:r>
      <w:proofErr w:type="spellEnd"/>
      <w:r w:rsidRPr="00656696">
        <w:rPr>
          <w:sz w:val="22"/>
          <w:szCs w:val="22"/>
          <w:lang w:val="en-GB"/>
        </w:rPr>
        <w:t xml:space="preserve"> restaurant in Shanghai digitalized its ordering system to enable </w:t>
      </w:r>
      <w:r w:rsidRPr="00656696">
        <w:rPr>
          <w:sz w:val="22"/>
          <w:szCs w:val="22"/>
          <w:lang w:val="en-GB"/>
        </w:rPr>
        <w:lastRenderedPageBreak/>
        <w:t xml:space="preserve">customers to send their requests directly to the kitchen through an iPad. The technology helped reduce human error in taking customer orders and lowered the number of restaurant staff. In partnership with Alibaba Group Holding Limited, the company launched the </w:t>
      </w:r>
      <w:proofErr w:type="spellStart"/>
      <w:r w:rsidRPr="00656696">
        <w:rPr>
          <w:sz w:val="22"/>
          <w:szCs w:val="22"/>
          <w:lang w:val="en-GB"/>
        </w:rPr>
        <w:t>BreadTalk</w:t>
      </w:r>
      <w:proofErr w:type="spellEnd"/>
      <w:r w:rsidRPr="00656696">
        <w:rPr>
          <w:sz w:val="22"/>
          <w:szCs w:val="22"/>
          <w:lang w:val="en-GB"/>
        </w:rPr>
        <w:t xml:space="preserve"> Touch, a 24-hour self-service vending system that allowed customers to access the company’s products at any time from </w:t>
      </w:r>
      <w:r w:rsidR="00E421B6">
        <w:rPr>
          <w:sz w:val="22"/>
          <w:szCs w:val="22"/>
          <w:lang w:val="en-GB"/>
        </w:rPr>
        <w:t>many</w:t>
      </w:r>
      <w:r w:rsidR="00E421B6" w:rsidRPr="00656696">
        <w:rPr>
          <w:sz w:val="22"/>
          <w:szCs w:val="22"/>
          <w:lang w:val="en-GB"/>
        </w:rPr>
        <w:t xml:space="preserve"> </w:t>
      </w:r>
      <w:r w:rsidRPr="00656696">
        <w:rPr>
          <w:sz w:val="22"/>
          <w:szCs w:val="22"/>
          <w:lang w:val="en-GB"/>
        </w:rPr>
        <w:t>different locations. This innovation was especially appealing to younger customers.</w:t>
      </w:r>
    </w:p>
    <w:p w14:paraId="4697C0DC" w14:textId="77777777" w:rsidR="00C43E0A" w:rsidRPr="00656696" w:rsidRDefault="00C43E0A" w:rsidP="00C43E0A">
      <w:pPr>
        <w:jc w:val="both"/>
        <w:rPr>
          <w:sz w:val="22"/>
          <w:szCs w:val="22"/>
          <w:lang w:val="en-GB"/>
        </w:rPr>
      </w:pPr>
    </w:p>
    <w:p w14:paraId="46CE9C40" w14:textId="62F05997" w:rsidR="00C43E0A" w:rsidRPr="00656696" w:rsidRDefault="00C43E0A" w:rsidP="00C43E0A">
      <w:pPr>
        <w:jc w:val="both"/>
        <w:rPr>
          <w:sz w:val="22"/>
          <w:szCs w:val="22"/>
          <w:lang w:val="en-GB"/>
        </w:rPr>
      </w:pPr>
      <w:r w:rsidRPr="00656696">
        <w:rPr>
          <w:sz w:val="22"/>
          <w:szCs w:val="22"/>
          <w:lang w:val="en-GB"/>
        </w:rPr>
        <w:t xml:space="preserve">At the start of 2018, Quek met with his top management team to review </w:t>
      </w:r>
      <w:proofErr w:type="spellStart"/>
      <w:r w:rsidRPr="00656696">
        <w:rPr>
          <w:sz w:val="22"/>
          <w:szCs w:val="22"/>
          <w:lang w:val="en-GB"/>
        </w:rPr>
        <w:t>BreadTalk’s</w:t>
      </w:r>
      <w:proofErr w:type="spellEnd"/>
      <w:r w:rsidRPr="00656696">
        <w:rPr>
          <w:sz w:val="22"/>
          <w:szCs w:val="22"/>
          <w:lang w:val="en-GB"/>
        </w:rPr>
        <w:t xml:space="preserve"> vision, mission, and values. The team shared with the company’s employees the renewed version of the company’s vision at the next team-building event. Innovation, which had dropped in importance a</w:t>
      </w:r>
      <w:r w:rsidR="00E421B6">
        <w:rPr>
          <w:sz w:val="22"/>
          <w:szCs w:val="22"/>
          <w:lang w:val="en-GB"/>
        </w:rPr>
        <w:t>t</w:t>
      </w:r>
      <w:r w:rsidRPr="00656696">
        <w:rPr>
          <w:sz w:val="22"/>
          <w:szCs w:val="22"/>
          <w:lang w:val="en-GB"/>
        </w:rPr>
        <w:t xml:space="preserve"> some point in the past, was confirmed as being a </w:t>
      </w:r>
      <w:r w:rsidRPr="00656696">
        <w:rPr>
          <w:rFonts w:eastAsia="SimSun"/>
          <w:sz w:val="22"/>
          <w:szCs w:val="22"/>
          <w:lang w:val="en-GB" w:eastAsia="zh-CN"/>
        </w:rPr>
        <w:t>pivotal component</w:t>
      </w:r>
      <w:r w:rsidRPr="00656696">
        <w:rPr>
          <w:sz w:val="22"/>
          <w:szCs w:val="22"/>
          <w:lang w:val="en-GB"/>
        </w:rPr>
        <w:t xml:space="preserve"> of the company’s culture. The company’s HR department began preparing documents and case studies to help employees integrate these values into day-to-day behaviours. </w:t>
      </w:r>
    </w:p>
    <w:p w14:paraId="7F4D2567" w14:textId="77777777" w:rsidR="00C43E0A" w:rsidRPr="00656696" w:rsidRDefault="00C43E0A" w:rsidP="00C43E0A">
      <w:pPr>
        <w:jc w:val="both"/>
        <w:rPr>
          <w:rFonts w:eastAsia="SimSun"/>
          <w:sz w:val="22"/>
          <w:szCs w:val="22"/>
          <w:highlight w:val="yellow"/>
          <w:lang w:val="en-GB" w:eastAsia="zh-CN"/>
        </w:rPr>
      </w:pPr>
    </w:p>
    <w:p w14:paraId="4DA0DEAC" w14:textId="77777777" w:rsidR="00C43E0A" w:rsidRPr="00656696" w:rsidRDefault="00C43E0A" w:rsidP="00C43E0A">
      <w:pPr>
        <w:jc w:val="both"/>
        <w:rPr>
          <w:rFonts w:eastAsia="SimSun"/>
          <w:sz w:val="22"/>
          <w:szCs w:val="22"/>
          <w:lang w:val="en-GB" w:eastAsia="zh-CN"/>
        </w:rPr>
      </w:pPr>
    </w:p>
    <w:p w14:paraId="2F8B48DF" w14:textId="77777777" w:rsidR="00C43E0A" w:rsidRPr="002569DC" w:rsidRDefault="00C43E0A" w:rsidP="00C43E0A">
      <w:pPr>
        <w:pStyle w:val="Casehead1"/>
      </w:pPr>
      <w:r w:rsidRPr="002569DC">
        <w:t>the next phase of growth</w:t>
      </w:r>
    </w:p>
    <w:p w14:paraId="0D776B6E" w14:textId="77777777" w:rsidR="00C43E0A" w:rsidRPr="00185910" w:rsidRDefault="00C43E0A" w:rsidP="00C43E0A">
      <w:pPr>
        <w:keepNext/>
        <w:jc w:val="both"/>
        <w:rPr>
          <w:lang w:val="en-GB"/>
        </w:rPr>
      </w:pPr>
    </w:p>
    <w:p w14:paraId="39611B53" w14:textId="77777777" w:rsidR="00C43E0A" w:rsidRPr="002569DC" w:rsidRDefault="00C43E0A" w:rsidP="00C43E0A">
      <w:pPr>
        <w:pStyle w:val="Casehead2"/>
      </w:pPr>
      <w:r w:rsidRPr="002569DC">
        <w:t xml:space="preserve">Brand </w:t>
      </w:r>
      <w:r w:rsidRPr="002569DC">
        <w:rPr>
          <w:rFonts w:eastAsia="SimSun"/>
        </w:rPr>
        <w:t>P</w:t>
      </w:r>
      <w:r w:rsidRPr="002569DC">
        <w:t xml:space="preserve">ortfolio </w:t>
      </w:r>
      <w:r w:rsidRPr="002569DC">
        <w:rPr>
          <w:rFonts w:eastAsia="SimSun"/>
        </w:rPr>
        <w:t>M</w:t>
      </w:r>
      <w:r w:rsidRPr="002569DC">
        <w:t>anagement</w:t>
      </w:r>
    </w:p>
    <w:p w14:paraId="5D621A1D" w14:textId="77777777" w:rsidR="00C43E0A" w:rsidRPr="00656696" w:rsidRDefault="00C43E0A" w:rsidP="00C43E0A">
      <w:pPr>
        <w:jc w:val="both"/>
        <w:rPr>
          <w:sz w:val="22"/>
          <w:szCs w:val="22"/>
          <w:lang w:val="en-GB"/>
        </w:rPr>
      </w:pPr>
    </w:p>
    <w:p w14:paraId="1790B802" w14:textId="39A9F0BD" w:rsidR="00C43E0A" w:rsidRPr="00656696" w:rsidRDefault="00C43E0A" w:rsidP="00C43E0A">
      <w:pPr>
        <w:jc w:val="both"/>
        <w:rPr>
          <w:sz w:val="22"/>
          <w:szCs w:val="22"/>
          <w:lang w:val="en-GB"/>
        </w:rPr>
      </w:pPr>
      <w:r w:rsidRPr="00656696">
        <w:rPr>
          <w:sz w:val="22"/>
          <w:szCs w:val="22"/>
          <w:lang w:val="en-GB"/>
        </w:rPr>
        <w:t>By the end of 2018, the company had 1</w:t>
      </w:r>
      <w:r w:rsidRPr="00656696">
        <w:rPr>
          <w:rFonts w:eastAsia="SimSun"/>
          <w:sz w:val="22"/>
          <w:szCs w:val="22"/>
          <w:lang w:val="en-GB" w:eastAsia="zh-CN"/>
        </w:rPr>
        <w:t>1</w:t>
      </w:r>
      <w:r w:rsidRPr="00656696">
        <w:rPr>
          <w:sz w:val="22"/>
          <w:szCs w:val="22"/>
          <w:lang w:val="en-GB"/>
        </w:rPr>
        <w:t xml:space="preserve"> brands in four divisions across 1</w:t>
      </w:r>
      <w:r w:rsidRPr="00656696">
        <w:rPr>
          <w:rFonts w:eastAsia="SimSun"/>
          <w:sz w:val="22"/>
          <w:szCs w:val="22"/>
          <w:lang w:val="en-GB" w:eastAsia="zh-CN"/>
        </w:rPr>
        <w:t>9</w:t>
      </w:r>
      <w:r w:rsidRPr="00656696">
        <w:rPr>
          <w:sz w:val="22"/>
          <w:szCs w:val="22"/>
          <w:lang w:val="en-GB"/>
        </w:rPr>
        <w:t xml:space="preserve"> territories, including the United Kingdom. Its core markets—Singapore, mainland China, Hong Kong, and Thailand—had become increasingly competitive with the entrance of upscale bakeries such as </w:t>
      </w:r>
      <w:proofErr w:type="spellStart"/>
      <w:r w:rsidRPr="00656696">
        <w:rPr>
          <w:sz w:val="22"/>
          <w:szCs w:val="22"/>
          <w:lang w:val="en-GB"/>
        </w:rPr>
        <w:t>Withwheat</w:t>
      </w:r>
      <w:proofErr w:type="spellEnd"/>
      <w:r w:rsidRPr="00656696">
        <w:rPr>
          <w:sz w:val="22"/>
          <w:szCs w:val="22"/>
          <w:lang w:val="en-GB"/>
        </w:rPr>
        <w:t xml:space="preserve"> and 85°C in mainland China. </w:t>
      </w:r>
      <w:proofErr w:type="spellStart"/>
      <w:r w:rsidRPr="00656696">
        <w:rPr>
          <w:sz w:val="22"/>
          <w:szCs w:val="22"/>
          <w:lang w:val="en-GB"/>
        </w:rPr>
        <w:t>BreadTalk’s</w:t>
      </w:r>
      <w:proofErr w:type="spellEnd"/>
      <w:r w:rsidRPr="00656696">
        <w:rPr>
          <w:sz w:val="22"/>
          <w:szCs w:val="22"/>
          <w:lang w:val="en-GB"/>
        </w:rPr>
        <w:t xml:space="preserve"> management team had to create synergies among its brands and find ways of developing and motivating staff to contribute new ideas for strengthening the company’s brand portfolio.</w:t>
      </w:r>
    </w:p>
    <w:p w14:paraId="44B49463" w14:textId="77777777" w:rsidR="00656696" w:rsidRDefault="00656696" w:rsidP="00C43E0A">
      <w:pPr>
        <w:pStyle w:val="Casehead2"/>
        <w:rPr>
          <w:rFonts w:eastAsia="SimSun"/>
        </w:rPr>
      </w:pPr>
    </w:p>
    <w:p w14:paraId="3F1B1930" w14:textId="77777777" w:rsidR="00656696" w:rsidRDefault="00656696" w:rsidP="00C43E0A">
      <w:pPr>
        <w:pStyle w:val="Casehead2"/>
        <w:rPr>
          <w:rFonts w:eastAsia="SimSun"/>
        </w:rPr>
      </w:pPr>
    </w:p>
    <w:p w14:paraId="25EFE6AA" w14:textId="5EAD72D4" w:rsidR="00C43E0A" w:rsidRPr="002569DC" w:rsidRDefault="00C43E0A" w:rsidP="00C43E0A">
      <w:pPr>
        <w:pStyle w:val="Casehead2"/>
      </w:pPr>
      <w:r w:rsidRPr="002569DC">
        <w:rPr>
          <w:rFonts w:eastAsia="SimSun"/>
        </w:rPr>
        <w:t>Entering Europe</w:t>
      </w:r>
    </w:p>
    <w:p w14:paraId="7F70DB99" w14:textId="77777777" w:rsidR="00C43E0A" w:rsidRPr="00656696" w:rsidRDefault="00C43E0A" w:rsidP="00C43E0A">
      <w:pPr>
        <w:jc w:val="both"/>
        <w:rPr>
          <w:sz w:val="22"/>
          <w:szCs w:val="22"/>
          <w:lang w:val="en-GB"/>
        </w:rPr>
      </w:pPr>
    </w:p>
    <w:p w14:paraId="27A5869A" w14:textId="6199736A" w:rsidR="00C43E0A" w:rsidRDefault="00C43E0A" w:rsidP="00C43E0A">
      <w:pPr>
        <w:jc w:val="both"/>
        <w:rPr>
          <w:sz w:val="22"/>
          <w:szCs w:val="22"/>
          <w:lang w:val="en-GB"/>
        </w:rPr>
      </w:pPr>
      <w:r w:rsidRPr="00656696">
        <w:rPr>
          <w:sz w:val="22"/>
          <w:szCs w:val="22"/>
          <w:lang w:val="en-GB"/>
        </w:rPr>
        <w:t xml:space="preserve">Quek was well aware of the importance of core markets, especially mainland China, to </w:t>
      </w:r>
      <w:proofErr w:type="spellStart"/>
      <w:r w:rsidRPr="00656696">
        <w:rPr>
          <w:sz w:val="22"/>
          <w:szCs w:val="22"/>
          <w:lang w:val="en-GB"/>
        </w:rPr>
        <w:t>BreadTalk’s</w:t>
      </w:r>
      <w:proofErr w:type="spellEnd"/>
      <w:r w:rsidRPr="00656696">
        <w:rPr>
          <w:sz w:val="22"/>
          <w:szCs w:val="22"/>
          <w:lang w:val="en-GB"/>
        </w:rPr>
        <w:t xml:space="preserve"> future. He was also eager to expand his company’s brand portfolio across Western markets. That goal, however, implied new challenges for managing global talent. As he was preparing for the opening of the new Din Tai Fung outlet in London, Quek met with his management team to brainstorm ideas for assembling the right team and talent pool for the new location. Quek emphasized the key challenges:</w:t>
      </w:r>
    </w:p>
    <w:p w14:paraId="21F35BFD" w14:textId="77777777" w:rsidR="00656696" w:rsidRPr="00656696" w:rsidRDefault="00656696" w:rsidP="00C43E0A">
      <w:pPr>
        <w:jc w:val="both"/>
        <w:rPr>
          <w:sz w:val="22"/>
          <w:szCs w:val="22"/>
          <w:lang w:val="en-GB"/>
        </w:rPr>
      </w:pPr>
    </w:p>
    <w:p w14:paraId="14298BE7" w14:textId="611C31D4" w:rsidR="00C43E0A" w:rsidRDefault="00C43E0A" w:rsidP="00C43E0A">
      <w:pPr>
        <w:ind w:left="720"/>
        <w:jc w:val="both"/>
        <w:rPr>
          <w:sz w:val="22"/>
          <w:szCs w:val="22"/>
          <w:lang w:val="en-GB"/>
        </w:rPr>
      </w:pPr>
      <w:r w:rsidRPr="00656696">
        <w:rPr>
          <w:sz w:val="22"/>
          <w:szCs w:val="22"/>
          <w:lang w:val="en-GB"/>
        </w:rPr>
        <w:t>As we extend our presence on the world map, the biggest risk is people. The markets change too quickly, which really require independent, flexible general managers. . . . In general, I choose people who are trustworthy, eager to learn, creative, and diligent. We will grow them.</w:t>
      </w:r>
    </w:p>
    <w:p w14:paraId="11B07825" w14:textId="77777777" w:rsidR="008202C5" w:rsidRPr="00656696" w:rsidRDefault="008202C5" w:rsidP="00C43E0A">
      <w:pPr>
        <w:ind w:left="720"/>
        <w:jc w:val="both"/>
        <w:rPr>
          <w:sz w:val="22"/>
          <w:szCs w:val="22"/>
          <w:lang w:val="en-GB"/>
        </w:rPr>
      </w:pPr>
    </w:p>
    <w:p w14:paraId="382A91DF" w14:textId="70DA7EBE" w:rsidR="00C43E0A" w:rsidRPr="00656696" w:rsidRDefault="00C43E0A" w:rsidP="00C43E0A">
      <w:pPr>
        <w:pStyle w:val="BodyTextMain"/>
        <w:rPr>
          <w:lang w:val="en-GB"/>
        </w:rPr>
      </w:pPr>
      <w:r w:rsidRPr="00656696">
        <w:rPr>
          <w:lang w:val="en-GB"/>
        </w:rPr>
        <w:t xml:space="preserve">Considering current talent management practices, Chan proposed building a global talent pool that included existing employees from headquarters and other operations, and sending a team of existing talent to London. Chu suggested leveraging local partner networks and resources to hire local people. He noted that the 4orth Food Concepts had successfully formed several JVs to bring new brands into overseas markets. Huang stressed the importance of putting in place successful processes and systems across territories, </w:t>
      </w:r>
      <w:r w:rsidR="00E421B6">
        <w:rPr>
          <w:lang w:val="en-GB"/>
        </w:rPr>
        <w:t>and</w:t>
      </w:r>
      <w:r w:rsidRPr="00656696">
        <w:rPr>
          <w:lang w:val="en-GB"/>
        </w:rPr>
        <w:t xml:space="preserve"> therefore suggested sending a reliable manager from headquarters to assemble local teams.</w:t>
      </w:r>
    </w:p>
    <w:p w14:paraId="542AE38A" w14:textId="77777777" w:rsidR="00C43E0A" w:rsidRPr="00656696" w:rsidRDefault="00C43E0A" w:rsidP="00C43E0A">
      <w:pPr>
        <w:pStyle w:val="BodyTextMain"/>
        <w:rPr>
          <w:lang w:val="en-GB"/>
        </w:rPr>
      </w:pPr>
    </w:p>
    <w:p w14:paraId="0D3761ED" w14:textId="0C61F4D3" w:rsidR="00C43E0A" w:rsidRPr="00656696" w:rsidRDefault="00C43E0A" w:rsidP="00656696">
      <w:pPr>
        <w:pStyle w:val="BodyTextMain"/>
      </w:pPr>
      <w:r w:rsidRPr="00656696">
        <w:rPr>
          <w:lang w:val="en-GB"/>
        </w:rPr>
        <w:t xml:space="preserve">With the different opinions </w:t>
      </w:r>
      <w:r w:rsidR="00E421B6">
        <w:rPr>
          <w:lang w:val="en-GB"/>
        </w:rPr>
        <w:t>shared</w:t>
      </w:r>
      <w:r w:rsidRPr="00656696">
        <w:rPr>
          <w:lang w:val="en-GB"/>
        </w:rPr>
        <w:t xml:space="preserve"> by his top management team, Quek needed to reach </w:t>
      </w:r>
      <w:r w:rsidR="00E421B6">
        <w:rPr>
          <w:lang w:val="en-GB"/>
        </w:rPr>
        <w:t xml:space="preserve">a </w:t>
      </w:r>
      <w:r w:rsidRPr="00656696">
        <w:rPr>
          <w:lang w:val="en-GB"/>
        </w:rPr>
        <w:t>consensus on the final decision. He also had to consider that his company’s workforce was relatively young and that digitalization was affecting business operation in key markets. A key factor was how t</w:t>
      </w:r>
      <w:r w:rsidRPr="00656696">
        <w:rPr>
          <w:lang w:val="en-GB" w:eastAsia="zh-CN"/>
        </w:rPr>
        <w:t>o</w:t>
      </w:r>
      <w:r w:rsidRPr="00656696">
        <w:rPr>
          <w:lang w:val="en-GB"/>
        </w:rPr>
        <w:t xml:space="preserve"> leverage technology for cross-continent talent management and innovation.</w:t>
      </w:r>
    </w:p>
    <w:p w14:paraId="2C183161" w14:textId="67BDC981" w:rsidR="00542CB6" w:rsidRPr="00CD5D09" w:rsidRDefault="00542CB6" w:rsidP="00542CB6">
      <w:pPr>
        <w:pStyle w:val="BodyTextMain"/>
        <w:rPr>
          <w:lang w:val="en-GB"/>
        </w:rPr>
      </w:pPr>
    </w:p>
    <w:p w14:paraId="65DB9632" w14:textId="77777777" w:rsidR="00542CB6" w:rsidRPr="00CD5D09" w:rsidRDefault="00542CB6">
      <w:pPr>
        <w:spacing w:after="200" w:line="276" w:lineRule="auto"/>
        <w:rPr>
          <w:sz w:val="22"/>
          <w:szCs w:val="22"/>
          <w:lang w:val="en-GB"/>
        </w:rPr>
      </w:pPr>
      <w:r w:rsidRPr="00CD5D09">
        <w:rPr>
          <w:lang w:val="en-GB"/>
        </w:rPr>
        <w:br w:type="page"/>
      </w:r>
    </w:p>
    <w:p w14:paraId="72586F78" w14:textId="75E14A4B" w:rsidR="00542CB6" w:rsidRPr="00CD5D09" w:rsidRDefault="00542CB6" w:rsidP="00542CB6">
      <w:pPr>
        <w:jc w:val="center"/>
        <w:rPr>
          <w:rFonts w:ascii="Arial" w:hAnsi="Arial" w:cs="Arial"/>
          <w:b/>
          <w:lang w:val="en-GB"/>
        </w:rPr>
      </w:pPr>
      <w:r w:rsidRPr="00CD5D09">
        <w:rPr>
          <w:rFonts w:ascii="Arial" w:hAnsi="Arial" w:cs="Arial"/>
          <w:b/>
          <w:lang w:val="en-GB"/>
        </w:rPr>
        <w:lastRenderedPageBreak/>
        <w:t xml:space="preserve">EXHIBIT 1: </w:t>
      </w:r>
      <w:r w:rsidR="003E396D">
        <w:rPr>
          <w:rFonts w:ascii="Arial" w:hAnsi="Arial" w:cs="Arial"/>
          <w:b/>
          <w:lang w:val="en-GB"/>
        </w:rPr>
        <w:t>BREADTALK</w:t>
      </w:r>
      <w:r w:rsidR="003E396D" w:rsidRPr="00CD5D09">
        <w:rPr>
          <w:rFonts w:ascii="Arial" w:hAnsi="Arial" w:cs="Arial"/>
          <w:b/>
          <w:lang w:val="en-GB"/>
        </w:rPr>
        <w:t xml:space="preserve"> </w:t>
      </w:r>
      <w:r w:rsidRPr="00CD5D09">
        <w:rPr>
          <w:rFonts w:ascii="Arial" w:hAnsi="Arial" w:cs="Arial"/>
          <w:b/>
          <w:lang w:val="en-GB"/>
        </w:rPr>
        <w:t>GROUP</w:t>
      </w:r>
      <w:r w:rsidR="00B0289F">
        <w:rPr>
          <w:rFonts w:ascii="Arial" w:hAnsi="Arial" w:cs="Arial"/>
          <w:b/>
          <w:lang w:val="en-GB"/>
        </w:rPr>
        <w:t xml:space="preserve"> </w:t>
      </w:r>
      <w:r w:rsidR="00D23A1B">
        <w:rPr>
          <w:rFonts w:ascii="Arial" w:hAnsi="Arial" w:cs="Arial"/>
          <w:b/>
          <w:lang w:val="en-GB"/>
        </w:rPr>
        <w:t>LIMITED</w:t>
      </w:r>
      <w:r w:rsidRPr="00CD5D09">
        <w:rPr>
          <w:rFonts w:ascii="Arial" w:hAnsi="Arial" w:cs="Arial"/>
          <w:b/>
          <w:lang w:val="en-GB"/>
        </w:rPr>
        <w:t xml:space="preserve"> FIVE-YEAR FINANCIALS</w:t>
      </w:r>
      <w:r w:rsidR="00EA48D8">
        <w:rPr>
          <w:rFonts w:ascii="Arial" w:hAnsi="Arial" w:cs="Arial"/>
          <w:b/>
          <w:lang w:val="en-GB"/>
        </w:rPr>
        <w:t xml:space="preserve"> (IN S$ THOUSAND)</w:t>
      </w:r>
    </w:p>
    <w:p w14:paraId="45B9340C" w14:textId="77777777" w:rsidR="00542CB6" w:rsidRPr="00CD5D09" w:rsidRDefault="00542CB6" w:rsidP="00542CB6">
      <w:pPr>
        <w:spacing w:before="1" w:after="1"/>
        <w:jc w:val="both"/>
        <w:rPr>
          <w:rFonts w:ascii="Arial" w:hAnsi="Arial" w:cs="Arial"/>
          <w:lang w:val="en-GB" w:eastAsia="zh-CN"/>
        </w:rPr>
      </w:pPr>
    </w:p>
    <w:tbl>
      <w:tblPr>
        <w:tblStyle w:val="TableGrid"/>
        <w:tblW w:w="9220" w:type="dxa"/>
        <w:jc w:val="center"/>
        <w:tblLayout w:type="fixed"/>
        <w:tblLook w:val="04A0" w:firstRow="1" w:lastRow="0" w:firstColumn="1" w:lastColumn="0" w:noHBand="0" w:noVBand="1"/>
      </w:tblPr>
      <w:tblGrid>
        <w:gridCol w:w="2274"/>
        <w:gridCol w:w="1389"/>
        <w:gridCol w:w="1389"/>
        <w:gridCol w:w="1389"/>
        <w:gridCol w:w="1389"/>
        <w:gridCol w:w="1390"/>
      </w:tblGrid>
      <w:tr w:rsidR="00542CB6" w:rsidRPr="00CD5D09" w14:paraId="3DA02121" w14:textId="77777777" w:rsidTr="00CD5D09">
        <w:trPr>
          <w:jc w:val="center"/>
        </w:trPr>
        <w:tc>
          <w:tcPr>
            <w:tcW w:w="2274" w:type="dxa"/>
            <w:vMerge w:val="restart"/>
            <w:vAlign w:val="bottom"/>
          </w:tcPr>
          <w:p w14:paraId="6D0E8819" w14:textId="5EEC2358" w:rsidR="00542CB6" w:rsidRPr="00CD5D09" w:rsidRDefault="00542CB6" w:rsidP="00CD5D09">
            <w:pPr>
              <w:spacing w:before="60" w:after="60"/>
              <w:rPr>
                <w:rFonts w:ascii="Arial" w:eastAsia="楷体" w:hAnsi="Arial" w:cs="Arial"/>
                <w:lang w:val="en-GB"/>
              </w:rPr>
            </w:pPr>
          </w:p>
        </w:tc>
        <w:tc>
          <w:tcPr>
            <w:tcW w:w="6946" w:type="dxa"/>
            <w:gridSpan w:val="5"/>
            <w:vAlign w:val="center"/>
          </w:tcPr>
          <w:p w14:paraId="61881BD2" w14:textId="77777777" w:rsidR="00542CB6" w:rsidRPr="00CD5D09" w:rsidRDefault="00542CB6" w:rsidP="00CD5D09">
            <w:pPr>
              <w:spacing w:before="60" w:after="60"/>
              <w:jc w:val="center"/>
              <w:rPr>
                <w:rFonts w:ascii="Arial" w:eastAsia="楷体" w:hAnsi="Arial" w:cs="Arial"/>
                <w:lang w:val="en-GB"/>
              </w:rPr>
            </w:pPr>
            <w:r w:rsidRPr="00CD5D09">
              <w:rPr>
                <w:rFonts w:ascii="Arial" w:eastAsia="楷体" w:hAnsi="Arial" w:cs="Arial"/>
                <w:lang w:val="en-GB"/>
              </w:rPr>
              <w:t>Financial Year Ending December 31</w:t>
            </w:r>
          </w:p>
        </w:tc>
      </w:tr>
      <w:tr w:rsidR="00542CB6" w:rsidRPr="00CD5D09" w14:paraId="1A127E02" w14:textId="77777777" w:rsidTr="00CD5D09">
        <w:trPr>
          <w:jc w:val="center"/>
        </w:trPr>
        <w:tc>
          <w:tcPr>
            <w:tcW w:w="2274" w:type="dxa"/>
            <w:vMerge/>
          </w:tcPr>
          <w:p w14:paraId="4323C0A9" w14:textId="77777777" w:rsidR="00542CB6" w:rsidRPr="00CD5D09" w:rsidRDefault="00542CB6" w:rsidP="00CD5D09">
            <w:pPr>
              <w:spacing w:before="60" w:after="60"/>
              <w:rPr>
                <w:rFonts w:ascii="Arial" w:eastAsia="STSong" w:hAnsi="Arial" w:cs="Arial"/>
                <w:lang w:val="en-GB"/>
              </w:rPr>
            </w:pPr>
          </w:p>
        </w:tc>
        <w:tc>
          <w:tcPr>
            <w:tcW w:w="1389" w:type="dxa"/>
          </w:tcPr>
          <w:p w14:paraId="4DA2ECC9" w14:textId="77777777" w:rsidR="00542CB6" w:rsidRPr="00CD5D09" w:rsidRDefault="00542CB6" w:rsidP="00CD5D09">
            <w:pPr>
              <w:spacing w:before="60" w:after="60"/>
              <w:jc w:val="center"/>
              <w:rPr>
                <w:rFonts w:ascii="Arial" w:eastAsia="楷体" w:hAnsi="Arial" w:cs="Arial"/>
                <w:b/>
                <w:lang w:val="en-GB"/>
              </w:rPr>
            </w:pPr>
            <w:r w:rsidRPr="00CD5D09">
              <w:rPr>
                <w:rFonts w:ascii="Arial" w:eastAsia="楷体" w:hAnsi="Arial" w:cs="Arial"/>
                <w:b/>
                <w:lang w:val="en-GB"/>
              </w:rPr>
              <w:t>2013</w:t>
            </w:r>
          </w:p>
        </w:tc>
        <w:tc>
          <w:tcPr>
            <w:tcW w:w="1389" w:type="dxa"/>
          </w:tcPr>
          <w:p w14:paraId="7E62A93E" w14:textId="77777777" w:rsidR="00542CB6" w:rsidRPr="00CD5D09" w:rsidRDefault="00542CB6" w:rsidP="00CD5D09">
            <w:pPr>
              <w:spacing w:before="60" w:after="60"/>
              <w:jc w:val="center"/>
              <w:rPr>
                <w:rFonts w:ascii="Arial" w:eastAsia="楷体" w:hAnsi="Arial" w:cs="Arial"/>
                <w:b/>
                <w:lang w:val="en-GB"/>
              </w:rPr>
            </w:pPr>
            <w:r w:rsidRPr="00CD5D09">
              <w:rPr>
                <w:rFonts w:ascii="Arial" w:eastAsia="楷体" w:hAnsi="Arial" w:cs="Arial"/>
                <w:b/>
                <w:lang w:val="en-GB"/>
              </w:rPr>
              <w:t>2014</w:t>
            </w:r>
          </w:p>
        </w:tc>
        <w:tc>
          <w:tcPr>
            <w:tcW w:w="1389" w:type="dxa"/>
          </w:tcPr>
          <w:p w14:paraId="2A03A1A4" w14:textId="77777777" w:rsidR="00542CB6" w:rsidRPr="00CD5D09" w:rsidRDefault="00542CB6" w:rsidP="00CD5D09">
            <w:pPr>
              <w:spacing w:before="60" w:after="60"/>
              <w:jc w:val="center"/>
              <w:rPr>
                <w:rFonts w:ascii="Arial" w:eastAsia="楷体" w:hAnsi="Arial" w:cs="Arial"/>
                <w:b/>
                <w:lang w:val="en-GB"/>
              </w:rPr>
            </w:pPr>
            <w:r w:rsidRPr="00CD5D09">
              <w:rPr>
                <w:rFonts w:ascii="Arial" w:eastAsia="楷体" w:hAnsi="Arial" w:cs="Arial"/>
                <w:b/>
                <w:lang w:val="en-GB"/>
              </w:rPr>
              <w:t>2015</w:t>
            </w:r>
          </w:p>
        </w:tc>
        <w:tc>
          <w:tcPr>
            <w:tcW w:w="1389" w:type="dxa"/>
          </w:tcPr>
          <w:p w14:paraId="685CDCA1" w14:textId="77777777" w:rsidR="00542CB6" w:rsidRPr="00CD5D09" w:rsidRDefault="00542CB6" w:rsidP="00CD5D09">
            <w:pPr>
              <w:spacing w:before="60" w:after="60"/>
              <w:jc w:val="center"/>
              <w:rPr>
                <w:rFonts w:ascii="Arial" w:eastAsia="楷体" w:hAnsi="Arial" w:cs="Arial"/>
                <w:b/>
                <w:lang w:val="en-GB"/>
              </w:rPr>
            </w:pPr>
            <w:r w:rsidRPr="00CD5D09">
              <w:rPr>
                <w:rFonts w:ascii="Arial" w:eastAsia="楷体" w:hAnsi="Arial" w:cs="Arial"/>
                <w:b/>
                <w:lang w:val="en-GB"/>
              </w:rPr>
              <w:t>2016</w:t>
            </w:r>
          </w:p>
        </w:tc>
        <w:tc>
          <w:tcPr>
            <w:tcW w:w="1390" w:type="dxa"/>
          </w:tcPr>
          <w:p w14:paraId="4D88F457" w14:textId="77777777" w:rsidR="00542CB6" w:rsidRPr="00CD5D09" w:rsidRDefault="00542CB6" w:rsidP="00CD5D09">
            <w:pPr>
              <w:spacing w:before="60" w:after="60"/>
              <w:jc w:val="center"/>
              <w:rPr>
                <w:rFonts w:ascii="Arial" w:eastAsia="楷体" w:hAnsi="Arial" w:cs="Arial"/>
                <w:b/>
                <w:lang w:val="en-GB"/>
              </w:rPr>
            </w:pPr>
            <w:r w:rsidRPr="00CD5D09">
              <w:rPr>
                <w:rFonts w:ascii="Arial" w:eastAsia="楷体" w:hAnsi="Arial" w:cs="Arial"/>
                <w:b/>
                <w:lang w:val="en-GB"/>
              </w:rPr>
              <w:t>2017</w:t>
            </w:r>
          </w:p>
        </w:tc>
      </w:tr>
      <w:tr w:rsidR="00542CB6" w:rsidRPr="00CD5D09" w14:paraId="4528BBAB" w14:textId="77777777" w:rsidTr="00CD5D09">
        <w:trPr>
          <w:jc w:val="center"/>
        </w:trPr>
        <w:tc>
          <w:tcPr>
            <w:tcW w:w="2274" w:type="dxa"/>
          </w:tcPr>
          <w:p w14:paraId="5278C261" w14:textId="549C9BF1" w:rsidR="00542CB6" w:rsidRPr="00CD5D09" w:rsidRDefault="00542CB6" w:rsidP="00CD5D09">
            <w:pPr>
              <w:spacing w:before="60" w:after="60"/>
              <w:rPr>
                <w:rFonts w:ascii="Arial" w:eastAsia="楷体" w:hAnsi="Arial" w:cs="Arial"/>
                <w:b/>
                <w:lang w:val="en-GB"/>
              </w:rPr>
            </w:pPr>
            <w:r w:rsidRPr="00CD5D09">
              <w:rPr>
                <w:rFonts w:ascii="Arial" w:eastAsia="楷体" w:hAnsi="Arial" w:cs="Arial"/>
                <w:b/>
                <w:lang w:val="en-GB"/>
              </w:rPr>
              <w:t>Group</w:t>
            </w:r>
            <w:r w:rsidR="00D23A1B">
              <w:rPr>
                <w:rFonts w:ascii="Arial" w:eastAsia="楷体" w:hAnsi="Arial" w:cs="Arial"/>
                <w:b/>
                <w:lang w:val="en-GB"/>
              </w:rPr>
              <w:t xml:space="preserve"> </w:t>
            </w:r>
            <w:r w:rsidRPr="00CD5D09">
              <w:rPr>
                <w:rFonts w:ascii="Arial" w:eastAsia="楷体" w:hAnsi="Arial" w:cs="Arial"/>
                <w:b/>
                <w:lang w:val="en-GB"/>
              </w:rPr>
              <w:t>Revenue</w:t>
            </w:r>
          </w:p>
        </w:tc>
        <w:tc>
          <w:tcPr>
            <w:tcW w:w="1389" w:type="dxa"/>
          </w:tcPr>
          <w:p w14:paraId="7DC5F128" w14:textId="77777777" w:rsidR="00542CB6" w:rsidRPr="00CD5D09" w:rsidRDefault="00542CB6" w:rsidP="00CD5D09">
            <w:pPr>
              <w:spacing w:before="60" w:after="60"/>
              <w:jc w:val="right"/>
              <w:rPr>
                <w:rFonts w:ascii="Arial" w:eastAsia="楷体" w:hAnsi="Arial" w:cs="Arial"/>
                <w:lang w:val="en-GB"/>
              </w:rPr>
            </w:pPr>
            <w:r w:rsidRPr="00CD5D09">
              <w:rPr>
                <w:rFonts w:ascii="Arial" w:eastAsia="楷体" w:hAnsi="Arial" w:cs="Arial"/>
                <w:lang w:val="en-GB"/>
              </w:rPr>
              <w:t>536,530</w:t>
            </w:r>
          </w:p>
        </w:tc>
        <w:tc>
          <w:tcPr>
            <w:tcW w:w="1389" w:type="dxa"/>
          </w:tcPr>
          <w:p w14:paraId="2DC17748" w14:textId="77777777" w:rsidR="00542CB6" w:rsidRPr="00CD5D09" w:rsidRDefault="00542CB6" w:rsidP="00CD5D09">
            <w:pPr>
              <w:spacing w:before="60" w:after="60"/>
              <w:jc w:val="right"/>
              <w:rPr>
                <w:rFonts w:ascii="Arial" w:eastAsia="楷体" w:hAnsi="Arial" w:cs="Arial"/>
                <w:lang w:val="en-GB"/>
              </w:rPr>
            </w:pPr>
            <w:r w:rsidRPr="00CD5D09">
              <w:rPr>
                <w:rFonts w:ascii="Arial" w:eastAsia="楷体" w:hAnsi="Arial" w:cs="Arial"/>
                <w:lang w:val="en-GB"/>
              </w:rPr>
              <w:t>589,644</w:t>
            </w:r>
          </w:p>
        </w:tc>
        <w:tc>
          <w:tcPr>
            <w:tcW w:w="1389" w:type="dxa"/>
          </w:tcPr>
          <w:p w14:paraId="7209C06C" w14:textId="77777777" w:rsidR="00542CB6" w:rsidRPr="00CD5D09" w:rsidRDefault="00542CB6" w:rsidP="00CD5D09">
            <w:pPr>
              <w:spacing w:before="60" w:after="60"/>
              <w:jc w:val="right"/>
              <w:rPr>
                <w:rFonts w:ascii="Arial" w:eastAsia="楷体" w:hAnsi="Arial" w:cs="Arial"/>
                <w:lang w:val="en-GB"/>
              </w:rPr>
            </w:pPr>
            <w:r w:rsidRPr="00CD5D09">
              <w:rPr>
                <w:rFonts w:ascii="Arial" w:eastAsia="楷体" w:hAnsi="Arial" w:cs="Arial"/>
                <w:lang w:val="en-GB"/>
              </w:rPr>
              <w:t>624,149</w:t>
            </w:r>
          </w:p>
        </w:tc>
        <w:tc>
          <w:tcPr>
            <w:tcW w:w="1389" w:type="dxa"/>
          </w:tcPr>
          <w:p w14:paraId="7B27E312" w14:textId="77777777" w:rsidR="00542CB6" w:rsidRPr="00CD5D09" w:rsidRDefault="00542CB6" w:rsidP="00CD5D09">
            <w:pPr>
              <w:spacing w:before="60" w:after="60"/>
              <w:jc w:val="right"/>
              <w:rPr>
                <w:rFonts w:ascii="Arial" w:eastAsia="楷体" w:hAnsi="Arial" w:cs="Arial"/>
                <w:lang w:val="en-GB"/>
              </w:rPr>
            </w:pPr>
            <w:r w:rsidRPr="00CD5D09">
              <w:rPr>
                <w:rFonts w:ascii="Arial" w:eastAsia="楷体" w:hAnsi="Arial" w:cs="Arial"/>
                <w:lang w:val="en-GB"/>
              </w:rPr>
              <w:t>614,995</w:t>
            </w:r>
          </w:p>
        </w:tc>
        <w:tc>
          <w:tcPr>
            <w:tcW w:w="1390" w:type="dxa"/>
          </w:tcPr>
          <w:p w14:paraId="443F22D9" w14:textId="77777777" w:rsidR="00542CB6" w:rsidRPr="00CD5D09" w:rsidRDefault="00542CB6" w:rsidP="00CD5D09">
            <w:pPr>
              <w:spacing w:before="60" w:after="60"/>
              <w:jc w:val="right"/>
              <w:rPr>
                <w:rFonts w:ascii="Arial" w:eastAsia="楷体" w:hAnsi="Arial" w:cs="Arial"/>
                <w:lang w:val="en-GB"/>
              </w:rPr>
            </w:pPr>
            <w:r w:rsidRPr="00CD5D09">
              <w:rPr>
                <w:rFonts w:ascii="Arial" w:eastAsia="楷体" w:hAnsi="Arial" w:cs="Arial"/>
                <w:lang w:val="en-GB"/>
              </w:rPr>
              <w:t>599,747</w:t>
            </w:r>
          </w:p>
        </w:tc>
      </w:tr>
      <w:tr w:rsidR="00542CB6" w:rsidRPr="00CD5D09" w14:paraId="33B76C71" w14:textId="77777777" w:rsidTr="00CD5D09">
        <w:trPr>
          <w:jc w:val="center"/>
        </w:trPr>
        <w:tc>
          <w:tcPr>
            <w:tcW w:w="2274" w:type="dxa"/>
          </w:tcPr>
          <w:p w14:paraId="46B46AFC" w14:textId="77777777" w:rsidR="00542CB6" w:rsidRPr="00CD5D09" w:rsidRDefault="00542CB6" w:rsidP="00CD5D09">
            <w:pPr>
              <w:spacing w:before="60" w:after="60"/>
              <w:rPr>
                <w:rFonts w:ascii="Arial" w:eastAsia="楷体" w:hAnsi="Arial" w:cs="Arial"/>
                <w:i/>
                <w:lang w:val="en-GB"/>
              </w:rPr>
            </w:pPr>
            <w:r w:rsidRPr="00CD5D09">
              <w:rPr>
                <w:rFonts w:ascii="Arial" w:eastAsia="楷体" w:hAnsi="Arial" w:cs="Arial"/>
                <w:i/>
                <w:lang w:val="en-GB"/>
              </w:rPr>
              <w:t>Change over last year</w:t>
            </w:r>
          </w:p>
        </w:tc>
        <w:tc>
          <w:tcPr>
            <w:tcW w:w="1389" w:type="dxa"/>
          </w:tcPr>
          <w:p w14:paraId="1279138D" w14:textId="77777777" w:rsidR="00542CB6" w:rsidRPr="00CD5D09" w:rsidRDefault="00542CB6" w:rsidP="00CD5D09">
            <w:pPr>
              <w:spacing w:before="60" w:after="60"/>
              <w:jc w:val="right"/>
              <w:rPr>
                <w:rFonts w:ascii="Arial" w:eastAsia="楷体" w:hAnsi="Arial" w:cs="Arial"/>
                <w:i/>
                <w:lang w:val="en-GB"/>
              </w:rPr>
            </w:pPr>
          </w:p>
        </w:tc>
        <w:tc>
          <w:tcPr>
            <w:tcW w:w="1389" w:type="dxa"/>
          </w:tcPr>
          <w:p w14:paraId="49EFBF12" w14:textId="77777777" w:rsidR="00542CB6" w:rsidRPr="00CD5D09" w:rsidRDefault="00542CB6" w:rsidP="00CD5D09">
            <w:pPr>
              <w:spacing w:before="60" w:after="60"/>
              <w:jc w:val="right"/>
              <w:rPr>
                <w:rFonts w:ascii="Arial" w:eastAsia="楷体" w:hAnsi="Arial" w:cs="Arial"/>
                <w:i/>
                <w:lang w:val="en-GB"/>
              </w:rPr>
            </w:pPr>
            <w:r w:rsidRPr="00CD5D09">
              <w:rPr>
                <w:rFonts w:ascii="Arial" w:eastAsia="楷体" w:hAnsi="Arial" w:cs="Arial"/>
                <w:i/>
                <w:lang w:val="en-GB"/>
              </w:rPr>
              <w:t>+9.9%</w:t>
            </w:r>
          </w:p>
        </w:tc>
        <w:tc>
          <w:tcPr>
            <w:tcW w:w="1389" w:type="dxa"/>
          </w:tcPr>
          <w:p w14:paraId="0D81EDE2" w14:textId="77777777" w:rsidR="00542CB6" w:rsidRPr="00CD5D09" w:rsidRDefault="00542CB6" w:rsidP="00CD5D09">
            <w:pPr>
              <w:spacing w:before="60" w:after="60"/>
              <w:jc w:val="right"/>
              <w:rPr>
                <w:rFonts w:ascii="Arial" w:eastAsia="楷体" w:hAnsi="Arial" w:cs="Arial"/>
                <w:i/>
                <w:lang w:val="en-GB"/>
              </w:rPr>
            </w:pPr>
            <w:r w:rsidRPr="00CD5D09">
              <w:rPr>
                <w:rFonts w:ascii="Arial" w:eastAsia="楷体" w:hAnsi="Arial" w:cs="Arial"/>
                <w:i/>
                <w:lang w:val="en-GB"/>
              </w:rPr>
              <w:t>+5.9%</w:t>
            </w:r>
          </w:p>
        </w:tc>
        <w:tc>
          <w:tcPr>
            <w:tcW w:w="1389" w:type="dxa"/>
          </w:tcPr>
          <w:p w14:paraId="4C8FB07F" w14:textId="77777777" w:rsidR="00542CB6" w:rsidRPr="00CD5D09" w:rsidRDefault="00542CB6" w:rsidP="00CD5D09">
            <w:pPr>
              <w:spacing w:before="60" w:after="60"/>
              <w:jc w:val="right"/>
              <w:rPr>
                <w:rFonts w:ascii="Arial" w:eastAsia="楷体" w:hAnsi="Arial" w:cs="Arial"/>
                <w:i/>
                <w:lang w:val="en-GB"/>
              </w:rPr>
            </w:pPr>
            <w:r w:rsidRPr="00CD5D09">
              <w:rPr>
                <w:rFonts w:ascii="Arial" w:eastAsia="楷体" w:hAnsi="Arial" w:cs="Arial"/>
                <w:i/>
                <w:lang w:val="en-GB"/>
              </w:rPr>
              <w:t>(1.5%)</w:t>
            </w:r>
          </w:p>
        </w:tc>
        <w:tc>
          <w:tcPr>
            <w:tcW w:w="1390" w:type="dxa"/>
          </w:tcPr>
          <w:p w14:paraId="3F72D739" w14:textId="77777777" w:rsidR="00542CB6" w:rsidRPr="00CD5D09" w:rsidRDefault="00542CB6" w:rsidP="00CD5D09">
            <w:pPr>
              <w:spacing w:before="60" w:after="60"/>
              <w:jc w:val="right"/>
              <w:rPr>
                <w:rFonts w:ascii="Arial" w:eastAsia="楷体" w:hAnsi="Arial" w:cs="Arial"/>
                <w:i/>
                <w:lang w:val="en-GB"/>
              </w:rPr>
            </w:pPr>
            <w:r w:rsidRPr="00CD5D09">
              <w:rPr>
                <w:rFonts w:ascii="Arial" w:eastAsia="楷体" w:hAnsi="Arial" w:cs="Arial"/>
                <w:i/>
                <w:lang w:val="en-GB"/>
              </w:rPr>
              <w:t>(2.5%)</w:t>
            </w:r>
          </w:p>
        </w:tc>
      </w:tr>
      <w:tr w:rsidR="00542CB6" w:rsidRPr="00CD5D09" w14:paraId="776293AC" w14:textId="77777777" w:rsidTr="00CD5D09">
        <w:trPr>
          <w:jc w:val="center"/>
        </w:trPr>
        <w:tc>
          <w:tcPr>
            <w:tcW w:w="9220" w:type="dxa"/>
            <w:gridSpan w:val="6"/>
          </w:tcPr>
          <w:p w14:paraId="1EC7F083" w14:textId="77777777" w:rsidR="00542CB6" w:rsidRPr="00CD5D09" w:rsidRDefault="00542CB6" w:rsidP="00CD5D09">
            <w:pPr>
              <w:spacing w:before="60" w:after="60"/>
              <w:jc w:val="right"/>
              <w:rPr>
                <w:rFonts w:ascii="Arial" w:eastAsia="楷体" w:hAnsi="Arial" w:cs="Arial"/>
                <w:lang w:val="en-GB"/>
              </w:rPr>
            </w:pPr>
          </w:p>
        </w:tc>
      </w:tr>
      <w:tr w:rsidR="00542CB6" w:rsidRPr="00CD5D09" w14:paraId="42F21174" w14:textId="77777777" w:rsidTr="00CD5D09">
        <w:trPr>
          <w:jc w:val="center"/>
        </w:trPr>
        <w:tc>
          <w:tcPr>
            <w:tcW w:w="2274" w:type="dxa"/>
          </w:tcPr>
          <w:p w14:paraId="1BC835A2" w14:textId="2E24CB6B" w:rsidR="00542CB6" w:rsidRPr="00CD5D09" w:rsidRDefault="00542CB6" w:rsidP="00CD5D09">
            <w:pPr>
              <w:spacing w:before="60" w:after="60"/>
              <w:rPr>
                <w:rFonts w:ascii="Arial" w:eastAsia="楷体" w:hAnsi="Arial" w:cs="Arial"/>
                <w:b/>
                <w:lang w:val="en-GB"/>
              </w:rPr>
            </w:pPr>
            <w:r w:rsidRPr="00CD5D09">
              <w:rPr>
                <w:rFonts w:ascii="Arial" w:eastAsia="楷体" w:hAnsi="Arial" w:cs="Arial"/>
                <w:b/>
                <w:lang w:val="en-GB"/>
              </w:rPr>
              <w:t>Group EBITDA</w:t>
            </w:r>
          </w:p>
        </w:tc>
        <w:tc>
          <w:tcPr>
            <w:tcW w:w="1389" w:type="dxa"/>
          </w:tcPr>
          <w:p w14:paraId="6ABE3CF9" w14:textId="77777777" w:rsidR="00542CB6" w:rsidRPr="00CD5D09" w:rsidRDefault="00542CB6" w:rsidP="00CD5D09">
            <w:pPr>
              <w:spacing w:before="60" w:after="60"/>
              <w:jc w:val="right"/>
              <w:rPr>
                <w:rFonts w:ascii="Arial" w:eastAsia="楷体" w:hAnsi="Arial" w:cs="Arial"/>
                <w:lang w:val="en-GB"/>
              </w:rPr>
            </w:pPr>
            <w:r w:rsidRPr="00CD5D09">
              <w:rPr>
                <w:rFonts w:ascii="Arial" w:eastAsia="楷体" w:hAnsi="Arial" w:cs="Arial"/>
                <w:lang w:val="en-GB"/>
              </w:rPr>
              <w:t>62,261</w:t>
            </w:r>
          </w:p>
        </w:tc>
        <w:tc>
          <w:tcPr>
            <w:tcW w:w="1389" w:type="dxa"/>
          </w:tcPr>
          <w:p w14:paraId="1F361458" w14:textId="77777777" w:rsidR="00542CB6" w:rsidRPr="00CD5D09" w:rsidRDefault="00542CB6" w:rsidP="00CD5D09">
            <w:pPr>
              <w:spacing w:before="60" w:after="60"/>
              <w:jc w:val="right"/>
              <w:rPr>
                <w:rFonts w:ascii="Arial" w:eastAsia="楷体" w:hAnsi="Arial" w:cs="Arial"/>
                <w:lang w:val="en-GB"/>
              </w:rPr>
            </w:pPr>
            <w:r w:rsidRPr="00CD5D09">
              <w:rPr>
                <w:rFonts w:ascii="Arial" w:eastAsia="楷体" w:hAnsi="Arial" w:cs="Arial"/>
                <w:lang w:val="en-GB"/>
              </w:rPr>
              <w:t>70,905</w:t>
            </w:r>
          </w:p>
        </w:tc>
        <w:tc>
          <w:tcPr>
            <w:tcW w:w="1389" w:type="dxa"/>
          </w:tcPr>
          <w:p w14:paraId="78B73F6B" w14:textId="77777777" w:rsidR="00542CB6" w:rsidRPr="00CD5D09" w:rsidRDefault="00542CB6" w:rsidP="00CD5D09">
            <w:pPr>
              <w:spacing w:before="60" w:after="60"/>
              <w:jc w:val="right"/>
              <w:rPr>
                <w:rFonts w:ascii="Arial" w:eastAsia="楷体" w:hAnsi="Arial" w:cs="Arial"/>
                <w:lang w:val="en-GB"/>
              </w:rPr>
            </w:pPr>
            <w:r w:rsidRPr="00CD5D09">
              <w:rPr>
                <w:rFonts w:ascii="Arial" w:eastAsia="楷体" w:hAnsi="Arial" w:cs="Arial"/>
                <w:lang w:val="en-GB"/>
              </w:rPr>
              <w:t>77,582</w:t>
            </w:r>
          </w:p>
        </w:tc>
        <w:tc>
          <w:tcPr>
            <w:tcW w:w="1389" w:type="dxa"/>
          </w:tcPr>
          <w:p w14:paraId="2908E8B4" w14:textId="77777777" w:rsidR="00542CB6" w:rsidRPr="00CD5D09" w:rsidRDefault="00542CB6" w:rsidP="00CD5D09">
            <w:pPr>
              <w:spacing w:before="60" w:after="60"/>
              <w:jc w:val="right"/>
              <w:rPr>
                <w:rFonts w:ascii="Arial" w:eastAsia="楷体" w:hAnsi="Arial" w:cs="Arial"/>
                <w:lang w:val="en-GB"/>
              </w:rPr>
            </w:pPr>
            <w:r w:rsidRPr="00CD5D09">
              <w:rPr>
                <w:rFonts w:ascii="Arial" w:eastAsia="楷体" w:hAnsi="Arial" w:cs="Arial"/>
                <w:lang w:val="en-GB"/>
              </w:rPr>
              <w:t>87,517</w:t>
            </w:r>
          </w:p>
        </w:tc>
        <w:tc>
          <w:tcPr>
            <w:tcW w:w="1390" w:type="dxa"/>
          </w:tcPr>
          <w:p w14:paraId="55D40C8B" w14:textId="77777777" w:rsidR="00542CB6" w:rsidRPr="00CD5D09" w:rsidRDefault="00542CB6" w:rsidP="00CD5D09">
            <w:pPr>
              <w:spacing w:before="60" w:after="60"/>
              <w:jc w:val="right"/>
              <w:rPr>
                <w:rFonts w:ascii="Arial" w:eastAsia="楷体" w:hAnsi="Arial" w:cs="Arial"/>
                <w:lang w:val="en-GB"/>
              </w:rPr>
            </w:pPr>
            <w:r w:rsidRPr="00CD5D09">
              <w:rPr>
                <w:rFonts w:ascii="Arial" w:eastAsia="楷体" w:hAnsi="Arial" w:cs="Arial"/>
                <w:lang w:val="en-GB"/>
              </w:rPr>
              <w:t>84,418</w:t>
            </w:r>
          </w:p>
        </w:tc>
      </w:tr>
      <w:tr w:rsidR="00542CB6" w:rsidRPr="00CD5D09" w14:paraId="583F3473" w14:textId="77777777" w:rsidTr="00CD5D09">
        <w:trPr>
          <w:jc w:val="center"/>
        </w:trPr>
        <w:tc>
          <w:tcPr>
            <w:tcW w:w="2274" w:type="dxa"/>
          </w:tcPr>
          <w:p w14:paraId="5B946AA0" w14:textId="77777777" w:rsidR="00542CB6" w:rsidRPr="00CD5D09" w:rsidRDefault="00542CB6" w:rsidP="00CD5D09">
            <w:pPr>
              <w:spacing w:before="60" w:after="60"/>
              <w:rPr>
                <w:rFonts w:ascii="Arial" w:eastAsia="楷体" w:hAnsi="Arial" w:cs="Arial"/>
                <w:b/>
                <w:lang w:val="en-GB"/>
              </w:rPr>
            </w:pPr>
            <w:r w:rsidRPr="00CD5D09">
              <w:rPr>
                <w:rFonts w:ascii="Arial" w:eastAsia="楷体" w:hAnsi="Arial" w:cs="Arial"/>
                <w:i/>
                <w:lang w:val="en-GB"/>
              </w:rPr>
              <w:t>Change over last year</w:t>
            </w:r>
          </w:p>
        </w:tc>
        <w:tc>
          <w:tcPr>
            <w:tcW w:w="1389" w:type="dxa"/>
          </w:tcPr>
          <w:p w14:paraId="67CB7402" w14:textId="77777777" w:rsidR="00542CB6" w:rsidRPr="00CD5D09" w:rsidRDefault="00542CB6" w:rsidP="00CD5D09">
            <w:pPr>
              <w:spacing w:before="60" w:after="60"/>
              <w:jc w:val="right"/>
              <w:rPr>
                <w:rFonts w:ascii="Arial" w:eastAsia="楷体" w:hAnsi="Arial" w:cs="Arial"/>
                <w:i/>
                <w:lang w:val="en-GB"/>
              </w:rPr>
            </w:pPr>
          </w:p>
        </w:tc>
        <w:tc>
          <w:tcPr>
            <w:tcW w:w="1389" w:type="dxa"/>
          </w:tcPr>
          <w:p w14:paraId="032E628C" w14:textId="77777777" w:rsidR="00542CB6" w:rsidRPr="00CD5D09" w:rsidRDefault="00542CB6" w:rsidP="00CD5D09">
            <w:pPr>
              <w:spacing w:before="60" w:after="60"/>
              <w:jc w:val="right"/>
              <w:rPr>
                <w:rFonts w:ascii="Arial" w:eastAsia="楷体" w:hAnsi="Arial" w:cs="Arial"/>
                <w:i/>
                <w:lang w:val="en-GB"/>
              </w:rPr>
            </w:pPr>
            <w:r w:rsidRPr="00CD5D09">
              <w:rPr>
                <w:rFonts w:ascii="Arial" w:eastAsia="楷体" w:hAnsi="Arial" w:cs="Arial"/>
                <w:i/>
                <w:lang w:val="en-GB"/>
              </w:rPr>
              <w:t>+13.9%</w:t>
            </w:r>
          </w:p>
        </w:tc>
        <w:tc>
          <w:tcPr>
            <w:tcW w:w="1389" w:type="dxa"/>
          </w:tcPr>
          <w:p w14:paraId="258744F7" w14:textId="77777777" w:rsidR="00542CB6" w:rsidRPr="00CD5D09" w:rsidRDefault="00542CB6" w:rsidP="00CD5D09">
            <w:pPr>
              <w:spacing w:before="60" w:after="60"/>
              <w:jc w:val="right"/>
              <w:rPr>
                <w:rFonts w:ascii="Arial" w:eastAsia="楷体" w:hAnsi="Arial" w:cs="Arial"/>
                <w:i/>
                <w:lang w:val="en-GB"/>
              </w:rPr>
            </w:pPr>
            <w:r w:rsidRPr="00CD5D09">
              <w:rPr>
                <w:rFonts w:ascii="Arial" w:eastAsia="楷体" w:hAnsi="Arial" w:cs="Arial"/>
                <w:i/>
                <w:lang w:val="en-GB"/>
              </w:rPr>
              <w:t>+9.4%</w:t>
            </w:r>
          </w:p>
        </w:tc>
        <w:tc>
          <w:tcPr>
            <w:tcW w:w="1389" w:type="dxa"/>
          </w:tcPr>
          <w:p w14:paraId="516D82BC" w14:textId="77777777" w:rsidR="00542CB6" w:rsidRPr="00CD5D09" w:rsidRDefault="00542CB6" w:rsidP="00CD5D09">
            <w:pPr>
              <w:spacing w:before="60" w:after="60"/>
              <w:jc w:val="right"/>
              <w:rPr>
                <w:rFonts w:ascii="Arial" w:eastAsia="楷体" w:hAnsi="Arial" w:cs="Arial"/>
                <w:i/>
                <w:lang w:val="en-GB"/>
              </w:rPr>
            </w:pPr>
            <w:r w:rsidRPr="00CD5D09">
              <w:rPr>
                <w:rFonts w:ascii="Arial" w:eastAsia="楷体" w:hAnsi="Arial" w:cs="Arial"/>
                <w:i/>
                <w:lang w:val="en-GB"/>
              </w:rPr>
              <w:t>+12.8%</w:t>
            </w:r>
          </w:p>
        </w:tc>
        <w:tc>
          <w:tcPr>
            <w:tcW w:w="1390" w:type="dxa"/>
          </w:tcPr>
          <w:p w14:paraId="713D5051" w14:textId="77777777" w:rsidR="00542CB6" w:rsidRPr="00CD5D09" w:rsidRDefault="00542CB6" w:rsidP="00CD5D09">
            <w:pPr>
              <w:spacing w:before="60" w:after="60"/>
              <w:jc w:val="right"/>
              <w:rPr>
                <w:rFonts w:ascii="Arial" w:eastAsia="楷体" w:hAnsi="Arial" w:cs="Arial"/>
                <w:i/>
                <w:lang w:val="en-GB"/>
              </w:rPr>
            </w:pPr>
            <w:r w:rsidRPr="00CD5D09">
              <w:rPr>
                <w:rFonts w:ascii="Arial" w:eastAsia="楷体" w:hAnsi="Arial" w:cs="Arial"/>
                <w:i/>
                <w:lang w:val="en-GB"/>
              </w:rPr>
              <w:t>(3.5%)</w:t>
            </w:r>
          </w:p>
        </w:tc>
      </w:tr>
      <w:tr w:rsidR="00542CB6" w:rsidRPr="00CD5D09" w14:paraId="61640713" w14:textId="77777777" w:rsidTr="00CD5D09">
        <w:trPr>
          <w:jc w:val="center"/>
        </w:trPr>
        <w:tc>
          <w:tcPr>
            <w:tcW w:w="2274" w:type="dxa"/>
          </w:tcPr>
          <w:p w14:paraId="0BCC17E4" w14:textId="2414C9CD" w:rsidR="00542CB6" w:rsidRPr="00CD5D09" w:rsidRDefault="00542CB6" w:rsidP="00CD5D09">
            <w:pPr>
              <w:spacing w:before="60" w:after="60"/>
              <w:rPr>
                <w:rFonts w:ascii="Arial" w:eastAsia="楷体" w:hAnsi="Arial" w:cs="Arial"/>
                <w:b/>
                <w:lang w:val="en-GB"/>
              </w:rPr>
            </w:pPr>
            <w:r w:rsidRPr="00CD5D09">
              <w:rPr>
                <w:rFonts w:ascii="Arial" w:eastAsia="楷体" w:hAnsi="Arial" w:cs="Arial"/>
                <w:b/>
                <w:lang w:val="en-GB"/>
              </w:rPr>
              <w:t>EBITDA Margin</w:t>
            </w:r>
          </w:p>
        </w:tc>
        <w:tc>
          <w:tcPr>
            <w:tcW w:w="1389" w:type="dxa"/>
          </w:tcPr>
          <w:p w14:paraId="2FBD3FD3" w14:textId="095E009D" w:rsidR="00542CB6" w:rsidRPr="00CD5D09" w:rsidRDefault="00542CB6" w:rsidP="00CD5D09">
            <w:pPr>
              <w:spacing w:before="60" w:after="60"/>
              <w:jc w:val="right"/>
              <w:rPr>
                <w:rFonts w:ascii="Arial" w:eastAsia="楷体" w:hAnsi="Arial" w:cs="Arial"/>
                <w:lang w:val="en-GB"/>
              </w:rPr>
            </w:pPr>
            <w:r w:rsidRPr="00CD5D09">
              <w:rPr>
                <w:rFonts w:ascii="Arial" w:eastAsia="楷体" w:hAnsi="Arial" w:cs="Arial"/>
                <w:lang w:val="en-GB"/>
              </w:rPr>
              <w:t>11.6</w:t>
            </w:r>
            <w:r w:rsidR="00285121">
              <w:rPr>
                <w:rFonts w:ascii="Arial" w:eastAsia="楷体" w:hAnsi="Arial" w:cs="Arial"/>
                <w:lang w:val="en-GB"/>
              </w:rPr>
              <w:t>%</w:t>
            </w:r>
          </w:p>
        </w:tc>
        <w:tc>
          <w:tcPr>
            <w:tcW w:w="1389" w:type="dxa"/>
          </w:tcPr>
          <w:p w14:paraId="0A464BC3" w14:textId="764A3809" w:rsidR="00542CB6" w:rsidRPr="00CD5D09" w:rsidRDefault="00542CB6" w:rsidP="00CD5D09">
            <w:pPr>
              <w:spacing w:before="60" w:after="60"/>
              <w:jc w:val="right"/>
              <w:rPr>
                <w:rFonts w:ascii="Arial" w:eastAsia="楷体" w:hAnsi="Arial" w:cs="Arial"/>
                <w:lang w:val="en-GB"/>
              </w:rPr>
            </w:pPr>
            <w:r w:rsidRPr="00CD5D09">
              <w:rPr>
                <w:rFonts w:ascii="Arial" w:eastAsia="楷体" w:hAnsi="Arial" w:cs="Arial"/>
                <w:lang w:val="en-GB"/>
              </w:rPr>
              <w:t>12.0</w:t>
            </w:r>
            <w:r w:rsidR="00285121">
              <w:rPr>
                <w:rFonts w:ascii="Arial" w:eastAsia="楷体" w:hAnsi="Arial" w:cs="Arial"/>
                <w:lang w:val="en-GB"/>
              </w:rPr>
              <w:t>%</w:t>
            </w:r>
          </w:p>
        </w:tc>
        <w:tc>
          <w:tcPr>
            <w:tcW w:w="1389" w:type="dxa"/>
          </w:tcPr>
          <w:p w14:paraId="45D51D9B" w14:textId="1854A988" w:rsidR="00542CB6" w:rsidRPr="00CD5D09" w:rsidRDefault="00542CB6" w:rsidP="00CD5D09">
            <w:pPr>
              <w:spacing w:before="60" w:after="60"/>
              <w:jc w:val="right"/>
              <w:rPr>
                <w:rFonts w:ascii="Arial" w:eastAsia="楷体" w:hAnsi="Arial" w:cs="Arial"/>
                <w:lang w:val="en-GB"/>
              </w:rPr>
            </w:pPr>
            <w:r w:rsidRPr="00CD5D09">
              <w:rPr>
                <w:rFonts w:ascii="Arial" w:eastAsia="楷体" w:hAnsi="Arial" w:cs="Arial"/>
                <w:lang w:val="en-GB"/>
              </w:rPr>
              <w:t>12.4</w:t>
            </w:r>
            <w:r w:rsidR="00285121">
              <w:rPr>
                <w:rFonts w:ascii="Arial" w:eastAsia="楷体" w:hAnsi="Arial" w:cs="Arial"/>
                <w:lang w:val="en-GB"/>
              </w:rPr>
              <w:t>%</w:t>
            </w:r>
          </w:p>
        </w:tc>
        <w:tc>
          <w:tcPr>
            <w:tcW w:w="1389" w:type="dxa"/>
          </w:tcPr>
          <w:p w14:paraId="1BDD8BC4" w14:textId="02F88E6B" w:rsidR="00542CB6" w:rsidRPr="00CD5D09" w:rsidRDefault="00542CB6" w:rsidP="00CD5D09">
            <w:pPr>
              <w:spacing w:before="60" w:after="60"/>
              <w:jc w:val="right"/>
              <w:rPr>
                <w:rFonts w:ascii="Arial" w:eastAsia="楷体" w:hAnsi="Arial" w:cs="Arial"/>
                <w:lang w:val="en-GB"/>
              </w:rPr>
            </w:pPr>
            <w:r w:rsidRPr="00CD5D09">
              <w:rPr>
                <w:rFonts w:ascii="Arial" w:eastAsia="楷体" w:hAnsi="Arial" w:cs="Arial"/>
                <w:lang w:val="en-GB"/>
              </w:rPr>
              <w:t>14.2</w:t>
            </w:r>
            <w:r w:rsidR="00285121">
              <w:rPr>
                <w:rFonts w:ascii="Arial" w:eastAsia="楷体" w:hAnsi="Arial" w:cs="Arial"/>
                <w:lang w:val="en-GB"/>
              </w:rPr>
              <w:t>%</w:t>
            </w:r>
          </w:p>
        </w:tc>
        <w:tc>
          <w:tcPr>
            <w:tcW w:w="1390" w:type="dxa"/>
          </w:tcPr>
          <w:p w14:paraId="1D47AA7C" w14:textId="147C4157" w:rsidR="00542CB6" w:rsidRPr="00CD5D09" w:rsidRDefault="00542CB6" w:rsidP="00CD5D09">
            <w:pPr>
              <w:spacing w:before="60" w:after="60"/>
              <w:jc w:val="right"/>
              <w:rPr>
                <w:rFonts w:ascii="Arial" w:eastAsia="楷体" w:hAnsi="Arial" w:cs="Arial"/>
                <w:lang w:val="en-GB"/>
              </w:rPr>
            </w:pPr>
            <w:r w:rsidRPr="00CD5D09">
              <w:rPr>
                <w:rFonts w:ascii="Arial" w:eastAsia="楷体" w:hAnsi="Arial" w:cs="Arial"/>
                <w:lang w:val="en-GB"/>
              </w:rPr>
              <w:t>14.1</w:t>
            </w:r>
            <w:r w:rsidR="00285121">
              <w:rPr>
                <w:rFonts w:ascii="Arial" w:eastAsia="楷体" w:hAnsi="Arial" w:cs="Arial"/>
                <w:lang w:val="en-GB"/>
              </w:rPr>
              <w:t>%</w:t>
            </w:r>
          </w:p>
        </w:tc>
      </w:tr>
      <w:tr w:rsidR="00542CB6" w:rsidRPr="00CD5D09" w14:paraId="5078B71D" w14:textId="77777777" w:rsidTr="00CD5D09">
        <w:trPr>
          <w:jc w:val="center"/>
        </w:trPr>
        <w:tc>
          <w:tcPr>
            <w:tcW w:w="9220" w:type="dxa"/>
            <w:gridSpan w:val="6"/>
          </w:tcPr>
          <w:p w14:paraId="55704E4D" w14:textId="77777777" w:rsidR="00542CB6" w:rsidRPr="00CD5D09" w:rsidRDefault="00542CB6" w:rsidP="00CD5D09">
            <w:pPr>
              <w:spacing w:before="60" w:after="60"/>
              <w:jc w:val="right"/>
              <w:rPr>
                <w:rFonts w:ascii="Arial" w:eastAsia="楷体" w:hAnsi="Arial" w:cs="Arial"/>
                <w:lang w:val="en-GB"/>
              </w:rPr>
            </w:pPr>
          </w:p>
        </w:tc>
      </w:tr>
      <w:tr w:rsidR="00542CB6" w:rsidRPr="00CD5D09" w14:paraId="5EFA4A4F" w14:textId="77777777" w:rsidTr="00CD5D09">
        <w:trPr>
          <w:jc w:val="center"/>
        </w:trPr>
        <w:tc>
          <w:tcPr>
            <w:tcW w:w="2274" w:type="dxa"/>
          </w:tcPr>
          <w:p w14:paraId="4215B6E4" w14:textId="77777777" w:rsidR="00542CB6" w:rsidRPr="00CD5D09" w:rsidRDefault="00542CB6" w:rsidP="00CD5D09">
            <w:pPr>
              <w:spacing w:before="60" w:after="60"/>
              <w:rPr>
                <w:rFonts w:ascii="Arial" w:eastAsia="楷体" w:hAnsi="Arial" w:cs="Arial"/>
                <w:b/>
                <w:lang w:val="en-GB"/>
              </w:rPr>
            </w:pPr>
            <w:r w:rsidRPr="00CD5D09">
              <w:rPr>
                <w:rFonts w:ascii="Arial" w:eastAsia="楷体" w:hAnsi="Arial" w:cs="Arial"/>
                <w:b/>
                <w:lang w:val="en-GB"/>
              </w:rPr>
              <w:t>Net Profit</w:t>
            </w:r>
          </w:p>
        </w:tc>
        <w:tc>
          <w:tcPr>
            <w:tcW w:w="1389" w:type="dxa"/>
          </w:tcPr>
          <w:p w14:paraId="56161D1F" w14:textId="77777777" w:rsidR="00542CB6" w:rsidRPr="00CD5D09" w:rsidRDefault="00542CB6" w:rsidP="00CD5D09">
            <w:pPr>
              <w:spacing w:before="60" w:after="60"/>
              <w:jc w:val="right"/>
              <w:rPr>
                <w:rFonts w:ascii="Arial" w:eastAsia="楷体" w:hAnsi="Arial" w:cs="Arial"/>
                <w:lang w:val="en-GB"/>
              </w:rPr>
            </w:pPr>
            <w:r w:rsidRPr="00CD5D09">
              <w:rPr>
                <w:rFonts w:ascii="Arial" w:eastAsia="楷体" w:hAnsi="Arial" w:cs="Arial"/>
                <w:lang w:val="en-GB"/>
              </w:rPr>
              <w:t>26,369</w:t>
            </w:r>
          </w:p>
        </w:tc>
        <w:tc>
          <w:tcPr>
            <w:tcW w:w="1389" w:type="dxa"/>
          </w:tcPr>
          <w:p w14:paraId="2968155D" w14:textId="77777777" w:rsidR="00542CB6" w:rsidRPr="00CD5D09" w:rsidRDefault="00542CB6" w:rsidP="00CD5D09">
            <w:pPr>
              <w:spacing w:before="60" w:after="60"/>
              <w:jc w:val="right"/>
              <w:rPr>
                <w:rFonts w:ascii="Arial" w:eastAsia="楷体" w:hAnsi="Arial" w:cs="Arial"/>
                <w:lang w:val="en-GB"/>
              </w:rPr>
            </w:pPr>
            <w:r w:rsidRPr="00CD5D09">
              <w:rPr>
                <w:rFonts w:ascii="Arial" w:eastAsia="楷体" w:hAnsi="Arial" w:cs="Arial"/>
                <w:lang w:val="en-GB"/>
              </w:rPr>
              <w:t>22,171</w:t>
            </w:r>
          </w:p>
        </w:tc>
        <w:tc>
          <w:tcPr>
            <w:tcW w:w="1389" w:type="dxa"/>
          </w:tcPr>
          <w:p w14:paraId="1908683B" w14:textId="77777777" w:rsidR="00542CB6" w:rsidRPr="00CD5D09" w:rsidRDefault="00542CB6" w:rsidP="00CD5D09">
            <w:pPr>
              <w:spacing w:before="60" w:after="60"/>
              <w:jc w:val="right"/>
              <w:rPr>
                <w:rFonts w:ascii="Arial" w:eastAsia="楷体" w:hAnsi="Arial" w:cs="Arial"/>
                <w:lang w:val="en-GB"/>
              </w:rPr>
            </w:pPr>
            <w:r w:rsidRPr="00CD5D09">
              <w:rPr>
                <w:rFonts w:ascii="Arial" w:eastAsia="楷体" w:hAnsi="Arial" w:cs="Arial"/>
                <w:lang w:val="en-GB"/>
              </w:rPr>
              <w:t>7,602</w:t>
            </w:r>
          </w:p>
        </w:tc>
        <w:tc>
          <w:tcPr>
            <w:tcW w:w="1389" w:type="dxa"/>
          </w:tcPr>
          <w:p w14:paraId="729351EF" w14:textId="77777777" w:rsidR="00542CB6" w:rsidRPr="00CD5D09" w:rsidRDefault="00542CB6" w:rsidP="00CD5D09">
            <w:pPr>
              <w:spacing w:before="60" w:after="60"/>
              <w:jc w:val="right"/>
              <w:rPr>
                <w:rFonts w:ascii="Arial" w:eastAsia="楷体" w:hAnsi="Arial" w:cs="Arial"/>
                <w:lang w:val="en-GB"/>
              </w:rPr>
            </w:pPr>
            <w:r w:rsidRPr="00CD5D09">
              <w:rPr>
                <w:rFonts w:ascii="Arial" w:eastAsia="楷体" w:hAnsi="Arial" w:cs="Arial"/>
                <w:lang w:val="en-GB"/>
              </w:rPr>
              <w:t>11,436</w:t>
            </w:r>
          </w:p>
        </w:tc>
        <w:tc>
          <w:tcPr>
            <w:tcW w:w="1390" w:type="dxa"/>
          </w:tcPr>
          <w:p w14:paraId="18BB2800" w14:textId="77777777" w:rsidR="00542CB6" w:rsidRPr="00CD5D09" w:rsidRDefault="00542CB6" w:rsidP="00CD5D09">
            <w:pPr>
              <w:spacing w:before="60" w:after="60"/>
              <w:jc w:val="right"/>
              <w:rPr>
                <w:rFonts w:ascii="Arial" w:eastAsia="楷体" w:hAnsi="Arial" w:cs="Arial"/>
                <w:lang w:val="en-GB"/>
              </w:rPr>
            </w:pPr>
            <w:r w:rsidRPr="00CD5D09">
              <w:rPr>
                <w:rFonts w:ascii="Arial" w:eastAsia="楷体" w:hAnsi="Arial" w:cs="Arial"/>
                <w:lang w:val="en-GB"/>
              </w:rPr>
              <w:t>21,848</w:t>
            </w:r>
          </w:p>
        </w:tc>
      </w:tr>
      <w:tr w:rsidR="00542CB6" w:rsidRPr="00CD5D09" w14:paraId="2037DD15" w14:textId="77777777" w:rsidTr="00CD5D09">
        <w:trPr>
          <w:jc w:val="center"/>
        </w:trPr>
        <w:tc>
          <w:tcPr>
            <w:tcW w:w="2274" w:type="dxa"/>
          </w:tcPr>
          <w:p w14:paraId="4301AF63" w14:textId="77777777" w:rsidR="00542CB6" w:rsidRPr="00CD5D09" w:rsidRDefault="00542CB6" w:rsidP="00CD5D09">
            <w:pPr>
              <w:spacing w:before="60" w:after="60"/>
              <w:rPr>
                <w:rFonts w:ascii="Arial" w:eastAsia="STSong" w:hAnsi="Arial" w:cs="Arial"/>
                <w:i/>
                <w:lang w:val="en-GB"/>
              </w:rPr>
            </w:pPr>
            <w:r w:rsidRPr="00CD5D09">
              <w:rPr>
                <w:rFonts w:ascii="Arial" w:eastAsia="楷体" w:hAnsi="Arial" w:cs="Arial"/>
                <w:i/>
                <w:lang w:val="en-GB"/>
              </w:rPr>
              <w:t>Change over last year</w:t>
            </w:r>
          </w:p>
        </w:tc>
        <w:tc>
          <w:tcPr>
            <w:tcW w:w="1389" w:type="dxa"/>
          </w:tcPr>
          <w:p w14:paraId="32B23804" w14:textId="77777777" w:rsidR="00542CB6" w:rsidRPr="00CD5D09" w:rsidRDefault="00542CB6" w:rsidP="00CD5D09">
            <w:pPr>
              <w:spacing w:before="60" w:after="60"/>
              <w:jc w:val="right"/>
              <w:rPr>
                <w:rFonts w:ascii="Arial" w:eastAsia="楷体" w:hAnsi="Arial" w:cs="Arial"/>
                <w:i/>
                <w:lang w:val="en-GB"/>
              </w:rPr>
            </w:pPr>
            <w:r w:rsidRPr="00CD5D09">
              <w:rPr>
                <w:rFonts w:ascii="Arial" w:eastAsia="楷体" w:hAnsi="Arial" w:cs="Arial"/>
                <w:i/>
                <w:lang w:val="en-GB"/>
              </w:rPr>
              <w:t xml:space="preserve"> </w:t>
            </w:r>
          </w:p>
        </w:tc>
        <w:tc>
          <w:tcPr>
            <w:tcW w:w="1389" w:type="dxa"/>
          </w:tcPr>
          <w:p w14:paraId="7A1BBD21" w14:textId="77777777" w:rsidR="00542CB6" w:rsidRPr="00CD5D09" w:rsidRDefault="00542CB6" w:rsidP="00CD5D09">
            <w:pPr>
              <w:spacing w:before="60" w:after="60"/>
              <w:jc w:val="right"/>
              <w:rPr>
                <w:rFonts w:ascii="Arial" w:eastAsia="楷体" w:hAnsi="Arial" w:cs="Arial"/>
                <w:i/>
                <w:lang w:val="en-GB"/>
              </w:rPr>
            </w:pPr>
            <w:r w:rsidRPr="00CD5D09">
              <w:rPr>
                <w:rFonts w:ascii="Arial" w:eastAsia="楷体" w:hAnsi="Arial" w:cs="Arial"/>
                <w:i/>
                <w:lang w:val="en-GB"/>
              </w:rPr>
              <w:t xml:space="preserve">(15.9%) </w:t>
            </w:r>
          </w:p>
        </w:tc>
        <w:tc>
          <w:tcPr>
            <w:tcW w:w="1389" w:type="dxa"/>
          </w:tcPr>
          <w:p w14:paraId="1533865D" w14:textId="77777777" w:rsidR="00542CB6" w:rsidRPr="00CD5D09" w:rsidRDefault="00542CB6" w:rsidP="00CD5D09">
            <w:pPr>
              <w:spacing w:before="60" w:after="60"/>
              <w:jc w:val="right"/>
              <w:rPr>
                <w:rFonts w:ascii="Arial" w:eastAsia="楷体" w:hAnsi="Arial" w:cs="Arial"/>
                <w:i/>
                <w:lang w:val="en-GB"/>
              </w:rPr>
            </w:pPr>
            <w:r w:rsidRPr="00CD5D09">
              <w:rPr>
                <w:rFonts w:ascii="Arial" w:eastAsia="楷体" w:hAnsi="Arial" w:cs="Arial"/>
                <w:i/>
                <w:lang w:val="en-GB"/>
              </w:rPr>
              <w:t>(65.7%)</w:t>
            </w:r>
          </w:p>
        </w:tc>
        <w:tc>
          <w:tcPr>
            <w:tcW w:w="1389" w:type="dxa"/>
          </w:tcPr>
          <w:p w14:paraId="74B65C7F" w14:textId="77777777" w:rsidR="00542CB6" w:rsidRPr="00CD5D09" w:rsidRDefault="00542CB6" w:rsidP="00CD5D09">
            <w:pPr>
              <w:spacing w:before="60" w:after="60"/>
              <w:jc w:val="right"/>
              <w:rPr>
                <w:rFonts w:ascii="Arial" w:eastAsia="楷体" w:hAnsi="Arial" w:cs="Arial"/>
                <w:i/>
                <w:lang w:val="en-GB"/>
              </w:rPr>
            </w:pPr>
            <w:r w:rsidRPr="00CD5D09">
              <w:rPr>
                <w:rFonts w:ascii="Arial" w:eastAsia="楷体" w:hAnsi="Arial" w:cs="Arial"/>
                <w:i/>
                <w:lang w:val="en-GB"/>
              </w:rPr>
              <w:t>+50.4%</w:t>
            </w:r>
          </w:p>
        </w:tc>
        <w:tc>
          <w:tcPr>
            <w:tcW w:w="1390" w:type="dxa"/>
          </w:tcPr>
          <w:p w14:paraId="1307759E" w14:textId="77777777" w:rsidR="00542CB6" w:rsidRPr="00CD5D09" w:rsidRDefault="00542CB6" w:rsidP="00CD5D09">
            <w:pPr>
              <w:spacing w:before="60" w:after="60"/>
              <w:jc w:val="right"/>
              <w:rPr>
                <w:rFonts w:ascii="Arial" w:eastAsia="楷体" w:hAnsi="Arial" w:cs="Arial"/>
                <w:i/>
                <w:lang w:val="en-GB"/>
              </w:rPr>
            </w:pPr>
            <w:r w:rsidRPr="00CD5D09">
              <w:rPr>
                <w:rFonts w:ascii="Arial" w:eastAsia="楷体" w:hAnsi="Arial" w:cs="Arial"/>
                <w:i/>
                <w:lang w:val="en-GB"/>
              </w:rPr>
              <w:t>+91.0%</w:t>
            </w:r>
          </w:p>
        </w:tc>
      </w:tr>
      <w:tr w:rsidR="00542CB6" w:rsidRPr="00CD5D09" w14:paraId="3797E377" w14:textId="77777777" w:rsidTr="00CD5D09">
        <w:trPr>
          <w:jc w:val="center"/>
        </w:trPr>
        <w:tc>
          <w:tcPr>
            <w:tcW w:w="2274" w:type="dxa"/>
          </w:tcPr>
          <w:p w14:paraId="1A292854" w14:textId="4C8E875A" w:rsidR="00542CB6" w:rsidRPr="00CD5D09" w:rsidRDefault="00542CB6" w:rsidP="00CD5D09">
            <w:pPr>
              <w:spacing w:before="60" w:after="60"/>
              <w:rPr>
                <w:rFonts w:ascii="Arial" w:eastAsia="楷体" w:hAnsi="Arial" w:cs="Arial"/>
                <w:b/>
                <w:lang w:val="en-GB"/>
              </w:rPr>
            </w:pPr>
            <w:r w:rsidRPr="00CD5D09">
              <w:rPr>
                <w:rFonts w:ascii="Arial" w:eastAsia="楷体" w:hAnsi="Arial" w:cs="Arial"/>
                <w:b/>
                <w:lang w:val="en-GB"/>
              </w:rPr>
              <w:t>Net Margin</w:t>
            </w:r>
          </w:p>
        </w:tc>
        <w:tc>
          <w:tcPr>
            <w:tcW w:w="1389" w:type="dxa"/>
          </w:tcPr>
          <w:p w14:paraId="37FCCCBF" w14:textId="7DE36F5C" w:rsidR="00542CB6" w:rsidRPr="00CD5D09" w:rsidRDefault="00542CB6" w:rsidP="00CD5D09">
            <w:pPr>
              <w:spacing w:before="60" w:after="60"/>
              <w:jc w:val="right"/>
              <w:rPr>
                <w:rFonts w:ascii="Arial" w:eastAsia="楷体" w:hAnsi="Arial" w:cs="Arial"/>
                <w:lang w:val="en-GB"/>
              </w:rPr>
            </w:pPr>
            <w:r w:rsidRPr="00CD5D09">
              <w:rPr>
                <w:rFonts w:ascii="Arial" w:eastAsia="楷体" w:hAnsi="Arial" w:cs="Arial"/>
                <w:lang w:val="en-GB"/>
              </w:rPr>
              <w:t>4.9</w:t>
            </w:r>
            <w:r w:rsidR="00285121">
              <w:rPr>
                <w:rFonts w:ascii="Arial" w:eastAsia="楷体" w:hAnsi="Arial" w:cs="Arial"/>
                <w:lang w:val="en-GB"/>
              </w:rPr>
              <w:t>%</w:t>
            </w:r>
          </w:p>
        </w:tc>
        <w:tc>
          <w:tcPr>
            <w:tcW w:w="1389" w:type="dxa"/>
          </w:tcPr>
          <w:p w14:paraId="784797FF" w14:textId="19341B94" w:rsidR="00542CB6" w:rsidRPr="00CD5D09" w:rsidRDefault="00542CB6" w:rsidP="00CD5D09">
            <w:pPr>
              <w:spacing w:before="60" w:after="60"/>
              <w:jc w:val="right"/>
              <w:rPr>
                <w:rFonts w:ascii="Arial" w:eastAsia="楷体" w:hAnsi="Arial" w:cs="Arial"/>
                <w:lang w:val="en-GB"/>
              </w:rPr>
            </w:pPr>
            <w:r w:rsidRPr="00CD5D09">
              <w:rPr>
                <w:rFonts w:ascii="Arial" w:eastAsia="楷体" w:hAnsi="Arial" w:cs="Arial"/>
                <w:lang w:val="en-GB"/>
              </w:rPr>
              <w:t>3.8</w:t>
            </w:r>
            <w:r w:rsidR="00285121">
              <w:rPr>
                <w:rFonts w:ascii="Arial" w:eastAsia="楷体" w:hAnsi="Arial" w:cs="Arial"/>
                <w:lang w:val="en-GB"/>
              </w:rPr>
              <w:t>%</w:t>
            </w:r>
          </w:p>
        </w:tc>
        <w:tc>
          <w:tcPr>
            <w:tcW w:w="1389" w:type="dxa"/>
          </w:tcPr>
          <w:p w14:paraId="6D9EFEF4" w14:textId="7F12B9AE" w:rsidR="00542CB6" w:rsidRPr="00CD5D09" w:rsidRDefault="00542CB6" w:rsidP="00CD5D09">
            <w:pPr>
              <w:spacing w:before="60" w:after="60"/>
              <w:jc w:val="right"/>
              <w:rPr>
                <w:rFonts w:ascii="Arial" w:eastAsia="楷体" w:hAnsi="Arial" w:cs="Arial"/>
                <w:lang w:val="en-GB"/>
              </w:rPr>
            </w:pPr>
            <w:r w:rsidRPr="00CD5D09">
              <w:rPr>
                <w:rFonts w:ascii="Arial" w:eastAsia="楷体" w:hAnsi="Arial" w:cs="Arial"/>
                <w:lang w:val="en-GB"/>
              </w:rPr>
              <w:t>1.2</w:t>
            </w:r>
            <w:r w:rsidR="00285121">
              <w:rPr>
                <w:rFonts w:ascii="Arial" w:eastAsia="楷体" w:hAnsi="Arial" w:cs="Arial"/>
                <w:lang w:val="en-GB"/>
              </w:rPr>
              <w:t>%</w:t>
            </w:r>
          </w:p>
        </w:tc>
        <w:tc>
          <w:tcPr>
            <w:tcW w:w="1389" w:type="dxa"/>
          </w:tcPr>
          <w:p w14:paraId="07A7D772" w14:textId="0C6A3BE7" w:rsidR="00542CB6" w:rsidRPr="00CD5D09" w:rsidRDefault="00542CB6" w:rsidP="00CD5D09">
            <w:pPr>
              <w:spacing w:before="60" w:after="60"/>
              <w:jc w:val="right"/>
              <w:rPr>
                <w:rFonts w:ascii="Arial" w:eastAsia="楷体" w:hAnsi="Arial" w:cs="Arial"/>
                <w:lang w:val="en-GB"/>
              </w:rPr>
            </w:pPr>
            <w:r w:rsidRPr="00CD5D09">
              <w:rPr>
                <w:rFonts w:ascii="Arial" w:eastAsia="楷体" w:hAnsi="Arial" w:cs="Arial"/>
                <w:lang w:val="en-GB"/>
              </w:rPr>
              <w:t>1.9</w:t>
            </w:r>
            <w:r w:rsidR="00285121">
              <w:rPr>
                <w:rFonts w:ascii="Arial" w:eastAsia="楷体" w:hAnsi="Arial" w:cs="Arial"/>
                <w:lang w:val="en-GB"/>
              </w:rPr>
              <w:t>%</w:t>
            </w:r>
          </w:p>
        </w:tc>
        <w:tc>
          <w:tcPr>
            <w:tcW w:w="1390" w:type="dxa"/>
          </w:tcPr>
          <w:p w14:paraId="4D00ED2E" w14:textId="6288D1C6" w:rsidR="00542CB6" w:rsidRPr="00CD5D09" w:rsidRDefault="00542CB6" w:rsidP="00CD5D09">
            <w:pPr>
              <w:spacing w:before="60" w:after="60"/>
              <w:jc w:val="right"/>
              <w:rPr>
                <w:rFonts w:ascii="Arial" w:eastAsia="楷体" w:hAnsi="Arial" w:cs="Arial"/>
                <w:lang w:val="en-GB"/>
              </w:rPr>
            </w:pPr>
            <w:r w:rsidRPr="00CD5D09">
              <w:rPr>
                <w:rFonts w:ascii="Arial" w:eastAsia="楷体" w:hAnsi="Arial" w:cs="Arial"/>
                <w:lang w:val="en-GB"/>
              </w:rPr>
              <w:t>3.6</w:t>
            </w:r>
            <w:r w:rsidR="00285121">
              <w:rPr>
                <w:rFonts w:ascii="Arial" w:eastAsia="楷体" w:hAnsi="Arial" w:cs="Arial"/>
                <w:lang w:val="en-GB"/>
              </w:rPr>
              <w:t>%</w:t>
            </w:r>
          </w:p>
        </w:tc>
      </w:tr>
    </w:tbl>
    <w:p w14:paraId="58FE1955" w14:textId="77777777" w:rsidR="00542CB6" w:rsidRPr="00CD5D09" w:rsidRDefault="00542CB6" w:rsidP="00542CB6">
      <w:pPr>
        <w:spacing w:before="1" w:after="1"/>
        <w:jc w:val="both"/>
        <w:rPr>
          <w:rFonts w:ascii="Arial" w:hAnsi="Arial" w:cs="Arial"/>
          <w:lang w:val="en-GB" w:eastAsia="zh-CN"/>
        </w:rPr>
      </w:pPr>
    </w:p>
    <w:p w14:paraId="2EE2B34C" w14:textId="39FDED06" w:rsidR="00D23A1B" w:rsidRDefault="00D23A1B" w:rsidP="00542CB6">
      <w:pPr>
        <w:pStyle w:val="Footnote"/>
        <w:rPr>
          <w:lang w:val="en-GB"/>
        </w:rPr>
      </w:pPr>
      <w:r>
        <w:rPr>
          <w:lang w:val="en-GB"/>
        </w:rPr>
        <w:t>Note: S$ = Singaporean dollar; EBITDA = earnings before interest, taxes, depreciation, and amortization</w:t>
      </w:r>
      <w:r w:rsidR="008202C5">
        <w:rPr>
          <w:lang w:val="en-GB"/>
        </w:rPr>
        <w:t>.</w:t>
      </w:r>
    </w:p>
    <w:p w14:paraId="271EA833" w14:textId="730F5953" w:rsidR="00542CB6" w:rsidRPr="00CD5D09" w:rsidRDefault="00542CB6" w:rsidP="00542CB6">
      <w:pPr>
        <w:pStyle w:val="Footnote"/>
        <w:rPr>
          <w:lang w:val="en-GB"/>
        </w:rPr>
      </w:pPr>
      <w:r w:rsidRPr="00CD5D09">
        <w:rPr>
          <w:lang w:val="en-GB"/>
        </w:rPr>
        <w:t>Source: Company information.</w:t>
      </w:r>
    </w:p>
    <w:p w14:paraId="5E276998" w14:textId="77777777" w:rsidR="00542CB6" w:rsidRPr="00CD5D09" w:rsidRDefault="00542CB6" w:rsidP="00542CB6">
      <w:pPr>
        <w:pStyle w:val="BodyTextMain"/>
        <w:rPr>
          <w:sz w:val="20"/>
          <w:szCs w:val="20"/>
          <w:lang w:val="en-GB"/>
        </w:rPr>
      </w:pPr>
    </w:p>
    <w:p w14:paraId="290AC77C" w14:textId="77777777" w:rsidR="00542CB6" w:rsidRPr="00CD5D09" w:rsidRDefault="00542CB6" w:rsidP="00542CB6">
      <w:pPr>
        <w:pStyle w:val="BodyTextMain"/>
        <w:rPr>
          <w:sz w:val="20"/>
          <w:szCs w:val="20"/>
          <w:lang w:val="en-GB"/>
        </w:rPr>
      </w:pPr>
    </w:p>
    <w:p w14:paraId="1D939CAB" w14:textId="6B994FF9" w:rsidR="00542CB6" w:rsidRPr="00CD5D09" w:rsidRDefault="00542CB6" w:rsidP="00542CB6">
      <w:pPr>
        <w:pStyle w:val="Casehead1"/>
        <w:jc w:val="center"/>
        <w:rPr>
          <w:lang w:val="en-GB"/>
        </w:rPr>
      </w:pPr>
      <w:r w:rsidRPr="00CD5D09">
        <w:rPr>
          <w:lang w:val="en-GB"/>
        </w:rPr>
        <w:t xml:space="preserve">Exhibit 2: </w:t>
      </w:r>
      <w:r w:rsidR="003E396D">
        <w:rPr>
          <w:lang w:val="en-GB"/>
        </w:rPr>
        <w:t>BREADTALK</w:t>
      </w:r>
      <w:r w:rsidR="003E396D" w:rsidRPr="00CD5D09">
        <w:rPr>
          <w:lang w:val="en-GB"/>
        </w:rPr>
        <w:t xml:space="preserve"> </w:t>
      </w:r>
      <w:r w:rsidRPr="00CD5D09">
        <w:rPr>
          <w:lang w:val="en-GB"/>
        </w:rPr>
        <w:t>group</w:t>
      </w:r>
      <w:r w:rsidR="00D23A1B">
        <w:rPr>
          <w:lang w:val="en-GB"/>
        </w:rPr>
        <w:t xml:space="preserve"> LIMITED</w:t>
      </w:r>
      <w:r w:rsidRPr="00CD5D09">
        <w:rPr>
          <w:lang w:val="en-GB"/>
        </w:rPr>
        <w:t xml:space="preserve"> revenue mix </w:t>
      </w:r>
    </w:p>
    <w:p w14:paraId="42EDFD93" w14:textId="77777777" w:rsidR="00542CB6" w:rsidRPr="00CD5D09" w:rsidRDefault="00542CB6" w:rsidP="00542CB6">
      <w:pPr>
        <w:spacing w:before="1" w:after="1"/>
        <w:jc w:val="both"/>
        <w:rPr>
          <w:rFonts w:ascii="Arial" w:hAnsi="Arial" w:cs="Arial"/>
          <w:lang w:val="en-GB" w:eastAsia="zh-CN"/>
        </w:rPr>
      </w:pPr>
    </w:p>
    <w:tbl>
      <w:tblPr>
        <w:tblStyle w:val="TableGrid"/>
        <w:tblW w:w="8500" w:type="dxa"/>
        <w:jc w:val="center"/>
        <w:tblLayout w:type="fixed"/>
        <w:tblLook w:val="04A0" w:firstRow="1" w:lastRow="0" w:firstColumn="1" w:lastColumn="0" w:noHBand="0" w:noVBand="1"/>
      </w:tblPr>
      <w:tblGrid>
        <w:gridCol w:w="1700"/>
        <w:gridCol w:w="1700"/>
        <w:gridCol w:w="1700"/>
        <w:gridCol w:w="1700"/>
        <w:gridCol w:w="1700"/>
      </w:tblGrid>
      <w:tr w:rsidR="00542CB6" w:rsidRPr="00CD5D09" w14:paraId="272005F5" w14:textId="77777777" w:rsidTr="00CD5D09">
        <w:trPr>
          <w:jc w:val="center"/>
        </w:trPr>
        <w:tc>
          <w:tcPr>
            <w:tcW w:w="8500" w:type="dxa"/>
            <w:gridSpan w:val="5"/>
            <w:vAlign w:val="center"/>
          </w:tcPr>
          <w:p w14:paraId="3F25C5BF" w14:textId="739DF4F8" w:rsidR="00542CB6" w:rsidRPr="00CD5D09" w:rsidRDefault="00542CB6" w:rsidP="00CD5D09">
            <w:pPr>
              <w:spacing w:before="60" w:after="60"/>
              <w:jc w:val="center"/>
              <w:rPr>
                <w:rFonts w:ascii="Arial" w:eastAsia="楷体" w:hAnsi="Arial" w:cs="Arial"/>
                <w:szCs w:val="21"/>
                <w:lang w:val="en-GB"/>
              </w:rPr>
            </w:pPr>
            <w:r w:rsidRPr="00CD5D09">
              <w:rPr>
                <w:rFonts w:ascii="Arial" w:eastAsia="楷体" w:hAnsi="Arial" w:cs="Arial"/>
                <w:szCs w:val="21"/>
                <w:lang w:val="en-GB"/>
              </w:rPr>
              <w:t>Revenue Mix by Business Segment</w:t>
            </w:r>
            <w:r w:rsidR="00D23A1B">
              <w:rPr>
                <w:rFonts w:ascii="Arial" w:eastAsia="楷体" w:hAnsi="Arial" w:cs="Arial"/>
                <w:szCs w:val="21"/>
                <w:lang w:val="en-GB"/>
              </w:rPr>
              <w:t>—</w:t>
            </w:r>
            <w:r w:rsidRPr="00CD5D09">
              <w:rPr>
                <w:rFonts w:ascii="Arial" w:eastAsia="楷体" w:hAnsi="Arial" w:cs="Arial"/>
                <w:szCs w:val="21"/>
                <w:lang w:val="en-GB"/>
              </w:rPr>
              <w:t>F</w:t>
            </w:r>
            <w:r w:rsidR="00285121">
              <w:rPr>
                <w:rFonts w:ascii="Arial" w:eastAsia="楷体" w:hAnsi="Arial" w:cs="Arial"/>
                <w:szCs w:val="21"/>
                <w:lang w:val="en-GB"/>
              </w:rPr>
              <w:t xml:space="preserve">inancial </w:t>
            </w:r>
            <w:r w:rsidRPr="00CD5D09">
              <w:rPr>
                <w:rFonts w:ascii="Arial" w:eastAsia="楷体" w:hAnsi="Arial" w:cs="Arial"/>
                <w:szCs w:val="21"/>
                <w:lang w:val="en-GB"/>
              </w:rPr>
              <w:t>Y</w:t>
            </w:r>
            <w:r w:rsidR="00285121">
              <w:rPr>
                <w:rFonts w:ascii="Arial" w:eastAsia="楷体" w:hAnsi="Arial" w:cs="Arial"/>
                <w:szCs w:val="21"/>
                <w:lang w:val="en-GB"/>
              </w:rPr>
              <w:t xml:space="preserve">ear </w:t>
            </w:r>
            <w:r w:rsidRPr="00CD5D09">
              <w:rPr>
                <w:rFonts w:ascii="Arial" w:eastAsia="楷体" w:hAnsi="Arial" w:cs="Arial"/>
                <w:szCs w:val="21"/>
                <w:lang w:val="en-GB"/>
              </w:rPr>
              <w:t>2017</w:t>
            </w:r>
          </w:p>
        </w:tc>
      </w:tr>
      <w:tr w:rsidR="00542CB6" w:rsidRPr="00CD5D09" w14:paraId="150CC900" w14:textId="77777777" w:rsidTr="00CD5D09">
        <w:trPr>
          <w:jc w:val="center"/>
        </w:trPr>
        <w:tc>
          <w:tcPr>
            <w:tcW w:w="1700" w:type="dxa"/>
          </w:tcPr>
          <w:p w14:paraId="12914C1E" w14:textId="77777777" w:rsidR="00542CB6" w:rsidRPr="00CD5D09" w:rsidRDefault="00542CB6" w:rsidP="00CD5D09">
            <w:pPr>
              <w:spacing w:before="60" w:after="60"/>
              <w:jc w:val="center"/>
              <w:rPr>
                <w:rFonts w:ascii="Arial" w:eastAsia="楷体" w:hAnsi="Arial" w:cs="Arial"/>
                <w:b/>
                <w:szCs w:val="21"/>
                <w:lang w:val="en-GB"/>
              </w:rPr>
            </w:pPr>
            <w:r w:rsidRPr="00CD5D09">
              <w:rPr>
                <w:rFonts w:ascii="Arial" w:eastAsia="楷体" w:hAnsi="Arial" w:cs="Arial"/>
                <w:b/>
                <w:szCs w:val="21"/>
                <w:lang w:val="en-GB"/>
              </w:rPr>
              <w:t>Bakery</w:t>
            </w:r>
          </w:p>
        </w:tc>
        <w:tc>
          <w:tcPr>
            <w:tcW w:w="1700" w:type="dxa"/>
          </w:tcPr>
          <w:p w14:paraId="6B21D2A5" w14:textId="77777777" w:rsidR="00542CB6" w:rsidRPr="00CD5D09" w:rsidRDefault="00542CB6" w:rsidP="00CD5D09">
            <w:pPr>
              <w:spacing w:before="60" w:after="60"/>
              <w:jc w:val="center"/>
              <w:rPr>
                <w:rFonts w:ascii="Arial" w:eastAsia="楷体" w:hAnsi="Arial" w:cs="Arial"/>
                <w:b/>
                <w:szCs w:val="21"/>
                <w:lang w:val="en-GB"/>
              </w:rPr>
            </w:pPr>
            <w:r w:rsidRPr="00CD5D09">
              <w:rPr>
                <w:rFonts w:ascii="Arial" w:eastAsia="楷体" w:hAnsi="Arial" w:cs="Arial"/>
                <w:b/>
                <w:szCs w:val="21"/>
                <w:lang w:val="en-GB"/>
              </w:rPr>
              <w:t>Food Atrium</w:t>
            </w:r>
          </w:p>
        </w:tc>
        <w:tc>
          <w:tcPr>
            <w:tcW w:w="1700" w:type="dxa"/>
          </w:tcPr>
          <w:p w14:paraId="0B9AE32E" w14:textId="77777777" w:rsidR="00542CB6" w:rsidRPr="00CD5D09" w:rsidRDefault="00542CB6" w:rsidP="00CD5D09">
            <w:pPr>
              <w:spacing w:before="60" w:after="60"/>
              <w:jc w:val="center"/>
              <w:rPr>
                <w:rFonts w:ascii="Arial" w:eastAsia="楷体" w:hAnsi="Arial" w:cs="Arial"/>
                <w:b/>
                <w:szCs w:val="21"/>
                <w:lang w:val="en-GB"/>
              </w:rPr>
            </w:pPr>
            <w:r w:rsidRPr="00CD5D09">
              <w:rPr>
                <w:rFonts w:ascii="Arial" w:eastAsia="楷体" w:hAnsi="Arial" w:cs="Arial"/>
                <w:b/>
                <w:szCs w:val="21"/>
                <w:lang w:val="en-GB"/>
              </w:rPr>
              <w:t>Restaurant</w:t>
            </w:r>
          </w:p>
        </w:tc>
        <w:tc>
          <w:tcPr>
            <w:tcW w:w="1700" w:type="dxa"/>
          </w:tcPr>
          <w:p w14:paraId="500A0A17" w14:textId="77777777" w:rsidR="00542CB6" w:rsidRPr="00CD5D09" w:rsidRDefault="00542CB6" w:rsidP="00CD5D09">
            <w:pPr>
              <w:spacing w:before="60" w:after="60"/>
              <w:jc w:val="center"/>
              <w:rPr>
                <w:rFonts w:ascii="Arial" w:eastAsia="楷体" w:hAnsi="Arial" w:cs="Arial"/>
                <w:b/>
                <w:szCs w:val="21"/>
                <w:lang w:val="en-GB"/>
              </w:rPr>
            </w:pPr>
            <w:r w:rsidRPr="00CD5D09">
              <w:rPr>
                <w:rFonts w:ascii="Arial" w:eastAsia="楷体" w:hAnsi="Arial" w:cs="Arial"/>
                <w:b/>
                <w:szCs w:val="21"/>
                <w:lang w:val="en-GB"/>
              </w:rPr>
              <w:t>4orth</w:t>
            </w:r>
          </w:p>
        </w:tc>
        <w:tc>
          <w:tcPr>
            <w:tcW w:w="1700" w:type="dxa"/>
          </w:tcPr>
          <w:p w14:paraId="2C31FEE8" w14:textId="77777777" w:rsidR="00542CB6" w:rsidRPr="00CD5D09" w:rsidRDefault="00542CB6" w:rsidP="00CD5D09">
            <w:pPr>
              <w:spacing w:before="60" w:after="60"/>
              <w:jc w:val="center"/>
              <w:rPr>
                <w:rFonts w:ascii="Arial" w:eastAsia="楷体" w:hAnsi="Arial" w:cs="Arial"/>
                <w:b/>
                <w:szCs w:val="21"/>
                <w:lang w:val="en-GB"/>
              </w:rPr>
            </w:pPr>
            <w:r w:rsidRPr="00CD5D09">
              <w:rPr>
                <w:rFonts w:ascii="Arial" w:eastAsia="楷体" w:hAnsi="Arial" w:cs="Arial"/>
                <w:b/>
                <w:szCs w:val="21"/>
                <w:lang w:val="en-GB"/>
              </w:rPr>
              <w:t>Total</w:t>
            </w:r>
          </w:p>
        </w:tc>
      </w:tr>
      <w:tr w:rsidR="00542CB6" w:rsidRPr="00CD5D09" w14:paraId="6031C75C" w14:textId="77777777" w:rsidTr="00CD5D09">
        <w:trPr>
          <w:jc w:val="center"/>
        </w:trPr>
        <w:tc>
          <w:tcPr>
            <w:tcW w:w="1700" w:type="dxa"/>
          </w:tcPr>
          <w:p w14:paraId="2687B9C0" w14:textId="77777777" w:rsidR="00542CB6" w:rsidRPr="00CD5D09" w:rsidRDefault="00542CB6" w:rsidP="00CD5D09">
            <w:pPr>
              <w:spacing w:before="60" w:after="60"/>
              <w:jc w:val="center"/>
              <w:rPr>
                <w:rFonts w:ascii="Arial" w:eastAsia="楷体" w:hAnsi="Arial" w:cs="Arial"/>
                <w:szCs w:val="21"/>
                <w:lang w:val="en-GB"/>
              </w:rPr>
            </w:pPr>
            <w:r w:rsidRPr="00CD5D09">
              <w:rPr>
                <w:rFonts w:ascii="Arial" w:eastAsia="楷体" w:hAnsi="Arial" w:cs="Arial"/>
                <w:szCs w:val="21"/>
                <w:lang w:val="en-GB"/>
              </w:rPr>
              <w:t>50%</w:t>
            </w:r>
          </w:p>
        </w:tc>
        <w:tc>
          <w:tcPr>
            <w:tcW w:w="1700" w:type="dxa"/>
          </w:tcPr>
          <w:p w14:paraId="3FEDCFCB" w14:textId="77777777" w:rsidR="00542CB6" w:rsidRPr="00CD5D09" w:rsidRDefault="00542CB6" w:rsidP="00CD5D09">
            <w:pPr>
              <w:spacing w:before="60" w:after="60"/>
              <w:jc w:val="center"/>
              <w:rPr>
                <w:rFonts w:ascii="Arial" w:eastAsia="楷体" w:hAnsi="Arial" w:cs="Arial"/>
                <w:szCs w:val="21"/>
                <w:lang w:val="en-GB"/>
              </w:rPr>
            </w:pPr>
            <w:r w:rsidRPr="00CD5D09">
              <w:rPr>
                <w:rFonts w:ascii="Arial" w:eastAsia="楷体" w:hAnsi="Arial" w:cs="Arial"/>
                <w:szCs w:val="21"/>
                <w:lang w:val="en-GB"/>
              </w:rPr>
              <w:t>25%</w:t>
            </w:r>
          </w:p>
        </w:tc>
        <w:tc>
          <w:tcPr>
            <w:tcW w:w="1700" w:type="dxa"/>
          </w:tcPr>
          <w:p w14:paraId="21497ECE" w14:textId="77777777" w:rsidR="00542CB6" w:rsidRPr="00CD5D09" w:rsidRDefault="00542CB6" w:rsidP="00CD5D09">
            <w:pPr>
              <w:spacing w:before="60" w:after="60"/>
              <w:jc w:val="center"/>
              <w:rPr>
                <w:rFonts w:ascii="Arial" w:eastAsia="楷体" w:hAnsi="Arial" w:cs="Arial"/>
                <w:szCs w:val="21"/>
                <w:lang w:val="en-GB"/>
              </w:rPr>
            </w:pPr>
            <w:r w:rsidRPr="00CD5D09">
              <w:rPr>
                <w:rFonts w:ascii="Arial" w:eastAsia="楷体" w:hAnsi="Arial" w:cs="Arial"/>
                <w:szCs w:val="21"/>
                <w:lang w:val="en-GB"/>
              </w:rPr>
              <w:t>24%</w:t>
            </w:r>
          </w:p>
        </w:tc>
        <w:tc>
          <w:tcPr>
            <w:tcW w:w="1700" w:type="dxa"/>
          </w:tcPr>
          <w:p w14:paraId="1B92796F" w14:textId="77777777" w:rsidR="00542CB6" w:rsidRPr="00CD5D09" w:rsidRDefault="00542CB6" w:rsidP="00CD5D09">
            <w:pPr>
              <w:spacing w:before="60" w:after="60"/>
              <w:jc w:val="center"/>
              <w:rPr>
                <w:rFonts w:ascii="Arial" w:eastAsia="楷体" w:hAnsi="Arial" w:cs="Arial"/>
                <w:szCs w:val="21"/>
                <w:lang w:val="en-GB"/>
              </w:rPr>
            </w:pPr>
            <w:r w:rsidRPr="00CD5D09">
              <w:rPr>
                <w:rFonts w:ascii="Arial" w:eastAsia="楷体" w:hAnsi="Arial" w:cs="Arial"/>
                <w:szCs w:val="21"/>
                <w:lang w:val="en-GB"/>
              </w:rPr>
              <w:t>1%</w:t>
            </w:r>
          </w:p>
        </w:tc>
        <w:tc>
          <w:tcPr>
            <w:tcW w:w="1700" w:type="dxa"/>
          </w:tcPr>
          <w:p w14:paraId="5D494D92" w14:textId="77777777" w:rsidR="00542CB6" w:rsidRPr="00CD5D09" w:rsidRDefault="00542CB6" w:rsidP="00CD5D09">
            <w:pPr>
              <w:spacing w:before="60" w:after="60"/>
              <w:jc w:val="center"/>
              <w:rPr>
                <w:rFonts w:ascii="Arial" w:eastAsia="楷体" w:hAnsi="Arial" w:cs="Arial"/>
                <w:szCs w:val="21"/>
                <w:lang w:val="en-GB"/>
              </w:rPr>
            </w:pPr>
            <w:r w:rsidRPr="00CD5D09">
              <w:rPr>
                <w:rFonts w:ascii="Arial" w:eastAsia="楷体" w:hAnsi="Arial" w:cs="Arial"/>
                <w:szCs w:val="21"/>
                <w:lang w:val="en-GB"/>
              </w:rPr>
              <w:t>100%</w:t>
            </w:r>
          </w:p>
        </w:tc>
      </w:tr>
      <w:tr w:rsidR="00542CB6" w:rsidRPr="00CD5D09" w14:paraId="280A711C" w14:textId="77777777" w:rsidTr="00CD5D09">
        <w:trPr>
          <w:jc w:val="center"/>
        </w:trPr>
        <w:tc>
          <w:tcPr>
            <w:tcW w:w="8500" w:type="dxa"/>
            <w:gridSpan w:val="5"/>
          </w:tcPr>
          <w:p w14:paraId="70B9EEC8" w14:textId="77777777" w:rsidR="00542CB6" w:rsidRPr="00CD5D09" w:rsidRDefault="00542CB6" w:rsidP="00CD5D09">
            <w:pPr>
              <w:spacing w:before="60" w:after="60"/>
              <w:jc w:val="center"/>
              <w:rPr>
                <w:rFonts w:ascii="Arial" w:eastAsia="楷体" w:hAnsi="Arial" w:cs="Arial"/>
                <w:szCs w:val="21"/>
                <w:lang w:val="en-GB"/>
              </w:rPr>
            </w:pPr>
          </w:p>
        </w:tc>
      </w:tr>
      <w:tr w:rsidR="00542CB6" w:rsidRPr="00CD5D09" w14:paraId="68454C32" w14:textId="77777777" w:rsidTr="00CD5D09">
        <w:trPr>
          <w:jc w:val="center"/>
        </w:trPr>
        <w:tc>
          <w:tcPr>
            <w:tcW w:w="8500" w:type="dxa"/>
            <w:gridSpan w:val="5"/>
          </w:tcPr>
          <w:p w14:paraId="33A1FBCA" w14:textId="0DCBD57E" w:rsidR="00542CB6" w:rsidRPr="00CD5D09" w:rsidRDefault="00542CB6" w:rsidP="00CD5D09">
            <w:pPr>
              <w:spacing w:before="60" w:after="60"/>
              <w:jc w:val="center"/>
              <w:rPr>
                <w:rFonts w:ascii="Arial" w:eastAsia="楷体" w:hAnsi="Arial" w:cs="Arial"/>
                <w:szCs w:val="21"/>
                <w:lang w:val="en-GB"/>
              </w:rPr>
            </w:pPr>
            <w:r w:rsidRPr="00CD5D09">
              <w:rPr>
                <w:rFonts w:ascii="Arial" w:eastAsia="楷体" w:hAnsi="Arial" w:cs="Arial"/>
                <w:szCs w:val="21"/>
                <w:lang w:val="en-GB"/>
              </w:rPr>
              <w:t>Revenue Mix by Geographical Area</w:t>
            </w:r>
            <w:r w:rsidR="00D23A1B">
              <w:rPr>
                <w:rFonts w:ascii="Arial" w:eastAsia="楷体" w:hAnsi="Arial" w:cs="Arial"/>
                <w:szCs w:val="21"/>
                <w:lang w:val="en-GB"/>
              </w:rPr>
              <w:t>—</w:t>
            </w:r>
            <w:r w:rsidRPr="00CD5D09">
              <w:rPr>
                <w:rFonts w:ascii="Arial" w:eastAsia="楷体" w:hAnsi="Arial" w:cs="Arial"/>
                <w:szCs w:val="21"/>
                <w:lang w:val="en-GB"/>
              </w:rPr>
              <w:t>F</w:t>
            </w:r>
            <w:r w:rsidR="00285121">
              <w:rPr>
                <w:rFonts w:ascii="Arial" w:eastAsia="楷体" w:hAnsi="Arial" w:cs="Arial"/>
                <w:szCs w:val="21"/>
                <w:lang w:val="en-GB"/>
              </w:rPr>
              <w:t xml:space="preserve">inancial </w:t>
            </w:r>
            <w:r w:rsidRPr="00CD5D09">
              <w:rPr>
                <w:rFonts w:ascii="Arial" w:eastAsia="楷体" w:hAnsi="Arial" w:cs="Arial"/>
                <w:szCs w:val="21"/>
                <w:lang w:val="en-GB"/>
              </w:rPr>
              <w:t>Y</w:t>
            </w:r>
            <w:r w:rsidR="00285121">
              <w:rPr>
                <w:rFonts w:ascii="Arial" w:eastAsia="楷体" w:hAnsi="Arial" w:cs="Arial"/>
                <w:szCs w:val="21"/>
                <w:lang w:val="en-GB"/>
              </w:rPr>
              <w:t xml:space="preserve">ear </w:t>
            </w:r>
            <w:r w:rsidRPr="00CD5D09">
              <w:rPr>
                <w:rFonts w:ascii="Arial" w:eastAsia="楷体" w:hAnsi="Arial" w:cs="Arial"/>
                <w:szCs w:val="21"/>
                <w:lang w:val="en-GB"/>
              </w:rPr>
              <w:t>2017</w:t>
            </w:r>
          </w:p>
        </w:tc>
      </w:tr>
      <w:tr w:rsidR="00542CB6" w:rsidRPr="00CD5D09" w14:paraId="3E92B7A4" w14:textId="77777777" w:rsidTr="00CD5D09">
        <w:trPr>
          <w:jc w:val="center"/>
        </w:trPr>
        <w:tc>
          <w:tcPr>
            <w:tcW w:w="1700" w:type="dxa"/>
          </w:tcPr>
          <w:p w14:paraId="458915DF" w14:textId="77777777" w:rsidR="00542CB6" w:rsidRPr="00CD5D09" w:rsidRDefault="00542CB6" w:rsidP="00CD5D09">
            <w:pPr>
              <w:spacing w:before="60" w:after="60"/>
              <w:jc w:val="center"/>
              <w:rPr>
                <w:rFonts w:ascii="Arial" w:eastAsia="楷体" w:hAnsi="Arial" w:cs="Arial"/>
                <w:b/>
                <w:szCs w:val="21"/>
                <w:lang w:val="en-GB"/>
              </w:rPr>
            </w:pPr>
            <w:r w:rsidRPr="00CD5D09">
              <w:rPr>
                <w:rFonts w:ascii="Arial" w:eastAsia="楷体" w:hAnsi="Arial" w:cs="Arial"/>
                <w:b/>
                <w:szCs w:val="21"/>
                <w:lang w:val="en-GB"/>
              </w:rPr>
              <w:t>Singapore</w:t>
            </w:r>
          </w:p>
        </w:tc>
        <w:tc>
          <w:tcPr>
            <w:tcW w:w="1700" w:type="dxa"/>
          </w:tcPr>
          <w:p w14:paraId="3718E195" w14:textId="77777777" w:rsidR="00542CB6" w:rsidRPr="00CD5D09" w:rsidRDefault="00542CB6" w:rsidP="00CD5D09">
            <w:pPr>
              <w:spacing w:before="60" w:after="60"/>
              <w:jc w:val="center"/>
              <w:rPr>
                <w:rFonts w:ascii="Arial" w:eastAsia="楷体" w:hAnsi="Arial" w:cs="Arial"/>
                <w:b/>
                <w:szCs w:val="21"/>
                <w:lang w:val="en-GB"/>
              </w:rPr>
            </w:pPr>
            <w:r w:rsidRPr="00CD5D09">
              <w:rPr>
                <w:rFonts w:ascii="Arial" w:eastAsia="楷体" w:hAnsi="Arial" w:cs="Arial"/>
                <w:b/>
                <w:szCs w:val="21"/>
                <w:lang w:val="en-GB"/>
              </w:rPr>
              <w:t>Mainland China</w:t>
            </w:r>
          </w:p>
        </w:tc>
        <w:tc>
          <w:tcPr>
            <w:tcW w:w="1700" w:type="dxa"/>
          </w:tcPr>
          <w:p w14:paraId="5092D53D" w14:textId="77777777" w:rsidR="00542CB6" w:rsidRPr="00CD5D09" w:rsidRDefault="00542CB6" w:rsidP="00CD5D09">
            <w:pPr>
              <w:spacing w:before="60" w:after="60"/>
              <w:jc w:val="center"/>
              <w:rPr>
                <w:rFonts w:ascii="Arial" w:eastAsia="楷体" w:hAnsi="Arial" w:cs="Arial"/>
                <w:b/>
                <w:szCs w:val="21"/>
                <w:lang w:val="en-GB"/>
              </w:rPr>
            </w:pPr>
            <w:r w:rsidRPr="00CD5D09">
              <w:rPr>
                <w:rFonts w:ascii="Arial" w:eastAsia="楷体" w:hAnsi="Arial" w:cs="Arial"/>
                <w:b/>
                <w:szCs w:val="21"/>
                <w:lang w:val="en-GB"/>
              </w:rPr>
              <w:t>Hong Kong</w:t>
            </w:r>
          </w:p>
        </w:tc>
        <w:tc>
          <w:tcPr>
            <w:tcW w:w="1700" w:type="dxa"/>
          </w:tcPr>
          <w:p w14:paraId="2C0B6346" w14:textId="77777777" w:rsidR="00542CB6" w:rsidRPr="00CD5D09" w:rsidRDefault="00542CB6" w:rsidP="00CD5D09">
            <w:pPr>
              <w:spacing w:before="60" w:after="60"/>
              <w:jc w:val="center"/>
              <w:rPr>
                <w:rFonts w:ascii="Arial" w:eastAsia="楷体" w:hAnsi="Arial" w:cs="Arial"/>
                <w:b/>
                <w:szCs w:val="21"/>
                <w:lang w:val="en-GB"/>
              </w:rPr>
            </w:pPr>
            <w:r w:rsidRPr="00CD5D09">
              <w:rPr>
                <w:rFonts w:ascii="Arial" w:eastAsia="楷体" w:hAnsi="Arial" w:cs="Arial"/>
                <w:b/>
                <w:szCs w:val="21"/>
                <w:lang w:val="en-GB"/>
              </w:rPr>
              <w:t>Others</w:t>
            </w:r>
          </w:p>
        </w:tc>
        <w:tc>
          <w:tcPr>
            <w:tcW w:w="1700" w:type="dxa"/>
          </w:tcPr>
          <w:p w14:paraId="4BEC2D4D" w14:textId="77777777" w:rsidR="00542CB6" w:rsidRPr="00CD5D09" w:rsidRDefault="00542CB6" w:rsidP="00CD5D09">
            <w:pPr>
              <w:spacing w:before="60" w:after="60"/>
              <w:jc w:val="center"/>
              <w:rPr>
                <w:rFonts w:ascii="Arial" w:eastAsia="楷体" w:hAnsi="Arial" w:cs="Arial"/>
                <w:b/>
                <w:szCs w:val="21"/>
                <w:lang w:val="en-GB"/>
              </w:rPr>
            </w:pPr>
            <w:r w:rsidRPr="00CD5D09">
              <w:rPr>
                <w:rFonts w:ascii="Arial" w:eastAsia="楷体" w:hAnsi="Arial" w:cs="Arial"/>
                <w:b/>
                <w:szCs w:val="21"/>
                <w:lang w:val="en-GB"/>
              </w:rPr>
              <w:t>Total</w:t>
            </w:r>
          </w:p>
        </w:tc>
      </w:tr>
      <w:tr w:rsidR="00542CB6" w:rsidRPr="00CD5D09" w14:paraId="307B2633" w14:textId="77777777" w:rsidTr="00CD5D09">
        <w:trPr>
          <w:jc w:val="center"/>
        </w:trPr>
        <w:tc>
          <w:tcPr>
            <w:tcW w:w="1700" w:type="dxa"/>
          </w:tcPr>
          <w:p w14:paraId="1D9BF229" w14:textId="77777777" w:rsidR="00542CB6" w:rsidRPr="00CD5D09" w:rsidRDefault="00542CB6" w:rsidP="00CD5D09">
            <w:pPr>
              <w:spacing w:before="60" w:after="60"/>
              <w:jc w:val="center"/>
              <w:rPr>
                <w:rFonts w:ascii="Arial" w:eastAsia="楷体" w:hAnsi="Arial" w:cs="Arial"/>
                <w:szCs w:val="21"/>
                <w:lang w:val="en-GB"/>
              </w:rPr>
            </w:pPr>
            <w:r w:rsidRPr="00CD5D09">
              <w:rPr>
                <w:rFonts w:ascii="Arial" w:eastAsia="楷体" w:hAnsi="Arial" w:cs="Arial"/>
                <w:szCs w:val="21"/>
                <w:lang w:val="en-GB"/>
              </w:rPr>
              <w:t>57%</w:t>
            </w:r>
          </w:p>
        </w:tc>
        <w:tc>
          <w:tcPr>
            <w:tcW w:w="1700" w:type="dxa"/>
          </w:tcPr>
          <w:p w14:paraId="02A5D1BC" w14:textId="77777777" w:rsidR="00542CB6" w:rsidRPr="00CD5D09" w:rsidRDefault="00542CB6" w:rsidP="00CD5D09">
            <w:pPr>
              <w:spacing w:before="60" w:after="60"/>
              <w:jc w:val="center"/>
              <w:rPr>
                <w:rFonts w:ascii="Arial" w:eastAsia="楷体" w:hAnsi="Arial" w:cs="Arial"/>
                <w:szCs w:val="21"/>
                <w:lang w:val="en-GB"/>
              </w:rPr>
            </w:pPr>
            <w:r w:rsidRPr="00CD5D09">
              <w:rPr>
                <w:rFonts w:ascii="Arial" w:eastAsia="楷体" w:hAnsi="Arial" w:cs="Arial"/>
                <w:szCs w:val="21"/>
                <w:lang w:val="en-GB"/>
              </w:rPr>
              <w:t>27%</w:t>
            </w:r>
          </w:p>
        </w:tc>
        <w:tc>
          <w:tcPr>
            <w:tcW w:w="1700" w:type="dxa"/>
          </w:tcPr>
          <w:p w14:paraId="2E6BCDAC" w14:textId="77777777" w:rsidR="00542CB6" w:rsidRPr="00CD5D09" w:rsidRDefault="00542CB6" w:rsidP="00CD5D09">
            <w:pPr>
              <w:spacing w:before="60" w:after="60"/>
              <w:jc w:val="center"/>
              <w:rPr>
                <w:rFonts w:ascii="Arial" w:eastAsia="楷体" w:hAnsi="Arial" w:cs="Arial"/>
                <w:szCs w:val="21"/>
                <w:lang w:val="en-GB"/>
              </w:rPr>
            </w:pPr>
            <w:r w:rsidRPr="00CD5D09">
              <w:rPr>
                <w:rFonts w:ascii="Arial" w:eastAsia="楷体" w:hAnsi="Arial" w:cs="Arial"/>
                <w:szCs w:val="21"/>
                <w:lang w:val="en-GB"/>
              </w:rPr>
              <w:t>9%</w:t>
            </w:r>
          </w:p>
        </w:tc>
        <w:tc>
          <w:tcPr>
            <w:tcW w:w="1700" w:type="dxa"/>
          </w:tcPr>
          <w:p w14:paraId="78BE180C" w14:textId="77777777" w:rsidR="00542CB6" w:rsidRPr="00CD5D09" w:rsidRDefault="00542CB6" w:rsidP="00CD5D09">
            <w:pPr>
              <w:spacing w:before="60" w:after="60"/>
              <w:jc w:val="center"/>
              <w:rPr>
                <w:rFonts w:ascii="Arial" w:eastAsia="楷体" w:hAnsi="Arial" w:cs="Arial"/>
                <w:szCs w:val="21"/>
                <w:lang w:val="en-GB"/>
              </w:rPr>
            </w:pPr>
            <w:r w:rsidRPr="00CD5D09">
              <w:rPr>
                <w:rFonts w:ascii="Arial" w:eastAsia="楷体" w:hAnsi="Arial" w:cs="Arial"/>
                <w:szCs w:val="21"/>
                <w:lang w:val="en-GB"/>
              </w:rPr>
              <w:t>7%</w:t>
            </w:r>
          </w:p>
        </w:tc>
        <w:tc>
          <w:tcPr>
            <w:tcW w:w="1700" w:type="dxa"/>
          </w:tcPr>
          <w:p w14:paraId="2FAD9007" w14:textId="77777777" w:rsidR="00542CB6" w:rsidRPr="00CD5D09" w:rsidRDefault="00542CB6" w:rsidP="00CD5D09">
            <w:pPr>
              <w:spacing w:before="60" w:after="60"/>
              <w:jc w:val="center"/>
              <w:rPr>
                <w:rFonts w:ascii="Arial" w:eastAsia="楷体" w:hAnsi="Arial" w:cs="Arial"/>
                <w:szCs w:val="21"/>
                <w:lang w:val="en-GB"/>
              </w:rPr>
            </w:pPr>
            <w:r w:rsidRPr="00CD5D09">
              <w:rPr>
                <w:rFonts w:ascii="Arial" w:eastAsia="楷体" w:hAnsi="Arial" w:cs="Arial"/>
                <w:szCs w:val="21"/>
                <w:lang w:val="en-GB"/>
              </w:rPr>
              <w:t>100%</w:t>
            </w:r>
          </w:p>
        </w:tc>
      </w:tr>
    </w:tbl>
    <w:p w14:paraId="7F753B34" w14:textId="77777777" w:rsidR="00542CB6" w:rsidRPr="00CD5D09" w:rsidRDefault="00542CB6" w:rsidP="00542CB6">
      <w:pPr>
        <w:spacing w:before="1" w:after="1"/>
        <w:jc w:val="both"/>
        <w:rPr>
          <w:lang w:val="en-GB" w:eastAsia="zh-CN"/>
        </w:rPr>
      </w:pPr>
    </w:p>
    <w:p w14:paraId="4F6D416F" w14:textId="3EDCDEB9" w:rsidR="00542CB6" w:rsidRPr="00CD5D09" w:rsidRDefault="00542CB6" w:rsidP="00542CB6">
      <w:pPr>
        <w:pStyle w:val="Footnote"/>
        <w:rPr>
          <w:lang w:val="en-GB"/>
        </w:rPr>
      </w:pPr>
      <w:r w:rsidRPr="00CD5D09">
        <w:rPr>
          <w:lang w:val="en-GB"/>
        </w:rPr>
        <w:t>Source: Company information.</w:t>
      </w:r>
    </w:p>
    <w:p w14:paraId="2D742FCB" w14:textId="77777777" w:rsidR="00542CB6" w:rsidRPr="00CD5D09" w:rsidRDefault="00542CB6" w:rsidP="00542CB6">
      <w:pPr>
        <w:pStyle w:val="BodyTextMain"/>
        <w:rPr>
          <w:sz w:val="20"/>
          <w:szCs w:val="20"/>
          <w:lang w:val="en-GB"/>
        </w:rPr>
      </w:pPr>
    </w:p>
    <w:p w14:paraId="5D5A4ADF" w14:textId="77777777" w:rsidR="00542CB6" w:rsidRPr="00CD5D09" w:rsidRDefault="00542CB6" w:rsidP="00542CB6">
      <w:pPr>
        <w:pStyle w:val="BodyTextMain"/>
        <w:rPr>
          <w:sz w:val="20"/>
          <w:szCs w:val="20"/>
          <w:lang w:val="en-GB"/>
        </w:rPr>
      </w:pPr>
    </w:p>
    <w:p w14:paraId="6BF73BD4" w14:textId="77777777" w:rsidR="00542CB6" w:rsidRPr="00CD5D09" w:rsidRDefault="00542CB6" w:rsidP="00542CB6">
      <w:pPr>
        <w:spacing w:after="200" w:line="276" w:lineRule="auto"/>
        <w:rPr>
          <w:b/>
          <w:caps/>
          <w:lang w:val="en-GB"/>
        </w:rPr>
      </w:pPr>
      <w:r w:rsidRPr="00CD5D09">
        <w:rPr>
          <w:lang w:val="en-GB"/>
        </w:rPr>
        <w:br w:type="page"/>
      </w:r>
    </w:p>
    <w:p w14:paraId="06BF26A9" w14:textId="7424BEF0" w:rsidR="00542CB6" w:rsidRPr="00CD5D09" w:rsidRDefault="00542CB6" w:rsidP="00542CB6">
      <w:pPr>
        <w:pStyle w:val="Casehead1"/>
        <w:jc w:val="center"/>
        <w:rPr>
          <w:lang w:val="en-GB"/>
        </w:rPr>
      </w:pPr>
      <w:r w:rsidRPr="00CD5D09">
        <w:rPr>
          <w:lang w:val="en-GB"/>
        </w:rPr>
        <w:lastRenderedPageBreak/>
        <w:t xml:space="preserve">Exhibit 3: </w:t>
      </w:r>
      <w:r w:rsidR="003E396D">
        <w:rPr>
          <w:lang w:val="en-GB"/>
        </w:rPr>
        <w:t>BreadTalk Group</w:t>
      </w:r>
      <w:r w:rsidR="00606230">
        <w:rPr>
          <w:lang w:val="en-GB"/>
        </w:rPr>
        <w:t xml:space="preserve"> LIMITED</w:t>
      </w:r>
      <w:r w:rsidR="003E396D">
        <w:rPr>
          <w:lang w:val="en-GB"/>
        </w:rPr>
        <w:t xml:space="preserve"> </w:t>
      </w:r>
      <w:r w:rsidRPr="00CD5D09">
        <w:rPr>
          <w:lang w:val="en-GB"/>
        </w:rPr>
        <w:t xml:space="preserve">outlet growth </w:t>
      </w:r>
    </w:p>
    <w:p w14:paraId="6E3AD192" w14:textId="77777777" w:rsidR="00542CB6" w:rsidRPr="00CD5D09" w:rsidRDefault="00542CB6" w:rsidP="00542CB6">
      <w:pPr>
        <w:spacing w:before="1" w:after="1"/>
        <w:jc w:val="both"/>
        <w:rPr>
          <w:rFonts w:ascii="Arial" w:hAnsi="Arial" w:cs="Arial"/>
          <w:lang w:val="en-GB" w:eastAsia="zh-CN"/>
        </w:rPr>
      </w:pPr>
    </w:p>
    <w:tbl>
      <w:tblPr>
        <w:tblStyle w:val="TableGrid"/>
        <w:tblW w:w="0" w:type="auto"/>
        <w:jc w:val="center"/>
        <w:tblLayout w:type="fixed"/>
        <w:tblCellMar>
          <w:left w:w="58" w:type="dxa"/>
          <w:right w:w="58" w:type="dxa"/>
        </w:tblCellMar>
        <w:tblLook w:val="04A0" w:firstRow="1" w:lastRow="0" w:firstColumn="1" w:lastColumn="0" w:noHBand="0" w:noVBand="1"/>
      </w:tblPr>
      <w:tblGrid>
        <w:gridCol w:w="1555"/>
        <w:gridCol w:w="1134"/>
        <w:gridCol w:w="1134"/>
        <w:gridCol w:w="2742"/>
        <w:gridCol w:w="2360"/>
      </w:tblGrid>
      <w:tr w:rsidR="00542CB6" w:rsidRPr="00CD5D09" w14:paraId="7649A14D" w14:textId="77777777" w:rsidTr="00AA216A">
        <w:trPr>
          <w:trHeight w:val="170"/>
          <w:jc w:val="center"/>
        </w:trPr>
        <w:tc>
          <w:tcPr>
            <w:tcW w:w="1555" w:type="dxa"/>
            <w:vMerge w:val="restart"/>
            <w:vAlign w:val="center"/>
          </w:tcPr>
          <w:p w14:paraId="6186C65F" w14:textId="77777777" w:rsidR="00542CB6" w:rsidRPr="00CD5D09" w:rsidRDefault="00542CB6" w:rsidP="00AA216A">
            <w:pPr>
              <w:jc w:val="center"/>
              <w:rPr>
                <w:rFonts w:ascii="Arial" w:eastAsia="楷体" w:hAnsi="Arial" w:cs="Arial"/>
                <w:b/>
                <w:szCs w:val="21"/>
                <w:lang w:val="en-GB"/>
              </w:rPr>
            </w:pPr>
            <w:r w:rsidRPr="00CD5D09">
              <w:rPr>
                <w:rFonts w:ascii="Arial" w:eastAsia="楷体" w:hAnsi="Arial" w:cs="Arial"/>
                <w:b/>
                <w:szCs w:val="21"/>
                <w:lang w:val="en-GB"/>
              </w:rPr>
              <w:t>Year</w:t>
            </w:r>
          </w:p>
        </w:tc>
        <w:tc>
          <w:tcPr>
            <w:tcW w:w="1134" w:type="dxa"/>
            <w:vMerge w:val="restart"/>
            <w:vAlign w:val="center"/>
          </w:tcPr>
          <w:p w14:paraId="0A751FEE" w14:textId="77777777" w:rsidR="00542CB6" w:rsidRPr="00CD5D09" w:rsidRDefault="00542CB6" w:rsidP="00AA216A">
            <w:pPr>
              <w:jc w:val="center"/>
              <w:rPr>
                <w:rFonts w:ascii="Arial" w:eastAsia="楷体" w:hAnsi="Arial" w:cs="Arial"/>
                <w:b/>
                <w:szCs w:val="21"/>
                <w:lang w:val="en-GB"/>
              </w:rPr>
            </w:pPr>
            <w:r w:rsidRPr="00CD5D09">
              <w:rPr>
                <w:rFonts w:ascii="Arial" w:eastAsia="楷体" w:hAnsi="Arial" w:cs="Arial"/>
                <w:b/>
                <w:szCs w:val="21"/>
                <w:lang w:val="en-GB"/>
              </w:rPr>
              <w:t>Bakery Only</w:t>
            </w:r>
          </w:p>
        </w:tc>
        <w:tc>
          <w:tcPr>
            <w:tcW w:w="6236" w:type="dxa"/>
            <w:gridSpan w:val="3"/>
          </w:tcPr>
          <w:p w14:paraId="4A5692C6" w14:textId="77777777" w:rsidR="00542CB6" w:rsidRPr="00CD5D09" w:rsidRDefault="00542CB6" w:rsidP="00AA216A">
            <w:pPr>
              <w:jc w:val="center"/>
              <w:rPr>
                <w:rFonts w:ascii="Arial" w:eastAsia="楷体" w:hAnsi="Arial" w:cs="Arial"/>
                <w:b/>
                <w:szCs w:val="21"/>
                <w:lang w:val="en-GB"/>
              </w:rPr>
            </w:pPr>
            <w:r w:rsidRPr="00CD5D09">
              <w:rPr>
                <w:rFonts w:ascii="Arial" w:eastAsia="楷体" w:hAnsi="Arial" w:cs="Arial"/>
                <w:b/>
                <w:szCs w:val="21"/>
                <w:lang w:val="en-GB"/>
              </w:rPr>
              <w:t>Overall</w:t>
            </w:r>
          </w:p>
        </w:tc>
      </w:tr>
      <w:tr w:rsidR="00542CB6" w:rsidRPr="00CD5D09" w14:paraId="52DF3AA8" w14:textId="77777777" w:rsidTr="00AA216A">
        <w:trPr>
          <w:trHeight w:val="20"/>
          <w:jc w:val="center"/>
        </w:trPr>
        <w:tc>
          <w:tcPr>
            <w:tcW w:w="1555" w:type="dxa"/>
            <w:vMerge/>
          </w:tcPr>
          <w:p w14:paraId="01BDEBFB" w14:textId="77777777" w:rsidR="00542CB6" w:rsidRPr="00CD5D09" w:rsidRDefault="00542CB6" w:rsidP="00AA216A">
            <w:pPr>
              <w:jc w:val="center"/>
              <w:rPr>
                <w:rFonts w:ascii="Arial" w:eastAsia="楷体" w:hAnsi="Arial" w:cs="Arial"/>
                <w:szCs w:val="21"/>
                <w:lang w:val="en-GB"/>
              </w:rPr>
            </w:pPr>
          </w:p>
        </w:tc>
        <w:tc>
          <w:tcPr>
            <w:tcW w:w="1134" w:type="dxa"/>
            <w:vMerge/>
            <w:vAlign w:val="center"/>
          </w:tcPr>
          <w:p w14:paraId="6E12A9F6" w14:textId="77777777" w:rsidR="00542CB6" w:rsidRPr="00CD5D09" w:rsidRDefault="00542CB6" w:rsidP="00AA216A">
            <w:pPr>
              <w:jc w:val="center"/>
              <w:rPr>
                <w:rFonts w:ascii="Arial" w:eastAsia="楷体" w:hAnsi="Arial" w:cs="Arial"/>
                <w:szCs w:val="21"/>
                <w:lang w:val="en-GB"/>
              </w:rPr>
            </w:pPr>
          </w:p>
        </w:tc>
        <w:tc>
          <w:tcPr>
            <w:tcW w:w="1134" w:type="dxa"/>
            <w:vMerge w:val="restart"/>
            <w:vAlign w:val="center"/>
          </w:tcPr>
          <w:p w14:paraId="5D0F41E5" w14:textId="77777777" w:rsidR="00542CB6" w:rsidRPr="00CD5D09" w:rsidRDefault="00542CB6" w:rsidP="00AA216A">
            <w:pPr>
              <w:jc w:val="center"/>
              <w:rPr>
                <w:rFonts w:ascii="Arial" w:eastAsia="楷体" w:hAnsi="Arial" w:cs="Arial"/>
                <w:b/>
                <w:szCs w:val="21"/>
                <w:lang w:val="en-GB"/>
              </w:rPr>
            </w:pPr>
            <w:r w:rsidRPr="00CD5D09">
              <w:rPr>
                <w:rFonts w:ascii="Arial" w:eastAsia="楷体" w:hAnsi="Arial" w:cs="Arial"/>
                <w:b/>
                <w:szCs w:val="21"/>
                <w:lang w:val="en-GB"/>
              </w:rPr>
              <w:t>Total Number</w:t>
            </w:r>
          </w:p>
        </w:tc>
        <w:tc>
          <w:tcPr>
            <w:tcW w:w="5102" w:type="dxa"/>
            <w:gridSpan w:val="2"/>
          </w:tcPr>
          <w:p w14:paraId="2D5FE4F4" w14:textId="77777777" w:rsidR="00542CB6" w:rsidRPr="00CD5D09" w:rsidRDefault="00542CB6" w:rsidP="00AA216A">
            <w:pPr>
              <w:jc w:val="center"/>
              <w:rPr>
                <w:rFonts w:ascii="Arial" w:eastAsia="楷体" w:hAnsi="Arial" w:cs="Arial"/>
                <w:b/>
                <w:szCs w:val="21"/>
                <w:lang w:val="en-GB"/>
              </w:rPr>
            </w:pPr>
            <w:r w:rsidRPr="00CD5D09">
              <w:rPr>
                <w:rFonts w:ascii="Arial" w:eastAsia="楷体" w:hAnsi="Arial" w:cs="Arial"/>
                <w:b/>
                <w:szCs w:val="21"/>
                <w:lang w:val="en-GB"/>
              </w:rPr>
              <w:t>Brands and Territories</w:t>
            </w:r>
          </w:p>
        </w:tc>
      </w:tr>
      <w:tr w:rsidR="00542CB6" w:rsidRPr="00CD5D09" w14:paraId="1B28CA62" w14:textId="77777777" w:rsidTr="00AA216A">
        <w:trPr>
          <w:trHeight w:val="20"/>
          <w:jc w:val="center"/>
        </w:trPr>
        <w:tc>
          <w:tcPr>
            <w:tcW w:w="1555" w:type="dxa"/>
            <w:vMerge/>
          </w:tcPr>
          <w:p w14:paraId="58DA2CF3" w14:textId="77777777" w:rsidR="00542CB6" w:rsidRPr="00CD5D09" w:rsidRDefault="00542CB6" w:rsidP="00AA216A">
            <w:pPr>
              <w:jc w:val="center"/>
              <w:rPr>
                <w:rFonts w:ascii="Arial" w:eastAsia="楷体" w:hAnsi="Arial" w:cs="Arial"/>
                <w:szCs w:val="21"/>
                <w:lang w:val="en-GB"/>
              </w:rPr>
            </w:pPr>
          </w:p>
        </w:tc>
        <w:tc>
          <w:tcPr>
            <w:tcW w:w="1134" w:type="dxa"/>
            <w:vMerge/>
            <w:vAlign w:val="center"/>
          </w:tcPr>
          <w:p w14:paraId="44FB5206" w14:textId="77777777" w:rsidR="00542CB6" w:rsidRPr="00CD5D09" w:rsidRDefault="00542CB6" w:rsidP="00AA216A">
            <w:pPr>
              <w:jc w:val="center"/>
              <w:rPr>
                <w:rFonts w:ascii="Arial" w:eastAsia="楷体" w:hAnsi="Arial" w:cs="Arial"/>
                <w:szCs w:val="21"/>
                <w:lang w:val="en-GB"/>
              </w:rPr>
            </w:pPr>
          </w:p>
        </w:tc>
        <w:tc>
          <w:tcPr>
            <w:tcW w:w="1134" w:type="dxa"/>
            <w:vMerge/>
          </w:tcPr>
          <w:p w14:paraId="788691A9" w14:textId="77777777" w:rsidR="00542CB6" w:rsidRPr="00CD5D09" w:rsidRDefault="00542CB6" w:rsidP="00AA216A">
            <w:pPr>
              <w:jc w:val="right"/>
              <w:rPr>
                <w:rFonts w:ascii="Arial" w:eastAsia="楷体" w:hAnsi="Arial" w:cs="Arial"/>
                <w:szCs w:val="21"/>
                <w:lang w:val="en-GB"/>
              </w:rPr>
            </w:pPr>
          </w:p>
        </w:tc>
        <w:tc>
          <w:tcPr>
            <w:tcW w:w="2742" w:type="dxa"/>
            <w:vAlign w:val="center"/>
          </w:tcPr>
          <w:p w14:paraId="5D8EE64C" w14:textId="77777777" w:rsidR="00542CB6" w:rsidRPr="00CD5D09" w:rsidRDefault="00542CB6" w:rsidP="00AA216A">
            <w:pPr>
              <w:jc w:val="center"/>
              <w:rPr>
                <w:rFonts w:ascii="Arial" w:eastAsia="楷体" w:hAnsi="Arial" w:cs="Arial"/>
                <w:b/>
                <w:szCs w:val="21"/>
                <w:lang w:val="en-GB"/>
              </w:rPr>
            </w:pPr>
            <w:r w:rsidRPr="00CD5D09">
              <w:rPr>
                <w:rFonts w:ascii="Arial" w:eastAsia="楷体" w:hAnsi="Arial" w:cs="Arial"/>
                <w:b/>
                <w:szCs w:val="21"/>
                <w:lang w:val="en-GB"/>
              </w:rPr>
              <w:t>World</w:t>
            </w:r>
          </w:p>
        </w:tc>
        <w:tc>
          <w:tcPr>
            <w:tcW w:w="2360" w:type="dxa"/>
            <w:vAlign w:val="center"/>
          </w:tcPr>
          <w:p w14:paraId="4E25CCA6" w14:textId="77777777" w:rsidR="00542CB6" w:rsidRPr="00CD5D09" w:rsidRDefault="00542CB6" w:rsidP="00AA216A">
            <w:pPr>
              <w:jc w:val="center"/>
              <w:rPr>
                <w:rFonts w:ascii="Arial" w:eastAsia="楷体" w:hAnsi="Arial" w:cs="Arial"/>
                <w:b/>
                <w:szCs w:val="21"/>
                <w:lang w:val="en-GB"/>
              </w:rPr>
            </w:pPr>
            <w:r w:rsidRPr="00CD5D09">
              <w:rPr>
                <w:rFonts w:ascii="Arial" w:eastAsia="楷体" w:hAnsi="Arial" w:cs="Arial"/>
                <w:b/>
                <w:szCs w:val="21"/>
                <w:lang w:val="en-GB"/>
              </w:rPr>
              <w:t>Cities in Mainland China</w:t>
            </w:r>
          </w:p>
        </w:tc>
      </w:tr>
      <w:tr w:rsidR="00542CB6" w:rsidRPr="00CD5D09" w14:paraId="4252E96D" w14:textId="77777777" w:rsidTr="00AA216A">
        <w:trPr>
          <w:trHeight w:val="20"/>
          <w:jc w:val="center"/>
        </w:trPr>
        <w:tc>
          <w:tcPr>
            <w:tcW w:w="1555" w:type="dxa"/>
          </w:tcPr>
          <w:p w14:paraId="06E8CF6C" w14:textId="77777777" w:rsidR="00542CB6" w:rsidRPr="00CD5D09" w:rsidRDefault="00542CB6" w:rsidP="00AA216A">
            <w:pPr>
              <w:jc w:val="center"/>
              <w:rPr>
                <w:rFonts w:ascii="Arial" w:eastAsia="楷体" w:hAnsi="Arial" w:cs="Arial"/>
                <w:szCs w:val="21"/>
                <w:lang w:val="en-GB"/>
              </w:rPr>
            </w:pPr>
            <w:r w:rsidRPr="00CD5D09">
              <w:rPr>
                <w:rFonts w:ascii="Arial" w:eastAsia="楷体" w:hAnsi="Arial" w:cs="Arial"/>
                <w:szCs w:val="21"/>
                <w:lang w:val="en-GB"/>
              </w:rPr>
              <w:t>2000</w:t>
            </w:r>
          </w:p>
        </w:tc>
        <w:tc>
          <w:tcPr>
            <w:tcW w:w="1134" w:type="dxa"/>
          </w:tcPr>
          <w:p w14:paraId="2C6A1018" w14:textId="77777777" w:rsidR="00542CB6" w:rsidRPr="00CD5D09" w:rsidRDefault="00542CB6" w:rsidP="00AA216A">
            <w:pPr>
              <w:jc w:val="center"/>
              <w:rPr>
                <w:rFonts w:ascii="Arial" w:eastAsia="楷体" w:hAnsi="Arial" w:cs="Arial"/>
                <w:szCs w:val="21"/>
                <w:lang w:val="en-GB"/>
              </w:rPr>
            </w:pPr>
            <w:r w:rsidRPr="00CD5D09">
              <w:rPr>
                <w:rFonts w:ascii="Arial" w:eastAsia="楷体" w:hAnsi="Arial" w:cs="Arial"/>
                <w:szCs w:val="21"/>
                <w:lang w:val="en-GB"/>
              </w:rPr>
              <w:t>1</w:t>
            </w:r>
          </w:p>
        </w:tc>
        <w:tc>
          <w:tcPr>
            <w:tcW w:w="1134" w:type="dxa"/>
          </w:tcPr>
          <w:p w14:paraId="7BF8227C" w14:textId="77777777" w:rsidR="00542CB6" w:rsidRPr="00CD5D09" w:rsidRDefault="00542CB6" w:rsidP="00AA216A">
            <w:pPr>
              <w:jc w:val="center"/>
              <w:rPr>
                <w:rFonts w:ascii="Arial" w:eastAsia="楷体" w:hAnsi="Arial" w:cs="Arial"/>
                <w:szCs w:val="21"/>
                <w:lang w:val="en-GB"/>
              </w:rPr>
            </w:pPr>
            <w:r w:rsidRPr="00CD5D09">
              <w:rPr>
                <w:rFonts w:ascii="Arial" w:eastAsia="楷体" w:hAnsi="Arial" w:cs="Arial"/>
                <w:szCs w:val="21"/>
                <w:lang w:val="en-GB"/>
              </w:rPr>
              <w:t>1</w:t>
            </w:r>
          </w:p>
        </w:tc>
        <w:tc>
          <w:tcPr>
            <w:tcW w:w="2742" w:type="dxa"/>
          </w:tcPr>
          <w:p w14:paraId="794FF0F8" w14:textId="77777777" w:rsidR="00542CB6" w:rsidRPr="00CD5D09" w:rsidRDefault="00542CB6" w:rsidP="00AA216A">
            <w:pPr>
              <w:jc w:val="center"/>
              <w:rPr>
                <w:rFonts w:ascii="Arial" w:eastAsia="楷体" w:hAnsi="Arial" w:cs="Arial"/>
                <w:szCs w:val="21"/>
                <w:lang w:val="en-GB"/>
              </w:rPr>
            </w:pPr>
            <w:r w:rsidRPr="00CD5D09">
              <w:rPr>
                <w:rFonts w:ascii="Arial" w:eastAsia="楷体" w:hAnsi="Arial" w:cs="Arial"/>
                <w:szCs w:val="21"/>
                <w:lang w:val="en-GB"/>
              </w:rPr>
              <w:t>A single brand in Singapore</w:t>
            </w:r>
          </w:p>
        </w:tc>
        <w:tc>
          <w:tcPr>
            <w:tcW w:w="2360" w:type="dxa"/>
          </w:tcPr>
          <w:p w14:paraId="0ADC591A" w14:textId="77777777" w:rsidR="00542CB6" w:rsidRPr="00CD5D09" w:rsidRDefault="00542CB6" w:rsidP="00AA216A">
            <w:pPr>
              <w:jc w:val="center"/>
              <w:rPr>
                <w:rFonts w:ascii="Arial" w:eastAsia="楷体" w:hAnsi="Arial" w:cs="Arial"/>
                <w:szCs w:val="21"/>
                <w:lang w:val="en-GB"/>
              </w:rPr>
            </w:pPr>
            <w:r w:rsidRPr="00CD5D09">
              <w:rPr>
                <w:rFonts w:ascii="Arial" w:eastAsia="楷体" w:hAnsi="Arial" w:cs="Arial"/>
                <w:szCs w:val="21"/>
                <w:lang w:val="en-GB"/>
              </w:rPr>
              <w:t>0</w:t>
            </w:r>
          </w:p>
        </w:tc>
      </w:tr>
      <w:tr w:rsidR="00542CB6" w:rsidRPr="00CD5D09" w14:paraId="2519F043" w14:textId="77777777" w:rsidTr="00AA216A">
        <w:trPr>
          <w:trHeight w:val="20"/>
          <w:jc w:val="center"/>
        </w:trPr>
        <w:tc>
          <w:tcPr>
            <w:tcW w:w="1555" w:type="dxa"/>
          </w:tcPr>
          <w:p w14:paraId="01D1D02B" w14:textId="77777777" w:rsidR="00542CB6" w:rsidRPr="00CD5D09" w:rsidRDefault="00542CB6" w:rsidP="00AA216A">
            <w:pPr>
              <w:jc w:val="center"/>
              <w:rPr>
                <w:rFonts w:ascii="Arial" w:eastAsia="楷体" w:hAnsi="Arial" w:cs="Arial"/>
                <w:szCs w:val="21"/>
                <w:lang w:val="en-GB"/>
              </w:rPr>
            </w:pPr>
            <w:r w:rsidRPr="00CD5D09">
              <w:rPr>
                <w:rFonts w:ascii="Arial" w:eastAsia="楷体" w:hAnsi="Arial" w:cs="Arial"/>
                <w:szCs w:val="21"/>
                <w:lang w:val="en-GB"/>
              </w:rPr>
              <w:t>2003</w:t>
            </w:r>
          </w:p>
          <w:p w14:paraId="692BC5BB" w14:textId="77777777" w:rsidR="00542CB6" w:rsidRPr="00CD5D09" w:rsidRDefault="00542CB6" w:rsidP="00AA216A">
            <w:pPr>
              <w:jc w:val="center"/>
              <w:rPr>
                <w:rFonts w:ascii="Arial" w:eastAsia="楷体" w:hAnsi="Arial" w:cs="Arial"/>
                <w:szCs w:val="21"/>
                <w:lang w:val="en-GB"/>
              </w:rPr>
            </w:pPr>
            <w:r w:rsidRPr="00CD5D09">
              <w:rPr>
                <w:rFonts w:ascii="Arial" w:eastAsia="楷体" w:hAnsi="Arial" w:cs="Arial"/>
                <w:szCs w:val="21"/>
                <w:lang w:val="en-GB"/>
              </w:rPr>
              <w:t>(listed)</w:t>
            </w:r>
          </w:p>
        </w:tc>
        <w:tc>
          <w:tcPr>
            <w:tcW w:w="1134" w:type="dxa"/>
          </w:tcPr>
          <w:p w14:paraId="4F4D750C" w14:textId="77777777" w:rsidR="00542CB6" w:rsidRPr="00CD5D09" w:rsidRDefault="00542CB6" w:rsidP="00AA216A">
            <w:pPr>
              <w:jc w:val="center"/>
              <w:rPr>
                <w:rFonts w:ascii="Arial" w:eastAsia="楷体" w:hAnsi="Arial" w:cs="Arial"/>
                <w:szCs w:val="21"/>
                <w:lang w:val="en-GB"/>
              </w:rPr>
            </w:pPr>
            <w:r w:rsidRPr="00CD5D09">
              <w:rPr>
                <w:rFonts w:ascii="Arial" w:eastAsia="楷体" w:hAnsi="Arial" w:cs="Arial"/>
                <w:szCs w:val="21"/>
                <w:lang w:val="en-GB"/>
              </w:rPr>
              <w:t>Over 20</w:t>
            </w:r>
          </w:p>
        </w:tc>
        <w:tc>
          <w:tcPr>
            <w:tcW w:w="1134" w:type="dxa"/>
          </w:tcPr>
          <w:p w14:paraId="69901D3B" w14:textId="77777777" w:rsidR="00542CB6" w:rsidRPr="00CD5D09" w:rsidRDefault="00542CB6" w:rsidP="00AA216A">
            <w:pPr>
              <w:jc w:val="center"/>
              <w:rPr>
                <w:rFonts w:ascii="Arial" w:eastAsia="楷体" w:hAnsi="Arial" w:cs="Arial"/>
                <w:szCs w:val="21"/>
                <w:lang w:val="en-GB"/>
              </w:rPr>
            </w:pPr>
            <w:r w:rsidRPr="00CD5D09">
              <w:rPr>
                <w:rFonts w:ascii="Arial" w:eastAsia="楷体" w:hAnsi="Arial" w:cs="Arial"/>
                <w:szCs w:val="21"/>
                <w:lang w:val="en-GB"/>
              </w:rPr>
              <w:t>Over 20</w:t>
            </w:r>
          </w:p>
        </w:tc>
        <w:tc>
          <w:tcPr>
            <w:tcW w:w="2742" w:type="dxa"/>
          </w:tcPr>
          <w:p w14:paraId="58BE5266" w14:textId="77777777" w:rsidR="00542CB6" w:rsidRPr="00CD5D09" w:rsidRDefault="00542CB6" w:rsidP="00AA216A">
            <w:pPr>
              <w:jc w:val="center"/>
              <w:rPr>
                <w:rFonts w:ascii="Arial" w:eastAsia="楷体" w:hAnsi="Arial" w:cs="Arial"/>
                <w:szCs w:val="21"/>
                <w:lang w:val="en-GB"/>
              </w:rPr>
            </w:pPr>
            <w:r w:rsidRPr="00CD5D09">
              <w:rPr>
                <w:rFonts w:ascii="Arial" w:eastAsia="楷体" w:hAnsi="Arial" w:cs="Arial"/>
                <w:szCs w:val="21"/>
                <w:lang w:val="en-GB"/>
              </w:rPr>
              <w:t>A single brand in Singapore, Indonesia, and mainland China</w:t>
            </w:r>
          </w:p>
        </w:tc>
        <w:tc>
          <w:tcPr>
            <w:tcW w:w="2360" w:type="dxa"/>
          </w:tcPr>
          <w:p w14:paraId="186BF776" w14:textId="77777777" w:rsidR="00542CB6" w:rsidRPr="00CD5D09" w:rsidRDefault="00542CB6" w:rsidP="00AA216A">
            <w:pPr>
              <w:jc w:val="center"/>
              <w:rPr>
                <w:rFonts w:ascii="Arial" w:eastAsia="楷体" w:hAnsi="Arial" w:cs="Arial"/>
                <w:szCs w:val="21"/>
                <w:lang w:val="en-GB"/>
              </w:rPr>
            </w:pPr>
            <w:r w:rsidRPr="00CD5D09">
              <w:rPr>
                <w:rFonts w:ascii="Arial" w:eastAsia="楷体" w:hAnsi="Arial" w:cs="Arial"/>
                <w:szCs w:val="21"/>
                <w:lang w:val="en-GB"/>
              </w:rPr>
              <w:t>1</w:t>
            </w:r>
          </w:p>
          <w:p w14:paraId="01012CA2" w14:textId="0A9207C4" w:rsidR="00542CB6" w:rsidRPr="00CD5D09" w:rsidRDefault="00542CB6" w:rsidP="00AA216A">
            <w:pPr>
              <w:jc w:val="center"/>
              <w:rPr>
                <w:rFonts w:ascii="Arial" w:eastAsia="楷体" w:hAnsi="Arial" w:cs="Arial"/>
                <w:szCs w:val="21"/>
                <w:lang w:val="en-GB"/>
              </w:rPr>
            </w:pPr>
            <w:r w:rsidRPr="00CD5D09">
              <w:rPr>
                <w:rFonts w:ascii="Arial" w:eastAsia="楷体" w:hAnsi="Arial" w:cs="Arial"/>
                <w:szCs w:val="21"/>
                <w:lang w:val="en-GB"/>
              </w:rPr>
              <w:t>(Shanghai)</w:t>
            </w:r>
          </w:p>
        </w:tc>
      </w:tr>
      <w:tr w:rsidR="00542CB6" w:rsidRPr="00CD5D09" w14:paraId="32C12159" w14:textId="77777777" w:rsidTr="00AA216A">
        <w:trPr>
          <w:trHeight w:val="20"/>
          <w:jc w:val="center"/>
        </w:trPr>
        <w:tc>
          <w:tcPr>
            <w:tcW w:w="1555" w:type="dxa"/>
          </w:tcPr>
          <w:p w14:paraId="6F22F0A9" w14:textId="77777777" w:rsidR="00542CB6" w:rsidRPr="00CD5D09" w:rsidRDefault="00542CB6" w:rsidP="00AA216A">
            <w:pPr>
              <w:jc w:val="center"/>
              <w:rPr>
                <w:rFonts w:ascii="Arial" w:eastAsia="楷体" w:hAnsi="Arial" w:cs="Arial"/>
                <w:szCs w:val="21"/>
                <w:lang w:val="en-GB"/>
              </w:rPr>
            </w:pPr>
            <w:r w:rsidRPr="00CD5D09">
              <w:rPr>
                <w:rFonts w:ascii="Arial" w:eastAsia="楷体" w:hAnsi="Arial" w:cs="Arial"/>
                <w:szCs w:val="21"/>
                <w:lang w:val="en-GB"/>
              </w:rPr>
              <w:t>2007</w:t>
            </w:r>
          </w:p>
        </w:tc>
        <w:tc>
          <w:tcPr>
            <w:tcW w:w="1134" w:type="dxa"/>
          </w:tcPr>
          <w:p w14:paraId="2A778330" w14:textId="77777777" w:rsidR="00542CB6" w:rsidRPr="00CD5D09" w:rsidRDefault="00542CB6" w:rsidP="00AA216A">
            <w:pPr>
              <w:jc w:val="center"/>
              <w:rPr>
                <w:rFonts w:ascii="Arial" w:eastAsia="楷体" w:hAnsi="Arial" w:cs="Arial"/>
                <w:szCs w:val="21"/>
                <w:lang w:val="en-GB"/>
              </w:rPr>
            </w:pPr>
            <w:r w:rsidRPr="00CD5D09">
              <w:rPr>
                <w:rFonts w:ascii="Arial" w:eastAsia="楷体" w:hAnsi="Arial" w:cs="Arial"/>
                <w:szCs w:val="21"/>
                <w:lang w:val="en-GB"/>
              </w:rPr>
              <w:t>Over 100</w:t>
            </w:r>
          </w:p>
        </w:tc>
        <w:tc>
          <w:tcPr>
            <w:tcW w:w="1134" w:type="dxa"/>
          </w:tcPr>
          <w:p w14:paraId="45F08701" w14:textId="77777777" w:rsidR="00542CB6" w:rsidRPr="00CD5D09" w:rsidRDefault="00542CB6" w:rsidP="00AA216A">
            <w:pPr>
              <w:jc w:val="center"/>
              <w:rPr>
                <w:rFonts w:ascii="Arial" w:eastAsia="楷体" w:hAnsi="Arial" w:cs="Arial"/>
                <w:szCs w:val="21"/>
                <w:lang w:val="en-GB"/>
              </w:rPr>
            </w:pPr>
            <w:r w:rsidRPr="00CD5D09">
              <w:rPr>
                <w:rFonts w:ascii="Arial" w:eastAsia="楷体" w:hAnsi="Arial" w:cs="Arial"/>
                <w:szCs w:val="21"/>
                <w:lang w:val="en-GB"/>
              </w:rPr>
              <w:t>Over 100</w:t>
            </w:r>
          </w:p>
        </w:tc>
        <w:tc>
          <w:tcPr>
            <w:tcW w:w="2742" w:type="dxa"/>
          </w:tcPr>
          <w:p w14:paraId="3777FE8A" w14:textId="1F40AFAA" w:rsidR="00542CB6" w:rsidRPr="00CD5D09" w:rsidRDefault="00542CB6" w:rsidP="00AA216A">
            <w:pPr>
              <w:jc w:val="center"/>
              <w:rPr>
                <w:rFonts w:ascii="Arial" w:eastAsia="楷体" w:hAnsi="Arial" w:cs="Arial"/>
                <w:szCs w:val="21"/>
                <w:lang w:val="en-GB"/>
              </w:rPr>
            </w:pPr>
            <w:r w:rsidRPr="00CD5D09">
              <w:rPr>
                <w:rFonts w:ascii="Arial" w:eastAsia="楷体" w:hAnsi="Arial" w:cs="Arial"/>
                <w:szCs w:val="21"/>
                <w:lang w:val="en-GB"/>
              </w:rPr>
              <w:t>4 brands in several territories in Asia</w:t>
            </w:r>
          </w:p>
        </w:tc>
        <w:tc>
          <w:tcPr>
            <w:tcW w:w="2360" w:type="dxa"/>
          </w:tcPr>
          <w:p w14:paraId="116CD16C" w14:textId="0F9FCED9" w:rsidR="00542CB6" w:rsidRPr="00CD5D09" w:rsidRDefault="00542CB6" w:rsidP="00AA216A">
            <w:pPr>
              <w:jc w:val="center"/>
              <w:rPr>
                <w:rFonts w:ascii="Arial" w:eastAsia="楷体" w:hAnsi="Arial" w:cs="Arial"/>
                <w:szCs w:val="21"/>
                <w:lang w:val="en-GB"/>
              </w:rPr>
            </w:pPr>
            <w:r w:rsidRPr="00CD5D09">
              <w:rPr>
                <w:rFonts w:ascii="Arial" w:eastAsia="楷体" w:hAnsi="Arial" w:cs="Arial"/>
                <w:szCs w:val="21"/>
                <w:lang w:val="en-GB"/>
              </w:rPr>
              <w:t>Several</w:t>
            </w:r>
          </w:p>
          <w:p w14:paraId="16AAD52F" w14:textId="77777777" w:rsidR="00542CB6" w:rsidRPr="00CD5D09" w:rsidRDefault="00542CB6" w:rsidP="00AA216A">
            <w:pPr>
              <w:jc w:val="center"/>
              <w:rPr>
                <w:rFonts w:ascii="Arial" w:eastAsia="楷体" w:hAnsi="Arial" w:cs="Arial"/>
                <w:szCs w:val="21"/>
                <w:lang w:val="en-GB"/>
              </w:rPr>
            </w:pPr>
          </w:p>
        </w:tc>
      </w:tr>
      <w:tr w:rsidR="00542CB6" w:rsidRPr="00CD5D09" w14:paraId="1FD91F40" w14:textId="77777777" w:rsidTr="00AA216A">
        <w:trPr>
          <w:trHeight w:val="20"/>
          <w:jc w:val="center"/>
        </w:trPr>
        <w:tc>
          <w:tcPr>
            <w:tcW w:w="1555" w:type="dxa"/>
          </w:tcPr>
          <w:p w14:paraId="362932CB" w14:textId="77777777" w:rsidR="00542CB6" w:rsidRPr="00CD5D09" w:rsidRDefault="00542CB6" w:rsidP="00AA216A">
            <w:pPr>
              <w:jc w:val="center"/>
              <w:rPr>
                <w:rFonts w:ascii="Arial" w:eastAsia="楷体" w:hAnsi="Arial" w:cs="Arial"/>
                <w:szCs w:val="21"/>
                <w:lang w:val="en-GB"/>
              </w:rPr>
            </w:pPr>
            <w:r w:rsidRPr="00CD5D09">
              <w:rPr>
                <w:rFonts w:ascii="Arial" w:eastAsia="楷体" w:hAnsi="Arial" w:cs="Arial"/>
                <w:szCs w:val="21"/>
                <w:lang w:val="en-GB"/>
              </w:rPr>
              <w:t>2010</w:t>
            </w:r>
          </w:p>
          <w:p w14:paraId="658E58F4" w14:textId="5FC9FEF0" w:rsidR="00542CB6" w:rsidRPr="00CD5D09" w:rsidRDefault="00542CB6" w:rsidP="00AA216A">
            <w:pPr>
              <w:jc w:val="center"/>
              <w:rPr>
                <w:rFonts w:ascii="Arial" w:eastAsia="楷体" w:hAnsi="Arial" w:cs="Arial"/>
                <w:szCs w:val="21"/>
                <w:lang w:val="en-GB"/>
              </w:rPr>
            </w:pPr>
            <w:r w:rsidRPr="00CD5D09">
              <w:rPr>
                <w:rFonts w:ascii="Arial" w:eastAsia="楷体" w:hAnsi="Arial" w:cs="Arial"/>
                <w:szCs w:val="21"/>
                <w:lang w:val="en-GB"/>
              </w:rPr>
              <w:t>(10</w:t>
            </w:r>
            <w:r w:rsidR="00606230">
              <w:rPr>
                <w:rFonts w:ascii="Arial" w:eastAsia="楷体" w:hAnsi="Arial" w:cs="Arial"/>
                <w:szCs w:val="21"/>
                <w:lang w:val="en-GB"/>
              </w:rPr>
              <w:t>th</w:t>
            </w:r>
            <w:r w:rsidRPr="00CD5D09">
              <w:rPr>
                <w:rFonts w:ascii="Arial" w:eastAsia="楷体" w:hAnsi="Arial" w:cs="Arial"/>
                <w:szCs w:val="21"/>
                <w:lang w:val="en-GB"/>
              </w:rPr>
              <w:t xml:space="preserve"> year)</w:t>
            </w:r>
          </w:p>
        </w:tc>
        <w:tc>
          <w:tcPr>
            <w:tcW w:w="1134" w:type="dxa"/>
          </w:tcPr>
          <w:p w14:paraId="20F78639" w14:textId="77777777" w:rsidR="00542CB6" w:rsidRPr="00CD5D09" w:rsidRDefault="00542CB6" w:rsidP="00AA216A">
            <w:pPr>
              <w:jc w:val="center"/>
              <w:rPr>
                <w:rFonts w:ascii="Arial" w:eastAsia="楷体" w:hAnsi="Arial" w:cs="Arial"/>
                <w:szCs w:val="21"/>
                <w:lang w:val="en-GB"/>
              </w:rPr>
            </w:pPr>
            <w:r w:rsidRPr="00CD5D09">
              <w:rPr>
                <w:rFonts w:ascii="Arial" w:eastAsia="楷体" w:hAnsi="Arial" w:cs="Arial"/>
                <w:szCs w:val="21"/>
                <w:lang w:val="en-GB"/>
              </w:rPr>
              <w:t>395</w:t>
            </w:r>
          </w:p>
        </w:tc>
        <w:tc>
          <w:tcPr>
            <w:tcW w:w="1134" w:type="dxa"/>
          </w:tcPr>
          <w:p w14:paraId="52E4FCAB" w14:textId="77777777" w:rsidR="00542CB6" w:rsidRPr="00CD5D09" w:rsidRDefault="00542CB6" w:rsidP="00AA216A">
            <w:pPr>
              <w:jc w:val="center"/>
              <w:rPr>
                <w:rFonts w:ascii="Arial" w:eastAsia="楷体" w:hAnsi="Arial" w:cs="Arial"/>
                <w:szCs w:val="21"/>
                <w:lang w:val="en-GB"/>
              </w:rPr>
            </w:pPr>
            <w:r w:rsidRPr="00CD5D09">
              <w:rPr>
                <w:rFonts w:ascii="Arial" w:eastAsia="楷体" w:hAnsi="Arial" w:cs="Arial"/>
                <w:szCs w:val="21"/>
                <w:lang w:val="en-GB"/>
              </w:rPr>
              <w:t>448</w:t>
            </w:r>
          </w:p>
        </w:tc>
        <w:tc>
          <w:tcPr>
            <w:tcW w:w="2742" w:type="dxa"/>
          </w:tcPr>
          <w:p w14:paraId="35BDFC4C" w14:textId="00CF1641" w:rsidR="00542CB6" w:rsidRPr="00CD5D09" w:rsidRDefault="00542CB6" w:rsidP="00AA216A">
            <w:pPr>
              <w:jc w:val="center"/>
              <w:rPr>
                <w:rFonts w:ascii="Arial" w:eastAsia="楷体" w:hAnsi="Arial" w:cs="Arial"/>
                <w:szCs w:val="21"/>
                <w:lang w:val="en-GB"/>
              </w:rPr>
            </w:pPr>
            <w:r w:rsidRPr="00CD5D09">
              <w:rPr>
                <w:rFonts w:ascii="Arial" w:eastAsia="楷体" w:hAnsi="Arial" w:cs="Arial"/>
                <w:szCs w:val="21"/>
                <w:lang w:val="en-GB"/>
              </w:rPr>
              <w:t>7 brands in 13 territories in Asia and the Middle East</w:t>
            </w:r>
          </w:p>
        </w:tc>
        <w:tc>
          <w:tcPr>
            <w:tcW w:w="2360" w:type="dxa"/>
          </w:tcPr>
          <w:p w14:paraId="5484B0B9" w14:textId="77777777" w:rsidR="00542CB6" w:rsidRPr="00CD5D09" w:rsidRDefault="00542CB6" w:rsidP="00AA216A">
            <w:pPr>
              <w:jc w:val="center"/>
              <w:rPr>
                <w:rFonts w:ascii="Arial" w:eastAsia="楷体" w:hAnsi="Arial" w:cs="Arial"/>
                <w:szCs w:val="21"/>
                <w:lang w:val="en-GB"/>
              </w:rPr>
            </w:pPr>
            <w:r w:rsidRPr="00CD5D09">
              <w:rPr>
                <w:rFonts w:ascii="Arial" w:eastAsia="楷体" w:hAnsi="Arial" w:cs="Arial"/>
                <w:szCs w:val="21"/>
                <w:lang w:val="en-GB"/>
              </w:rPr>
              <w:t>32</w:t>
            </w:r>
          </w:p>
          <w:p w14:paraId="017C7D22" w14:textId="77777777" w:rsidR="00542CB6" w:rsidRPr="00CD5D09" w:rsidRDefault="00542CB6" w:rsidP="00AA216A">
            <w:pPr>
              <w:jc w:val="center"/>
              <w:rPr>
                <w:rFonts w:ascii="Arial" w:eastAsia="楷体" w:hAnsi="Arial" w:cs="Arial"/>
                <w:szCs w:val="21"/>
                <w:lang w:val="en-GB"/>
              </w:rPr>
            </w:pPr>
          </w:p>
        </w:tc>
      </w:tr>
      <w:tr w:rsidR="00542CB6" w:rsidRPr="00CD5D09" w14:paraId="68DB6F93" w14:textId="77777777" w:rsidTr="00AA216A">
        <w:trPr>
          <w:trHeight w:val="20"/>
          <w:jc w:val="center"/>
        </w:trPr>
        <w:tc>
          <w:tcPr>
            <w:tcW w:w="1555" w:type="dxa"/>
          </w:tcPr>
          <w:p w14:paraId="67909FEF" w14:textId="77777777" w:rsidR="00542CB6" w:rsidRPr="00CD5D09" w:rsidRDefault="00542CB6" w:rsidP="00AA216A">
            <w:pPr>
              <w:jc w:val="center"/>
              <w:rPr>
                <w:rFonts w:ascii="Arial" w:eastAsia="楷体" w:hAnsi="Arial" w:cs="Arial"/>
                <w:szCs w:val="21"/>
                <w:lang w:val="en-GB"/>
              </w:rPr>
            </w:pPr>
            <w:r w:rsidRPr="00CD5D09">
              <w:rPr>
                <w:rFonts w:ascii="Arial" w:eastAsia="楷体" w:hAnsi="Arial" w:cs="Arial"/>
                <w:szCs w:val="21"/>
                <w:lang w:val="en-GB"/>
              </w:rPr>
              <w:t>2012</w:t>
            </w:r>
          </w:p>
        </w:tc>
        <w:tc>
          <w:tcPr>
            <w:tcW w:w="1134" w:type="dxa"/>
          </w:tcPr>
          <w:p w14:paraId="32547652" w14:textId="77777777" w:rsidR="00542CB6" w:rsidRPr="00CD5D09" w:rsidRDefault="00542CB6" w:rsidP="00AA216A">
            <w:pPr>
              <w:jc w:val="center"/>
              <w:rPr>
                <w:rFonts w:ascii="Arial" w:eastAsia="楷体" w:hAnsi="Arial" w:cs="Arial"/>
                <w:szCs w:val="21"/>
                <w:lang w:val="en-GB"/>
              </w:rPr>
            </w:pPr>
            <w:r w:rsidRPr="00CD5D09">
              <w:rPr>
                <w:rFonts w:ascii="Arial" w:eastAsia="楷体" w:hAnsi="Arial" w:cs="Arial"/>
                <w:szCs w:val="21"/>
                <w:lang w:val="en-GB"/>
              </w:rPr>
              <w:t>609</w:t>
            </w:r>
          </w:p>
        </w:tc>
        <w:tc>
          <w:tcPr>
            <w:tcW w:w="1134" w:type="dxa"/>
          </w:tcPr>
          <w:p w14:paraId="6D4BE587" w14:textId="77777777" w:rsidR="00542CB6" w:rsidRPr="00CD5D09" w:rsidRDefault="00542CB6" w:rsidP="00AA216A">
            <w:pPr>
              <w:jc w:val="center"/>
              <w:rPr>
                <w:rFonts w:ascii="Arial" w:eastAsia="楷体" w:hAnsi="Arial" w:cs="Arial"/>
                <w:szCs w:val="21"/>
                <w:lang w:val="en-GB"/>
              </w:rPr>
            </w:pPr>
            <w:r w:rsidRPr="00CD5D09">
              <w:rPr>
                <w:rFonts w:ascii="Arial" w:eastAsia="楷体" w:hAnsi="Arial" w:cs="Arial"/>
                <w:szCs w:val="21"/>
                <w:lang w:val="en-GB"/>
              </w:rPr>
              <w:t>686</w:t>
            </w:r>
          </w:p>
        </w:tc>
        <w:tc>
          <w:tcPr>
            <w:tcW w:w="2742" w:type="dxa"/>
          </w:tcPr>
          <w:p w14:paraId="13B15FA9" w14:textId="77777777" w:rsidR="00542CB6" w:rsidRPr="00CD5D09" w:rsidRDefault="00542CB6" w:rsidP="00AA216A">
            <w:pPr>
              <w:jc w:val="center"/>
              <w:rPr>
                <w:rFonts w:ascii="Arial" w:eastAsia="楷体" w:hAnsi="Arial" w:cs="Arial"/>
                <w:szCs w:val="21"/>
                <w:lang w:val="en-GB"/>
              </w:rPr>
            </w:pPr>
            <w:r w:rsidRPr="00CD5D09">
              <w:rPr>
                <w:rFonts w:ascii="Arial" w:eastAsia="楷体" w:hAnsi="Arial" w:cs="Arial"/>
                <w:szCs w:val="21"/>
                <w:lang w:val="en-GB"/>
              </w:rPr>
              <w:t>8 brands in 15 territories</w:t>
            </w:r>
          </w:p>
        </w:tc>
        <w:tc>
          <w:tcPr>
            <w:tcW w:w="2360" w:type="dxa"/>
          </w:tcPr>
          <w:p w14:paraId="16AF945D" w14:textId="77777777" w:rsidR="00542CB6" w:rsidRPr="00CD5D09" w:rsidRDefault="00542CB6" w:rsidP="00AA216A">
            <w:pPr>
              <w:jc w:val="center"/>
              <w:rPr>
                <w:rFonts w:ascii="Arial" w:eastAsia="楷体" w:hAnsi="Arial" w:cs="Arial"/>
                <w:szCs w:val="21"/>
                <w:lang w:val="en-GB"/>
              </w:rPr>
            </w:pPr>
            <w:r w:rsidRPr="00CD5D09">
              <w:rPr>
                <w:rFonts w:ascii="Arial" w:eastAsia="楷体" w:hAnsi="Arial" w:cs="Arial"/>
                <w:szCs w:val="21"/>
                <w:lang w:val="en-GB"/>
              </w:rPr>
              <w:t>48</w:t>
            </w:r>
          </w:p>
        </w:tc>
      </w:tr>
      <w:tr w:rsidR="00542CB6" w:rsidRPr="00CD5D09" w14:paraId="14FA9EAD" w14:textId="77777777" w:rsidTr="00AA216A">
        <w:trPr>
          <w:trHeight w:val="20"/>
          <w:jc w:val="center"/>
        </w:trPr>
        <w:tc>
          <w:tcPr>
            <w:tcW w:w="1555" w:type="dxa"/>
          </w:tcPr>
          <w:p w14:paraId="455458A8" w14:textId="77777777" w:rsidR="00542CB6" w:rsidRPr="00CD5D09" w:rsidRDefault="00542CB6" w:rsidP="00AA216A">
            <w:pPr>
              <w:jc w:val="center"/>
              <w:rPr>
                <w:rFonts w:ascii="Arial" w:eastAsia="楷体" w:hAnsi="Arial" w:cs="Arial"/>
                <w:szCs w:val="21"/>
                <w:lang w:val="en-GB"/>
              </w:rPr>
            </w:pPr>
            <w:r w:rsidRPr="00CD5D09">
              <w:rPr>
                <w:rFonts w:ascii="Arial" w:eastAsia="楷体" w:hAnsi="Arial" w:cs="Arial"/>
                <w:szCs w:val="21"/>
                <w:lang w:val="en-GB"/>
              </w:rPr>
              <w:t>2014</w:t>
            </w:r>
          </w:p>
        </w:tc>
        <w:tc>
          <w:tcPr>
            <w:tcW w:w="1134" w:type="dxa"/>
          </w:tcPr>
          <w:p w14:paraId="4FDA0158" w14:textId="77777777" w:rsidR="00542CB6" w:rsidRPr="00CD5D09" w:rsidRDefault="00542CB6" w:rsidP="00AA216A">
            <w:pPr>
              <w:jc w:val="center"/>
              <w:rPr>
                <w:rFonts w:ascii="Arial" w:eastAsia="楷体" w:hAnsi="Arial" w:cs="Arial"/>
                <w:szCs w:val="21"/>
                <w:lang w:val="en-GB"/>
              </w:rPr>
            </w:pPr>
            <w:r w:rsidRPr="00CD5D09">
              <w:rPr>
                <w:rFonts w:ascii="Arial" w:eastAsia="楷体" w:hAnsi="Arial" w:cs="Arial"/>
                <w:szCs w:val="21"/>
                <w:lang w:val="en-GB"/>
              </w:rPr>
              <w:t>817</w:t>
            </w:r>
          </w:p>
        </w:tc>
        <w:tc>
          <w:tcPr>
            <w:tcW w:w="1134" w:type="dxa"/>
          </w:tcPr>
          <w:p w14:paraId="79725E6A" w14:textId="77777777" w:rsidR="00542CB6" w:rsidRPr="00CD5D09" w:rsidRDefault="00542CB6" w:rsidP="00AA216A">
            <w:pPr>
              <w:jc w:val="center"/>
              <w:rPr>
                <w:rFonts w:ascii="Arial" w:eastAsia="楷体" w:hAnsi="Arial" w:cs="Arial"/>
                <w:szCs w:val="21"/>
                <w:lang w:val="en-GB"/>
              </w:rPr>
            </w:pPr>
            <w:r w:rsidRPr="00CD5D09">
              <w:rPr>
                <w:rFonts w:ascii="Arial" w:eastAsia="楷体" w:hAnsi="Arial" w:cs="Arial"/>
                <w:szCs w:val="21"/>
                <w:lang w:val="en-GB"/>
              </w:rPr>
              <w:t>914</w:t>
            </w:r>
          </w:p>
        </w:tc>
        <w:tc>
          <w:tcPr>
            <w:tcW w:w="2742" w:type="dxa"/>
          </w:tcPr>
          <w:p w14:paraId="339CF35B" w14:textId="77777777" w:rsidR="00542CB6" w:rsidRPr="00CD5D09" w:rsidRDefault="00542CB6" w:rsidP="00AA216A">
            <w:pPr>
              <w:jc w:val="center"/>
              <w:rPr>
                <w:rFonts w:ascii="Arial" w:eastAsia="楷体" w:hAnsi="Arial" w:cs="Arial"/>
                <w:szCs w:val="21"/>
                <w:lang w:val="en-GB"/>
              </w:rPr>
            </w:pPr>
            <w:r w:rsidRPr="00CD5D09">
              <w:rPr>
                <w:rFonts w:ascii="Arial" w:eastAsia="楷体" w:hAnsi="Arial" w:cs="Arial"/>
                <w:szCs w:val="21"/>
                <w:lang w:val="en-GB"/>
              </w:rPr>
              <w:t>8 brands in 17 territories</w:t>
            </w:r>
          </w:p>
        </w:tc>
        <w:tc>
          <w:tcPr>
            <w:tcW w:w="2360" w:type="dxa"/>
          </w:tcPr>
          <w:p w14:paraId="2730C4CC" w14:textId="77777777" w:rsidR="00542CB6" w:rsidRPr="00CD5D09" w:rsidRDefault="00542CB6" w:rsidP="00AA216A">
            <w:pPr>
              <w:jc w:val="center"/>
              <w:rPr>
                <w:rFonts w:ascii="Arial" w:eastAsia="楷体" w:hAnsi="Arial" w:cs="Arial"/>
                <w:szCs w:val="21"/>
                <w:lang w:val="en-GB"/>
              </w:rPr>
            </w:pPr>
            <w:r w:rsidRPr="00CD5D09">
              <w:rPr>
                <w:rFonts w:ascii="Arial" w:eastAsia="楷体" w:hAnsi="Arial" w:cs="Arial"/>
                <w:szCs w:val="21"/>
                <w:lang w:val="en-GB"/>
              </w:rPr>
              <w:t>50</w:t>
            </w:r>
          </w:p>
        </w:tc>
      </w:tr>
      <w:tr w:rsidR="00542CB6" w:rsidRPr="00CD5D09" w14:paraId="6B205459" w14:textId="77777777" w:rsidTr="00AA216A">
        <w:trPr>
          <w:trHeight w:val="20"/>
          <w:jc w:val="center"/>
        </w:trPr>
        <w:tc>
          <w:tcPr>
            <w:tcW w:w="1555" w:type="dxa"/>
          </w:tcPr>
          <w:p w14:paraId="6DA62125" w14:textId="77777777" w:rsidR="00542CB6" w:rsidRPr="00CD5D09" w:rsidRDefault="00542CB6" w:rsidP="00AA216A">
            <w:pPr>
              <w:jc w:val="center"/>
              <w:rPr>
                <w:rFonts w:ascii="Arial" w:eastAsia="楷体" w:hAnsi="Arial" w:cs="Arial"/>
                <w:szCs w:val="21"/>
                <w:lang w:val="en-GB"/>
              </w:rPr>
            </w:pPr>
            <w:r w:rsidRPr="00CD5D09">
              <w:rPr>
                <w:rFonts w:ascii="Arial" w:eastAsia="楷体" w:hAnsi="Arial" w:cs="Arial"/>
                <w:szCs w:val="21"/>
                <w:lang w:val="en-GB"/>
              </w:rPr>
              <w:t>2016</w:t>
            </w:r>
          </w:p>
        </w:tc>
        <w:tc>
          <w:tcPr>
            <w:tcW w:w="1134" w:type="dxa"/>
          </w:tcPr>
          <w:p w14:paraId="19528187" w14:textId="77777777" w:rsidR="00542CB6" w:rsidRPr="00CD5D09" w:rsidRDefault="00542CB6" w:rsidP="00AA216A">
            <w:pPr>
              <w:jc w:val="center"/>
              <w:rPr>
                <w:rFonts w:ascii="Arial" w:eastAsia="楷体" w:hAnsi="Arial" w:cs="Arial"/>
                <w:szCs w:val="21"/>
                <w:lang w:val="en-GB"/>
              </w:rPr>
            </w:pPr>
            <w:r w:rsidRPr="00CD5D09">
              <w:rPr>
                <w:rFonts w:ascii="Arial" w:eastAsia="楷体" w:hAnsi="Arial" w:cs="Arial"/>
                <w:szCs w:val="21"/>
                <w:lang w:val="en-GB"/>
              </w:rPr>
              <w:t>862</w:t>
            </w:r>
          </w:p>
        </w:tc>
        <w:tc>
          <w:tcPr>
            <w:tcW w:w="1134" w:type="dxa"/>
          </w:tcPr>
          <w:p w14:paraId="0D3FDFE7" w14:textId="77777777" w:rsidR="00542CB6" w:rsidRPr="00CD5D09" w:rsidRDefault="00542CB6" w:rsidP="00AA216A">
            <w:pPr>
              <w:jc w:val="center"/>
              <w:rPr>
                <w:rFonts w:ascii="Arial" w:eastAsia="楷体" w:hAnsi="Arial" w:cs="Arial"/>
                <w:szCs w:val="21"/>
                <w:lang w:val="en-GB"/>
              </w:rPr>
            </w:pPr>
            <w:r w:rsidRPr="00CD5D09">
              <w:rPr>
                <w:rFonts w:ascii="Arial" w:eastAsia="楷体" w:hAnsi="Arial" w:cs="Arial"/>
                <w:szCs w:val="21"/>
                <w:lang w:val="en-GB"/>
              </w:rPr>
              <w:t>951</w:t>
            </w:r>
          </w:p>
        </w:tc>
        <w:tc>
          <w:tcPr>
            <w:tcW w:w="2742" w:type="dxa"/>
          </w:tcPr>
          <w:p w14:paraId="667D5BCF" w14:textId="239570AA" w:rsidR="00542CB6" w:rsidRPr="00CD5D09" w:rsidRDefault="00542CB6" w:rsidP="00AA216A">
            <w:pPr>
              <w:jc w:val="center"/>
              <w:rPr>
                <w:rFonts w:ascii="Arial" w:eastAsia="楷体" w:hAnsi="Arial" w:cs="Arial"/>
                <w:szCs w:val="21"/>
                <w:lang w:val="en-GB"/>
              </w:rPr>
            </w:pPr>
            <w:r w:rsidRPr="00CD5D09">
              <w:rPr>
                <w:rFonts w:ascii="Arial" w:eastAsia="楷体" w:hAnsi="Arial" w:cs="Arial"/>
                <w:szCs w:val="21"/>
                <w:lang w:val="en-GB"/>
              </w:rPr>
              <w:t>8 brands in 17 territories</w:t>
            </w:r>
          </w:p>
        </w:tc>
        <w:tc>
          <w:tcPr>
            <w:tcW w:w="2360" w:type="dxa"/>
          </w:tcPr>
          <w:p w14:paraId="72380B8F" w14:textId="77777777" w:rsidR="00542CB6" w:rsidRPr="00CD5D09" w:rsidRDefault="00542CB6" w:rsidP="00AA216A">
            <w:pPr>
              <w:jc w:val="center"/>
              <w:rPr>
                <w:rFonts w:ascii="Arial" w:eastAsia="楷体" w:hAnsi="Arial" w:cs="Arial"/>
                <w:szCs w:val="21"/>
                <w:lang w:val="en-GB"/>
              </w:rPr>
            </w:pPr>
            <w:r w:rsidRPr="00CD5D09">
              <w:rPr>
                <w:rFonts w:ascii="Arial" w:eastAsia="楷体" w:hAnsi="Arial" w:cs="Arial"/>
                <w:szCs w:val="21"/>
                <w:lang w:val="en-GB"/>
              </w:rPr>
              <w:t>53</w:t>
            </w:r>
          </w:p>
        </w:tc>
      </w:tr>
      <w:tr w:rsidR="00542CB6" w:rsidRPr="00CD5D09" w14:paraId="28749183" w14:textId="77777777" w:rsidTr="00AA216A">
        <w:trPr>
          <w:trHeight w:val="20"/>
          <w:jc w:val="center"/>
        </w:trPr>
        <w:tc>
          <w:tcPr>
            <w:tcW w:w="1555" w:type="dxa"/>
          </w:tcPr>
          <w:p w14:paraId="5250CDA5" w14:textId="77777777" w:rsidR="00542CB6" w:rsidRPr="00CD5D09" w:rsidRDefault="00542CB6" w:rsidP="00AA216A">
            <w:pPr>
              <w:jc w:val="center"/>
              <w:rPr>
                <w:rFonts w:ascii="Arial" w:eastAsia="楷体" w:hAnsi="Arial" w:cs="Arial"/>
                <w:szCs w:val="21"/>
                <w:lang w:val="en-GB"/>
              </w:rPr>
            </w:pPr>
            <w:r w:rsidRPr="00CD5D09">
              <w:rPr>
                <w:rFonts w:ascii="Arial" w:eastAsia="楷体" w:hAnsi="Arial" w:cs="Arial"/>
                <w:szCs w:val="21"/>
                <w:lang w:val="en-GB"/>
              </w:rPr>
              <w:t>2017</w:t>
            </w:r>
          </w:p>
        </w:tc>
        <w:tc>
          <w:tcPr>
            <w:tcW w:w="1134" w:type="dxa"/>
          </w:tcPr>
          <w:p w14:paraId="00EE21C4" w14:textId="77777777" w:rsidR="00542CB6" w:rsidRPr="00CD5D09" w:rsidRDefault="00542CB6" w:rsidP="00AA216A">
            <w:pPr>
              <w:jc w:val="center"/>
              <w:rPr>
                <w:rFonts w:ascii="Arial" w:eastAsia="楷体" w:hAnsi="Arial" w:cs="Arial"/>
                <w:szCs w:val="21"/>
                <w:lang w:val="en-GB"/>
              </w:rPr>
            </w:pPr>
            <w:r w:rsidRPr="00CD5D09">
              <w:rPr>
                <w:rFonts w:ascii="Arial" w:eastAsia="楷体" w:hAnsi="Arial" w:cs="Arial"/>
                <w:szCs w:val="21"/>
                <w:lang w:val="en-GB"/>
              </w:rPr>
              <w:t>871</w:t>
            </w:r>
          </w:p>
        </w:tc>
        <w:tc>
          <w:tcPr>
            <w:tcW w:w="1134" w:type="dxa"/>
          </w:tcPr>
          <w:p w14:paraId="4A92021E" w14:textId="77777777" w:rsidR="00542CB6" w:rsidRPr="00CD5D09" w:rsidRDefault="00542CB6" w:rsidP="00AA216A">
            <w:pPr>
              <w:jc w:val="center"/>
              <w:rPr>
                <w:rFonts w:ascii="Arial" w:eastAsia="楷体" w:hAnsi="Arial" w:cs="Arial"/>
                <w:szCs w:val="21"/>
                <w:lang w:val="en-GB"/>
              </w:rPr>
            </w:pPr>
            <w:r w:rsidRPr="00CD5D09">
              <w:rPr>
                <w:rFonts w:ascii="Arial" w:eastAsia="楷体" w:hAnsi="Arial" w:cs="Arial"/>
                <w:szCs w:val="21"/>
                <w:lang w:val="en-GB"/>
              </w:rPr>
              <w:t>954</w:t>
            </w:r>
          </w:p>
        </w:tc>
        <w:tc>
          <w:tcPr>
            <w:tcW w:w="2742" w:type="dxa"/>
          </w:tcPr>
          <w:p w14:paraId="5E680F4A" w14:textId="370FF450" w:rsidR="00542CB6" w:rsidRPr="00CD5D09" w:rsidRDefault="00542CB6" w:rsidP="00AA216A">
            <w:pPr>
              <w:jc w:val="center"/>
              <w:rPr>
                <w:rFonts w:ascii="Arial" w:eastAsia="楷体" w:hAnsi="Arial" w:cs="Arial"/>
                <w:szCs w:val="21"/>
                <w:lang w:val="en-GB"/>
              </w:rPr>
            </w:pPr>
            <w:r w:rsidRPr="00CD5D09">
              <w:rPr>
                <w:rFonts w:ascii="Arial" w:eastAsia="楷体" w:hAnsi="Arial" w:cs="Arial"/>
                <w:szCs w:val="21"/>
                <w:lang w:val="en-GB"/>
              </w:rPr>
              <w:t>8 brands in 17 territories</w:t>
            </w:r>
          </w:p>
        </w:tc>
        <w:tc>
          <w:tcPr>
            <w:tcW w:w="2360" w:type="dxa"/>
          </w:tcPr>
          <w:p w14:paraId="591F7FBE" w14:textId="77777777" w:rsidR="00542CB6" w:rsidRPr="00CD5D09" w:rsidRDefault="00542CB6" w:rsidP="00AA216A">
            <w:pPr>
              <w:jc w:val="center"/>
              <w:rPr>
                <w:rFonts w:ascii="Arial" w:eastAsia="楷体" w:hAnsi="Arial" w:cs="Arial"/>
                <w:szCs w:val="21"/>
                <w:lang w:val="en-GB"/>
              </w:rPr>
            </w:pPr>
            <w:r w:rsidRPr="00CD5D09">
              <w:rPr>
                <w:rFonts w:ascii="Arial" w:eastAsia="楷体" w:hAnsi="Arial" w:cs="Arial"/>
                <w:szCs w:val="21"/>
                <w:lang w:val="en-GB"/>
              </w:rPr>
              <w:t>53</w:t>
            </w:r>
          </w:p>
        </w:tc>
      </w:tr>
      <w:tr w:rsidR="00542CB6" w:rsidRPr="00CD5D09" w14:paraId="20F82C1C" w14:textId="77777777" w:rsidTr="00AA216A">
        <w:trPr>
          <w:trHeight w:val="20"/>
          <w:jc w:val="center"/>
        </w:trPr>
        <w:tc>
          <w:tcPr>
            <w:tcW w:w="1555" w:type="dxa"/>
          </w:tcPr>
          <w:p w14:paraId="1AFF213D" w14:textId="634637EB" w:rsidR="00542CB6" w:rsidRPr="00CD5D09" w:rsidRDefault="00606230" w:rsidP="00AA216A">
            <w:pPr>
              <w:jc w:val="center"/>
              <w:rPr>
                <w:rFonts w:ascii="Arial" w:eastAsia="楷体" w:hAnsi="Arial" w:cs="Arial"/>
                <w:szCs w:val="21"/>
                <w:lang w:val="en-GB"/>
              </w:rPr>
            </w:pPr>
            <w:r>
              <w:rPr>
                <w:rFonts w:ascii="Arial" w:eastAsia="楷体" w:hAnsi="Arial" w:cs="Arial"/>
                <w:szCs w:val="21"/>
                <w:lang w:val="en-GB"/>
              </w:rPr>
              <w:t xml:space="preserve">June 30, </w:t>
            </w:r>
            <w:r w:rsidR="00542CB6" w:rsidRPr="00CD5D09">
              <w:rPr>
                <w:rFonts w:ascii="Arial" w:eastAsia="楷体" w:hAnsi="Arial" w:cs="Arial"/>
                <w:szCs w:val="21"/>
                <w:lang w:val="en-GB"/>
              </w:rPr>
              <w:t>2018</w:t>
            </w:r>
          </w:p>
          <w:p w14:paraId="48AAE20C" w14:textId="77777777" w:rsidR="00542CB6" w:rsidRPr="00CD5D09" w:rsidRDefault="00542CB6" w:rsidP="00AA216A">
            <w:pPr>
              <w:jc w:val="center"/>
              <w:rPr>
                <w:rFonts w:ascii="Arial" w:eastAsia="楷体" w:hAnsi="Arial" w:cs="Arial"/>
                <w:szCs w:val="21"/>
                <w:lang w:val="en-GB"/>
              </w:rPr>
            </w:pPr>
          </w:p>
        </w:tc>
        <w:tc>
          <w:tcPr>
            <w:tcW w:w="1134" w:type="dxa"/>
          </w:tcPr>
          <w:p w14:paraId="5EAECBBC" w14:textId="77777777" w:rsidR="00542CB6" w:rsidRPr="00CD5D09" w:rsidRDefault="00542CB6" w:rsidP="00AA216A">
            <w:pPr>
              <w:jc w:val="center"/>
              <w:rPr>
                <w:rFonts w:ascii="Arial" w:eastAsia="楷体" w:hAnsi="Arial" w:cs="Arial"/>
                <w:szCs w:val="21"/>
                <w:lang w:val="en-GB"/>
              </w:rPr>
            </w:pPr>
            <w:r w:rsidRPr="00CD5D09">
              <w:rPr>
                <w:rFonts w:ascii="Arial" w:eastAsia="楷体" w:hAnsi="Arial" w:cs="Arial"/>
                <w:szCs w:val="21"/>
                <w:lang w:val="en-GB"/>
              </w:rPr>
              <w:t>842</w:t>
            </w:r>
          </w:p>
        </w:tc>
        <w:tc>
          <w:tcPr>
            <w:tcW w:w="1134" w:type="dxa"/>
          </w:tcPr>
          <w:p w14:paraId="72CAE248" w14:textId="77777777" w:rsidR="00542CB6" w:rsidRPr="00CD5D09" w:rsidRDefault="00542CB6" w:rsidP="00AA216A">
            <w:pPr>
              <w:jc w:val="center"/>
              <w:rPr>
                <w:rFonts w:ascii="Arial" w:eastAsia="楷体" w:hAnsi="Arial" w:cs="Arial"/>
                <w:szCs w:val="21"/>
                <w:lang w:val="en-GB"/>
              </w:rPr>
            </w:pPr>
            <w:r w:rsidRPr="00CD5D09">
              <w:rPr>
                <w:rFonts w:ascii="Arial" w:eastAsia="楷体" w:hAnsi="Arial" w:cs="Arial"/>
                <w:szCs w:val="21"/>
                <w:lang w:val="en-GB"/>
              </w:rPr>
              <w:t>930</w:t>
            </w:r>
          </w:p>
        </w:tc>
        <w:tc>
          <w:tcPr>
            <w:tcW w:w="2742" w:type="dxa"/>
          </w:tcPr>
          <w:p w14:paraId="6C57CF14" w14:textId="4E904CC6" w:rsidR="00542CB6" w:rsidRPr="00CD5D09" w:rsidRDefault="00542CB6" w:rsidP="00AA216A">
            <w:pPr>
              <w:jc w:val="center"/>
              <w:rPr>
                <w:rFonts w:ascii="Arial" w:eastAsia="楷体" w:hAnsi="Arial" w:cs="Arial"/>
                <w:szCs w:val="21"/>
                <w:lang w:val="en-GB"/>
              </w:rPr>
            </w:pPr>
            <w:r w:rsidRPr="00CD5D09">
              <w:rPr>
                <w:rFonts w:ascii="Arial" w:eastAsia="楷体" w:hAnsi="Arial" w:cs="Arial"/>
                <w:szCs w:val="21"/>
                <w:lang w:val="en-GB"/>
              </w:rPr>
              <w:t xml:space="preserve">11 brands in 19 territories </w:t>
            </w:r>
            <w:r w:rsidR="00606230">
              <w:rPr>
                <w:rFonts w:ascii="Arial" w:eastAsia="楷体" w:hAnsi="Arial" w:cs="Arial"/>
                <w:szCs w:val="21"/>
                <w:lang w:val="en-GB"/>
              </w:rPr>
              <w:br/>
            </w:r>
            <w:r w:rsidRPr="00CD5D09">
              <w:rPr>
                <w:rFonts w:ascii="Arial" w:eastAsia="楷体" w:hAnsi="Arial" w:cs="Arial"/>
                <w:szCs w:val="21"/>
                <w:lang w:val="en-GB"/>
              </w:rPr>
              <w:t>(with the addition of London</w:t>
            </w:r>
            <w:r w:rsidR="00606230">
              <w:rPr>
                <w:rFonts w:ascii="Arial" w:eastAsia="楷体" w:hAnsi="Arial" w:cs="Arial"/>
                <w:szCs w:val="21"/>
                <w:lang w:val="en-GB"/>
              </w:rPr>
              <w:t>, U</w:t>
            </w:r>
            <w:r w:rsidR="00EE4BFF">
              <w:rPr>
                <w:rFonts w:ascii="Arial" w:eastAsia="楷体" w:hAnsi="Arial" w:cs="Arial"/>
                <w:szCs w:val="21"/>
                <w:lang w:val="en-GB"/>
              </w:rPr>
              <w:t xml:space="preserve">nited </w:t>
            </w:r>
            <w:r w:rsidR="00606230">
              <w:rPr>
                <w:rFonts w:ascii="Arial" w:eastAsia="楷体" w:hAnsi="Arial" w:cs="Arial"/>
                <w:szCs w:val="21"/>
                <w:lang w:val="en-GB"/>
              </w:rPr>
              <w:t>K</w:t>
            </w:r>
            <w:r w:rsidR="00EE4BFF">
              <w:rPr>
                <w:rFonts w:ascii="Arial" w:eastAsia="楷体" w:hAnsi="Arial" w:cs="Arial"/>
                <w:szCs w:val="21"/>
                <w:lang w:val="en-GB"/>
              </w:rPr>
              <w:t>ingdom</w:t>
            </w:r>
            <w:r w:rsidRPr="00CD5D09">
              <w:rPr>
                <w:rFonts w:ascii="Arial" w:eastAsia="楷体" w:hAnsi="Arial" w:cs="Arial"/>
                <w:szCs w:val="21"/>
                <w:lang w:val="en-GB"/>
              </w:rPr>
              <w:t xml:space="preserve"> and India)</w:t>
            </w:r>
          </w:p>
        </w:tc>
        <w:tc>
          <w:tcPr>
            <w:tcW w:w="2360" w:type="dxa"/>
          </w:tcPr>
          <w:p w14:paraId="7FB013E5" w14:textId="77777777" w:rsidR="00542CB6" w:rsidRPr="00CD5D09" w:rsidRDefault="00542CB6" w:rsidP="00AA216A">
            <w:pPr>
              <w:jc w:val="center"/>
              <w:rPr>
                <w:rFonts w:ascii="Arial" w:eastAsia="楷体" w:hAnsi="Arial" w:cs="Arial"/>
                <w:szCs w:val="21"/>
                <w:lang w:val="en-GB"/>
              </w:rPr>
            </w:pPr>
            <w:r w:rsidRPr="00CD5D09">
              <w:rPr>
                <w:rFonts w:ascii="Arial" w:eastAsia="楷体" w:hAnsi="Arial" w:cs="Arial"/>
                <w:szCs w:val="21"/>
                <w:lang w:val="en-GB"/>
              </w:rPr>
              <w:t>More than 50</w:t>
            </w:r>
          </w:p>
        </w:tc>
      </w:tr>
    </w:tbl>
    <w:p w14:paraId="6BC0E1A5" w14:textId="77777777" w:rsidR="00542CB6" w:rsidRPr="00CD5D09" w:rsidRDefault="00542CB6" w:rsidP="00542CB6">
      <w:pPr>
        <w:spacing w:before="1" w:after="1"/>
        <w:jc w:val="both"/>
        <w:rPr>
          <w:rFonts w:ascii="Arial" w:hAnsi="Arial" w:cs="Arial"/>
          <w:lang w:val="en-GB" w:eastAsia="zh-CN"/>
        </w:rPr>
      </w:pPr>
    </w:p>
    <w:p w14:paraId="619D6EFA" w14:textId="77777777" w:rsidR="00542CB6" w:rsidRPr="00CD5D09" w:rsidRDefault="00542CB6" w:rsidP="00542CB6">
      <w:pPr>
        <w:pStyle w:val="Footnote"/>
        <w:rPr>
          <w:lang w:val="en-GB"/>
        </w:rPr>
      </w:pPr>
      <w:r w:rsidRPr="00CD5D09">
        <w:rPr>
          <w:lang w:val="en-GB"/>
        </w:rPr>
        <w:t>Source: Compiled by authors based on company information.</w:t>
      </w:r>
    </w:p>
    <w:p w14:paraId="27E32527" w14:textId="2EE7226A" w:rsidR="00542CB6" w:rsidRPr="00CD5D09" w:rsidRDefault="00542CB6" w:rsidP="00542CB6">
      <w:pPr>
        <w:pStyle w:val="ExhibitText"/>
        <w:rPr>
          <w:lang w:val="en-GB"/>
        </w:rPr>
      </w:pPr>
    </w:p>
    <w:p w14:paraId="7420193B" w14:textId="77777777" w:rsidR="00542CB6" w:rsidRPr="00CD5D09" w:rsidRDefault="00542CB6" w:rsidP="00542CB6">
      <w:pPr>
        <w:pStyle w:val="ExhibitText"/>
        <w:rPr>
          <w:lang w:val="en-GB"/>
        </w:rPr>
      </w:pPr>
    </w:p>
    <w:p w14:paraId="501523D5" w14:textId="5A9378B1" w:rsidR="00542CB6" w:rsidRPr="00CD5D09" w:rsidRDefault="00542CB6" w:rsidP="00542CB6">
      <w:pPr>
        <w:pStyle w:val="Casehead1"/>
        <w:jc w:val="center"/>
        <w:rPr>
          <w:lang w:val="en-GB"/>
        </w:rPr>
      </w:pPr>
      <w:r w:rsidRPr="00CD5D09">
        <w:rPr>
          <w:lang w:val="en-GB"/>
        </w:rPr>
        <w:t xml:space="preserve">Exhibit 4: </w:t>
      </w:r>
      <w:r w:rsidR="003E396D">
        <w:rPr>
          <w:lang w:val="en-GB"/>
        </w:rPr>
        <w:t xml:space="preserve">BreadTalk Group </w:t>
      </w:r>
      <w:r w:rsidR="00AA216A">
        <w:rPr>
          <w:lang w:val="en-GB"/>
        </w:rPr>
        <w:t xml:space="preserve">LIMITED </w:t>
      </w:r>
      <w:r w:rsidRPr="00CD5D09">
        <w:rPr>
          <w:lang w:val="en-GB"/>
        </w:rPr>
        <w:t xml:space="preserve">brand portfolio </w:t>
      </w:r>
    </w:p>
    <w:p w14:paraId="560C73FA" w14:textId="77777777" w:rsidR="00542CB6" w:rsidRPr="00CD5D09" w:rsidRDefault="00542CB6" w:rsidP="00542CB6">
      <w:pPr>
        <w:spacing w:before="1" w:after="1"/>
        <w:jc w:val="both"/>
        <w:rPr>
          <w:rFonts w:ascii="Arial" w:hAnsi="Arial" w:cs="Arial"/>
          <w:lang w:val="en-GB" w:eastAsia="zh-CN"/>
        </w:rPr>
      </w:pPr>
    </w:p>
    <w:tbl>
      <w:tblPr>
        <w:tblStyle w:val="TableGrid"/>
        <w:tblW w:w="9493" w:type="dxa"/>
        <w:jc w:val="center"/>
        <w:tblLayout w:type="fixed"/>
        <w:tblCellMar>
          <w:left w:w="58" w:type="dxa"/>
          <w:right w:w="58" w:type="dxa"/>
        </w:tblCellMar>
        <w:tblLook w:val="04A0" w:firstRow="1" w:lastRow="0" w:firstColumn="1" w:lastColumn="0" w:noHBand="0" w:noVBand="1"/>
      </w:tblPr>
      <w:tblGrid>
        <w:gridCol w:w="1345"/>
        <w:gridCol w:w="1769"/>
        <w:gridCol w:w="1651"/>
        <w:gridCol w:w="1440"/>
        <w:gridCol w:w="3288"/>
      </w:tblGrid>
      <w:tr w:rsidR="00542CB6" w:rsidRPr="00CD5D09" w14:paraId="7063B5D3" w14:textId="77777777" w:rsidTr="00E905AC">
        <w:trPr>
          <w:trHeight w:val="54"/>
          <w:jc w:val="center"/>
        </w:trPr>
        <w:tc>
          <w:tcPr>
            <w:tcW w:w="1345" w:type="dxa"/>
            <w:vMerge w:val="restart"/>
            <w:vAlign w:val="center"/>
          </w:tcPr>
          <w:p w14:paraId="36CA103E" w14:textId="77777777" w:rsidR="00542CB6" w:rsidRPr="00CD5D09" w:rsidRDefault="00542CB6" w:rsidP="00542CB6">
            <w:pPr>
              <w:pStyle w:val="ExhibitText"/>
              <w:rPr>
                <w:rFonts w:eastAsia="楷体"/>
                <w:b/>
                <w:lang w:val="en-GB"/>
              </w:rPr>
            </w:pPr>
            <w:r w:rsidRPr="00CD5D09">
              <w:rPr>
                <w:rFonts w:eastAsia="楷体"/>
                <w:b/>
                <w:lang w:val="en-GB"/>
              </w:rPr>
              <w:t>Division</w:t>
            </w:r>
          </w:p>
        </w:tc>
        <w:tc>
          <w:tcPr>
            <w:tcW w:w="1769" w:type="dxa"/>
            <w:vMerge w:val="restart"/>
            <w:vAlign w:val="center"/>
          </w:tcPr>
          <w:p w14:paraId="00DDECE0" w14:textId="521D4D93" w:rsidR="00542CB6" w:rsidRPr="00CD5D09" w:rsidRDefault="00542CB6" w:rsidP="00AA216A">
            <w:pPr>
              <w:pStyle w:val="ExhibitText"/>
              <w:jc w:val="center"/>
              <w:rPr>
                <w:rFonts w:eastAsia="楷体"/>
                <w:b/>
                <w:lang w:val="en-GB"/>
              </w:rPr>
            </w:pPr>
            <w:r w:rsidRPr="00CD5D09">
              <w:rPr>
                <w:rFonts w:eastAsia="楷体"/>
                <w:b/>
                <w:lang w:val="en-GB"/>
              </w:rPr>
              <w:t xml:space="preserve">Launch </w:t>
            </w:r>
            <w:r w:rsidR="00AA216A">
              <w:rPr>
                <w:rFonts w:eastAsia="楷体"/>
                <w:b/>
                <w:lang w:val="en-GB"/>
              </w:rPr>
              <w:br/>
              <w:t>(</w:t>
            </w:r>
            <w:r w:rsidRPr="00CD5D09">
              <w:rPr>
                <w:rFonts w:eastAsia="楷体"/>
                <w:b/>
                <w:lang w:val="en-GB"/>
              </w:rPr>
              <w:t>Year, Country</w:t>
            </w:r>
            <w:r w:rsidR="00AA216A">
              <w:rPr>
                <w:rFonts w:eastAsia="楷体"/>
                <w:b/>
                <w:lang w:val="en-GB"/>
              </w:rPr>
              <w:t>)</w:t>
            </w:r>
          </w:p>
        </w:tc>
        <w:tc>
          <w:tcPr>
            <w:tcW w:w="6379" w:type="dxa"/>
            <w:gridSpan w:val="3"/>
          </w:tcPr>
          <w:p w14:paraId="5CD4F263" w14:textId="77777777" w:rsidR="00542CB6" w:rsidRPr="00CD5D09" w:rsidRDefault="00542CB6" w:rsidP="00AA216A">
            <w:pPr>
              <w:pStyle w:val="ExhibitText"/>
              <w:jc w:val="center"/>
              <w:rPr>
                <w:rFonts w:eastAsia="楷体"/>
                <w:b/>
                <w:lang w:val="en-GB"/>
              </w:rPr>
            </w:pPr>
            <w:r w:rsidRPr="00CD5D09">
              <w:rPr>
                <w:rFonts w:eastAsia="楷体"/>
                <w:b/>
                <w:lang w:val="en-GB"/>
              </w:rPr>
              <w:t>Brand</w:t>
            </w:r>
          </w:p>
        </w:tc>
      </w:tr>
      <w:tr w:rsidR="00542CB6" w:rsidRPr="00CD5D09" w14:paraId="3E9CDB21" w14:textId="77777777" w:rsidTr="00E905AC">
        <w:trPr>
          <w:jc w:val="center"/>
        </w:trPr>
        <w:tc>
          <w:tcPr>
            <w:tcW w:w="1345" w:type="dxa"/>
            <w:vMerge/>
          </w:tcPr>
          <w:p w14:paraId="3C43609B" w14:textId="77777777" w:rsidR="00542CB6" w:rsidRPr="00CD5D09" w:rsidRDefault="00542CB6" w:rsidP="00542CB6">
            <w:pPr>
              <w:pStyle w:val="ExhibitText"/>
              <w:rPr>
                <w:rFonts w:eastAsia="楷体"/>
                <w:lang w:val="en-GB"/>
              </w:rPr>
            </w:pPr>
          </w:p>
        </w:tc>
        <w:tc>
          <w:tcPr>
            <w:tcW w:w="1769" w:type="dxa"/>
            <w:vMerge/>
          </w:tcPr>
          <w:p w14:paraId="7FDDE502" w14:textId="77777777" w:rsidR="00542CB6" w:rsidRPr="00CD5D09" w:rsidRDefault="00542CB6" w:rsidP="00AA216A">
            <w:pPr>
              <w:pStyle w:val="ExhibitText"/>
              <w:jc w:val="center"/>
              <w:rPr>
                <w:rFonts w:eastAsia="楷体"/>
                <w:lang w:val="en-GB"/>
              </w:rPr>
            </w:pPr>
          </w:p>
        </w:tc>
        <w:tc>
          <w:tcPr>
            <w:tcW w:w="1651" w:type="dxa"/>
            <w:vAlign w:val="center"/>
          </w:tcPr>
          <w:p w14:paraId="7EA78199" w14:textId="77777777" w:rsidR="00542CB6" w:rsidRPr="00CD5D09" w:rsidRDefault="00542CB6" w:rsidP="00AA216A">
            <w:pPr>
              <w:pStyle w:val="ExhibitText"/>
              <w:jc w:val="center"/>
              <w:rPr>
                <w:rFonts w:eastAsia="楷体"/>
                <w:b/>
                <w:lang w:val="en-GB"/>
              </w:rPr>
            </w:pPr>
            <w:r w:rsidRPr="00CD5D09">
              <w:rPr>
                <w:rFonts w:eastAsia="楷体"/>
                <w:b/>
                <w:lang w:val="en-GB"/>
              </w:rPr>
              <w:t>Proprietary</w:t>
            </w:r>
          </w:p>
        </w:tc>
        <w:tc>
          <w:tcPr>
            <w:tcW w:w="1440" w:type="dxa"/>
          </w:tcPr>
          <w:p w14:paraId="7B23BECB" w14:textId="77777777" w:rsidR="00542CB6" w:rsidRPr="00CD5D09" w:rsidRDefault="00542CB6" w:rsidP="00AA216A">
            <w:pPr>
              <w:pStyle w:val="ExhibitText"/>
              <w:jc w:val="center"/>
              <w:rPr>
                <w:rFonts w:eastAsia="楷体"/>
                <w:b/>
                <w:lang w:val="en-GB"/>
              </w:rPr>
            </w:pPr>
            <w:r w:rsidRPr="00CD5D09">
              <w:rPr>
                <w:rFonts w:eastAsia="楷体"/>
                <w:b/>
                <w:lang w:val="en-GB"/>
              </w:rPr>
              <w:t>Franchised</w:t>
            </w:r>
          </w:p>
        </w:tc>
        <w:tc>
          <w:tcPr>
            <w:tcW w:w="3288" w:type="dxa"/>
            <w:vAlign w:val="center"/>
          </w:tcPr>
          <w:p w14:paraId="255B6776" w14:textId="77777777" w:rsidR="00542CB6" w:rsidRPr="00CD5D09" w:rsidRDefault="00542CB6" w:rsidP="00AA216A">
            <w:pPr>
              <w:pStyle w:val="ExhibitText"/>
              <w:jc w:val="center"/>
              <w:rPr>
                <w:rFonts w:eastAsia="楷体"/>
                <w:b/>
                <w:lang w:val="en-GB"/>
              </w:rPr>
            </w:pPr>
            <w:r w:rsidRPr="00CD5D09">
              <w:rPr>
                <w:rFonts w:eastAsia="楷体"/>
                <w:b/>
                <w:lang w:val="en-GB"/>
              </w:rPr>
              <w:t>Joint Venture</w:t>
            </w:r>
          </w:p>
        </w:tc>
      </w:tr>
      <w:tr w:rsidR="00542CB6" w:rsidRPr="00CD5D09" w14:paraId="759CB242" w14:textId="77777777" w:rsidTr="00E905AC">
        <w:trPr>
          <w:jc w:val="center"/>
        </w:trPr>
        <w:tc>
          <w:tcPr>
            <w:tcW w:w="1345" w:type="dxa"/>
            <w:vMerge w:val="restart"/>
            <w:vAlign w:val="center"/>
          </w:tcPr>
          <w:p w14:paraId="228F62D9" w14:textId="77777777" w:rsidR="00542CB6" w:rsidRPr="00CD5D09" w:rsidRDefault="00542CB6" w:rsidP="00542CB6">
            <w:pPr>
              <w:pStyle w:val="ExhibitText"/>
              <w:rPr>
                <w:rFonts w:eastAsia="楷体"/>
                <w:b/>
                <w:lang w:val="en-GB"/>
              </w:rPr>
            </w:pPr>
            <w:r w:rsidRPr="00CD5D09">
              <w:rPr>
                <w:rFonts w:eastAsia="楷体"/>
                <w:b/>
                <w:lang w:val="en-GB"/>
              </w:rPr>
              <w:t>Bakery</w:t>
            </w:r>
          </w:p>
        </w:tc>
        <w:tc>
          <w:tcPr>
            <w:tcW w:w="1769" w:type="dxa"/>
          </w:tcPr>
          <w:p w14:paraId="71CFDAD9" w14:textId="77777777" w:rsidR="00542CB6" w:rsidRPr="00CD5D09" w:rsidRDefault="00542CB6" w:rsidP="00AA216A">
            <w:pPr>
              <w:pStyle w:val="ExhibitText"/>
              <w:jc w:val="center"/>
              <w:rPr>
                <w:rFonts w:eastAsia="楷体"/>
                <w:lang w:val="en-GB"/>
              </w:rPr>
            </w:pPr>
            <w:r w:rsidRPr="00CD5D09">
              <w:rPr>
                <w:rFonts w:eastAsia="楷体"/>
                <w:lang w:val="en-GB"/>
              </w:rPr>
              <w:t>2000, Singapore</w:t>
            </w:r>
          </w:p>
        </w:tc>
        <w:tc>
          <w:tcPr>
            <w:tcW w:w="1651" w:type="dxa"/>
          </w:tcPr>
          <w:p w14:paraId="4E0BA3A1" w14:textId="77777777" w:rsidR="00542CB6" w:rsidRPr="00CD5D09" w:rsidRDefault="00542CB6" w:rsidP="00AA216A">
            <w:pPr>
              <w:pStyle w:val="ExhibitText"/>
              <w:jc w:val="center"/>
              <w:rPr>
                <w:rFonts w:eastAsia="楷体"/>
                <w:lang w:val="en-GB"/>
              </w:rPr>
            </w:pPr>
            <w:proofErr w:type="spellStart"/>
            <w:r w:rsidRPr="00CD5D09">
              <w:rPr>
                <w:rFonts w:eastAsia="楷体"/>
                <w:lang w:val="en-GB"/>
              </w:rPr>
              <w:t>BreadTalk</w:t>
            </w:r>
            <w:proofErr w:type="spellEnd"/>
          </w:p>
        </w:tc>
        <w:tc>
          <w:tcPr>
            <w:tcW w:w="1440" w:type="dxa"/>
          </w:tcPr>
          <w:p w14:paraId="2F912770" w14:textId="77777777" w:rsidR="00542CB6" w:rsidRPr="00CD5D09" w:rsidRDefault="00542CB6" w:rsidP="00AA216A">
            <w:pPr>
              <w:pStyle w:val="ExhibitText"/>
              <w:jc w:val="center"/>
              <w:rPr>
                <w:rFonts w:eastAsia="楷体"/>
                <w:lang w:val="en-GB"/>
              </w:rPr>
            </w:pPr>
          </w:p>
        </w:tc>
        <w:tc>
          <w:tcPr>
            <w:tcW w:w="3288" w:type="dxa"/>
          </w:tcPr>
          <w:p w14:paraId="6EA2C642" w14:textId="77777777" w:rsidR="00542CB6" w:rsidRPr="00CD5D09" w:rsidRDefault="00542CB6" w:rsidP="00AA216A">
            <w:pPr>
              <w:pStyle w:val="ExhibitText"/>
              <w:jc w:val="center"/>
              <w:rPr>
                <w:rFonts w:eastAsia="楷体"/>
                <w:lang w:val="en-GB"/>
              </w:rPr>
            </w:pPr>
          </w:p>
        </w:tc>
      </w:tr>
      <w:tr w:rsidR="00542CB6" w:rsidRPr="00CD5D09" w14:paraId="6B512715" w14:textId="77777777" w:rsidTr="00E905AC">
        <w:trPr>
          <w:jc w:val="center"/>
        </w:trPr>
        <w:tc>
          <w:tcPr>
            <w:tcW w:w="1345" w:type="dxa"/>
            <w:vMerge/>
          </w:tcPr>
          <w:p w14:paraId="176F778E" w14:textId="77777777" w:rsidR="00542CB6" w:rsidRPr="00CD5D09" w:rsidRDefault="00542CB6" w:rsidP="00542CB6">
            <w:pPr>
              <w:pStyle w:val="ExhibitText"/>
              <w:rPr>
                <w:rFonts w:eastAsia="楷体"/>
                <w:b/>
                <w:lang w:val="en-GB"/>
              </w:rPr>
            </w:pPr>
          </w:p>
        </w:tc>
        <w:tc>
          <w:tcPr>
            <w:tcW w:w="1769" w:type="dxa"/>
          </w:tcPr>
          <w:p w14:paraId="2A4A3384" w14:textId="77777777" w:rsidR="00542CB6" w:rsidRPr="00CD5D09" w:rsidRDefault="00542CB6" w:rsidP="00AA216A">
            <w:pPr>
              <w:pStyle w:val="ExhibitText"/>
              <w:jc w:val="center"/>
              <w:rPr>
                <w:rFonts w:eastAsia="楷体"/>
                <w:lang w:val="en-GB"/>
              </w:rPr>
            </w:pPr>
            <w:r w:rsidRPr="00CD5D09">
              <w:rPr>
                <w:rFonts w:eastAsia="楷体"/>
                <w:lang w:val="en-GB"/>
              </w:rPr>
              <w:t>2005, Singapore</w:t>
            </w:r>
          </w:p>
        </w:tc>
        <w:tc>
          <w:tcPr>
            <w:tcW w:w="1651" w:type="dxa"/>
          </w:tcPr>
          <w:p w14:paraId="7BA719E1" w14:textId="4935F37E" w:rsidR="00542CB6" w:rsidRPr="00CD5D09" w:rsidRDefault="00542CB6" w:rsidP="00AA216A">
            <w:pPr>
              <w:pStyle w:val="ExhibitText"/>
              <w:jc w:val="center"/>
              <w:rPr>
                <w:rFonts w:eastAsia="楷体"/>
                <w:lang w:val="en-GB"/>
              </w:rPr>
            </w:pPr>
            <w:r w:rsidRPr="00CD5D09">
              <w:rPr>
                <w:rFonts w:eastAsia="楷体"/>
                <w:lang w:val="en-GB"/>
              </w:rPr>
              <w:t>Toast Box</w:t>
            </w:r>
          </w:p>
        </w:tc>
        <w:tc>
          <w:tcPr>
            <w:tcW w:w="1440" w:type="dxa"/>
            <w:vAlign w:val="center"/>
          </w:tcPr>
          <w:p w14:paraId="5498BF27" w14:textId="77777777" w:rsidR="00542CB6" w:rsidRPr="00CD5D09" w:rsidRDefault="00542CB6" w:rsidP="00AA216A">
            <w:pPr>
              <w:pStyle w:val="ExhibitText"/>
              <w:jc w:val="center"/>
              <w:rPr>
                <w:rFonts w:eastAsia="楷体"/>
                <w:lang w:val="en-GB"/>
              </w:rPr>
            </w:pPr>
          </w:p>
        </w:tc>
        <w:tc>
          <w:tcPr>
            <w:tcW w:w="3288" w:type="dxa"/>
            <w:vAlign w:val="center"/>
          </w:tcPr>
          <w:p w14:paraId="02EA2319" w14:textId="35CB029D" w:rsidR="00542CB6" w:rsidRPr="00CD5D09" w:rsidRDefault="00542CB6" w:rsidP="00AA216A">
            <w:pPr>
              <w:pStyle w:val="ExhibitText"/>
              <w:jc w:val="center"/>
              <w:rPr>
                <w:rFonts w:eastAsia="楷体"/>
                <w:lang w:val="en-GB"/>
              </w:rPr>
            </w:pPr>
          </w:p>
        </w:tc>
      </w:tr>
      <w:tr w:rsidR="00542CB6" w:rsidRPr="00CD5D09" w14:paraId="3904C865" w14:textId="77777777" w:rsidTr="00E905AC">
        <w:trPr>
          <w:jc w:val="center"/>
        </w:trPr>
        <w:tc>
          <w:tcPr>
            <w:tcW w:w="1345" w:type="dxa"/>
            <w:vMerge/>
          </w:tcPr>
          <w:p w14:paraId="235548E5" w14:textId="77777777" w:rsidR="00542CB6" w:rsidRPr="00CD5D09" w:rsidRDefault="00542CB6" w:rsidP="00542CB6">
            <w:pPr>
              <w:pStyle w:val="ExhibitText"/>
              <w:rPr>
                <w:rFonts w:eastAsia="STSong"/>
                <w:b/>
                <w:lang w:val="en-GB"/>
              </w:rPr>
            </w:pPr>
          </w:p>
        </w:tc>
        <w:tc>
          <w:tcPr>
            <w:tcW w:w="1769" w:type="dxa"/>
          </w:tcPr>
          <w:p w14:paraId="19DA31C4" w14:textId="483012B5" w:rsidR="00542CB6" w:rsidRPr="00CD5D09" w:rsidRDefault="00542CB6" w:rsidP="00AA216A">
            <w:pPr>
              <w:pStyle w:val="ExhibitText"/>
              <w:jc w:val="center"/>
              <w:rPr>
                <w:rFonts w:eastAsia="楷体"/>
                <w:lang w:val="en-GB"/>
              </w:rPr>
            </w:pPr>
            <w:r w:rsidRPr="00CD5D09">
              <w:rPr>
                <w:rFonts w:eastAsia="楷体"/>
                <w:lang w:val="en-GB"/>
              </w:rPr>
              <w:t>2008, Singapore</w:t>
            </w:r>
          </w:p>
        </w:tc>
        <w:tc>
          <w:tcPr>
            <w:tcW w:w="1651" w:type="dxa"/>
          </w:tcPr>
          <w:p w14:paraId="62B3E4FF" w14:textId="728316CF" w:rsidR="00542CB6" w:rsidRPr="00CD5D09" w:rsidRDefault="00542CB6" w:rsidP="00AA216A">
            <w:pPr>
              <w:pStyle w:val="ExhibitText"/>
              <w:jc w:val="center"/>
              <w:rPr>
                <w:rFonts w:eastAsia="楷体"/>
                <w:lang w:val="en-GB"/>
              </w:rPr>
            </w:pPr>
            <w:r w:rsidRPr="00CD5D09">
              <w:rPr>
                <w:rFonts w:eastAsia="楷体"/>
                <w:lang w:val="en-GB"/>
              </w:rPr>
              <w:t>The Icing Room</w:t>
            </w:r>
          </w:p>
        </w:tc>
        <w:tc>
          <w:tcPr>
            <w:tcW w:w="1440" w:type="dxa"/>
            <w:vAlign w:val="center"/>
          </w:tcPr>
          <w:p w14:paraId="2A64FEB4" w14:textId="77777777" w:rsidR="00542CB6" w:rsidRPr="00CD5D09" w:rsidRDefault="00542CB6" w:rsidP="00AA216A">
            <w:pPr>
              <w:pStyle w:val="ExhibitText"/>
              <w:jc w:val="center"/>
              <w:rPr>
                <w:rFonts w:eastAsia="楷体"/>
                <w:lang w:val="en-GB"/>
              </w:rPr>
            </w:pPr>
          </w:p>
        </w:tc>
        <w:tc>
          <w:tcPr>
            <w:tcW w:w="3288" w:type="dxa"/>
            <w:vAlign w:val="center"/>
          </w:tcPr>
          <w:p w14:paraId="7F8C00B9" w14:textId="77777777" w:rsidR="00542CB6" w:rsidRPr="00CD5D09" w:rsidRDefault="00542CB6" w:rsidP="00AA216A">
            <w:pPr>
              <w:pStyle w:val="ExhibitText"/>
              <w:jc w:val="center"/>
              <w:rPr>
                <w:rFonts w:eastAsia="楷体"/>
                <w:lang w:val="en-GB"/>
              </w:rPr>
            </w:pPr>
          </w:p>
        </w:tc>
      </w:tr>
      <w:tr w:rsidR="00542CB6" w:rsidRPr="00CD5D09" w14:paraId="0417D560" w14:textId="77777777" w:rsidTr="00E905AC">
        <w:trPr>
          <w:jc w:val="center"/>
        </w:trPr>
        <w:tc>
          <w:tcPr>
            <w:tcW w:w="1345" w:type="dxa"/>
            <w:vMerge/>
          </w:tcPr>
          <w:p w14:paraId="0788A908" w14:textId="77777777" w:rsidR="00542CB6" w:rsidRPr="00CD5D09" w:rsidRDefault="00542CB6" w:rsidP="00542CB6">
            <w:pPr>
              <w:pStyle w:val="ExhibitText"/>
              <w:rPr>
                <w:rFonts w:eastAsia="STSong"/>
                <w:b/>
                <w:lang w:val="en-GB"/>
              </w:rPr>
            </w:pPr>
          </w:p>
        </w:tc>
        <w:tc>
          <w:tcPr>
            <w:tcW w:w="1769" w:type="dxa"/>
          </w:tcPr>
          <w:p w14:paraId="20C93F52" w14:textId="774A8324" w:rsidR="00542CB6" w:rsidRPr="00CD5D09" w:rsidRDefault="00542CB6" w:rsidP="00AA216A">
            <w:pPr>
              <w:pStyle w:val="ExhibitText"/>
              <w:jc w:val="center"/>
              <w:rPr>
                <w:rFonts w:eastAsia="楷体"/>
                <w:lang w:val="en-GB"/>
              </w:rPr>
            </w:pPr>
            <w:r w:rsidRPr="00CD5D09">
              <w:rPr>
                <w:rFonts w:eastAsia="楷体"/>
                <w:lang w:val="en-GB"/>
              </w:rPr>
              <w:t>2009, Singapore</w:t>
            </w:r>
          </w:p>
        </w:tc>
        <w:tc>
          <w:tcPr>
            <w:tcW w:w="1651" w:type="dxa"/>
          </w:tcPr>
          <w:p w14:paraId="638EF518" w14:textId="0095F0AC" w:rsidR="00542CB6" w:rsidRPr="00CD5D09" w:rsidRDefault="00542CB6" w:rsidP="00AA216A">
            <w:pPr>
              <w:pStyle w:val="ExhibitText"/>
              <w:jc w:val="center"/>
              <w:rPr>
                <w:rFonts w:eastAsia="楷体"/>
                <w:lang w:val="en-GB"/>
              </w:rPr>
            </w:pPr>
            <w:r w:rsidRPr="00CD5D09">
              <w:rPr>
                <w:rFonts w:eastAsia="楷体"/>
                <w:lang w:val="en-GB"/>
              </w:rPr>
              <w:t>Bread Society</w:t>
            </w:r>
          </w:p>
        </w:tc>
        <w:tc>
          <w:tcPr>
            <w:tcW w:w="1440" w:type="dxa"/>
            <w:vAlign w:val="center"/>
          </w:tcPr>
          <w:p w14:paraId="7E5D7E6B" w14:textId="77777777" w:rsidR="00542CB6" w:rsidRPr="00CD5D09" w:rsidRDefault="00542CB6" w:rsidP="00AA216A">
            <w:pPr>
              <w:pStyle w:val="ExhibitText"/>
              <w:jc w:val="center"/>
              <w:rPr>
                <w:rFonts w:eastAsia="楷体"/>
                <w:lang w:val="en-GB"/>
              </w:rPr>
            </w:pPr>
          </w:p>
        </w:tc>
        <w:tc>
          <w:tcPr>
            <w:tcW w:w="3288" w:type="dxa"/>
            <w:vAlign w:val="center"/>
          </w:tcPr>
          <w:p w14:paraId="63C7D3DE" w14:textId="133E9BE0" w:rsidR="00542CB6" w:rsidRPr="00CD5D09" w:rsidRDefault="00542CB6" w:rsidP="00AA216A">
            <w:pPr>
              <w:pStyle w:val="ExhibitText"/>
              <w:jc w:val="center"/>
              <w:rPr>
                <w:rFonts w:eastAsia="楷体"/>
                <w:lang w:val="en-GB"/>
              </w:rPr>
            </w:pPr>
          </w:p>
        </w:tc>
      </w:tr>
      <w:tr w:rsidR="00542CB6" w:rsidRPr="00CD5D09" w14:paraId="05BB0234" w14:textId="77777777" w:rsidTr="00E905AC">
        <w:trPr>
          <w:jc w:val="center"/>
        </w:trPr>
        <w:tc>
          <w:tcPr>
            <w:tcW w:w="1345" w:type="dxa"/>
            <w:vMerge/>
          </w:tcPr>
          <w:p w14:paraId="216182AB" w14:textId="77777777" w:rsidR="00542CB6" w:rsidRPr="00CD5D09" w:rsidRDefault="00542CB6" w:rsidP="00542CB6">
            <w:pPr>
              <w:pStyle w:val="ExhibitText"/>
              <w:rPr>
                <w:rFonts w:eastAsia="STSong"/>
                <w:b/>
                <w:lang w:val="en-GB"/>
              </w:rPr>
            </w:pPr>
          </w:p>
        </w:tc>
        <w:tc>
          <w:tcPr>
            <w:tcW w:w="1769" w:type="dxa"/>
          </w:tcPr>
          <w:p w14:paraId="34DE95D7" w14:textId="77777777" w:rsidR="00542CB6" w:rsidRPr="00CD5D09" w:rsidRDefault="00542CB6" w:rsidP="00AA216A">
            <w:pPr>
              <w:pStyle w:val="ExhibitText"/>
              <w:jc w:val="center"/>
              <w:rPr>
                <w:rFonts w:eastAsia="楷体"/>
                <w:lang w:val="en-GB"/>
              </w:rPr>
            </w:pPr>
            <w:r w:rsidRPr="00CD5D09">
              <w:rPr>
                <w:rFonts w:eastAsia="楷体"/>
                <w:lang w:val="en-GB"/>
              </w:rPr>
              <w:t>2012, Singapore</w:t>
            </w:r>
          </w:p>
        </w:tc>
        <w:tc>
          <w:tcPr>
            <w:tcW w:w="1651" w:type="dxa"/>
          </w:tcPr>
          <w:p w14:paraId="5A272A07" w14:textId="77777777" w:rsidR="00542CB6" w:rsidRPr="00CD5D09" w:rsidRDefault="00542CB6" w:rsidP="00AA216A">
            <w:pPr>
              <w:pStyle w:val="ExhibitText"/>
              <w:jc w:val="center"/>
              <w:rPr>
                <w:rFonts w:eastAsia="楷体"/>
                <w:lang w:val="en-GB"/>
              </w:rPr>
            </w:pPr>
          </w:p>
        </w:tc>
        <w:tc>
          <w:tcPr>
            <w:tcW w:w="1440" w:type="dxa"/>
            <w:vAlign w:val="center"/>
          </w:tcPr>
          <w:p w14:paraId="2B842EFA" w14:textId="77777777" w:rsidR="00542CB6" w:rsidRPr="00CD5D09" w:rsidRDefault="00542CB6" w:rsidP="00AA216A">
            <w:pPr>
              <w:pStyle w:val="ExhibitText"/>
              <w:jc w:val="center"/>
              <w:rPr>
                <w:rFonts w:eastAsia="楷体"/>
                <w:lang w:val="en-GB"/>
              </w:rPr>
            </w:pPr>
          </w:p>
        </w:tc>
        <w:tc>
          <w:tcPr>
            <w:tcW w:w="3288" w:type="dxa"/>
            <w:vAlign w:val="center"/>
          </w:tcPr>
          <w:p w14:paraId="090AFDE5" w14:textId="77777777" w:rsidR="00542CB6" w:rsidRPr="00CD5D09" w:rsidRDefault="00542CB6" w:rsidP="00AA216A">
            <w:pPr>
              <w:pStyle w:val="ExhibitText"/>
              <w:jc w:val="center"/>
              <w:rPr>
                <w:rFonts w:eastAsia="楷体"/>
                <w:lang w:val="en-GB"/>
              </w:rPr>
            </w:pPr>
            <w:r w:rsidRPr="00CD5D09">
              <w:rPr>
                <w:rFonts w:eastAsia="楷体"/>
                <w:lang w:val="en-GB"/>
              </w:rPr>
              <w:t xml:space="preserve">70-year </w:t>
            </w:r>
            <w:proofErr w:type="spellStart"/>
            <w:r w:rsidRPr="00CD5D09">
              <w:rPr>
                <w:rFonts w:eastAsia="楷体"/>
                <w:lang w:val="en-GB"/>
              </w:rPr>
              <w:t>Thye</w:t>
            </w:r>
            <w:proofErr w:type="spellEnd"/>
            <w:r w:rsidRPr="00CD5D09">
              <w:rPr>
                <w:rFonts w:eastAsia="楷体"/>
                <w:lang w:val="en-GB"/>
              </w:rPr>
              <w:t xml:space="preserve"> </w:t>
            </w:r>
            <w:proofErr w:type="spellStart"/>
            <w:r w:rsidRPr="00CD5D09">
              <w:rPr>
                <w:rFonts w:eastAsia="楷体"/>
                <w:lang w:val="en-GB"/>
              </w:rPr>
              <w:t>Moh</w:t>
            </w:r>
            <w:proofErr w:type="spellEnd"/>
            <w:r w:rsidRPr="00CD5D09">
              <w:rPr>
                <w:rFonts w:eastAsia="楷体"/>
                <w:lang w:val="en-GB"/>
              </w:rPr>
              <w:t xml:space="preserve"> Chan confectionery (Singapore)</w:t>
            </w:r>
          </w:p>
        </w:tc>
      </w:tr>
      <w:tr w:rsidR="00542CB6" w:rsidRPr="00CD5D09" w14:paraId="198DE836" w14:textId="77777777" w:rsidTr="00E905AC">
        <w:trPr>
          <w:jc w:val="center"/>
        </w:trPr>
        <w:tc>
          <w:tcPr>
            <w:tcW w:w="1345" w:type="dxa"/>
          </w:tcPr>
          <w:p w14:paraId="7250275B" w14:textId="77777777" w:rsidR="00542CB6" w:rsidRPr="00CD5D09" w:rsidRDefault="00542CB6" w:rsidP="00542CB6">
            <w:pPr>
              <w:pStyle w:val="ExhibitText"/>
              <w:rPr>
                <w:rFonts w:eastAsia="STSong"/>
                <w:b/>
                <w:lang w:val="en-GB"/>
              </w:rPr>
            </w:pPr>
            <w:r w:rsidRPr="00CD5D09">
              <w:rPr>
                <w:rFonts w:eastAsia="楷体"/>
                <w:b/>
                <w:lang w:val="en-GB"/>
              </w:rPr>
              <w:t>Restaurant</w:t>
            </w:r>
          </w:p>
        </w:tc>
        <w:tc>
          <w:tcPr>
            <w:tcW w:w="1769" w:type="dxa"/>
          </w:tcPr>
          <w:p w14:paraId="0802BD2E" w14:textId="63EEAC5A" w:rsidR="00542CB6" w:rsidRPr="00CD5D09" w:rsidRDefault="00542CB6" w:rsidP="00AA216A">
            <w:pPr>
              <w:pStyle w:val="ExhibitText"/>
              <w:jc w:val="center"/>
              <w:rPr>
                <w:rFonts w:eastAsia="楷体"/>
                <w:lang w:val="en-GB"/>
              </w:rPr>
            </w:pPr>
            <w:r w:rsidRPr="00CD5D09">
              <w:rPr>
                <w:rFonts w:eastAsia="楷体"/>
                <w:lang w:val="en-GB"/>
              </w:rPr>
              <w:t>2004, Singapore</w:t>
            </w:r>
          </w:p>
        </w:tc>
        <w:tc>
          <w:tcPr>
            <w:tcW w:w="1651" w:type="dxa"/>
          </w:tcPr>
          <w:p w14:paraId="6C204F92" w14:textId="5656E514" w:rsidR="00542CB6" w:rsidRPr="00CD5D09" w:rsidRDefault="00542CB6" w:rsidP="00AA216A">
            <w:pPr>
              <w:pStyle w:val="ExhibitText"/>
              <w:jc w:val="center"/>
              <w:rPr>
                <w:rFonts w:eastAsia="楷体"/>
                <w:lang w:val="en-GB"/>
              </w:rPr>
            </w:pPr>
          </w:p>
        </w:tc>
        <w:tc>
          <w:tcPr>
            <w:tcW w:w="1440" w:type="dxa"/>
            <w:vAlign w:val="center"/>
          </w:tcPr>
          <w:p w14:paraId="2E998748" w14:textId="77777777" w:rsidR="00542CB6" w:rsidRPr="00CD5D09" w:rsidRDefault="00542CB6" w:rsidP="00AA216A">
            <w:pPr>
              <w:pStyle w:val="ExhibitText"/>
              <w:jc w:val="center"/>
              <w:rPr>
                <w:rFonts w:eastAsia="楷体"/>
                <w:highlight w:val="green"/>
                <w:lang w:val="en-GB"/>
              </w:rPr>
            </w:pPr>
            <w:r w:rsidRPr="00CD5D09">
              <w:rPr>
                <w:rFonts w:eastAsia="楷体"/>
                <w:lang w:val="en-GB"/>
              </w:rPr>
              <w:t>Din Tai Fung (Taiwan)</w:t>
            </w:r>
          </w:p>
        </w:tc>
        <w:tc>
          <w:tcPr>
            <w:tcW w:w="3288" w:type="dxa"/>
            <w:vAlign w:val="center"/>
          </w:tcPr>
          <w:p w14:paraId="52E796B8" w14:textId="77777777" w:rsidR="00542CB6" w:rsidRPr="00CD5D09" w:rsidRDefault="00542CB6" w:rsidP="00AA216A">
            <w:pPr>
              <w:pStyle w:val="ExhibitText"/>
              <w:jc w:val="center"/>
              <w:rPr>
                <w:rFonts w:eastAsia="楷体"/>
                <w:lang w:val="en-GB"/>
              </w:rPr>
            </w:pPr>
          </w:p>
        </w:tc>
      </w:tr>
      <w:tr w:rsidR="00542CB6" w:rsidRPr="00CD5D09" w14:paraId="6AE1C820" w14:textId="77777777" w:rsidTr="00E905AC">
        <w:trPr>
          <w:jc w:val="center"/>
        </w:trPr>
        <w:tc>
          <w:tcPr>
            <w:tcW w:w="1345" w:type="dxa"/>
          </w:tcPr>
          <w:p w14:paraId="74123183" w14:textId="77777777" w:rsidR="00542CB6" w:rsidRPr="00CD5D09" w:rsidRDefault="00542CB6" w:rsidP="00542CB6">
            <w:pPr>
              <w:pStyle w:val="ExhibitText"/>
              <w:rPr>
                <w:rFonts w:eastAsia="STSong"/>
                <w:b/>
                <w:lang w:val="en-GB"/>
              </w:rPr>
            </w:pPr>
            <w:r w:rsidRPr="00CD5D09">
              <w:rPr>
                <w:rFonts w:eastAsia="楷体"/>
                <w:b/>
                <w:lang w:val="en-GB"/>
              </w:rPr>
              <w:t>Food Atrium</w:t>
            </w:r>
          </w:p>
        </w:tc>
        <w:tc>
          <w:tcPr>
            <w:tcW w:w="1769" w:type="dxa"/>
          </w:tcPr>
          <w:p w14:paraId="79025CE2" w14:textId="5E9F1378" w:rsidR="00542CB6" w:rsidRPr="00CD5D09" w:rsidRDefault="00542CB6" w:rsidP="00AA216A">
            <w:pPr>
              <w:pStyle w:val="ExhibitText"/>
              <w:jc w:val="center"/>
              <w:rPr>
                <w:rFonts w:eastAsia="楷体"/>
                <w:lang w:val="en-GB"/>
              </w:rPr>
            </w:pPr>
            <w:r w:rsidRPr="00CD5D09">
              <w:rPr>
                <w:rFonts w:eastAsia="楷体"/>
                <w:lang w:val="en-GB"/>
              </w:rPr>
              <w:t>2005, Singapore</w:t>
            </w:r>
          </w:p>
        </w:tc>
        <w:tc>
          <w:tcPr>
            <w:tcW w:w="1651" w:type="dxa"/>
          </w:tcPr>
          <w:p w14:paraId="6AB23253" w14:textId="77777777" w:rsidR="00542CB6" w:rsidRPr="00CD5D09" w:rsidRDefault="00542CB6" w:rsidP="00AA216A">
            <w:pPr>
              <w:pStyle w:val="ExhibitText"/>
              <w:jc w:val="center"/>
              <w:rPr>
                <w:rFonts w:eastAsia="楷体"/>
                <w:lang w:val="en-GB"/>
              </w:rPr>
            </w:pPr>
            <w:r w:rsidRPr="00CD5D09">
              <w:rPr>
                <w:rFonts w:eastAsia="楷体"/>
                <w:lang w:val="en-GB"/>
              </w:rPr>
              <w:t>Food Republic</w:t>
            </w:r>
          </w:p>
        </w:tc>
        <w:tc>
          <w:tcPr>
            <w:tcW w:w="1440" w:type="dxa"/>
            <w:vAlign w:val="center"/>
          </w:tcPr>
          <w:p w14:paraId="51418D77" w14:textId="77777777" w:rsidR="00542CB6" w:rsidRPr="00CD5D09" w:rsidRDefault="00542CB6" w:rsidP="00AA216A">
            <w:pPr>
              <w:pStyle w:val="ExhibitText"/>
              <w:jc w:val="center"/>
              <w:rPr>
                <w:rFonts w:eastAsia="楷体"/>
                <w:lang w:val="en-GB"/>
              </w:rPr>
            </w:pPr>
          </w:p>
        </w:tc>
        <w:tc>
          <w:tcPr>
            <w:tcW w:w="3288" w:type="dxa"/>
            <w:vAlign w:val="center"/>
          </w:tcPr>
          <w:p w14:paraId="5ADCFCF9" w14:textId="77777777" w:rsidR="00542CB6" w:rsidRPr="00CD5D09" w:rsidRDefault="00542CB6" w:rsidP="00AA216A">
            <w:pPr>
              <w:pStyle w:val="ExhibitText"/>
              <w:jc w:val="center"/>
              <w:rPr>
                <w:rFonts w:eastAsia="楷体"/>
                <w:lang w:val="en-GB"/>
              </w:rPr>
            </w:pPr>
          </w:p>
        </w:tc>
      </w:tr>
      <w:tr w:rsidR="00542CB6" w:rsidRPr="00CD5D09" w14:paraId="66EC1094" w14:textId="77777777" w:rsidTr="00E905AC">
        <w:trPr>
          <w:jc w:val="center"/>
        </w:trPr>
        <w:tc>
          <w:tcPr>
            <w:tcW w:w="1345" w:type="dxa"/>
            <w:vMerge w:val="restart"/>
            <w:vAlign w:val="center"/>
          </w:tcPr>
          <w:p w14:paraId="72C77480" w14:textId="15C294EB" w:rsidR="00542CB6" w:rsidRPr="00CD5D09" w:rsidRDefault="00542CB6" w:rsidP="00542CB6">
            <w:pPr>
              <w:pStyle w:val="ExhibitText"/>
              <w:rPr>
                <w:rFonts w:eastAsia="楷体"/>
                <w:b/>
                <w:lang w:val="en-GB"/>
              </w:rPr>
            </w:pPr>
            <w:r w:rsidRPr="00CD5D09">
              <w:rPr>
                <w:rFonts w:eastAsia="楷体"/>
                <w:b/>
                <w:lang w:val="en-GB"/>
              </w:rPr>
              <w:t>4orth</w:t>
            </w:r>
            <w:r w:rsidR="00AA216A">
              <w:rPr>
                <w:rFonts w:eastAsia="楷体"/>
                <w:b/>
                <w:lang w:val="en-GB"/>
              </w:rPr>
              <w:t xml:space="preserve"> </w:t>
            </w:r>
            <w:r w:rsidR="00E905AC">
              <w:rPr>
                <w:rFonts w:eastAsia="楷体"/>
                <w:b/>
                <w:lang w:val="en-GB"/>
              </w:rPr>
              <w:t>Food Concepts</w:t>
            </w:r>
          </w:p>
        </w:tc>
        <w:tc>
          <w:tcPr>
            <w:tcW w:w="1769" w:type="dxa"/>
          </w:tcPr>
          <w:p w14:paraId="68CD3C85" w14:textId="17BACF51" w:rsidR="00542CB6" w:rsidRPr="00CD5D09" w:rsidRDefault="00542CB6" w:rsidP="00AA216A">
            <w:pPr>
              <w:pStyle w:val="ExhibitText"/>
              <w:jc w:val="center"/>
              <w:rPr>
                <w:rFonts w:eastAsia="楷体"/>
                <w:lang w:val="en-GB"/>
              </w:rPr>
            </w:pPr>
            <w:r w:rsidRPr="00CD5D09">
              <w:rPr>
                <w:rFonts w:eastAsia="楷体"/>
                <w:lang w:val="en-GB"/>
              </w:rPr>
              <w:t>2017, Singapore</w:t>
            </w:r>
          </w:p>
        </w:tc>
        <w:tc>
          <w:tcPr>
            <w:tcW w:w="1651" w:type="dxa"/>
          </w:tcPr>
          <w:p w14:paraId="2497BB6B" w14:textId="77777777" w:rsidR="00542CB6" w:rsidRPr="00CD5D09" w:rsidRDefault="00542CB6" w:rsidP="00AA216A">
            <w:pPr>
              <w:pStyle w:val="ExhibitText"/>
              <w:jc w:val="center"/>
              <w:rPr>
                <w:rFonts w:eastAsia="楷体"/>
                <w:lang w:val="en-GB"/>
              </w:rPr>
            </w:pPr>
          </w:p>
        </w:tc>
        <w:tc>
          <w:tcPr>
            <w:tcW w:w="1440" w:type="dxa"/>
            <w:vAlign w:val="center"/>
          </w:tcPr>
          <w:p w14:paraId="6BFDD06F" w14:textId="77777777" w:rsidR="00542CB6" w:rsidRPr="00CD5D09" w:rsidRDefault="00542CB6" w:rsidP="00AA216A">
            <w:pPr>
              <w:pStyle w:val="ExhibitText"/>
              <w:jc w:val="center"/>
              <w:rPr>
                <w:rFonts w:eastAsia="楷体"/>
                <w:lang w:val="en-GB"/>
              </w:rPr>
            </w:pPr>
          </w:p>
        </w:tc>
        <w:tc>
          <w:tcPr>
            <w:tcW w:w="3288" w:type="dxa"/>
            <w:vAlign w:val="center"/>
          </w:tcPr>
          <w:p w14:paraId="033226FE" w14:textId="77777777" w:rsidR="00542CB6" w:rsidRPr="00CD5D09" w:rsidRDefault="00542CB6" w:rsidP="00AA216A">
            <w:pPr>
              <w:pStyle w:val="ExhibitText"/>
              <w:jc w:val="center"/>
              <w:rPr>
                <w:rFonts w:eastAsia="楷体"/>
                <w:lang w:val="en-GB"/>
              </w:rPr>
            </w:pPr>
            <w:proofErr w:type="spellStart"/>
            <w:r w:rsidRPr="00CD5D09">
              <w:rPr>
                <w:rFonts w:eastAsia="楷体"/>
                <w:lang w:val="en-GB"/>
              </w:rPr>
              <w:t>Sō</w:t>
            </w:r>
            <w:proofErr w:type="spellEnd"/>
            <w:r w:rsidRPr="00CD5D09">
              <w:rPr>
                <w:rFonts w:eastAsia="楷体"/>
                <w:lang w:val="en-GB"/>
              </w:rPr>
              <w:t xml:space="preserve"> Ramen restaurant (Japan)</w:t>
            </w:r>
          </w:p>
          <w:p w14:paraId="360E8AB5" w14:textId="77777777" w:rsidR="00542CB6" w:rsidRPr="00CD5D09" w:rsidRDefault="00542CB6" w:rsidP="00AA216A">
            <w:pPr>
              <w:pStyle w:val="ExhibitText"/>
              <w:jc w:val="center"/>
              <w:rPr>
                <w:rFonts w:eastAsia="楷体"/>
                <w:i/>
                <w:lang w:val="en-GB"/>
              </w:rPr>
            </w:pPr>
            <w:r w:rsidRPr="00CD5D09">
              <w:rPr>
                <w:rFonts w:eastAsia="楷体"/>
                <w:i/>
                <w:lang w:val="en-GB"/>
              </w:rPr>
              <w:t xml:space="preserve">(revamped from </w:t>
            </w:r>
            <w:proofErr w:type="spellStart"/>
            <w:r w:rsidRPr="00CD5D09">
              <w:rPr>
                <w:rFonts w:eastAsia="楷体"/>
                <w:i/>
                <w:lang w:val="en-GB"/>
              </w:rPr>
              <w:t>RamenPlay</w:t>
            </w:r>
            <w:proofErr w:type="spellEnd"/>
            <w:r w:rsidRPr="00CD5D09">
              <w:rPr>
                <w:rFonts w:eastAsia="楷体"/>
                <w:i/>
                <w:lang w:val="en-GB"/>
              </w:rPr>
              <w:t>, which was launched in 2009)</w:t>
            </w:r>
          </w:p>
        </w:tc>
      </w:tr>
      <w:tr w:rsidR="00542CB6" w:rsidRPr="00CD5D09" w14:paraId="2AFD1FAA" w14:textId="77777777" w:rsidTr="00E905AC">
        <w:trPr>
          <w:trHeight w:val="314"/>
          <w:jc w:val="center"/>
        </w:trPr>
        <w:tc>
          <w:tcPr>
            <w:tcW w:w="1345" w:type="dxa"/>
            <w:vMerge/>
            <w:vAlign w:val="center"/>
          </w:tcPr>
          <w:p w14:paraId="0944F1E8" w14:textId="77777777" w:rsidR="00542CB6" w:rsidRPr="00CD5D09" w:rsidRDefault="00542CB6" w:rsidP="00542CB6">
            <w:pPr>
              <w:pStyle w:val="ExhibitText"/>
              <w:rPr>
                <w:rFonts w:eastAsia="楷体"/>
                <w:lang w:val="en-GB"/>
              </w:rPr>
            </w:pPr>
          </w:p>
        </w:tc>
        <w:tc>
          <w:tcPr>
            <w:tcW w:w="1769" w:type="dxa"/>
          </w:tcPr>
          <w:p w14:paraId="35011997" w14:textId="74B01F67" w:rsidR="00542CB6" w:rsidRPr="00CD5D09" w:rsidRDefault="00542CB6" w:rsidP="00AA216A">
            <w:pPr>
              <w:pStyle w:val="ExhibitText"/>
              <w:jc w:val="center"/>
              <w:rPr>
                <w:rFonts w:eastAsia="楷体"/>
                <w:lang w:val="en-GB"/>
              </w:rPr>
            </w:pPr>
            <w:r w:rsidRPr="00CD5D09">
              <w:rPr>
                <w:rFonts w:eastAsia="楷体"/>
                <w:lang w:val="en-GB"/>
              </w:rPr>
              <w:t>2018, Shanghai</w:t>
            </w:r>
          </w:p>
        </w:tc>
        <w:tc>
          <w:tcPr>
            <w:tcW w:w="1651" w:type="dxa"/>
          </w:tcPr>
          <w:p w14:paraId="063F7433" w14:textId="77777777" w:rsidR="00542CB6" w:rsidRPr="00CD5D09" w:rsidRDefault="00542CB6" w:rsidP="00AA216A">
            <w:pPr>
              <w:pStyle w:val="ExhibitText"/>
              <w:jc w:val="center"/>
              <w:rPr>
                <w:rFonts w:eastAsia="楷体"/>
                <w:lang w:val="en-GB"/>
              </w:rPr>
            </w:pPr>
          </w:p>
        </w:tc>
        <w:tc>
          <w:tcPr>
            <w:tcW w:w="1440" w:type="dxa"/>
            <w:vAlign w:val="center"/>
          </w:tcPr>
          <w:p w14:paraId="4B5980CC" w14:textId="77777777" w:rsidR="00542CB6" w:rsidRPr="00CD5D09" w:rsidRDefault="00542CB6" w:rsidP="00AA216A">
            <w:pPr>
              <w:pStyle w:val="ExhibitText"/>
              <w:jc w:val="center"/>
              <w:rPr>
                <w:rFonts w:eastAsia="楷体"/>
                <w:lang w:val="en-GB"/>
              </w:rPr>
            </w:pPr>
          </w:p>
        </w:tc>
        <w:tc>
          <w:tcPr>
            <w:tcW w:w="3288" w:type="dxa"/>
            <w:vAlign w:val="center"/>
          </w:tcPr>
          <w:p w14:paraId="43AEFBC2" w14:textId="77777777" w:rsidR="00542CB6" w:rsidRPr="00CD5D09" w:rsidRDefault="00542CB6" w:rsidP="00AA216A">
            <w:pPr>
              <w:pStyle w:val="ExhibitText"/>
              <w:jc w:val="center"/>
              <w:rPr>
                <w:rFonts w:eastAsia="楷体"/>
                <w:lang w:val="en-GB"/>
              </w:rPr>
            </w:pPr>
            <w:r w:rsidRPr="00CD5D09">
              <w:rPr>
                <w:rFonts w:eastAsia="楷体"/>
                <w:lang w:val="en-GB"/>
              </w:rPr>
              <w:t xml:space="preserve">Song Fa </w:t>
            </w:r>
            <w:proofErr w:type="spellStart"/>
            <w:r w:rsidRPr="00CD5D09">
              <w:rPr>
                <w:rFonts w:eastAsia="楷体"/>
                <w:lang w:val="en-GB"/>
              </w:rPr>
              <w:t>Bak</w:t>
            </w:r>
            <w:proofErr w:type="spellEnd"/>
            <w:r w:rsidRPr="00CD5D09">
              <w:rPr>
                <w:rFonts w:eastAsia="楷体"/>
                <w:lang w:val="en-GB"/>
              </w:rPr>
              <w:t xml:space="preserve"> </w:t>
            </w:r>
            <w:proofErr w:type="spellStart"/>
            <w:r w:rsidRPr="00CD5D09">
              <w:rPr>
                <w:rFonts w:eastAsia="楷体"/>
                <w:lang w:val="en-GB"/>
              </w:rPr>
              <w:t>Kut</w:t>
            </w:r>
            <w:proofErr w:type="spellEnd"/>
            <w:r w:rsidRPr="00CD5D09">
              <w:rPr>
                <w:rFonts w:eastAsia="楷体"/>
                <w:lang w:val="en-GB"/>
              </w:rPr>
              <w:t xml:space="preserve"> </w:t>
            </w:r>
            <w:proofErr w:type="spellStart"/>
            <w:r w:rsidRPr="00CD5D09">
              <w:rPr>
                <w:rFonts w:eastAsia="楷体"/>
                <w:lang w:val="en-GB"/>
              </w:rPr>
              <w:t>Teh</w:t>
            </w:r>
            <w:proofErr w:type="spellEnd"/>
            <w:r w:rsidRPr="00CD5D09">
              <w:rPr>
                <w:rFonts w:eastAsia="楷体"/>
                <w:lang w:val="en-GB"/>
              </w:rPr>
              <w:t xml:space="preserve"> restaurant (Singapore)</w:t>
            </w:r>
          </w:p>
        </w:tc>
      </w:tr>
    </w:tbl>
    <w:p w14:paraId="4BB47C99" w14:textId="77777777" w:rsidR="00542CB6" w:rsidRPr="00CD5D09" w:rsidRDefault="00542CB6" w:rsidP="00542CB6">
      <w:pPr>
        <w:spacing w:before="1" w:after="1"/>
        <w:jc w:val="both"/>
        <w:rPr>
          <w:rFonts w:ascii="Arial" w:hAnsi="Arial" w:cs="Arial"/>
          <w:sz w:val="12"/>
          <w:szCs w:val="12"/>
          <w:lang w:val="en-GB" w:eastAsia="zh-CN"/>
        </w:rPr>
      </w:pPr>
    </w:p>
    <w:p w14:paraId="798337F0" w14:textId="17DC2072" w:rsidR="00542CB6" w:rsidRPr="00CD5D09" w:rsidRDefault="00542CB6" w:rsidP="00542CB6">
      <w:pPr>
        <w:pStyle w:val="Footnote"/>
        <w:rPr>
          <w:lang w:val="en-GB" w:eastAsia="zh-CN"/>
        </w:rPr>
      </w:pPr>
      <w:r w:rsidRPr="00CD5D09">
        <w:rPr>
          <w:lang w:val="en-GB" w:eastAsia="zh-CN"/>
        </w:rPr>
        <w:t xml:space="preserve">Note: In 2018, the </w:t>
      </w:r>
      <w:r w:rsidR="00FC03D0">
        <w:rPr>
          <w:lang w:val="en-GB" w:eastAsia="zh-CN"/>
        </w:rPr>
        <w:t>company</w:t>
      </w:r>
      <w:r w:rsidRPr="00CD5D09">
        <w:rPr>
          <w:lang w:val="en-GB" w:eastAsia="zh-CN"/>
        </w:rPr>
        <w:t xml:space="preserve"> entered </w:t>
      </w:r>
      <w:r w:rsidR="00E905AC">
        <w:rPr>
          <w:lang w:val="en-GB" w:eastAsia="zh-CN"/>
        </w:rPr>
        <w:t xml:space="preserve">into </w:t>
      </w:r>
      <w:r w:rsidRPr="00CD5D09">
        <w:rPr>
          <w:lang w:val="en-GB" w:eastAsia="zh-CN"/>
        </w:rPr>
        <w:t xml:space="preserve">an agreement to bring Shenzhen </w:t>
      </w:r>
      <w:proofErr w:type="spellStart"/>
      <w:r w:rsidRPr="00CD5D09">
        <w:rPr>
          <w:lang w:val="en-GB" w:eastAsia="zh-CN"/>
        </w:rPr>
        <w:t>Pindao’s</w:t>
      </w:r>
      <w:proofErr w:type="spellEnd"/>
      <w:r w:rsidRPr="00CD5D09">
        <w:rPr>
          <w:lang w:val="en-GB" w:eastAsia="zh-CN"/>
        </w:rPr>
        <w:t xml:space="preserve"> tea brands, </w:t>
      </w:r>
      <w:proofErr w:type="spellStart"/>
      <w:r w:rsidRPr="00CD5D09">
        <w:rPr>
          <w:lang w:val="en-GB" w:eastAsia="zh-CN"/>
        </w:rPr>
        <w:t>Nayuki</w:t>
      </w:r>
      <w:proofErr w:type="spellEnd"/>
      <w:r w:rsidRPr="00CD5D09">
        <w:rPr>
          <w:lang w:val="en-GB" w:eastAsia="zh-CN"/>
        </w:rPr>
        <w:t xml:space="preserve"> and Tai Gai, to Singapore and Thailand.</w:t>
      </w:r>
    </w:p>
    <w:p w14:paraId="0D75017C" w14:textId="3808BC6F" w:rsidR="00542CB6" w:rsidRPr="00CD5D09" w:rsidRDefault="00542CB6" w:rsidP="00542CB6">
      <w:pPr>
        <w:pStyle w:val="Footnote"/>
        <w:rPr>
          <w:lang w:val="en-GB"/>
        </w:rPr>
      </w:pPr>
      <w:r w:rsidRPr="00CD5D09">
        <w:rPr>
          <w:lang w:val="en-GB"/>
        </w:rPr>
        <w:t>Source: Company information.</w:t>
      </w:r>
      <w:r w:rsidRPr="00CD5D09">
        <w:rPr>
          <w:lang w:val="en-GB"/>
        </w:rPr>
        <w:br w:type="page"/>
      </w:r>
    </w:p>
    <w:p w14:paraId="5CC6AAD7" w14:textId="216CE91B" w:rsidR="00542CB6" w:rsidRPr="00CD5D09" w:rsidRDefault="00542CB6" w:rsidP="00542CB6">
      <w:pPr>
        <w:pStyle w:val="Casehead1"/>
        <w:jc w:val="center"/>
        <w:rPr>
          <w:lang w:val="en-GB"/>
        </w:rPr>
      </w:pPr>
      <w:r w:rsidRPr="00CD5D09">
        <w:rPr>
          <w:lang w:val="en-GB"/>
        </w:rPr>
        <w:lastRenderedPageBreak/>
        <w:t xml:space="preserve">Exhibit 5: </w:t>
      </w:r>
      <w:r w:rsidR="003E396D">
        <w:rPr>
          <w:lang w:val="en-GB"/>
        </w:rPr>
        <w:t xml:space="preserve">BreadTalk Group </w:t>
      </w:r>
      <w:r w:rsidR="00E905AC">
        <w:rPr>
          <w:lang w:val="en-GB"/>
        </w:rPr>
        <w:t xml:space="preserve">LIMITED </w:t>
      </w:r>
      <w:r w:rsidRPr="00CD5D09">
        <w:rPr>
          <w:lang w:val="en-GB"/>
        </w:rPr>
        <w:t>outlet mix</w:t>
      </w:r>
    </w:p>
    <w:p w14:paraId="4C94EE2B" w14:textId="77777777" w:rsidR="00542CB6" w:rsidRPr="00CD5D09" w:rsidRDefault="00542CB6" w:rsidP="00542CB6">
      <w:pPr>
        <w:spacing w:before="1" w:after="1"/>
        <w:jc w:val="both"/>
        <w:rPr>
          <w:rFonts w:ascii="Arial" w:hAnsi="Arial" w:cs="Arial"/>
          <w:lang w:val="en-GB" w:eastAsia="zh-CN"/>
        </w:rPr>
      </w:pPr>
    </w:p>
    <w:p w14:paraId="0881CF53" w14:textId="77777777" w:rsidR="00542CB6" w:rsidRPr="006466FE" w:rsidRDefault="00542CB6" w:rsidP="00542CB6">
      <w:pPr>
        <w:spacing w:before="1" w:after="1"/>
        <w:jc w:val="center"/>
        <w:rPr>
          <w:rFonts w:ascii="Arial" w:hAnsi="Arial" w:cs="Arial"/>
          <w:b/>
          <w:lang w:val="en-GB" w:eastAsia="zh-CN"/>
        </w:rPr>
      </w:pPr>
      <w:r w:rsidRPr="006466FE">
        <w:rPr>
          <w:rFonts w:ascii="Arial" w:hAnsi="Arial" w:cs="Arial"/>
          <w:b/>
          <w:lang w:val="en-GB" w:eastAsia="zh-CN"/>
        </w:rPr>
        <w:t>Changes from 2016 to June 30, 2018</w:t>
      </w:r>
    </w:p>
    <w:p w14:paraId="76FB659C" w14:textId="77777777" w:rsidR="00542CB6" w:rsidRPr="00CD5D09" w:rsidRDefault="00542CB6" w:rsidP="00542CB6">
      <w:pPr>
        <w:spacing w:before="1" w:after="1"/>
        <w:jc w:val="both"/>
        <w:rPr>
          <w:rFonts w:ascii="Arial" w:hAnsi="Arial" w:cs="Arial"/>
          <w:lang w:val="en-GB" w:eastAsia="zh-CN"/>
        </w:rPr>
      </w:pPr>
    </w:p>
    <w:tbl>
      <w:tblPr>
        <w:tblStyle w:val="TableGrid"/>
        <w:tblW w:w="8095" w:type="dxa"/>
        <w:jc w:val="center"/>
        <w:tblLook w:val="04A0" w:firstRow="1" w:lastRow="0" w:firstColumn="1" w:lastColumn="0" w:noHBand="0" w:noVBand="1"/>
      </w:tblPr>
      <w:tblGrid>
        <w:gridCol w:w="3955"/>
        <w:gridCol w:w="1170"/>
        <w:gridCol w:w="1170"/>
        <w:gridCol w:w="1800"/>
      </w:tblGrid>
      <w:tr w:rsidR="00542CB6" w:rsidRPr="00CD5D09" w14:paraId="709449BF" w14:textId="77777777" w:rsidTr="00542CB6">
        <w:trPr>
          <w:jc w:val="center"/>
        </w:trPr>
        <w:tc>
          <w:tcPr>
            <w:tcW w:w="3955" w:type="dxa"/>
          </w:tcPr>
          <w:p w14:paraId="2576164C" w14:textId="77B61B20" w:rsidR="00542CB6" w:rsidRPr="00632565" w:rsidRDefault="00632565" w:rsidP="00CD5D09">
            <w:pPr>
              <w:spacing w:before="1" w:after="1"/>
              <w:jc w:val="both"/>
              <w:rPr>
                <w:rFonts w:ascii="Arial" w:hAnsi="Arial" w:cs="Arial"/>
                <w:b/>
                <w:lang w:val="en-GB"/>
              </w:rPr>
            </w:pPr>
            <w:r w:rsidRPr="00632565">
              <w:rPr>
                <w:rFonts w:ascii="Arial" w:hAnsi="Arial" w:cs="Arial"/>
                <w:b/>
                <w:lang w:val="en-GB"/>
              </w:rPr>
              <w:t>Division</w:t>
            </w:r>
          </w:p>
        </w:tc>
        <w:tc>
          <w:tcPr>
            <w:tcW w:w="1170" w:type="dxa"/>
            <w:tcBorders>
              <w:bottom w:val="single" w:sz="4" w:space="0" w:color="auto"/>
            </w:tcBorders>
          </w:tcPr>
          <w:p w14:paraId="3E422891" w14:textId="77777777" w:rsidR="00542CB6" w:rsidRPr="00CD5D09" w:rsidRDefault="00542CB6" w:rsidP="00CD5D09">
            <w:pPr>
              <w:spacing w:before="1" w:after="1"/>
              <w:jc w:val="center"/>
              <w:rPr>
                <w:rFonts w:ascii="Arial" w:hAnsi="Arial" w:cs="Arial"/>
                <w:b/>
                <w:lang w:val="en-GB"/>
              </w:rPr>
            </w:pPr>
            <w:r w:rsidRPr="00CD5D09">
              <w:rPr>
                <w:rFonts w:ascii="Arial" w:hAnsi="Arial" w:cs="Arial"/>
                <w:b/>
                <w:lang w:val="en-GB"/>
              </w:rPr>
              <w:t>2016</w:t>
            </w:r>
          </w:p>
        </w:tc>
        <w:tc>
          <w:tcPr>
            <w:tcW w:w="1170" w:type="dxa"/>
          </w:tcPr>
          <w:p w14:paraId="0B1B1D0B" w14:textId="77777777" w:rsidR="00542CB6" w:rsidRPr="00CD5D09" w:rsidRDefault="00542CB6" w:rsidP="00CD5D09">
            <w:pPr>
              <w:spacing w:before="1" w:after="1"/>
              <w:jc w:val="center"/>
              <w:rPr>
                <w:rFonts w:ascii="Arial" w:hAnsi="Arial" w:cs="Arial"/>
                <w:b/>
                <w:lang w:val="en-GB"/>
              </w:rPr>
            </w:pPr>
            <w:r w:rsidRPr="00CD5D09">
              <w:rPr>
                <w:rFonts w:ascii="Arial" w:hAnsi="Arial" w:cs="Arial"/>
                <w:b/>
                <w:lang w:val="en-GB"/>
              </w:rPr>
              <w:t>2017</w:t>
            </w:r>
          </w:p>
        </w:tc>
        <w:tc>
          <w:tcPr>
            <w:tcW w:w="1800" w:type="dxa"/>
          </w:tcPr>
          <w:p w14:paraId="2A35E4B9" w14:textId="77777777" w:rsidR="00542CB6" w:rsidRPr="00CD5D09" w:rsidRDefault="00542CB6" w:rsidP="00CD5D09">
            <w:pPr>
              <w:spacing w:before="1" w:after="1"/>
              <w:jc w:val="center"/>
              <w:rPr>
                <w:rFonts w:ascii="Arial" w:hAnsi="Arial" w:cs="Arial"/>
                <w:b/>
                <w:lang w:val="en-GB"/>
              </w:rPr>
            </w:pPr>
            <w:r w:rsidRPr="00CD5D09">
              <w:rPr>
                <w:rFonts w:ascii="Arial" w:hAnsi="Arial" w:cs="Arial"/>
                <w:b/>
                <w:lang w:val="en-GB"/>
              </w:rPr>
              <w:t>June 30, 2018</w:t>
            </w:r>
          </w:p>
        </w:tc>
      </w:tr>
      <w:tr w:rsidR="00542CB6" w:rsidRPr="00CD5D09" w14:paraId="17B60AB8" w14:textId="77777777" w:rsidTr="00542CB6">
        <w:trPr>
          <w:jc w:val="center"/>
        </w:trPr>
        <w:tc>
          <w:tcPr>
            <w:tcW w:w="3955" w:type="dxa"/>
          </w:tcPr>
          <w:p w14:paraId="03DE1B9A" w14:textId="77777777" w:rsidR="00542CB6" w:rsidRPr="00632565" w:rsidRDefault="00542CB6" w:rsidP="00CD5D09">
            <w:pPr>
              <w:spacing w:before="1" w:after="1"/>
              <w:jc w:val="both"/>
              <w:rPr>
                <w:rFonts w:ascii="Arial" w:hAnsi="Arial" w:cs="Arial"/>
                <w:lang w:val="en-GB"/>
              </w:rPr>
            </w:pPr>
            <w:r w:rsidRPr="00632565">
              <w:rPr>
                <w:rFonts w:ascii="Arial" w:hAnsi="Arial" w:cs="Arial"/>
                <w:lang w:val="en-GB"/>
              </w:rPr>
              <w:t>Bakery</w:t>
            </w:r>
          </w:p>
        </w:tc>
        <w:tc>
          <w:tcPr>
            <w:tcW w:w="1170" w:type="dxa"/>
            <w:tcBorders>
              <w:top w:val="single" w:sz="4" w:space="0" w:color="auto"/>
              <w:left w:val="single" w:sz="4" w:space="0" w:color="auto"/>
              <w:right w:val="single" w:sz="4" w:space="0" w:color="auto"/>
            </w:tcBorders>
          </w:tcPr>
          <w:p w14:paraId="7AD5961E" w14:textId="77777777" w:rsidR="00542CB6" w:rsidRPr="00CD5D09" w:rsidRDefault="00542CB6" w:rsidP="00CD5D09">
            <w:pPr>
              <w:spacing w:before="1" w:after="1"/>
              <w:jc w:val="right"/>
              <w:rPr>
                <w:rFonts w:ascii="Arial" w:hAnsi="Arial" w:cs="Arial"/>
                <w:lang w:val="en-GB"/>
              </w:rPr>
            </w:pPr>
            <w:r w:rsidRPr="00CD5D09">
              <w:rPr>
                <w:rFonts w:ascii="Arial" w:hAnsi="Arial" w:cs="Arial"/>
                <w:lang w:val="en-GB"/>
              </w:rPr>
              <w:t>862</w:t>
            </w:r>
          </w:p>
        </w:tc>
        <w:tc>
          <w:tcPr>
            <w:tcW w:w="1170" w:type="dxa"/>
            <w:tcBorders>
              <w:left w:val="single" w:sz="4" w:space="0" w:color="auto"/>
            </w:tcBorders>
          </w:tcPr>
          <w:p w14:paraId="6EECFF6C" w14:textId="77777777" w:rsidR="00542CB6" w:rsidRPr="00CD5D09" w:rsidRDefault="00542CB6" w:rsidP="00CD5D09">
            <w:pPr>
              <w:spacing w:before="1" w:after="1"/>
              <w:jc w:val="right"/>
              <w:rPr>
                <w:rFonts w:ascii="Arial" w:hAnsi="Arial" w:cs="Arial"/>
                <w:lang w:val="en-GB"/>
              </w:rPr>
            </w:pPr>
            <w:r w:rsidRPr="00CD5D09">
              <w:rPr>
                <w:rFonts w:ascii="Arial" w:hAnsi="Arial" w:cs="Arial"/>
                <w:lang w:val="en-GB"/>
              </w:rPr>
              <w:t>871</w:t>
            </w:r>
          </w:p>
        </w:tc>
        <w:tc>
          <w:tcPr>
            <w:tcW w:w="1800" w:type="dxa"/>
          </w:tcPr>
          <w:p w14:paraId="150FBC43" w14:textId="77777777" w:rsidR="00542CB6" w:rsidRPr="00CD5D09" w:rsidRDefault="00542CB6" w:rsidP="00CD5D09">
            <w:pPr>
              <w:spacing w:before="1" w:after="1"/>
              <w:jc w:val="right"/>
              <w:rPr>
                <w:rFonts w:ascii="Arial" w:hAnsi="Arial" w:cs="Arial"/>
                <w:lang w:val="en-GB"/>
              </w:rPr>
            </w:pPr>
            <w:r w:rsidRPr="00CD5D09">
              <w:rPr>
                <w:rFonts w:ascii="Arial" w:hAnsi="Arial" w:cs="Arial"/>
                <w:lang w:val="en-GB"/>
              </w:rPr>
              <w:t>842</w:t>
            </w:r>
          </w:p>
        </w:tc>
      </w:tr>
      <w:tr w:rsidR="00542CB6" w:rsidRPr="00CD5D09" w14:paraId="21F1AA5F" w14:textId="77777777" w:rsidTr="00542CB6">
        <w:trPr>
          <w:jc w:val="center"/>
        </w:trPr>
        <w:tc>
          <w:tcPr>
            <w:tcW w:w="3955" w:type="dxa"/>
          </w:tcPr>
          <w:p w14:paraId="3DC5E70C" w14:textId="72D5625E" w:rsidR="00542CB6" w:rsidRPr="00632565" w:rsidRDefault="00542CB6" w:rsidP="006466FE">
            <w:pPr>
              <w:spacing w:before="1" w:after="1"/>
              <w:ind w:left="144"/>
              <w:rPr>
                <w:rFonts w:ascii="Arial" w:hAnsi="Arial" w:cs="Arial"/>
                <w:i/>
                <w:lang w:val="en-GB"/>
              </w:rPr>
            </w:pPr>
            <w:r w:rsidRPr="00632565">
              <w:rPr>
                <w:rFonts w:ascii="Arial" w:hAnsi="Arial" w:cs="Arial"/>
                <w:i/>
                <w:lang w:val="en-GB"/>
              </w:rPr>
              <w:t xml:space="preserve">Directly operated by the </w:t>
            </w:r>
            <w:r w:rsidR="00FC03D0" w:rsidRPr="00632565">
              <w:rPr>
                <w:rFonts w:ascii="Arial" w:hAnsi="Arial" w:cs="Arial"/>
                <w:i/>
                <w:lang w:val="en-GB"/>
              </w:rPr>
              <w:t>company</w:t>
            </w:r>
          </w:p>
        </w:tc>
        <w:tc>
          <w:tcPr>
            <w:tcW w:w="1170" w:type="dxa"/>
            <w:tcBorders>
              <w:top w:val="single" w:sz="4" w:space="0" w:color="auto"/>
              <w:left w:val="single" w:sz="4" w:space="0" w:color="auto"/>
              <w:right w:val="single" w:sz="4" w:space="0" w:color="auto"/>
            </w:tcBorders>
          </w:tcPr>
          <w:p w14:paraId="6C3D85A8" w14:textId="77777777" w:rsidR="00542CB6" w:rsidRPr="00CD5D09" w:rsidRDefault="00542CB6" w:rsidP="00CD5D09">
            <w:pPr>
              <w:spacing w:before="1" w:after="1"/>
              <w:jc w:val="right"/>
              <w:rPr>
                <w:rFonts w:ascii="Arial" w:hAnsi="Arial" w:cs="Arial"/>
                <w:lang w:val="en-GB"/>
              </w:rPr>
            </w:pPr>
          </w:p>
        </w:tc>
        <w:tc>
          <w:tcPr>
            <w:tcW w:w="1170" w:type="dxa"/>
            <w:tcBorders>
              <w:left w:val="single" w:sz="4" w:space="0" w:color="auto"/>
            </w:tcBorders>
          </w:tcPr>
          <w:p w14:paraId="0F3D771E" w14:textId="77777777" w:rsidR="00542CB6" w:rsidRPr="00CD5D09" w:rsidRDefault="00542CB6" w:rsidP="00CD5D09">
            <w:pPr>
              <w:spacing w:before="1" w:after="1"/>
              <w:jc w:val="right"/>
              <w:rPr>
                <w:rFonts w:ascii="Arial" w:hAnsi="Arial" w:cs="Arial"/>
                <w:i/>
                <w:lang w:val="en-GB"/>
              </w:rPr>
            </w:pPr>
            <w:r w:rsidRPr="00CD5D09">
              <w:rPr>
                <w:rFonts w:ascii="Arial" w:hAnsi="Arial" w:cs="Arial"/>
                <w:i/>
                <w:lang w:val="en-GB"/>
              </w:rPr>
              <w:t>240</w:t>
            </w:r>
          </w:p>
        </w:tc>
        <w:tc>
          <w:tcPr>
            <w:tcW w:w="1800" w:type="dxa"/>
          </w:tcPr>
          <w:p w14:paraId="440F81C1" w14:textId="77777777" w:rsidR="00542CB6" w:rsidRPr="00CD5D09" w:rsidRDefault="00542CB6" w:rsidP="00CD5D09">
            <w:pPr>
              <w:spacing w:before="1" w:after="1"/>
              <w:jc w:val="right"/>
              <w:rPr>
                <w:rFonts w:ascii="Arial" w:hAnsi="Arial" w:cs="Arial"/>
                <w:i/>
                <w:lang w:val="en-GB"/>
              </w:rPr>
            </w:pPr>
            <w:r w:rsidRPr="00CD5D09">
              <w:rPr>
                <w:rFonts w:ascii="Arial" w:hAnsi="Arial" w:cs="Arial"/>
                <w:i/>
                <w:lang w:val="en-GB"/>
              </w:rPr>
              <w:t>224</w:t>
            </w:r>
          </w:p>
        </w:tc>
      </w:tr>
      <w:tr w:rsidR="00542CB6" w:rsidRPr="00CD5D09" w14:paraId="731EE0A1" w14:textId="77777777" w:rsidTr="00542CB6">
        <w:trPr>
          <w:jc w:val="center"/>
        </w:trPr>
        <w:tc>
          <w:tcPr>
            <w:tcW w:w="3955" w:type="dxa"/>
          </w:tcPr>
          <w:p w14:paraId="4F21CF82" w14:textId="77777777" w:rsidR="00542CB6" w:rsidRPr="00632565" w:rsidRDefault="00542CB6" w:rsidP="006466FE">
            <w:pPr>
              <w:spacing w:before="1" w:after="1"/>
              <w:ind w:left="144"/>
              <w:rPr>
                <w:rFonts w:ascii="Arial" w:hAnsi="Arial" w:cs="Arial"/>
                <w:i/>
                <w:lang w:val="en-GB"/>
              </w:rPr>
            </w:pPr>
            <w:r w:rsidRPr="00632565">
              <w:rPr>
                <w:rFonts w:ascii="Arial" w:hAnsi="Arial" w:cs="Arial"/>
                <w:i/>
                <w:lang w:val="en-GB"/>
              </w:rPr>
              <w:t>Franchise</w:t>
            </w:r>
          </w:p>
        </w:tc>
        <w:tc>
          <w:tcPr>
            <w:tcW w:w="1170" w:type="dxa"/>
            <w:tcBorders>
              <w:left w:val="single" w:sz="4" w:space="0" w:color="auto"/>
              <w:right w:val="single" w:sz="4" w:space="0" w:color="auto"/>
            </w:tcBorders>
          </w:tcPr>
          <w:p w14:paraId="5F2295A0" w14:textId="77777777" w:rsidR="00542CB6" w:rsidRPr="00CD5D09" w:rsidRDefault="00542CB6" w:rsidP="00CD5D09">
            <w:pPr>
              <w:spacing w:before="1" w:after="1"/>
              <w:jc w:val="right"/>
              <w:rPr>
                <w:rFonts w:ascii="Arial" w:hAnsi="Arial" w:cs="Arial"/>
                <w:lang w:val="en-GB"/>
              </w:rPr>
            </w:pPr>
          </w:p>
        </w:tc>
        <w:tc>
          <w:tcPr>
            <w:tcW w:w="1170" w:type="dxa"/>
            <w:tcBorders>
              <w:left w:val="single" w:sz="4" w:space="0" w:color="auto"/>
            </w:tcBorders>
          </w:tcPr>
          <w:p w14:paraId="4CD30E70" w14:textId="77777777" w:rsidR="00542CB6" w:rsidRPr="00CD5D09" w:rsidRDefault="00542CB6" w:rsidP="00CD5D09">
            <w:pPr>
              <w:spacing w:before="1" w:after="1"/>
              <w:jc w:val="right"/>
              <w:rPr>
                <w:rFonts w:ascii="Arial" w:hAnsi="Arial" w:cs="Arial"/>
                <w:i/>
                <w:lang w:val="en-GB"/>
              </w:rPr>
            </w:pPr>
            <w:r w:rsidRPr="00CD5D09">
              <w:rPr>
                <w:rFonts w:ascii="Arial" w:hAnsi="Arial" w:cs="Arial"/>
                <w:i/>
                <w:lang w:val="en-GB"/>
              </w:rPr>
              <w:t>631</w:t>
            </w:r>
          </w:p>
        </w:tc>
        <w:tc>
          <w:tcPr>
            <w:tcW w:w="1800" w:type="dxa"/>
          </w:tcPr>
          <w:p w14:paraId="57DDCD6E" w14:textId="77777777" w:rsidR="00542CB6" w:rsidRPr="00CD5D09" w:rsidRDefault="00542CB6" w:rsidP="00CD5D09">
            <w:pPr>
              <w:spacing w:before="1" w:after="1"/>
              <w:jc w:val="right"/>
              <w:rPr>
                <w:rFonts w:ascii="Arial" w:hAnsi="Arial" w:cs="Arial"/>
                <w:i/>
                <w:lang w:val="en-GB"/>
              </w:rPr>
            </w:pPr>
            <w:r w:rsidRPr="00CD5D09">
              <w:rPr>
                <w:rFonts w:ascii="Arial" w:hAnsi="Arial" w:cs="Arial"/>
                <w:i/>
                <w:lang w:val="en-GB"/>
              </w:rPr>
              <w:t>618</w:t>
            </w:r>
          </w:p>
        </w:tc>
      </w:tr>
      <w:tr w:rsidR="00542CB6" w:rsidRPr="00CD5D09" w14:paraId="7F9AA0D1" w14:textId="77777777" w:rsidTr="00542CB6">
        <w:trPr>
          <w:jc w:val="center"/>
        </w:trPr>
        <w:tc>
          <w:tcPr>
            <w:tcW w:w="3955" w:type="dxa"/>
          </w:tcPr>
          <w:p w14:paraId="029C815E" w14:textId="77777777" w:rsidR="00542CB6" w:rsidRPr="00632565" w:rsidRDefault="00542CB6" w:rsidP="00CD5D09">
            <w:pPr>
              <w:spacing w:before="1" w:after="1"/>
              <w:jc w:val="both"/>
              <w:rPr>
                <w:rFonts w:ascii="Arial" w:hAnsi="Arial" w:cs="Arial"/>
                <w:lang w:val="en-GB"/>
              </w:rPr>
            </w:pPr>
            <w:r w:rsidRPr="00632565">
              <w:rPr>
                <w:rFonts w:ascii="Arial" w:hAnsi="Arial" w:cs="Arial"/>
                <w:lang w:val="en-GB"/>
              </w:rPr>
              <w:t xml:space="preserve">Food Atrium </w:t>
            </w:r>
          </w:p>
        </w:tc>
        <w:tc>
          <w:tcPr>
            <w:tcW w:w="1170" w:type="dxa"/>
            <w:tcBorders>
              <w:top w:val="single" w:sz="4" w:space="0" w:color="auto"/>
            </w:tcBorders>
          </w:tcPr>
          <w:p w14:paraId="491BB6CF" w14:textId="77777777" w:rsidR="00542CB6" w:rsidRPr="00CD5D09" w:rsidRDefault="00542CB6" w:rsidP="00CD5D09">
            <w:pPr>
              <w:spacing w:before="1" w:after="1"/>
              <w:jc w:val="right"/>
              <w:rPr>
                <w:rFonts w:ascii="Arial" w:hAnsi="Arial" w:cs="Arial"/>
                <w:lang w:val="en-GB"/>
              </w:rPr>
            </w:pPr>
            <w:r w:rsidRPr="00CD5D09">
              <w:rPr>
                <w:rFonts w:ascii="Arial" w:hAnsi="Arial" w:cs="Arial"/>
                <w:lang w:val="en-GB"/>
              </w:rPr>
              <w:t>57</w:t>
            </w:r>
          </w:p>
        </w:tc>
        <w:tc>
          <w:tcPr>
            <w:tcW w:w="1170" w:type="dxa"/>
          </w:tcPr>
          <w:p w14:paraId="4740FDDD" w14:textId="77777777" w:rsidR="00542CB6" w:rsidRPr="00CD5D09" w:rsidRDefault="00542CB6" w:rsidP="00CD5D09">
            <w:pPr>
              <w:spacing w:before="1" w:after="1"/>
              <w:jc w:val="right"/>
              <w:rPr>
                <w:rFonts w:ascii="Arial" w:hAnsi="Arial" w:cs="Arial"/>
                <w:lang w:val="en-GB"/>
              </w:rPr>
            </w:pPr>
            <w:r w:rsidRPr="00CD5D09">
              <w:rPr>
                <w:rFonts w:ascii="Arial" w:hAnsi="Arial" w:cs="Arial"/>
                <w:lang w:val="en-GB"/>
              </w:rPr>
              <w:t>53</w:t>
            </w:r>
          </w:p>
        </w:tc>
        <w:tc>
          <w:tcPr>
            <w:tcW w:w="1800" w:type="dxa"/>
          </w:tcPr>
          <w:p w14:paraId="2357EFE3" w14:textId="77777777" w:rsidR="00542CB6" w:rsidRPr="00CD5D09" w:rsidRDefault="00542CB6" w:rsidP="00CD5D09">
            <w:pPr>
              <w:spacing w:before="1" w:after="1"/>
              <w:jc w:val="right"/>
              <w:rPr>
                <w:rFonts w:ascii="Arial" w:hAnsi="Arial" w:cs="Arial"/>
                <w:lang w:val="en-GB"/>
              </w:rPr>
            </w:pPr>
            <w:r w:rsidRPr="00CD5D09">
              <w:rPr>
                <w:rFonts w:ascii="Arial" w:hAnsi="Arial" w:cs="Arial"/>
                <w:lang w:val="en-GB"/>
              </w:rPr>
              <w:t>53</w:t>
            </w:r>
          </w:p>
        </w:tc>
      </w:tr>
      <w:tr w:rsidR="00542CB6" w:rsidRPr="00CD5D09" w14:paraId="39828334" w14:textId="77777777" w:rsidTr="00542CB6">
        <w:trPr>
          <w:jc w:val="center"/>
        </w:trPr>
        <w:tc>
          <w:tcPr>
            <w:tcW w:w="3955" w:type="dxa"/>
          </w:tcPr>
          <w:p w14:paraId="6A186B75" w14:textId="77777777" w:rsidR="00542CB6" w:rsidRPr="00632565" w:rsidRDefault="00542CB6" w:rsidP="00CD5D09">
            <w:pPr>
              <w:spacing w:before="1" w:after="1"/>
              <w:jc w:val="both"/>
              <w:rPr>
                <w:rFonts w:ascii="Arial" w:hAnsi="Arial" w:cs="Arial"/>
                <w:lang w:val="en-GB"/>
              </w:rPr>
            </w:pPr>
            <w:r w:rsidRPr="00632565">
              <w:rPr>
                <w:rFonts w:ascii="Arial" w:hAnsi="Arial" w:cs="Arial"/>
                <w:lang w:val="en-GB"/>
              </w:rPr>
              <w:t>Restaurant</w:t>
            </w:r>
          </w:p>
        </w:tc>
        <w:tc>
          <w:tcPr>
            <w:tcW w:w="1170" w:type="dxa"/>
          </w:tcPr>
          <w:p w14:paraId="45DF5952" w14:textId="77777777" w:rsidR="00542CB6" w:rsidRPr="00CD5D09" w:rsidRDefault="00542CB6" w:rsidP="00CD5D09">
            <w:pPr>
              <w:spacing w:before="1" w:after="1"/>
              <w:jc w:val="right"/>
              <w:rPr>
                <w:rFonts w:ascii="Arial" w:hAnsi="Arial" w:cs="Arial"/>
                <w:lang w:val="en-GB"/>
              </w:rPr>
            </w:pPr>
            <w:r w:rsidRPr="00CD5D09">
              <w:rPr>
                <w:rFonts w:ascii="Arial" w:hAnsi="Arial" w:cs="Arial"/>
                <w:lang w:val="en-GB"/>
              </w:rPr>
              <w:t>24</w:t>
            </w:r>
          </w:p>
        </w:tc>
        <w:tc>
          <w:tcPr>
            <w:tcW w:w="1170" w:type="dxa"/>
          </w:tcPr>
          <w:p w14:paraId="24727542" w14:textId="77777777" w:rsidR="00542CB6" w:rsidRPr="00CD5D09" w:rsidRDefault="00542CB6" w:rsidP="00CD5D09">
            <w:pPr>
              <w:spacing w:before="1" w:after="1"/>
              <w:jc w:val="right"/>
              <w:rPr>
                <w:rFonts w:ascii="Arial" w:hAnsi="Arial" w:cs="Arial"/>
                <w:lang w:val="en-GB"/>
              </w:rPr>
            </w:pPr>
            <w:r w:rsidRPr="00CD5D09">
              <w:rPr>
                <w:rFonts w:ascii="Arial" w:hAnsi="Arial" w:cs="Arial"/>
                <w:lang w:val="en-GB"/>
              </w:rPr>
              <w:t>25</w:t>
            </w:r>
          </w:p>
        </w:tc>
        <w:tc>
          <w:tcPr>
            <w:tcW w:w="1800" w:type="dxa"/>
          </w:tcPr>
          <w:p w14:paraId="56092FFB" w14:textId="77777777" w:rsidR="00542CB6" w:rsidRPr="00CD5D09" w:rsidRDefault="00542CB6" w:rsidP="00CD5D09">
            <w:pPr>
              <w:spacing w:before="1" w:after="1"/>
              <w:jc w:val="right"/>
              <w:rPr>
                <w:rFonts w:ascii="Arial" w:hAnsi="Arial" w:cs="Arial"/>
                <w:lang w:val="en-GB"/>
              </w:rPr>
            </w:pPr>
            <w:r w:rsidRPr="00CD5D09">
              <w:rPr>
                <w:rFonts w:ascii="Arial" w:hAnsi="Arial" w:cs="Arial"/>
                <w:lang w:val="en-GB"/>
              </w:rPr>
              <w:t>27</w:t>
            </w:r>
          </w:p>
        </w:tc>
      </w:tr>
      <w:tr w:rsidR="00542CB6" w:rsidRPr="00CD5D09" w14:paraId="124C5C14" w14:textId="77777777" w:rsidTr="00542CB6">
        <w:trPr>
          <w:jc w:val="center"/>
        </w:trPr>
        <w:tc>
          <w:tcPr>
            <w:tcW w:w="3955" w:type="dxa"/>
          </w:tcPr>
          <w:p w14:paraId="5EF0459E" w14:textId="3665265F" w:rsidR="00542CB6" w:rsidRPr="00632565" w:rsidRDefault="00542CB6" w:rsidP="00CD5D09">
            <w:pPr>
              <w:spacing w:before="1" w:after="1"/>
              <w:jc w:val="both"/>
              <w:rPr>
                <w:rFonts w:ascii="Arial" w:hAnsi="Arial" w:cs="Arial"/>
                <w:lang w:val="en-GB"/>
              </w:rPr>
            </w:pPr>
            <w:r w:rsidRPr="00632565">
              <w:rPr>
                <w:rFonts w:ascii="Arial" w:hAnsi="Arial" w:cs="Arial"/>
                <w:lang w:val="en-GB"/>
              </w:rPr>
              <w:t>4orth</w:t>
            </w:r>
            <w:r w:rsidR="00E905AC" w:rsidRPr="00632565">
              <w:rPr>
                <w:rFonts w:ascii="Arial" w:hAnsi="Arial" w:cs="Arial"/>
                <w:lang w:val="en-GB"/>
              </w:rPr>
              <w:t xml:space="preserve"> Food Concepts</w:t>
            </w:r>
          </w:p>
        </w:tc>
        <w:tc>
          <w:tcPr>
            <w:tcW w:w="1170" w:type="dxa"/>
          </w:tcPr>
          <w:p w14:paraId="42ABB589" w14:textId="77777777" w:rsidR="00542CB6" w:rsidRPr="00CD5D09" w:rsidRDefault="00542CB6" w:rsidP="00CD5D09">
            <w:pPr>
              <w:spacing w:before="1" w:after="1"/>
              <w:jc w:val="right"/>
              <w:rPr>
                <w:rFonts w:ascii="Arial" w:hAnsi="Arial" w:cs="Arial"/>
                <w:lang w:val="en-GB"/>
              </w:rPr>
            </w:pPr>
            <w:r w:rsidRPr="00CD5D09">
              <w:rPr>
                <w:rFonts w:ascii="Arial" w:hAnsi="Arial" w:cs="Arial"/>
                <w:lang w:val="en-GB"/>
              </w:rPr>
              <w:t>8</w:t>
            </w:r>
          </w:p>
        </w:tc>
        <w:tc>
          <w:tcPr>
            <w:tcW w:w="1170" w:type="dxa"/>
          </w:tcPr>
          <w:p w14:paraId="50601B44" w14:textId="77777777" w:rsidR="00542CB6" w:rsidRPr="00CD5D09" w:rsidRDefault="00542CB6" w:rsidP="00CD5D09">
            <w:pPr>
              <w:spacing w:before="1" w:after="1"/>
              <w:jc w:val="right"/>
              <w:rPr>
                <w:rFonts w:ascii="Arial" w:hAnsi="Arial" w:cs="Arial"/>
                <w:lang w:val="en-GB"/>
              </w:rPr>
            </w:pPr>
            <w:r w:rsidRPr="00CD5D09">
              <w:rPr>
                <w:rFonts w:ascii="Arial" w:hAnsi="Arial" w:cs="Arial"/>
                <w:lang w:val="en-GB"/>
              </w:rPr>
              <w:t>5</w:t>
            </w:r>
          </w:p>
        </w:tc>
        <w:tc>
          <w:tcPr>
            <w:tcW w:w="1800" w:type="dxa"/>
          </w:tcPr>
          <w:p w14:paraId="1202D905" w14:textId="77777777" w:rsidR="00542CB6" w:rsidRPr="00CD5D09" w:rsidRDefault="00542CB6" w:rsidP="00CD5D09">
            <w:pPr>
              <w:spacing w:before="1" w:after="1"/>
              <w:jc w:val="right"/>
              <w:rPr>
                <w:rFonts w:ascii="Arial" w:hAnsi="Arial" w:cs="Arial"/>
                <w:lang w:val="en-GB"/>
              </w:rPr>
            </w:pPr>
            <w:r w:rsidRPr="00CD5D09">
              <w:rPr>
                <w:rFonts w:ascii="Arial" w:hAnsi="Arial" w:cs="Arial"/>
                <w:lang w:val="en-GB"/>
              </w:rPr>
              <w:t>8</w:t>
            </w:r>
          </w:p>
        </w:tc>
      </w:tr>
      <w:tr w:rsidR="00542CB6" w:rsidRPr="00CD5D09" w14:paraId="2A80F5BD" w14:textId="77777777" w:rsidTr="00542CB6">
        <w:trPr>
          <w:jc w:val="center"/>
        </w:trPr>
        <w:tc>
          <w:tcPr>
            <w:tcW w:w="3955" w:type="dxa"/>
          </w:tcPr>
          <w:p w14:paraId="167514C7" w14:textId="77777777" w:rsidR="00542CB6" w:rsidRPr="00CD5D09" w:rsidRDefault="00542CB6" w:rsidP="00CD5D09">
            <w:pPr>
              <w:spacing w:before="1" w:after="1"/>
              <w:jc w:val="both"/>
              <w:rPr>
                <w:rFonts w:ascii="Arial" w:hAnsi="Arial" w:cs="Arial"/>
                <w:b/>
                <w:lang w:val="en-GB"/>
              </w:rPr>
            </w:pPr>
            <w:r w:rsidRPr="00CD5D09">
              <w:rPr>
                <w:rFonts w:ascii="Arial" w:hAnsi="Arial" w:cs="Arial"/>
                <w:b/>
                <w:lang w:val="en-GB"/>
              </w:rPr>
              <w:t>Total</w:t>
            </w:r>
          </w:p>
        </w:tc>
        <w:tc>
          <w:tcPr>
            <w:tcW w:w="1170" w:type="dxa"/>
          </w:tcPr>
          <w:p w14:paraId="24AAE1E6" w14:textId="77777777" w:rsidR="00542CB6" w:rsidRPr="00CD5D09" w:rsidRDefault="00542CB6" w:rsidP="00CD5D09">
            <w:pPr>
              <w:spacing w:before="1" w:after="1"/>
              <w:jc w:val="right"/>
              <w:rPr>
                <w:rFonts w:ascii="Arial" w:hAnsi="Arial" w:cs="Arial"/>
                <w:b/>
                <w:lang w:val="en-GB"/>
              </w:rPr>
            </w:pPr>
            <w:r w:rsidRPr="00CD5D09">
              <w:rPr>
                <w:rFonts w:ascii="Arial" w:hAnsi="Arial" w:cs="Arial"/>
                <w:b/>
                <w:lang w:val="en-GB"/>
              </w:rPr>
              <w:t>951</w:t>
            </w:r>
          </w:p>
        </w:tc>
        <w:tc>
          <w:tcPr>
            <w:tcW w:w="1170" w:type="dxa"/>
          </w:tcPr>
          <w:p w14:paraId="4AA8F298" w14:textId="77777777" w:rsidR="00542CB6" w:rsidRPr="00CD5D09" w:rsidRDefault="00542CB6" w:rsidP="00CD5D09">
            <w:pPr>
              <w:spacing w:before="1" w:after="1"/>
              <w:jc w:val="right"/>
              <w:rPr>
                <w:rFonts w:ascii="Arial" w:hAnsi="Arial" w:cs="Arial"/>
                <w:b/>
                <w:lang w:val="en-GB"/>
              </w:rPr>
            </w:pPr>
            <w:r w:rsidRPr="00CD5D09">
              <w:rPr>
                <w:rFonts w:ascii="Arial" w:hAnsi="Arial" w:cs="Arial"/>
                <w:b/>
                <w:lang w:val="en-GB"/>
              </w:rPr>
              <w:t>954</w:t>
            </w:r>
          </w:p>
        </w:tc>
        <w:tc>
          <w:tcPr>
            <w:tcW w:w="1800" w:type="dxa"/>
          </w:tcPr>
          <w:p w14:paraId="4E6F9A58" w14:textId="77777777" w:rsidR="00542CB6" w:rsidRPr="00CD5D09" w:rsidRDefault="00542CB6" w:rsidP="00CD5D09">
            <w:pPr>
              <w:spacing w:before="1" w:after="1"/>
              <w:jc w:val="right"/>
              <w:rPr>
                <w:rFonts w:ascii="Arial" w:hAnsi="Arial" w:cs="Arial"/>
                <w:b/>
                <w:lang w:val="en-GB"/>
              </w:rPr>
            </w:pPr>
            <w:r w:rsidRPr="00CD5D09">
              <w:rPr>
                <w:rFonts w:ascii="Arial" w:hAnsi="Arial" w:cs="Arial"/>
                <w:b/>
                <w:lang w:val="en-GB"/>
              </w:rPr>
              <w:t>930</w:t>
            </w:r>
          </w:p>
        </w:tc>
      </w:tr>
    </w:tbl>
    <w:p w14:paraId="23E37E39" w14:textId="40ED06F7" w:rsidR="00542CB6" w:rsidRPr="00CD5D09" w:rsidRDefault="00542CB6" w:rsidP="00542CB6">
      <w:pPr>
        <w:pStyle w:val="ExhibitText"/>
        <w:rPr>
          <w:lang w:val="en-GB" w:eastAsia="zh-CN"/>
        </w:rPr>
      </w:pPr>
    </w:p>
    <w:p w14:paraId="696E06E1" w14:textId="77777777" w:rsidR="00542CB6" w:rsidRPr="006466FE" w:rsidRDefault="00542CB6" w:rsidP="00542CB6">
      <w:pPr>
        <w:spacing w:before="1" w:after="1"/>
        <w:jc w:val="center"/>
        <w:rPr>
          <w:rFonts w:ascii="Arial" w:hAnsi="Arial" w:cs="Arial"/>
          <w:b/>
          <w:lang w:val="en-GB" w:eastAsia="zh-CN"/>
        </w:rPr>
      </w:pPr>
      <w:r w:rsidRPr="006466FE">
        <w:rPr>
          <w:rFonts w:ascii="Arial" w:hAnsi="Arial" w:cs="Arial"/>
          <w:b/>
          <w:lang w:val="en-GB" w:eastAsia="zh-CN"/>
        </w:rPr>
        <w:t>Changes in 2017</w:t>
      </w:r>
    </w:p>
    <w:p w14:paraId="3D0ACC17" w14:textId="77777777" w:rsidR="00542CB6" w:rsidRPr="00CD5D09" w:rsidRDefault="00542CB6" w:rsidP="00542CB6">
      <w:pPr>
        <w:spacing w:before="1" w:after="1"/>
        <w:jc w:val="both"/>
        <w:rPr>
          <w:rFonts w:ascii="Arial" w:hAnsi="Arial" w:cs="Arial"/>
          <w:lang w:val="en-GB" w:eastAsia="zh-CN"/>
        </w:rPr>
      </w:pPr>
    </w:p>
    <w:tbl>
      <w:tblPr>
        <w:tblStyle w:val="TableGrid"/>
        <w:tblW w:w="9175" w:type="dxa"/>
        <w:jc w:val="center"/>
        <w:tblLayout w:type="fixed"/>
        <w:tblCellMar>
          <w:left w:w="29" w:type="dxa"/>
          <w:right w:w="29" w:type="dxa"/>
        </w:tblCellMar>
        <w:tblLook w:val="04A0" w:firstRow="1" w:lastRow="0" w:firstColumn="1" w:lastColumn="0" w:noHBand="0" w:noVBand="1"/>
      </w:tblPr>
      <w:tblGrid>
        <w:gridCol w:w="1615"/>
        <w:gridCol w:w="1080"/>
        <w:gridCol w:w="1080"/>
        <w:gridCol w:w="1620"/>
        <w:gridCol w:w="900"/>
        <w:gridCol w:w="73"/>
        <w:gridCol w:w="647"/>
        <w:gridCol w:w="912"/>
        <w:gridCol w:w="1248"/>
      </w:tblGrid>
      <w:tr w:rsidR="00542CB6" w:rsidRPr="00E905AC" w14:paraId="6AD2EB5A" w14:textId="77777777" w:rsidTr="00E905AC">
        <w:trPr>
          <w:trHeight w:val="54"/>
          <w:jc w:val="center"/>
        </w:trPr>
        <w:tc>
          <w:tcPr>
            <w:tcW w:w="1615" w:type="dxa"/>
            <w:vMerge w:val="restart"/>
            <w:vAlign w:val="center"/>
          </w:tcPr>
          <w:p w14:paraId="62446CD7" w14:textId="77777777" w:rsidR="00542CB6" w:rsidRPr="00632565" w:rsidRDefault="00542CB6" w:rsidP="00E905AC">
            <w:pPr>
              <w:pStyle w:val="ExhibitText"/>
              <w:jc w:val="left"/>
              <w:rPr>
                <w:rFonts w:eastAsia="楷体"/>
                <w:lang w:val="en-GB"/>
              </w:rPr>
            </w:pPr>
            <w:r w:rsidRPr="00632565">
              <w:rPr>
                <w:rFonts w:eastAsia="楷体"/>
                <w:lang w:val="en-GB"/>
              </w:rPr>
              <w:t>Bakery</w:t>
            </w:r>
          </w:p>
        </w:tc>
        <w:tc>
          <w:tcPr>
            <w:tcW w:w="7560" w:type="dxa"/>
            <w:gridSpan w:val="8"/>
          </w:tcPr>
          <w:p w14:paraId="76104FD1" w14:textId="77777777" w:rsidR="00542CB6" w:rsidRPr="006466FE" w:rsidRDefault="00542CB6" w:rsidP="00E905AC">
            <w:pPr>
              <w:pStyle w:val="ExhibitText"/>
              <w:jc w:val="center"/>
              <w:rPr>
                <w:rFonts w:eastAsia="楷体"/>
                <w:b/>
                <w:lang w:val="en-GB"/>
              </w:rPr>
            </w:pPr>
            <w:r w:rsidRPr="006466FE">
              <w:rPr>
                <w:rFonts w:eastAsia="楷体"/>
                <w:b/>
                <w:lang w:val="en-GB"/>
              </w:rPr>
              <w:t>2017</w:t>
            </w:r>
          </w:p>
        </w:tc>
      </w:tr>
      <w:tr w:rsidR="00542CB6" w:rsidRPr="00CD5D09" w14:paraId="586D304F" w14:textId="77777777" w:rsidTr="006466FE">
        <w:trPr>
          <w:jc w:val="center"/>
        </w:trPr>
        <w:tc>
          <w:tcPr>
            <w:tcW w:w="1615" w:type="dxa"/>
            <w:vMerge/>
          </w:tcPr>
          <w:p w14:paraId="389BC139" w14:textId="77777777" w:rsidR="00542CB6" w:rsidRPr="00632565" w:rsidRDefault="00542CB6" w:rsidP="00E905AC">
            <w:pPr>
              <w:pStyle w:val="ExhibitText"/>
              <w:jc w:val="left"/>
              <w:rPr>
                <w:rFonts w:eastAsia="楷体"/>
                <w:lang w:val="en-GB"/>
              </w:rPr>
            </w:pPr>
          </w:p>
        </w:tc>
        <w:tc>
          <w:tcPr>
            <w:tcW w:w="1080" w:type="dxa"/>
          </w:tcPr>
          <w:p w14:paraId="4A508657" w14:textId="77777777" w:rsidR="00542CB6" w:rsidRPr="00CD5D09" w:rsidRDefault="00542CB6" w:rsidP="00E905AC">
            <w:pPr>
              <w:pStyle w:val="ExhibitText"/>
              <w:jc w:val="center"/>
              <w:rPr>
                <w:rFonts w:eastAsia="楷体"/>
                <w:lang w:val="en-GB"/>
              </w:rPr>
            </w:pPr>
            <w:r w:rsidRPr="00CD5D09">
              <w:rPr>
                <w:rFonts w:eastAsia="楷体"/>
                <w:lang w:val="en-GB"/>
              </w:rPr>
              <w:t>Opened</w:t>
            </w:r>
          </w:p>
        </w:tc>
        <w:tc>
          <w:tcPr>
            <w:tcW w:w="1080" w:type="dxa"/>
          </w:tcPr>
          <w:p w14:paraId="0E3EA142" w14:textId="77777777" w:rsidR="00542CB6" w:rsidRPr="00CD5D09" w:rsidRDefault="00542CB6" w:rsidP="00E905AC">
            <w:pPr>
              <w:pStyle w:val="ExhibitText"/>
              <w:jc w:val="center"/>
              <w:rPr>
                <w:rFonts w:eastAsia="楷体"/>
                <w:lang w:val="en-GB"/>
              </w:rPr>
            </w:pPr>
            <w:r w:rsidRPr="00CD5D09">
              <w:rPr>
                <w:rFonts w:eastAsia="楷体"/>
                <w:lang w:val="en-GB"/>
              </w:rPr>
              <w:t>Closed</w:t>
            </w:r>
          </w:p>
        </w:tc>
        <w:tc>
          <w:tcPr>
            <w:tcW w:w="5400" w:type="dxa"/>
            <w:gridSpan w:val="6"/>
          </w:tcPr>
          <w:p w14:paraId="13BD18CD" w14:textId="77777777" w:rsidR="00542CB6" w:rsidRPr="00CD5D09" w:rsidRDefault="00542CB6" w:rsidP="0028033E">
            <w:pPr>
              <w:pStyle w:val="ExhibitText"/>
              <w:jc w:val="center"/>
              <w:rPr>
                <w:rFonts w:eastAsia="楷体"/>
                <w:lang w:val="en-GB"/>
              </w:rPr>
            </w:pPr>
            <w:r w:rsidRPr="00CD5D09">
              <w:rPr>
                <w:rFonts w:eastAsia="楷体"/>
                <w:lang w:val="en-GB"/>
              </w:rPr>
              <w:t>Year-End Total</w:t>
            </w:r>
          </w:p>
        </w:tc>
      </w:tr>
      <w:tr w:rsidR="00542CB6" w:rsidRPr="00CD5D09" w14:paraId="096F8443" w14:textId="77777777" w:rsidTr="006466FE">
        <w:trPr>
          <w:jc w:val="center"/>
        </w:trPr>
        <w:tc>
          <w:tcPr>
            <w:tcW w:w="1615" w:type="dxa"/>
            <w:vMerge/>
          </w:tcPr>
          <w:p w14:paraId="6FE33D9C" w14:textId="77777777" w:rsidR="00542CB6" w:rsidRPr="00632565" w:rsidRDefault="00542CB6" w:rsidP="00E905AC">
            <w:pPr>
              <w:pStyle w:val="ExhibitText"/>
              <w:jc w:val="left"/>
              <w:rPr>
                <w:rFonts w:eastAsia="楷体"/>
                <w:lang w:val="en-GB"/>
              </w:rPr>
            </w:pPr>
          </w:p>
        </w:tc>
        <w:tc>
          <w:tcPr>
            <w:tcW w:w="1080" w:type="dxa"/>
          </w:tcPr>
          <w:p w14:paraId="7BBF6D9F" w14:textId="77777777" w:rsidR="00542CB6" w:rsidRPr="00CD5D09" w:rsidRDefault="00542CB6" w:rsidP="00E905AC">
            <w:pPr>
              <w:pStyle w:val="ExhibitText"/>
              <w:jc w:val="center"/>
              <w:rPr>
                <w:rFonts w:eastAsia="楷体"/>
                <w:lang w:val="en-GB"/>
              </w:rPr>
            </w:pPr>
            <w:r w:rsidRPr="00CD5D09">
              <w:rPr>
                <w:rFonts w:eastAsia="楷体"/>
                <w:lang w:val="en-GB"/>
              </w:rPr>
              <w:t>118</w:t>
            </w:r>
          </w:p>
        </w:tc>
        <w:tc>
          <w:tcPr>
            <w:tcW w:w="1080" w:type="dxa"/>
          </w:tcPr>
          <w:p w14:paraId="79DD78F3" w14:textId="77777777" w:rsidR="00542CB6" w:rsidRPr="00CD5D09" w:rsidRDefault="00542CB6" w:rsidP="00E905AC">
            <w:pPr>
              <w:pStyle w:val="ExhibitText"/>
              <w:jc w:val="center"/>
              <w:rPr>
                <w:rFonts w:eastAsia="楷体"/>
                <w:lang w:val="en-GB"/>
              </w:rPr>
            </w:pPr>
            <w:r w:rsidRPr="00CD5D09">
              <w:rPr>
                <w:rFonts w:eastAsia="楷体"/>
                <w:lang w:val="en-GB"/>
              </w:rPr>
              <w:t>109</w:t>
            </w:r>
          </w:p>
        </w:tc>
        <w:tc>
          <w:tcPr>
            <w:tcW w:w="5400" w:type="dxa"/>
            <w:gridSpan w:val="6"/>
          </w:tcPr>
          <w:p w14:paraId="4075FCC9" w14:textId="7F2BAFBF" w:rsidR="00542CB6" w:rsidRPr="00CD5D09" w:rsidRDefault="00542CB6" w:rsidP="00542CB6">
            <w:pPr>
              <w:pStyle w:val="ExhibitText"/>
              <w:rPr>
                <w:rFonts w:eastAsia="楷体"/>
                <w:lang w:val="en-GB"/>
              </w:rPr>
            </w:pPr>
            <w:r w:rsidRPr="00CD5D09">
              <w:rPr>
                <w:rFonts w:eastAsia="楷体"/>
                <w:lang w:val="en-GB"/>
              </w:rPr>
              <w:t xml:space="preserve">871 (240 directly operated by the </w:t>
            </w:r>
            <w:r w:rsidR="00FC03D0">
              <w:rPr>
                <w:rFonts w:eastAsia="楷体"/>
                <w:lang w:val="en-GB"/>
              </w:rPr>
              <w:t>company</w:t>
            </w:r>
            <w:r w:rsidRPr="00CD5D09">
              <w:rPr>
                <w:rFonts w:eastAsia="楷体"/>
                <w:lang w:val="en-GB"/>
              </w:rPr>
              <w:t xml:space="preserve"> + 631 franchise</w:t>
            </w:r>
            <w:r w:rsidR="00E905AC">
              <w:rPr>
                <w:rFonts w:eastAsia="楷体"/>
                <w:lang w:val="en-GB"/>
              </w:rPr>
              <w:t>s</w:t>
            </w:r>
            <w:r w:rsidRPr="00CD5D09">
              <w:rPr>
                <w:rFonts w:eastAsia="楷体"/>
                <w:lang w:val="en-GB"/>
              </w:rPr>
              <w:t>)</w:t>
            </w:r>
          </w:p>
        </w:tc>
      </w:tr>
      <w:tr w:rsidR="00542CB6" w:rsidRPr="00CD5D09" w14:paraId="380A704C" w14:textId="77777777" w:rsidTr="00E905AC">
        <w:trPr>
          <w:trHeight w:val="90"/>
          <w:jc w:val="center"/>
        </w:trPr>
        <w:tc>
          <w:tcPr>
            <w:tcW w:w="1615" w:type="dxa"/>
            <w:vMerge/>
          </w:tcPr>
          <w:p w14:paraId="1631BEA2" w14:textId="77777777" w:rsidR="00542CB6" w:rsidRPr="00632565" w:rsidRDefault="00542CB6" w:rsidP="00E905AC">
            <w:pPr>
              <w:pStyle w:val="ExhibitText"/>
              <w:jc w:val="left"/>
              <w:rPr>
                <w:rFonts w:eastAsia="楷体"/>
                <w:lang w:val="en-GB"/>
              </w:rPr>
            </w:pPr>
          </w:p>
        </w:tc>
        <w:tc>
          <w:tcPr>
            <w:tcW w:w="2160" w:type="dxa"/>
            <w:gridSpan w:val="2"/>
            <w:vMerge w:val="restart"/>
          </w:tcPr>
          <w:p w14:paraId="0D6AFA7C" w14:textId="75674E1D" w:rsidR="00542CB6" w:rsidRPr="00CD5D09" w:rsidRDefault="00542CB6" w:rsidP="00E905AC">
            <w:pPr>
              <w:pStyle w:val="ExhibitText"/>
              <w:jc w:val="center"/>
              <w:rPr>
                <w:rFonts w:eastAsia="楷体"/>
                <w:lang w:val="en-GB"/>
              </w:rPr>
            </w:pPr>
          </w:p>
          <w:p w14:paraId="5C183246" w14:textId="172CB350" w:rsidR="00542CB6" w:rsidRPr="00CD5D09" w:rsidRDefault="00542CB6" w:rsidP="00E905AC">
            <w:pPr>
              <w:pStyle w:val="ExhibitText"/>
              <w:jc w:val="center"/>
              <w:rPr>
                <w:rFonts w:eastAsia="楷体"/>
                <w:lang w:val="en-GB"/>
              </w:rPr>
            </w:pPr>
          </w:p>
        </w:tc>
        <w:tc>
          <w:tcPr>
            <w:tcW w:w="1620" w:type="dxa"/>
            <w:vAlign w:val="center"/>
          </w:tcPr>
          <w:p w14:paraId="274D8F5B" w14:textId="77777777" w:rsidR="00542CB6" w:rsidRPr="00CD5D09" w:rsidRDefault="00542CB6" w:rsidP="00E905AC">
            <w:pPr>
              <w:pStyle w:val="ExhibitText"/>
              <w:jc w:val="center"/>
              <w:rPr>
                <w:rFonts w:eastAsia="楷体"/>
                <w:i/>
                <w:lang w:val="en-GB"/>
              </w:rPr>
            </w:pPr>
            <w:r w:rsidRPr="00CD5D09">
              <w:rPr>
                <w:rFonts w:eastAsia="楷体"/>
                <w:i/>
                <w:lang w:val="en-GB"/>
              </w:rPr>
              <w:t>Singapore</w:t>
            </w:r>
          </w:p>
        </w:tc>
        <w:tc>
          <w:tcPr>
            <w:tcW w:w="900" w:type="dxa"/>
            <w:vAlign w:val="center"/>
          </w:tcPr>
          <w:p w14:paraId="65816D6C" w14:textId="77777777" w:rsidR="00542CB6" w:rsidRPr="00CD5D09" w:rsidRDefault="00542CB6" w:rsidP="00E905AC">
            <w:pPr>
              <w:pStyle w:val="ExhibitText"/>
              <w:jc w:val="center"/>
              <w:rPr>
                <w:rFonts w:eastAsia="楷体"/>
                <w:i/>
                <w:lang w:val="en-GB"/>
              </w:rPr>
            </w:pPr>
            <w:r w:rsidRPr="00CD5D09">
              <w:rPr>
                <w:rFonts w:eastAsia="楷体"/>
                <w:i/>
                <w:lang w:val="en-GB"/>
              </w:rPr>
              <w:t>Mainland China</w:t>
            </w:r>
          </w:p>
        </w:tc>
        <w:tc>
          <w:tcPr>
            <w:tcW w:w="720" w:type="dxa"/>
            <w:gridSpan w:val="2"/>
            <w:vAlign w:val="center"/>
          </w:tcPr>
          <w:p w14:paraId="314FC07F" w14:textId="77777777" w:rsidR="00542CB6" w:rsidRPr="00CD5D09" w:rsidRDefault="00542CB6" w:rsidP="00E905AC">
            <w:pPr>
              <w:pStyle w:val="ExhibitText"/>
              <w:jc w:val="center"/>
              <w:rPr>
                <w:rFonts w:eastAsia="楷体"/>
                <w:i/>
                <w:lang w:val="en-GB"/>
              </w:rPr>
            </w:pPr>
            <w:r w:rsidRPr="00CD5D09">
              <w:rPr>
                <w:rFonts w:eastAsia="楷体"/>
                <w:i/>
                <w:lang w:val="en-GB"/>
              </w:rPr>
              <w:t>Hong Kong</w:t>
            </w:r>
          </w:p>
        </w:tc>
        <w:tc>
          <w:tcPr>
            <w:tcW w:w="912" w:type="dxa"/>
            <w:vAlign w:val="center"/>
          </w:tcPr>
          <w:p w14:paraId="5B989011" w14:textId="77777777" w:rsidR="00542CB6" w:rsidRPr="00CD5D09" w:rsidRDefault="00542CB6" w:rsidP="00E905AC">
            <w:pPr>
              <w:pStyle w:val="ExhibitText"/>
              <w:jc w:val="center"/>
              <w:rPr>
                <w:rFonts w:eastAsia="楷体"/>
                <w:i/>
                <w:lang w:val="en-GB"/>
              </w:rPr>
            </w:pPr>
            <w:r w:rsidRPr="00CD5D09">
              <w:rPr>
                <w:rFonts w:eastAsia="楷体"/>
                <w:i/>
                <w:lang w:val="en-GB"/>
              </w:rPr>
              <w:t>Thailand</w:t>
            </w:r>
          </w:p>
        </w:tc>
        <w:tc>
          <w:tcPr>
            <w:tcW w:w="1248" w:type="dxa"/>
            <w:vAlign w:val="center"/>
          </w:tcPr>
          <w:p w14:paraId="06DBC468" w14:textId="77777777" w:rsidR="00542CB6" w:rsidRPr="00CD5D09" w:rsidRDefault="00542CB6" w:rsidP="00E905AC">
            <w:pPr>
              <w:pStyle w:val="ExhibitText"/>
              <w:jc w:val="center"/>
              <w:rPr>
                <w:rFonts w:eastAsia="楷体"/>
                <w:i/>
                <w:lang w:val="en-GB"/>
              </w:rPr>
            </w:pPr>
            <w:r w:rsidRPr="00CD5D09">
              <w:rPr>
                <w:rFonts w:eastAsia="楷体"/>
                <w:i/>
                <w:lang w:val="en-GB"/>
              </w:rPr>
              <w:t>Others</w:t>
            </w:r>
          </w:p>
        </w:tc>
      </w:tr>
      <w:tr w:rsidR="00542CB6" w:rsidRPr="00CD5D09" w14:paraId="43305797" w14:textId="77777777" w:rsidTr="00E905AC">
        <w:trPr>
          <w:trHeight w:val="89"/>
          <w:jc w:val="center"/>
        </w:trPr>
        <w:tc>
          <w:tcPr>
            <w:tcW w:w="1615" w:type="dxa"/>
            <w:vMerge/>
          </w:tcPr>
          <w:p w14:paraId="0382D507" w14:textId="77777777" w:rsidR="00542CB6" w:rsidRPr="00632565" w:rsidRDefault="00542CB6" w:rsidP="00E905AC">
            <w:pPr>
              <w:pStyle w:val="ExhibitText"/>
              <w:jc w:val="left"/>
              <w:rPr>
                <w:rFonts w:eastAsia="楷体"/>
                <w:lang w:val="en-GB"/>
              </w:rPr>
            </w:pPr>
          </w:p>
        </w:tc>
        <w:tc>
          <w:tcPr>
            <w:tcW w:w="2160" w:type="dxa"/>
            <w:gridSpan w:val="2"/>
            <w:vMerge/>
          </w:tcPr>
          <w:p w14:paraId="4D33109C" w14:textId="77777777" w:rsidR="00542CB6" w:rsidRPr="00CD5D09" w:rsidRDefault="00542CB6" w:rsidP="00E905AC">
            <w:pPr>
              <w:pStyle w:val="ExhibitText"/>
              <w:jc w:val="center"/>
              <w:rPr>
                <w:rFonts w:eastAsia="楷体"/>
                <w:lang w:val="en-GB"/>
              </w:rPr>
            </w:pPr>
          </w:p>
        </w:tc>
        <w:tc>
          <w:tcPr>
            <w:tcW w:w="1620" w:type="dxa"/>
          </w:tcPr>
          <w:p w14:paraId="3B110AD0" w14:textId="77777777" w:rsidR="00542CB6" w:rsidRPr="00CD5D09" w:rsidRDefault="00542CB6" w:rsidP="00E905AC">
            <w:pPr>
              <w:pStyle w:val="ExhibitText"/>
              <w:jc w:val="center"/>
              <w:rPr>
                <w:rFonts w:eastAsia="楷体"/>
                <w:i/>
                <w:lang w:val="en-GB"/>
              </w:rPr>
            </w:pPr>
            <w:r w:rsidRPr="00CD5D09">
              <w:rPr>
                <w:rFonts w:eastAsia="楷体"/>
                <w:i/>
                <w:lang w:val="en-GB"/>
              </w:rPr>
              <w:t>120</w:t>
            </w:r>
          </w:p>
          <w:p w14:paraId="17D894BF" w14:textId="466FFC73" w:rsidR="00542CB6" w:rsidRPr="00CD5D09" w:rsidRDefault="00542CB6" w:rsidP="00EE4BFF">
            <w:pPr>
              <w:pStyle w:val="ExhibitText"/>
              <w:jc w:val="center"/>
              <w:rPr>
                <w:rFonts w:eastAsia="楷体"/>
                <w:i/>
                <w:lang w:val="en-GB"/>
              </w:rPr>
            </w:pPr>
            <w:r w:rsidRPr="00CD5D09">
              <w:rPr>
                <w:rFonts w:eastAsia="楷体"/>
                <w:i/>
                <w:lang w:val="en-GB"/>
              </w:rPr>
              <w:t xml:space="preserve">(versus last year: </w:t>
            </w:r>
            <w:r w:rsidR="00EE4BFF">
              <w:rPr>
                <w:rFonts w:eastAsia="楷体"/>
                <w:i/>
                <w:lang w:val="en-GB"/>
              </w:rPr>
              <w:t>−</w:t>
            </w:r>
            <w:r w:rsidRPr="00CD5D09">
              <w:rPr>
                <w:rFonts w:eastAsia="楷体"/>
                <w:i/>
                <w:lang w:val="en-GB"/>
              </w:rPr>
              <w:t>3)</w:t>
            </w:r>
          </w:p>
        </w:tc>
        <w:tc>
          <w:tcPr>
            <w:tcW w:w="900" w:type="dxa"/>
          </w:tcPr>
          <w:p w14:paraId="6ACF2C4A" w14:textId="77777777" w:rsidR="00542CB6" w:rsidRPr="00CD5D09" w:rsidRDefault="00542CB6" w:rsidP="00E905AC">
            <w:pPr>
              <w:pStyle w:val="ExhibitText"/>
              <w:jc w:val="center"/>
              <w:rPr>
                <w:rFonts w:eastAsia="楷体"/>
                <w:i/>
                <w:lang w:val="en-GB"/>
              </w:rPr>
            </w:pPr>
            <w:r w:rsidRPr="00CD5D09">
              <w:rPr>
                <w:rFonts w:eastAsia="楷体"/>
                <w:i/>
                <w:lang w:val="en-GB"/>
              </w:rPr>
              <w:t>361</w:t>
            </w:r>
          </w:p>
          <w:p w14:paraId="28E308F9" w14:textId="51349BEC" w:rsidR="00542CB6" w:rsidRPr="00CD5D09" w:rsidRDefault="00542CB6" w:rsidP="00EE4BFF">
            <w:pPr>
              <w:pStyle w:val="ExhibitText"/>
              <w:jc w:val="center"/>
              <w:rPr>
                <w:rFonts w:eastAsia="楷体"/>
                <w:i/>
                <w:lang w:val="en-GB"/>
              </w:rPr>
            </w:pPr>
            <w:r w:rsidRPr="00CD5D09">
              <w:rPr>
                <w:rFonts w:eastAsia="楷体"/>
                <w:i/>
                <w:lang w:val="en-GB"/>
              </w:rPr>
              <w:t>(</w:t>
            </w:r>
            <w:r w:rsidR="00EE4BFF">
              <w:rPr>
                <w:rFonts w:eastAsia="楷体"/>
                <w:i/>
                <w:lang w:val="en-GB"/>
              </w:rPr>
              <w:t>−</w:t>
            </w:r>
            <w:r w:rsidRPr="00CD5D09">
              <w:rPr>
                <w:rFonts w:eastAsia="楷体"/>
                <w:i/>
                <w:lang w:val="en-GB"/>
              </w:rPr>
              <w:t>33)</w:t>
            </w:r>
          </w:p>
        </w:tc>
        <w:tc>
          <w:tcPr>
            <w:tcW w:w="720" w:type="dxa"/>
            <w:gridSpan w:val="2"/>
          </w:tcPr>
          <w:p w14:paraId="28DBF620" w14:textId="77777777" w:rsidR="00542CB6" w:rsidRPr="00CD5D09" w:rsidRDefault="00542CB6" w:rsidP="00E905AC">
            <w:pPr>
              <w:pStyle w:val="ExhibitText"/>
              <w:jc w:val="center"/>
              <w:rPr>
                <w:rFonts w:eastAsia="楷体"/>
                <w:i/>
                <w:lang w:val="en-GB"/>
              </w:rPr>
            </w:pPr>
            <w:r w:rsidRPr="00CD5D09">
              <w:rPr>
                <w:rFonts w:eastAsia="楷体"/>
                <w:i/>
                <w:lang w:val="en-GB"/>
              </w:rPr>
              <w:t>23</w:t>
            </w:r>
          </w:p>
          <w:p w14:paraId="197DEFE9" w14:textId="6A4E85E6" w:rsidR="00542CB6" w:rsidRPr="00CD5D09" w:rsidRDefault="00542CB6" w:rsidP="00EE4BFF">
            <w:pPr>
              <w:pStyle w:val="ExhibitText"/>
              <w:jc w:val="center"/>
              <w:rPr>
                <w:rFonts w:eastAsia="楷体"/>
                <w:i/>
                <w:lang w:val="en-GB"/>
              </w:rPr>
            </w:pPr>
            <w:r w:rsidRPr="00CD5D09">
              <w:rPr>
                <w:rFonts w:eastAsia="楷体"/>
                <w:i/>
                <w:lang w:val="en-GB"/>
              </w:rPr>
              <w:t>(</w:t>
            </w:r>
            <w:r w:rsidR="00EE4BFF">
              <w:rPr>
                <w:rFonts w:eastAsia="楷体"/>
                <w:i/>
                <w:lang w:val="en-GB"/>
              </w:rPr>
              <w:t>−</w:t>
            </w:r>
            <w:r w:rsidRPr="00CD5D09">
              <w:rPr>
                <w:rFonts w:eastAsia="楷体"/>
                <w:i/>
                <w:lang w:val="en-GB"/>
              </w:rPr>
              <w:t>1)</w:t>
            </w:r>
          </w:p>
        </w:tc>
        <w:tc>
          <w:tcPr>
            <w:tcW w:w="912" w:type="dxa"/>
          </w:tcPr>
          <w:p w14:paraId="0F697FA9" w14:textId="77777777" w:rsidR="00542CB6" w:rsidRPr="00CD5D09" w:rsidRDefault="00542CB6" w:rsidP="00E905AC">
            <w:pPr>
              <w:pStyle w:val="ExhibitText"/>
              <w:jc w:val="center"/>
              <w:rPr>
                <w:rFonts w:eastAsia="楷体"/>
                <w:i/>
                <w:lang w:val="en-GB"/>
              </w:rPr>
            </w:pPr>
            <w:r w:rsidRPr="00CD5D09">
              <w:rPr>
                <w:rFonts w:eastAsia="楷体"/>
                <w:i/>
                <w:lang w:val="en-GB"/>
              </w:rPr>
              <w:t>48</w:t>
            </w:r>
          </w:p>
          <w:p w14:paraId="5D532AD8" w14:textId="77777777" w:rsidR="00542CB6" w:rsidRPr="00CD5D09" w:rsidRDefault="00542CB6" w:rsidP="00E905AC">
            <w:pPr>
              <w:pStyle w:val="ExhibitText"/>
              <w:jc w:val="center"/>
              <w:rPr>
                <w:rFonts w:eastAsia="楷体"/>
                <w:i/>
                <w:lang w:val="en-GB"/>
              </w:rPr>
            </w:pPr>
            <w:r w:rsidRPr="00CD5D09">
              <w:rPr>
                <w:rFonts w:eastAsia="楷体"/>
                <w:i/>
                <w:lang w:val="en-GB"/>
              </w:rPr>
              <w:t>(+12)</w:t>
            </w:r>
          </w:p>
        </w:tc>
        <w:tc>
          <w:tcPr>
            <w:tcW w:w="1248" w:type="dxa"/>
          </w:tcPr>
          <w:p w14:paraId="5A9F8000" w14:textId="77777777" w:rsidR="00542CB6" w:rsidRPr="00CD5D09" w:rsidRDefault="00542CB6" w:rsidP="00E905AC">
            <w:pPr>
              <w:pStyle w:val="ExhibitText"/>
              <w:jc w:val="center"/>
              <w:rPr>
                <w:rFonts w:eastAsia="楷体"/>
                <w:i/>
                <w:lang w:val="en-GB"/>
              </w:rPr>
            </w:pPr>
            <w:r w:rsidRPr="00CD5D09">
              <w:rPr>
                <w:rFonts w:eastAsia="楷体"/>
                <w:i/>
                <w:lang w:val="en-GB"/>
              </w:rPr>
              <w:t>319</w:t>
            </w:r>
          </w:p>
          <w:p w14:paraId="33FE708B" w14:textId="77777777" w:rsidR="00542CB6" w:rsidRPr="00CD5D09" w:rsidRDefault="00542CB6" w:rsidP="00E905AC">
            <w:pPr>
              <w:pStyle w:val="ExhibitText"/>
              <w:jc w:val="center"/>
              <w:rPr>
                <w:rFonts w:eastAsia="楷体"/>
                <w:i/>
                <w:lang w:val="en-GB"/>
              </w:rPr>
            </w:pPr>
            <w:r w:rsidRPr="00CD5D09">
              <w:rPr>
                <w:rFonts w:eastAsia="楷体"/>
                <w:i/>
                <w:lang w:val="en-GB"/>
              </w:rPr>
              <w:t>(+34; mainly franchises in Indonesia &amp; Philippines)</w:t>
            </w:r>
          </w:p>
        </w:tc>
      </w:tr>
      <w:tr w:rsidR="00542CB6" w:rsidRPr="00CD5D09" w14:paraId="16EAED0C" w14:textId="77777777" w:rsidTr="00E905AC">
        <w:trPr>
          <w:jc w:val="center"/>
        </w:trPr>
        <w:tc>
          <w:tcPr>
            <w:tcW w:w="1615" w:type="dxa"/>
            <w:vMerge w:val="restart"/>
            <w:vAlign w:val="center"/>
          </w:tcPr>
          <w:p w14:paraId="0FE01109" w14:textId="77777777" w:rsidR="00542CB6" w:rsidRPr="00632565" w:rsidRDefault="00542CB6" w:rsidP="00E905AC">
            <w:pPr>
              <w:pStyle w:val="ExhibitText"/>
              <w:jc w:val="left"/>
              <w:rPr>
                <w:rFonts w:eastAsia="楷体"/>
                <w:lang w:val="en-GB"/>
              </w:rPr>
            </w:pPr>
            <w:r w:rsidRPr="00632565">
              <w:rPr>
                <w:rFonts w:eastAsia="楷体"/>
                <w:lang w:val="en-GB"/>
              </w:rPr>
              <w:t>Food Atrium</w:t>
            </w:r>
          </w:p>
        </w:tc>
        <w:tc>
          <w:tcPr>
            <w:tcW w:w="7560" w:type="dxa"/>
            <w:gridSpan w:val="8"/>
          </w:tcPr>
          <w:p w14:paraId="21FA35B4" w14:textId="77777777" w:rsidR="00542CB6" w:rsidRPr="006466FE" w:rsidRDefault="00542CB6" w:rsidP="00E905AC">
            <w:pPr>
              <w:pStyle w:val="ExhibitText"/>
              <w:jc w:val="center"/>
              <w:rPr>
                <w:rFonts w:eastAsia="楷体"/>
                <w:b/>
                <w:lang w:val="en-GB"/>
              </w:rPr>
            </w:pPr>
            <w:r w:rsidRPr="006466FE">
              <w:rPr>
                <w:rFonts w:eastAsia="楷体"/>
                <w:b/>
                <w:lang w:val="en-GB"/>
              </w:rPr>
              <w:t>2017</w:t>
            </w:r>
          </w:p>
        </w:tc>
      </w:tr>
      <w:tr w:rsidR="00542CB6" w:rsidRPr="00CD5D09" w14:paraId="0A085390" w14:textId="77777777" w:rsidTr="006466FE">
        <w:trPr>
          <w:jc w:val="center"/>
        </w:trPr>
        <w:tc>
          <w:tcPr>
            <w:tcW w:w="1615" w:type="dxa"/>
            <w:vMerge/>
          </w:tcPr>
          <w:p w14:paraId="4D9490BE" w14:textId="77777777" w:rsidR="00542CB6" w:rsidRPr="00632565" w:rsidRDefault="00542CB6" w:rsidP="00E905AC">
            <w:pPr>
              <w:pStyle w:val="ExhibitText"/>
              <w:jc w:val="left"/>
              <w:rPr>
                <w:rFonts w:eastAsia="楷体"/>
                <w:lang w:val="en-GB"/>
              </w:rPr>
            </w:pPr>
          </w:p>
        </w:tc>
        <w:tc>
          <w:tcPr>
            <w:tcW w:w="1080" w:type="dxa"/>
          </w:tcPr>
          <w:p w14:paraId="5781A961" w14:textId="77777777" w:rsidR="00542CB6" w:rsidRPr="00CD5D09" w:rsidRDefault="00542CB6" w:rsidP="00E905AC">
            <w:pPr>
              <w:pStyle w:val="ExhibitText"/>
              <w:jc w:val="center"/>
              <w:rPr>
                <w:rFonts w:eastAsia="楷体"/>
                <w:lang w:val="en-GB"/>
              </w:rPr>
            </w:pPr>
            <w:r w:rsidRPr="00CD5D09">
              <w:rPr>
                <w:rFonts w:eastAsia="楷体"/>
                <w:lang w:val="en-GB"/>
              </w:rPr>
              <w:t>Opened</w:t>
            </w:r>
          </w:p>
        </w:tc>
        <w:tc>
          <w:tcPr>
            <w:tcW w:w="1080" w:type="dxa"/>
          </w:tcPr>
          <w:p w14:paraId="244BDEB5" w14:textId="77777777" w:rsidR="00542CB6" w:rsidRPr="00CD5D09" w:rsidRDefault="00542CB6" w:rsidP="00E905AC">
            <w:pPr>
              <w:pStyle w:val="ExhibitText"/>
              <w:jc w:val="center"/>
              <w:rPr>
                <w:rFonts w:eastAsia="楷体"/>
                <w:lang w:val="en-GB"/>
              </w:rPr>
            </w:pPr>
            <w:r w:rsidRPr="00CD5D09">
              <w:rPr>
                <w:rFonts w:eastAsia="楷体"/>
                <w:lang w:val="en-GB"/>
              </w:rPr>
              <w:t>Closed</w:t>
            </w:r>
          </w:p>
        </w:tc>
        <w:tc>
          <w:tcPr>
            <w:tcW w:w="5400" w:type="dxa"/>
            <w:gridSpan w:val="6"/>
          </w:tcPr>
          <w:p w14:paraId="0DAB91E2" w14:textId="77777777" w:rsidR="00542CB6" w:rsidRPr="00CD5D09" w:rsidRDefault="00542CB6" w:rsidP="00E905AC">
            <w:pPr>
              <w:pStyle w:val="ExhibitText"/>
              <w:jc w:val="center"/>
              <w:rPr>
                <w:rFonts w:eastAsia="楷体"/>
                <w:lang w:val="en-GB"/>
              </w:rPr>
            </w:pPr>
            <w:r w:rsidRPr="00CD5D09">
              <w:rPr>
                <w:rFonts w:eastAsia="楷体"/>
                <w:lang w:val="en-GB"/>
              </w:rPr>
              <w:t>Year-End Total</w:t>
            </w:r>
          </w:p>
        </w:tc>
      </w:tr>
      <w:tr w:rsidR="00542CB6" w:rsidRPr="00CD5D09" w14:paraId="6FAD0B95" w14:textId="77777777" w:rsidTr="006466FE">
        <w:trPr>
          <w:jc w:val="center"/>
        </w:trPr>
        <w:tc>
          <w:tcPr>
            <w:tcW w:w="1615" w:type="dxa"/>
            <w:vMerge/>
          </w:tcPr>
          <w:p w14:paraId="7C7A6139" w14:textId="77777777" w:rsidR="00542CB6" w:rsidRPr="00632565" w:rsidRDefault="00542CB6" w:rsidP="00E905AC">
            <w:pPr>
              <w:pStyle w:val="ExhibitText"/>
              <w:jc w:val="left"/>
              <w:rPr>
                <w:rFonts w:eastAsia="楷体"/>
                <w:lang w:val="en-GB"/>
              </w:rPr>
            </w:pPr>
          </w:p>
        </w:tc>
        <w:tc>
          <w:tcPr>
            <w:tcW w:w="1080" w:type="dxa"/>
          </w:tcPr>
          <w:p w14:paraId="7DF0C476" w14:textId="77777777" w:rsidR="00542CB6" w:rsidRPr="00CD5D09" w:rsidRDefault="00542CB6" w:rsidP="00E905AC">
            <w:pPr>
              <w:pStyle w:val="ExhibitText"/>
              <w:jc w:val="center"/>
              <w:rPr>
                <w:rFonts w:eastAsia="楷体"/>
                <w:lang w:val="en-GB"/>
              </w:rPr>
            </w:pPr>
            <w:r w:rsidRPr="00CD5D09">
              <w:rPr>
                <w:rFonts w:eastAsia="楷体"/>
                <w:lang w:val="en-GB"/>
              </w:rPr>
              <w:t>3</w:t>
            </w:r>
          </w:p>
        </w:tc>
        <w:tc>
          <w:tcPr>
            <w:tcW w:w="1080" w:type="dxa"/>
          </w:tcPr>
          <w:p w14:paraId="18ADCD58" w14:textId="77777777" w:rsidR="00542CB6" w:rsidRPr="00CD5D09" w:rsidRDefault="00542CB6" w:rsidP="00E905AC">
            <w:pPr>
              <w:pStyle w:val="ExhibitText"/>
              <w:jc w:val="center"/>
              <w:rPr>
                <w:rFonts w:eastAsia="楷体"/>
                <w:lang w:val="en-GB"/>
              </w:rPr>
            </w:pPr>
            <w:r w:rsidRPr="00CD5D09">
              <w:rPr>
                <w:rFonts w:eastAsia="楷体"/>
                <w:lang w:val="en-GB"/>
              </w:rPr>
              <w:t>7</w:t>
            </w:r>
          </w:p>
        </w:tc>
        <w:tc>
          <w:tcPr>
            <w:tcW w:w="5400" w:type="dxa"/>
            <w:gridSpan w:val="6"/>
          </w:tcPr>
          <w:p w14:paraId="5EAB60CA" w14:textId="77777777" w:rsidR="00542CB6" w:rsidRPr="00CD5D09" w:rsidRDefault="00542CB6" w:rsidP="00E905AC">
            <w:pPr>
              <w:pStyle w:val="ExhibitText"/>
              <w:jc w:val="center"/>
              <w:rPr>
                <w:rFonts w:eastAsia="楷体"/>
                <w:lang w:val="en-GB"/>
              </w:rPr>
            </w:pPr>
            <w:r w:rsidRPr="00CD5D09">
              <w:rPr>
                <w:rFonts w:eastAsia="楷体"/>
                <w:lang w:val="en-GB"/>
              </w:rPr>
              <w:t>53</w:t>
            </w:r>
          </w:p>
        </w:tc>
      </w:tr>
      <w:tr w:rsidR="00542CB6" w:rsidRPr="00CD5D09" w14:paraId="71F81BF0" w14:textId="77777777" w:rsidTr="00E905AC">
        <w:trPr>
          <w:trHeight w:val="90"/>
          <w:jc w:val="center"/>
        </w:trPr>
        <w:tc>
          <w:tcPr>
            <w:tcW w:w="1615" w:type="dxa"/>
            <w:vMerge/>
          </w:tcPr>
          <w:p w14:paraId="5CA24A0A" w14:textId="77777777" w:rsidR="00542CB6" w:rsidRPr="00632565" w:rsidRDefault="00542CB6" w:rsidP="00E905AC">
            <w:pPr>
              <w:pStyle w:val="ExhibitText"/>
              <w:jc w:val="left"/>
              <w:rPr>
                <w:rFonts w:eastAsia="楷体"/>
                <w:lang w:val="en-GB"/>
              </w:rPr>
            </w:pPr>
          </w:p>
        </w:tc>
        <w:tc>
          <w:tcPr>
            <w:tcW w:w="2160" w:type="dxa"/>
            <w:gridSpan w:val="2"/>
            <w:vMerge w:val="restart"/>
          </w:tcPr>
          <w:p w14:paraId="58FF45A9" w14:textId="77777777" w:rsidR="00542CB6" w:rsidRPr="00CD5D09" w:rsidRDefault="00542CB6" w:rsidP="00E905AC">
            <w:pPr>
              <w:pStyle w:val="ExhibitText"/>
              <w:jc w:val="center"/>
              <w:rPr>
                <w:rFonts w:eastAsia="楷体"/>
                <w:lang w:val="en-GB"/>
              </w:rPr>
            </w:pPr>
          </w:p>
        </w:tc>
        <w:tc>
          <w:tcPr>
            <w:tcW w:w="1620" w:type="dxa"/>
            <w:vAlign w:val="center"/>
          </w:tcPr>
          <w:p w14:paraId="5420510A" w14:textId="77777777" w:rsidR="00542CB6" w:rsidRPr="00CD5D09" w:rsidRDefault="00542CB6" w:rsidP="00E905AC">
            <w:pPr>
              <w:pStyle w:val="ExhibitText"/>
              <w:jc w:val="center"/>
              <w:rPr>
                <w:rFonts w:eastAsia="楷体"/>
                <w:lang w:val="en-GB"/>
              </w:rPr>
            </w:pPr>
            <w:r w:rsidRPr="00CD5D09">
              <w:rPr>
                <w:rFonts w:eastAsia="楷体"/>
                <w:i/>
                <w:lang w:val="en-GB"/>
              </w:rPr>
              <w:t>Singapore</w:t>
            </w:r>
          </w:p>
        </w:tc>
        <w:tc>
          <w:tcPr>
            <w:tcW w:w="900" w:type="dxa"/>
            <w:vAlign w:val="center"/>
          </w:tcPr>
          <w:p w14:paraId="76D1D501" w14:textId="77777777" w:rsidR="00542CB6" w:rsidRPr="00CD5D09" w:rsidRDefault="00542CB6" w:rsidP="00E905AC">
            <w:pPr>
              <w:pStyle w:val="ExhibitText"/>
              <w:jc w:val="center"/>
              <w:rPr>
                <w:rFonts w:eastAsia="楷体"/>
                <w:lang w:val="en-GB"/>
              </w:rPr>
            </w:pPr>
            <w:r w:rsidRPr="00CD5D09">
              <w:rPr>
                <w:rFonts w:eastAsia="楷体"/>
                <w:i/>
                <w:lang w:val="en-GB"/>
              </w:rPr>
              <w:t>Mainland China</w:t>
            </w:r>
          </w:p>
        </w:tc>
        <w:tc>
          <w:tcPr>
            <w:tcW w:w="720" w:type="dxa"/>
            <w:gridSpan w:val="2"/>
            <w:vAlign w:val="center"/>
          </w:tcPr>
          <w:p w14:paraId="6AE5888A" w14:textId="77777777" w:rsidR="00542CB6" w:rsidRPr="00CD5D09" w:rsidRDefault="00542CB6" w:rsidP="00E905AC">
            <w:pPr>
              <w:pStyle w:val="ExhibitText"/>
              <w:jc w:val="center"/>
              <w:rPr>
                <w:rFonts w:eastAsia="楷体"/>
                <w:lang w:val="en-GB"/>
              </w:rPr>
            </w:pPr>
            <w:r w:rsidRPr="00CD5D09">
              <w:rPr>
                <w:rFonts w:eastAsia="楷体"/>
                <w:i/>
                <w:lang w:val="en-GB"/>
              </w:rPr>
              <w:t>Hong Kong</w:t>
            </w:r>
          </w:p>
        </w:tc>
        <w:tc>
          <w:tcPr>
            <w:tcW w:w="912" w:type="dxa"/>
            <w:vAlign w:val="center"/>
          </w:tcPr>
          <w:p w14:paraId="02B3F5AC" w14:textId="77777777" w:rsidR="00542CB6" w:rsidRPr="00CD5D09" w:rsidRDefault="00542CB6" w:rsidP="00E905AC">
            <w:pPr>
              <w:pStyle w:val="ExhibitText"/>
              <w:jc w:val="center"/>
              <w:rPr>
                <w:rFonts w:eastAsia="楷体"/>
                <w:lang w:val="en-GB"/>
              </w:rPr>
            </w:pPr>
            <w:r w:rsidRPr="00CD5D09">
              <w:rPr>
                <w:rFonts w:eastAsia="楷体"/>
                <w:i/>
                <w:lang w:val="en-GB"/>
              </w:rPr>
              <w:t>Thailand</w:t>
            </w:r>
          </w:p>
        </w:tc>
        <w:tc>
          <w:tcPr>
            <w:tcW w:w="1248" w:type="dxa"/>
            <w:vAlign w:val="center"/>
          </w:tcPr>
          <w:p w14:paraId="4CE46B60" w14:textId="77777777" w:rsidR="00542CB6" w:rsidRPr="00CD5D09" w:rsidRDefault="00542CB6" w:rsidP="00E905AC">
            <w:pPr>
              <w:pStyle w:val="ExhibitText"/>
              <w:jc w:val="center"/>
              <w:rPr>
                <w:rFonts w:eastAsia="楷体"/>
                <w:lang w:val="en-GB"/>
              </w:rPr>
            </w:pPr>
            <w:r w:rsidRPr="00CD5D09">
              <w:rPr>
                <w:rFonts w:eastAsia="楷体"/>
                <w:i/>
                <w:lang w:val="en-GB"/>
              </w:rPr>
              <w:t>Others</w:t>
            </w:r>
          </w:p>
        </w:tc>
      </w:tr>
      <w:tr w:rsidR="00542CB6" w:rsidRPr="00CD5D09" w14:paraId="0E6B239A" w14:textId="77777777" w:rsidTr="00E905AC">
        <w:trPr>
          <w:trHeight w:val="89"/>
          <w:jc w:val="center"/>
        </w:trPr>
        <w:tc>
          <w:tcPr>
            <w:tcW w:w="1615" w:type="dxa"/>
            <w:vMerge/>
          </w:tcPr>
          <w:p w14:paraId="5654C3C4" w14:textId="77777777" w:rsidR="00542CB6" w:rsidRPr="00632565" w:rsidRDefault="00542CB6" w:rsidP="00E905AC">
            <w:pPr>
              <w:pStyle w:val="ExhibitText"/>
              <w:jc w:val="left"/>
              <w:rPr>
                <w:rFonts w:eastAsia="楷体"/>
                <w:lang w:val="en-GB"/>
              </w:rPr>
            </w:pPr>
          </w:p>
        </w:tc>
        <w:tc>
          <w:tcPr>
            <w:tcW w:w="2160" w:type="dxa"/>
            <w:gridSpan w:val="2"/>
            <w:vMerge/>
          </w:tcPr>
          <w:p w14:paraId="0CE72088" w14:textId="77777777" w:rsidR="00542CB6" w:rsidRPr="00CD5D09" w:rsidRDefault="00542CB6" w:rsidP="00E905AC">
            <w:pPr>
              <w:pStyle w:val="ExhibitText"/>
              <w:jc w:val="center"/>
              <w:rPr>
                <w:rFonts w:eastAsia="楷体"/>
                <w:lang w:val="en-GB"/>
              </w:rPr>
            </w:pPr>
          </w:p>
        </w:tc>
        <w:tc>
          <w:tcPr>
            <w:tcW w:w="1620" w:type="dxa"/>
          </w:tcPr>
          <w:p w14:paraId="19D7AB38" w14:textId="77777777" w:rsidR="00542CB6" w:rsidRPr="00CD5D09" w:rsidRDefault="00542CB6" w:rsidP="00E905AC">
            <w:pPr>
              <w:pStyle w:val="ExhibitText"/>
              <w:jc w:val="center"/>
              <w:rPr>
                <w:rFonts w:eastAsia="楷体"/>
                <w:lang w:val="en-GB"/>
              </w:rPr>
            </w:pPr>
            <w:r w:rsidRPr="00CD5D09">
              <w:rPr>
                <w:rFonts w:eastAsia="楷体"/>
                <w:lang w:val="en-GB"/>
              </w:rPr>
              <w:t>14</w:t>
            </w:r>
          </w:p>
        </w:tc>
        <w:tc>
          <w:tcPr>
            <w:tcW w:w="900" w:type="dxa"/>
          </w:tcPr>
          <w:p w14:paraId="01D04476" w14:textId="77777777" w:rsidR="00542CB6" w:rsidRPr="00CD5D09" w:rsidRDefault="00542CB6" w:rsidP="00E905AC">
            <w:pPr>
              <w:pStyle w:val="ExhibitText"/>
              <w:jc w:val="center"/>
              <w:rPr>
                <w:rFonts w:eastAsia="楷体"/>
                <w:lang w:val="en-GB"/>
              </w:rPr>
            </w:pPr>
            <w:r w:rsidRPr="00CD5D09">
              <w:rPr>
                <w:rFonts w:eastAsia="楷体"/>
                <w:lang w:val="en-GB"/>
              </w:rPr>
              <w:t>27</w:t>
            </w:r>
          </w:p>
        </w:tc>
        <w:tc>
          <w:tcPr>
            <w:tcW w:w="720" w:type="dxa"/>
            <w:gridSpan w:val="2"/>
          </w:tcPr>
          <w:p w14:paraId="2DDF106D" w14:textId="77777777" w:rsidR="00542CB6" w:rsidRPr="00CD5D09" w:rsidRDefault="00542CB6" w:rsidP="00E905AC">
            <w:pPr>
              <w:pStyle w:val="ExhibitText"/>
              <w:jc w:val="center"/>
              <w:rPr>
                <w:rFonts w:eastAsia="楷体"/>
                <w:lang w:val="en-GB"/>
              </w:rPr>
            </w:pPr>
            <w:r w:rsidRPr="00CD5D09">
              <w:rPr>
                <w:rFonts w:eastAsia="楷体"/>
                <w:lang w:val="en-GB"/>
              </w:rPr>
              <w:t>4</w:t>
            </w:r>
          </w:p>
        </w:tc>
        <w:tc>
          <w:tcPr>
            <w:tcW w:w="912" w:type="dxa"/>
          </w:tcPr>
          <w:p w14:paraId="6185E9DC" w14:textId="77777777" w:rsidR="00542CB6" w:rsidRPr="00CD5D09" w:rsidRDefault="00542CB6" w:rsidP="00E905AC">
            <w:pPr>
              <w:pStyle w:val="ExhibitText"/>
              <w:jc w:val="center"/>
              <w:rPr>
                <w:rFonts w:eastAsia="楷体"/>
                <w:lang w:val="en-GB"/>
              </w:rPr>
            </w:pPr>
            <w:r w:rsidRPr="00CD5D09">
              <w:rPr>
                <w:rFonts w:eastAsia="楷体"/>
                <w:lang w:val="en-GB"/>
              </w:rPr>
              <w:t>3</w:t>
            </w:r>
          </w:p>
        </w:tc>
        <w:tc>
          <w:tcPr>
            <w:tcW w:w="1248" w:type="dxa"/>
          </w:tcPr>
          <w:p w14:paraId="6969799B" w14:textId="77777777" w:rsidR="00542CB6" w:rsidRPr="00CD5D09" w:rsidRDefault="00542CB6" w:rsidP="00E905AC">
            <w:pPr>
              <w:pStyle w:val="ExhibitText"/>
              <w:jc w:val="center"/>
              <w:rPr>
                <w:rFonts w:eastAsia="楷体"/>
                <w:lang w:val="en-GB"/>
              </w:rPr>
            </w:pPr>
            <w:r w:rsidRPr="00CD5D09">
              <w:rPr>
                <w:rFonts w:eastAsia="楷体"/>
                <w:lang w:val="en-GB"/>
              </w:rPr>
              <w:t>5</w:t>
            </w:r>
          </w:p>
        </w:tc>
      </w:tr>
      <w:tr w:rsidR="00542CB6" w:rsidRPr="00CD5D09" w14:paraId="4C10C37B" w14:textId="77777777" w:rsidTr="00E905AC">
        <w:trPr>
          <w:jc w:val="center"/>
        </w:trPr>
        <w:tc>
          <w:tcPr>
            <w:tcW w:w="1615" w:type="dxa"/>
            <w:vMerge w:val="restart"/>
            <w:vAlign w:val="center"/>
          </w:tcPr>
          <w:p w14:paraId="1BF6B0EC" w14:textId="77777777" w:rsidR="00542CB6" w:rsidRPr="00632565" w:rsidRDefault="00542CB6" w:rsidP="00E905AC">
            <w:pPr>
              <w:pStyle w:val="ExhibitText"/>
              <w:jc w:val="left"/>
              <w:rPr>
                <w:rFonts w:eastAsia="楷体"/>
                <w:lang w:val="en-GB"/>
              </w:rPr>
            </w:pPr>
            <w:r w:rsidRPr="00632565">
              <w:rPr>
                <w:rFonts w:eastAsia="楷体"/>
                <w:lang w:val="en-GB"/>
              </w:rPr>
              <w:t>Restaurant</w:t>
            </w:r>
          </w:p>
          <w:p w14:paraId="61EE09FA" w14:textId="77777777" w:rsidR="00542CB6" w:rsidRPr="00632565" w:rsidRDefault="00542CB6" w:rsidP="00E905AC">
            <w:pPr>
              <w:pStyle w:val="ExhibitText"/>
              <w:jc w:val="left"/>
              <w:rPr>
                <w:rFonts w:eastAsia="楷体"/>
                <w:lang w:val="en-GB"/>
              </w:rPr>
            </w:pPr>
            <w:r w:rsidRPr="00632565">
              <w:rPr>
                <w:rFonts w:eastAsia="楷体"/>
                <w:lang w:val="en-GB"/>
              </w:rPr>
              <w:t>(Din Tai Fung)</w:t>
            </w:r>
          </w:p>
        </w:tc>
        <w:tc>
          <w:tcPr>
            <w:tcW w:w="7560" w:type="dxa"/>
            <w:gridSpan w:val="8"/>
          </w:tcPr>
          <w:p w14:paraId="04019729" w14:textId="77777777" w:rsidR="00542CB6" w:rsidRPr="006466FE" w:rsidRDefault="00542CB6" w:rsidP="00E905AC">
            <w:pPr>
              <w:pStyle w:val="ExhibitText"/>
              <w:jc w:val="center"/>
              <w:rPr>
                <w:rFonts w:eastAsia="楷体"/>
                <w:b/>
                <w:lang w:val="en-GB"/>
              </w:rPr>
            </w:pPr>
            <w:r w:rsidRPr="006466FE">
              <w:rPr>
                <w:rFonts w:eastAsia="楷体"/>
                <w:b/>
                <w:lang w:val="en-GB"/>
              </w:rPr>
              <w:t>2017</w:t>
            </w:r>
          </w:p>
        </w:tc>
      </w:tr>
      <w:tr w:rsidR="00542CB6" w:rsidRPr="00CD5D09" w14:paraId="63FFF8FD" w14:textId="77777777" w:rsidTr="006466FE">
        <w:trPr>
          <w:jc w:val="center"/>
        </w:trPr>
        <w:tc>
          <w:tcPr>
            <w:tcW w:w="1615" w:type="dxa"/>
            <w:vMerge/>
          </w:tcPr>
          <w:p w14:paraId="3A281961" w14:textId="77777777" w:rsidR="00542CB6" w:rsidRPr="00632565" w:rsidRDefault="00542CB6" w:rsidP="00E905AC">
            <w:pPr>
              <w:pStyle w:val="ExhibitText"/>
              <w:jc w:val="left"/>
              <w:rPr>
                <w:rFonts w:eastAsia="楷体"/>
                <w:lang w:val="en-GB"/>
              </w:rPr>
            </w:pPr>
          </w:p>
        </w:tc>
        <w:tc>
          <w:tcPr>
            <w:tcW w:w="1080" w:type="dxa"/>
          </w:tcPr>
          <w:p w14:paraId="2F6273F5" w14:textId="77777777" w:rsidR="00542CB6" w:rsidRPr="00CD5D09" w:rsidRDefault="00542CB6" w:rsidP="00E905AC">
            <w:pPr>
              <w:pStyle w:val="ExhibitText"/>
              <w:jc w:val="center"/>
              <w:rPr>
                <w:rFonts w:eastAsia="楷体"/>
                <w:lang w:val="en-GB"/>
              </w:rPr>
            </w:pPr>
            <w:r w:rsidRPr="00CD5D09">
              <w:rPr>
                <w:rFonts w:eastAsia="楷体"/>
                <w:lang w:val="en-GB"/>
              </w:rPr>
              <w:t>Opened</w:t>
            </w:r>
          </w:p>
        </w:tc>
        <w:tc>
          <w:tcPr>
            <w:tcW w:w="1080" w:type="dxa"/>
          </w:tcPr>
          <w:p w14:paraId="6F07500C" w14:textId="77777777" w:rsidR="00542CB6" w:rsidRPr="00CD5D09" w:rsidRDefault="00542CB6" w:rsidP="00E905AC">
            <w:pPr>
              <w:pStyle w:val="ExhibitText"/>
              <w:jc w:val="center"/>
              <w:rPr>
                <w:rFonts w:eastAsia="楷体"/>
                <w:lang w:val="en-GB"/>
              </w:rPr>
            </w:pPr>
            <w:r w:rsidRPr="00CD5D09">
              <w:rPr>
                <w:rFonts w:eastAsia="楷体"/>
                <w:lang w:val="en-GB"/>
              </w:rPr>
              <w:t>Closed</w:t>
            </w:r>
          </w:p>
        </w:tc>
        <w:tc>
          <w:tcPr>
            <w:tcW w:w="5400" w:type="dxa"/>
            <w:gridSpan w:val="6"/>
          </w:tcPr>
          <w:p w14:paraId="0696D898" w14:textId="4A023F7A" w:rsidR="00542CB6" w:rsidRPr="00CD5D09" w:rsidRDefault="00542CB6" w:rsidP="00E905AC">
            <w:pPr>
              <w:pStyle w:val="ExhibitText"/>
              <w:jc w:val="center"/>
              <w:rPr>
                <w:rFonts w:eastAsia="楷体"/>
                <w:lang w:val="en-GB"/>
              </w:rPr>
            </w:pPr>
            <w:r w:rsidRPr="00CD5D09">
              <w:rPr>
                <w:rFonts w:eastAsia="楷体"/>
                <w:lang w:val="en-GB"/>
              </w:rPr>
              <w:t>Year-</w:t>
            </w:r>
            <w:r w:rsidR="00E905AC">
              <w:rPr>
                <w:rFonts w:eastAsia="楷体"/>
                <w:lang w:val="en-GB"/>
              </w:rPr>
              <w:t>E</w:t>
            </w:r>
            <w:r w:rsidRPr="00CD5D09">
              <w:rPr>
                <w:rFonts w:eastAsia="楷体"/>
                <w:lang w:val="en-GB"/>
              </w:rPr>
              <w:t>nd Total</w:t>
            </w:r>
          </w:p>
        </w:tc>
      </w:tr>
      <w:tr w:rsidR="00542CB6" w:rsidRPr="00CD5D09" w14:paraId="3E5AB9D3" w14:textId="77777777" w:rsidTr="006466FE">
        <w:trPr>
          <w:jc w:val="center"/>
        </w:trPr>
        <w:tc>
          <w:tcPr>
            <w:tcW w:w="1615" w:type="dxa"/>
            <w:vMerge/>
          </w:tcPr>
          <w:p w14:paraId="6DFFDD78" w14:textId="77777777" w:rsidR="00542CB6" w:rsidRPr="00632565" w:rsidRDefault="00542CB6" w:rsidP="00E905AC">
            <w:pPr>
              <w:pStyle w:val="ExhibitText"/>
              <w:jc w:val="left"/>
              <w:rPr>
                <w:rFonts w:eastAsia="楷体"/>
                <w:lang w:val="en-GB"/>
              </w:rPr>
            </w:pPr>
          </w:p>
        </w:tc>
        <w:tc>
          <w:tcPr>
            <w:tcW w:w="1080" w:type="dxa"/>
          </w:tcPr>
          <w:p w14:paraId="0BE04373" w14:textId="77777777" w:rsidR="00542CB6" w:rsidRPr="00CD5D09" w:rsidRDefault="00542CB6" w:rsidP="00E905AC">
            <w:pPr>
              <w:pStyle w:val="ExhibitText"/>
              <w:jc w:val="center"/>
              <w:rPr>
                <w:rFonts w:eastAsia="楷体"/>
                <w:lang w:val="en-GB"/>
              </w:rPr>
            </w:pPr>
            <w:r w:rsidRPr="00CD5D09">
              <w:rPr>
                <w:rFonts w:eastAsia="楷体"/>
                <w:lang w:val="en-GB"/>
              </w:rPr>
              <w:t>1 (Thailand)</w:t>
            </w:r>
          </w:p>
        </w:tc>
        <w:tc>
          <w:tcPr>
            <w:tcW w:w="1080" w:type="dxa"/>
          </w:tcPr>
          <w:p w14:paraId="35885A2F" w14:textId="77777777" w:rsidR="00542CB6" w:rsidRPr="00CD5D09" w:rsidRDefault="00542CB6" w:rsidP="00E905AC">
            <w:pPr>
              <w:pStyle w:val="ExhibitText"/>
              <w:jc w:val="center"/>
              <w:rPr>
                <w:rFonts w:eastAsia="楷体"/>
                <w:lang w:val="en-GB"/>
              </w:rPr>
            </w:pPr>
            <w:r w:rsidRPr="00CD5D09">
              <w:rPr>
                <w:rFonts w:eastAsia="楷体"/>
                <w:lang w:val="en-GB"/>
              </w:rPr>
              <w:t>0</w:t>
            </w:r>
          </w:p>
        </w:tc>
        <w:tc>
          <w:tcPr>
            <w:tcW w:w="5400" w:type="dxa"/>
            <w:gridSpan w:val="6"/>
          </w:tcPr>
          <w:p w14:paraId="4AF89AE2" w14:textId="77777777" w:rsidR="00542CB6" w:rsidRPr="00CD5D09" w:rsidRDefault="00542CB6" w:rsidP="00E905AC">
            <w:pPr>
              <w:pStyle w:val="ExhibitText"/>
              <w:jc w:val="center"/>
              <w:rPr>
                <w:rFonts w:eastAsia="楷体"/>
                <w:lang w:val="en-GB"/>
              </w:rPr>
            </w:pPr>
            <w:r w:rsidRPr="00CD5D09">
              <w:rPr>
                <w:rFonts w:eastAsia="楷体"/>
                <w:lang w:val="en-GB"/>
              </w:rPr>
              <w:t>25</w:t>
            </w:r>
          </w:p>
        </w:tc>
      </w:tr>
      <w:tr w:rsidR="00542CB6" w:rsidRPr="00CD5D09" w14:paraId="5395AD5B" w14:textId="77777777" w:rsidTr="00E905AC">
        <w:trPr>
          <w:trHeight w:val="90"/>
          <w:jc w:val="center"/>
        </w:trPr>
        <w:tc>
          <w:tcPr>
            <w:tcW w:w="1615" w:type="dxa"/>
            <w:vMerge/>
          </w:tcPr>
          <w:p w14:paraId="3997B8CE" w14:textId="77777777" w:rsidR="00542CB6" w:rsidRPr="00632565" w:rsidRDefault="00542CB6" w:rsidP="00E905AC">
            <w:pPr>
              <w:pStyle w:val="ExhibitText"/>
              <w:jc w:val="left"/>
              <w:rPr>
                <w:rFonts w:eastAsia="楷体"/>
                <w:lang w:val="en-GB"/>
              </w:rPr>
            </w:pPr>
          </w:p>
        </w:tc>
        <w:tc>
          <w:tcPr>
            <w:tcW w:w="2160" w:type="dxa"/>
            <w:gridSpan w:val="2"/>
            <w:vMerge w:val="restart"/>
          </w:tcPr>
          <w:p w14:paraId="0C9998EC" w14:textId="77777777" w:rsidR="00542CB6" w:rsidRPr="00CD5D09" w:rsidRDefault="00542CB6" w:rsidP="00E905AC">
            <w:pPr>
              <w:pStyle w:val="ExhibitText"/>
              <w:jc w:val="center"/>
              <w:rPr>
                <w:rFonts w:eastAsia="楷体"/>
                <w:lang w:val="en-GB"/>
              </w:rPr>
            </w:pPr>
          </w:p>
        </w:tc>
        <w:tc>
          <w:tcPr>
            <w:tcW w:w="2593" w:type="dxa"/>
            <w:gridSpan w:val="3"/>
          </w:tcPr>
          <w:p w14:paraId="7B8C404A" w14:textId="77777777" w:rsidR="00542CB6" w:rsidRPr="00CD5D09" w:rsidRDefault="00542CB6" w:rsidP="00E905AC">
            <w:pPr>
              <w:pStyle w:val="ExhibitText"/>
              <w:jc w:val="center"/>
              <w:rPr>
                <w:rFonts w:eastAsia="楷体"/>
                <w:i/>
                <w:lang w:val="en-GB"/>
              </w:rPr>
            </w:pPr>
            <w:r w:rsidRPr="00CD5D09">
              <w:rPr>
                <w:rFonts w:eastAsia="楷体"/>
                <w:i/>
                <w:lang w:val="en-GB"/>
              </w:rPr>
              <w:t>Singapore</w:t>
            </w:r>
          </w:p>
        </w:tc>
        <w:tc>
          <w:tcPr>
            <w:tcW w:w="2807" w:type="dxa"/>
            <w:gridSpan w:val="3"/>
          </w:tcPr>
          <w:p w14:paraId="4E8B5DAE" w14:textId="77777777" w:rsidR="00542CB6" w:rsidRPr="00CD5D09" w:rsidRDefault="00542CB6" w:rsidP="00E905AC">
            <w:pPr>
              <w:pStyle w:val="ExhibitText"/>
              <w:jc w:val="center"/>
              <w:rPr>
                <w:rFonts w:eastAsia="楷体"/>
                <w:i/>
                <w:lang w:val="en-GB"/>
              </w:rPr>
            </w:pPr>
            <w:r w:rsidRPr="00CD5D09">
              <w:rPr>
                <w:rFonts w:eastAsia="楷体"/>
                <w:i/>
                <w:lang w:val="en-GB"/>
              </w:rPr>
              <w:t>Thailand</w:t>
            </w:r>
          </w:p>
        </w:tc>
      </w:tr>
      <w:tr w:rsidR="00542CB6" w:rsidRPr="00CD5D09" w14:paraId="6C26B9E4" w14:textId="77777777" w:rsidTr="00E905AC">
        <w:trPr>
          <w:trHeight w:val="89"/>
          <w:jc w:val="center"/>
        </w:trPr>
        <w:tc>
          <w:tcPr>
            <w:tcW w:w="1615" w:type="dxa"/>
            <w:vMerge/>
          </w:tcPr>
          <w:p w14:paraId="30287166" w14:textId="77777777" w:rsidR="00542CB6" w:rsidRPr="00632565" w:rsidRDefault="00542CB6" w:rsidP="00E905AC">
            <w:pPr>
              <w:pStyle w:val="ExhibitText"/>
              <w:jc w:val="left"/>
              <w:rPr>
                <w:rFonts w:eastAsia="楷体"/>
                <w:lang w:val="en-GB"/>
              </w:rPr>
            </w:pPr>
          </w:p>
        </w:tc>
        <w:tc>
          <w:tcPr>
            <w:tcW w:w="2160" w:type="dxa"/>
            <w:gridSpan w:val="2"/>
            <w:vMerge/>
          </w:tcPr>
          <w:p w14:paraId="1A931AC4" w14:textId="77777777" w:rsidR="00542CB6" w:rsidRPr="00CD5D09" w:rsidRDefault="00542CB6" w:rsidP="00E905AC">
            <w:pPr>
              <w:pStyle w:val="ExhibitText"/>
              <w:jc w:val="center"/>
              <w:rPr>
                <w:rFonts w:eastAsia="楷体"/>
                <w:lang w:val="en-GB"/>
              </w:rPr>
            </w:pPr>
          </w:p>
        </w:tc>
        <w:tc>
          <w:tcPr>
            <w:tcW w:w="2593" w:type="dxa"/>
            <w:gridSpan w:val="3"/>
          </w:tcPr>
          <w:p w14:paraId="18769A56" w14:textId="77777777" w:rsidR="00542CB6" w:rsidRPr="00CD5D09" w:rsidRDefault="00542CB6" w:rsidP="00E905AC">
            <w:pPr>
              <w:pStyle w:val="ExhibitText"/>
              <w:jc w:val="center"/>
              <w:rPr>
                <w:rFonts w:eastAsia="楷体"/>
                <w:i/>
                <w:lang w:val="en-GB"/>
              </w:rPr>
            </w:pPr>
            <w:r w:rsidRPr="00CD5D09">
              <w:rPr>
                <w:rFonts w:eastAsia="楷体"/>
                <w:i/>
                <w:lang w:val="en-GB"/>
              </w:rPr>
              <w:t>21</w:t>
            </w:r>
          </w:p>
        </w:tc>
        <w:tc>
          <w:tcPr>
            <w:tcW w:w="2807" w:type="dxa"/>
            <w:gridSpan w:val="3"/>
          </w:tcPr>
          <w:p w14:paraId="190B9383" w14:textId="77777777" w:rsidR="00542CB6" w:rsidRPr="00CD5D09" w:rsidRDefault="00542CB6" w:rsidP="00E905AC">
            <w:pPr>
              <w:pStyle w:val="ExhibitText"/>
              <w:jc w:val="center"/>
              <w:rPr>
                <w:rFonts w:eastAsia="楷体"/>
                <w:i/>
                <w:lang w:val="en-GB"/>
              </w:rPr>
            </w:pPr>
            <w:r w:rsidRPr="00CD5D09">
              <w:rPr>
                <w:rFonts w:eastAsia="楷体"/>
                <w:i/>
                <w:lang w:val="en-GB"/>
              </w:rPr>
              <w:t>4</w:t>
            </w:r>
          </w:p>
        </w:tc>
      </w:tr>
      <w:tr w:rsidR="00542CB6" w:rsidRPr="00CD5D09" w14:paraId="0C3E84E9" w14:textId="77777777" w:rsidTr="00E905AC">
        <w:trPr>
          <w:jc w:val="center"/>
        </w:trPr>
        <w:tc>
          <w:tcPr>
            <w:tcW w:w="1615" w:type="dxa"/>
            <w:vMerge w:val="restart"/>
            <w:vAlign w:val="center"/>
          </w:tcPr>
          <w:p w14:paraId="243CF9ED" w14:textId="5762BC47" w:rsidR="00542CB6" w:rsidRPr="00632565" w:rsidRDefault="00E905AC" w:rsidP="00E905AC">
            <w:pPr>
              <w:pStyle w:val="ExhibitText"/>
              <w:jc w:val="left"/>
              <w:rPr>
                <w:rFonts w:eastAsia="楷体"/>
                <w:lang w:val="en-GB"/>
              </w:rPr>
            </w:pPr>
            <w:r w:rsidRPr="006466FE">
              <w:rPr>
                <w:rFonts w:eastAsia="楷体"/>
                <w:lang w:val="en-GB"/>
              </w:rPr>
              <w:t>4orth Food Concepts</w:t>
            </w:r>
          </w:p>
          <w:p w14:paraId="524CB3C4" w14:textId="77777777" w:rsidR="00542CB6" w:rsidRPr="00632565" w:rsidRDefault="00542CB6" w:rsidP="00E905AC">
            <w:pPr>
              <w:pStyle w:val="ExhibitText"/>
              <w:jc w:val="left"/>
              <w:rPr>
                <w:rFonts w:eastAsia="楷体"/>
                <w:lang w:val="en-GB"/>
              </w:rPr>
            </w:pPr>
            <w:r w:rsidRPr="00632565">
              <w:rPr>
                <w:rFonts w:eastAsia="楷体"/>
                <w:lang w:val="en-GB"/>
              </w:rPr>
              <w:t>(</w:t>
            </w:r>
            <w:proofErr w:type="spellStart"/>
            <w:r w:rsidRPr="00632565">
              <w:rPr>
                <w:rFonts w:eastAsia="楷体"/>
                <w:lang w:val="en-GB"/>
              </w:rPr>
              <w:t>Sō</w:t>
            </w:r>
            <w:proofErr w:type="spellEnd"/>
            <w:r w:rsidRPr="00632565">
              <w:rPr>
                <w:rFonts w:eastAsia="楷体"/>
                <w:lang w:val="en-GB"/>
              </w:rPr>
              <w:t xml:space="preserve"> Ramen)</w:t>
            </w:r>
          </w:p>
        </w:tc>
        <w:tc>
          <w:tcPr>
            <w:tcW w:w="7560" w:type="dxa"/>
            <w:gridSpan w:val="8"/>
          </w:tcPr>
          <w:p w14:paraId="63995429" w14:textId="77777777" w:rsidR="00542CB6" w:rsidRPr="006466FE" w:rsidRDefault="00542CB6" w:rsidP="00E905AC">
            <w:pPr>
              <w:pStyle w:val="ExhibitText"/>
              <w:jc w:val="center"/>
              <w:rPr>
                <w:rFonts w:eastAsia="楷体"/>
                <w:b/>
                <w:lang w:val="en-GB"/>
              </w:rPr>
            </w:pPr>
            <w:r w:rsidRPr="006466FE">
              <w:rPr>
                <w:rFonts w:eastAsia="楷体"/>
                <w:b/>
                <w:lang w:val="en-GB"/>
              </w:rPr>
              <w:t>2017</w:t>
            </w:r>
          </w:p>
        </w:tc>
      </w:tr>
      <w:tr w:rsidR="00542CB6" w:rsidRPr="00CD5D09" w14:paraId="669AA156" w14:textId="77777777" w:rsidTr="006466FE">
        <w:trPr>
          <w:jc w:val="center"/>
        </w:trPr>
        <w:tc>
          <w:tcPr>
            <w:tcW w:w="1615" w:type="dxa"/>
            <w:vMerge/>
          </w:tcPr>
          <w:p w14:paraId="557D9438" w14:textId="77777777" w:rsidR="00542CB6" w:rsidRPr="00CD5D09" w:rsidRDefault="00542CB6" w:rsidP="00542CB6">
            <w:pPr>
              <w:pStyle w:val="ExhibitText"/>
              <w:rPr>
                <w:rFonts w:eastAsia="楷体"/>
                <w:lang w:val="en-GB"/>
              </w:rPr>
            </w:pPr>
          </w:p>
        </w:tc>
        <w:tc>
          <w:tcPr>
            <w:tcW w:w="1080" w:type="dxa"/>
          </w:tcPr>
          <w:p w14:paraId="4DABFD50" w14:textId="28E7B272" w:rsidR="00542CB6" w:rsidRPr="00CD5D09" w:rsidRDefault="00542CB6" w:rsidP="00E905AC">
            <w:pPr>
              <w:pStyle w:val="ExhibitText"/>
              <w:jc w:val="center"/>
              <w:rPr>
                <w:rFonts w:eastAsia="楷体"/>
                <w:lang w:val="en-GB"/>
              </w:rPr>
            </w:pPr>
            <w:r w:rsidRPr="00CD5D09">
              <w:rPr>
                <w:rFonts w:eastAsia="楷体"/>
                <w:lang w:val="en-GB"/>
              </w:rPr>
              <w:t>Opened</w:t>
            </w:r>
          </w:p>
        </w:tc>
        <w:tc>
          <w:tcPr>
            <w:tcW w:w="1080" w:type="dxa"/>
          </w:tcPr>
          <w:p w14:paraId="5A21BF27" w14:textId="534A065B" w:rsidR="00542CB6" w:rsidRPr="00CD5D09" w:rsidRDefault="00542CB6" w:rsidP="00E905AC">
            <w:pPr>
              <w:pStyle w:val="ExhibitText"/>
              <w:jc w:val="center"/>
              <w:rPr>
                <w:rFonts w:eastAsia="楷体"/>
                <w:lang w:val="en-GB"/>
              </w:rPr>
            </w:pPr>
            <w:r w:rsidRPr="00CD5D09">
              <w:rPr>
                <w:rFonts w:eastAsia="楷体"/>
                <w:lang w:val="en-GB"/>
              </w:rPr>
              <w:t>Re</w:t>
            </w:r>
            <w:r w:rsidR="00E905AC">
              <w:rPr>
                <w:rFonts w:eastAsia="楷体"/>
                <w:lang w:val="en-GB"/>
              </w:rPr>
              <w:t>novated</w:t>
            </w:r>
          </w:p>
        </w:tc>
        <w:tc>
          <w:tcPr>
            <w:tcW w:w="5400" w:type="dxa"/>
            <w:gridSpan w:val="6"/>
          </w:tcPr>
          <w:p w14:paraId="5BAF13E2" w14:textId="77777777" w:rsidR="00542CB6" w:rsidRPr="00CD5D09" w:rsidRDefault="00542CB6" w:rsidP="00E905AC">
            <w:pPr>
              <w:pStyle w:val="ExhibitText"/>
              <w:jc w:val="center"/>
              <w:rPr>
                <w:rFonts w:eastAsia="楷体"/>
                <w:lang w:val="en-GB"/>
              </w:rPr>
            </w:pPr>
            <w:r w:rsidRPr="00CD5D09">
              <w:rPr>
                <w:rFonts w:eastAsia="楷体"/>
                <w:lang w:val="en-GB"/>
              </w:rPr>
              <w:t>Year-End Total</w:t>
            </w:r>
          </w:p>
        </w:tc>
      </w:tr>
      <w:tr w:rsidR="00542CB6" w:rsidRPr="00CD5D09" w14:paraId="6F2133B6" w14:textId="77777777" w:rsidTr="006466FE">
        <w:trPr>
          <w:jc w:val="center"/>
        </w:trPr>
        <w:tc>
          <w:tcPr>
            <w:tcW w:w="1615" w:type="dxa"/>
            <w:vMerge/>
          </w:tcPr>
          <w:p w14:paraId="552C5115" w14:textId="77777777" w:rsidR="00542CB6" w:rsidRPr="00CD5D09" w:rsidRDefault="00542CB6" w:rsidP="00542CB6">
            <w:pPr>
              <w:pStyle w:val="ExhibitText"/>
              <w:rPr>
                <w:rFonts w:eastAsia="楷体"/>
                <w:lang w:val="en-GB"/>
              </w:rPr>
            </w:pPr>
          </w:p>
        </w:tc>
        <w:tc>
          <w:tcPr>
            <w:tcW w:w="1080" w:type="dxa"/>
          </w:tcPr>
          <w:p w14:paraId="202F819A" w14:textId="77777777" w:rsidR="00542CB6" w:rsidRPr="00CD5D09" w:rsidRDefault="00542CB6" w:rsidP="00E905AC">
            <w:pPr>
              <w:pStyle w:val="ExhibitText"/>
              <w:jc w:val="center"/>
              <w:rPr>
                <w:rFonts w:eastAsia="楷体"/>
                <w:lang w:val="en-GB"/>
              </w:rPr>
            </w:pPr>
            <w:r w:rsidRPr="00CD5D09">
              <w:rPr>
                <w:rFonts w:eastAsia="楷体"/>
                <w:lang w:val="en-GB"/>
              </w:rPr>
              <w:t>1</w:t>
            </w:r>
          </w:p>
        </w:tc>
        <w:tc>
          <w:tcPr>
            <w:tcW w:w="1080" w:type="dxa"/>
          </w:tcPr>
          <w:p w14:paraId="598BA4CB" w14:textId="77777777" w:rsidR="00542CB6" w:rsidRPr="00CD5D09" w:rsidRDefault="00542CB6" w:rsidP="00E905AC">
            <w:pPr>
              <w:pStyle w:val="ExhibitText"/>
              <w:jc w:val="center"/>
              <w:rPr>
                <w:rFonts w:eastAsia="楷体"/>
                <w:lang w:val="en-GB"/>
              </w:rPr>
            </w:pPr>
            <w:r w:rsidRPr="00CD5D09">
              <w:rPr>
                <w:rFonts w:eastAsia="楷体"/>
                <w:lang w:val="en-GB"/>
              </w:rPr>
              <w:t>4</w:t>
            </w:r>
          </w:p>
          <w:p w14:paraId="5D3DF442" w14:textId="77777777" w:rsidR="00542CB6" w:rsidRPr="00CD5D09" w:rsidRDefault="00542CB6" w:rsidP="00E905AC">
            <w:pPr>
              <w:pStyle w:val="ExhibitText"/>
              <w:jc w:val="center"/>
              <w:rPr>
                <w:rFonts w:eastAsia="楷体"/>
                <w:lang w:val="en-GB"/>
              </w:rPr>
            </w:pPr>
          </w:p>
        </w:tc>
        <w:tc>
          <w:tcPr>
            <w:tcW w:w="5400" w:type="dxa"/>
            <w:gridSpan w:val="6"/>
          </w:tcPr>
          <w:p w14:paraId="2CD07320" w14:textId="4E257769" w:rsidR="00542CB6" w:rsidRPr="00CD5D09" w:rsidRDefault="00542CB6" w:rsidP="00E905AC">
            <w:pPr>
              <w:pStyle w:val="ExhibitText"/>
              <w:jc w:val="center"/>
              <w:rPr>
                <w:rFonts w:eastAsia="楷体"/>
                <w:lang w:val="en-GB"/>
              </w:rPr>
            </w:pPr>
            <w:r w:rsidRPr="00CD5D09">
              <w:rPr>
                <w:rFonts w:eastAsia="楷体"/>
                <w:lang w:val="en-GB"/>
              </w:rPr>
              <w:t>5</w:t>
            </w:r>
          </w:p>
          <w:p w14:paraId="53DD62B9" w14:textId="77777777" w:rsidR="00542CB6" w:rsidRPr="00CD5D09" w:rsidRDefault="00542CB6" w:rsidP="00E905AC">
            <w:pPr>
              <w:pStyle w:val="ExhibitText"/>
              <w:jc w:val="center"/>
              <w:rPr>
                <w:rFonts w:eastAsia="楷体"/>
                <w:lang w:val="en-GB"/>
              </w:rPr>
            </w:pPr>
            <w:r w:rsidRPr="00CD5D09">
              <w:rPr>
                <w:rFonts w:eastAsia="楷体"/>
                <w:lang w:val="en-GB"/>
              </w:rPr>
              <w:t>(all in Singapore)</w:t>
            </w:r>
          </w:p>
        </w:tc>
      </w:tr>
    </w:tbl>
    <w:p w14:paraId="67C9CB85" w14:textId="77777777" w:rsidR="00542CB6" w:rsidRPr="00CD5D09" w:rsidRDefault="00542CB6" w:rsidP="00542CB6">
      <w:pPr>
        <w:spacing w:before="1" w:after="1"/>
        <w:jc w:val="both"/>
        <w:rPr>
          <w:rFonts w:ascii="Arial" w:hAnsi="Arial" w:cs="Arial"/>
          <w:lang w:val="en-GB" w:eastAsia="zh-CN"/>
        </w:rPr>
      </w:pPr>
    </w:p>
    <w:p w14:paraId="43733EC0" w14:textId="17D262DE" w:rsidR="00542CB6" w:rsidRPr="00CD5D09" w:rsidRDefault="00542CB6" w:rsidP="00542CB6">
      <w:pPr>
        <w:pStyle w:val="Footnote"/>
        <w:rPr>
          <w:lang w:val="en-GB"/>
        </w:rPr>
      </w:pPr>
      <w:r w:rsidRPr="00CD5D09">
        <w:rPr>
          <w:lang w:val="en-GB"/>
        </w:rPr>
        <w:t>Source: Company information.</w:t>
      </w:r>
      <w:r w:rsidRPr="00CD5D09">
        <w:rPr>
          <w:lang w:val="en-GB"/>
        </w:rPr>
        <w:br w:type="page"/>
      </w:r>
    </w:p>
    <w:p w14:paraId="373B333A" w14:textId="076321B0" w:rsidR="00542CB6" w:rsidRPr="00CD5D09" w:rsidRDefault="00542CB6" w:rsidP="00542CB6">
      <w:pPr>
        <w:pStyle w:val="Casehead1"/>
        <w:jc w:val="center"/>
        <w:rPr>
          <w:lang w:val="en-GB"/>
        </w:rPr>
      </w:pPr>
      <w:r w:rsidRPr="00CD5D09">
        <w:rPr>
          <w:lang w:val="en-GB"/>
        </w:rPr>
        <w:lastRenderedPageBreak/>
        <w:t xml:space="preserve">Exhibit 6: </w:t>
      </w:r>
      <w:r w:rsidR="003E396D">
        <w:rPr>
          <w:lang w:val="en-GB"/>
        </w:rPr>
        <w:t xml:space="preserve">BreadTalk Group </w:t>
      </w:r>
      <w:r w:rsidR="00E905AC">
        <w:rPr>
          <w:lang w:val="en-GB"/>
        </w:rPr>
        <w:t xml:space="preserve">LIMITED </w:t>
      </w:r>
      <w:r w:rsidRPr="00CD5D09">
        <w:rPr>
          <w:lang w:val="en-GB"/>
        </w:rPr>
        <w:t>top management team</w:t>
      </w:r>
      <w:r w:rsidR="008202C5">
        <w:rPr>
          <w:lang w:val="en-GB"/>
        </w:rPr>
        <w:t>, 2018</w:t>
      </w:r>
    </w:p>
    <w:p w14:paraId="42BDD389" w14:textId="1096FD82" w:rsidR="00542CB6" w:rsidRPr="00CD5D09" w:rsidRDefault="00542CB6" w:rsidP="00542CB6">
      <w:pPr>
        <w:spacing w:before="1" w:after="1"/>
        <w:jc w:val="both"/>
        <w:rPr>
          <w:rFonts w:ascii="Arial" w:hAnsi="Arial" w:cs="Arial"/>
          <w:lang w:val="en-GB" w:eastAsia="zh-CN"/>
        </w:rPr>
      </w:pPr>
    </w:p>
    <w:p w14:paraId="0768F488" w14:textId="77777777" w:rsidR="00542CB6" w:rsidRPr="00CD5D09" w:rsidRDefault="00542CB6" w:rsidP="00542CB6">
      <w:pPr>
        <w:spacing w:after="200" w:line="276" w:lineRule="auto"/>
        <w:rPr>
          <w:b/>
          <w:caps/>
          <w:lang w:val="en-GB"/>
        </w:rPr>
      </w:pPr>
      <w:r w:rsidRPr="00CD5D09">
        <w:rPr>
          <w:b/>
          <w:caps/>
          <w:noProof/>
          <w:lang w:val="en-CA" w:eastAsia="en-CA"/>
        </w:rPr>
        <w:drawing>
          <wp:inline distT="0" distB="0" distL="0" distR="0" wp14:anchorId="008A6749" wp14:editId="58A8FA77">
            <wp:extent cx="5943600" cy="3066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66415"/>
                    </a:xfrm>
                    <a:prstGeom prst="rect">
                      <a:avLst/>
                    </a:prstGeom>
                  </pic:spPr>
                </pic:pic>
              </a:graphicData>
            </a:graphic>
          </wp:inline>
        </w:drawing>
      </w:r>
    </w:p>
    <w:p w14:paraId="7EA4504D" w14:textId="5D7AC0E4" w:rsidR="00542CB6" w:rsidRPr="00CD5D09" w:rsidRDefault="00542CB6" w:rsidP="00542CB6">
      <w:pPr>
        <w:pStyle w:val="Footnote"/>
        <w:rPr>
          <w:lang w:val="en-GB" w:eastAsia="zh-CN"/>
        </w:rPr>
      </w:pPr>
      <w:r w:rsidRPr="00CD5D09">
        <w:rPr>
          <w:lang w:val="en-GB" w:eastAsia="zh-CN"/>
        </w:rPr>
        <w:t xml:space="preserve">Note: </w:t>
      </w:r>
      <w:r w:rsidR="00E905AC">
        <w:rPr>
          <w:lang w:val="en-GB" w:eastAsia="zh-CN"/>
        </w:rPr>
        <w:t xml:space="preserve">CEO = chief executive officer; CFO = chief financial officer; HR = human resources; Admin = administration; </w:t>
      </w:r>
      <w:r w:rsidR="00D94520">
        <w:rPr>
          <w:lang w:val="en-GB" w:eastAsia="zh-CN"/>
        </w:rPr>
        <w:t>VP = vice-president; s</w:t>
      </w:r>
      <w:r w:rsidRPr="00CD5D09">
        <w:rPr>
          <w:lang w:val="en-GB" w:eastAsia="zh-CN"/>
        </w:rPr>
        <w:t xml:space="preserve">haded boxes </w:t>
      </w:r>
      <w:r w:rsidR="00E905AC">
        <w:rPr>
          <w:lang w:val="en-GB" w:eastAsia="zh-CN"/>
        </w:rPr>
        <w:t>= e</w:t>
      </w:r>
      <w:r w:rsidRPr="00CD5D09">
        <w:rPr>
          <w:lang w:val="en-GB" w:eastAsia="zh-CN"/>
        </w:rPr>
        <w:t xml:space="preserve">xecutives who joined the </w:t>
      </w:r>
      <w:r w:rsidR="00FC03D0">
        <w:rPr>
          <w:lang w:val="en-GB" w:eastAsia="zh-CN"/>
        </w:rPr>
        <w:t>company</w:t>
      </w:r>
      <w:r w:rsidRPr="00CD5D09">
        <w:rPr>
          <w:lang w:val="en-GB" w:eastAsia="zh-CN"/>
        </w:rPr>
        <w:t xml:space="preserve"> in the last few years</w:t>
      </w:r>
      <w:r w:rsidR="008202C5">
        <w:rPr>
          <w:lang w:val="en-GB" w:eastAsia="zh-CN"/>
        </w:rPr>
        <w:t>.</w:t>
      </w:r>
      <w:r w:rsidRPr="00CD5D09">
        <w:rPr>
          <w:lang w:val="en-GB" w:eastAsia="zh-CN"/>
        </w:rPr>
        <w:t xml:space="preserve"> </w:t>
      </w:r>
    </w:p>
    <w:p w14:paraId="00A9A32C" w14:textId="1FBAB262" w:rsidR="00542CB6" w:rsidRPr="00CD5D09" w:rsidRDefault="00542CB6" w:rsidP="00542CB6">
      <w:pPr>
        <w:pStyle w:val="Footnote"/>
        <w:rPr>
          <w:lang w:val="en-GB"/>
        </w:rPr>
      </w:pPr>
      <w:r w:rsidRPr="00CD5D09">
        <w:rPr>
          <w:lang w:val="en-GB"/>
        </w:rPr>
        <w:t>Source: Company information.</w:t>
      </w:r>
    </w:p>
    <w:p w14:paraId="585A1372" w14:textId="513D7B90" w:rsidR="00542CB6" w:rsidRPr="00CD5D09" w:rsidRDefault="00542CB6" w:rsidP="00542CB6">
      <w:pPr>
        <w:pStyle w:val="ExhibitText"/>
        <w:rPr>
          <w:lang w:val="en-GB"/>
        </w:rPr>
      </w:pPr>
    </w:p>
    <w:p w14:paraId="3EBA3102" w14:textId="77777777" w:rsidR="00542CB6" w:rsidRPr="00CD5D09" w:rsidRDefault="00542CB6" w:rsidP="00542CB6">
      <w:pPr>
        <w:pStyle w:val="ExhibitText"/>
        <w:rPr>
          <w:lang w:val="en-GB"/>
        </w:rPr>
      </w:pPr>
    </w:p>
    <w:p w14:paraId="06E57294" w14:textId="19D5B4B7" w:rsidR="00542CB6" w:rsidRPr="00CD5D09" w:rsidRDefault="00542CB6" w:rsidP="00542CB6">
      <w:pPr>
        <w:pStyle w:val="Casehead1"/>
        <w:jc w:val="center"/>
        <w:rPr>
          <w:lang w:val="en-GB"/>
        </w:rPr>
      </w:pPr>
      <w:r w:rsidRPr="00CD5D09">
        <w:rPr>
          <w:lang w:val="en-GB"/>
        </w:rPr>
        <w:t xml:space="preserve">Exhibit 7: </w:t>
      </w:r>
      <w:r w:rsidR="003E396D">
        <w:rPr>
          <w:lang w:val="en-GB"/>
        </w:rPr>
        <w:t xml:space="preserve">BreadTalk Group </w:t>
      </w:r>
      <w:r w:rsidR="00D94520">
        <w:rPr>
          <w:lang w:val="en-GB"/>
        </w:rPr>
        <w:t xml:space="preserve">LIMITED </w:t>
      </w:r>
      <w:r w:rsidRPr="00CD5D09">
        <w:rPr>
          <w:lang w:val="en-GB"/>
        </w:rPr>
        <w:t>matrix organi</w:t>
      </w:r>
      <w:r w:rsidR="003E396D">
        <w:rPr>
          <w:lang w:val="en-GB"/>
        </w:rPr>
        <w:t>z</w:t>
      </w:r>
      <w:r w:rsidRPr="00CD5D09">
        <w:rPr>
          <w:lang w:val="en-GB"/>
        </w:rPr>
        <w:t>ation f</w:t>
      </w:r>
      <w:r w:rsidR="003E396D">
        <w:rPr>
          <w:lang w:val="en-GB"/>
        </w:rPr>
        <w:t>or</w:t>
      </w:r>
      <w:r w:rsidRPr="00CD5D09">
        <w:rPr>
          <w:lang w:val="en-GB"/>
        </w:rPr>
        <w:t xml:space="preserve"> H</w:t>
      </w:r>
      <w:r w:rsidR="003E396D">
        <w:rPr>
          <w:lang w:val="en-GB"/>
        </w:rPr>
        <w:t xml:space="preserve">uman </w:t>
      </w:r>
      <w:r w:rsidRPr="00CD5D09">
        <w:rPr>
          <w:lang w:val="en-GB"/>
        </w:rPr>
        <w:t>R</w:t>
      </w:r>
      <w:r w:rsidR="003E396D">
        <w:rPr>
          <w:lang w:val="en-GB"/>
        </w:rPr>
        <w:t>esources</w:t>
      </w:r>
      <w:r w:rsidR="008202C5">
        <w:rPr>
          <w:lang w:val="en-GB"/>
        </w:rPr>
        <w:t>, 2018</w:t>
      </w:r>
      <w:r w:rsidRPr="00CD5D09">
        <w:rPr>
          <w:lang w:val="en-GB"/>
        </w:rPr>
        <w:t xml:space="preserve"> </w:t>
      </w:r>
    </w:p>
    <w:p w14:paraId="03137435" w14:textId="6EB2F349" w:rsidR="00542CB6" w:rsidRPr="00CD5D09" w:rsidRDefault="00542CB6" w:rsidP="00542CB6">
      <w:pPr>
        <w:spacing w:before="1" w:after="1"/>
        <w:jc w:val="both"/>
        <w:rPr>
          <w:rFonts w:ascii="Arial" w:hAnsi="Arial" w:cs="Arial"/>
          <w:lang w:val="en-GB" w:eastAsia="zh-CN"/>
        </w:rPr>
      </w:pPr>
    </w:p>
    <w:p w14:paraId="1C5DC912" w14:textId="77777777" w:rsidR="00542CB6" w:rsidRPr="00CD5D09" w:rsidRDefault="00542CB6" w:rsidP="00542CB6">
      <w:pPr>
        <w:spacing w:after="200" w:line="276" w:lineRule="auto"/>
        <w:rPr>
          <w:b/>
          <w:caps/>
          <w:lang w:val="en-GB"/>
        </w:rPr>
      </w:pPr>
      <w:r w:rsidRPr="00CD5D09">
        <w:rPr>
          <w:b/>
          <w:caps/>
          <w:noProof/>
          <w:lang w:val="en-CA" w:eastAsia="en-CA"/>
        </w:rPr>
        <w:drawing>
          <wp:inline distT="0" distB="0" distL="0" distR="0" wp14:anchorId="659D81BE" wp14:editId="66874B82">
            <wp:extent cx="5943600" cy="2494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94915"/>
                    </a:xfrm>
                    <a:prstGeom prst="rect">
                      <a:avLst/>
                    </a:prstGeom>
                  </pic:spPr>
                </pic:pic>
              </a:graphicData>
            </a:graphic>
          </wp:inline>
        </w:drawing>
      </w:r>
    </w:p>
    <w:p w14:paraId="07A705B8" w14:textId="4946D022" w:rsidR="00D94520" w:rsidRPr="00CD5D09" w:rsidRDefault="00D94520" w:rsidP="00D94520">
      <w:pPr>
        <w:pStyle w:val="Footnote"/>
        <w:rPr>
          <w:lang w:val="en-GB" w:eastAsia="zh-CN"/>
        </w:rPr>
      </w:pPr>
      <w:r w:rsidRPr="00CD5D09">
        <w:rPr>
          <w:lang w:val="en-GB" w:eastAsia="zh-CN"/>
        </w:rPr>
        <w:t xml:space="preserve">Note: </w:t>
      </w:r>
      <w:r>
        <w:rPr>
          <w:lang w:val="en-GB" w:eastAsia="zh-CN"/>
        </w:rPr>
        <w:t>CEO = chief executive officer; HR = human resources; Admin = administration</w:t>
      </w:r>
      <w:r w:rsidR="008202C5">
        <w:rPr>
          <w:lang w:val="en-GB" w:eastAsia="zh-CN"/>
        </w:rPr>
        <w:t>.</w:t>
      </w:r>
      <w:r w:rsidRPr="00CD5D09">
        <w:rPr>
          <w:lang w:val="en-GB" w:eastAsia="zh-CN"/>
        </w:rPr>
        <w:t xml:space="preserve"> </w:t>
      </w:r>
    </w:p>
    <w:p w14:paraId="54F76F06" w14:textId="2ACDBF64" w:rsidR="00542CB6" w:rsidRPr="00CD5D09" w:rsidRDefault="00542CB6" w:rsidP="00542CB6">
      <w:pPr>
        <w:pStyle w:val="Footnote"/>
        <w:rPr>
          <w:lang w:val="en-GB"/>
        </w:rPr>
      </w:pPr>
      <w:r w:rsidRPr="00CD5D09">
        <w:rPr>
          <w:lang w:val="en-GB"/>
        </w:rPr>
        <w:t xml:space="preserve">Source: Adapted by </w:t>
      </w:r>
      <w:r w:rsidR="00EE4BFF">
        <w:rPr>
          <w:lang w:val="en-GB"/>
        </w:rPr>
        <w:t xml:space="preserve">the </w:t>
      </w:r>
      <w:r w:rsidRPr="00CD5D09">
        <w:rPr>
          <w:lang w:val="en-GB"/>
        </w:rPr>
        <w:t>authors based on company information.</w:t>
      </w:r>
    </w:p>
    <w:p w14:paraId="336B2A36" w14:textId="77777777" w:rsidR="00542CB6" w:rsidRPr="00CD5D09" w:rsidRDefault="00542CB6" w:rsidP="00542CB6">
      <w:pPr>
        <w:spacing w:after="200" w:line="276" w:lineRule="auto"/>
        <w:rPr>
          <w:b/>
          <w:caps/>
          <w:lang w:val="en-GB" w:eastAsia="zh-CN"/>
        </w:rPr>
      </w:pPr>
    </w:p>
    <w:p w14:paraId="313F2080" w14:textId="067057C8" w:rsidR="00542CB6" w:rsidRPr="00CD5D09" w:rsidRDefault="00542CB6">
      <w:pPr>
        <w:spacing w:after="200" w:line="276" w:lineRule="auto"/>
        <w:rPr>
          <w:b/>
          <w:caps/>
          <w:lang w:val="en-GB" w:eastAsia="zh-CN"/>
        </w:rPr>
      </w:pPr>
      <w:r w:rsidRPr="00CD5D09">
        <w:rPr>
          <w:b/>
          <w:caps/>
          <w:lang w:val="en-GB" w:eastAsia="zh-CN"/>
        </w:rPr>
        <w:br w:type="page"/>
      </w:r>
    </w:p>
    <w:p w14:paraId="5DCEA1E5" w14:textId="516E9134" w:rsidR="00542CB6" w:rsidRPr="00CD5D09" w:rsidRDefault="00542CB6" w:rsidP="00542CB6">
      <w:pPr>
        <w:pStyle w:val="Casehead1"/>
        <w:jc w:val="center"/>
        <w:rPr>
          <w:lang w:val="en-GB"/>
        </w:rPr>
      </w:pPr>
      <w:r w:rsidRPr="00CD5D09">
        <w:rPr>
          <w:lang w:val="en-GB"/>
        </w:rPr>
        <w:lastRenderedPageBreak/>
        <w:t xml:space="preserve">Exhibit 8: </w:t>
      </w:r>
      <w:r w:rsidR="003E396D">
        <w:rPr>
          <w:lang w:val="en-GB"/>
        </w:rPr>
        <w:t xml:space="preserve">BreadTalk Group </w:t>
      </w:r>
      <w:r w:rsidR="00D94520">
        <w:rPr>
          <w:lang w:val="en-GB"/>
        </w:rPr>
        <w:t xml:space="preserve">LIMITED </w:t>
      </w:r>
      <w:r w:rsidRPr="00CD5D09">
        <w:rPr>
          <w:lang w:val="en-GB"/>
        </w:rPr>
        <w:t>2018 Staff composition</w:t>
      </w:r>
    </w:p>
    <w:p w14:paraId="5B25AE66" w14:textId="77777777" w:rsidR="00542CB6" w:rsidRPr="00CD5D09" w:rsidRDefault="00542CB6" w:rsidP="00542CB6">
      <w:pPr>
        <w:spacing w:before="1" w:after="1"/>
        <w:jc w:val="both"/>
        <w:rPr>
          <w:rFonts w:ascii="Arial" w:hAnsi="Arial" w:cs="Arial"/>
          <w:lang w:val="en-GB" w:eastAsia="zh-CN"/>
        </w:rPr>
      </w:pPr>
    </w:p>
    <w:tbl>
      <w:tblPr>
        <w:tblStyle w:val="TableGrid"/>
        <w:tblW w:w="9220" w:type="dxa"/>
        <w:jc w:val="center"/>
        <w:tblLayout w:type="fixed"/>
        <w:tblLook w:val="04A0" w:firstRow="1" w:lastRow="0" w:firstColumn="1" w:lastColumn="0" w:noHBand="0" w:noVBand="1"/>
      </w:tblPr>
      <w:tblGrid>
        <w:gridCol w:w="1536"/>
        <w:gridCol w:w="1537"/>
        <w:gridCol w:w="1537"/>
        <w:gridCol w:w="1536"/>
        <w:gridCol w:w="1537"/>
        <w:gridCol w:w="1537"/>
      </w:tblGrid>
      <w:tr w:rsidR="00542CB6" w:rsidRPr="00CD5D09" w14:paraId="56CC8BDC" w14:textId="77777777" w:rsidTr="00CD5D09">
        <w:trPr>
          <w:jc w:val="center"/>
        </w:trPr>
        <w:tc>
          <w:tcPr>
            <w:tcW w:w="9220" w:type="dxa"/>
            <w:gridSpan w:val="6"/>
          </w:tcPr>
          <w:p w14:paraId="4FA06196" w14:textId="77777777" w:rsidR="00542CB6" w:rsidRPr="00CD5D09" w:rsidRDefault="00542CB6" w:rsidP="00CD5D09">
            <w:pPr>
              <w:spacing w:before="60" w:after="60"/>
              <w:jc w:val="center"/>
              <w:rPr>
                <w:rFonts w:ascii="Arial" w:eastAsia="楷体" w:hAnsi="Arial" w:cs="Arial"/>
                <w:b/>
                <w:lang w:val="en-GB"/>
              </w:rPr>
            </w:pPr>
            <w:r w:rsidRPr="00CD5D09">
              <w:rPr>
                <w:rFonts w:ascii="Arial" w:eastAsia="楷体" w:hAnsi="Arial" w:cs="Arial"/>
                <w:b/>
                <w:lang w:val="en-GB"/>
              </w:rPr>
              <w:t>BY DIVISION</w:t>
            </w:r>
          </w:p>
        </w:tc>
      </w:tr>
      <w:tr w:rsidR="00542CB6" w:rsidRPr="00CD5D09" w14:paraId="72D52BEC" w14:textId="77777777" w:rsidTr="00CD5D09">
        <w:trPr>
          <w:jc w:val="center"/>
        </w:trPr>
        <w:tc>
          <w:tcPr>
            <w:tcW w:w="1536" w:type="dxa"/>
          </w:tcPr>
          <w:p w14:paraId="001E64FF" w14:textId="77777777" w:rsidR="00542CB6" w:rsidRPr="00CD5D09" w:rsidRDefault="00542CB6" w:rsidP="00CD5D09">
            <w:pPr>
              <w:spacing w:before="60" w:after="60"/>
              <w:jc w:val="center"/>
              <w:rPr>
                <w:rFonts w:ascii="Arial" w:eastAsia="楷体" w:hAnsi="Arial" w:cs="Arial"/>
                <w:lang w:val="en-GB"/>
              </w:rPr>
            </w:pPr>
            <w:r w:rsidRPr="00CD5D09">
              <w:rPr>
                <w:rFonts w:ascii="Arial" w:eastAsia="楷体" w:hAnsi="Arial" w:cs="Arial"/>
                <w:lang w:val="en-GB"/>
              </w:rPr>
              <w:t>Bakery</w:t>
            </w:r>
          </w:p>
        </w:tc>
        <w:tc>
          <w:tcPr>
            <w:tcW w:w="1537" w:type="dxa"/>
          </w:tcPr>
          <w:p w14:paraId="29153798" w14:textId="77777777" w:rsidR="00542CB6" w:rsidRPr="00CD5D09" w:rsidRDefault="00542CB6" w:rsidP="00D94520">
            <w:pPr>
              <w:spacing w:before="60" w:after="60"/>
              <w:jc w:val="center"/>
              <w:rPr>
                <w:rFonts w:ascii="Arial" w:eastAsia="楷体" w:hAnsi="Arial" w:cs="Arial"/>
                <w:lang w:val="en-GB"/>
              </w:rPr>
            </w:pPr>
            <w:r w:rsidRPr="00CD5D09">
              <w:rPr>
                <w:rFonts w:ascii="Arial" w:eastAsia="楷体" w:hAnsi="Arial" w:cs="Arial"/>
                <w:lang w:val="en-GB"/>
              </w:rPr>
              <w:t>Food Atrium</w:t>
            </w:r>
          </w:p>
        </w:tc>
        <w:tc>
          <w:tcPr>
            <w:tcW w:w="1537" w:type="dxa"/>
          </w:tcPr>
          <w:p w14:paraId="2E029B76" w14:textId="77777777" w:rsidR="00542CB6" w:rsidRPr="00CD5D09" w:rsidRDefault="00542CB6" w:rsidP="00D94520">
            <w:pPr>
              <w:spacing w:before="60" w:after="60"/>
              <w:jc w:val="center"/>
              <w:rPr>
                <w:rFonts w:ascii="Arial" w:eastAsia="楷体" w:hAnsi="Arial" w:cs="Arial"/>
                <w:lang w:val="en-GB"/>
              </w:rPr>
            </w:pPr>
            <w:r w:rsidRPr="00CD5D09">
              <w:rPr>
                <w:rFonts w:ascii="Arial" w:eastAsia="楷体" w:hAnsi="Arial" w:cs="Arial"/>
                <w:lang w:val="en-GB"/>
              </w:rPr>
              <w:t>Restaurant</w:t>
            </w:r>
          </w:p>
        </w:tc>
        <w:tc>
          <w:tcPr>
            <w:tcW w:w="1536" w:type="dxa"/>
          </w:tcPr>
          <w:p w14:paraId="3512CC8B" w14:textId="1461B6BA" w:rsidR="00542CB6" w:rsidRPr="00CD5D09" w:rsidRDefault="00542CB6" w:rsidP="00D94520">
            <w:pPr>
              <w:spacing w:before="60" w:after="60"/>
              <w:jc w:val="center"/>
              <w:rPr>
                <w:rFonts w:ascii="Arial" w:eastAsia="楷体" w:hAnsi="Arial" w:cs="Arial"/>
                <w:lang w:val="en-GB"/>
              </w:rPr>
            </w:pPr>
            <w:r w:rsidRPr="00CD5D09">
              <w:rPr>
                <w:rFonts w:ascii="Arial" w:eastAsia="楷体" w:hAnsi="Arial" w:cs="Arial"/>
                <w:lang w:val="en-GB"/>
              </w:rPr>
              <w:t>4orth</w:t>
            </w:r>
            <w:r w:rsidR="00D94520">
              <w:rPr>
                <w:rFonts w:ascii="Arial" w:eastAsia="楷体" w:hAnsi="Arial" w:cs="Arial"/>
                <w:lang w:val="en-GB"/>
              </w:rPr>
              <w:t xml:space="preserve"> Food Concepts</w:t>
            </w:r>
          </w:p>
        </w:tc>
        <w:tc>
          <w:tcPr>
            <w:tcW w:w="1537" w:type="dxa"/>
          </w:tcPr>
          <w:p w14:paraId="2D3DBFB2" w14:textId="77777777" w:rsidR="00542CB6" w:rsidRPr="00CD5D09" w:rsidRDefault="00542CB6" w:rsidP="00D94520">
            <w:pPr>
              <w:spacing w:before="60" w:after="60"/>
              <w:jc w:val="center"/>
              <w:rPr>
                <w:rFonts w:ascii="Arial" w:eastAsia="楷体" w:hAnsi="Arial" w:cs="Arial"/>
                <w:lang w:val="en-GB"/>
              </w:rPr>
            </w:pPr>
            <w:r w:rsidRPr="00CD5D09">
              <w:rPr>
                <w:rFonts w:ascii="Arial" w:eastAsia="楷体" w:hAnsi="Arial" w:cs="Arial"/>
                <w:lang w:val="en-GB"/>
              </w:rPr>
              <w:t>Headquarters</w:t>
            </w:r>
          </w:p>
        </w:tc>
        <w:tc>
          <w:tcPr>
            <w:tcW w:w="1537" w:type="dxa"/>
          </w:tcPr>
          <w:p w14:paraId="34EFE948" w14:textId="77777777" w:rsidR="00542CB6" w:rsidRPr="00CD5D09" w:rsidRDefault="00542CB6" w:rsidP="00D94520">
            <w:pPr>
              <w:spacing w:before="60" w:after="60"/>
              <w:jc w:val="center"/>
              <w:rPr>
                <w:rFonts w:ascii="Arial" w:eastAsia="楷体" w:hAnsi="Arial" w:cs="Arial"/>
                <w:lang w:val="en-GB"/>
              </w:rPr>
            </w:pPr>
            <w:r w:rsidRPr="00CD5D09">
              <w:rPr>
                <w:rFonts w:ascii="Arial" w:eastAsia="楷体" w:hAnsi="Arial" w:cs="Arial"/>
                <w:lang w:val="en-GB"/>
              </w:rPr>
              <w:t>Total</w:t>
            </w:r>
          </w:p>
        </w:tc>
      </w:tr>
      <w:tr w:rsidR="00542CB6" w:rsidRPr="00CD5D09" w14:paraId="44E192BB" w14:textId="77777777" w:rsidTr="00CD5D09">
        <w:trPr>
          <w:jc w:val="center"/>
        </w:trPr>
        <w:tc>
          <w:tcPr>
            <w:tcW w:w="1536" w:type="dxa"/>
          </w:tcPr>
          <w:p w14:paraId="7702E27C" w14:textId="77777777" w:rsidR="00542CB6" w:rsidRPr="00CD5D09" w:rsidRDefault="00542CB6" w:rsidP="00D94520">
            <w:pPr>
              <w:spacing w:before="60" w:after="60"/>
              <w:jc w:val="center"/>
              <w:rPr>
                <w:rFonts w:ascii="Arial" w:eastAsia="楷体" w:hAnsi="Arial" w:cs="Arial"/>
                <w:lang w:val="en-GB"/>
              </w:rPr>
            </w:pPr>
            <w:r w:rsidRPr="00CD5D09">
              <w:rPr>
                <w:rFonts w:ascii="Arial" w:eastAsia="楷体" w:hAnsi="Arial" w:cs="Arial"/>
                <w:lang w:val="en-GB"/>
              </w:rPr>
              <w:t>9,354</w:t>
            </w:r>
          </w:p>
          <w:p w14:paraId="44B7A2A9" w14:textId="536F28BF" w:rsidR="00542CB6" w:rsidRPr="00CD5D09" w:rsidRDefault="00542CB6" w:rsidP="00D94520">
            <w:pPr>
              <w:spacing w:before="60" w:after="60"/>
              <w:jc w:val="center"/>
              <w:rPr>
                <w:rFonts w:ascii="Arial" w:eastAsia="楷体" w:hAnsi="Arial" w:cs="Arial"/>
                <w:lang w:val="en-GB"/>
              </w:rPr>
            </w:pPr>
            <w:r w:rsidRPr="00CD5D09">
              <w:rPr>
                <w:rFonts w:ascii="Arial" w:eastAsia="楷体" w:hAnsi="Arial" w:cs="Arial"/>
                <w:lang w:val="en-GB"/>
              </w:rPr>
              <w:t>(internal 4,054 + franchisees 5,300)</w:t>
            </w:r>
          </w:p>
        </w:tc>
        <w:tc>
          <w:tcPr>
            <w:tcW w:w="1537" w:type="dxa"/>
          </w:tcPr>
          <w:p w14:paraId="53E811B9" w14:textId="77777777" w:rsidR="00542CB6" w:rsidRPr="00CD5D09" w:rsidRDefault="00542CB6" w:rsidP="00D94520">
            <w:pPr>
              <w:spacing w:before="60" w:after="60"/>
              <w:jc w:val="center"/>
              <w:rPr>
                <w:rFonts w:ascii="Arial" w:eastAsia="楷体" w:hAnsi="Arial" w:cs="Arial"/>
                <w:lang w:val="en-GB"/>
              </w:rPr>
            </w:pPr>
            <w:r w:rsidRPr="00CD5D09">
              <w:rPr>
                <w:rFonts w:ascii="Arial" w:eastAsia="楷体" w:hAnsi="Arial" w:cs="Arial"/>
                <w:lang w:val="en-GB"/>
              </w:rPr>
              <w:t>1,407</w:t>
            </w:r>
          </w:p>
        </w:tc>
        <w:tc>
          <w:tcPr>
            <w:tcW w:w="1537" w:type="dxa"/>
          </w:tcPr>
          <w:p w14:paraId="08FCC85E" w14:textId="77777777" w:rsidR="00542CB6" w:rsidRPr="00CD5D09" w:rsidRDefault="00542CB6" w:rsidP="00D94520">
            <w:pPr>
              <w:spacing w:before="60" w:after="60"/>
              <w:jc w:val="center"/>
              <w:rPr>
                <w:rFonts w:ascii="Arial" w:eastAsia="楷体" w:hAnsi="Arial" w:cs="Arial"/>
                <w:lang w:val="en-GB"/>
              </w:rPr>
            </w:pPr>
            <w:r w:rsidRPr="00CD5D09">
              <w:rPr>
                <w:rFonts w:ascii="Arial" w:eastAsia="楷体" w:hAnsi="Arial" w:cs="Arial"/>
                <w:lang w:val="en-GB"/>
              </w:rPr>
              <w:t>1,547</w:t>
            </w:r>
          </w:p>
        </w:tc>
        <w:tc>
          <w:tcPr>
            <w:tcW w:w="1536" w:type="dxa"/>
          </w:tcPr>
          <w:p w14:paraId="649F6FAD" w14:textId="77777777" w:rsidR="00542CB6" w:rsidRPr="00CD5D09" w:rsidRDefault="00542CB6" w:rsidP="00D94520">
            <w:pPr>
              <w:spacing w:before="60" w:after="60"/>
              <w:jc w:val="center"/>
              <w:rPr>
                <w:rFonts w:ascii="Arial" w:eastAsia="楷体" w:hAnsi="Arial" w:cs="Arial"/>
                <w:lang w:val="en-GB"/>
              </w:rPr>
            </w:pPr>
            <w:r w:rsidRPr="00CD5D09">
              <w:rPr>
                <w:rFonts w:ascii="Arial" w:eastAsia="楷体" w:hAnsi="Arial" w:cs="Arial"/>
                <w:lang w:val="en-GB"/>
              </w:rPr>
              <w:t>386</w:t>
            </w:r>
          </w:p>
        </w:tc>
        <w:tc>
          <w:tcPr>
            <w:tcW w:w="1537" w:type="dxa"/>
          </w:tcPr>
          <w:p w14:paraId="538C1C29" w14:textId="77777777" w:rsidR="00542CB6" w:rsidRPr="00CD5D09" w:rsidRDefault="00542CB6" w:rsidP="00D94520">
            <w:pPr>
              <w:spacing w:before="60" w:after="60"/>
              <w:jc w:val="center"/>
              <w:rPr>
                <w:rFonts w:ascii="Arial" w:eastAsia="楷体" w:hAnsi="Arial" w:cs="Arial"/>
                <w:lang w:val="en-GB"/>
              </w:rPr>
            </w:pPr>
            <w:r w:rsidRPr="00CD5D09">
              <w:rPr>
                <w:rFonts w:ascii="Arial" w:eastAsia="楷体" w:hAnsi="Arial" w:cs="Arial"/>
                <w:lang w:val="en-GB"/>
              </w:rPr>
              <w:t>169</w:t>
            </w:r>
          </w:p>
        </w:tc>
        <w:tc>
          <w:tcPr>
            <w:tcW w:w="1537" w:type="dxa"/>
          </w:tcPr>
          <w:p w14:paraId="41212258" w14:textId="77777777" w:rsidR="00542CB6" w:rsidRPr="00CD5D09" w:rsidRDefault="00542CB6" w:rsidP="00D94520">
            <w:pPr>
              <w:spacing w:before="60" w:after="60"/>
              <w:jc w:val="center"/>
              <w:rPr>
                <w:rFonts w:ascii="Arial" w:eastAsia="楷体" w:hAnsi="Arial" w:cs="Arial"/>
                <w:lang w:val="en-GB"/>
              </w:rPr>
            </w:pPr>
            <w:r w:rsidRPr="00CD5D09">
              <w:rPr>
                <w:rFonts w:ascii="Arial" w:eastAsia="楷体" w:hAnsi="Arial" w:cs="Arial"/>
                <w:lang w:val="en-GB"/>
              </w:rPr>
              <w:t>12,863</w:t>
            </w:r>
          </w:p>
          <w:p w14:paraId="2F2F4E74" w14:textId="77777777" w:rsidR="00542CB6" w:rsidRPr="00CD5D09" w:rsidRDefault="00542CB6" w:rsidP="00D94520">
            <w:pPr>
              <w:spacing w:before="60" w:after="60"/>
              <w:jc w:val="center"/>
              <w:rPr>
                <w:rFonts w:ascii="Arial" w:eastAsia="楷体" w:hAnsi="Arial" w:cs="Arial"/>
                <w:lang w:val="en-GB"/>
              </w:rPr>
            </w:pPr>
            <w:r w:rsidRPr="00CD5D09">
              <w:rPr>
                <w:rFonts w:ascii="Arial" w:eastAsia="楷体" w:hAnsi="Arial" w:cs="Arial"/>
                <w:lang w:val="en-GB"/>
              </w:rPr>
              <w:t>(internal 7,563 + franchisees 5,300)</w:t>
            </w:r>
          </w:p>
        </w:tc>
      </w:tr>
      <w:tr w:rsidR="00542CB6" w:rsidRPr="00CD5D09" w14:paraId="13BB9CDC" w14:textId="77777777" w:rsidTr="00CD5D09">
        <w:trPr>
          <w:jc w:val="center"/>
        </w:trPr>
        <w:tc>
          <w:tcPr>
            <w:tcW w:w="9220" w:type="dxa"/>
            <w:gridSpan w:val="6"/>
          </w:tcPr>
          <w:p w14:paraId="1CC6DA91" w14:textId="77777777" w:rsidR="00542CB6" w:rsidRPr="00CD5D09" w:rsidRDefault="00542CB6" w:rsidP="00D94520">
            <w:pPr>
              <w:spacing w:before="60" w:after="60"/>
              <w:jc w:val="center"/>
              <w:rPr>
                <w:rFonts w:ascii="Arial" w:eastAsia="楷体" w:hAnsi="Arial" w:cs="Arial"/>
                <w:sz w:val="10"/>
                <w:szCs w:val="10"/>
                <w:lang w:val="en-GB"/>
              </w:rPr>
            </w:pPr>
          </w:p>
        </w:tc>
      </w:tr>
      <w:tr w:rsidR="00542CB6" w:rsidRPr="00CD5D09" w14:paraId="2560E34F" w14:textId="77777777" w:rsidTr="00CD5D09">
        <w:trPr>
          <w:jc w:val="center"/>
        </w:trPr>
        <w:tc>
          <w:tcPr>
            <w:tcW w:w="9220" w:type="dxa"/>
            <w:gridSpan w:val="6"/>
          </w:tcPr>
          <w:p w14:paraId="1F7D4F88" w14:textId="77777777" w:rsidR="00542CB6" w:rsidRPr="00CD5D09" w:rsidRDefault="00542CB6" w:rsidP="00D94520">
            <w:pPr>
              <w:spacing w:before="60" w:after="60"/>
              <w:jc w:val="center"/>
              <w:rPr>
                <w:rFonts w:ascii="Arial" w:eastAsia="楷体" w:hAnsi="Arial" w:cs="Arial"/>
                <w:b/>
                <w:lang w:val="en-GB"/>
              </w:rPr>
            </w:pPr>
            <w:r w:rsidRPr="00CD5D09">
              <w:rPr>
                <w:rFonts w:ascii="Arial" w:eastAsia="楷体" w:hAnsi="Arial" w:cs="Arial"/>
                <w:b/>
                <w:lang w:val="en-GB"/>
              </w:rPr>
              <w:t>BY CATEGORY</w:t>
            </w:r>
          </w:p>
        </w:tc>
      </w:tr>
      <w:tr w:rsidR="00542CB6" w:rsidRPr="00CD5D09" w14:paraId="3BF88ACD" w14:textId="77777777" w:rsidTr="00CD5D09">
        <w:trPr>
          <w:jc w:val="center"/>
        </w:trPr>
        <w:tc>
          <w:tcPr>
            <w:tcW w:w="1536" w:type="dxa"/>
          </w:tcPr>
          <w:p w14:paraId="10FD0B71" w14:textId="77777777" w:rsidR="00542CB6" w:rsidRPr="00CD5D09" w:rsidRDefault="00542CB6" w:rsidP="00D94520">
            <w:pPr>
              <w:spacing w:before="60" w:after="60"/>
              <w:jc w:val="center"/>
              <w:rPr>
                <w:rFonts w:ascii="Arial" w:eastAsia="楷体" w:hAnsi="Arial" w:cs="Arial"/>
                <w:lang w:val="en-GB"/>
              </w:rPr>
            </w:pPr>
            <w:r w:rsidRPr="00CD5D09">
              <w:rPr>
                <w:rFonts w:ascii="Arial" w:eastAsia="楷体" w:hAnsi="Arial" w:cs="Arial"/>
                <w:lang w:val="en-GB"/>
              </w:rPr>
              <w:t>Leadership &amp; Management</w:t>
            </w:r>
          </w:p>
        </w:tc>
        <w:tc>
          <w:tcPr>
            <w:tcW w:w="1537" w:type="dxa"/>
          </w:tcPr>
          <w:p w14:paraId="56ACBB4D" w14:textId="77777777" w:rsidR="00542CB6" w:rsidRPr="00CD5D09" w:rsidRDefault="00542CB6" w:rsidP="00D94520">
            <w:pPr>
              <w:spacing w:before="60" w:after="60"/>
              <w:jc w:val="center"/>
              <w:rPr>
                <w:rFonts w:ascii="Arial" w:eastAsia="楷体" w:hAnsi="Arial" w:cs="Arial"/>
                <w:lang w:val="en-GB"/>
              </w:rPr>
            </w:pPr>
            <w:r w:rsidRPr="00CD5D09">
              <w:rPr>
                <w:rFonts w:ascii="Arial" w:eastAsia="楷体" w:hAnsi="Arial" w:cs="Arial"/>
                <w:lang w:val="en-GB"/>
              </w:rPr>
              <w:t>R&amp;D and Technical</w:t>
            </w:r>
          </w:p>
        </w:tc>
        <w:tc>
          <w:tcPr>
            <w:tcW w:w="1537" w:type="dxa"/>
          </w:tcPr>
          <w:p w14:paraId="3B9A5D3A" w14:textId="77777777" w:rsidR="00542CB6" w:rsidRPr="00CD5D09" w:rsidRDefault="00542CB6" w:rsidP="00D94520">
            <w:pPr>
              <w:spacing w:before="60" w:after="60"/>
              <w:jc w:val="center"/>
              <w:rPr>
                <w:rFonts w:ascii="Arial" w:eastAsia="楷体" w:hAnsi="Arial" w:cs="Arial"/>
                <w:lang w:val="en-GB"/>
              </w:rPr>
            </w:pPr>
            <w:r w:rsidRPr="00CD5D09">
              <w:rPr>
                <w:rFonts w:ascii="Arial" w:eastAsia="楷体" w:hAnsi="Arial" w:cs="Arial"/>
                <w:lang w:val="en-GB"/>
              </w:rPr>
              <w:t>Outlet Operations</w:t>
            </w:r>
          </w:p>
        </w:tc>
        <w:tc>
          <w:tcPr>
            <w:tcW w:w="1536" w:type="dxa"/>
          </w:tcPr>
          <w:p w14:paraId="2BF75542" w14:textId="77777777" w:rsidR="00542CB6" w:rsidRPr="00CD5D09" w:rsidRDefault="00542CB6" w:rsidP="00D94520">
            <w:pPr>
              <w:spacing w:before="60" w:after="60"/>
              <w:jc w:val="center"/>
              <w:rPr>
                <w:rFonts w:ascii="Arial" w:eastAsia="楷体" w:hAnsi="Arial" w:cs="Arial"/>
                <w:lang w:val="en-GB"/>
              </w:rPr>
            </w:pPr>
            <w:r w:rsidRPr="00CD5D09">
              <w:rPr>
                <w:rFonts w:ascii="Arial" w:eastAsia="楷体" w:hAnsi="Arial" w:cs="Arial"/>
                <w:lang w:val="en-GB"/>
              </w:rPr>
              <w:t>Franchisees</w:t>
            </w:r>
          </w:p>
        </w:tc>
        <w:tc>
          <w:tcPr>
            <w:tcW w:w="1537" w:type="dxa"/>
          </w:tcPr>
          <w:p w14:paraId="4A8EA0FD" w14:textId="77777777" w:rsidR="00542CB6" w:rsidRPr="00CD5D09" w:rsidRDefault="00542CB6" w:rsidP="00D94520">
            <w:pPr>
              <w:spacing w:before="60" w:after="60"/>
              <w:jc w:val="center"/>
              <w:rPr>
                <w:rFonts w:ascii="Arial" w:eastAsia="楷体" w:hAnsi="Arial" w:cs="Arial"/>
                <w:lang w:val="en-GB"/>
              </w:rPr>
            </w:pPr>
            <w:r w:rsidRPr="00CD5D09">
              <w:rPr>
                <w:rFonts w:ascii="Arial" w:eastAsia="楷体" w:hAnsi="Arial" w:cs="Arial"/>
                <w:lang w:val="en-GB"/>
              </w:rPr>
              <w:t>Others</w:t>
            </w:r>
          </w:p>
        </w:tc>
        <w:tc>
          <w:tcPr>
            <w:tcW w:w="1537" w:type="dxa"/>
          </w:tcPr>
          <w:p w14:paraId="5CC2E5D9" w14:textId="77777777" w:rsidR="00542CB6" w:rsidRPr="00CD5D09" w:rsidRDefault="00542CB6" w:rsidP="00D94520">
            <w:pPr>
              <w:spacing w:before="60" w:after="60"/>
              <w:jc w:val="center"/>
              <w:rPr>
                <w:rFonts w:ascii="Arial" w:eastAsia="楷体" w:hAnsi="Arial" w:cs="Arial"/>
                <w:lang w:val="en-GB"/>
              </w:rPr>
            </w:pPr>
            <w:r w:rsidRPr="00CD5D09">
              <w:rPr>
                <w:rFonts w:ascii="Arial" w:eastAsia="楷体" w:hAnsi="Arial" w:cs="Arial"/>
                <w:lang w:val="en-GB"/>
              </w:rPr>
              <w:t>Total</w:t>
            </w:r>
          </w:p>
        </w:tc>
      </w:tr>
      <w:tr w:rsidR="00542CB6" w:rsidRPr="00CD5D09" w14:paraId="7C6CBE1A" w14:textId="77777777" w:rsidTr="00CD5D09">
        <w:trPr>
          <w:jc w:val="center"/>
        </w:trPr>
        <w:tc>
          <w:tcPr>
            <w:tcW w:w="1536" w:type="dxa"/>
          </w:tcPr>
          <w:p w14:paraId="48F1B390" w14:textId="77777777" w:rsidR="00542CB6" w:rsidRPr="00CD5D09" w:rsidRDefault="00542CB6" w:rsidP="00D94520">
            <w:pPr>
              <w:spacing w:before="60" w:after="60"/>
              <w:jc w:val="center"/>
              <w:rPr>
                <w:rFonts w:ascii="Arial" w:eastAsia="楷体" w:hAnsi="Arial" w:cs="Arial"/>
                <w:b/>
                <w:lang w:val="en-GB"/>
              </w:rPr>
            </w:pPr>
            <w:r w:rsidRPr="00CD5D09">
              <w:rPr>
                <w:rFonts w:ascii="Arial" w:eastAsia="楷体" w:hAnsi="Arial" w:cs="Arial"/>
                <w:lang w:val="en-GB"/>
              </w:rPr>
              <w:t>1,486</w:t>
            </w:r>
          </w:p>
        </w:tc>
        <w:tc>
          <w:tcPr>
            <w:tcW w:w="1537" w:type="dxa"/>
          </w:tcPr>
          <w:p w14:paraId="7B827406" w14:textId="77777777" w:rsidR="00542CB6" w:rsidRPr="00CD5D09" w:rsidRDefault="00542CB6" w:rsidP="00D94520">
            <w:pPr>
              <w:spacing w:before="60" w:after="60"/>
              <w:jc w:val="center"/>
              <w:rPr>
                <w:rFonts w:ascii="Arial" w:eastAsia="楷体" w:hAnsi="Arial" w:cs="Arial"/>
                <w:lang w:val="en-GB"/>
              </w:rPr>
            </w:pPr>
            <w:r w:rsidRPr="00CD5D09">
              <w:rPr>
                <w:rFonts w:ascii="Arial" w:eastAsia="楷体" w:hAnsi="Arial" w:cs="Arial"/>
                <w:lang w:val="en-GB"/>
              </w:rPr>
              <w:t>27</w:t>
            </w:r>
          </w:p>
        </w:tc>
        <w:tc>
          <w:tcPr>
            <w:tcW w:w="1537" w:type="dxa"/>
          </w:tcPr>
          <w:p w14:paraId="56AA0CC7" w14:textId="77777777" w:rsidR="00542CB6" w:rsidRPr="00CD5D09" w:rsidRDefault="00542CB6" w:rsidP="00D94520">
            <w:pPr>
              <w:spacing w:before="60" w:after="60"/>
              <w:jc w:val="center"/>
              <w:rPr>
                <w:rFonts w:ascii="Arial" w:eastAsia="楷体" w:hAnsi="Arial" w:cs="Arial"/>
                <w:lang w:val="en-GB"/>
              </w:rPr>
            </w:pPr>
            <w:r w:rsidRPr="00CD5D09">
              <w:rPr>
                <w:rFonts w:ascii="Arial" w:eastAsia="楷体" w:hAnsi="Arial" w:cs="Arial"/>
                <w:lang w:val="en-GB"/>
              </w:rPr>
              <w:t>6,020</w:t>
            </w:r>
          </w:p>
        </w:tc>
        <w:tc>
          <w:tcPr>
            <w:tcW w:w="1536" w:type="dxa"/>
          </w:tcPr>
          <w:p w14:paraId="54B91F35" w14:textId="77777777" w:rsidR="00542CB6" w:rsidRPr="00CD5D09" w:rsidRDefault="00542CB6" w:rsidP="00D94520">
            <w:pPr>
              <w:spacing w:before="60" w:after="60"/>
              <w:jc w:val="center"/>
              <w:rPr>
                <w:rFonts w:ascii="Arial" w:eastAsia="楷体" w:hAnsi="Arial" w:cs="Arial"/>
                <w:lang w:val="en-GB"/>
              </w:rPr>
            </w:pPr>
            <w:r w:rsidRPr="00CD5D09">
              <w:rPr>
                <w:rFonts w:ascii="Arial" w:eastAsia="楷体" w:hAnsi="Arial" w:cs="Arial"/>
                <w:lang w:val="en-GB"/>
              </w:rPr>
              <w:t>5,300</w:t>
            </w:r>
          </w:p>
        </w:tc>
        <w:tc>
          <w:tcPr>
            <w:tcW w:w="1537" w:type="dxa"/>
          </w:tcPr>
          <w:p w14:paraId="5CEF2A31" w14:textId="77777777" w:rsidR="00542CB6" w:rsidRPr="00CD5D09" w:rsidRDefault="00542CB6" w:rsidP="00D94520">
            <w:pPr>
              <w:spacing w:before="60" w:after="60"/>
              <w:jc w:val="center"/>
              <w:rPr>
                <w:rFonts w:ascii="Arial" w:eastAsia="楷体" w:hAnsi="Arial" w:cs="Arial"/>
                <w:lang w:val="en-GB"/>
              </w:rPr>
            </w:pPr>
            <w:r w:rsidRPr="00CD5D09">
              <w:rPr>
                <w:rFonts w:ascii="Arial" w:eastAsia="楷体" w:hAnsi="Arial" w:cs="Arial"/>
                <w:lang w:val="en-GB"/>
              </w:rPr>
              <w:t>30</w:t>
            </w:r>
          </w:p>
          <w:p w14:paraId="5E326FE4" w14:textId="77777777" w:rsidR="00542CB6" w:rsidRPr="00CD5D09" w:rsidRDefault="00542CB6" w:rsidP="00D94520">
            <w:pPr>
              <w:spacing w:before="60" w:after="60"/>
              <w:jc w:val="center"/>
              <w:rPr>
                <w:rFonts w:ascii="Arial" w:eastAsia="楷体" w:hAnsi="Arial" w:cs="Arial"/>
                <w:lang w:val="en-GB"/>
              </w:rPr>
            </w:pPr>
            <w:r w:rsidRPr="00CD5D09">
              <w:rPr>
                <w:rFonts w:ascii="Arial" w:eastAsia="楷体" w:hAnsi="Arial" w:cs="Arial"/>
                <w:lang w:val="en-GB"/>
              </w:rPr>
              <w:t>(contractors)</w:t>
            </w:r>
          </w:p>
        </w:tc>
        <w:tc>
          <w:tcPr>
            <w:tcW w:w="1537" w:type="dxa"/>
          </w:tcPr>
          <w:p w14:paraId="4FFB72B7" w14:textId="77777777" w:rsidR="00542CB6" w:rsidRPr="00CD5D09" w:rsidRDefault="00542CB6" w:rsidP="00D94520">
            <w:pPr>
              <w:spacing w:before="60" w:after="60"/>
              <w:jc w:val="center"/>
              <w:rPr>
                <w:rFonts w:ascii="Arial" w:eastAsia="楷体" w:hAnsi="Arial" w:cs="Arial"/>
                <w:lang w:val="en-GB"/>
              </w:rPr>
            </w:pPr>
            <w:r w:rsidRPr="00CD5D09">
              <w:rPr>
                <w:rFonts w:ascii="Arial" w:eastAsia="楷体" w:hAnsi="Arial" w:cs="Arial"/>
                <w:lang w:val="en-GB"/>
              </w:rPr>
              <w:t>12,863</w:t>
            </w:r>
          </w:p>
        </w:tc>
      </w:tr>
      <w:tr w:rsidR="00542CB6" w:rsidRPr="00CD5D09" w14:paraId="2F21A34A" w14:textId="77777777" w:rsidTr="00CD5D09">
        <w:trPr>
          <w:jc w:val="center"/>
        </w:trPr>
        <w:tc>
          <w:tcPr>
            <w:tcW w:w="9220" w:type="dxa"/>
            <w:gridSpan w:val="6"/>
          </w:tcPr>
          <w:p w14:paraId="72C5F3AA" w14:textId="03ABBFA9" w:rsidR="00542CB6" w:rsidRPr="00CD5D09" w:rsidRDefault="00542CB6" w:rsidP="00D94520">
            <w:pPr>
              <w:spacing w:before="60" w:after="60"/>
              <w:jc w:val="center"/>
              <w:rPr>
                <w:rFonts w:ascii="Arial" w:eastAsia="楷体" w:hAnsi="Arial" w:cs="Arial"/>
                <w:sz w:val="10"/>
                <w:szCs w:val="10"/>
                <w:lang w:val="en-GB"/>
              </w:rPr>
            </w:pPr>
          </w:p>
        </w:tc>
      </w:tr>
      <w:tr w:rsidR="00542CB6" w:rsidRPr="00CD5D09" w14:paraId="736BBF30" w14:textId="77777777" w:rsidTr="00CD5D09">
        <w:trPr>
          <w:jc w:val="center"/>
        </w:trPr>
        <w:tc>
          <w:tcPr>
            <w:tcW w:w="9220" w:type="dxa"/>
            <w:gridSpan w:val="6"/>
          </w:tcPr>
          <w:p w14:paraId="38822254" w14:textId="77777777" w:rsidR="00542CB6" w:rsidRPr="00CD5D09" w:rsidRDefault="00542CB6" w:rsidP="00D94520">
            <w:pPr>
              <w:spacing w:before="60" w:after="60"/>
              <w:jc w:val="center"/>
              <w:rPr>
                <w:rFonts w:ascii="Arial" w:eastAsia="楷体" w:hAnsi="Arial" w:cs="Arial"/>
                <w:b/>
                <w:lang w:val="en-GB"/>
              </w:rPr>
            </w:pPr>
            <w:r w:rsidRPr="00CD5D09">
              <w:rPr>
                <w:rFonts w:ascii="Arial" w:eastAsia="楷体" w:hAnsi="Arial" w:cs="Arial"/>
                <w:b/>
                <w:lang w:val="en-GB"/>
              </w:rPr>
              <w:t>BY TERRITORY</w:t>
            </w:r>
          </w:p>
        </w:tc>
      </w:tr>
      <w:tr w:rsidR="00542CB6" w:rsidRPr="00CD5D09" w14:paraId="26842023" w14:textId="77777777" w:rsidTr="00CD5D09">
        <w:trPr>
          <w:jc w:val="center"/>
        </w:trPr>
        <w:tc>
          <w:tcPr>
            <w:tcW w:w="1536" w:type="dxa"/>
          </w:tcPr>
          <w:p w14:paraId="07928A01" w14:textId="77777777" w:rsidR="00542CB6" w:rsidRPr="00CD5D09" w:rsidRDefault="00542CB6" w:rsidP="00D94520">
            <w:pPr>
              <w:spacing w:before="60" w:after="60"/>
              <w:jc w:val="center"/>
              <w:rPr>
                <w:rFonts w:ascii="Arial" w:eastAsia="楷体" w:hAnsi="Arial" w:cs="Arial"/>
                <w:lang w:val="en-GB"/>
              </w:rPr>
            </w:pPr>
            <w:r w:rsidRPr="00CD5D09">
              <w:rPr>
                <w:rFonts w:ascii="Arial" w:eastAsia="楷体" w:hAnsi="Arial" w:cs="Arial"/>
                <w:lang w:val="en-GB"/>
              </w:rPr>
              <w:t>Singapore</w:t>
            </w:r>
          </w:p>
          <w:p w14:paraId="1BC4FBB1" w14:textId="77777777" w:rsidR="00542CB6" w:rsidRPr="00CD5D09" w:rsidRDefault="00542CB6" w:rsidP="00D94520">
            <w:pPr>
              <w:spacing w:before="60" w:after="60"/>
              <w:jc w:val="center"/>
              <w:rPr>
                <w:rFonts w:ascii="Arial" w:eastAsia="楷体" w:hAnsi="Arial" w:cs="Arial"/>
                <w:lang w:val="en-GB"/>
              </w:rPr>
            </w:pPr>
          </w:p>
        </w:tc>
        <w:tc>
          <w:tcPr>
            <w:tcW w:w="1537" w:type="dxa"/>
          </w:tcPr>
          <w:p w14:paraId="6EF87909" w14:textId="77777777" w:rsidR="00542CB6" w:rsidRPr="00CD5D09" w:rsidRDefault="00542CB6" w:rsidP="00D94520">
            <w:pPr>
              <w:spacing w:before="60" w:after="60"/>
              <w:jc w:val="center"/>
              <w:rPr>
                <w:rFonts w:ascii="Arial" w:eastAsia="楷体" w:hAnsi="Arial" w:cs="Arial"/>
                <w:lang w:val="en-GB"/>
              </w:rPr>
            </w:pPr>
            <w:r w:rsidRPr="00CD5D09">
              <w:rPr>
                <w:rFonts w:ascii="Arial" w:eastAsia="楷体" w:hAnsi="Arial" w:cs="Arial"/>
                <w:lang w:val="en-GB"/>
              </w:rPr>
              <w:t>Mainland China</w:t>
            </w:r>
          </w:p>
        </w:tc>
        <w:tc>
          <w:tcPr>
            <w:tcW w:w="1537" w:type="dxa"/>
          </w:tcPr>
          <w:p w14:paraId="4D482FE7" w14:textId="77777777" w:rsidR="00542CB6" w:rsidRPr="00CD5D09" w:rsidRDefault="00542CB6" w:rsidP="00D94520">
            <w:pPr>
              <w:spacing w:before="60" w:after="60"/>
              <w:jc w:val="center"/>
              <w:rPr>
                <w:rFonts w:ascii="Arial" w:eastAsia="楷体" w:hAnsi="Arial" w:cs="Arial"/>
                <w:lang w:val="en-GB"/>
              </w:rPr>
            </w:pPr>
            <w:r w:rsidRPr="00CD5D09">
              <w:rPr>
                <w:rFonts w:ascii="Arial" w:eastAsia="楷体" w:hAnsi="Arial" w:cs="Arial"/>
                <w:lang w:val="en-GB"/>
              </w:rPr>
              <w:t>Hong Kong</w:t>
            </w:r>
          </w:p>
        </w:tc>
        <w:tc>
          <w:tcPr>
            <w:tcW w:w="1536" w:type="dxa"/>
          </w:tcPr>
          <w:p w14:paraId="65627E77" w14:textId="77777777" w:rsidR="00542CB6" w:rsidRPr="00CD5D09" w:rsidRDefault="00542CB6" w:rsidP="00D94520">
            <w:pPr>
              <w:spacing w:before="60" w:after="60"/>
              <w:jc w:val="center"/>
              <w:rPr>
                <w:rFonts w:ascii="Arial" w:eastAsia="楷体" w:hAnsi="Arial" w:cs="Arial"/>
                <w:lang w:val="en-GB"/>
              </w:rPr>
            </w:pPr>
            <w:r w:rsidRPr="00CD5D09">
              <w:rPr>
                <w:rFonts w:ascii="Arial" w:eastAsia="楷体" w:hAnsi="Arial" w:cs="Arial"/>
                <w:lang w:val="en-GB"/>
              </w:rPr>
              <w:t>Thailand</w:t>
            </w:r>
          </w:p>
        </w:tc>
        <w:tc>
          <w:tcPr>
            <w:tcW w:w="1537" w:type="dxa"/>
          </w:tcPr>
          <w:p w14:paraId="0E9A9B5C" w14:textId="77777777" w:rsidR="00542CB6" w:rsidRPr="00CD5D09" w:rsidRDefault="00542CB6" w:rsidP="00D94520">
            <w:pPr>
              <w:spacing w:before="60" w:after="60"/>
              <w:jc w:val="center"/>
              <w:rPr>
                <w:rFonts w:ascii="Arial" w:eastAsia="楷体" w:hAnsi="Arial" w:cs="Arial"/>
                <w:lang w:val="en-GB"/>
              </w:rPr>
            </w:pPr>
            <w:r w:rsidRPr="00CD5D09">
              <w:rPr>
                <w:rFonts w:ascii="Arial" w:eastAsia="楷体" w:hAnsi="Arial" w:cs="Arial"/>
                <w:lang w:val="en-GB"/>
              </w:rPr>
              <w:t>Others</w:t>
            </w:r>
          </w:p>
        </w:tc>
        <w:tc>
          <w:tcPr>
            <w:tcW w:w="1537" w:type="dxa"/>
          </w:tcPr>
          <w:p w14:paraId="5C46E320" w14:textId="77777777" w:rsidR="00542CB6" w:rsidRPr="00CD5D09" w:rsidRDefault="00542CB6" w:rsidP="00D94520">
            <w:pPr>
              <w:spacing w:before="60" w:after="60"/>
              <w:jc w:val="center"/>
              <w:rPr>
                <w:rFonts w:ascii="Arial" w:eastAsia="楷体" w:hAnsi="Arial" w:cs="Arial"/>
                <w:lang w:val="en-GB"/>
              </w:rPr>
            </w:pPr>
            <w:r w:rsidRPr="00CD5D09">
              <w:rPr>
                <w:rFonts w:ascii="Arial" w:eastAsia="楷体" w:hAnsi="Arial" w:cs="Arial"/>
                <w:lang w:val="en-GB"/>
              </w:rPr>
              <w:t>Total</w:t>
            </w:r>
          </w:p>
        </w:tc>
      </w:tr>
      <w:tr w:rsidR="00542CB6" w:rsidRPr="00CD5D09" w14:paraId="70123558" w14:textId="77777777" w:rsidTr="00CD5D09">
        <w:trPr>
          <w:jc w:val="center"/>
        </w:trPr>
        <w:tc>
          <w:tcPr>
            <w:tcW w:w="1536" w:type="dxa"/>
          </w:tcPr>
          <w:p w14:paraId="35D1AC91" w14:textId="77777777" w:rsidR="00542CB6" w:rsidRPr="00CD5D09" w:rsidRDefault="00542CB6" w:rsidP="00D94520">
            <w:pPr>
              <w:spacing w:before="60" w:after="60"/>
              <w:jc w:val="center"/>
              <w:rPr>
                <w:rFonts w:ascii="Arial" w:eastAsia="STSong" w:hAnsi="Arial" w:cs="Arial"/>
                <w:lang w:val="en-GB"/>
              </w:rPr>
            </w:pPr>
            <w:r w:rsidRPr="00CD5D09">
              <w:rPr>
                <w:rFonts w:ascii="Arial" w:eastAsia="楷体" w:hAnsi="Arial" w:cs="Arial"/>
                <w:lang w:val="en-GB"/>
              </w:rPr>
              <w:t>3,558</w:t>
            </w:r>
          </w:p>
        </w:tc>
        <w:tc>
          <w:tcPr>
            <w:tcW w:w="1537" w:type="dxa"/>
          </w:tcPr>
          <w:p w14:paraId="47D605F3" w14:textId="6EE471CF" w:rsidR="00542CB6" w:rsidRPr="00CD5D09" w:rsidRDefault="00542CB6" w:rsidP="00D94520">
            <w:pPr>
              <w:spacing w:before="60" w:after="60"/>
              <w:jc w:val="center"/>
              <w:rPr>
                <w:rFonts w:ascii="Arial" w:eastAsia="楷体" w:hAnsi="Arial" w:cs="Arial"/>
                <w:lang w:val="en-GB"/>
              </w:rPr>
            </w:pPr>
            <w:r w:rsidRPr="00CD5D09">
              <w:rPr>
                <w:rFonts w:ascii="Arial" w:eastAsia="楷体" w:hAnsi="Arial" w:cs="Arial"/>
                <w:lang w:val="en-GB"/>
              </w:rPr>
              <w:t>2,517</w:t>
            </w:r>
          </w:p>
        </w:tc>
        <w:tc>
          <w:tcPr>
            <w:tcW w:w="1537" w:type="dxa"/>
          </w:tcPr>
          <w:p w14:paraId="78AF1BDB" w14:textId="4CEF13F9" w:rsidR="00542CB6" w:rsidRPr="00CD5D09" w:rsidRDefault="00542CB6" w:rsidP="00D94520">
            <w:pPr>
              <w:spacing w:before="60" w:after="60"/>
              <w:jc w:val="center"/>
              <w:rPr>
                <w:rFonts w:ascii="Arial" w:eastAsia="楷体" w:hAnsi="Arial" w:cs="Arial"/>
                <w:lang w:val="en-GB"/>
              </w:rPr>
            </w:pPr>
            <w:r w:rsidRPr="00CD5D09">
              <w:rPr>
                <w:rFonts w:ascii="Arial" w:eastAsia="楷体" w:hAnsi="Arial" w:cs="Arial"/>
                <w:lang w:val="en-GB"/>
              </w:rPr>
              <w:t>485</w:t>
            </w:r>
          </w:p>
        </w:tc>
        <w:tc>
          <w:tcPr>
            <w:tcW w:w="1536" w:type="dxa"/>
          </w:tcPr>
          <w:p w14:paraId="70CCA5EE" w14:textId="77777777" w:rsidR="00542CB6" w:rsidRPr="00CD5D09" w:rsidRDefault="00542CB6" w:rsidP="00D94520">
            <w:pPr>
              <w:spacing w:before="60" w:after="60"/>
              <w:jc w:val="center"/>
              <w:rPr>
                <w:rFonts w:ascii="Arial" w:eastAsia="楷体" w:hAnsi="Arial" w:cs="Arial"/>
                <w:lang w:val="en-GB"/>
              </w:rPr>
            </w:pPr>
            <w:r w:rsidRPr="00CD5D09">
              <w:rPr>
                <w:rFonts w:ascii="Arial" w:eastAsia="楷体" w:hAnsi="Arial" w:cs="Arial"/>
                <w:lang w:val="en-GB"/>
              </w:rPr>
              <w:t>524</w:t>
            </w:r>
          </w:p>
        </w:tc>
        <w:tc>
          <w:tcPr>
            <w:tcW w:w="1537" w:type="dxa"/>
          </w:tcPr>
          <w:p w14:paraId="76068196" w14:textId="77777777" w:rsidR="00542CB6" w:rsidRPr="00CD5D09" w:rsidRDefault="00542CB6" w:rsidP="00D94520">
            <w:pPr>
              <w:spacing w:before="60" w:after="60"/>
              <w:jc w:val="center"/>
              <w:rPr>
                <w:rFonts w:ascii="Arial" w:eastAsia="楷体" w:hAnsi="Arial" w:cs="Arial"/>
                <w:lang w:val="en-GB"/>
              </w:rPr>
            </w:pPr>
            <w:r w:rsidRPr="00CD5D09">
              <w:rPr>
                <w:rFonts w:ascii="Arial" w:eastAsia="楷体" w:hAnsi="Arial" w:cs="Arial"/>
                <w:lang w:val="en-GB"/>
              </w:rPr>
              <w:t>5,779</w:t>
            </w:r>
          </w:p>
        </w:tc>
        <w:tc>
          <w:tcPr>
            <w:tcW w:w="1537" w:type="dxa"/>
          </w:tcPr>
          <w:p w14:paraId="72A64782" w14:textId="77777777" w:rsidR="00542CB6" w:rsidRPr="00CD5D09" w:rsidRDefault="00542CB6" w:rsidP="00D94520">
            <w:pPr>
              <w:spacing w:before="60" w:after="60"/>
              <w:jc w:val="center"/>
              <w:rPr>
                <w:rFonts w:ascii="Arial" w:eastAsia="楷体" w:hAnsi="Arial" w:cs="Arial"/>
                <w:lang w:val="en-GB"/>
              </w:rPr>
            </w:pPr>
            <w:r w:rsidRPr="00CD5D09">
              <w:rPr>
                <w:rFonts w:ascii="Arial" w:eastAsia="楷体" w:hAnsi="Arial" w:cs="Arial"/>
                <w:lang w:val="en-GB"/>
              </w:rPr>
              <w:t>12,863</w:t>
            </w:r>
          </w:p>
        </w:tc>
      </w:tr>
    </w:tbl>
    <w:p w14:paraId="05955933" w14:textId="77777777" w:rsidR="00542CB6" w:rsidRPr="00CD5D09" w:rsidRDefault="00542CB6" w:rsidP="00542CB6">
      <w:pPr>
        <w:spacing w:before="1" w:after="1"/>
        <w:jc w:val="both"/>
        <w:rPr>
          <w:lang w:val="en-GB" w:eastAsia="zh-CN"/>
        </w:rPr>
      </w:pPr>
    </w:p>
    <w:p w14:paraId="1B2AC909" w14:textId="3CAB7202" w:rsidR="00D94520" w:rsidRDefault="00D94520" w:rsidP="00542CB6">
      <w:pPr>
        <w:pStyle w:val="Footnote"/>
        <w:rPr>
          <w:lang w:val="en-GB"/>
        </w:rPr>
      </w:pPr>
      <w:r>
        <w:rPr>
          <w:lang w:val="en-GB"/>
        </w:rPr>
        <w:t>Note: R&amp;D = research and development</w:t>
      </w:r>
      <w:r w:rsidR="008202C5">
        <w:rPr>
          <w:lang w:val="en-GB"/>
        </w:rPr>
        <w:t>.</w:t>
      </w:r>
    </w:p>
    <w:p w14:paraId="7C68EE0E" w14:textId="355BBB3C" w:rsidR="00B87DC0" w:rsidRPr="00CD5D09" w:rsidRDefault="00542CB6" w:rsidP="00542CB6">
      <w:pPr>
        <w:pStyle w:val="Footnote"/>
        <w:rPr>
          <w:lang w:val="en-GB"/>
        </w:rPr>
      </w:pPr>
      <w:r w:rsidRPr="00CD5D09">
        <w:rPr>
          <w:lang w:val="en-GB"/>
        </w:rPr>
        <w:t>Source: Company information.</w:t>
      </w:r>
    </w:p>
    <w:sectPr w:rsidR="00B87DC0" w:rsidRPr="00CD5D09" w:rsidSect="00751E0B">
      <w:headerReference w:type="default" r:id="rId12"/>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5A62F" w16cex:dateUtc="2021-03-12T00:34:00Z"/>
  <w16cex:commentExtensible w16cex:durableId="23F3C214" w16cex:dateUtc="2021-03-10T14:0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ECD88" w14:textId="77777777" w:rsidR="003B08A5" w:rsidRDefault="003B08A5" w:rsidP="00D75295">
      <w:r>
        <w:separator/>
      </w:r>
    </w:p>
  </w:endnote>
  <w:endnote w:type="continuationSeparator" w:id="0">
    <w:p w14:paraId="6785E7DA" w14:textId="77777777" w:rsidR="003B08A5" w:rsidRDefault="003B08A5"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aiTi_GB2312">
    <w:altName w:val="楷体"/>
    <w:charset w:val="86"/>
    <w:family w:val="modern"/>
    <w:pitch w:val="fixed"/>
    <w:sig w:usb0="800002BF" w:usb1="38CF7CFA" w:usb2="00000016" w:usb3="00000000" w:csb0="00040001" w:csb1="00000000"/>
  </w:font>
  <w:font w:name="楷体">
    <w:charset w:val="86"/>
    <w:family w:val="modern"/>
    <w:pitch w:val="fixed"/>
    <w:sig w:usb0="800002BF" w:usb1="38CF7CFA" w:usb2="00000016" w:usb3="00000000" w:csb0="00040001" w:csb1="00000000"/>
  </w:font>
  <w:font w:name="STSong">
    <w:altName w:val="﷽﷽﷽﷽﷽﷽﷽﷽"/>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43319" w14:textId="77777777" w:rsidR="003B08A5" w:rsidRDefault="003B08A5" w:rsidP="00D75295">
      <w:r>
        <w:separator/>
      </w:r>
    </w:p>
  </w:footnote>
  <w:footnote w:type="continuationSeparator" w:id="0">
    <w:p w14:paraId="3D568F60" w14:textId="77777777" w:rsidR="003B08A5" w:rsidRDefault="003B08A5" w:rsidP="00D75295">
      <w:r>
        <w:continuationSeparator/>
      </w:r>
    </w:p>
  </w:footnote>
  <w:footnote w:id="1">
    <w:p w14:paraId="7F203845" w14:textId="1876B4B4" w:rsidR="003B08A5" w:rsidRPr="008202C5" w:rsidRDefault="003B08A5">
      <w:pPr>
        <w:pStyle w:val="FootnoteText"/>
        <w:rPr>
          <w:rFonts w:ascii="Arial" w:hAnsi="Arial" w:cs="Arial"/>
          <w:spacing w:val="-6"/>
          <w:kern w:val="17"/>
          <w:sz w:val="17"/>
          <w:szCs w:val="17"/>
          <w:lang w:val="en-CA"/>
        </w:rPr>
      </w:pPr>
      <w:r w:rsidRPr="008202C5">
        <w:rPr>
          <w:rStyle w:val="FootnoteReference"/>
          <w:rFonts w:ascii="Arial" w:hAnsi="Arial" w:cs="Arial"/>
          <w:spacing w:val="-6"/>
          <w:kern w:val="17"/>
          <w:sz w:val="17"/>
          <w:szCs w:val="17"/>
        </w:rPr>
        <w:footnoteRef/>
      </w:r>
      <w:r w:rsidRPr="008202C5">
        <w:rPr>
          <w:rFonts w:ascii="Arial" w:hAnsi="Arial" w:cs="Arial"/>
          <w:spacing w:val="-6"/>
          <w:kern w:val="17"/>
          <w:sz w:val="17"/>
          <w:szCs w:val="17"/>
        </w:rPr>
        <w:t xml:space="preserve"> </w:t>
      </w:r>
      <w:r w:rsidRPr="008202C5">
        <w:rPr>
          <w:rFonts w:ascii="Arial" w:hAnsi="Arial" w:cs="Arial"/>
          <w:spacing w:val="-6"/>
          <w:kern w:val="17"/>
          <w:sz w:val="17"/>
          <w:szCs w:val="17"/>
          <w:lang w:val="en-CA"/>
        </w:rPr>
        <w:t>S$ = SGD = Singaporean dollar; S$0.747 = US$1 on January 1, 2018; all currency amounts are in S$ unless otherwise specified.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6EEED192" w:rsidR="003B08A5" w:rsidRPr="00C92CC4" w:rsidRDefault="003B08A5"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15</w:t>
    </w:r>
    <w:r>
      <w:rPr>
        <w:rFonts w:ascii="Arial" w:hAnsi="Arial"/>
        <w:b/>
      </w:rPr>
      <w:fldChar w:fldCharType="end"/>
    </w:r>
    <w:r>
      <w:rPr>
        <w:rFonts w:ascii="Arial" w:hAnsi="Arial"/>
        <w:b/>
      </w:rPr>
      <w:tab/>
      <w:t>9B21C008</w:t>
    </w:r>
  </w:p>
  <w:p w14:paraId="2B53C0A0" w14:textId="77777777" w:rsidR="003B08A5" w:rsidRDefault="003B08A5" w:rsidP="00D13667">
    <w:pPr>
      <w:pStyle w:val="Header"/>
      <w:tabs>
        <w:tab w:val="clear" w:pos="4680"/>
      </w:tabs>
      <w:rPr>
        <w:sz w:val="18"/>
        <w:szCs w:val="18"/>
      </w:rPr>
    </w:pPr>
  </w:p>
  <w:p w14:paraId="47119730" w14:textId="77777777" w:rsidR="003B08A5" w:rsidRPr="00C92CC4" w:rsidRDefault="003B08A5"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3277AD2"/>
    <w:multiLevelType w:val="hybridMultilevel"/>
    <w:tmpl w:val="9D903AD0"/>
    <w:lvl w:ilvl="0" w:tplc="801E85EE">
      <w:start w:val="3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2"/>
  </w:num>
  <w:num w:numId="4">
    <w:abstractNumId w:val="10"/>
  </w:num>
  <w:num w:numId="5">
    <w:abstractNumId w:val="3"/>
  </w:num>
  <w:num w:numId="6">
    <w:abstractNumId w:val="8"/>
  </w:num>
  <w:num w:numId="7">
    <w:abstractNumId w:val="0"/>
  </w:num>
  <w:num w:numId="8">
    <w:abstractNumId w:val="12"/>
  </w:num>
  <w:num w:numId="9">
    <w:abstractNumId w:val="9"/>
  </w:num>
  <w:num w:numId="10">
    <w:abstractNumId w:val="1"/>
  </w:num>
  <w:num w:numId="11">
    <w:abstractNumId w:val="6"/>
  </w:num>
  <w:num w:numId="12">
    <w:abstractNumId w:val="7"/>
  </w:num>
  <w:num w:numId="13">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0DA4"/>
    <w:rsid w:val="00013360"/>
    <w:rsid w:val="0001610A"/>
    <w:rsid w:val="00016759"/>
    <w:rsid w:val="000216CE"/>
    <w:rsid w:val="00024ED4"/>
    <w:rsid w:val="00025DC7"/>
    <w:rsid w:val="00031CF4"/>
    <w:rsid w:val="00035F09"/>
    <w:rsid w:val="00037D73"/>
    <w:rsid w:val="00044ECC"/>
    <w:rsid w:val="000531D3"/>
    <w:rsid w:val="0005646B"/>
    <w:rsid w:val="000615D1"/>
    <w:rsid w:val="0008102D"/>
    <w:rsid w:val="00086B26"/>
    <w:rsid w:val="00094C0E"/>
    <w:rsid w:val="000A0AEB"/>
    <w:rsid w:val="000A146D"/>
    <w:rsid w:val="000D2A2F"/>
    <w:rsid w:val="000D7091"/>
    <w:rsid w:val="000F0C22"/>
    <w:rsid w:val="000F6B09"/>
    <w:rsid w:val="000F6FDC"/>
    <w:rsid w:val="00104567"/>
    <w:rsid w:val="00104916"/>
    <w:rsid w:val="00104AA7"/>
    <w:rsid w:val="00110AB0"/>
    <w:rsid w:val="00114B55"/>
    <w:rsid w:val="00115063"/>
    <w:rsid w:val="0012732D"/>
    <w:rsid w:val="00143F25"/>
    <w:rsid w:val="00152682"/>
    <w:rsid w:val="00154FC9"/>
    <w:rsid w:val="001716AE"/>
    <w:rsid w:val="00172956"/>
    <w:rsid w:val="00185ABB"/>
    <w:rsid w:val="001901C0"/>
    <w:rsid w:val="0019241A"/>
    <w:rsid w:val="00192A18"/>
    <w:rsid w:val="001A22D1"/>
    <w:rsid w:val="001A752D"/>
    <w:rsid w:val="001A757E"/>
    <w:rsid w:val="001B5032"/>
    <w:rsid w:val="001C7777"/>
    <w:rsid w:val="001D344B"/>
    <w:rsid w:val="001D4949"/>
    <w:rsid w:val="001D6FEE"/>
    <w:rsid w:val="001E364F"/>
    <w:rsid w:val="001F4222"/>
    <w:rsid w:val="00203AA1"/>
    <w:rsid w:val="00213E98"/>
    <w:rsid w:val="00230150"/>
    <w:rsid w:val="0023081A"/>
    <w:rsid w:val="00233111"/>
    <w:rsid w:val="0025431E"/>
    <w:rsid w:val="00265FA8"/>
    <w:rsid w:val="0028033E"/>
    <w:rsid w:val="00285121"/>
    <w:rsid w:val="002B28FF"/>
    <w:rsid w:val="002B40FF"/>
    <w:rsid w:val="002C4E29"/>
    <w:rsid w:val="002D5D6E"/>
    <w:rsid w:val="002E094E"/>
    <w:rsid w:val="002F460C"/>
    <w:rsid w:val="002F48D6"/>
    <w:rsid w:val="003029C5"/>
    <w:rsid w:val="00317391"/>
    <w:rsid w:val="00323420"/>
    <w:rsid w:val="00326216"/>
    <w:rsid w:val="00336580"/>
    <w:rsid w:val="00354899"/>
    <w:rsid w:val="00355FD6"/>
    <w:rsid w:val="00364A5C"/>
    <w:rsid w:val="00367546"/>
    <w:rsid w:val="00373FB1"/>
    <w:rsid w:val="00387F04"/>
    <w:rsid w:val="00396C76"/>
    <w:rsid w:val="003B08A5"/>
    <w:rsid w:val="003B30D8"/>
    <w:rsid w:val="003B7EF2"/>
    <w:rsid w:val="003C3FA4"/>
    <w:rsid w:val="003D0BA1"/>
    <w:rsid w:val="003D5166"/>
    <w:rsid w:val="003E396D"/>
    <w:rsid w:val="003F2B0C"/>
    <w:rsid w:val="004105B2"/>
    <w:rsid w:val="0041145A"/>
    <w:rsid w:val="00412900"/>
    <w:rsid w:val="00415374"/>
    <w:rsid w:val="004221E4"/>
    <w:rsid w:val="004273F8"/>
    <w:rsid w:val="004355A3"/>
    <w:rsid w:val="0044379E"/>
    <w:rsid w:val="00446546"/>
    <w:rsid w:val="00446EE7"/>
    <w:rsid w:val="00452769"/>
    <w:rsid w:val="00454FA7"/>
    <w:rsid w:val="00460727"/>
    <w:rsid w:val="00465348"/>
    <w:rsid w:val="004725C4"/>
    <w:rsid w:val="00497773"/>
    <w:rsid w:val="004979A5"/>
    <w:rsid w:val="004A1985"/>
    <w:rsid w:val="004A25E0"/>
    <w:rsid w:val="004A4C92"/>
    <w:rsid w:val="004B1CCB"/>
    <w:rsid w:val="004B3D71"/>
    <w:rsid w:val="004B5FF9"/>
    <w:rsid w:val="004B632F"/>
    <w:rsid w:val="004C3246"/>
    <w:rsid w:val="004D39D5"/>
    <w:rsid w:val="004D3C49"/>
    <w:rsid w:val="004D3FB1"/>
    <w:rsid w:val="004D6F21"/>
    <w:rsid w:val="004D73A5"/>
    <w:rsid w:val="005078AA"/>
    <w:rsid w:val="005160F1"/>
    <w:rsid w:val="00524CEE"/>
    <w:rsid w:val="00524F2F"/>
    <w:rsid w:val="00527E5C"/>
    <w:rsid w:val="00532CF5"/>
    <w:rsid w:val="00533586"/>
    <w:rsid w:val="00542CB6"/>
    <w:rsid w:val="005528CB"/>
    <w:rsid w:val="0056641D"/>
    <w:rsid w:val="00566771"/>
    <w:rsid w:val="00581E2E"/>
    <w:rsid w:val="00584F15"/>
    <w:rsid w:val="00590043"/>
    <w:rsid w:val="005905D0"/>
    <w:rsid w:val="0059514B"/>
    <w:rsid w:val="005A1B0F"/>
    <w:rsid w:val="005B4CE6"/>
    <w:rsid w:val="005B5EFE"/>
    <w:rsid w:val="005C26A5"/>
    <w:rsid w:val="00606230"/>
    <w:rsid w:val="00615260"/>
    <w:rsid w:val="006163F7"/>
    <w:rsid w:val="00627C63"/>
    <w:rsid w:val="00632565"/>
    <w:rsid w:val="0063350B"/>
    <w:rsid w:val="006466FE"/>
    <w:rsid w:val="00652606"/>
    <w:rsid w:val="00652B8D"/>
    <w:rsid w:val="00656696"/>
    <w:rsid w:val="0067080A"/>
    <w:rsid w:val="006946EE"/>
    <w:rsid w:val="006A58A9"/>
    <w:rsid w:val="006A606D"/>
    <w:rsid w:val="006B0AFA"/>
    <w:rsid w:val="006B262B"/>
    <w:rsid w:val="006B2B62"/>
    <w:rsid w:val="006C0371"/>
    <w:rsid w:val="006C08B6"/>
    <w:rsid w:val="006C0B1A"/>
    <w:rsid w:val="006C17F6"/>
    <w:rsid w:val="006C6065"/>
    <w:rsid w:val="006C7F9F"/>
    <w:rsid w:val="006D287F"/>
    <w:rsid w:val="006E2F6D"/>
    <w:rsid w:val="006E58F6"/>
    <w:rsid w:val="006E77E1"/>
    <w:rsid w:val="006F131D"/>
    <w:rsid w:val="007058F6"/>
    <w:rsid w:val="00711642"/>
    <w:rsid w:val="00712CC0"/>
    <w:rsid w:val="007507C6"/>
    <w:rsid w:val="00751E0B"/>
    <w:rsid w:val="00752093"/>
    <w:rsid w:val="00752BCD"/>
    <w:rsid w:val="00766DA1"/>
    <w:rsid w:val="00780D94"/>
    <w:rsid w:val="007866A6"/>
    <w:rsid w:val="007A130D"/>
    <w:rsid w:val="007D1A2D"/>
    <w:rsid w:val="007D32E6"/>
    <w:rsid w:val="007D4102"/>
    <w:rsid w:val="007E3174"/>
    <w:rsid w:val="007E54A7"/>
    <w:rsid w:val="007F43B7"/>
    <w:rsid w:val="007F54BA"/>
    <w:rsid w:val="008202C5"/>
    <w:rsid w:val="00821FFC"/>
    <w:rsid w:val="008271CA"/>
    <w:rsid w:val="008467D5"/>
    <w:rsid w:val="00857489"/>
    <w:rsid w:val="00860EB3"/>
    <w:rsid w:val="00875B24"/>
    <w:rsid w:val="008805CD"/>
    <w:rsid w:val="008A1770"/>
    <w:rsid w:val="008A239E"/>
    <w:rsid w:val="008A4DC4"/>
    <w:rsid w:val="008B438C"/>
    <w:rsid w:val="008C7263"/>
    <w:rsid w:val="008D06CA"/>
    <w:rsid w:val="008D3A46"/>
    <w:rsid w:val="008D6878"/>
    <w:rsid w:val="008F2385"/>
    <w:rsid w:val="009067A4"/>
    <w:rsid w:val="00930885"/>
    <w:rsid w:val="00933D68"/>
    <w:rsid w:val="009340DB"/>
    <w:rsid w:val="009428F3"/>
    <w:rsid w:val="009436FF"/>
    <w:rsid w:val="00945695"/>
    <w:rsid w:val="0094618C"/>
    <w:rsid w:val="0095684B"/>
    <w:rsid w:val="00972498"/>
    <w:rsid w:val="0097481F"/>
    <w:rsid w:val="00974CC6"/>
    <w:rsid w:val="00976AD4"/>
    <w:rsid w:val="00995547"/>
    <w:rsid w:val="009A312F"/>
    <w:rsid w:val="009A5348"/>
    <w:rsid w:val="009A665C"/>
    <w:rsid w:val="009B0AB7"/>
    <w:rsid w:val="009C3997"/>
    <w:rsid w:val="009C58E2"/>
    <w:rsid w:val="009C74CF"/>
    <w:rsid w:val="009C76D5"/>
    <w:rsid w:val="009D1E48"/>
    <w:rsid w:val="009D1F3B"/>
    <w:rsid w:val="009E3A9A"/>
    <w:rsid w:val="009F7AA4"/>
    <w:rsid w:val="00A06B3F"/>
    <w:rsid w:val="00A10AD7"/>
    <w:rsid w:val="00A163A5"/>
    <w:rsid w:val="00A176B5"/>
    <w:rsid w:val="00A323B0"/>
    <w:rsid w:val="00A438F4"/>
    <w:rsid w:val="00A559DB"/>
    <w:rsid w:val="00A569EA"/>
    <w:rsid w:val="00A676A0"/>
    <w:rsid w:val="00A8422E"/>
    <w:rsid w:val="00AA216A"/>
    <w:rsid w:val="00AE0BD8"/>
    <w:rsid w:val="00AF35FC"/>
    <w:rsid w:val="00AF5556"/>
    <w:rsid w:val="00B0289F"/>
    <w:rsid w:val="00B03639"/>
    <w:rsid w:val="00B0652A"/>
    <w:rsid w:val="00B174B8"/>
    <w:rsid w:val="00B40937"/>
    <w:rsid w:val="00B423EF"/>
    <w:rsid w:val="00B453DE"/>
    <w:rsid w:val="00B62497"/>
    <w:rsid w:val="00B72597"/>
    <w:rsid w:val="00B74E1B"/>
    <w:rsid w:val="00B86D45"/>
    <w:rsid w:val="00B87DC0"/>
    <w:rsid w:val="00B901F9"/>
    <w:rsid w:val="00BC4D98"/>
    <w:rsid w:val="00BD6EFB"/>
    <w:rsid w:val="00BE3DF5"/>
    <w:rsid w:val="00BF5EAB"/>
    <w:rsid w:val="00C02410"/>
    <w:rsid w:val="00C1584D"/>
    <w:rsid w:val="00C15BE2"/>
    <w:rsid w:val="00C25064"/>
    <w:rsid w:val="00C3447F"/>
    <w:rsid w:val="00C35E62"/>
    <w:rsid w:val="00C43E0A"/>
    <w:rsid w:val="00C44714"/>
    <w:rsid w:val="00C67102"/>
    <w:rsid w:val="00C81491"/>
    <w:rsid w:val="00C81676"/>
    <w:rsid w:val="00C85C5D"/>
    <w:rsid w:val="00C92535"/>
    <w:rsid w:val="00C92CC4"/>
    <w:rsid w:val="00CA0AFB"/>
    <w:rsid w:val="00CA2CE1"/>
    <w:rsid w:val="00CA3976"/>
    <w:rsid w:val="00CA4762"/>
    <w:rsid w:val="00CA50E3"/>
    <w:rsid w:val="00CA757B"/>
    <w:rsid w:val="00CC1787"/>
    <w:rsid w:val="00CC182C"/>
    <w:rsid w:val="00CD0824"/>
    <w:rsid w:val="00CD2859"/>
    <w:rsid w:val="00CD2908"/>
    <w:rsid w:val="00CD5D09"/>
    <w:rsid w:val="00D03A82"/>
    <w:rsid w:val="00D07A05"/>
    <w:rsid w:val="00D13667"/>
    <w:rsid w:val="00D15344"/>
    <w:rsid w:val="00D23A1B"/>
    <w:rsid w:val="00D23F57"/>
    <w:rsid w:val="00D31BEC"/>
    <w:rsid w:val="00D63150"/>
    <w:rsid w:val="00D636BA"/>
    <w:rsid w:val="00D64A32"/>
    <w:rsid w:val="00D64EFC"/>
    <w:rsid w:val="00D67290"/>
    <w:rsid w:val="00D727BD"/>
    <w:rsid w:val="00D75295"/>
    <w:rsid w:val="00D76CE9"/>
    <w:rsid w:val="00D90DAB"/>
    <w:rsid w:val="00D94520"/>
    <w:rsid w:val="00D97F12"/>
    <w:rsid w:val="00DA6095"/>
    <w:rsid w:val="00DB42E7"/>
    <w:rsid w:val="00DC09D8"/>
    <w:rsid w:val="00DC10BC"/>
    <w:rsid w:val="00DC2F27"/>
    <w:rsid w:val="00DC3955"/>
    <w:rsid w:val="00DD118B"/>
    <w:rsid w:val="00DE01A6"/>
    <w:rsid w:val="00DE7A98"/>
    <w:rsid w:val="00DF32C2"/>
    <w:rsid w:val="00E23034"/>
    <w:rsid w:val="00E2342C"/>
    <w:rsid w:val="00E32EC2"/>
    <w:rsid w:val="00E421B6"/>
    <w:rsid w:val="00E471A7"/>
    <w:rsid w:val="00E61193"/>
    <w:rsid w:val="00E635CF"/>
    <w:rsid w:val="00E701C1"/>
    <w:rsid w:val="00E905AC"/>
    <w:rsid w:val="00EA48D8"/>
    <w:rsid w:val="00EA5521"/>
    <w:rsid w:val="00EB1E3B"/>
    <w:rsid w:val="00EC6E0A"/>
    <w:rsid w:val="00ED29DB"/>
    <w:rsid w:val="00ED4E18"/>
    <w:rsid w:val="00ED7922"/>
    <w:rsid w:val="00EE02C4"/>
    <w:rsid w:val="00EE1F37"/>
    <w:rsid w:val="00EE30AF"/>
    <w:rsid w:val="00EE4BFF"/>
    <w:rsid w:val="00F00531"/>
    <w:rsid w:val="00F0159C"/>
    <w:rsid w:val="00F105B7"/>
    <w:rsid w:val="00F13220"/>
    <w:rsid w:val="00F17A21"/>
    <w:rsid w:val="00F27A13"/>
    <w:rsid w:val="00F36FC2"/>
    <w:rsid w:val="00F37B27"/>
    <w:rsid w:val="00F4178C"/>
    <w:rsid w:val="00F45CEE"/>
    <w:rsid w:val="00F46556"/>
    <w:rsid w:val="00F50E91"/>
    <w:rsid w:val="00F56799"/>
    <w:rsid w:val="00F57D29"/>
    <w:rsid w:val="00F60786"/>
    <w:rsid w:val="00F857CA"/>
    <w:rsid w:val="00F90DB4"/>
    <w:rsid w:val="00F91BC7"/>
    <w:rsid w:val="00F96201"/>
    <w:rsid w:val="00FA13E6"/>
    <w:rsid w:val="00FA1BBC"/>
    <w:rsid w:val="00FC03D0"/>
    <w:rsid w:val="00FD0B18"/>
    <w:rsid w:val="00FD138F"/>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99"/>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CEDD22-1B77-4080-88E6-D961C9DCC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5577</Words>
  <Characters>31794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3</cp:revision>
  <cp:lastPrinted>2021-03-17T12:13:00Z</cp:lastPrinted>
  <dcterms:created xsi:type="dcterms:W3CDTF">2021-03-17T12:13:00Z</dcterms:created>
  <dcterms:modified xsi:type="dcterms:W3CDTF">2021-03-17T12:15:00Z</dcterms:modified>
</cp:coreProperties>
</file>