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67002" w14:textId="57B22F4A" w:rsidR="008D7F04" w:rsidRPr="004B399F" w:rsidRDefault="00DD2098" w:rsidP="00C02410">
      <w:pPr>
        <w:pBdr>
          <w:bottom w:val="single" w:sz="18" w:space="1" w:color="auto"/>
        </w:pBdr>
        <w:tabs>
          <w:tab w:val="left" w:pos="-1440"/>
          <w:tab w:val="left" w:pos="-720"/>
          <w:tab w:val="left" w:pos="1"/>
        </w:tabs>
        <w:jc w:val="both"/>
        <w:rPr>
          <w:rFonts w:ascii="Arial" w:hAnsi="Arial"/>
          <w:b/>
          <w:noProof/>
          <w:sz w:val="24"/>
          <w:lang w:eastAsia="en-CA"/>
        </w:rPr>
      </w:pPr>
      <w:r w:rsidRPr="00DD2098">
        <w:rPr>
          <w:rFonts w:ascii="Arial" w:hAnsi="Arial"/>
          <w:b/>
          <w:noProof/>
          <w:sz w:val="24"/>
          <w:lang w:val="en-CA" w:eastAsia="en-CA"/>
        </w:rPr>
        <w:drawing>
          <wp:inline distT="0" distB="0" distL="0" distR="0" wp14:anchorId="3DE9BDD7" wp14:editId="4B24A3F1">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5692C759" w:rsidR="00C02410" w:rsidRPr="004B399F" w:rsidRDefault="00DD2098" w:rsidP="00C02410">
      <w:pPr>
        <w:pStyle w:val="ProductNumber"/>
      </w:pPr>
      <w:r>
        <w:t>9B21D003</w:t>
      </w:r>
    </w:p>
    <w:p w14:paraId="4E057522" w14:textId="7A113CB1" w:rsidR="00D75295" w:rsidRPr="004B399F" w:rsidRDefault="00D75295" w:rsidP="00D75295">
      <w:pPr>
        <w:jc w:val="right"/>
        <w:rPr>
          <w:rFonts w:ascii="Arial" w:hAnsi="Arial"/>
          <w:b/>
        </w:rPr>
      </w:pPr>
    </w:p>
    <w:p w14:paraId="02524312" w14:textId="77777777" w:rsidR="001901C0" w:rsidRPr="004B399F" w:rsidRDefault="001901C0" w:rsidP="00D75295">
      <w:pPr>
        <w:jc w:val="right"/>
        <w:rPr>
          <w:rFonts w:ascii="Arial" w:hAnsi="Arial"/>
          <w:b/>
        </w:rPr>
      </w:pPr>
    </w:p>
    <w:p w14:paraId="2F03D26A" w14:textId="5422E643" w:rsidR="00013360" w:rsidRPr="004B399F" w:rsidRDefault="00D76421" w:rsidP="00013360">
      <w:pPr>
        <w:pStyle w:val="CaseTitle"/>
        <w:spacing w:after="0" w:line="240" w:lineRule="auto"/>
        <w:rPr>
          <w:sz w:val="20"/>
          <w:szCs w:val="20"/>
        </w:rPr>
      </w:pPr>
      <w:r w:rsidRPr="004B399F">
        <w:t>Gesner Gas Works</w:t>
      </w:r>
      <w:r w:rsidR="008D7F04" w:rsidRPr="004B399F">
        <w:t>: FOrming THE FUTURE</w:t>
      </w:r>
    </w:p>
    <w:p w14:paraId="40ABF6FD" w14:textId="77777777" w:rsidR="00CA3976" w:rsidRPr="004B399F" w:rsidRDefault="00CA3976" w:rsidP="00013360">
      <w:pPr>
        <w:pStyle w:val="CaseTitle"/>
        <w:spacing w:after="0" w:line="240" w:lineRule="auto"/>
        <w:rPr>
          <w:sz w:val="20"/>
          <w:szCs w:val="20"/>
        </w:rPr>
      </w:pPr>
    </w:p>
    <w:p w14:paraId="202F1085" w14:textId="77777777" w:rsidR="00013360" w:rsidRPr="004B399F" w:rsidRDefault="00013360" w:rsidP="00013360">
      <w:pPr>
        <w:pStyle w:val="CaseTitle"/>
        <w:spacing w:after="0" w:line="240" w:lineRule="auto"/>
        <w:rPr>
          <w:sz w:val="20"/>
          <w:szCs w:val="20"/>
        </w:rPr>
      </w:pPr>
    </w:p>
    <w:p w14:paraId="58B0C73F" w14:textId="6362C7EB" w:rsidR="00086B26" w:rsidRPr="004B399F" w:rsidRDefault="008D7F04" w:rsidP="00086B26">
      <w:pPr>
        <w:pStyle w:val="StyleCopyrightStatementAfter0ptBottomSinglesolidline1"/>
      </w:pPr>
      <w:r w:rsidRPr="004B399F">
        <w:t>Anthony Mc</w:t>
      </w:r>
      <w:r w:rsidR="00BD2750" w:rsidRPr="004B399F">
        <w:t>C</w:t>
      </w:r>
      <w:r w:rsidRPr="004B399F">
        <w:t xml:space="preserve">reery </w:t>
      </w:r>
      <w:r w:rsidR="00086B26" w:rsidRPr="004B399F">
        <w:t xml:space="preserve">wrote this case </w:t>
      </w:r>
      <w:r w:rsidRPr="004B399F">
        <w:t xml:space="preserve">under the supervision of Julie Gosse </w:t>
      </w:r>
      <w:r w:rsidR="00086B26" w:rsidRPr="004B399F">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444E6A85" w:rsidR="00086B26" w:rsidRPr="004B399F" w:rsidRDefault="00086B26" w:rsidP="00086B26">
      <w:pPr>
        <w:pStyle w:val="StyleCopyrightStatementAfter0ptBottomSinglesolidline1"/>
      </w:pPr>
    </w:p>
    <w:p w14:paraId="73B040E3" w14:textId="77777777" w:rsidR="00DD2098" w:rsidRDefault="00DD2098" w:rsidP="00DD2098">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8501E7F" w14:textId="77777777" w:rsidR="00DD2098" w:rsidRDefault="00DD2098" w:rsidP="00DD2098">
      <w:pPr>
        <w:pStyle w:val="StyleStyleCopyrightStatementAfter0ptBottomSinglesolid"/>
        <w:rPr>
          <w:rFonts w:cs="Arial"/>
          <w:iCs w:val="0"/>
          <w:color w:val="auto"/>
          <w:szCs w:val="16"/>
        </w:rPr>
      </w:pPr>
    </w:p>
    <w:p w14:paraId="3922E14F" w14:textId="2321D727" w:rsidR="00751E0B" w:rsidRPr="00DD2098" w:rsidRDefault="00DD2098"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4B399F">
        <w:rPr>
          <w:rFonts w:cs="Arial"/>
          <w:iCs w:val="0"/>
          <w:color w:val="auto"/>
          <w:szCs w:val="16"/>
        </w:rPr>
        <w:tab/>
      </w:r>
      <w:r w:rsidR="008D7F04" w:rsidRPr="004B399F">
        <w:rPr>
          <w:rFonts w:cs="Arial"/>
          <w:iCs w:val="0"/>
          <w:color w:val="auto"/>
          <w:szCs w:val="16"/>
        </w:rPr>
        <w:t>Version: 202</w:t>
      </w:r>
      <w:r w:rsidR="00BC60DA">
        <w:rPr>
          <w:rFonts w:cs="Arial"/>
          <w:iCs w:val="0"/>
          <w:color w:val="auto"/>
          <w:szCs w:val="16"/>
        </w:rPr>
        <w:t>2</w:t>
      </w:r>
      <w:r w:rsidR="008D7F04" w:rsidRPr="004B399F">
        <w:rPr>
          <w:rFonts w:cs="Arial"/>
          <w:iCs w:val="0"/>
          <w:color w:val="auto"/>
          <w:szCs w:val="16"/>
        </w:rPr>
        <w:t>-0</w:t>
      </w:r>
      <w:r w:rsidR="00BC60DA">
        <w:rPr>
          <w:rFonts w:cs="Arial"/>
          <w:iCs w:val="0"/>
          <w:color w:val="auto"/>
          <w:szCs w:val="16"/>
        </w:rPr>
        <w:t>1</w:t>
      </w:r>
      <w:r w:rsidR="008D7F04" w:rsidRPr="004B399F">
        <w:rPr>
          <w:rFonts w:cs="Arial"/>
          <w:iCs w:val="0"/>
          <w:color w:val="auto"/>
          <w:szCs w:val="16"/>
        </w:rPr>
        <w:t>-</w:t>
      </w:r>
      <w:r w:rsidR="00BC60DA">
        <w:rPr>
          <w:rFonts w:cs="Arial"/>
          <w:iCs w:val="0"/>
          <w:color w:val="auto"/>
          <w:szCs w:val="16"/>
        </w:rPr>
        <w:t>12</w:t>
      </w:r>
    </w:p>
    <w:p w14:paraId="0A2A54E4" w14:textId="15852C78" w:rsidR="00751E0B" w:rsidRPr="004B399F" w:rsidRDefault="00751E0B" w:rsidP="00751E0B">
      <w:pPr>
        <w:pStyle w:val="StyleCopyrightStatementAfter0ptBottomSinglesolidline1"/>
        <w:rPr>
          <w:rFonts w:ascii="Times New Roman" w:hAnsi="Times New Roman"/>
          <w:sz w:val="20"/>
        </w:rPr>
      </w:pPr>
    </w:p>
    <w:p w14:paraId="3107B20A" w14:textId="77777777" w:rsidR="008D7F04" w:rsidRPr="004B399F" w:rsidRDefault="008D7F04" w:rsidP="00751E0B">
      <w:pPr>
        <w:pStyle w:val="StyleCopyrightStatementAfter0ptBottomSinglesolidline1"/>
        <w:rPr>
          <w:rFonts w:ascii="Times New Roman" w:hAnsi="Times New Roman"/>
          <w:sz w:val="20"/>
        </w:rPr>
      </w:pPr>
    </w:p>
    <w:p w14:paraId="75582630" w14:textId="4C6B1713" w:rsidR="008D7F04" w:rsidRPr="004B399F" w:rsidRDefault="008D7F04" w:rsidP="002D10E2">
      <w:pPr>
        <w:pStyle w:val="BodyTextMain"/>
      </w:pPr>
      <w:r w:rsidRPr="004B399F">
        <w:t xml:space="preserve">It was June 2018 and Michelle </w:t>
      </w:r>
      <w:proofErr w:type="spellStart"/>
      <w:r w:rsidRPr="004B399F">
        <w:t>Beauchesne</w:t>
      </w:r>
      <w:proofErr w:type="spellEnd"/>
      <w:r w:rsidRPr="004B399F">
        <w:t xml:space="preserve">, </w:t>
      </w:r>
      <w:r w:rsidR="00BD2750" w:rsidRPr="004B399F">
        <w:t>f</w:t>
      </w:r>
      <w:r w:rsidRPr="004B399F">
        <w:t xml:space="preserve">acilities </w:t>
      </w:r>
      <w:r w:rsidR="00BD2750" w:rsidRPr="004B399F">
        <w:t>e</w:t>
      </w:r>
      <w:r w:rsidRPr="004B399F">
        <w:t xml:space="preserve">ngineer and </w:t>
      </w:r>
      <w:r w:rsidR="00BD2750" w:rsidRPr="004B399F">
        <w:t>p</w:t>
      </w:r>
      <w:r w:rsidRPr="004B399F">
        <w:t xml:space="preserve">roject </w:t>
      </w:r>
      <w:r w:rsidR="00BD2750" w:rsidRPr="004B399F">
        <w:t>m</w:t>
      </w:r>
      <w:r w:rsidRPr="004B399F">
        <w:t xml:space="preserve">anager at the </w:t>
      </w:r>
      <w:r w:rsidR="00D76421" w:rsidRPr="004B399F">
        <w:t xml:space="preserve">Brimstone Sulphur Forming Facility </w:t>
      </w:r>
      <w:r w:rsidRPr="004B399F">
        <w:t>(</w:t>
      </w:r>
      <w:r w:rsidR="00D76421" w:rsidRPr="004B399F">
        <w:t>Brimstone</w:t>
      </w:r>
      <w:r w:rsidRPr="004B399F">
        <w:t xml:space="preserve">), </w:t>
      </w:r>
      <w:r w:rsidR="00041413" w:rsidRPr="004B399F">
        <w:t>was reviewing</w:t>
      </w:r>
      <w:r w:rsidRPr="004B399F">
        <w:t xml:space="preserve"> a memo from </w:t>
      </w:r>
      <w:r w:rsidR="00D76421" w:rsidRPr="004B399F">
        <w:t>Brimstone</w:t>
      </w:r>
      <w:r w:rsidRPr="004B399F">
        <w:t xml:space="preserve">’s parent company, </w:t>
      </w:r>
      <w:r w:rsidR="00D76421" w:rsidRPr="004B399F">
        <w:t xml:space="preserve">Gesner Gas Works (Gesner). </w:t>
      </w:r>
      <w:r w:rsidRPr="004B399F">
        <w:t>After several years of lacklust</w:t>
      </w:r>
      <w:r w:rsidR="00421D70" w:rsidRPr="004B399F">
        <w:t>r</w:t>
      </w:r>
      <w:r w:rsidRPr="004B399F">
        <w:t xml:space="preserve">e sales figures, head office was demanding new initiatives that would increase profitability at each plant. </w:t>
      </w:r>
      <w:r w:rsidR="00D76421" w:rsidRPr="004B399F">
        <w:t>Brimstone</w:t>
      </w:r>
      <w:r w:rsidR="00DD2C61" w:rsidRPr="004B399F">
        <w:t>,</w:t>
      </w:r>
      <w:r w:rsidRPr="004B399F">
        <w:t xml:space="preserve"> </w:t>
      </w:r>
      <w:r w:rsidR="00DD2C61" w:rsidRPr="004B399F">
        <w:t>l</w:t>
      </w:r>
      <w:r w:rsidR="0077221B" w:rsidRPr="004B399F">
        <w:t xml:space="preserve">ocated in Alberta, Canada, </w:t>
      </w:r>
      <w:r w:rsidRPr="004B399F">
        <w:t xml:space="preserve">was no exception to the slump in profits. The recent oil and gas recession had significantly </w:t>
      </w:r>
      <w:r w:rsidR="00DD2C61" w:rsidRPr="004B399F">
        <w:t xml:space="preserve">affected </w:t>
      </w:r>
      <w:r w:rsidRPr="004B399F">
        <w:t xml:space="preserve">Alberta and left </w:t>
      </w:r>
      <w:r w:rsidR="00D76421" w:rsidRPr="004B399F">
        <w:t>Brimstone</w:t>
      </w:r>
      <w:r w:rsidRPr="004B399F">
        <w:t xml:space="preserve"> in a precarious state. </w:t>
      </w:r>
      <w:proofErr w:type="spellStart"/>
      <w:r w:rsidRPr="004B399F">
        <w:t>Beauchesne</w:t>
      </w:r>
      <w:proofErr w:type="spellEnd"/>
      <w:r w:rsidRPr="004B399F">
        <w:t xml:space="preserve"> had several ideas for increasing profitability at the forming facility and wanted </w:t>
      </w:r>
      <w:r w:rsidR="00DD2C61" w:rsidRPr="004B399F">
        <w:t xml:space="preserve">to </w:t>
      </w:r>
      <w:r w:rsidRPr="004B399F">
        <w:t>ensure she was choosing the most feasible and lucrative option before presenting her proposal to head office.</w:t>
      </w:r>
    </w:p>
    <w:p w14:paraId="51BDFAFE" w14:textId="77777777" w:rsidR="008D7F04" w:rsidRPr="004B399F" w:rsidRDefault="008D7F04" w:rsidP="002D10E2">
      <w:pPr>
        <w:pStyle w:val="BodyTextMain"/>
      </w:pPr>
    </w:p>
    <w:p w14:paraId="0052D059" w14:textId="77777777" w:rsidR="008D7F04" w:rsidRPr="004B399F" w:rsidRDefault="008D7F04" w:rsidP="002D10E2">
      <w:pPr>
        <w:pStyle w:val="BodyTextMain"/>
      </w:pPr>
    </w:p>
    <w:p w14:paraId="040F934B" w14:textId="77777777" w:rsidR="008D7F04" w:rsidRPr="004B399F" w:rsidRDefault="008D7F04" w:rsidP="006738B9">
      <w:pPr>
        <w:pStyle w:val="Casehead1"/>
      </w:pPr>
      <w:r w:rsidRPr="004B399F">
        <w:t>ALBERTA, CANADA</w:t>
      </w:r>
    </w:p>
    <w:p w14:paraId="6492571F" w14:textId="77777777" w:rsidR="008D7F04" w:rsidRPr="004B399F" w:rsidRDefault="008D7F04" w:rsidP="002D10E2">
      <w:pPr>
        <w:pStyle w:val="BodyTextMain"/>
      </w:pPr>
    </w:p>
    <w:p w14:paraId="5D253549" w14:textId="328A9CFE" w:rsidR="008D7F04" w:rsidRPr="004B399F" w:rsidRDefault="008D7F04" w:rsidP="002D10E2">
      <w:pPr>
        <w:pStyle w:val="BodyTextMain"/>
      </w:pPr>
      <w:r w:rsidRPr="004B399F">
        <w:t>Alberta was the fourth</w:t>
      </w:r>
      <w:r w:rsidR="009E6DE6">
        <w:t>-</w:t>
      </w:r>
      <w:r w:rsidRPr="004B399F">
        <w:t>most populous province in Canada and home to six UNESCO</w:t>
      </w:r>
      <w:r w:rsidRPr="004B399F">
        <w:rPr>
          <w:rStyle w:val="FootnoteReference"/>
        </w:rPr>
        <w:footnoteReference w:id="1"/>
      </w:r>
      <w:r w:rsidRPr="004B399F">
        <w:t xml:space="preserve"> world heritage sites. One of the biggest drivers of Alberta’s economy was the energy sector, contributing over </w:t>
      </w:r>
      <w:r w:rsidR="00CD75E4" w:rsidRPr="004B399F">
        <w:t>CA</w:t>
      </w:r>
      <w:r w:rsidRPr="004B399F">
        <w:t>$71.5 billion</w:t>
      </w:r>
      <w:r w:rsidR="00CD75E4" w:rsidRPr="004B399F">
        <w:rPr>
          <w:rStyle w:val="FootnoteReference"/>
        </w:rPr>
        <w:footnoteReference w:id="2"/>
      </w:r>
      <w:r w:rsidRPr="004B399F">
        <w:t xml:space="preserve"> to Canada’s </w:t>
      </w:r>
      <w:r w:rsidR="00CD75E4" w:rsidRPr="004B399F">
        <w:t>gross domestic product (</w:t>
      </w:r>
      <w:r w:rsidRPr="004B399F">
        <w:t>GDP</w:t>
      </w:r>
      <w:r w:rsidR="00CD75E4" w:rsidRPr="004B399F">
        <w:t>)</w:t>
      </w:r>
      <w:r w:rsidRPr="004B399F">
        <w:t xml:space="preserve">. </w:t>
      </w:r>
      <w:r w:rsidR="00CD75E4" w:rsidRPr="004B399F">
        <w:t xml:space="preserve">Alberta’s </w:t>
      </w:r>
      <w:r w:rsidRPr="004B399F">
        <w:t>Athabasca oil sands contained the largest proven reserves of oil in the world outside Saudi Arabia. Globally, Canada was the fourth</w:t>
      </w:r>
      <w:r w:rsidR="009E6DE6">
        <w:t>-</w:t>
      </w:r>
      <w:r w:rsidRPr="004B399F">
        <w:t>largest producer and sixth</w:t>
      </w:r>
      <w:r w:rsidR="009E6DE6">
        <w:t>-</w:t>
      </w:r>
      <w:r w:rsidRPr="004B399F">
        <w:t xml:space="preserve">largest exporter of natural gas, with Alberta accounting for 69 per cent of </w:t>
      </w:r>
      <w:r w:rsidR="00CD75E4" w:rsidRPr="004B399F">
        <w:t xml:space="preserve">Canada’s </w:t>
      </w:r>
      <w:r w:rsidRPr="004B399F">
        <w:t>16.7 billion cubic metres per day of production.</w:t>
      </w:r>
      <w:r w:rsidRPr="004B399F">
        <w:rPr>
          <w:rStyle w:val="FootnoteReference"/>
        </w:rPr>
        <w:footnoteReference w:id="3"/>
      </w:r>
    </w:p>
    <w:p w14:paraId="777A103A" w14:textId="77777777" w:rsidR="008D7F04" w:rsidRPr="004B399F" w:rsidRDefault="008D7F04" w:rsidP="002D10E2">
      <w:pPr>
        <w:pStyle w:val="BodyTextMain"/>
      </w:pPr>
    </w:p>
    <w:p w14:paraId="20CD71B1" w14:textId="77777777" w:rsidR="008D7F04" w:rsidRPr="004B399F" w:rsidRDefault="008D7F04" w:rsidP="002D10E2">
      <w:pPr>
        <w:pStyle w:val="BodyTextMain"/>
      </w:pPr>
    </w:p>
    <w:p w14:paraId="048F4715" w14:textId="77777777" w:rsidR="008D7F04" w:rsidRPr="004B399F" w:rsidRDefault="008D7F04" w:rsidP="002D10E2">
      <w:pPr>
        <w:pStyle w:val="Casehead1"/>
      </w:pPr>
      <w:r w:rsidRPr="004B399F">
        <w:t>THE SULPHUR INDUSTRY</w:t>
      </w:r>
    </w:p>
    <w:p w14:paraId="07A69174" w14:textId="77777777" w:rsidR="008D7F04" w:rsidRPr="004B399F" w:rsidRDefault="008D7F04" w:rsidP="002D10E2">
      <w:pPr>
        <w:pStyle w:val="BodyTextMain"/>
      </w:pPr>
    </w:p>
    <w:p w14:paraId="2994ADF0" w14:textId="0AB59CA3" w:rsidR="00BE0CB1" w:rsidRPr="004B399F" w:rsidRDefault="00BE0CB1" w:rsidP="00BE0CB1">
      <w:pPr>
        <w:pStyle w:val="BodyTextMain"/>
      </w:pPr>
      <w:r w:rsidRPr="004B399F">
        <w:t>Elemental sulphur, yellow in colour, could be distinguished by its unique and unsavoury odour that paralleled rotten eggs</w:t>
      </w:r>
      <w:r w:rsidRPr="004B399F">
        <w:rPr>
          <w:rStyle w:val="CommentReference"/>
        </w:rPr>
        <w:t/>
      </w:r>
      <w:r w:rsidRPr="004B399F">
        <w:t>. It was the fifth</w:t>
      </w:r>
      <w:r w:rsidR="009E6DE6">
        <w:t>-</w:t>
      </w:r>
      <w:r w:rsidRPr="004B399F">
        <w:t>most common element on earth and could be found occurring naturally near hot springs and volcanic regions. Sulphur was a by-product of processing natural gas and refining high-sulphur crude oils. It existed in natural gas as hydrogen sulphide (H</w:t>
      </w:r>
      <w:r w:rsidRPr="004B399F">
        <w:rPr>
          <w:vertAlign w:val="subscript"/>
        </w:rPr>
        <w:t>2</w:t>
      </w:r>
      <w:r w:rsidRPr="004B399F">
        <w:t>S), which was known as “sour gas” when the H</w:t>
      </w:r>
      <w:r w:rsidRPr="004B399F">
        <w:rPr>
          <w:vertAlign w:val="subscript"/>
        </w:rPr>
        <w:t>2</w:t>
      </w:r>
      <w:r w:rsidRPr="004B399F">
        <w:t xml:space="preserve">S content was greater than 5.7 milligrams per cubic metre of natural gas. </w:t>
      </w:r>
    </w:p>
    <w:p w14:paraId="47E1A3F5" w14:textId="77777777" w:rsidR="00BE0CB1" w:rsidRPr="004B399F" w:rsidRDefault="00BE0CB1" w:rsidP="00BE0CB1">
      <w:pPr>
        <w:pStyle w:val="BodyTextMain"/>
      </w:pPr>
    </w:p>
    <w:p w14:paraId="365BCAB1" w14:textId="74F467AE" w:rsidR="00BE0CB1" w:rsidRPr="004B399F" w:rsidRDefault="00BE0CB1" w:rsidP="00BE0CB1">
      <w:pPr>
        <w:pStyle w:val="BodyTextMain"/>
      </w:pPr>
      <w:r w:rsidRPr="004B399F">
        <w:lastRenderedPageBreak/>
        <w:t>H</w:t>
      </w:r>
      <w:r w:rsidRPr="004B399F">
        <w:rPr>
          <w:vertAlign w:val="subscript"/>
        </w:rPr>
        <w:t>2</w:t>
      </w:r>
      <w:r w:rsidRPr="004B399F">
        <w:t>S was removed from natural gas through an amine treatment process—the use of a liquid solvent in a process known as “sweetening” because the solvent “sweetened” the smell of the natural gas by removing the malodorous sulphur</w:t>
      </w:r>
      <w:r w:rsidR="004A43BE">
        <w:t>.</w:t>
      </w:r>
      <w:r w:rsidR="004A43BE">
        <w:rPr>
          <w:rStyle w:val="FootnoteReference"/>
        </w:rPr>
        <w:footnoteReference w:id="4"/>
      </w:r>
      <w:r w:rsidRPr="004B399F">
        <w:t xml:space="preserve"> The liquid solution was then converted to elemental sulphur using the Claus process, which involved heat (thermal) and accelerated chemical (catalytic) reactions to extract the elemental sulphur from the mixture</w:t>
      </w:r>
      <w:r w:rsidRPr="004B399F">
        <w:rPr>
          <w:rStyle w:val="CommentReference"/>
        </w:rPr>
        <w:t/>
      </w:r>
      <w:r w:rsidRPr="004B399F">
        <w:t>. Exposure to H</w:t>
      </w:r>
      <w:r w:rsidRPr="004B399F">
        <w:rPr>
          <w:vertAlign w:val="subscript"/>
        </w:rPr>
        <w:t>2</w:t>
      </w:r>
      <w:r w:rsidRPr="004B399F">
        <w:t xml:space="preserve">S could be serious and life-threatening: concentrations over 1,000 parts per million caused immediate collapse with loss of breathing that </w:t>
      </w:r>
      <w:r w:rsidR="009E6DE6">
        <w:t>led</w:t>
      </w:r>
      <w:r w:rsidR="009E6DE6" w:rsidRPr="004B399F">
        <w:t xml:space="preserve"> </w:t>
      </w:r>
      <w:r w:rsidRPr="004B399F">
        <w:t>to death. In the United States, 52 workers died of H</w:t>
      </w:r>
      <w:r w:rsidRPr="004B399F">
        <w:rPr>
          <w:vertAlign w:val="subscript"/>
        </w:rPr>
        <w:t>2</w:t>
      </w:r>
      <w:r w:rsidRPr="004B399F">
        <w:t>S toxicity in a seven-year period</w:t>
      </w:r>
      <w:r w:rsidR="00DD2098">
        <w:t>.</w:t>
      </w:r>
      <w:r w:rsidR="00DD2098">
        <w:rPr>
          <w:rStyle w:val="FootnoteReference"/>
        </w:rPr>
        <w:footnoteReference w:id="5"/>
      </w:r>
    </w:p>
    <w:p w14:paraId="7A7BB639" w14:textId="77777777" w:rsidR="00BE0CB1" w:rsidRPr="004B399F" w:rsidRDefault="00BE0CB1" w:rsidP="00BE0CB1">
      <w:pPr>
        <w:pStyle w:val="BodyTextMain"/>
      </w:pPr>
    </w:p>
    <w:p w14:paraId="7DAA85A3" w14:textId="33A47942" w:rsidR="008D7F04" w:rsidRPr="004B399F" w:rsidRDefault="00BE0CB1" w:rsidP="00BE0CB1">
      <w:pPr>
        <w:pStyle w:val="BodyTextMain"/>
      </w:pPr>
      <w:r w:rsidRPr="004B399F">
        <w:t>The majority of sulphur was transported as a bulk solid because its high melting poin</w:t>
      </w:r>
      <w:r w:rsidR="00DD2098">
        <w:t>t</w:t>
      </w:r>
      <w:r w:rsidR="00DD2098">
        <w:rPr>
          <w:rStyle w:val="FootnoteReference"/>
        </w:rPr>
        <w:footnoteReference w:id="6"/>
      </w:r>
      <w:r w:rsidRPr="004B399F">
        <w:t xml:space="preserve"> of 115</w:t>
      </w:r>
      <w:r w:rsidRPr="004B399F">
        <w:rPr>
          <w:vertAlign w:val="superscript"/>
        </w:rPr>
        <w:t xml:space="preserve"> </w:t>
      </w:r>
      <w:r w:rsidRPr="004B399F">
        <w:t>degrees</w:t>
      </w:r>
      <w:r w:rsidRPr="004B399F">
        <w:rPr>
          <w:vertAlign w:val="superscript"/>
        </w:rPr>
        <w:t xml:space="preserve"> </w:t>
      </w:r>
      <w:r w:rsidRPr="004B399F">
        <w:t>Celsius made it difficult or impractical to maintain sulphur as a liquid. Unfortunately, handling sulphur as a solid could create excessive amounts of sulphur dust, which was largely flammable, posing significant fire hazard risks. There had been considerable development in forming methods for sulphur over the years, one of which was the forming of sulphur pastilles. The grain-sized pellets of solidified sulphur, about 3 to 5 centimetres in diameter</w:t>
      </w:r>
      <w:r w:rsidRPr="004B399F">
        <w:rPr>
          <w:rStyle w:val="CommentReference"/>
        </w:rPr>
        <w:t/>
      </w:r>
      <w:r w:rsidRPr="004B399F">
        <w:t>,</w:t>
      </w:r>
      <w:r w:rsidR="004B399F" w:rsidRPr="004B399F">
        <w:rPr>
          <w:rStyle w:val="FootnoteReference"/>
        </w:rPr>
        <w:t xml:space="preserve"> </w:t>
      </w:r>
      <w:r w:rsidRPr="004B399F">
        <w:t>could be handled without giving rise to excessive amounts of dust.</w:t>
      </w:r>
    </w:p>
    <w:p w14:paraId="11D5AADD" w14:textId="77777777" w:rsidR="008D7F04" w:rsidRPr="004B399F" w:rsidRDefault="008D7F04" w:rsidP="002D10E2">
      <w:pPr>
        <w:pStyle w:val="BodyTextMain"/>
      </w:pPr>
    </w:p>
    <w:p w14:paraId="4D08A272" w14:textId="1DA0D2DA" w:rsidR="008D7F04" w:rsidRPr="004B399F" w:rsidRDefault="008D7F04" w:rsidP="002D10E2">
      <w:pPr>
        <w:pStyle w:val="BodyTextMain"/>
      </w:pPr>
      <w:r w:rsidRPr="004B399F">
        <w:t xml:space="preserve">The sulphur industry in Canada was tied directly to the oil </w:t>
      </w:r>
      <w:r w:rsidR="00577711" w:rsidRPr="004B399F">
        <w:t xml:space="preserve">and </w:t>
      </w:r>
      <w:r w:rsidRPr="004B399F">
        <w:t>gas industry</w:t>
      </w:r>
      <w:r w:rsidR="00577711" w:rsidRPr="004B399F">
        <w:t xml:space="preserve">, which, in Canada, </w:t>
      </w:r>
      <w:r w:rsidRPr="004B399F">
        <w:t>made up 5.6 per cent of total GDP in 2018 and typically governed the economic position of the country</w:t>
      </w:r>
      <w:r w:rsidR="00577711" w:rsidRPr="004B399F">
        <w:t>.</w:t>
      </w:r>
      <w:r w:rsidRPr="004B399F">
        <w:rPr>
          <w:rStyle w:val="FootnoteReference"/>
        </w:rPr>
        <w:footnoteReference w:id="7"/>
      </w:r>
      <w:r w:rsidRPr="004B399F">
        <w:t xml:space="preserve"> Sulphur was mainly used in the production of fertilizer and pharmaceuticals. As with any other commodity, pricing could be volatile and was depend</w:t>
      </w:r>
      <w:r w:rsidR="005020E8" w:rsidRPr="004B399F">
        <w:t>e</w:t>
      </w:r>
      <w:r w:rsidRPr="004B399F">
        <w:t>nt on market demand and a variety of other external factors. In 2016, the price of oil significantly dropped</w:t>
      </w:r>
      <w:r w:rsidR="005020E8" w:rsidRPr="004B399F">
        <w:t>,</w:t>
      </w:r>
      <w:r w:rsidRPr="004B399F">
        <w:t xml:space="preserve"> leading to a decrease in the production of oil and natural gas</w:t>
      </w:r>
      <w:r w:rsidR="005020E8" w:rsidRPr="004B399F">
        <w:t xml:space="preserve"> that, in turn,</w:t>
      </w:r>
      <w:r w:rsidRPr="004B399F">
        <w:t xml:space="preserve"> impacted the production and price of sulphur. The </w:t>
      </w:r>
      <w:r w:rsidR="005020E8" w:rsidRPr="004B399F">
        <w:t xml:space="preserve">resultant </w:t>
      </w:r>
      <w:r w:rsidRPr="004B399F">
        <w:t xml:space="preserve">sluggish economy led to a loss of jobs in Alberta. By June 2018, </w:t>
      </w:r>
      <w:r w:rsidR="005020E8" w:rsidRPr="004B399F">
        <w:t xml:space="preserve">while </w:t>
      </w:r>
      <w:r w:rsidRPr="004B399F">
        <w:t xml:space="preserve">sulphur prices </w:t>
      </w:r>
      <w:r w:rsidR="005020E8" w:rsidRPr="004B399F">
        <w:t xml:space="preserve">had risen </w:t>
      </w:r>
      <w:r w:rsidRPr="004B399F">
        <w:t xml:space="preserve">compared </w:t>
      </w:r>
      <w:r w:rsidR="009E6DE6">
        <w:t>with</w:t>
      </w:r>
      <w:r w:rsidR="009E6DE6" w:rsidRPr="004B399F">
        <w:t xml:space="preserve"> </w:t>
      </w:r>
      <w:r w:rsidRPr="004B399F">
        <w:t>their 2016 lows</w:t>
      </w:r>
      <w:r w:rsidR="00AC29CB" w:rsidRPr="004B399F">
        <w:t>, they</w:t>
      </w:r>
      <w:r w:rsidRPr="004B399F">
        <w:t xml:space="preserve"> </w:t>
      </w:r>
      <w:r w:rsidR="00AC29CB" w:rsidRPr="004B399F">
        <w:t xml:space="preserve">were </w:t>
      </w:r>
      <w:r w:rsidRPr="004B399F">
        <w:t>not yet at their pre-201</w:t>
      </w:r>
      <w:r w:rsidR="00DD2098">
        <w:t>6</w:t>
      </w:r>
      <w:r w:rsidRPr="004B399F">
        <w:t xml:space="preserve"> level (see Exhibit 1).</w:t>
      </w:r>
    </w:p>
    <w:p w14:paraId="5F4CD82A" w14:textId="77777777" w:rsidR="008D7F04" w:rsidRPr="004B399F" w:rsidRDefault="008D7F04" w:rsidP="002D10E2">
      <w:pPr>
        <w:pStyle w:val="BodyTextMain"/>
      </w:pPr>
    </w:p>
    <w:p w14:paraId="220D9A8D" w14:textId="77777777" w:rsidR="008D7F04" w:rsidRPr="004B399F" w:rsidRDefault="008D7F04" w:rsidP="002D10E2">
      <w:pPr>
        <w:pStyle w:val="BodyTextMain"/>
      </w:pPr>
    </w:p>
    <w:p w14:paraId="138115F3" w14:textId="77777777" w:rsidR="00F51A24" w:rsidRPr="004B399F" w:rsidRDefault="00F51A24" w:rsidP="002D10E2">
      <w:pPr>
        <w:pStyle w:val="Casehead1"/>
      </w:pPr>
      <w:r w:rsidRPr="004B399F">
        <w:t>MICHELLE BEAUCHESNE</w:t>
      </w:r>
    </w:p>
    <w:p w14:paraId="5A33C3A9" w14:textId="77777777" w:rsidR="00F51A24" w:rsidRPr="004B399F" w:rsidRDefault="00F51A24" w:rsidP="002D10E2">
      <w:pPr>
        <w:pStyle w:val="BodyTextMain"/>
      </w:pPr>
    </w:p>
    <w:p w14:paraId="0EE60B51" w14:textId="0C69857A" w:rsidR="00F51A24" w:rsidRPr="004B399F" w:rsidRDefault="00F51A24" w:rsidP="002D10E2">
      <w:pPr>
        <w:pStyle w:val="BodyTextMain"/>
      </w:pPr>
      <w:r w:rsidRPr="004B399F">
        <w:t xml:space="preserve">Michelle </w:t>
      </w:r>
      <w:proofErr w:type="spellStart"/>
      <w:r w:rsidRPr="004B399F">
        <w:t>Beauchesne</w:t>
      </w:r>
      <w:proofErr w:type="spellEnd"/>
      <w:r w:rsidRPr="004B399F">
        <w:t xml:space="preserve"> graduated with a bachelor of engineering science degree in biochemical engineering from Western University in London, Ontario, Canada. Upon graduation, she began her career as a process engineer, designing gas processing facilities in Alberta and Australia. After two years, she decided to join </w:t>
      </w:r>
      <w:r w:rsidR="00D76421" w:rsidRPr="004B399F">
        <w:t>Gesner</w:t>
      </w:r>
      <w:r w:rsidRPr="004B399F">
        <w:t xml:space="preserve"> as a facilities engineer and project manager at </w:t>
      </w:r>
      <w:r w:rsidR="00D76421" w:rsidRPr="004B399F">
        <w:t>Brimstone</w:t>
      </w:r>
      <w:r w:rsidRPr="004B399F">
        <w:t>. Her goal was to gain valuable field experience implementing design projects and working with plant operators.</w:t>
      </w:r>
    </w:p>
    <w:p w14:paraId="2A4CE736" w14:textId="634ED2B7" w:rsidR="00F51A24" w:rsidRPr="004B399F" w:rsidRDefault="00F51A24" w:rsidP="002D10E2">
      <w:pPr>
        <w:pStyle w:val="BodyTextMain"/>
      </w:pPr>
    </w:p>
    <w:p w14:paraId="61F696FD" w14:textId="77777777" w:rsidR="00F51A24" w:rsidRPr="004B399F" w:rsidRDefault="00F51A24" w:rsidP="002D10E2">
      <w:pPr>
        <w:pStyle w:val="BodyTextMain"/>
      </w:pPr>
    </w:p>
    <w:p w14:paraId="7EEEDE26" w14:textId="7142CE10" w:rsidR="008D7F04" w:rsidRPr="004B399F" w:rsidRDefault="00D76421" w:rsidP="002D10E2">
      <w:pPr>
        <w:pStyle w:val="Casehead1"/>
      </w:pPr>
      <w:r w:rsidRPr="004B399F">
        <w:t>GESNER</w:t>
      </w:r>
      <w:r w:rsidR="008D7F04" w:rsidRPr="004B399F">
        <w:t xml:space="preserve"> ENERGY COMPANY</w:t>
      </w:r>
    </w:p>
    <w:p w14:paraId="2CCD4A39" w14:textId="77777777" w:rsidR="008D7F04" w:rsidRPr="004B399F" w:rsidRDefault="008D7F04" w:rsidP="002D10E2">
      <w:pPr>
        <w:pStyle w:val="BodyTextMain"/>
      </w:pPr>
    </w:p>
    <w:p w14:paraId="5AA52E45" w14:textId="26230784" w:rsidR="008D7F04" w:rsidRPr="004B399F" w:rsidRDefault="00D76421" w:rsidP="002D10E2">
      <w:pPr>
        <w:pStyle w:val="BodyTextMain"/>
      </w:pPr>
      <w:r w:rsidRPr="004B399F">
        <w:t>Gesner</w:t>
      </w:r>
      <w:r w:rsidR="008D7F04" w:rsidRPr="004B399F">
        <w:t xml:space="preserve"> was a Canadian oil and gas company headquartered in Alberta, Canada. It was a vertically integrated company, active in almost every area of the oil and gas industry, including exploration and production, refining, transport, and power generation. The company had a proven record of growth and placed particular emphasis on employee health and safety alongside risk-mitigation strategies.</w:t>
      </w:r>
    </w:p>
    <w:p w14:paraId="0DECE470" w14:textId="77777777" w:rsidR="008D7F04" w:rsidRPr="004B399F" w:rsidRDefault="008D7F04" w:rsidP="002D10E2">
      <w:pPr>
        <w:pStyle w:val="BodyTextMain"/>
      </w:pPr>
    </w:p>
    <w:p w14:paraId="227E58CA" w14:textId="6B8D4DB3" w:rsidR="00F51A24" w:rsidRPr="004B399F" w:rsidRDefault="00F51A24" w:rsidP="002D10E2">
      <w:pPr>
        <w:pStyle w:val="BodyTextMain"/>
      </w:pPr>
      <w:r w:rsidRPr="004B399F">
        <w:t xml:space="preserve">The company owned a collection of assets known as the </w:t>
      </w:r>
      <w:r w:rsidR="003353D9" w:rsidRPr="004B399F">
        <w:t>Clarke</w:t>
      </w:r>
      <w:r w:rsidRPr="004B399F">
        <w:t xml:space="preserve"> Gas Complex. The complex consisted of three sour gas plants—</w:t>
      </w:r>
      <w:r w:rsidR="003353D9" w:rsidRPr="004B399F">
        <w:t>Clarke</w:t>
      </w:r>
      <w:r w:rsidRPr="004B399F">
        <w:t xml:space="preserve">, </w:t>
      </w:r>
      <w:r w:rsidR="00BE0CB1" w:rsidRPr="004B399F">
        <w:t>Flag</w:t>
      </w:r>
      <w:r w:rsidRPr="004B399F">
        <w:t xml:space="preserve">, and </w:t>
      </w:r>
      <w:proofErr w:type="spellStart"/>
      <w:r w:rsidRPr="004B399F">
        <w:t>Nibel</w:t>
      </w:r>
      <w:proofErr w:type="spellEnd"/>
      <w:r w:rsidRPr="004B399F">
        <w:t xml:space="preserve">; </w:t>
      </w:r>
      <w:r w:rsidR="00D76421" w:rsidRPr="004B399F">
        <w:t>Brimstone</w:t>
      </w:r>
      <w:r w:rsidRPr="004B399F">
        <w:t>, the sulphur processing facility; and gas fields that fed the assets.</w:t>
      </w:r>
    </w:p>
    <w:p w14:paraId="54044838" w14:textId="29489962" w:rsidR="008D7F04" w:rsidRPr="004B399F" w:rsidRDefault="00D76421" w:rsidP="008459A1">
      <w:pPr>
        <w:pStyle w:val="Casehead2"/>
      </w:pPr>
      <w:r w:rsidRPr="004B399F">
        <w:lastRenderedPageBreak/>
        <w:t>Brimstone</w:t>
      </w:r>
    </w:p>
    <w:p w14:paraId="5D295028" w14:textId="77777777" w:rsidR="00F51A24" w:rsidRPr="004B399F" w:rsidRDefault="00F51A24" w:rsidP="000E3BEC">
      <w:pPr>
        <w:pStyle w:val="BodyTextMain"/>
        <w:keepNext/>
      </w:pPr>
    </w:p>
    <w:p w14:paraId="47A2FFEC" w14:textId="1DD613CF" w:rsidR="008D7F04" w:rsidRPr="004B399F" w:rsidRDefault="00BE0CB1" w:rsidP="000E3BEC">
      <w:pPr>
        <w:pStyle w:val="BodyTextMain"/>
        <w:keepNext/>
      </w:pPr>
      <w:r w:rsidRPr="004B399F">
        <w:t>Brimstone was a sulphur forming facility located in direct proximity to the three sour gas plants</w:t>
      </w:r>
      <w:r w:rsidR="008D7F04" w:rsidRPr="004B399F">
        <w:t xml:space="preserve">. </w:t>
      </w:r>
      <w:r w:rsidR="00F51A24" w:rsidRPr="004B399F">
        <w:t>M</w:t>
      </w:r>
      <w:r w:rsidR="008D7F04" w:rsidRPr="004B399F">
        <w:t xml:space="preserve">olten sulphur was delivered to </w:t>
      </w:r>
      <w:r w:rsidR="00D76421" w:rsidRPr="004B399F">
        <w:t>Brimstone</w:t>
      </w:r>
      <w:r w:rsidR="008D7F04" w:rsidRPr="004B399F">
        <w:t xml:space="preserve"> in two ways: by direct pipeline from </w:t>
      </w:r>
      <w:r w:rsidR="00D76421" w:rsidRPr="004B399F">
        <w:t>Brimstone</w:t>
      </w:r>
      <w:r w:rsidR="00C17644" w:rsidRPr="004B399F">
        <w:t xml:space="preserve">’s </w:t>
      </w:r>
      <w:r w:rsidR="008D7F04" w:rsidRPr="004B399F">
        <w:t>sister</w:t>
      </w:r>
      <w:r w:rsidR="000D55E6">
        <w:t xml:space="preserve"> </w:t>
      </w:r>
      <w:r w:rsidR="008D7F04" w:rsidRPr="004B399F">
        <w:t xml:space="preserve">plant, </w:t>
      </w:r>
      <w:r w:rsidR="003353D9" w:rsidRPr="004B399F">
        <w:t>Clarke</w:t>
      </w:r>
      <w:r w:rsidR="00927B02" w:rsidRPr="004B399F">
        <w:t>,</w:t>
      </w:r>
      <w:r w:rsidR="00C17644" w:rsidRPr="004B399F">
        <w:t xml:space="preserve"> and </w:t>
      </w:r>
      <w:r w:rsidR="008D7F04" w:rsidRPr="004B399F">
        <w:t xml:space="preserve">by truck deliveries from nearby gas processing facilities, including </w:t>
      </w:r>
      <w:r w:rsidRPr="004B399F">
        <w:t>Flag</w:t>
      </w:r>
      <w:r w:rsidR="008D7F04" w:rsidRPr="004B399F">
        <w:t xml:space="preserve"> and </w:t>
      </w:r>
      <w:proofErr w:type="spellStart"/>
      <w:r w:rsidR="008D7F04" w:rsidRPr="004B399F">
        <w:t>Nibel</w:t>
      </w:r>
      <w:proofErr w:type="spellEnd"/>
      <w:r w:rsidR="008D7F04" w:rsidRPr="004B399F">
        <w:t>. On average, trucks travel</w:t>
      </w:r>
      <w:r w:rsidR="00C17644" w:rsidRPr="004B399F">
        <w:t>led</w:t>
      </w:r>
      <w:r w:rsidR="008D7F04" w:rsidRPr="004B399F">
        <w:t xml:space="preserve"> 50 kilometres each way to make a sulphur delivery. Once at </w:t>
      </w:r>
      <w:r w:rsidR="00D76421" w:rsidRPr="004B399F">
        <w:t>Brimstone</w:t>
      </w:r>
      <w:r w:rsidR="008D7F04" w:rsidRPr="004B399F">
        <w:t>, the molten sulphur was converted into pastilles so that they could be shipped by rail to Vancouver, British Columbia. From Vancouver, the sulphur pastilles were exported globally and used in the production of fertilizers.</w:t>
      </w:r>
    </w:p>
    <w:p w14:paraId="5340ED01" w14:textId="77777777" w:rsidR="008D7F04" w:rsidRPr="004B399F" w:rsidRDefault="008D7F04" w:rsidP="002D10E2">
      <w:pPr>
        <w:pStyle w:val="BodyTextMain"/>
      </w:pPr>
    </w:p>
    <w:p w14:paraId="7CD12B42" w14:textId="6D626494" w:rsidR="008D7F04" w:rsidRPr="004B399F" w:rsidRDefault="003353D9" w:rsidP="002D10E2">
      <w:pPr>
        <w:pStyle w:val="BodyTextMain"/>
      </w:pPr>
      <w:r w:rsidRPr="004B399F">
        <w:t>Clarke</w:t>
      </w:r>
      <w:r w:rsidR="008D7F04" w:rsidRPr="004B399F">
        <w:t xml:space="preserve"> was the largest of the </w:t>
      </w:r>
      <w:r w:rsidR="00BE0CB1" w:rsidRPr="004B399F">
        <w:t xml:space="preserve">three </w:t>
      </w:r>
      <w:r w:rsidR="00DD2098">
        <w:t>Gesner</w:t>
      </w:r>
      <w:r w:rsidR="00BE0CB1" w:rsidRPr="004B399F">
        <w:t xml:space="preserve"> Gas processing facilities</w:t>
      </w:r>
      <w:r w:rsidR="008D7F04" w:rsidRPr="004B399F">
        <w:t>, earning average daily revenue</w:t>
      </w:r>
      <w:r w:rsidR="00927B02" w:rsidRPr="004B399F">
        <w:t>s</w:t>
      </w:r>
      <w:r w:rsidR="008D7F04" w:rsidRPr="004B399F">
        <w:t xml:space="preserve"> of $1 million. </w:t>
      </w:r>
      <w:r w:rsidR="00927B02" w:rsidRPr="004B399F">
        <w:t xml:space="preserve">The facility </w:t>
      </w:r>
      <w:r w:rsidR="008D7F04" w:rsidRPr="004B399F">
        <w:t>processed sour gas into natural gas</w:t>
      </w:r>
      <w:r w:rsidR="00927B02" w:rsidRPr="004B399F">
        <w:t xml:space="preserve"> and produced </w:t>
      </w:r>
      <w:r w:rsidR="008D7F04" w:rsidRPr="004B399F">
        <w:t xml:space="preserve">molten sulphur as a by-product. </w:t>
      </w:r>
      <w:r w:rsidRPr="004B399F">
        <w:t>Clarke</w:t>
      </w:r>
      <w:r w:rsidR="00927B02" w:rsidRPr="004B399F">
        <w:t xml:space="preserve"> used the pipeline to send the </w:t>
      </w:r>
      <w:r w:rsidR="008D7F04" w:rsidRPr="004B399F">
        <w:t xml:space="preserve">sulphur to </w:t>
      </w:r>
      <w:r w:rsidR="00D76421" w:rsidRPr="004B399F">
        <w:t>Brimstone</w:t>
      </w:r>
      <w:r w:rsidR="008D7F04" w:rsidRPr="004B399F">
        <w:t xml:space="preserve"> to be processed into pastilles. </w:t>
      </w:r>
      <w:r w:rsidR="00927B02" w:rsidRPr="004B399F">
        <w:t xml:space="preserve">Because </w:t>
      </w:r>
      <w:r w:rsidRPr="004B399F">
        <w:t>Clarke</w:t>
      </w:r>
      <w:r w:rsidR="00927B02" w:rsidRPr="004B399F">
        <w:t xml:space="preserve"> had no on-site storage or </w:t>
      </w:r>
      <w:r w:rsidR="00D821CF" w:rsidRPr="004B399F">
        <w:t xml:space="preserve">truck </w:t>
      </w:r>
      <w:r w:rsidR="00927B02" w:rsidRPr="004B399F">
        <w:t xml:space="preserve">loading capabilities, </w:t>
      </w:r>
      <w:r w:rsidRPr="004B399F">
        <w:t>Clarke</w:t>
      </w:r>
      <w:r w:rsidR="00927B02" w:rsidRPr="004B399F">
        <w:t xml:space="preserve"> </w:t>
      </w:r>
      <w:r w:rsidR="00E24A7A" w:rsidRPr="004B399F">
        <w:t xml:space="preserve">relied on </w:t>
      </w:r>
      <w:r w:rsidR="00D76421" w:rsidRPr="004B399F">
        <w:t>Brimstone</w:t>
      </w:r>
      <w:r w:rsidR="00E24A7A" w:rsidRPr="004B399F">
        <w:t xml:space="preserve"> to be running simultaneously to accept </w:t>
      </w:r>
      <w:r w:rsidRPr="004B399F">
        <w:t>Clarke</w:t>
      </w:r>
      <w:r w:rsidR="00E24A7A" w:rsidRPr="004B399F">
        <w:t>’s sulphur as it was produced</w:t>
      </w:r>
      <w:r w:rsidR="008D7F04" w:rsidRPr="004B399F">
        <w:t>.</w:t>
      </w:r>
    </w:p>
    <w:p w14:paraId="7461D7D6" w14:textId="77777777" w:rsidR="008D7F04" w:rsidRPr="004B399F" w:rsidRDefault="008D7F04" w:rsidP="002D10E2">
      <w:pPr>
        <w:pStyle w:val="BodyTextMain"/>
      </w:pPr>
    </w:p>
    <w:p w14:paraId="12A05564" w14:textId="77777777" w:rsidR="00D40A40" w:rsidRPr="004B399F" w:rsidRDefault="00D40A40" w:rsidP="002D10E2">
      <w:pPr>
        <w:pStyle w:val="BodyTextMain"/>
      </w:pPr>
    </w:p>
    <w:p w14:paraId="4DD62A01" w14:textId="36DD296A" w:rsidR="00D40A40" w:rsidRPr="004B399F" w:rsidRDefault="00D40A40" w:rsidP="002D10E2">
      <w:pPr>
        <w:pStyle w:val="Casehead2"/>
      </w:pPr>
      <w:r w:rsidRPr="004B399F">
        <w:t>Sulphur Production Process</w:t>
      </w:r>
    </w:p>
    <w:p w14:paraId="6EA5C329" w14:textId="77777777" w:rsidR="00D40A40" w:rsidRPr="004B399F" w:rsidRDefault="00D40A40" w:rsidP="002D10E2">
      <w:pPr>
        <w:pStyle w:val="BodyTextMain"/>
      </w:pPr>
    </w:p>
    <w:p w14:paraId="19145D73" w14:textId="3762E66A" w:rsidR="00E24A7A" w:rsidRPr="004B399F" w:rsidRDefault="00BC60DA" w:rsidP="002D10E2">
      <w:pPr>
        <w:pStyle w:val="BodyTextMain"/>
      </w:pPr>
      <w:proofErr w:type="spellStart"/>
      <w:r w:rsidRPr="00BC60DA">
        <w:t>Brimestone</w:t>
      </w:r>
      <w:proofErr w:type="spellEnd"/>
      <w:r w:rsidRPr="00BC60DA">
        <w:t xml:space="preserve"> operated three eight-hour shifts per day all year with little room for error</w:t>
      </w:r>
      <w:r w:rsidR="008D7F04" w:rsidRPr="004B399F">
        <w:t xml:space="preserve"> or downtime. Shutting down the plant had direct repercussions for the upstream processing facility at </w:t>
      </w:r>
      <w:r w:rsidR="003353D9" w:rsidRPr="004B399F">
        <w:t>Clarke</w:t>
      </w:r>
      <w:r w:rsidR="00E24A7A" w:rsidRPr="004B399F">
        <w:t>,</w:t>
      </w:r>
      <w:r w:rsidR="008D7F04" w:rsidRPr="004B399F">
        <w:t xml:space="preserve"> and every minute of downtime resulted in lost production time and financial losses.</w:t>
      </w:r>
    </w:p>
    <w:p w14:paraId="052D0F3C" w14:textId="77777777" w:rsidR="00E24A7A" w:rsidRPr="004B399F" w:rsidRDefault="00E24A7A" w:rsidP="002D10E2">
      <w:pPr>
        <w:pStyle w:val="BodyTextMain"/>
      </w:pPr>
    </w:p>
    <w:p w14:paraId="68A230D7" w14:textId="5DC8FD5A" w:rsidR="008D7F04" w:rsidRPr="004B399F" w:rsidRDefault="008D7F04" w:rsidP="002D10E2">
      <w:pPr>
        <w:pStyle w:val="BodyTextMain"/>
      </w:pPr>
      <w:r w:rsidRPr="004B399F">
        <w:t xml:space="preserve">Offloading capacity at </w:t>
      </w:r>
      <w:r w:rsidR="00D76421" w:rsidRPr="004B399F">
        <w:t>Brimstone</w:t>
      </w:r>
      <w:r w:rsidRPr="004B399F">
        <w:t xml:space="preserve"> was based on the sulphur received from two sources</w:t>
      </w:r>
      <w:r w:rsidR="00E24A7A" w:rsidRPr="004B399F">
        <w:t xml:space="preserve">. </w:t>
      </w:r>
      <w:r w:rsidR="003353D9" w:rsidRPr="004B399F">
        <w:t>Clarke</w:t>
      </w:r>
      <w:r w:rsidRPr="004B399F">
        <w:t xml:space="preserve"> continuously fed sulphur to the forming plant </w:t>
      </w:r>
      <w:r w:rsidR="00E24A7A" w:rsidRPr="004B399F">
        <w:t xml:space="preserve">through the </w:t>
      </w:r>
      <w:r w:rsidRPr="004B399F">
        <w:t>pipeline at a rate of 107 tonnes per hour</w:t>
      </w:r>
      <w:r w:rsidR="00E24A7A" w:rsidRPr="004B399F">
        <w:t>. Sulphur from the other plants was</w:t>
      </w:r>
      <w:r w:rsidRPr="004B399F">
        <w:t xml:space="preserve"> </w:t>
      </w:r>
      <w:r w:rsidR="00E24A7A" w:rsidRPr="004B399F">
        <w:t xml:space="preserve">offloaded </w:t>
      </w:r>
      <w:r w:rsidRPr="004B399F">
        <w:t xml:space="preserve">by truck every 20 minutes with each truck containing 22 tonnes of molten sulphur. </w:t>
      </w:r>
      <w:r w:rsidR="00BC60DA" w:rsidRPr="00BC60DA">
        <w:t>Sulphur from both the trucks and the pipeline were offloaded into one inlet, creating a single step in the process. Next, sulphur would flow into a storage tank with a storage capacity of 20,000 tonnes</w:t>
      </w:r>
      <w:r w:rsidRPr="004B399F">
        <w:t xml:space="preserve"> of molten sulphur (see Exhibit 2). The purpose of the storage tank was to ensure </w:t>
      </w:r>
      <w:r w:rsidR="00D40A40" w:rsidRPr="004B399F">
        <w:t xml:space="preserve">that a </w:t>
      </w:r>
      <w:r w:rsidRPr="004B399F">
        <w:t>continuous supply and flow of sulphur would be available at subsequent steps in the process while reducing volatility in inputs.</w:t>
      </w:r>
    </w:p>
    <w:p w14:paraId="31388AF0" w14:textId="77777777" w:rsidR="008D7F04" w:rsidRPr="004B399F" w:rsidRDefault="008D7F04" w:rsidP="002D10E2">
      <w:pPr>
        <w:pStyle w:val="BodyTextMain"/>
      </w:pPr>
    </w:p>
    <w:p w14:paraId="5892FB78" w14:textId="37D325DF" w:rsidR="00BE0CB1" w:rsidRPr="004B399F" w:rsidRDefault="00D40A40" w:rsidP="00BE0CB1">
      <w:pPr>
        <w:pStyle w:val="BodyTextMain"/>
        <w:rPr>
          <w:i/>
          <w:iCs/>
        </w:rPr>
      </w:pPr>
      <w:r w:rsidRPr="004B399F">
        <w:t>F</w:t>
      </w:r>
      <w:r w:rsidR="008D7F04" w:rsidRPr="004B399F">
        <w:t>our centrifugal pumps</w:t>
      </w:r>
      <w:r w:rsidRPr="004B399F">
        <w:t>,</w:t>
      </w:r>
      <w:r w:rsidR="007D482C" w:rsidRPr="004B399F" w:rsidDel="007D482C">
        <w:rPr>
          <w:rStyle w:val="FootnoteReference"/>
        </w:rPr>
        <w:t xml:space="preserve"> </w:t>
      </w:r>
      <w:r w:rsidR="008D7F04" w:rsidRPr="004B399F">
        <w:t>each operating at a rate of 50 tonnes per hour, propelled sulphur to the next step in the process</w:t>
      </w:r>
      <w:r w:rsidRPr="004B399F">
        <w:t xml:space="preserve">. An additional fifth centrifugal pump, with the same capacity as the other four, was held idle for emergency use only; the pumps were rotated offline to allow for regular maintenance. </w:t>
      </w:r>
      <w:r w:rsidR="00BE0CB1" w:rsidRPr="004B399F">
        <w:t>Four centrifugal pumps, propelled sulphur to the next step in the process. At this point, the molten sulphur could be poured into and solidified in large blocks if needed for</w:t>
      </w:r>
      <w:r w:rsidR="00BE0CB1" w:rsidRPr="004B399F">
        <w:rPr>
          <w:noProof/>
        </w:rPr>
        <w:t xml:space="preserve"> </w:t>
      </w:r>
      <w:r w:rsidR="00BE0CB1" w:rsidRPr="004B399F">
        <w:t xml:space="preserve">storage. Otherwise, the molten sulphur proceeded to the next step, known as </w:t>
      </w:r>
      <w:proofErr w:type="spellStart"/>
      <w:r w:rsidR="00BE0CB1" w:rsidRPr="004B399F">
        <w:rPr>
          <w:i/>
          <w:iCs/>
        </w:rPr>
        <w:t>rotoforming</w:t>
      </w:r>
      <w:proofErr w:type="spellEnd"/>
      <w:r w:rsidR="00BE0CB1" w:rsidRPr="004B399F">
        <w:rPr>
          <w:i/>
          <w:iCs/>
        </w:rPr>
        <w:t>.</w:t>
      </w:r>
    </w:p>
    <w:p w14:paraId="19C61884" w14:textId="77777777" w:rsidR="00BE0CB1" w:rsidRPr="004B399F" w:rsidRDefault="00BE0CB1" w:rsidP="00BE0CB1">
      <w:pPr>
        <w:pStyle w:val="BodyTextMain"/>
        <w:rPr>
          <w:i/>
          <w:iCs/>
        </w:rPr>
      </w:pPr>
    </w:p>
    <w:p w14:paraId="11B1E0C4" w14:textId="19507893" w:rsidR="008D7F04" w:rsidRPr="000E3BEC" w:rsidRDefault="00BE0CB1" w:rsidP="00BE0CB1">
      <w:pPr>
        <w:pStyle w:val="BodyTextMain"/>
        <w:rPr>
          <w:spacing w:val="-4"/>
        </w:rPr>
      </w:pPr>
      <w:r w:rsidRPr="000E3BEC">
        <w:rPr>
          <w:spacing w:val="-4"/>
        </w:rPr>
        <w:t xml:space="preserve">In </w:t>
      </w:r>
      <w:proofErr w:type="spellStart"/>
      <w:r w:rsidRPr="000E3BEC">
        <w:rPr>
          <w:spacing w:val="-4"/>
        </w:rPr>
        <w:t>rotoforming</w:t>
      </w:r>
      <w:proofErr w:type="spellEnd"/>
      <w:r w:rsidRPr="000E3BEC">
        <w:rPr>
          <w:spacing w:val="-4"/>
        </w:rPr>
        <w:t>, molten sulphur was sprayed onto stainless steel conveyors where the sulphur droplets were cooled into solid pastilles.</w:t>
      </w:r>
      <w:r w:rsidRPr="000E3BEC">
        <w:rPr>
          <w:rStyle w:val="CommentReference"/>
          <w:spacing w:val="-4"/>
        </w:rPr>
        <w:t/>
      </w:r>
      <w:r w:rsidRPr="000E3BEC">
        <w:rPr>
          <w:spacing w:val="-4"/>
        </w:rPr>
        <w:t xml:space="preserve"> There were 46 </w:t>
      </w:r>
      <w:proofErr w:type="spellStart"/>
      <w:r w:rsidRPr="000E3BEC">
        <w:rPr>
          <w:spacing w:val="-4"/>
        </w:rPr>
        <w:t>rotoform</w:t>
      </w:r>
      <w:proofErr w:type="spellEnd"/>
      <w:r w:rsidRPr="000E3BEC">
        <w:rPr>
          <w:spacing w:val="-4"/>
        </w:rPr>
        <w:t xml:space="preserve"> machines, each with a capacity of 13 tonnes per hour. Despite the large number of </w:t>
      </w:r>
      <w:proofErr w:type="spellStart"/>
      <w:r w:rsidRPr="000E3BEC">
        <w:rPr>
          <w:spacing w:val="-4"/>
        </w:rPr>
        <w:t>rotoforms</w:t>
      </w:r>
      <w:proofErr w:type="spellEnd"/>
      <w:r w:rsidRPr="000E3BEC">
        <w:rPr>
          <w:spacing w:val="-4"/>
        </w:rPr>
        <w:t xml:space="preserve">, Brimstone ran </w:t>
      </w:r>
      <w:r w:rsidR="000D55E6" w:rsidRPr="000E3BEC">
        <w:rPr>
          <w:spacing w:val="-4"/>
        </w:rPr>
        <w:t xml:space="preserve">only </w:t>
      </w:r>
      <w:r w:rsidRPr="000E3BEC">
        <w:rPr>
          <w:spacing w:val="-4"/>
        </w:rPr>
        <w:t xml:space="preserve">half of these machines at any given time to control the capacity. </w:t>
      </w:r>
      <w:r w:rsidR="00BC60DA" w:rsidRPr="00BC60DA">
        <w:rPr>
          <w:spacing w:val="-4"/>
        </w:rPr>
        <w:t xml:space="preserve">To avoid equipment malfunction, the plant ran the active </w:t>
      </w:r>
      <w:proofErr w:type="spellStart"/>
      <w:r w:rsidR="00BC60DA" w:rsidRPr="00BC60DA">
        <w:rPr>
          <w:spacing w:val="-4"/>
        </w:rPr>
        <w:t>rotoforms</w:t>
      </w:r>
      <w:proofErr w:type="spellEnd"/>
      <w:r w:rsidR="00BC60DA" w:rsidRPr="00BC60DA">
        <w:rPr>
          <w:spacing w:val="-4"/>
        </w:rPr>
        <w:t xml:space="preserve"> at only 80 per cent utilization</w:t>
      </w:r>
      <w:r w:rsidRPr="000E3BEC">
        <w:rPr>
          <w:spacing w:val="-4"/>
        </w:rPr>
        <w:t>.</w:t>
      </w:r>
    </w:p>
    <w:p w14:paraId="59E3001C" w14:textId="77777777" w:rsidR="00BE0CB1" w:rsidRPr="004B399F" w:rsidRDefault="00BE0CB1" w:rsidP="00BE0CB1">
      <w:pPr>
        <w:pStyle w:val="BodyTextMain"/>
      </w:pPr>
    </w:p>
    <w:p w14:paraId="4044B37B" w14:textId="76FB55BF" w:rsidR="004772E3" w:rsidRPr="004B399F" w:rsidRDefault="008D7F04" w:rsidP="002D10E2">
      <w:pPr>
        <w:pStyle w:val="BodyTextMain"/>
      </w:pPr>
      <w:r w:rsidRPr="004B399F">
        <w:t xml:space="preserve">The pastilles were then sent to one of two open-air silos and held in storage. These silos had a capacity of 62,500 tonnes each. From the open-air silos, the pastilles flowed to a granule hopper, which offloaded into rail freight at a rate of 270 tonnes per hour. The trains </w:t>
      </w:r>
      <w:r w:rsidR="008D03C1" w:rsidRPr="004B399F">
        <w:t xml:space="preserve">were </w:t>
      </w:r>
      <w:r w:rsidRPr="004B399F">
        <w:t xml:space="preserve">routed to Vancouver for </w:t>
      </w:r>
      <w:r w:rsidR="008D03C1" w:rsidRPr="004B399F">
        <w:t>export</w:t>
      </w:r>
      <w:r w:rsidRPr="004B399F">
        <w:t xml:space="preserve"> of the sulphur product overseas. </w:t>
      </w:r>
      <w:r w:rsidR="00BE0CB1" w:rsidRPr="004B399F">
        <w:t>Customers were responsible for picking up product at a rate that kept up with the forming plant’s overall throughput, and they assumed responsibility for any cost of freight-out</w:t>
      </w:r>
      <w:r w:rsidR="00BE0CB1" w:rsidRPr="004B399F">
        <w:t/>
      </w:r>
      <w:r w:rsidRPr="004B399F">
        <w:t>.</w:t>
      </w:r>
    </w:p>
    <w:p w14:paraId="1F9D66AC" w14:textId="77777777" w:rsidR="004772E3" w:rsidRPr="004B399F" w:rsidRDefault="004772E3" w:rsidP="002D10E2">
      <w:pPr>
        <w:pStyle w:val="BodyTextMain"/>
      </w:pPr>
    </w:p>
    <w:p w14:paraId="70086DA8" w14:textId="679B5658" w:rsidR="008D7F04" w:rsidRPr="004B399F" w:rsidRDefault="008D7F04" w:rsidP="002D10E2">
      <w:pPr>
        <w:pStyle w:val="BodyTextMain"/>
      </w:pPr>
      <w:r w:rsidRPr="004B399F">
        <w:t xml:space="preserve">The average commodity price of sulphur was forecasted to be </w:t>
      </w:r>
      <w:r w:rsidR="004772E3" w:rsidRPr="004B399F">
        <w:t xml:space="preserve">an average of </w:t>
      </w:r>
      <w:r w:rsidRPr="004B399F">
        <w:t xml:space="preserve">$91 </w:t>
      </w:r>
      <w:r w:rsidR="004772E3" w:rsidRPr="004B399F">
        <w:t xml:space="preserve">per tonne </w:t>
      </w:r>
      <w:r w:rsidRPr="004B399F">
        <w:t xml:space="preserve">for </w:t>
      </w:r>
      <w:r w:rsidR="004772E3" w:rsidRPr="004B399F">
        <w:t xml:space="preserve">fiscal year </w:t>
      </w:r>
      <w:r w:rsidRPr="004B399F">
        <w:t xml:space="preserve">2018. </w:t>
      </w:r>
      <w:r w:rsidR="00D76421" w:rsidRPr="004B399F">
        <w:t>Brimstone</w:t>
      </w:r>
      <w:r w:rsidRPr="004B399F">
        <w:t xml:space="preserve"> saw a margin of 10 per cent on this commodity price.</w:t>
      </w:r>
    </w:p>
    <w:p w14:paraId="70634B48" w14:textId="742059D6" w:rsidR="008D7F04" w:rsidRPr="004B399F" w:rsidRDefault="008D7F04" w:rsidP="002D10E2">
      <w:pPr>
        <w:pStyle w:val="Casehead1"/>
      </w:pPr>
      <w:r w:rsidRPr="004B399F">
        <w:lastRenderedPageBreak/>
        <w:t>THE PROPOSAL</w:t>
      </w:r>
    </w:p>
    <w:p w14:paraId="2C4BFCEC" w14:textId="77777777" w:rsidR="008D7F04" w:rsidRPr="004B399F" w:rsidRDefault="008D7F04" w:rsidP="002D10E2">
      <w:pPr>
        <w:pStyle w:val="BodyTextMain"/>
      </w:pPr>
    </w:p>
    <w:p w14:paraId="7A32B5A2" w14:textId="3B542598" w:rsidR="008D7F04" w:rsidRPr="004B399F" w:rsidRDefault="008D7F04" w:rsidP="002D10E2">
      <w:pPr>
        <w:pStyle w:val="BodyTextMain"/>
      </w:pPr>
      <w:proofErr w:type="spellStart"/>
      <w:r w:rsidRPr="004B399F">
        <w:t>Beauchesne</w:t>
      </w:r>
      <w:proofErr w:type="spellEnd"/>
      <w:r w:rsidRPr="004B399F">
        <w:t xml:space="preserve"> was considering a range of alternatives with the objective of increasing profitability at </w:t>
      </w:r>
      <w:r w:rsidR="00D76421" w:rsidRPr="004B399F">
        <w:t>Brimstone</w:t>
      </w:r>
      <w:r w:rsidRPr="004B399F">
        <w:t xml:space="preserve">. </w:t>
      </w:r>
      <w:r w:rsidR="00A34CA0" w:rsidRPr="004B399F">
        <w:t xml:space="preserve">Because </w:t>
      </w:r>
      <w:r w:rsidRPr="004B399F">
        <w:t>sulphur pastilles were highly sought</w:t>
      </w:r>
      <w:r w:rsidR="00A34CA0" w:rsidRPr="004B399F">
        <w:t>-</w:t>
      </w:r>
      <w:r w:rsidRPr="004B399F">
        <w:t xml:space="preserve">after in the fertilizer industry, </w:t>
      </w:r>
      <w:proofErr w:type="spellStart"/>
      <w:r w:rsidRPr="004B399F">
        <w:t>Beauchesne</w:t>
      </w:r>
      <w:proofErr w:type="spellEnd"/>
      <w:r w:rsidRPr="004B399F">
        <w:t xml:space="preserve"> was not concerned with any limitations on demand.</w:t>
      </w:r>
    </w:p>
    <w:p w14:paraId="066F0822" w14:textId="77777777" w:rsidR="008D7F04" w:rsidRPr="004B399F" w:rsidRDefault="008D7F04" w:rsidP="002D10E2">
      <w:pPr>
        <w:pStyle w:val="BodyTextMain"/>
      </w:pPr>
    </w:p>
    <w:p w14:paraId="6C97B2A0" w14:textId="21B0FDCD" w:rsidR="008D7F04" w:rsidRPr="000E3BEC" w:rsidRDefault="00BC60DA" w:rsidP="002D10E2">
      <w:pPr>
        <w:pStyle w:val="BodyTextMain"/>
        <w:rPr>
          <w:spacing w:val="-2"/>
        </w:rPr>
      </w:pPr>
      <w:proofErr w:type="spellStart"/>
      <w:r w:rsidRPr="00BC60DA">
        <w:rPr>
          <w:spacing w:val="-2"/>
        </w:rPr>
        <w:t>Beauchesne</w:t>
      </w:r>
      <w:proofErr w:type="spellEnd"/>
      <w:r w:rsidRPr="00BC60DA">
        <w:rPr>
          <w:spacing w:val="-2"/>
        </w:rPr>
        <w:t xml:space="preserve"> was keen to implement an alternative th</w:t>
      </w:r>
      <w:r>
        <w:rPr>
          <w:spacing w:val="-2"/>
        </w:rPr>
        <w:t>at</w:t>
      </w:r>
      <w:r w:rsidRPr="00BC60DA">
        <w:rPr>
          <w:spacing w:val="-2"/>
        </w:rPr>
        <w:t xml:space="preserve"> would limit downtime</w:t>
      </w:r>
      <w:r w:rsidR="00836990" w:rsidRPr="000E3BEC">
        <w:rPr>
          <w:spacing w:val="-2"/>
        </w:rPr>
        <w:t xml:space="preserve"> for the regular operations of the plant. Downtime would not only impact the cash flow position of the forming facility; it would also adversely affect upstream production at the </w:t>
      </w:r>
      <w:r w:rsidR="003353D9" w:rsidRPr="000E3BEC">
        <w:rPr>
          <w:spacing w:val="-2"/>
        </w:rPr>
        <w:t>Clarke</w:t>
      </w:r>
      <w:r w:rsidR="00836990" w:rsidRPr="000E3BEC">
        <w:rPr>
          <w:spacing w:val="-2"/>
        </w:rPr>
        <w:t xml:space="preserve"> gas processing facility.</w:t>
      </w:r>
    </w:p>
    <w:p w14:paraId="0BA9F389" w14:textId="68640827" w:rsidR="00836990" w:rsidRPr="004B399F" w:rsidRDefault="00836990" w:rsidP="002D10E2">
      <w:pPr>
        <w:pStyle w:val="BodyTextMain"/>
      </w:pPr>
    </w:p>
    <w:p w14:paraId="6099B581" w14:textId="77777777" w:rsidR="00836990" w:rsidRPr="004B399F" w:rsidRDefault="00836990" w:rsidP="002D10E2">
      <w:pPr>
        <w:pStyle w:val="BodyTextMain"/>
      </w:pPr>
    </w:p>
    <w:p w14:paraId="12AC9FC3" w14:textId="100FC2EF" w:rsidR="008D7F04" w:rsidRPr="004B399F" w:rsidRDefault="008D7F04" w:rsidP="002D10E2">
      <w:pPr>
        <w:pStyle w:val="Casehead2"/>
      </w:pPr>
      <w:r w:rsidRPr="004B399F">
        <w:t xml:space="preserve">Increase </w:t>
      </w:r>
      <w:r w:rsidR="00D821CF" w:rsidRPr="004B399F">
        <w:t xml:space="preserve">Truck </w:t>
      </w:r>
      <w:r w:rsidRPr="004B399F">
        <w:t>Offloading Capacity</w:t>
      </w:r>
    </w:p>
    <w:p w14:paraId="0379A43B" w14:textId="77777777" w:rsidR="008D7F04" w:rsidRPr="004B399F" w:rsidRDefault="008D7F04" w:rsidP="002D10E2">
      <w:pPr>
        <w:pStyle w:val="BodyTextMain"/>
      </w:pPr>
    </w:p>
    <w:p w14:paraId="16226FCE" w14:textId="214A15E6" w:rsidR="00836990" w:rsidRPr="004B399F" w:rsidRDefault="008D7F04" w:rsidP="002D10E2">
      <w:pPr>
        <w:pStyle w:val="BodyTextMain"/>
      </w:pPr>
      <w:proofErr w:type="spellStart"/>
      <w:r w:rsidRPr="004B399F">
        <w:t>Beauchesne</w:t>
      </w:r>
      <w:proofErr w:type="spellEnd"/>
      <w:r w:rsidRPr="004B399F">
        <w:t xml:space="preserve"> knew that </w:t>
      </w:r>
      <w:r w:rsidR="00453FC0" w:rsidRPr="004B399F">
        <w:t>some</w:t>
      </w:r>
      <w:r w:rsidRPr="004B399F">
        <w:t xml:space="preserve"> trucks containing sulphur from the area were </w:t>
      </w:r>
      <w:r w:rsidR="00453FC0" w:rsidRPr="004B399F">
        <w:t xml:space="preserve">not </w:t>
      </w:r>
      <w:r w:rsidRPr="004B399F">
        <w:t>deliver</w:t>
      </w:r>
      <w:r w:rsidR="00453FC0" w:rsidRPr="004B399F">
        <w:t>ing</w:t>
      </w:r>
      <w:r w:rsidRPr="004B399F">
        <w:t xml:space="preserve"> </w:t>
      </w:r>
      <w:r w:rsidR="00453FC0" w:rsidRPr="004B399F">
        <w:t xml:space="preserve">their loads </w:t>
      </w:r>
      <w:r w:rsidRPr="004B399F">
        <w:t xml:space="preserve">to </w:t>
      </w:r>
      <w:r w:rsidR="00D76421" w:rsidRPr="004B399F">
        <w:t>Brimstone</w:t>
      </w:r>
      <w:r w:rsidRPr="004B399F">
        <w:t xml:space="preserve"> because </w:t>
      </w:r>
      <w:r w:rsidR="00D76421" w:rsidRPr="004B399F">
        <w:t>Brimstone</w:t>
      </w:r>
      <w:r w:rsidR="00453FC0" w:rsidRPr="004B399F">
        <w:t xml:space="preserve"> had </w:t>
      </w:r>
      <w:r w:rsidRPr="004B399F">
        <w:t xml:space="preserve">insufficient offloading capacity. </w:t>
      </w:r>
      <w:proofErr w:type="spellStart"/>
      <w:r w:rsidR="00453FC0" w:rsidRPr="004B399F">
        <w:t>Beauchesne</w:t>
      </w:r>
      <w:proofErr w:type="spellEnd"/>
      <w:r w:rsidR="00453FC0" w:rsidRPr="004B399F">
        <w:t xml:space="preserve"> </w:t>
      </w:r>
      <w:r w:rsidRPr="004B399F">
        <w:t xml:space="preserve">was contemplating the installation of a second </w:t>
      </w:r>
      <w:r w:rsidR="00D821CF" w:rsidRPr="004B399F">
        <w:t xml:space="preserve">truck </w:t>
      </w:r>
      <w:r w:rsidRPr="004B399F">
        <w:t xml:space="preserve">offloading point </w:t>
      </w:r>
      <w:r w:rsidR="00453FC0" w:rsidRPr="004B399F">
        <w:t xml:space="preserve">that </w:t>
      </w:r>
      <w:r w:rsidRPr="004B399F">
        <w:t xml:space="preserve">would allow one additional truck to offload every 20 minutes. This </w:t>
      </w:r>
      <w:r w:rsidR="000D55E6">
        <w:t xml:space="preserve">second offloading point </w:t>
      </w:r>
      <w:r w:rsidRPr="004B399F">
        <w:t>would result in additional fuel expenses for deliveries with each truck spending $0.61 in fuel per kilometre travelled. The second offloading platform would also require excavation, concrete pouring, concrete cutting</w:t>
      </w:r>
      <w:r w:rsidR="00453FC0" w:rsidRPr="004B399F">
        <w:t>,</w:t>
      </w:r>
      <w:r w:rsidRPr="004B399F">
        <w:t xml:space="preserve"> and additions to the piping network that</w:t>
      </w:r>
      <w:r w:rsidR="00453FC0" w:rsidRPr="004B399F">
        <w:t>, in total,</w:t>
      </w:r>
      <w:r w:rsidRPr="004B399F">
        <w:t xml:space="preserve"> would require a one-time </w:t>
      </w:r>
      <w:r w:rsidR="0030151B" w:rsidRPr="004B399F">
        <w:t xml:space="preserve">expense </w:t>
      </w:r>
      <w:r w:rsidRPr="004B399F">
        <w:t xml:space="preserve">of $162,500. </w:t>
      </w:r>
      <w:r w:rsidR="0030151B" w:rsidRPr="004B399F">
        <w:t>T</w:t>
      </w:r>
      <w:r w:rsidRPr="004B399F">
        <w:t xml:space="preserve">he labour and equipment rental </w:t>
      </w:r>
      <w:r w:rsidR="0030151B" w:rsidRPr="004B399F">
        <w:t>needed to construct</w:t>
      </w:r>
      <w:r w:rsidRPr="004B399F">
        <w:t xml:space="preserve"> the offloading landing</w:t>
      </w:r>
      <w:r w:rsidR="0030151B" w:rsidRPr="004B399F">
        <w:t xml:space="preserve"> would cost an additional $112,500</w:t>
      </w:r>
      <w:r w:rsidRPr="004B399F">
        <w:t>.</w:t>
      </w:r>
    </w:p>
    <w:p w14:paraId="2E3BC99D" w14:textId="77777777" w:rsidR="00836990" w:rsidRPr="004B399F" w:rsidRDefault="00836990" w:rsidP="002D10E2">
      <w:pPr>
        <w:pStyle w:val="BodyTextMain"/>
      </w:pPr>
    </w:p>
    <w:p w14:paraId="5C29923F" w14:textId="4FBD2A70" w:rsidR="008D7F04" w:rsidRPr="004B399F" w:rsidRDefault="008D7F04" w:rsidP="002D10E2">
      <w:pPr>
        <w:pStyle w:val="BodyTextMain"/>
      </w:pPr>
      <w:proofErr w:type="spellStart"/>
      <w:r w:rsidRPr="004B399F">
        <w:t>Beauchesne</w:t>
      </w:r>
      <w:proofErr w:type="spellEnd"/>
      <w:r w:rsidRPr="004B399F">
        <w:t xml:space="preserve"> estimated that the project would require two weeks of construction after </w:t>
      </w:r>
      <w:r w:rsidR="00836990" w:rsidRPr="004B399F">
        <w:t xml:space="preserve">the design phase and approval from </w:t>
      </w:r>
      <w:r w:rsidR="0030151B" w:rsidRPr="004B399F">
        <w:t>corporate</w:t>
      </w:r>
      <w:r w:rsidRPr="004B399F">
        <w:t xml:space="preserve">. </w:t>
      </w:r>
      <w:r w:rsidR="00836990" w:rsidRPr="004B399F">
        <w:t>T</w:t>
      </w:r>
      <w:r w:rsidRPr="004B399F">
        <w:t>he regular throughput in the plant would not experience any interruptions</w:t>
      </w:r>
      <w:r w:rsidR="00836990" w:rsidRPr="004B399F">
        <w:t xml:space="preserve"> during the construction of the additional </w:t>
      </w:r>
      <w:r w:rsidR="00D821CF" w:rsidRPr="004B399F">
        <w:t xml:space="preserve">truck </w:t>
      </w:r>
      <w:r w:rsidR="00836990" w:rsidRPr="004B399F">
        <w:t>offloading inlet.</w:t>
      </w:r>
    </w:p>
    <w:p w14:paraId="41DC6416" w14:textId="77777777" w:rsidR="008D7F04" w:rsidRPr="004B399F" w:rsidRDefault="008D7F04" w:rsidP="002D10E2">
      <w:pPr>
        <w:pStyle w:val="BodyTextMain"/>
      </w:pPr>
    </w:p>
    <w:p w14:paraId="3EF87ABB" w14:textId="77777777" w:rsidR="008D7F04" w:rsidRPr="004B399F" w:rsidRDefault="008D7F04" w:rsidP="002D10E2">
      <w:pPr>
        <w:pStyle w:val="BodyTextMain"/>
      </w:pPr>
    </w:p>
    <w:p w14:paraId="5D89307F" w14:textId="2711DB2A" w:rsidR="008D7F04" w:rsidRPr="004B399F" w:rsidRDefault="0050375C" w:rsidP="002D10E2">
      <w:pPr>
        <w:pStyle w:val="Casehead2"/>
      </w:pPr>
      <w:r w:rsidRPr="004B399F">
        <w:t xml:space="preserve">Upgrade the </w:t>
      </w:r>
      <w:r w:rsidR="008D7F04" w:rsidRPr="004B399F">
        <w:t>Pump</w:t>
      </w:r>
      <w:r w:rsidRPr="004B399F">
        <w:t>s</w:t>
      </w:r>
    </w:p>
    <w:p w14:paraId="73166CCC" w14:textId="77777777" w:rsidR="008D7F04" w:rsidRPr="004B399F" w:rsidRDefault="008D7F04" w:rsidP="002D10E2">
      <w:pPr>
        <w:pStyle w:val="BodyTextMain"/>
      </w:pPr>
    </w:p>
    <w:p w14:paraId="39A2D7E9" w14:textId="6D92FEAD" w:rsidR="00DF35BE" w:rsidRPr="004B399F" w:rsidRDefault="00836990" w:rsidP="002D10E2">
      <w:pPr>
        <w:pStyle w:val="BodyTextMain"/>
      </w:pPr>
      <w:r w:rsidRPr="004B399F">
        <w:t xml:space="preserve">Another of </w:t>
      </w:r>
      <w:proofErr w:type="spellStart"/>
      <w:r w:rsidR="008D7F04" w:rsidRPr="004B399F">
        <w:t>Beauchesne</w:t>
      </w:r>
      <w:r w:rsidRPr="004B399F">
        <w:t>’s</w:t>
      </w:r>
      <w:proofErr w:type="spellEnd"/>
      <w:r w:rsidRPr="004B399F">
        <w:t xml:space="preserve"> considerations</w:t>
      </w:r>
      <w:r w:rsidR="008D7F04" w:rsidRPr="004B399F">
        <w:t xml:space="preserve"> was upgrading all of the centrifugal pumps to increase capacity at the pumping step in the process. The upgrade would increase the output of each pump to 65 tonnes per hour and cost $76,000 per pump. Once installed, the estimated increase in energy consumption would be $22 per hour.</w:t>
      </w:r>
      <w:r w:rsidR="00DF35BE" w:rsidRPr="004B399F">
        <w:t xml:space="preserve"> </w:t>
      </w:r>
      <w:r w:rsidR="008D7F04" w:rsidRPr="004B399F">
        <w:t xml:space="preserve">The pump upgrades would require </w:t>
      </w:r>
      <w:r w:rsidRPr="004B399F">
        <w:t>that</w:t>
      </w:r>
      <w:r w:rsidR="008D7F04" w:rsidRPr="004B399F">
        <w:t xml:space="preserve"> daily operations at the plant</w:t>
      </w:r>
      <w:r w:rsidRPr="004B399F">
        <w:t xml:space="preserve"> cease</w:t>
      </w:r>
      <w:r w:rsidR="008D7F04" w:rsidRPr="004B399F">
        <w:t xml:space="preserve">. Downtime for the installation of the new pumps would be seven days, </w:t>
      </w:r>
      <w:r w:rsidRPr="004B399F">
        <w:t xml:space="preserve">during </w:t>
      </w:r>
      <w:r w:rsidR="008D7F04" w:rsidRPr="004B399F">
        <w:t>which all production of sulphur pastilles would be temporarily shut down.</w:t>
      </w:r>
    </w:p>
    <w:p w14:paraId="2A1AEB98" w14:textId="77777777" w:rsidR="00DF35BE" w:rsidRPr="004B399F" w:rsidRDefault="00DF35BE" w:rsidP="002D10E2">
      <w:pPr>
        <w:pStyle w:val="BodyTextMain"/>
      </w:pPr>
    </w:p>
    <w:p w14:paraId="3E58C732" w14:textId="4D4C6302" w:rsidR="008D7F04" w:rsidRPr="004B399F" w:rsidRDefault="008D7F04" w:rsidP="002D10E2">
      <w:pPr>
        <w:pStyle w:val="BodyTextMain"/>
      </w:pPr>
      <w:proofErr w:type="spellStart"/>
      <w:r w:rsidRPr="004B399F">
        <w:t>Beauchesne</w:t>
      </w:r>
      <w:proofErr w:type="spellEnd"/>
      <w:r w:rsidRPr="004B399F">
        <w:t xml:space="preserve"> wondered whether it was worth upgrading the pumps without increasing offloading capacity. She theorized that </w:t>
      </w:r>
      <w:r w:rsidR="000D55E6" w:rsidRPr="004B399F">
        <w:t>to increase total system capacity</w:t>
      </w:r>
      <w:r w:rsidR="000D55E6">
        <w:t>,</w:t>
      </w:r>
      <w:r w:rsidR="000D55E6" w:rsidRPr="004B399F">
        <w:t xml:space="preserve"> </w:t>
      </w:r>
      <w:r w:rsidRPr="004B399F">
        <w:t xml:space="preserve">the pump upgrades would need to occur in tandem with the construction of a second </w:t>
      </w:r>
      <w:r w:rsidR="00D821CF" w:rsidRPr="004B399F">
        <w:t xml:space="preserve">truck </w:t>
      </w:r>
      <w:r w:rsidRPr="004B399F">
        <w:t>offloading point.</w:t>
      </w:r>
    </w:p>
    <w:p w14:paraId="6EDE9105" w14:textId="77777777" w:rsidR="008D7F04" w:rsidRPr="004B399F" w:rsidRDefault="008D7F04" w:rsidP="002D10E2">
      <w:pPr>
        <w:pStyle w:val="BodyTextMain"/>
      </w:pPr>
    </w:p>
    <w:p w14:paraId="6B6E4E12" w14:textId="77777777" w:rsidR="008D7F04" w:rsidRPr="004B399F" w:rsidRDefault="008D7F04" w:rsidP="002D10E2">
      <w:pPr>
        <w:pStyle w:val="BodyTextMain"/>
      </w:pPr>
    </w:p>
    <w:p w14:paraId="01B6000E" w14:textId="16D7F544" w:rsidR="008D7F04" w:rsidRPr="004B399F" w:rsidRDefault="008D7F04" w:rsidP="002D10E2">
      <w:pPr>
        <w:pStyle w:val="Casehead2"/>
      </w:pPr>
      <w:r w:rsidRPr="004B399F">
        <w:t>Pour to Block</w:t>
      </w:r>
    </w:p>
    <w:p w14:paraId="3E2CC1C6" w14:textId="77777777" w:rsidR="008D7F04" w:rsidRPr="004B399F" w:rsidRDefault="008D7F04" w:rsidP="002D10E2">
      <w:pPr>
        <w:pStyle w:val="BodyTextMain"/>
        <w:keepNext/>
      </w:pPr>
    </w:p>
    <w:p w14:paraId="5612949C" w14:textId="5A5F3269" w:rsidR="008D7F04" w:rsidRPr="004B399F" w:rsidRDefault="00D76421" w:rsidP="002D10E2">
      <w:pPr>
        <w:pStyle w:val="BodyTextMain"/>
      </w:pPr>
      <w:r w:rsidRPr="004B399F">
        <w:t>Brimstone</w:t>
      </w:r>
      <w:r w:rsidR="008D7F04" w:rsidRPr="004B399F">
        <w:t xml:space="preserve"> had a large concrete storage pad, resembling a parking lot, </w:t>
      </w:r>
      <w:r w:rsidR="00DF3913" w:rsidRPr="004B399F">
        <w:t xml:space="preserve">that </w:t>
      </w:r>
      <w:r w:rsidR="008D7F04" w:rsidRPr="004B399F">
        <w:t xml:space="preserve">was used for emergency storage. </w:t>
      </w:r>
      <w:r w:rsidR="00BC60DA" w:rsidRPr="00BC60DA">
        <w:t xml:space="preserve">Pouring to block would not influence capacity, but would serve as a contingency strategy when necessary. </w:t>
      </w:r>
      <w:r w:rsidR="008D7F04" w:rsidRPr="004B399F">
        <w:t xml:space="preserve">The block storage </w:t>
      </w:r>
      <w:r w:rsidR="00DF35BE" w:rsidRPr="004B399F">
        <w:t xml:space="preserve">was </w:t>
      </w:r>
      <w:r w:rsidR="008D7F04" w:rsidRPr="004B399F">
        <w:t>350</w:t>
      </w:r>
      <w:r w:rsidR="00DF35BE" w:rsidRPr="004B399F">
        <w:t xml:space="preserve"> metres long </w:t>
      </w:r>
      <w:r w:rsidR="008D7F04" w:rsidRPr="004B399F">
        <w:t>by 120</w:t>
      </w:r>
      <w:r w:rsidR="00DF35BE" w:rsidRPr="004B399F">
        <w:t xml:space="preserve"> metres wide </w:t>
      </w:r>
      <w:r w:rsidR="008D7F04" w:rsidRPr="004B399F">
        <w:t>by 10</w:t>
      </w:r>
      <w:r w:rsidR="00DF35BE" w:rsidRPr="004B399F">
        <w:t xml:space="preserve"> </w:t>
      </w:r>
      <w:r w:rsidR="008D7F04" w:rsidRPr="004B399F">
        <w:t>m</w:t>
      </w:r>
      <w:r w:rsidR="00DF35BE" w:rsidRPr="004B399F">
        <w:t>etres</w:t>
      </w:r>
      <w:r w:rsidR="008D7F04" w:rsidRPr="004B399F">
        <w:t xml:space="preserve"> </w:t>
      </w:r>
      <w:r w:rsidR="00DF35BE" w:rsidRPr="004B399F">
        <w:t xml:space="preserve">high, providing a </w:t>
      </w:r>
      <w:r w:rsidR="008D7F04" w:rsidRPr="004B399F">
        <w:t xml:space="preserve">total volumetric storage space </w:t>
      </w:r>
      <w:r w:rsidR="00DF35BE" w:rsidRPr="004B399F">
        <w:t xml:space="preserve">of </w:t>
      </w:r>
      <w:r w:rsidR="008D7F04" w:rsidRPr="004B399F">
        <w:t xml:space="preserve">420,000 </w:t>
      </w:r>
      <w:r w:rsidR="00DF35BE" w:rsidRPr="004B399F">
        <w:t xml:space="preserve">cubic </w:t>
      </w:r>
      <w:r w:rsidR="008D7F04" w:rsidRPr="004B399F">
        <w:t>m</w:t>
      </w:r>
      <w:r w:rsidR="00DF35BE" w:rsidRPr="004B399F">
        <w:t>etres</w:t>
      </w:r>
      <w:r w:rsidR="007D510F" w:rsidRPr="004B399F">
        <w:t xml:space="preserve"> with each cubic metre holding 1.82 tonnes of sulphur. </w:t>
      </w:r>
      <w:r w:rsidR="008D7F04" w:rsidRPr="004B399F">
        <w:t>In the past, this storage area had been used to pour sulphur to block</w:t>
      </w:r>
      <w:r w:rsidR="005D7A72" w:rsidRPr="004B399F">
        <w:t>; the</w:t>
      </w:r>
      <w:r w:rsidR="008D7F04" w:rsidRPr="004B399F">
        <w:t xml:space="preserve"> molten sulphur </w:t>
      </w:r>
      <w:r w:rsidR="005D7A72" w:rsidRPr="004B399F">
        <w:t>was</w:t>
      </w:r>
      <w:r w:rsidR="008D7F04" w:rsidRPr="004B399F">
        <w:t xml:space="preserve"> poured </w:t>
      </w:r>
      <w:r w:rsidR="005D7A72" w:rsidRPr="004B399F">
        <w:t xml:space="preserve">and allowed to </w:t>
      </w:r>
      <w:r w:rsidR="008D7F04" w:rsidRPr="004B399F">
        <w:t>cool</w:t>
      </w:r>
      <w:r w:rsidR="005D7A72" w:rsidRPr="004B399F">
        <w:t xml:space="preserve"> </w:t>
      </w:r>
      <w:r w:rsidR="008D7F04" w:rsidRPr="004B399F">
        <w:t>and solidif</w:t>
      </w:r>
      <w:r w:rsidR="005D7A72" w:rsidRPr="004B399F">
        <w:t>y</w:t>
      </w:r>
      <w:r w:rsidR="008D7F04" w:rsidRPr="004B399F">
        <w:t xml:space="preserve"> as work-in-progress inventory rather than </w:t>
      </w:r>
      <w:r w:rsidR="005D7A72" w:rsidRPr="004B399F">
        <w:t xml:space="preserve">be </w:t>
      </w:r>
      <w:r w:rsidR="008D7F04" w:rsidRPr="004B399F">
        <w:t>p</w:t>
      </w:r>
      <w:r w:rsidR="00DD2098">
        <w:t>r</w:t>
      </w:r>
      <w:r w:rsidR="008D7F04" w:rsidRPr="004B399F">
        <w:t>illed into its pastille end-state. The option to pour to block allowed for stockpiling</w:t>
      </w:r>
      <w:r w:rsidR="000D55E6">
        <w:t>,</w:t>
      </w:r>
      <w:r w:rsidR="008D7F04" w:rsidRPr="004B399F">
        <w:t xml:space="preserve"> if necessary</w:t>
      </w:r>
      <w:r w:rsidR="000D55E6">
        <w:t>,</w:t>
      </w:r>
      <w:r w:rsidR="008D7F04" w:rsidRPr="004B399F">
        <w:t xml:space="preserve"> during daily operations.</w:t>
      </w:r>
    </w:p>
    <w:p w14:paraId="10131584" w14:textId="080049AF" w:rsidR="008D7F04" w:rsidRPr="004B399F" w:rsidRDefault="008D7F04" w:rsidP="002D10E2">
      <w:pPr>
        <w:pStyle w:val="BodyTextMain"/>
      </w:pPr>
      <w:bookmarkStart w:id="0" w:name="_GoBack"/>
      <w:bookmarkEnd w:id="0"/>
      <w:r w:rsidRPr="004B399F">
        <w:lastRenderedPageBreak/>
        <w:t xml:space="preserve">Currently, </w:t>
      </w:r>
      <w:r w:rsidR="005D7A72" w:rsidRPr="004B399F">
        <w:t xml:space="preserve">however, </w:t>
      </w:r>
      <w:r w:rsidRPr="004B399F">
        <w:t xml:space="preserve">the pipes leading to the storage pad were corroded and unusable. </w:t>
      </w:r>
      <w:r w:rsidR="005D7A72" w:rsidRPr="004B399F">
        <w:t>A</w:t>
      </w:r>
      <w:r w:rsidRPr="004B399F">
        <w:t xml:space="preserve"> recent hazard and operability study (HAZOP)</w:t>
      </w:r>
      <w:r w:rsidRPr="004B399F">
        <w:rPr>
          <w:rStyle w:val="FootnoteReference"/>
        </w:rPr>
        <w:footnoteReference w:id="8"/>
      </w:r>
      <w:r w:rsidRPr="004B399F">
        <w:t xml:space="preserve"> determined that the corroded piping leading to the block storage posed a high economic risk and medium personnel risk. </w:t>
      </w:r>
      <w:r w:rsidR="00F9743F" w:rsidRPr="004B399F">
        <w:t>T</w:t>
      </w:r>
      <w:r w:rsidRPr="004B399F">
        <w:t xml:space="preserve">he examination </w:t>
      </w:r>
      <w:r w:rsidR="00F9743F" w:rsidRPr="004B399F">
        <w:t xml:space="preserve">revealed that </w:t>
      </w:r>
      <w:r w:rsidRPr="004B399F">
        <w:t xml:space="preserve">block pouring would be </w:t>
      </w:r>
      <w:r w:rsidR="00F9743F" w:rsidRPr="004B399F">
        <w:t xml:space="preserve">needed if the plant experienced </w:t>
      </w:r>
      <w:r w:rsidRPr="004B399F">
        <w:t xml:space="preserve">a power outage and the backup generator </w:t>
      </w:r>
      <w:r w:rsidR="00F9743F" w:rsidRPr="004B399F">
        <w:t xml:space="preserve">failed </w:t>
      </w:r>
      <w:r w:rsidRPr="004B399F">
        <w:t xml:space="preserve">to engage. The likelihood </w:t>
      </w:r>
      <w:r w:rsidR="00F9743F" w:rsidRPr="004B399F">
        <w:t xml:space="preserve">that </w:t>
      </w:r>
      <w:r w:rsidRPr="004B399F">
        <w:t xml:space="preserve">this particular situation </w:t>
      </w:r>
      <w:r w:rsidR="00F9743F" w:rsidRPr="004B399F">
        <w:t xml:space="preserve">would occur </w:t>
      </w:r>
      <w:r w:rsidRPr="004B399F">
        <w:t>was rated as extremely low</w:t>
      </w:r>
      <w:r w:rsidR="00F9743F" w:rsidRPr="004B399F">
        <w:t>;</w:t>
      </w:r>
      <w:r w:rsidRPr="004B399F">
        <w:t xml:space="preserve"> however</w:t>
      </w:r>
      <w:r w:rsidR="00F9743F" w:rsidRPr="004B399F">
        <w:t>,</w:t>
      </w:r>
      <w:r w:rsidRPr="004B399F">
        <w:t xml:space="preserve"> this risk-mitigation strategy could save the company from an unnecessary and costly shutdown.</w:t>
      </w:r>
    </w:p>
    <w:p w14:paraId="472D178F" w14:textId="77777777" w:rsidR="008D7F04" w:rsidRPr="004B399F" w:rsidRDefault="008D7F04" w:rsidP="002D10E2">
      <w:pPr>
        <w:pStyle w:val="BodyTextMain"/>
      </w:pPr>
    </w:p>
    <w:p w14:paraId="27EDA20A" w14:textId="6CD45DCE" w:rsidR="008D7F04" w:rsidRPr="004B399F" w:rsidRDefault="008D7F04" w:rsidP="002D10E2">
      <w:pPr>
        <w:pStyle w:val="BodyTextMain"/>
      </w:pPr>
      <w:r w:rsidRPr="004B399F">
        <w:t xml:space="preserve">If </w:t>
      </w:r>
      <w:proofErr w:type="spellStart"/>
      <w:r w:rsidRPr="004B399F">
        <w:t>Beauchesne</w:t>
      </w:r>
      <w:proofErr w:type="spellEnd"/>
      <w:r w:rsidRPr="004B399F">
        <w:t xml:space="preserve"> decided to pour to block, the plan would require a complete revamp of the corroded piping that connected the centrifugal pumps to the block pouring stage. </w:t>
      </w:r>
      <w:r w:rsidR="00F9743F" w:rsidRPr="004B399F">
        <w:t>T</w:t>
      </w:r>
      <w:r w:rsidRPr="004B399F">
        <w:t xml:space="preserve">his investment was quoted at a total price of $246,000. Once the sulphur was poured to block, </w:t>
      </w:r>
      <w:proofErr w:type="spellStart"/>
      <w:r w:rsidRPr="004B399F">
        <w:t>Beauchesne</w:t>
      </w:r>
      <w:proofErr w:type="spellEnd"/>
      <w:r w:rsidRPr="004B399F">
        <w:t xml:space="preserve"> would have to hire two additional contractors per shift for 60 days to melt the blocked sulphur back to its molten state so that it could be pumped back to the </w:t>
      </w:r>
      <w:proofErr w:type="spellStart"/>
      <w:r w:rsidRPr="004B399F">
        <w:t>rotoforms</w:t>
      </w:r>
      <w:proofErr w:type="spellEnd"/>
      <w:r w:rsidRPr="004B399F">
        <w:t xml:space="preserve"> and processed to finished goods. Contractors in this position would be paid $40 per hour and would be required whenever pouring to block was pursued.</w:t>
      </w:r>
      <w:r w:rsidR="00041413" w:rsidRPr="004B399F">
        <w:rPr>
          <w:rStyle w:val="FootnoteReference"/>
        </w:rPr>
        <w:footnoteReference w:id="9"/>
      </w:r>
    </w:p>
    <w:p w14:paraId="626E3259" w14:textId="77777777" w:rsidR="008D7F04" w:rsidRPr="004B399F" w:rsidRDefault="008D7F04" w:rsidP="002D10E2">
      <w:pPr>
        <w:pStyle w:val="BodyTextMain"/>
      </w:pPr>
    </w:p>
    <w:p w14:paraId="388E5C92" w14:textId="067F12EE" w:rsidR="008D7F04" w:rsidRPr="000E3BEC" w:rsidRDefault="008D7F04" w:rsidP="002D10E2">
      <w:pPr>
        <w:pStyle w:val="BodyTextMain"/>
        <w:rPr>
          <w:spacing w:val="-2"/>
        </w:rPr>
      </w:pPr>
      <w:r w:rsidRPr="000E3BEC">
        <w:rPr>
          <w:spacing w:val="-2"/>
        </w:rPr>
        <w:t>A major inconvenience in the production of sulphur pastilles was sulphur dust. Sulphur tended to be warm and elastic when first solidified, but over time, sulphur would start to become chalky and create dust throughout the site. The problem of sulphur dust amplified when molten sulphur was poured to block because the concrete storage pad was not contained from external conditions. This meant that sulphur dust would occasionally blow into surrounding farmers</w:t>
      </w:r>
      <w:r w:rsidR="0003271C" w:rsidRPr="000E3BEC">
        <w:rPr>
          <w:spacing w:val="-2"/>
        </w:rPr>
        <w:t>’</w:t>
      </w:r>
      <w:r w:rsidRPr="000E3BEC">
        <w:rPr>
          <w:spacing w:val="-2"/>
        </w:rPr>
        <w:t xml:space="preserve"> fields and become a nuisance for livestock and farmers alike.</w:t>
      </w:r>
    </w:p>
    <w:p w14:paraId="48821785" w14:textId="77777777" w:rsidR="008D7F04" w:rsidRPr="004B399F" w:rsidRDefault="008D7F04" w:rsidP="002D10E2">
      <w:pPr>
        <w:pStyle w:val="BodyTextMain"/>
      </w:pPr>
    </w:p>
    <w:p w14:paraId="41CD11EC" w14:textId="77777777" w:rsidR="008D7F04" w:rsidRPr="004B399F" w:rsidRDefault="008D7F04" w:rsidP="002D10E2">
      <w:pPr>
        <w:pStyle w:val="BodyTextMain"/>
      </w:pPr>
    </w:p>
    <w:p w14:paraId="733564F2" w14:textId="77777777" w:rsidR="008D7F04" w:rsidRPr="004B399F" w:rsidRDefault="008D7F04" w:rsidP="002D10E2">
      <w:pPr>
        <w:pStyle w:val="Casehead1"/>
      </w:pPr>
      <w:r w:rsidRPr="004B399F">
        <w:t>DECISION</w:t>
      </w:r>
    </w:p>
    <w:p w14:paraId="626E8C6D" w14:textId="77777777" w:rsidR="008D7F04" w:rsidRPr="004B399F" w:rsidRDefault="008D7F04" w:rsidP="002D10E2">
      <w:pPr>
        <w:pStyle w:val="BodyTextMain"/>
      </w:pPr>
    </w:p>
    <w:p w14:paraId="2C183161" w14:textId="01971440" w:rsidR="008D7F04" w:rsidRPr="000E3BEC" w:rsidRDefault="008D7F04" w:rsidP="007C5305">
      <w:pPr>
        <w:pStyle w:val="BodyTextMain"/>
        <w:rPr>
          <w:spacing w:val="-2"/>
        </w:rPr>
      </w:pPr>
      <w:proofErr w:type="spellStart"/>
      <w:r w:rsidRPr="000E3BEC">
        <w:rPr>
          <w:spacing w:val="-2"/>
        </w:rPr>
        <w:t>Beauchesne</w:t>
      </w:r>
      <w:proofErr w:type="spellEnd"/>
      <w:r w:rsidRPr="000E3BEC">
        <w:rPr>
          <w:spacing w:val="-2"/>
        </w:rPr>
        <w:t xml:space="preserve"> </w:t>
      </w:r>
      <w:r w:rsidR="00041413" w:rsidRPr="000E3BEC">
        <w:rPr>
          <w:spacing w:val="-2"/>
        </w:rPr>
        <w:t xml:space="preserve">leaned </w:t>
      </w:r>
      <w:r w:rsidRPr="000E3BEC">
        <w:rPr>
          <w:spacing w:val="-2"/>
        </w:rPr>
        <w:t xml:space="preserve">back in her seat and </w:t>
      </w:r>
      <w:r w:rsidR="00041413" w:rsidRPr="000E3BEC">
        <w:rPr>
          <w:spacing w:val="-2"/>
        </w:rPr>
        <w:t xml:space="preserve">stared </w:t>
      </w:r>
      <w:r w:rsidRPr="000E3BEC">
        <w:rPr>
          <w:spacing w:val="-2"/>
        </w:rPr>
        <w:t xml:space="preserve">out her office window. She was growing increasingly tired of waiting for the price of </w:t>
      </w:r>
      <w:r w:rsidR="00041413" w:rsidRPr="000E3BEC">
        <w:rPr>
          <w:spacing w:val="-2"/>
        </w:rPr>
        <w:t>s</w:t>
      </w:r>
      <w:r w:rsidRPr="000E3BEC">
        <w:rPr>
          <w:spacing w:val="-2"/>
        </w:rPr>
        <w:t xml:space="preserve">ulphur to return to 2015 levels. She wondered </w:t>
      </w:r>
      <w:r w:rsidR="0003271C" w:rsidRPr="000E3BEC">
        <w:rPr>
          <w:spacing w:val="-2"/>
        </w:rPr>
        <w:t xml:space="preserve">whether </w:t>
      </w:r>
      <w:r w:rsidR="00D76421" w:rsidRPr="000E3BEC">
        <w:rPr>
          <w:spacing w:val="-2"/>
        </w:rPr>
        <w:t>Gesner</w:t>
      </w:r>
      <w:r w:rsidR="00041413" w:rsidRPr="000E3BEC">
        <w:rPr>
          <w:spacing w:val="-2"/>
        </w:rPr>
        <w:t>’s</w:t>
      </w:r>
      <w:r w:rsidRPr="000E3BEC">
        <w:rPr>
          <w:spacing w:val="-2"/>
        </w:rPr>
        <w:t xml:space="preserve"> upper management team would look favourably upon any of her proposed alternatives. Typically, </w:t>
      </w:r>
      <w:r w:rsidR="00AC3E7B" w:rsidRPr="000E3BEC">
        <w:rPr>
          <w:spacing w:val="-2"/>
        </w:rPr>
        <w:t xml:space="preserve">to minimize production delays, </w:t>
      </w:r>
      <w:r w:rsidRPr="000E3BEC">
        <w:rPr>
          <w:spacing w:val="-2"/>
        </w:rPr>
        <w:t xml:space="preserve">capital expense projects and major upgrades were delayed until a turnaround was due, but the next scheduled plant-wide shutdown was not until 2022. Ultimately, </w:t>
      </w:r>
      <w:proofErr w:type="spellStart"/>
      <w:r w:rsidRPr="000E3BEC">
        <w:rPr>
          <w:spacing w:val="-2"/>
        </w:rPr>
        <w:t>Beauchesne</w:t>
      </w:r>
      <w:proofErr w:type="spellEnd"/>
      <w:r w:rsidRPr="000E3BEC">
        <w:rPr>
          <w:spacing w:val="-2"/>
        </w:rPr>
        <w:t xml:space="preserve"> was looking forward to the trip to head office to present her findings so she could spend one less day smelling like rotten eggs.</w:t>
      </w:r>
    </w:p>
    <w:p w14:paraId="04AEDAA5" w14:textId="77777777" w:rsidR="00DF4ADC" w:rsidRDefault="00DF4ADC">
      <w:pPr>
        <w:spacing w:after="200" w:line="276" w:lineRule="auto"/>
      </w:pPr>
    </w:p>
    <w:p w14:paraId="5237BC70" w14:textId="77777777" w:rsidR="00DF4ADC" w:rsidRDefault="00DF4ADC">
      <w:pPr>
        <w:spacing w:after="200" w:line="276" w:lineRule="auto"/>
      </w:pPr>
    </w:p>
    <w:p w14:paraId="53D0FABD" w14:textId="77777777" w:rsidR="00DF4ADC" w:rsidRDefault="00DF4ADC">
      <w:pPr>
        <w:spacing w:after="200" w:line="276" w:lineRule="auto"/>
      </w:pPr>
    </w:p>
    <w:p w14:paraId="7ED57B19" w14:textId="77777777" w:rsidR="00DF4ADC" w:rsidRDefault="00DF4ADC">
      <w:pPr>
        <w:spacing w:after="200" w:line="276" w:lineRule="auto"/>
      </w:pPr>
    </w:p>
    <w:p w14:paraId="36B079DB" w14:textId="3D58482B" w:rsidR="008D7F04" w:rsidRPr="004B399F" w:rsidRDefault="008D7F04">
      <w:pPr>
        <w:spacing w:after="200" w:line="276" w:lineRule="auto"/>
        <w:rPr>
          <w:sz w:val="22"/>
          <w:szCs w:val="22"/>
        </w:rPr>
      </w:pPr>
      <w:r w:rsidRPr="004B399F">
        <w:br w:type="page"/>
      </w:r>
    </w:p>
    <w:p w14:paraId="32584F53" w14:textId="15B8FA54" w:rsidR="008D7F04" w:rsidRPr="004B399F" w:rsidRDefault="008D7F04" w:rsidP="002D10E2">
      <w:pPr>
        <w:pStyle w:val="ExhibitHeading"/>
      </w:pPr>
      <w:r w:rsidRPr="004B399F">
        <w:lastRenderedPageBreak/>
        <w:t>EXHIBIT 1: AVERAGE YEARLY PRICE OF SULPHUR</w:t>
      </w:r>
      <w:r w:rsidR="00A93ADB">
        <w:t>, 2014–2018</w:t>
      </w:r>
    </w:p>
    <w:p w14:paraId="00E7F654" w14:textId="77777777" w:rsidR="008D7F04" w:rsidRPr="004B399F" w:rsidRDefault="008D7F04" w:rsidP="002D10E2">
      <w:pPr>
        <w:pStyle w:val="ExhibitText"/>
      </w:pPr>
    </w:p>
    <w:p w14:paraId="5DE19974" w14:textId="40D4C742" w:rsidR="008D7F04" w:rsidRPr="004B399F" w:rsidRDefault="008D7F04" w:rsidP="007C5305">
      <w:pPr>
        <w:pStyle w:val="ExhibitText"/>
        <w:jc w:val="center"/>
      </w:pPr>
      <w:r w:rsidRPr="004B399F">
        <w:rPr>
          <w:noProof/>
          <w:lang w:val="en-CA" w:eastAsia="en-CA"/>
        </w:rPr>
        <w:drawing>
          <wp:inline distT="0" distB="0" distL="0" distR="0" wp14:anchorId="408748D8" wp14:editId="0E000E04">
            <wp:extent cx="5911850" cy="29591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DED0D50" w14:textId="77777777" w:rsidR="007C5305" w:rsidRPr="004B399F" w:rsidRDefault="007C5305" w:rsidP="002D10E2">
      <w:pPr>
        <w:pStyle w:val="ExhibitText"/>
      </w:pPr>
    </w:p>
    <w:p w14:paraId="32C8E609" w14:textId="342DC15A" w:rsidR="008D7F04" w:rsidRPr="000E3BEC" w:rsidRDefault="008D7F04" w:rsidP="0042163B">
      <w:pPr>
        <w:pStyle w:val="Footnote"/>
        <w:jc w:val="both"/>
        <w:rPr>
          <w:spacing w:val="-4"/>
        </w:rPr>
      </w:pPr>
      <w:r w:rsidRPr="000E3BEC">
        <w:rPr>
          <w:spacing w:val="-4"/>
        </w:rPr>
        <w:t xml:space="preserve">Note: </w:t>
      </w:r>
      <w:r w:rsidR="002E6350" w:rsidRPr="000E3BEC">
        <w:rPr>
          <w:spacing w:val="-4"/>
        </w:rPr>
        <w:t>Averaged</w:t>
      </w:r>
      <w:r w:rsidRPr="000E3BEC">
        <w:rPr>
          <w:spacing w:val="-4"/>
        </w:rPr>
        <w:t xml:space="preserve"> </w:t>
      </w:r>
      <w:r w:rsidR="002E6350" w:rsidRPr="000E3BEC">
        <w:rPr>
          <w:spacing w:val="-4"/>
        </w:rPr>
        <w:t>s</w:t>
      </w:r>
      <w:r w:rsidRPr="000E3BEC">
        <w:rPr>
          <w:spacing w:val="-4"/>
        </w:rPr>
        <w:t xml:space="preserve">ulphur prices </w:t>
      </w:r>
      <w:r w:rsidR="002E6350" w:rsidRPr="000E3BEC">
        <w:rPr>
          <w:spacing w:val="-4"/>
        </w:rPr>
        <w:t>were converted</w:t>
      </w:r>
      <w:r w:rsidRPr="000E3BEC">
        <w:rPr>
          <w:spacing w:val="-4"/>
        </w:rPr>
        <w:t xml:space="preserve"> from </w:t>
      </w:r>
      <w:r w:rsidR="002E6350" w:rsidRPr="000E3BEC">
        <w:rPr>
          <w:spacing w:val="-4"/>
        </w:rPr>
        <w:t>US</w:t>
      </w:r>
      <w:r w:rsidRPr="000E3BEC">
        <w:rPr>
          <w:spacing w:val="-4"/>
        </w:rPr>
        <w:t xml:space="preserve">$ to </w:t>
      </w:r>
      <w:r w:rsidR="002E6350" w:rsidRPr="000E3BEC">
        <w:rPr>
          <w:spacing w:val="-4"/>
        </w:rPr>
        <w:t>CA</w:t>
      </w:r>
      <w:r w:rsidRPr="000E3BEC">
        <w:rPr>
          <w:spacing w:val="-4"/>
        </w:rPr>
        <w:t>$ using the average currency exchange rate for the given year.</w:t>
      </w:r>
    </w:p>
    <w:p w14:paraId="602DC5FA" w14:textId="1BF09AA4" w:rsidR="008D7F04" w:rsidRPr="000E3BEC" w:rsidRDefault="008D7F04" w:rsidP="0042163B">
      <w:pPr>
        <w:pStyle w:val="Footnote"/>
        <w:jc w:val="both"/>
        <w:rPr>
          <w:spacing w:val="-4"/>
        </w:rPr>
      </w:pPr>
      <w:r w:rsidRPr="000E3BEC">
        <w:rPr>
          <w:spacing w:val="-4"/>
        </w:rPr>
        <w:t>Source: M. Garside</w:t>
      </w:r>
      <w:r w:rsidR="002E6350" w:rsidRPr="000E3BEC">
        <w:rPr>
          <w:spacing w:val="-4"/>
        </w:rPr>
        <w:t>,</w:t>
      </w:r>
      <w:r w:rsidRPr="000E3BEC">
        <w:rPr>
          <w:spacing w:val="-4"/>
        </w:rPr>
        <w:t xml:space="preserve"> “U.S. </w:t>
      </w:r>
      <w:proofErr w:type="spellStart"/>
      <w:r w:rsidR="002E6350" w:rsidRPr="000E3BEC">
        <w:rPr>
          <w:spacing w:val="-4"/>
        </w:rPr>
        <w:t>S</w:t>
      </w:r>
      <w:r w:rsidRPr="000E3BEC">
        <w:rPr>
          <w:spacing w:val="-4"/>
        </w:rPr>
        <w:t>ulfur</w:t>
      </w:r>
      <w:proofErr w:type="spellEnd"/>
      <w:r w:rsidRPr="000E3BEC">
        <w:rPr>
          <w:spacing w:val="-4"/>
        </w:rPr>
        <w:t xml:space="preserve"> </w:t>
      </w:r>
      <w:r w:rsidR="002E6350" w:rsidRPr="000E3BEC">
        <w:rPr>
          <w:spacing w:val="-4"/>
        </w:rPr>
        <w:t>P</w:t>
      </w:r>
      <w:r w:rsidRPr="000E3BEC">
        <w:rPr>
          <w:spacing w:val="-4"/>
        </w:rPr>
        <w:t>rice 2014</w:t>
      </w:r>
      <w:r w:rsidR="002E6350" w:rsidRPr="000E3BEC">
        <w:rPr>
          <w:spacing w:val="-4"/>
        </w:rPr>
        <w:t>–</w:t>
      </w:r>
      <w:r w:rsidRPr="000E3BEC">
        <w:rPr>
          <w:spacing w:val="-4"/>
        </w:rPr>
        <w:t>2019</w:t>
      </w:r>
      <w:r w:rsidR="002E6350" w:rsidRPr="000E3BEC">
        <w:rPr>
          <w:spacing w:val="-4"/>
        </w:rPr>
        <w:t>,</w:t>
      </w:r>
      <w:r w:rsidRPr="000E3BEC">
        <w:rPr>
          <w:spacing w:val="-4"/>
        </w:rPr>
        <w:t>” Statista</w:t>
      </w:r>
      <w:r w:rsidR="002E6350" w:rsidRPr="000E3BEC">
        <w:rPr>
          <w:spacing w:val="-4"/>
        </w:rPr>
        <w:t>,</w:t>
      </w:r>
      <w:r w:rsidRPr="000E3BEC">
        <w:rPr>
          <w:spacing w:val="-4"/>
        </w:rPr>
        <w:t xml:space="preserve"> </w:t>
      </w:r>
      <w:r w:rsidR="00FA1502" w:rsidRPr="000E3BEC">
        <w:rPr>
          <w:spacing w:val="-4"/>
        </w:rPr>
        <w:t>October 7, 2020, www.statista.com/statistics/1031180/us-sulfur-price</w:t>
      </w:r>
      <w:r w:rsidRPr="000E3BEC">
        <w:rPr>
          <w:spacing w:val="-4"/>
        </w:rPr>
        <w:t>.</w:t>
      </w:r>
    </w:p>
    <w:p w14:paraId="59E74CDA" w14:textId="457CE22C" w:rsidR="008D7F04" w:rsidRPr="004B399F" w:rsidRDefault="008D7F04" w:rsidP="008D7F04">
      <w:pPr>
        <w:pStyle w:val="ExhibitText"/>
      </w:pPr>
    </w:p>
    <w:p w14:paraId="3417C72C" w14:textId="77777777" w:rsidR="002E6039" w:rsidRPr="004B399F" w:rsidRDefault="008D7F04">
      <w:pPr>
        <w:spacing w:after="200" w:line="276" w:lineRule="auto"/>
        <w:sectPr w:rsidR="002E6039" w:rsidRPr="004B399F" w:rsidSect="00751E0B">
          <w:headerReference w:type="default" r:id="rId10"/>
          <w:pgSz w:w="12240" w:h="15840" w:code="1"/>
          <w:pgMar w:top="1080" w:right="1440" w:bottom="1440" w:left="1440" w:header="1080" w:footer="720" w:gutter="0"/>
          <w:cols w:space="720"/>
          <w:titlePg/>
          <w:docGrid w:linePitch="360"/>
        </w:sectPr>
      </w:pPr>
      <w:r w:rsidRPr="004B399F">
        <w:br w:type="page"/>
      </w:r>
    </w:p>
    <w:p w14:paraId="5710F870" w14:textId="693287F2" w:rsidR="008D7F04" w:rsidRPr="004B399F" w:rsidRDefault="008D7F04" w:rsidP="002D10E2">
      <w:pPr>
        <w:pStyle w:val="ExhibitHeading"/>
      </w:pPr>
      <w:r w:rsidRPr="004B399F">
        <w:lastRenderedPageBreak/>
        <w:t>EXHIBIT 2: PROCESS DIAGRAM</w:t>
      </w:r>
    </w:p>
    <w:p w14:paraId="4117BAC0" w14:textId="77777777" w:rsidR="008D7F04" w:rsidRPr="004B399F" w:rsidRDefault="008D7F04" w:rsidP="002D10E2">
      <w:pPr>
        <w:pStyle w:val="ExhibitText"/>
      </w:pPr>
    </w:p>
    <w:p w14:paraId="46643E54" w14:textId="396B4642" w:rsidR="008D7F04" w:rsidRPr="004B399F" w:rsidRDefault="007C5305" w:rsidP="002D10E2">
      <w:pPr>
        <w:pStyle w:val="ExhibitText"/>
        <w:jc w:val="center"/>
      </w:pPr>
      <w:r w:rsidRPr="004B399F">
        <w:rPr>
          <w:noProof/>
          <w:lang w:val="en-CA" w:eastAsia="en-CA"/>
        </w:rPr>
        <w:drawing>
          <wp:inline distT="0" distB="0" distL="0" distR="0" wp14:anchorId="6373116F" wp14:editId="00C0C160">
            <wp:extent cx="7591724" cy="2385391"/>
            <wp:effectExtent l="0" t="0" r="3175"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91724" cy="2385391"/>
                    </a:xfrm>
                    <a:prstGeom prst="rect">
                      <a:avLst/>
                    </a:prstGeom>
                  </pic:spPr>
                </pic:pic>
              </a:graphicData>
            </a:graphic>
          </wp:inline>
        </w:drawing>
      </w:r>
    </w:p>
    <w:p w14:paraId="75E29769" w14:textId="77777777" w:rsidR="007C5305" w:rsidRPr="004B399F" w:rsidRDefault="007C5305" w:rsidP="002D10E2">
      <w:pPr>
        <w:pStyle w:val="ExhibitText"/>
      </w:pPr>
    </w:p>
    <w:p w14:paraId="3516A740" w14:textId="7BBCB8B2" w:rsidR="00A93ADB" w:rsidRPr="00A93ADB" w:rsidRDefault="00A93ADB" w:rsidP="002D10E2">
      <w:pPr>
        <w:pStyle w:val="Footnote"/>
      </w:pPr>
      <w:r>
        <w:t>Note: m = metres; m</w:t>
      </w:r>
      <w:r w:rsidRPr="0042163B">
        <w:rPr>
          <w:vertAlign w:val="superscript"/>
        </w:rPr>
        <w:t>3</w:t>
      </w:r>
      <w:r w:rsidRPr="0042163B">
        <w:t xml:space="preserve"> =</w:t>
      </w:r>
      <w:r>
        <w:t xml:space="preserve"> cubic metres; </w:t>
      </w:r>
      <w:proofErr w:type="spellStart"/>
      <w:r>
        <w:t>yr</w:t>
      </w:r>
      <w:proofErr w:type="spellEnd"/>
      <w:r>
        <w:t xml:space="preserve"> = year</w:t>
      </w:r>
      <w:r w:rsidR="00574A5C">
        <w:t>.</w:t>
      </w:r>
    </w:p>
    <w:p w14:paraId="24128629" w14:textId="7FCF4676" w:rsidR="00B87DC0" w:rsidRPr="004B399F" w:rsidRDefault="008D7F04" w:rsidP="002D10E2">
      <w:pPr>
        <w:pStyle w:val="Footnote"/>
      </w:pPr>
      <w:r w:rsidRPr="004B399F">
        <w:t>Source: C</w:t>
      </w:r>
      <w:r w:rsidR="00BE0CB1" w:rsidRPr="004B399F">
        <w:t xml:space="preserve">reated by </w:t>
      </w:r>
      <w:r w:rsidR="000D55E6">
        <w:t xml:space="preserve">the </w:t>
      </w:r>
      <w:r w:rsidR="00BE0CB1" w:rsidRPr="004B399F">
        <w:t>authors.</w:t>
      </w:r>
    </w:p>
    <w:p w14:paraId="61F3D1BD" w14:textId="77777777" w:rsidR="00FA1502" w:rsidRPr="004B399F" w:rsidRDefault="00FA1502" w:rsidP="002D10E2">
      <w:pPr>
        <w:pStyle w:val="ExhibitText"/>
      </w:pPr>
    </w:p>
    <w:sectPr w:rsidR="00FA1502" w:rsidRPr="004B399F" w:rsidSect="002E6039">
      <w:headerReference w:type="default" r:id="rId12"/>
      <w:pgSz w:w="15840" w:h="12240" w:orient="landscape" w:code="1"/>
      <w:pgMar w:top="1440" w:right="1440" w:bottom="1440" w:left="1440" w:header="108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B77EF" w16cex:dateUtc="2021-03-04T20:14:00Z"/>
  <w16cex:commentExtensible w16cex:durableId="23EB782F" w16cex:dateUtc="2021-03-04T20:15:00Z"/>
  <w16cex:commentExtensible w16cex:durableId="23EB784C" w16cex:dateUtc="2021-03-04T20:16:00Z"/>
  <w16cex:commentExtensible w16cex:durableId="23EB7911" w16cex:dateUtc="2021-03-04T20:19:00Z"/>
  <w16cex:commentExtensible w16cex:durableId="23EC6E4E" w16cex:dateUtc="2021-03-05T13:46:00Z"/>
  <w16cex:commentExtensible w16cex:durableId="23EB7B05" w16cex:dateUtc="2021-03-04T20:28:00Z"/>
  <w16cex:commentExtensible w16cex:durableId="23EC6ECE" w16cex:dateUtc="2021-03-05T13:4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62C63" w14:textId="77777777" w:rsidR="00301DC7" w:rsidRDefault="00301DC7" w:rsidP="00D75295">
      <w:r>
        <w:separator/>
      </w:r>
    </w:p>
  </w:endnote>
  <w:endnote w:type="continuationSeparator" w:id="0">
    <w:p w14:paraId="356E99A7" w14:textId="77777777" w:rsidR="00301DC7" w:rsidRDefault="00301DC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548F1" w14:textId="77777777" w:rsidR="00301DC7" w:rsidRDefault="00301DC7" w:rsidP="00D75295">
      <w:r>
        <w:separator/>
      </w:r>
    </w:p>
  </w:footnote>
  <w:footnote w:type="continuationSeparator" w:id="0">
    <w:p w14:paraId="6FA441A0" w14:textId="77777777" w:rsidR="00301DC7" w:rsidRDefault="00301DC7" w:rsidP="00D75295">
      <w:r>
        <w:continuationSeparator/>
      </w:r>
    </w:p>
  </w:footnote>
  <w:footnote w:id="1">
    <w:p w14:paraId="5DAD2E72" w14:textId="4482151A" w:rsidR="002E6350" w:rsidRPr="00BF33DD" w:rsidRDefault="002E6350" w:rsidP="000E3BEC">
      <w:pPr>
        <w:pStyle w:val="Footnote"/>
        <w:jc w:val="both"/>
      </w:pPr>
      <w:r w:rsidRPr="006738B9">
        <w:rPr>
          <w:rStyle w:val="FootnoteReference"/>
        </w:rPr>
        <w:footnoteRef/>
      </w:r>
      <w:r>
        <w:t xml:space="preserve"> </w:t>
      </w:r>
      <w:r w:rsidRPr="00BF33DD">
        <w:t>United Nations Educational, Scientific and Cultural Organi</w:t>
      </w:r>
      <w:r>
        <w:t>z</w:t>
      </w:r>
      <w:r w:rsidRPr="00BF33DD">
        <w:t>ation</w:t>
      </w:r>
      <w:r>
        <w:t>.</w:t>
      </w:r>
    </w:p>
  </w:footnote>
  <w:footnote w:id="2">
    <w:p w14:paraId="601B5445" w14:textId="17D28B32" w:rsidR="002E6350" w:rsidRDefault="002E6350" w:rsidP="000E3BEC">
      <w:pPr>
        <w:pStyle w:val="Footnote"/>
        <w:jc w:val="both"/>
      </w:pPr>
      <w:r>
        <w:rPr>
          <w:rStyle w:val="FootnoteReference"/>
        </w:rPr>
        <w:footnoteRef/>
      </w:r>
      <w:r>
        <w:t xml:space="preserve"> All dollar amounts are in Canadian dollars (CAD) unless otherwise stated.</w:t>
      </w:r>
    </w:p>
  </w:footnote>
  <w:footnote w:id="3">
    <w:p w14:paraId="57DBA3D4" w14:textId="1A855C73" w:rsidR="002E6350" w:rsidRPr="008D7F04" w:rsidRDefault="002E6350" w:rsidP="008D64E1">
      <w:pPr>
        <w:pStyle w:val="Footnote"/>
        <w:jc w:val="both"/>
        <w:rPr>
          <w:rStyle w:val="FootnoteChar"/>
        </w:rPr>
      </w:pPr>
      <w:r w:rsidRPr="006738B9">
        <w:rPr>
          <w:rStyle w:val="FootnoteReference"/>
        </w:rPr>
        <w:footnoteRef/>
      </w:r>
      <w:r w:rsidRPr="00BF33DD">
        <w:t xml:space="preserve"> </w:t>
      </w:r>
      <w:r w:rsidR="009E6DE6" w:rsidRPr="00BF33DD">
        <w:t>Government of Canada</w:t>
      </w:r>
      <w:r w:rsidR="009E6DE6">
        <w:t>,</w:t>
      </w:r>
      <w:r w:rsidR="009E6DE6" w:rsidRPr="00BF33DD">
        <w:t xml:space="preserve"> </w:t>
      </w:r>
      <w:r w:rsidRPr="00BF33DD">
        <w:t>“Natural Gas Facts</w:t>
      </w:r>
      <w:r>
        <w:t>,</w:t>
      </w:r>
      <w:r w:rsidRPr="00BF33DD">
        <w:t xml:space="preserve">” </w:t>
      </w:r>
      <w:r>
        <w:t>a</w:t>
      </w:r>
      <w:r w:rsidRPr="00BF33DD">
        <w:t xml:space="preserve">ccessed June 3, </w:t>
      </w:r>
      <w:r w:rsidRPr="008D7F04">
        <w:rPr>
          <w:rStyle w:val="FootnoteChar"/>
        </w:rPr>
        <w:t>2020</w:t>
      </w:r>
      <w:r>
        <w:rPr>
          <w:rStyle w:val="FootnoteChar"/>
        </w:rPr>
        <w:t>,</w:t>
      </w:r>
      <w:r w:rsidRPr="008D7F04">
        <w:rPr>
          <w:rStyle w:val="FootnoteChar"/>
        </w:rPr>
        <w:t xml:space="preserve"> </w:t>
      </w:r>
      <w:r w:rsidRPr="00CD75E4">
        <w:rPr>
          <w:rStyle w:val="FootnoteChar"/>
        </w:rPr>
        <w:t>www.nrcan.gc.ca/science-data/data-analysis/energy-data-analysis/energy-facts/natural-gas-facts/20067</w:t>
      </w:r>
      <w:r>
        <w:rPr>
          <w:rStyle w:val="FootnoteChar"/>
        </w:rPr>
        <w:t>.</w:t>
      </w:r>
    </w:p>
  </w:footnote>
  <w:footnote w:id="4">
    <w:p w14:paraId="3E0B2301" w14:textId="1C8623CD" w:rsidR="004A43BE" w:rsidRPr="004A43BE" w:rsidRDefault="004A43BE">
      <w:pPr>
        <w:pStyle w:val="FootnoteText"/>
        <w:rPr>
          <w:rStyle w:val="FootnoteChar"/>
          <w:lang w:val="en-CA"/>
        </w:rPr>
      </w:pPr>
      <w:r>
        <w:rPr>
          <w:rStyle w:val="FootnoteReference"/>
        </w:rPr>
        <w:footnoteRef/>
      </w:r>
      <w:r>
        <w:t xml:space="preserve"> </w:t>
      </w:r>
      <w:r w:rsidRPr="004A43BE">
        <w:rPr>
          <w:rStyle w:val="FootnoteChar"/>
        </w:rPr>
        <w:t>Natural gas that did not contain H</w:t>
      </w:r>
      <w:r w:rsidRPr="00DD2098">
        <w:rPr>
          <w:rStyle w:val="FootnoteChar"/>
          <w:vertAlign w:val="subscript"/>
        </w:rPr>
        <w:t>2</w:t>
      </w:r>
      <w:r w:rsidRPr="004A43BE">
        <w:rPr>
          <w:rStyle w:val="FootnoteChar"/>
        </w:rPr>
        <w:t>S was called “sweet gas.”</w:t>
      </w:r>
    </w:p>
  </w:footnote>
  <w:footnote w:id="5">
    <w:p w14:paraId="5F3A617D" w14:textId="4EFF5A6B" w:rsidR="00DD2098" w:rsidRPr="00DD2098" w:rsidRDefault="00DD2098" w:rsidP="00DD2098">
      <w:pPr>
        <w:pStyle w:val="Footnote"/>
        <w:rPr>
          <w:lang w:val="en-CA"/>
        </w:rPr>
      </w:pPr>
      <w:r>
        <w:rPr>
          <w:rStyle w:val="FootnoteReference"/>
        </w:rPr>
        <w:footnoteRef/>
      </w:r>
      <w:r>
        <w:t xml:space="preserve"> </w:t>
      </w:r>
      <w:r w:rsidRPr="00DD2098">
        <w:t xml:space="preserve">Robert G. Hendrickson, Arthur Chang, and Richard J. Hamilton, “Co-Worker Fatalities from Hydrogen </w:t>
      </w:r>
      <w:proofErr w:type="spellStart"/>
      <w:r w:rsidRPr="00DD2098">
        <w:t>Sulfide</w:t>
      </w:r>
      <w:proofErr w:type="spellEnd"/>
      <w:r w:rsidRPr="00DD2098">
        <w:t>,” American Journal of Industrial Medicine 45, no. 4 (2004): 346–350, https://pubmed.ncbi.nlm.nih.gov/15029566.</w:t>
      </w:r>
    </w:p>
  </w:footnote>
  <w:footnote w:id="6">
    <w:p w14:paraId="47CCBB35" w14:textId="5A304686" w:rsidR="00DD2098" w:rsidRPr="00DD2098" w:rsidRDefault="00DD2098" w:rsidP="00DD2098">
      <w:pPr>
        <w:pStyle w:val="Footnote"/>
        <w:rPr>
          <w:lang w:val="en-CA"/>
        </w:rPr>
      </w:pPr>
      <w:r>
        <w:rPr>
          <w:rStyle w:val="FootnoteReference"/>
        </w:rPr>
        <w:footnoteRef/>
      </w:r>
      <w:r>
        <w:t xml:space="preserve"> </w:t>
      </w:r>
      <w:r w:rsidRPr="00DD2098">
        <w:t>A melting point was the temperature at which a solid moved to a liquid state.</w:t>
      </w:r>
    </w:p>
  </w:footnote>
  <w:footnote w:id="7">
    <w:p w14:paraId="1CD363C1" w14:textId="4E3B4A53" w:rsidR="002E6350" w:rsidRPr="008D7F04" w:rsidRDefault="002E6350" w:rsidP="008D64E1">
      <w:pPr>
        <w:pStyle w:val="Footnote"/>
        <w:jc w:val="both"/>
        <w:rPr>
          <w:rStyle w:val="FootnoteChar"/>
        </w:rPr>
      </w:pPr>
      <w:r w:rsidRPr="006738B9">
        <w:rPr>
          <w:rStyle w:val="FootnoteReference"/>
        </w:rPr>
        <w:footnoteRef/>
      </w:r>
      <w:r w:rsidRPr="00BF33DD">
        <w:t xml:space="preserve"> </w:t>
      </w:r>
      <w:r w:rsidR="00DD2098" w:rsidRPr="00DD2098">
        <w:t>“Natural Gas Facts.” [“Natural Gas Facts,” Government of Canada, accessed June 7, 2020, https://www.nrcan.gc.ca/science-data/data-analysis/energy-data-analysis/energy-facts/natural-gas-facts/20067.]</w:t>
      </w:r>
    </w:p>
  </w:footnote>
  <w:footnote w:id="8">
    <w:p w14:paraId="3544442A" w14:textId="4BCF82C0" w:rsidR="002E6350" w:rsidRPr="007C1870" w:rsidRDefault="002E6350" w:rsidP="000E3BEC">
      <w:pPr>
        <w:pStyle w:val="Footnote"/>
        <w:jc w:val="both"/>
      </w:pPr>
      <w:r w:rsidRPr="006738B9">
        <w:rPr>
          <w:rStyle w:val="FootnoteReference"/>
        </w:rPr>
        <w:footnoteRef/>
      </w:r>
      <w:r w:rsidRPr="00C77930">
        <w:t xml:space="preserve"> HAZOP was a structured and systematic examination of a process used to identify risks to personnel and equipment.</w:t>
      </w:r>
    </w:p>
  </w:footnote>
  <w:footnote w:id="9">
    <w:p w14:paraId="4EA2D2E0" w14:textId="6BBF0314" w:rsidR="00041413" w:rsidRPr="00C77930" w:rsidRDefault="00041413" w:rsidP="000E3BEC">
      <w:pPr>
        <w:pStyle w:val="Footnote"/>
        <w:jc w:val="both"/>
      </w:pPr>
      <w:r w:rsidRPr="006738B9">
        <w:rPr>
          <w:rStyle w:val="FootnoteReference"/>
        </w:rPr>
        <w:footnoteRef/>
      </w:r>
      <w:r>
        <w:t xml:space="preserve"> </w:t>
      </w:r>
      <w:r w:rsidRPr="00C77930">
        <w:t xml:space="preserve">All breaks for contractors at </w:t>
      </w:r>
      <w:r w:rsidR="00DD2098">
        <w:t>Gesner</w:t>
      </w:r>
      <w:r>
        <w:t xml:space="preserve">’s </w:t>
      </w:r>
      <w:r w:rsidRPr="00C77930">
        <w:t>plants were fully paid.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6045EA14" w:rsidR="002E6350" w:rsidRPr="00C92CC4" w:rsidRDefault="002E6350"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A35EC">
      <w:rPr>
        <w:rFonts w:ascii="Arial" w:hAnsi="Arial"/>
        <w:b/>
        <w:noProof/>
      </w:rPr>
      <w:t>6</w:t>
    </w:r>
    <w:r>
      <w:rPr>
        <w:rFonts w:ascii="Arial" w:hAnsi="Arial"/>
        <w:b/>
      </w:rPr>
      <w:fldChar w:fldCharType="end"/>
    </w:r>
    <w:r>
      <w:rPr>
        <w:rFonts w:ascii="Arial" w:hAnsi="Arial"/>
        <w:b/>
      </w:rPr>
      <w:tab/>
    </w:r>
    <w:r w:rsidR="00DD2098">
      <w:rPr>
        <w:rFonts w:ascii="Arial" w:hAnsi="Arial"/>
        <w:b/>
      </w:rPr>
      <w:t>9B21D003</w:t>
    </w:r>
  </w:p>
  <w:p w14:paraId="2B53C0A0" w14:textId="77777777" w:rsidR="002E6350" w:rsidRDefault="002E6350" w:rsidP="00D13667">
    <w:pPr>
      <w:pStyle w:val="Header"/>
      <w:tabs>
        <w:tab w:val="clear" w:pos="4680"/>
      </w:tabs>
      <w:rPr>
        <w:sz w:val="18"/>
        <w:szCs w:val="18"/>
      </w:rPr>
    </w:pPr>
  </w:p>
  <w:p w14:paraId="47119730" w14:textId="77777777" w:rsidR="002E6350" w:rsidRPr="00C92CC4" w:rsidRDefault="002E6350"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D8269" w14:textId="102E9586" w:rsidR="002E6350" w:rsidRPr="00C92CC4" w:rsidRDefault="002E6350" w:rsidP="002E6039">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A35EC">
      <w:rPr>
        <w:rFonts w:ascii="Arial" w:hAnsi="Arial"/>
        <w:b/>
        <w:noProof/>
      </w:rPr>
      <w:t>7</w:t>
    </w:r>
    <w:r>
      <w:rPr>
        <w:rFonts w:ascii="Arial" w:hAnsi="Arial"/>
        <w:b/>
      </w:rPr>
      <w:fldChar w:fldCharType="end"/>
    </w:r>
    <w:r>
      <w:rPr>
        <w:rFonts w:ascii="Arial" w:hAnsi="Arial"/>
        <w:b/>
      </w:rPr>
      <w:tab/>
    </w:r>
    <w:r w:rsidR="00DD2098">
      <w:rPr>
        <w:rFonts w:ascii="Arial" w:hAnsi="Arial"/>
        <w:b/>
      </w:rPr>
      <w:t>9B21D003</w:t>
    </w:r>
  </w:p>
  <w:p w14:paraId="14C0C2F3" w14:textId="77777777" w:rsidR="002E6350" w:rsidRDefault="002E6350" w:rsidP="002E6039">
    <w:pPr>
      <w:pStyle w:val="Header"/>
      <w:tabs>
        <w:tab w:val="clear" w:pos="4680"/>
        <w:tab w:val="clear" w:pos="9360"/>
        <w:tab w:val="right" w:pos="12960"/>
      </w:tabs>
      <w:rPr>
        <w:sz w:val="18"/>
        <w:szCs w:val="18"/>
      </w:rPr>
    </w:pPr>
  </w:p>
  <w:p w14:paraId="42039EB9" w14:textId="77777777" w:rsidR="002E6350" w:rsidRPr="00C92CC4" w:rsidRDefault="002E6350" w:rsidP="002E6039">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292BD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D4270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146B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E240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95C930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6B8AB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5DAEC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5267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44AA6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7B04C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0"/>
  </w:num>
  <w:num w:numId="14">
    <w:abstractNumId w:val="1"/>
  </w:num>
  <w:num w:numId="15">
    <w:abstractNumId w:val="2"/>
  </w:num>
  <w:num w:numId="16">
    <w:abstractNumId w:val="3"/>
  </w:num>
  <w:num w:numId="17">
    <w:abstractNumId w:val="8"/>
  </w:num>
  <w:num w:numId="18">
    <w:abstractNumId w:val="4"/>
  </w:num>
  <w:num w:numId="19">
    <w:abstractNumId w:val="5"/>
  </w:num>
  <w:num w:numId="20">
    <w:abstractNumId w:val="6"/>
  </w:num>
  <w:num w:numId="21">
    <w:abstractNumId w:val="7"/>
  </w:num>
  <w:num w:numId="2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271C"/>
    <w:rsid w:val="00033B1D"/>
    <w:rsid w:val="00035F09"/>
    <w:rsid w:val="00041413"/>
    <w:rsid w:val="00044ECC"/>
    <w:rsid w:val="000531D3"/>
    <w:rsid w:val="0005646B"/>
    <w:rsid w:val="000615D1"/>
    <w:rsid w:val="0008102D"/>
    <w:rsid w:val="00086B26"/>
    <w:rsid w:val="00094C0E"/>
    <w:rsid w:val="000A146D"/>
    <w:rsid w:val="000B5946"/>
    <w:rsid w:val="000D032E"/>
    <w:rsid w:val="000D2A2F"/>
    <w:rsid w:val="000D55E6"/>
    <w:rsid w:val="000D7091"/>
    <w:rsid w:val="000E3BEC"/>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35EC"/>
    <w:rsid w:val="001A752D"/>
    <w:rsid w:val="001A757E"/>
    <w:rsid w:val="001B5032"/>
    <w:rsid w:val="001B5C5A"/>
    <w:rsid w:val="001C7777"/>
    <w:rsid w:val="001D344B"/>
    <w:rsid w:val="001D4FB6"/>
    <w:rsid w:val="001E1D45"/>
    <w:rsid w:val="001E364F"/>
    <w:rsid w:val="001F4222"/>
    <w:rsid w:val="00203AA1"/>
    <w:rsid w:val="00213E98"/>
    <w:rsid w:val="00221659"/>
    <w:rsid w:val="00230150"/>
    <w:rsid w:val="0023081A"/>
    <w:rsid w:val="00233111"/>
    <w:rsid w:val="00265914"/>
    <w:rsid w:val="00265FA8"/>
    <w:rsid w:val="002B0D7E"/>
    <w:rsid w:val="002B40FF"/>
    <w:rsid w:val="002C4E29"/>
    <w:rsid w:val="002D10E2"/>
    <w:rsid w:val="002D37EB"/>
    <w:rsid w:val="002E6039"/>
    <w:rsid w:val="002E6350"/>
    <w:rsid w:val="002F460C"/>
    <w:rsid w:val="002F48D6"/>
    <w:rsid w:val="0030151B"/>
    <w:rsid w:val="00301DC7"/>
    <w:rsid w:val="00317391"/>
    <w:rsid w:val="00326216"/>
    <w:rsid w:val="0032655F"/>
    <w:rsid w:val="003353D9"/>
    <w:rsid w:val="00336580"/>
    <w:rsid w:val="0035461D"/>
    <w:rsid w:val="00354899"/>
    <w:rsid w:val="00355FD6"/>
    <w:rsid w:val="00364A5C"/>
    <w:rsid w:val="00370FE3"/>
    <w:rsid w:val="00373FB1"/>
    <w:rsid w:val="00375099"/>
    <w:rsid w:val="00396C76"/>
    <w:rsid w:val="003B30D8"/>
    <w:rsid w:val="003B7EF2"/>
    <w:rsid w:val="003C3FA4"/>
    <w:rsid w:val="003D0BA1"/>
    <w:rsid w:val="003E0A45"/>
    <w:rsid w:val="003E5974"/>
    <w:rsid w:val="003F2B0C"/>
    <w:rsid w:val="004105B2"/>
    <w:rsid w:val="0041145A"/>
    <w:rsid w:val="00412900"/>
    <w:rsid w:val="00417BF8"/>
    <w:rsid w:val="0042163B"/>
    <w:rsid w:val="00421D70"/>
    <w:rsid w:val="004221E4"/>
    <w:rsid w:val="004273F8"/>
    <w:rsid w:val="004355A3"/>
    <w:rsid w:val="00446546"/>
    <w:rsid w:val="00452769"/>
    <w:rsid w:val="00453FC0"/>
    <w:rsid w:val="00454FA7"/>
    <w:rsid w:val="00465348"/>
    <w:rsid w:val="004772E3"/>
    <w:rsid w:val="004979A5"/>
    <w:rsid w:val="004A25E0"/>
    <w:rsid w:val="004A43BE"/>
    <w:rsid w:val="004B1CCB"/>
    <w:rsid w:val="004B399F"/>
    <w:rsid w:val="004B632F"/>
    <w:rsid w:val="004D3FB1"/>
    <w:rsid w:val="004D6F21"/>
    <w:rsid w:val="004D73A5"/>
    <w:rsid w:val="005020E8"/>
    <w:rsid w:val="0050375C"/>
    <w:rsid w:val="005160F1"/>
    <w:rsid w:val="00524F2F"/>
    <w:rsid w:val="00527E5C"/>
    <w:rsid w:val="00532CF5"/>
    <w:rsid w:val="005528CB"/>
    <w:rsid w:val="00566771"/>
    <w:rsid w:val="00574A5C"/>
    <w:rsid w:val="00577711"/>
    <w:rsid w:val="00581E2E"/>
    <w:rsid w:val="00584F15"/>
    <w:rsid w:val="0059514B"/>
    <w:rsid w:val="005A1B0F"/>
    <w:rsid w:val="005B4CE6"/>
    <w:rsid w:val="005B5EFE"/>
    <w:rsid w:val="005D43ED"/>
    <w:rsid w:val="005D7A72"/>
    <w:rsid w:val="006005D3"/>
    <w:rsid w:val="00610668"/>
    <w:rsid w:val="006163F7"/>
    <w:rsid w:val="00624AEF"/>
    <w:rsid w:val="00627C63"/>
    <w:rsid w:val="0063350B"/>
    <w:rsid w:val="00652606"/>
    <w:rsid w:val="006738B9"/>
    <w:rsid w:val="006946EE"/>
    <w:rsid w:val="006A58A9"/>
    <w:rsid w:val="006A606D"/>
    <w:rsid w:val="006C0371"/>
    <w:rsid w:val="006C08B6"/>
    <w:rsid w:val="006C0B1A"/>
    <w:rsid w:val="006C6065"/>
    <w:rsid w:val="006C7F9F"/>
    <w:rsid w:val="006E2F6D"/>
    <w:rsid w:val="006E58F6"/>
    <w:rsid w:val="006E77E1"/>
    <w:rsid w:val="006F131D"/>
    <w:rsid w:val="006F2E3C"/>
    <w:rsid w:val="00711642"/>
    <w:rsid w:val="007507C6"/>
    <w:rsid w:val="00751E0B"/>
    <w:rsid w:val="00752BCD"/>
    <w:rsid w:val="00766DA1"/>
    <w:rsid w:val="0077221B"/>
    <w:rsid w:val="00773AFC"/>
    <w:rsid w:val="00777286"/>
    <w:rsid w:val="00777AE8"/>
    <w:rsid w:val="00780D94"/>
    <w:rsid w:val="007866A6"/>
    <w:rsid w:val="007A130D"/>
    <w:rsid w:val="007C5305"/>
    <w:rsid w:val="007D1A2D"/>
    <w:rsid w:val="007D32E6"/>
    <w:rsid w:val="007D4102"/>
    <w:rsid w:val="007D482C"/>
    <w:rsid w:val="007D510F"/>
    <w:rsid w:val="007E54A7"/>
    <w:rsid w:val="007F43B7"/>
    <w:rsid w:val="007F52FD"/>
    <w:rsid w:val="00821FFC"/>
    <w:rsid w:val="008271CA"/>
    <w:rsid w:val="00835E99"/>
    <w:rsid w:val="00836990"/>
    <w:rsid w:val="008459A1"/>
    <w:rsid w:val="008467D5"/>
    <w:rsid w:val="00883F1C"/>
    <w:rsid w:val="008A4DC4"/>
    <w:rsid w:val="008B438C"/>
    <w:rsid w:val="008B7B5E"/>
    <w:rsid w:val="008D03C1"/>
    <w:rsid w:val="008D06CA"/>
    <w:rsid w:val="008D3A46"/>
    <w:rsid w:val="008D64E1"/>
    <w:rsid w:val="008D7F04"/>
    <w:rsid w:val="008F2385"/>
    <w:rsid w:val="009067A4"/>
    <w:rsid w:val="00927B02"/>
    <w:rsid w:val="00930885"/>
    <w:rsid w:val="00931A2A"/>
    <w:rsid w:val="00933D68"/>
    <w:rsid w:val="009340DB"/>
    <w:rsid w:val="0094618C"/>
    <w:rsid w:val="0095684B"/>
    <w:rsid w:val="00972498"/>
    <w:rsid w:val="0097481F"/>
    <w:rsid w:val="00974CC6"/>
    <w:rsid w:val="00976AD4"/>
    <w:rsid w:val="00995547"/>
    <w:rsid w:val="009A312F"/>
    <w:rsid w:val="009A5348"/>
    <w:rsid w:val="009B0AB7"/>
    <w:rsid w:val="009C76D5"/>
    <w:rsid w:val="009D5B1A"/>
    <w:rsid w:val="009D7ED2"/>
    <w:rsid w:val="009E62B9"/>
    <w:rsid w:val="009E6DE6"/>
    <w:rsid w:val="009F7AA4"/>
    <w:rsid w:val="00A10AD7"/>
    <w:rsid w:val="00A323B0"/>
    <w:rsid w:val="00A34CA0"/>
    <w:rsid w:val="00A559DB"/>
    <w:rsid w:val="00A569EA"/>
    <w:rsid w:val="00A676A0"/>
    <w:rsid w:val="00A8302F"/>
    <w:rsid w:val="00A93ADB"/>
    <w:rsid w:val="00AA3AC5"/>
    <w:rsid w:val="00AC29CB"/>
    <w:rsid w:val="00AC3E7B"/>
    <w:rsid w:val="00AD797D"/>
    <w:rsid w:val="00AF35FC"/>
    <w:rsid w:val="00AF5556"/>
    <w:rsid w:val="00B03639"/>
    <w:rsid w:val="00B0652A"/>
    <w:rsid w:val="00B40937"/>
    <w:rsid w:val="00B423EF"/>
    <w:rsid w:val="00B453DE"/>
    <w:rsid w:val="00B62497"/>
    <w:rsid w:val="00B629C1"/>
    <w:rsid w:val="00B70EF4"/>
    <w:rsid w:val="00B72597"/>
    <w:rsid w:val="00B77D59"/>
    <w:rsid w:val="00B87DC0"/>
    <w:rsid w:val="00B901F9"/>
    <w:rsid w:val="00BC4D98"/>
    <w:rsid w:val="00BC60DA"/>
    <w:rsid w:val="00BC642E"/>
    <w:rsid w:val="00BD2750"/>
    <w:rsid w:val="00BD6EFB"/>
    <w:rsid w:val="00BD7EFC"/>
    <w:rsid w:val="00BE0CB1"/>
    <w:rsid w:val="00BE3DF5"/>
    <w:rsid w:val="00BF5EAB"/>
    <w:rsid w:val="00C02410"/>
    <w:rsid w:val="00C1584D"/>
    <w:rsid w:val="00C15BE2"/>
    <w:rsid w:val="00C17644"/>
    <w:rsid w:val="00C2194A"/>
    <w:rsid w:val="00C3447F"/>
    <w:rsid w:val="00C44714"/>
    <w:rsid w:val="00C67102"/>
    <w:rsid w:val="00C740E7"/>
    <w:rsid w:val="00C81491"/>
    <w:rsid w:val="00C81676"/>
    <w:rsid w:val="00C85C5D"/>
    <w:rsid w:val="00C92CC4"/>
    <w:rsid w:val="00CA0AFB"/>
    <w:rsid w:val="00CA2BDF"/>
    <w:rsid w:val="00CA2CE1"/>
    <w:rsid w:val="00CA3976"/>
    <w:rsid w:val="00CA50E3"/>
    <w:rsid w:val="00CA757B"/>
    <w:rsid w:val="00CC1787"/>
    <w:rsid w:val="00CC182C"/>
    <w:rsid w:val="00CD0824"/>
    <w:rsid w:val="00CD2908"/>
    <w:rsid w:val="00CD75E4"/>
    <w:rsid w:val="00CE38B8"/>
    <w:rsid w:val="00CF6B1D"/>
    <w:rsid w:val="00D03A82"/>
    <w:rsid w:val="00D13667"/>
    <w:rsid w:val="00D15344"/>
    <w:rsid w:val="00D23F57"/>
    <w:rsid w:val="00D31BEC"/>
    <w:rsid w:val="00D40A40"/>
    <w:rsid w:val="00D63150"/>
    <w:rsid w:val="00D636BA"/>
    <w:rsid w:val="00D64A32"/>
    <w:rsid w:val="00D64EFC"/>
    <w:rsid w:val="00D75295"/>
    <w:rsid w:val="00D7557C"/>
    <w:rsid w:val="00D76421"/>
    <w:rsid w:val="00D76CE9"/>
    <w:rsid w:val="00D821CF"/>
    <w:rsid w:val="00D97F12"/>
    <w:rsid w:val="00DA3030"/>
    <w:rsid w:val="00DA6095"/>
    <w:rsid w:val="00DB42E7"/>
    <w:rsid w:val="00DC09D8"/>
    <w:rsid w:val="00DC24DC"/>
    <w:rsid w:val="00DD2098"/>
    <w:rsid w:val="00DD2C61"/>
    <w:rsid w:val="00DD500C"/>
    <w:rsid w:val="00DE01A6"/>
    <w:rsid w:val="00DE7A98"/>
    <w:rsid w:val="00DF32C2"/>
    <w:rsid w:val="00DF35BE"/>
    <w:rsid w:val="00DF3913"/>
    <w:rsid w:val="00DF4ADC"/>
    <w:rsid w:val="00E032F6"/>
    <w:rsid w:val="00E12665"/>
    <w:rsid w:val="00E24A7A"/>
    <w:rsid w:val="00E36091"/>
    <w:rsid w:val="00E471A7"/>
    <w:rsid w:val="00E635CF"/>
    <w:rsid w:val="00E92C8D"/>
    <w:rsid w:val="00EB1E3B"/>
    <w:rsid w:val="00EC37CD"/>
    <w:rsid w:val="00EC6E0A"/>
    <w:rsid w:val="00ED4E18"/>
    <w:rsid w:val="00ED7922"/>
    <w:rsid w:val="00EE02C4"/>
    <w:rsid w:val="00EE1F37"/>
    <w:rsid w:val="00F0159C"/>
    <w:rsid w:val="00F105B7"/>
    <w:rsid w:val="00F13220"/>
    <w:rsid w:val="00F16643"/>
    <w:rsid w:val="00F17A21"/>
    <w:rsid w:val="00F36FC2"/>
    <w:rsid w:val="00F37B27"/>
    <w:rsid w:val="00F4391A"/>
    <w:rsid w:val="00F46556"/>
    <w:rsid w:val="00F50E91"/>
    <w:rsid w:val="00F51A24"/>
    <w:rsid w:val="00F56799"/>
    <w:rsid w:val="00F57D29"/>
    <w:rsid w:val="00F60786"/>
    <w:rsid w:val="00F91BC7"/>
    <w:rsid w:val="00F96201"/>
    <w:rsid w:val="00F96D54"/>
    <w:rsid w:val="00F9743F"/>
    <w:rsid w:val="00FA1502"/>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738B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6738B9"/>
    <w:pPr>
      <w:keepNext/>
    </w:pPr>
    <w:rPr>
      <w:rFonts w:ascii="Arial" w:hAnsi="Arial" w:cs="Arial"/>
      <w:b/>
      <w:caps/>
      <w:sz w:val="20"/>
      <w:szCs w:val="20"/>
    </w:rPr>
  </w:style>
  <w:style w:type="character" w:customStyle="1" w:styleId="Casehead1Char">
    <w:name w:val="Casehead 1 Char"/>
    <w:basedOn w:val="BodyTextMainChar"/>
    <w:link w:val="Casehead1"/>
    <w:rsid w:val="006738B9"/>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421D70"/>
    <w:rPr>
      <w:b w:val="0"/>
      <w:color w:val="auto"/>
      <w:vertAlign w:val="superscript"/>
    </w:rPr>
  </w:style>
  <w:style w:type="paragraph" w:customStyle="1" w:styleId="Footnote">
    <w:name w:val="Footnote"/>
    <w:basedOn w:val="FootnoteText"/>
    <w:link w:val="FootnoteChar"/>
    <w:qFormat/>
    <w:rsid w:val="00421D70"/>
    <w:rPr>
      <w:rFonts w:ascii="Arial" w:hAnsi="Arial" w:cs="Arial"/>
      <w:sz w:val="17"/>
      <w:szCs w:val="17"/>
    </w:rPr>
  </w:style>
  <w:style w:type="character" w:customStyle="1" w:styleId="FootnoteChar">
    <w:name w:val="Footnote Char"/>
    <w:basedOn w:val="FootnoteTextChar"/>
    <w:link w:val="Footnote"/>
    <w:rsid w:val="00421D70"/>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ivey.ca\bus20257hf\AmCcreery\02%20-%20Case%20Writing\Case%201%20-%20Shell\Case%201%20Problem%20Setup.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403CF4"/>
            </a:solidFill>
            <a:ln>
              <a:noFill/>
            </a:ln>
            <a:effectLst/>
          </c:spPr>
          <c:invertIfNegative val="0"/>
          <c:dPt>
            <c:idx val="0"/>
            <c:invertIfNegative val="0"/>
            <c:bubble3D val="0"/>
            <c:spPr>
              <a:solidFill>
                <a:schemeClr val="tx2">
                  <a:lumMod val="40000"/>
                  <a:lumOff val="60000"/>
                </a:schemeClr>
              </a:solidFill>
              <a:ln>
                <a:noFill/>
              </a:ln>
              <a:effectLst/>
            </c:spPr>
            <c:extLst>
              <c:ext xmlns:c16="http://schemas.microsoft.com/office/drawing/2014/chart" uri="{C3380CC4-5D6E-409C-BE32-E72D297353CC}">
                <c16:uniqueId val="{00000000-D08E-49BF-AF57-3941864A5AA8}"/>
              </c:ext>
            </c:extLst>
          </c:dPt>
          <c:dPt>
            <c:idx val="1"/>
            <c:invertIfNegative val="0"/>
            <c:bubble3D val="0"/>
            <c:spPr>
              <a:solidFill>
                <a:schemeClr val="tx2">
                  <a:lumMod val="40000"/>
                  <a:lumOff val="60000"/>
                </a:schemeClr>
              </a:solidFill>
              <a:ln>
                <a:noFill/>
              </a:ln>
              <a:effectLst/>
            </c:spPr>
            <c:extLst>
              <c:ext xmlns:c16="http://schemas.microsoft.com/office/drawing/2014/chart" uri="{C3380CC4-5D6E-409C-BE32-E72D297353CC}">
                <c16:uniqueId val="{00000001-D08E-49BF-AF57-3941864A5AA8}"/>
              </c:ext>
            </c:extLst>
          </c:dPt>
          <c:dPt>
            <c:idx val="2"/>
            <c:invertIfNegative val="0"/>
            <c:bubble3D val="0"/>
            <c:spPr>
              <a:solidFill>
                <a:schemeClr val="tx2">
                  <a:lumMod val="40000"/>
                  <a:lumOff val="60000"/>
                </a:schemeClr>
              </a:solidFill>
              <a:ln>
                <a:noFill/>
              </a:ln>
              <a:effectLst/>
            </c:spPr>
            <c:extLst>
              <c:ext xmlns:c16="http://schemas.microsoft.com/office/drawing/2014/chart" uri="{C3380CC4-5D6E-409C-BE32-E72D297353CC}">
                <c16:uniqueId val="{00000002-D08E-49BF-AF57-3941864A5AA8}"/>
              </c:ext>
            </c:extLst>
          </c:dPt>
          <c:dPt>
            <c:idx val="3"/>
            <c:invertIfNegative val="0"/>
            <c:bubble3D val="0"/>
            <c:spPr>
              <a:solidFill>
                <a:schemeClr val="tx2">
                  <a:lumMod val="40000"/>
                  <a:lumOff val="60000"/>
                </a:schemeClr>
              </a:solidFill>
              <a:ln>
                <a:noFill/>
              </a:ln>
              <a:effectLst/>
            </c:spPr>
            <c:extLst>
              <c:ext xmlns:c16="http://schemas.microsoft.com/office/drawing/2014/chart" uri="{C3380CC4-5D6E-409C-BE32-E72D297353CC}">
                <c16:uniqueId val="{00000003-D08E-49BF-AF57-3941864A5AA8}"/>
              </c:ext>
            </c:extLst>
          </c:dPt>
          <c:dPt>
            <c:idx val="4"/>
            <c:invertIfNegative val="0"/>
            <c:bubble3D val="0"/>
            <c:spPr>
              <a:solidFill>
                <a:schemeClr val="tx2">
                  <a:lumMod val="40000"/>
                  <a:lumOff val="60000"/>
                </a:schemeClr>
              </a:solidFill>
              <a:ln>
                <a:noFill/>
              </a:ln>
              <a:effectLst/>
            </c:spPr>
            <c:extLst>
              <c:ext xmlns:c16="http://schemas.microsoft.com/office/drawing/2014/chart" uri="{C3380CC4-5D6E-409C-BE32-E72D297353CC}">
                <c16:uniqueId val="{00000004-D08E-49BF-AF57-3941864A5AA8}"/>
              </c:ext>
            </c:extLst>
          </c:dPt>
          <c:cat>
            <c:numRef>
              <c:f>'Research &amp; Links'!$B$54:$B$58</c:f>
              <c:numCache>
                <c:formatCode>General</c:formatCode>
                <c:ptCount val="5"/>
                <c:pt idx="0">
                  <c:v>2014</c:v>
                </c:pt>
                <c:pt idx="1">
                  <c:v>2015</c:v>
                </c:pt>
                <c:pt idx="2">
                  <c:v>2016</c:v>
                </c:pt>
                <c:pt idx="3">
                  <c:v>2017</c:v>
                </c:pt>
                <c:pt idx="4">
                  <c:v>2018</c:v>
                </c:pt>
              </c:numCache>
            </c:numRef>
          </c:cat>
          <c:val>
            <c:numRef>
              <c:f>'Research &amp; Links'!$E$54:$E$58</c:f>
              <c:numCache>
                <c:formatCode>General</c:formatCode>
                <c:ptCount val="5"/>
                <c:pt idx="0">
                  <c:v>92.000429999999994</c:v>
                </c:pt>
                <c:pt idx="1">
                  <c:v>116.44698</c:v>
                </c:pt>
                <c:pt idx="2">
                  <c:v>52.236520000000006</c:v>
                </c:pt>
                <c:pt idx="3">
                  <c:v>62.64</c:v>
                </c:pt>
                <c:pt idx="4">
                  <c:v>90.789999999999992</c:v>
                </c:pt>
              </c:numCache>
            </c:numRef>
          </c:val>
          <c:extLst>
            <c:ext xmlns:c16="http://schemas.microsoft.com/office/drawing/2014/chart" uri="{C3380CC4-5D6E-409C-BE32-E72D297353CC}">
              <c16:uniqueId val="{00000000-4263-43D9-9A71-0238FD75B3B9}"/>
            </c:ext>
          </c:extLst>
        </c:ser>
        <c:dLbls>
          <c:showLegendKey val="0"/>
          <c:showVal val="0"/>
          <c:showCatName val="0"/>
          <c:showSerName val="0"/>
          <c:showPercent val="0"/>
          <c:showBubbleSize val="0"/>
        </c:dLbls>
        <c:gapWidth val="16"/>
        <c:overlap val="-27"/>
        <c:axId val="215052880"/>
        <c:axId val="215051216"/>
      </c:barChart>
      <c:catAx>
        <c:axId val="215052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CA"/>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15051216"/>
        <c:crosses val="autoZero"/>
        <c:auto val="1"/>
        <c:lblAlgn val="ctr"/>
        <c:lblOffset val="100"/>
        <c:noMultiLvlLbl val="0"/>
      </c:catAx>
      <c:valAx>
        <c:axId val="2150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CA"/>
                  <a:t>Price (CA$ per tonne)</a:t>
                </a:r>
              </a:p>
            </c:rich>
          </c:tx>
          <c:layout>
            <c:manualLayout>
              <c:xMode val="edge"/>
              <c:yMode val="edge"/>
              <c:x val="1.5037593984962405E-2"/>
              <c:y val="0.2351968503937007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1505288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E61BC6-DE59-4D44-985C-689C74F0DB5A}">
  <we:reference id="wa104380773" version="1.0.0.2" store="en-US" storeType="OMEX"/>
  <we:alternateReferences>
    <we:reference id="WA104380773"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96083-331D-4AD7-AE17-DA13C3A34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2390</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Product Coordinator</cp:lastModifiedBy>
  <cp:revision>3</cp:revision>
  <cp:lastPrinted>2021-03-04T20:32:00Z</cp:lastPrinted>
  <dcterms:created xsi:type="dcterms:W3CDTF">2022-01-12T13:06:00Z</dcterms:created>
  <dcterms:modified xsi:type="dcterms:W3CDTF">2022-01-12T13:13:00Z</dcterms:modified>
</cp:coreProperties>
</file>