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F5694A" w14:textId="77777777" w:rsidR="00267E45" w:rsidRDefault="00267E45" w:rsidP="00267E4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1CD5363E" wp14:editId="3A8EB3D4">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D45EFD7" w:rsidR="00C02410" w:rsidRPr="00C270FA" w:rsidRDefault="005F4660" w:rsidP="00C02410">
      <w:pPr>
        <w:pStyle w:val="ProductNumber"/>
        <w:rPr>
          <w:lang w:val="en-CA"/>
        </w:rPr>
      </w:pPr>
      <w:r>
        <w:rPr>
          <w:lang w:val="en-CA"/>
        </w:rPr>
        <w:t>9B21D011</w:t>
      </w:r>
    </w:p>
    <w:p w14:paraId="4E057522" w14:textId="7A113CB1" w:rsidR="00D75295" w:rsidRPr="00C270FA" w:rsidRDefault="00D75295" w:rsidP="00D75295">
      <w:pPr>
        <w:jc w:val="right"/>
        <w:rPr>
          <w:rFonts w:ascii="Arial" w:hAnsi="Arial"/>
          <w:b/>
          <w:lang w:val="en-CA"/>
        </w:rPr>
      </w:pPr>
    </w:p>
    <w:p w14:paraId="02524312" w14:textId="77777777" w:rsidR="001901C0" w:rsidRPr="00C270FA" w:rsidRDefault="001901C0" w:rsidP="00D75295">
      <w:pPr>
        <w:jc w:val="right"/>
        <w:rPr>
          <w:rFonts w:ascii="Arial" w:hAnsi="Arial"/>
          <w:b/>
          <w:lang w:val="en-CA"/>
        </w:rPr>
      </w:pPr>
    </w:p>
    <w:p w14:paraId="2F03D26A" w14:textId="1B902791" w:rsidR="00013360" w:rsidRPr="00C270FA" w:rsidRDefault="00605009" w:rsidP="00013360">
      <w:pPr>
        <w:pStyle w:val="CaseTitle"/>
        <w:spacing w:after="0" w:line="240" w:lineRule="auto"/>
        <w:rPr>
          <w:sz w:val="20"/>
          <w:szCs w:val="20"/>
          <w:lang w:val="en-CA"/>
        </w:rPr>
      </w:pPr>
      <w:r w:rsidRPr="00C270FA">
        <w:rPr>
          <w:color w:val="0C0C0C"/>
          <w:lang w:val="en-CA"/>
        </w:rPr>
        <w:t>MEDICOM: BUILDING A RESILIENT SUPPLY CHAIN</w:t>
      </w:r>
    </w:p>
    <w:p w14:paraId="40ABF6FD" w14:textId="77777777" w:rsidR="00CA3976" w:rsidRPr="00C270FA" w:rsidRDefault="00CA3976" w:rsidP="00013360">
      <w:pPr>
        <w:pStyle w:val="CaseTitle"/>
        <w:spacing w:after="0" w:line="240" w:lineRule="auto"/>
        <w:rPr>
          <w:sz w:val="20"/>
          <w:szCs w:val="20"/>
          <w:lang w:val="en-CA"/>
        </w:rPr>
      </w:pPr>
    </w:p>
    <w:p w14:paraId="202F1085" w14:textId="77777777" w:rsidR="00013360" w:rsidRPr="00C270FA" w:rsidRDefault="00013360" w:rsidP="00013360">
      <w:pPr>
        <w:pStyle w:val="CaseTitle"/>
        <w:spacing w:after="0" w:line="240" w:lineRule="auto"/>
        <w:rPr>
          <w:sz w:val="20"/>
          <w:szCs w:val="20"/>
          <w:lang w:val="en-CA"/>
        </w:rPr>
      </w:pPr>
    </w:p>
    <w:p w14:paraId="58B0C73F" w14:textId="10FFF0C1" w:rsidR="00086B26" w:rsidRPr="00C270FA" w:rsidRDefault="00605009" w:rsidP="00086B26">
      <w:pPr>
        <w:pStyle w:val="StyleCopyrightStatementAfter0ptBottomSinglesolidline1"/>
        <w:rPr>
          <w:szCs w:val="16"/>
          <w:lang w:val="en-CA"/>
        </w:rPr>
      </w:pPr>
      <w:r w:rsidRPr="00C270FA">
        <w:rPr>
          <w:rFonts w:cs="Arial"/>
          <w:color w:val="0C0C0C"/>
          <w:szCs w:val="16"/>
          <w:lang w:val="en-CA"/>
        </w:rPr>
        <w:t xml:space="preserve">R. Chandrasekhar wrote this case under the supervision of Professor P. Fraser Johnson </w:t>
      </w:r>
      <w:r w:rsidR="00086B26" w:rsidRPr="00C270FA">
        <w:rPr>
          <w:szCs w:val="16"/>
          <w:lang w:val="en-CA"/>
        </w:rPr>
        <w:t>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C270FA" w:rsidRDefault="00086B26" w:rsidP="00086B26">
      <w:pPr>
        <w:pStyle w:val="StyleCopyrightStatementAfter0ptBottomSinglesolidline1"/>
        <w:rPr>
          <w:lang w:val="en-CA"/>
        </w:rPr>
      </w:pPr>
    </w:p>
    <w:p w14:paraId="0B513231" w14:textId="77777777" w:rsidR="00267E45" w:rsidRPr="00A323B0" w:rsidRDefault="00267E45" w:rsidP="00267E45">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4FF3CFF" w14:textId="77777777" w:rsidR="00267E45" w:rsidRPr="00A323B0" w:rsidRDefault="00267E45" w:rsidP="00267E45">
      <w:pPr>
        <w:pStyle w:val="StyleStyleCopyrightStatementAfter0ptBottomSinglesolid"/>
        <w:rPr>
          <w:rFonts w:cs="Arial"/>
          <w:szCs w:val="16"/>
        </w:rPr>
      </w:pPr>
    </w:p>
    <w:p w14:paraId="3922E14F" w14:textId="2A80084B" w:rsidR="00751E0B" w:rsidRPr="00C270FA" w:rsidRDefault="00267E45" w:rsidP="00267E45">
      <w:pPr>
        <w:pStyle w:val="StyleStyleCopyrightStatementAfter0ptBottomSinglesolid"/>
        <w:rPr>
          <w:rFonts w:cs="Arial"/>
          <w:szCs w:val="16"/>
          <w:lang w:val="en-CA"/>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C270FA">
        <w:rPr>
          <w:rFonts w:cs="Arial"/>
          <w:iCs w:val="0"/>
          <w:color w:val="auto"/>
          <w:szCs w:val="16"/>
          <w:lang w:val="en-CA"/>
        </w:rPr>
        <w:tab/>
        <w:t>Version: 20</w:t>
      </w:r>
      <w:r w:rsidR="00605009" w:rsidRPr="00C270FA">
        <w:rPr>
          <w:rFonts w:cs="Arial"/>
          <w:iCs w:val="0"/>
          <w:color w:val="auto"/>
          <w:szCs w:val="16"/>
          <w:lang w:val="en-CA"/>
        </w:rPr>
        <w:t>21-0</w:t>
      </w:r>
      <w:r w:rsidR="004F711D" w:rsidRPr="00C270FA">
        <w:rPr>
          <w:rFonts w:cs="Arial"/>
          <w:iCs w:val="0"/>
          <w:color w:val="auto"/>
          <w:szCs w:val="16"/>
          <w:lang w:val="en-CA"/>
        </w:rPr>
        <w:t>6</w:t>
      </w:r>
      <w:r w:rsidR="00605009" w:rsidRPr="00C270FA">
        <w:rPr>
          <w:rFonts w:cs="Arial"/>
          <w:iCs w:val="0"/>
          <w:color w:val="auto"/>
          <w:szCs w:val="16"/>
          <w:lang w:val="en-CA"/>
        </w:rPr>
        <w:t>-</w:t>
      </w:r>
      <w:r w:rsidR="004F711D" w:rsidRPr="00C270FA">
        <w:rPr>
          <w:rFonts w:cs="Arial"/>
          <w:iCs w:val="0"/>
          <w:color w:val="auto"/>
          <w:szCs w:val="16"/>
          <w:lang w:val="en-CA"/>
        </w:rPr>
        <w:t>2</w:t>
      </w:r>
      <w:r>
        <w:rPr>
          <w:rFonts w:cs="Arial"/>
          <w:iCs w:val="0"/>
          <w:color w:val="auto"/>
          <w:szCs w:val="16"/>
          <w:lang w:val="en-CA"/>
        </w:rPr>
        <w:t>5</w:t>
      </w:r>
    </w:p>
    <w:p w14:paraId="0A2A54E4" w14:textId="77777777" w:rsidR="00751E0B" w:rsidRPr="00C270FA" w:rsidRDefault="00751E0B" w:rsidP="00751E0B">
      <w:pPr>
        <w:pStyle w:val="StyleCopyrightStatementAfter0ptBottomSinglesolidline1"/>
        <w:rPr>
          <w:rFonts w:ascii="Times New Roman" w:hAnsi="Times New Roman"/>
          <w:sz w:val="20"/>
          <w:lang w:val="en-CA"/>
        </w:rPr>
      </w:pPr>
    </w:p>
    <w:p w14:paraId="2C183161" w14:textId="45C3DB47" w:rsidR="00B87DC0" w:rsidRPr="00C270FA" w:rsidRDefault="00B87DC0" w:rsidP="002B40FF">
      <w:pPr>
        <w:pStyle w:val="Casehead1"/>
        <w:rPr>
          <w:lang w:val="en-CA"/>
        </w:rPr>
      </w:pPr>
    </w:p>
    <w:p w14:paraId="1B3ABC05" w14:textId="4A04BDB9" w:rsidR="00F75924" w:rsidRPr="00C270FA" w:rsidRDefault="00F75924" w:rsidP="00605009">
      <w:pPr>
        <w:pStyle w:val="BodyTextMain"/>
        <w:rPr>
          <w:lang w:val="en-CA"/>
        </w:rPr>
      </w:pPr>
      <w:r w:rsidRPr="00C270FA">
        <w:rPr>
          <w:lang w:val="en-CA"/>
        </w:rPr>
        <w:t>L</w:t>
      </w:r>
      <w:r w:rsidR="00605009" w:rsidRPr="00C270FA">
        <w:rPr>
          <w:lang w:val="en-CA"/>
        </w:rPr>
        <w:t>ate in the afternoon of February 16, 2021</w:t>
      </w:r>
      <w:r w:rsidR="009E29B7" w:rsidRPr="00C270FA">
        <w:rPr>
          <w:lang w:val="en-CA"/>
        </w:rPr>
        <w:t>,</w:t>
      </w:r>
      <w:r w:rsidR="00605009" w:rsidRPr="00C270FA">
        <w:rPr>
          <w:lang w:val="en-CA"/>
        </w:rPr>
        <w:t xml:space="preserve"> </w:t>
      </w:r>
      <w:bookmarkStart w:id="0" w:name="_Hlk64709705"/>
      <w:r w:rsidR="00605009" w:rsidRPr="00C270FA">
        <w:rPr>
          <w:lang w:val="en-CA"/>
        </w:rPr>
        <w:t xml:space="preserve">Guillaume </w:t>
      </w:r>
      <w:bookmarkEnd w:id="0"/>
      <w:r w:rsidR="00605009" w:rsidRPr="00C270FA">
        <w:rPr>
          <w:lang w:val="en-CA"/>
        </w:rPr>
        <w:t xml:space="preserve">Laverdure, chief operating officer at </w:t>
      </w:r>
      <w:proofErr w:type="spellStart"/>
      <w:r w:rsidR="00605009" w:rsidRPr="00C270FA">
        <w:rPr>
          <w:lang w:val="en-CA"/>
        </w:rPr>
        <w:t>Medicom</w:t>
      </w:r>
      <w:proofErr w:type="spellEnd"/>
      <w:r w:rsidR="00605009" w:rsidRPr="00C270FA">
        <w:rPr>
          <w:lang w:val="en-CA"/>
        </w:rPr>
        <w:t xml:space="preserve"> Group (</w:t>
      </w:r>
      <w:proofErr w:type="spellStart"/>
      <w:r w:rsidR="00605009" w:rsidRPr="00C270FA">
        <w:rPr>
          <w:lang w:val="en-CA"/>
        </w:rPr>
        <w:t>Medicom</w:t>
      </w:r>
      <w:proofErr w:type="spellEnd"/>
      <w:r w:rsidR="00605009" w:rsidRPr="00C270FA">
        <w:rPr>
          <w:lang w:val="en-CA"/>
        </w:rPr>
        <w:t xml:space="preserve">), was reviewing a report </w:t>
      </w:r>
      <w:r w:rsidRPr="00C270FA">
        <w:rPr>
          <w:lang w:val="en-CA"/>
        </w:rPr>
        <w:t>about</w:t>
      </w:r>
      <w:r w:rsidR="00605009" w:rsidRPr="00C270FA">
        <w:rPr>
          <w:lang w:val="en-CA"/>
        </w:rPr>
        <w:t xml:space="preserve"> a potential investment in a new facility</w:t>
      </w:r>
      <w:r w:rsidRPr="00C270FA">
        <w:rPr>
          <w:lang w:val="en-CA"/>
        </w:rPr>
        <w:t xml:space="preserve">. The facility would </w:t>
      </w:r>
      <w:r w:rsidR="00605009" w:rsidRPr="00C270FA">
        <w:rPr>
          <w:lang w:val="en-CA"/>
        </w:rPr>
        <w:t>manufacture melt</w:t>
      </w:r>
      <w:r w:rsidR="009E29B7" w:rsidRPr="00C270FA">
        <w:rPr>
          <w:lang w:val="en-CA"/>
        </w:rPr>
        <w:t>-</w:t>
      </w:r>
      <w:r w:rsidR="00605009" w:rsidRPr="00C270FA">
        <w:rPr>
          <w:lang w:val="en-CA"/>
        </w:rPr>
        <w:t>blown polypropylene (melt</w:t>
      </w:r>
      <w:r w:rsidR="009E29B7" w:rsidRPr="00C270FA">
        <w:rPr>
          <w:lang w:val="en-CA"/>
        </w:rPr>
        <w:t>-</w:t>
      </w:r>
      <w:r w:rsidR="00605009" w:rsidRPr="00C270FA">
        <w:rPr>
          <w:lang w:val="en-CA"/>
        </w:rPr>
        <w:t>blown), a key raw material for surgical and respirator masks. The previous year had been eventful for the supplier of personal protective equipment (PPE)</w:t>
      </w:r>
      <w:r w:rsidRPr="00C270FA">
        <w:rPr>
          <w:lang w:val="en-CA"/>
        </w:rPr>
        <w:t>,</w:t>
      </w:r>
      <w:r w:rsidR="00605009" w:rsidRPr="00C270FA">
        <w:rPr>
          <w:lang w:val="en-CA"/>
        </w:rPr>
        <w:t xml:space="preserve"> as </w:t>
      </w:r>
      <w:r w:rsidR="00136B80" w:rsidRPr="00C270FA">
        <w:rPr>
          <w:lang w:val="en-CA"/>
        </w:rPr>
        <w:t xml:space="preserve">the COVID-19 pandemic </w:t>
      </w:r>
      <w:r w:rsidRPr="00C270FA">
        <w:rPr>
          <w:lang w:val="en-CA"/>
        </w:rPr>
        <w:t xml:space="preserve">had </w:t>
      </w:r>
      <w:r w:rsidR="00136B80" w:rsidRPr="00C270FA">
        <w:rPr>
          <w:lang w:val="en-CA"/>
        </w:rPr>
        <w:t>led to</w:t>
      </w:r>
      <w:r w:rsidR="00605009" w:rsidRPr="00C270FA">
        <w:rPr>
          <w:lang w:val="en-CA"/>
        </w:rPr>
        <w:t xml:space="preserve"> a staggering increase in demand for </w:t>
      </w:r>
      <w:r w:rsidR="00136B80" w:rsidRPr="00C270FA">
        <w:rPr>
          <w:lang w:val="en-CA"/>
        </w:rPr>
        <w:t xml:space="preserve">the company’s </w:t>
      </w:r>
      <w:r w:rsidR="00605009" w:rsidRPr="00C270FA">
        <w:rPr>
          <w:lang w:val="en-CA"/>
        </w:rPr>
        <w:t xml:space="preserve">products. As one of the largest suppliers of medical masks in the world, </w:t>
      </w:r>
      <w:proofErr w:type="spellStart"/>
      <w:r w:rsidRPr="00C270FA">
        <w:rPr>
          <w:lang w:val="en-CA"/>
        </w:rPr>
        <w:t>Medicom</w:t>
      </w:r>
      <w:proofErr w:type="spellEnd"/>
      <w:r w:rsidR="00605009" w:rsidRPr="00C270FA">
        <w:rPr>
          <w:lang w:val="en-CA"/>
        </w:rPr>
        <w:t xml:space="preserve"> had expanded its global production threefold and was expecting to deliver 2.5 billion masks in 2021. </w:t>
      </w:r>
      <w:bookmarkStart w:id="1" w:name="_Hlk64886965"/>
      <w:r w:rsidR="00605009" w:rsidRPr="00C270FA">
        <w:rPr>
          <w:lang w:val="en-CA"/>
        </w:rPr>
        <w:t xml:space="preserve">Guillaume </w:t>
      </w:r>
      <w:bookmarkEnd w:id="1"/>
      <w:r w:rsidR="00605009" w:rsidRPr="00C270FA">
        <w:rPr>
          <w:lang w:val="en-CA"/>
        </w:rPr>
        <w:t>explained why the company was considering an investment in melt</w:t>
      </w:r>
      <w:r w:rsidR="009E29B7" w:rsidRPr="00C270FA">
        <w:rPr>
          <w:lang w:val="en-CA"/>
        </w:rPr>
        <w:t>-</w:t>
      </w:r>
      <w:r w:rsidR="00605009" w:rsidRPr="00C270FA">
        <w:rPr>
          <w:lang w:val="en-CA"/>
        </w:rPr>
        <w:t>blown manufacturing capacity:</w:t>
      </w:r>
      <w:r w:rsidRPr="00C270FA" w:rsidDel="00F75924">
        <w:rPr>
          <w:lang w:val="en-CA"/>
        </w:rPr>
        <w:t xml:space="preserve"> </w:t>
      </w:r>
    </w:p>
    <w:p w14:paraId="729713A7" w14:textId="77777777" w:rsidR="00F75924" w:rsidRPr="00267E45" w:rsidRDefault="00F75924" w:rsidP="00605009">
      <w:pPr>
        <w:pStyle w:val="BodyTextMain"/>
        <w:rPr>
          <w:lang w:val="en-CA"/>
        </w:rPr>
      </w:pPr>
    </w:p>
    <w:p w14:paraId="68288E29" w14:textId="354B7013" w:rsidR="00605009" w:rsidRPr="00C270FA" w:rsidRDefault="00605009" w:rsidP="007D374B">
      <w:pPr>
        <w:pStyle w:val="BodyTextMain"/>
        <w:ind w:left="567"/>
        <w:rPr>
          <w:lang w:val="en-CA"/>
        </w:rPr>
      </w:pPr>
      <w:r w:rsidRPr="00C270FA">
        <w:rPr>
          <w:lang w:val="en-CA"/>
        </w:rPr>
        <w:t>Raw material supply shortages have represented a major bottleneck during the past year. We could easily have manufactured 25 per cent more masks if the raw material had been available. Although prices for melt</w:t>
      </w:r>
      <w:r w:rsidR="009E29B7" w:rsidRPr="00C270FA">
        <w:rPr>
          <w:lang w:val="en-CA"/>
        </w:rPr>
        <w:t>-</w:t>
      </w:r>
      <w:r w:rsidRPr="00C270FA">
        <w:rPr>
          <w:lang w:val="en-CA"/>
        </w:rPr>
        <w:t>blown material have more than doubled, the entire industry is experiencing a shortage. One of my priorities is to explore opportunities that will make our supply chain more resilient. One option is vertical integration, where we control raw material supply. However, this approach will require a significant financial investment and commitment of organizational resources for a new facility. We also do not have any experience with melt</w:t>
      </w:r>
      <w:r w:rsidR="009E29B7" w:rsidRPr="00C270FA">
        <w:rPr>
          <w:lang w:val="en-CA"/>
        </w:rPr>
        <w:t>-</w:t>
      </w:r>
      <w:r w:rsidRPr="00C270FA">
        <w:rPr>
          <w:lang w:val="en-CA"/>
        </w:rPr>
        <w:t>blown manufacturing technology.</w:t>
      </w:r>
    </w:p>
    <w:p w14:paraId="76E2B865" w14:textId="77777777" w:rsidR="00605009" w:rsidRPr="00267E45" w:rsidRDefault="00605009" w:rsidP="00605009">
      <w:pPr>
        <w:pStyle w:val="BodyTextMain"/>
        <w:rPr>
          <w:sz w:val="20"/>
          <w:lang w:val="en-CA"/>
        </w:rPr>
      </w:pPr>
    </w:p>
    <w:p w14:paraId="72C90468" w14:textId="6EC26DE6" w:rsidR="00605009" w:rsidRPr="00C270FA" w:rsidRDefault="00605009" w:rsidP="00605009">
      <w:pPr>
        <w:pStyle w:val="BodyTextMain"/>
        <w:rPr>
          <w:lang w:val="en-CA"/>
        </w:rPr>
      </w:pPr>
      <w:r w:rsidRPr="00C270FA">
        <w:rPr>
          <w:lang w:val="en-CA"/>
        </w:rPr>
        <w:t xml:space="preserve">Guillaume was scheduled to meet with </w:t>
      </w:r>
      <w:proofErr w:type="spellStart"/>
      <w:r w:rsidRPr="00C270FA">
        <w:rPr>
          <w:lang w:val="en-CA"/>
        </w:rPr>
        <w:t>Medicom’s</w:t>
      </w:r>
      <w:proofErr w:type="spellEnd"/>
      <w:r w:rsidRPr="00C270FA">
        <w:rPr>
          <w:lang w:val="en-CA"/>
        </w:rPr>
        <w:t xml:space="preserve"> chief executive officer, Ronald Reuben, the following week to review alternatives and to </w:t>
      </w:r>
      <w:proofErr w:type="gramStart"/>
      <w:r w:rsidRPr="00C270FA">
        <w:rPr>
          <w:lang w:val="en-CA"/>
        </w:rPr>
        <w:t>make a decision</w:t>
      </w:r>
      <w:proofErr w:type="gramEnd"/>
      <w:r w:rsidRPr="00C270FA">
        <w:rPr>
          <w:lang w:val="en-CA"/>
        </w:rPr>
        <w:t xml:space="preserve"> regarding melt</w:t>
      </w:r>
      <w:r w:rsidR="009E29B7" w:rsidRPr="00C270FA">
        <w:rPr>
          <w:lang w:val="en-CA"/>
        </w:rPr>
        <w:t>-</w:t>
      </w:r>
      <w:r w:rsidRPr="00C270FA">
        <w:rPr>
          <w:lang w:val="en-CA"/>
        </w:rPr>
        <w:t>blown supply. As he examined the report his team had prepared</w:t>
      </w:r>
      <w:r w:rsidR="00374251" w:rsidRPr="00C270FA">
        <w:rPr>
          <w:lang w:val="en-CA"/>
        </w:rPr>
        <w:t>, which</w:t>
      </w:r>
      <w:r w:rsidRPr="00C270FA">
        <w:rPr>
          <w:lang w:val="en-CA"/>
        </w:rPr>
        <w:t xml:space="preserve"> </w:t>
      </w:r>
      <w:r w:rsidR="00374251" w:rsidRPr="00C270FA">
        <w:rPr>
          <w:lang w:val="en-CA"/>
        </w:rPr>
        <w:t xml:space="preserve">showed </w:t>
      </w:r>
      <w:r w:rsidRPr="00C270FA">
        <w:rPr>
          <w:lang w:val="en-CA"/>
        </w:rPr>
        <w:t xml:space="preserve">the financial and production forecasts for the new plant, Guillaume wondered whether vertical integration was the best approach to achieve the company’s strategic objectives. </w:t>
      </w:r>
    </w:p>
    <w:p w14:paraId="24BB0497" w14:textId="77777777" w:rsidR="00605009" w:rsidRPr="00267E45" w:rsidRDefault="00605009" w:rsidP="00605009">
      <w:pPr>
        <w:pStyle w:val="BodyTextMain"/>
        <w:rPr>
          <w:szCs w:val="14"/>
          <w:lang w:val="en-CA"/>
        </w:rPr>
      </w:pPr>
    </w:p>
    <w:p w14:paraId="35ABE39B" w14:textId="77777777" w:rsidR="00605009" w:rsidRPr="00267E45" w:rsidRDefault="00605009" w:rsidP="00605009">
      <w:pPr>
        <w:pStyle w:val="BodyTextMain"/>
        <w:rPr>
          <w:szCs w:val="14"/>
          <w:lang w:val="en-CA"/>
        </w:rPr>
      </w:pPr>
    </w:p>
    <w:p w14:paraId="1E47877A" w14:textId="77777777" w:rsidR="00605009" w:rsidRPr="00C270FA" w:rsidRDefault="00605009" w:rsidP="00605009">
      <w:pPr>
        <w:pStyle w:val="Casehead1"/>
        <w:rPr>
          <w:lang w:val="en-CA"/>
        </w:rPr>
      </w:pPr>
      <w:r w:rsidRPr="00C270FA">
        <w:rPr>
          <w:lang w:val="en-CA"/>
        </w:rPr>
        <w:t>PERSONAL PROTECTIVE EQUIPMENT INDUSTRY</w:t>
      </w:r>
    </w:p>
    <w:p w14:paraId="392528D0" w14:textId="77777777" w:rsidR="00605009" w:rsidRPr="00267E45" w:rsidRDefault="00605009" w:rsidP="00605009">
      <w:pPr>
        <w:pStyle w:val="BodyTextMain"/>
        <w:rPr>
          <w:szCs w:val="14"/>
          <w:lang w:val="en-CA"/>
        </w:rPr>
      </w:pPr>
    </w:p>
    <w:p w14:paraId="619B9711" w14:textId="0CCAF99E" w:rsidR="008452D2" w:rsidRDefault="00605009" w:rsidP="00605009">
      <w:pPr>
        <w:pStyle w:val="BodyTextMain"/>
        <w:rPr>
          <w:lang w:val="en-CA"/>
        </w:rPr>
      </w:pPr>
      <w:r w:rsidRPr="00C270FA">
        <w:rPr>
          <w:lang w:val="en-CA"/>
        </w:rPr>
        <w:t xml:space="preserve">PPE consisted of specialized equipment worn </w:t>
      </w:r>
      <w:r w:rsidR="00242EE3" w:rsidRPr="00C270FA">
        <w:rPr>
          <w:lang w:val="en-CA"/>
        </w:rPr>
        <w:t>to</w:t>
      </w:r>
      <w:r w:rsidRPr="00C270FA">
        <w:rPr>
          <w:lang w:val="en-CA"/>
        </w:rPr>
        <w:t xml:space="preserve"> </w:t>
      </w:r>
      <w:r w:rsidR="00242EE3" w:rsidRPr="00C270FA">
        <w:rPr>
          <w:lang w:val="en-CA"/>
        </w:rPr>
        <w:t xml:space="preserve">protect the wearer </w:t>
      </w:r>
      <w:r w:rsidRPr="00C270FA">
        <w:rPr>
          <w:lang w:val="en-CA"/>
        </w:rPr>
        <w:t xml:space="preserve">from exposure </w:t>
      </w:r>
      <w:r w:rsidR="007355B7" w:rsidRPr="00C270FA">
        <w:rPr>
          <w:lang w:val="en-CA"/>
        </w:rPr>
        <w:t xml:space="preserve">to </w:t>
      </w:r>
      <w:r w:rsidRPr="00C270FA">
        <w:rPr>
          <w:lang w:val="en-CA"/>
        </w:rPr>
        <w:t xml:space="preserve">workplace hazards that </w:t>
      </w:r>
      <w:r w:rsidR="00242EE3" w:rsidRPr="00C270FA">
        <w:rPr>
          <w:lang w:val="en-CA"/>
        </w:rPr>
        <w:t xml:space="preserve">might </w:t>
      </w:r>
      <w:r w:rsidRPr="00C270FA">
        <w:rPr>
          <w:lang w:val="en-CA"/>
        </w:rPr>
        <w:t xml:space="preserve">cause injury and illness. </w:t>
      </w:r>
      <w:r w:rsidRPr="00C270FA">
        <w:rPr>
          <w:rFonts w:eastAsiaTheme="minorHAnsi"/>
          <w:color w:val="000000"/>
          <w:lang w:val="en-CA"/>
        </w:rPr>
        <w:t xml:space="preserve">Comprising seven product categories, the PPE market was valued at </w:t>
      </w:r>
      <w:r w:rsidR="00242EE3" w:rsidRPr="00C270FA">
        <w:rPr>
          <w:rFonts w:eastAsiaTheme="minorHAnsi"/>
          <w:color w:val="000000"/>
          <w:lang w:val="en-CA"/>
        </w:rPr>
        <w:t>US</w:t>
      </w:r>
      <w:r w:rsidRPr="00C270FA">
        <w:rPr>
          <w:rFonts w:eastAsiaTheme="minorHAnsi"/>
          <w:color w:val="000000"/>
          <w:lang w:val="en-CA"/>
        </w:rPr>
        <w:t>$7.9 billion</w:t>
      </w:r>
      <w:r w:rsidR="00242EE3" w:rsidRPr="00C270FA">
        <w:rPr>
          <w:rStyle w:val="FootnoteReference"/>
          <w:rFonts w:eastAsiaTheme="minorHAnsi"/>
          <w:color w:val="000000"/>
          <w:lang w:val="en-CA"/>
        </w:rPr>
        <w:footnoteReference w:id="1"/>
      </w:r>
      <w:r w:rsidRPr="00C270FA">
        <w:rPr>
          <w:rFonts w:eastAsiaTheme="minorHAnsi"/>
          <w:color w:val="000000"/>
          <w:lang w:val="en-CA"/>
        </w:rPr>
        <w:t xml:space="preserve"> in 2019 (</w:t>
      </w:r>
      <w:r w:rsidR="00C21790" w:rsidRPr="00C270FA">
        <w:rPr>
          <w:rFonts w:eastAsiaTheme="minorHAnsi"/>
          <w:color w:val="000000"/>
          <w:lang w:val="en-CA"/>
        </w:rPr>
        <w:t xml:space="preserve">see </w:t>
      </w:r>
      <w:r w:rsidRPr="00C270FA">
        <w:rPr>
          <w:rFonts w:eastAsiaTheme="minorHAnsi"/>
          <w:color w:val="000000"/>
          <w:lang w:val="en-CA"/>
        </w:rPr>
        <w:t>Exhibit 1).</w:t>
      </w:r>
      <w:r w:rsidR="008452D2" w:rsidRPr="00C270FA">
        <w:rPr>
          <w:rFonts w:eastAsiaTheme="minorHAnsi"/>
          <w:color w:val="000000"/>
          <w:lang w:val="en-CA"/>
        </w:rPr>
        <w:t xml:space="preserve"> PPE products were </w:t>
      </w:r>
      <w:r w:rsidR="008452D2" w:rsidRPr="00C270FA">
        <w:rPr>
          <w:lang w:val="en-CA"/>
        </w:rPr>
        <w:t xml:space="preserve">used in a variety of industries, including manufacturing (22.5 per cent of output), healthcare (16.8 per cent), oil and gas (16.3 per cent), construction </w:t>
      </w:r>
      <w:r w:rsidR="008452D2" w:rsidRPr="00C270FA">
        <w:rPr>
          <w:lang w:val="en-CA"/>
        </w:rPr>
        <w:lastRenderedPageBreak/>
        <w:t>(15.6 per cent), chemicals (12.2 per cent), food (10.1 per cent)</w:t>
      </w:r>
      <w:r w:rsidR="000B2D51" w:rsidRPr="00C270FA">
        <w:rPr>
          <w:lang w:val="en-CA"/>
        </w:rPr>
        <w:t>,</w:t>
      </w:r>
      <w:r w:rsidR="008452D2" w:rsidRPr="00C270FA">
        <w:rPr>
          <w:lang w:val="en-CA"/>
        </w:rPr>
        <w:t xml:space="preserve"> and transportation (6.5 per cent). During the COVID-19 pandemic, healthcare became the PPE demand leader.</w:t>
      </w:r>
      <w:r w:rsidR="008452D2" w:rsidRPr="00C270FA">
        <w:rPr>
          <w:rStyle w:val="FootnoteReference"/>
          <w:lang w:val="en-CA"/>
        </w:rPr>
        <w:footnoteReference w:id="2"/>
      </w:r>
      <w:r w:rsidR="008452D2" w:rsidRPr="00C270FA">
        <w:rPr>
          <w:lang w:val="en-CA"/>
        </w:rPr>
        <w:t xml:space="preserve"> </w:t>
      </w:r>
    </w:p>
    <w:p w14:paraId="61D6EA1A" w14:textId="77777777" w:rsidR="00267E45" w:rsidRPr="00C270FA" w:rsidRDefault="00267E45" w:rsidP="00605009">
      <w:pPr>
        <w:pStyle w:val="BodyTextMain"/>
        <w:rPr>
          <w:lang w:val="en-CA"/>
        </w:rPr>
      </w:pPr>
    </w:p>
    <w:p w14:paraId="64AFF9A3" w14:textId="3C6C452C" w:rsidR="008452D2" w:rsidRPr="00267E45" w:rsidRDefault="008452D2" w:rsidP="00605009">
      <w:pPr>
        <w:pStyle w:val="BodyTextMain"/>
        <w:rPr>
          <w:rFonts w:eastAsiaTheme="minorHAnsi"/>
          <w:color w:val="000000"/>
          <w:spacing w:val="-4"/>
          <w:lang w:val="en-CA"/>
        </w:rPr>
      </w:pPr>
      <w:r w:rsidRPr="00267E45">
        <w:rPr>
          <w:rFonts w:eastAsiaTheme="minorHAnsi"/>
          <w:color w:val="000000"/>
          <w:spacing w:val="-4"/>
          <w:lang w:val="en-CA"/>
        </w:rPr>
        <w:t>The PPE industry was fragmented</w:t>
      </w:r>
      <w:r w:rsidR="00242EE3" w:rsidRPr="00267E45">
        <w:rPr>
          <w:rFonts w:eastAsiaTheme="minorHAnsi"/>
          <w:color w:val="000000"/>
          <w:spacing w:val="-4"/>
          <w:lang w:val="en-CA"/>
        </w:rPr>
        <w:t>,</w:t>
      </w:r>
      <w:r w:rsidRPr="00267E45">
        <w:rPr>
          <w:rFonts w:eastAsiaTheme="minorHAnsi"/>
          <w:color w:val="000000"/>
          <w:spacing w:val="-4"/>
          <w:lang w:val="en-CA"/>
        </w:rPr>
        <w:t xml:space="preserve"> with </w:t>
      </w:r>
      <w:r w:rsidR="00242EE3" w:rsidRPr="00267E45">
        <w:rPr>
          <w:rFonts w:eastAsiaTheme="minorHAnsi"/>
          <w:color w:val="000000"/>
          <w:spacing w:val="-4"/>
          <w:lang w:val="en-CA"/>
        </w:rPr>
        <w:t xml:space="preserve">the </w:t>
      </w:r>
      <w:r w:rsidRPr="00267E45">
        <w:rPr>
          <w:rFonts w:eastAsiaTheme="minorHAnsi"/>
          <w:color w:val="000000"/>
          <w:spacing w:val="-4"/>
          <w:lang w:val="en-CA"/>
        </w:rPr>
        <w:t xml:space="preserve">top four players combined holding less than 20 per cent </w:t>
      </w:r>
      <w:r w:rsidR="00242EE3" w:rsidRPr="00267E45">
        <w:rPr>
          <w:rFonts w:eastAsiaTheme="minorHAnsi"/>
          <w:color w:val="000000"/>
          <w:spacing w:val="-4"/>
          <w:lang w:val="en-CA"/>
        </w:rPr>
        <w:t xml:space="preserve">of </w:t>
      </w:r>
      <w:r w:rsidR="00AB59F8" w:rsidRPr="00267E45">
        <w:rPr>
          <w:rFonts w:eastAsiaTheme="minorHAnsi"/>
          <w:color w:val="000000"/>
          <w:spacing w:val="-4"/>
          <w:lang w:val="en-CA"/>
        </w:rPr>
        <w:t xml:space="preserve">the </w:t>
      </w:r>
      <w:r w:rsidRPr="00267E45">
        <w:rPr>
          <w:rFonts w:eastAsiaTheme="minorHAnsi"/>
          <w:color w:val="000000"/>
          <w:spacing w:val="-4"/>
          <w:lang w:val="en-CA"/>
        </w:rPr>
        <w:t xml:space="preserve">market share. </w:t>
      </w:r>
      <w:r w:rsidR="00A33521" w:rsidRPr="00267E45">
        <w:rPr>
          <w:rFonts w:eastAsiaTheme="minorHAnsi"/>
          <w:color w:val="000000"/>
          <w:spacing w:val="-4"/>
          <w:lang w:val="en-CA"/>
        </w:rPr>
        <w:t xml:space="preserve">The </w:t>
      </w:r>
      <w:r w:rsidRPr="00267E45">
        <w:rPr>
          <w:rFonts w:eastAsiaTheme="minorHAnsi"/>
          <w:color w:val="000000"/>
          <w:spacing w:val="-4"/>
          <w:lang w:val="en-CA"/>
        </w:rPr>
        <w:t xml:space="preserve">industry leader </w:t>
      </w:r>
      <w:r w:rsidR="00A33521" w:rsidRPr="00267E45">
        <w:rPr>
          <w:rFonts w:eastAsiaTheme="minorHAnsi"/>
          <w:color w:val="000000"/>
          <w:spacing w:val="-4"/>
          <w:lang w:val="en-CA"/>
        </w:rPr>
        <w:t>was 3M</w:t>
      </w:r>
      <w:r w:rsidR="00596274" w:rsidRPr="00267E45">
        <w:rPr>
          <w:rFonts w:eastAsiaTheme="minorHAnsi"/>
          <w:color w:val="000000"/>
          <w:spacing w:val="-4"/>
          <w:lang w:val="en-CA"/>
        </w:rPr>
        <w:t xml:space="preserve"> Company</w:t>
      </w:r>
      <w:r w:rsidR="00BA1053" w:rsidRPr="00267E45">
        <w:rPr>
          <w:rFonts w:eastAsiaTheme="minorHAnsi"/>
          <w:color w:val="000000"/>
          <w:spacing w:val="-4"/>
          <w:lang w:val="en-CA"/>
        </w:rPr>
        <w:t>, with</w:t>
      </w:r>
      <w:r w:rsidRPr="00267E45">
        <w:rPr>
          <w:rFonts w:eastAsiaTheme="minorHAnsi"/>
          <w:color w:val="000000"/>
          <w:spacing w:val="-4"/>
          <w:lang w:val="en-CA"/>
        </w:rPr>
        <w:t xml:space="preserve"> 6.4 per cent</w:t>
      </w:r>
      <w:r w:rsidR="00BA1053" w:rsidRPr="00267E45">
        <w:rPr>
          <w:rFonts w:eastAsiaTheme="minorHAnsi"/>
          <w:color w:val="000000"/>
          <w:spacing w:val="-4"/>
          <w:lang w:val="en-CA"/>
        </w:rPr>
        <w:t xml:space="preserve"> of market share</w:t>
      </w:r>
      <w:r w:rsidR="00C21790" w:rsidRPr="00267E45">
        <w:rPr>
          <w:rFonts w:eastAsiaTheme="minorHAnsi"/>
          <w:color w:val="000000"/>
          <w:spacing w:val="-4"/>
          <w:lang w:val="en-CA"/>
        </w:rPr>
        <w:t xml:space="preserve">; it was </w:t>
      </w:r>
      <w:r w:rsidRPr="00267E45">
        <w:rPr>
          <w:rFonts w:eastAsiaTheme="minorHAnsi"/>
          <w:color w:val="000000"/>
          <w:spacing w:val="-4"/>
          <w:lang w:val="en-CA"/>
        </w:rPr>
        <w:t>followed by Honeywell</w:t>
      </w:r>
      <w:r w:rsidR="00596274" w:rsidRPr="00267E45">
        <w:rPr>
          <w:rFonts w:eastAsiaTheme="minorHAnsi"/>
          <w:color w:val="000000"/>
          <w:spacing w:val="-4"/>
          <w:lang w:val="en-CA"/>
        </w:rPr>
        <w:t xml:space="preserve"> International Inc.</w:t>
      </w:r>
      <w:r w:rsidR="00BA1053" w:rsidRPr="00267E45">
        <w:rPr>
          <w:rFonts w:eastAsiaTheme="minorHAnsi"/>
          <w:color w:val="000000"/>
          <w:spacing w:val="-4"/>
          <w:lang w:val="en-CA"/>
        </w:rPr>
        <w:t>, with</w:t>
      </w:r>
      <w:r w:rsidR="00C21790" w:rsidRPr="00267E45">
        <w:rPr>
          <w:rFonts w:eastAsiaTheme="minorHAnsi"/>
          <w:color w:val="000000"/>
          <w:spacing w:val="-4"/>
          <w:lang w:val="en-CA"/>
        </w:rPr>
        <w:t xml:space="preserve"> </w:t>
      </w:r>
      <w:r w:rsidRPr="00267E45">
        <w:rPr>
          <w:rFonts w:eastAsiaTheme="minorHAnsi"/>
          <w:color w:val="000000"/>
          <w:spacing w:val="-4"/>
          <w:lang w:val="en-CA"/>
        </w:rPr>
        <w:t>5.6 per cent</w:t>
      </w:r>
      <w:r w:rsidR="00C21790" w:rsidRPr="00267E45">
        <w:rPr>
          <w:rFonts w:eastAsiaTheme="minorHAnsi"/>
          <w:color w:val="000000"/>
          <w:spacing w:val="-4"/>
          <w:lang w:val="en-CA"/>
        </w:rPr>
        <w:t>;</w:t>
      </w:r>
      <w:r w:rsidRPr="00267E45">
        <w:rPr>
          <w:rFonts w:eastAsiaTheme="minorHAnsi"/>
          <w:color w:val="000000"/>
          <w:spacing w:val="-4"/>
          <w:lang w:val="en-CA"/>
        </w:rPr>
        <w:t xml:space="preserve"> </w:t>
      </w:r>
      <w:r w:rsidR="00BA1053" w:rsidRPr="00267E45">
        <w:rPr>
          <w:rFonts w:eastAsiaTheme="minorHAnsi"/>
          <w:color w:val="000000"/>
          <w:spacing w:val="-4"/>
          <w:lang w:val="en-CA"/>
        </w:rPr>
        <w:t>Du</w:t>
      </w:r>
      <w:r w:rsidR="00596274" w:rsidRPr="00267E45">
        <w:rPr>
          <w:rFonts w:eastAsiaTheme="minorHAnsi"/>
          <w:color w:val="000000"/>
          <w:spacing w:val="-4"/>
          <w:lang w:val="en-CA"/>
        </w:rPr>
        <w:t>P</w:t>
      </w:r>
      <w:r w:rsidR="00BA1053" w:rsidRPr="00267E45">
        <w:rPr>
          <w:rFonts w:eastAsiaTheme="minorHAnsi"/>
          <w:color w:val="000000"/>
          <w:spacing w:val="-4"/>
          <w:lang w:val="en-CA"/>
        </w:rPr>
        <w:t>ont</w:t>
      </w:r>
      <w:r w:rsidR="00596274" w:rsidRPr="00267E45">
        <w:rPr>
          <w:rFonts w:eastAsiaTheme="minorHAnsi"/>
          <w:color w:val="000000"/>
          <w:spacing w:val="-4"/>
          <w:lang w:val="en-CA"/>
        </w:rPr>
        <w:t xml:space="preserve"> de Nemours, Inc</w:t>
      </w:r>
      <w:r w:rsidR="00BA1053" w:rsidRPr="00267E45">
        <w:rPr>
          <w:rFonts w:eastAsiaTheme="minorHAnsi"/>
          <w:color w:val="000000"/>
          <w:spacing w:val="-4"/>
          <w:lang w:val="en-CA"/>
        </w:rPr>
        <w:t>, with</w:t>
      </w:r>
      <w:r w:rsidR="00C21790" w:rsidRPr="00267E45">
        <w:rPr>
          <w:rFonts w:eastAsiaTheme="minorHAnsi"/>
          <w:color w:val="000000"/>
          <w:spacing w:val="-4"/>
          <w:lang w:val="en-CA"/>
        </w:rPr>
        <w:t xml:space="preserve"> </w:t>
      </w:r>
      <w:r w:rsidRPr="00267E45">
        <w:rPr>
          <w:rFonts w:eastAsiaTheme="minorHAnsi"/>
          <w:color w:val="000000"/>
          <w:spacing w:val="-4"/>
          <w:lang w:val="en-CA"/>
        </w:rPr>
        <w:t>5.0 per cent</w:t>
      </w:r>
      <w:r w:rsidR="00C21790" w:rsidRPr="00267E45">
        <w:rPr>
          <w:rFonts w:eastAsiaTheme="minorHAnsi"/>
          <w:color w:val="000000"/>
          <w:spacing w:val="-4"/>
          <w:lang w:val="en-CA"/>
        </w:rPr>
        <w:t>;</w:t>
      </w:r>
      <w:r w:rsidR="00BA1053" w:rsidRPr="00267E45">
        <w:rPr>
          <w:rFonts w:eastAsiaTheme="minorHAnsi"/>
          <w:color w:val="000000"/>
          <w:spacing w:val="-4"/>
          <w:lang w:val="en-CA"/>
        </w:rPr>
        <w:t xml:space="preserve"> </w:t>
      </w:r>
      <w:r w:rsidRPr="00267E45">
        <w:rPr>
          <w:rFonts w:eastAsiaTheme="minorHAnsi"/>
          <w:color w:val="000000"/>
          <w:spacing w:val="-4"/>
          <w:lang w:val="en-CA"/>
        </w:rPr>
        <w:t>and Ansell</w:t>
      </w:r>
      <w:r w:rsidR="00BA1053" w:rsidRPr="00267E45">
        <w:rPr>
          <w:rFonts w:eastAsiaTheme="minorHAnsi"/>
          <w:color w:val="000000"/>
          <w:spacing w:val="-4"/>
          <w:lang w:val="en-CA"/>
        </w:rPr>
        <w:t>, with</w:t>
      </w:r>
      <w:r w:rsidR="00C21790" w:rsidRPr="00267E45">
        <w:rPr>
          <w:rFonts w:eastAsiaTheme="minorHAnsi"/>
          <w:color w:val="000000"/>
          <w:spacing w:val="-4"/>
          <w:lang w:val="en-CA"/>
        </w:rPr>
        <w:t xml:space="preserve"> </w:t>
      </w:r>
      <w:r w:rsidRPr="00267E45">
        <w:rPr>
          <w:rFonts w:eastAsiaTheme="minorHAnsi"/>
          <w:color w:val="000000"/>
          <w:spacing w:val="-4"/>
          <w:lang w:val="en-CA"/>
        </w:rPr>
        <w:t xml:space="preserve">2.3 per cent. During the COVID-19 pandemic, </w:t>
      </w:r>
      <w:r w:rsidR="00C21790" w:rsidRPr="00267E45">
        <w:rPr>
          <w:rFonts w:eastAsiaTheme="minorHAnsi"/>
          <w:color w:val="000000"/>
          <w:spacing w:val="-4"/>
          <w:lang w:val="en-CA"/>
        </w:rPr>
        <w:t xml:space="preserve">the industry faced </w:t>
      </w:r>
      <w:r w:rsidRPr="00267E45">
        <w:rPr>
          <w:rFonts w:eastAsiaTheme="minorHAnsi"/>
          <w:color w:val="000000"/>
          <w:spacing w:val="-4"/>
          <w:lang w:val="en-CA"/>
        </w:rPr>
        <w:t xml:space="preserve">a major challenge </w:t>
      </w:r>
      <w:r w:rsidR="00C21790" w:rsidRPr="00267E45">
        <w:rPr>
          <w:rFonts w:eastAsiaTheme="minorHAnsi"/>
          <w:color w:val="000000"/>
          <w:spacing w:val="-4"/>
          <w:lang w:val="en-CA"/>
        </w:rPr>
        <w:t>in</w:t>
      </w:r>
      <w:r w:rsidRPr="00267E45">
        <w:rPr>
          <w:rFonts w:eastAsiaTheme="minorHAnsi"/>
          <w:color w:val="000000"/>
          <w:spacing w:val="-4"/>
          <w:lang w:val="en-CA"/>
        </w:rPr>
        <w:t xml:space="preserve"> that demand outpaced supply.</w:t>
      </w:r>
      <w:r w:rsidRPr="00267E45">
        <w:rPr>
          <w:rStyle w:val="FootnoteReference"/>
          <w:rFonts w:eastAsiaTheme="minorHAnsi"/>
          <w:color w:val="000000"/>
          <w:spacing w:val="-4"/>
          <w:lang w:val="en-CA"/>
        </w:rPr>
        <w:footnoteReference w:id="3"/>
      </w:r>
      <w:r w:rsidRPr="00267E45">
        <w:rPr>
          <w:rFonts w:eastAsiaTheme="minorHAnsi"/>
          <w:color w:val="000000"/>
          <w:spacing w:val="-4"/>
          <w:lang w:val="en-CA"/>
        </w:rPr>
        <w:t xml:space="preserve"> </w:t>
      </w:r>
    </w:p>
    <w:p w14:paraId="4E08E0C5" w14:textId="77777777" w:rsidR="008452D2" w:rsidRPr="00C270FA" w:rsidRDefault="008452D2" w:rsidP="00605009">
      <w:pPr>
        <w:pStyle w:val="BodyTextMain"/>
        <w:rPr>
          <w:rFonts w:eastAsiaTheme="minorHAnsi"/>
          <w:color w:val="000000"/>
          <w:lang w:val="en-CA"/>
        </w:rPr>
      </w:pPr>
    </w:p>
    <w:p w14:paraId="45A3B763" w14:textId="5792D0C7" w:rsidR="008452D2" w:rsidRPr="00C270FA" w:rsidRDefault="008452D2" w:rsidP="00605009">
      <w:pPr>
        <w:pStyle w:val="BodyTextMain"/>
        <w:rPr>
          <w:b/>
          <w:color w:val="0F0F0F"/>
          <w:lang w:val="en-CA"/>
        </w:rPr>
      </w:pPr>
      <w:r w:rsidRPr="00C270FA">
        <w:rPr>
          <w:rFonts w:eastAsiaTheme="minorHAnsi"/>
          <w:color w:val="000000"/>
          <w:lang w:val="en-CA"/>
        </w:rPr>
        <w:t>The demand for face masks was particularly high during the COVID-19 pandemic (</w:t>
      </w:r>
      <w:r w:rsidR="00C21790" w:rsidRPr="00C270FA">
        <w:rPr>
          <w:rFonts w:eastAsiaTheme="minorHAnsi"/>
          <w:color w:val="000000"/>
          <w:lang w:val="en-CA"/>
        </w:rPr>
        <w:t xml:space="preserve">see </w:t>
      </w:r>
      <w:r w:rsidRPr="00C270FA">
        <w:rPr>
          <w:rFonts w:eastAsiaTheme="minorHAnsi"/>
          <w:color w:val="000000"/>
          <w:lang w:val="en-CA"/>
        </w:rPr>
        <w:t>Exhibit 2). As manufacturers struggled to increase production to meet the shortfall, shortages were accentuated by panic buying, hoarding, and government restrictions that limited exports of PPE</w:t>
      </w:r>
      <w:r w:rsidR="00DF74D8" w:rsidRPr="00C270FA">
        <w:rPr>
          <w:rFonts w:eastAsiaTheme="minorHAnsi"/>
          <w:color w:val="000000"/>
          <w:lang w:val="en-CA"/>
        </w:rPr>
        <w:t xml:space="preserve">; before the COVID-19 pandemic, </w:t>
      </w:r>
      <w:r w:rsidRPr="00C270FA">
        <w:rPr>
          <w:rFonts w:eastAsiaTheme="minorHAnsi"/>
          <w:color w:val="000000"/>
          <w:lang w:val="en-CA"/>
        </w:rPr>
        <w:t xml:space="preserve">China had held approximately 50 per cent of </w:t>
      </w:r>
      <w:r w:rsidR="00DF74D8" w:rsidRPr="00C270FA">
        <w:rPr>
          <w:rFonts w:eastAsiaTheme="minorHAnsi"/>
          <w:color w:val="000000"/>
          <w:lang w:val="en-CA"/>
        </w:rPr>
        <w:t xml:space="preserve">the </w:t>
      </w:r>
      <w:r w:rsidRPr="00C270FA">
        <w:rPr>
          <w:rFonts w:eastAsiaTheme="minorHAnsi"/>
          <w:color w:val="000000"/>
          <w:lang w:val="en-CA"/>
        </w:rPr>
        <w:t>global capacity for face masks.</w:t>
      </w:r>
    </w:p>
    <w:p w14:paraId="34BF384B" w14:textId="77777777" w:rsidR="008452D2" w:rsidRPr="00C270FA" w:rsidRDefault="008452D2" w:rsidP="00605009">
      <w:pPr>
        <w:pStyle w:val="BodyTextMain"/>
        <w:rPr>
          <w:b/>
          <w:color w:val="0F0F0F"/>
          <w:lang w:val="en-CA"/>
        </w:rPr>
      </w:pPr>
    </w:p>
    <w:p w14:paraId="26DF5B3B" w14:textId="522AC559" w:rsidR="008452D2" w:rsidRPr="00C270FA" w:rsidRDefault="00A5619F" w:rsidP="00605009">
      <w:pPr>
        <w:pStyle w:val="BodyTextMain"/>
        <w:rPr>
          <w:rFonts w:eastAsiaTheme="minorHAnsi"/>
          <w:color w:val="000000"/>
          <w:lang w:val="en-CA"/>
        </w:rPr>
      </w:pPr>
      <w:r w:rsidRPr="00C270FA">
        <w:rPr>
          <w:rFonts w:eastAsiaTheme="minorHAnsi"/>
          <w:color w:val="000000"/>
          <w:lang w:val="en-CA"/>
        </w:rPr>
        <w:t xml:space="preserve">The </w:t>
      </w:r>
      <w:r w:rsidR="008452D2" w:rsidRPr="00C270FA">
        <w:rPr>
          <w:rFonts w:eastAsiaTheme="minorHAnsi"/>
          <w:color w:val="000000"/>
          <w:lang w:val="en-CA"/>
        </w:rPr>
        <w:t xml:space="preserve">fallout of the </w:t>
      </w:r>
      <w:r w:rsidRPr="00C270FA">
        <w:rPr>
          <w:rFonts w:eastAsiaTheme="minorHAnsi"/>
          <w:color w:val="000000"/>
          <w:lang w:val="en-CA"/>
        </w:rPr>
        <w:t xml:space="preserve">mismatch between the </w:t>
      </w:r>
      <w:r w:rsidR="008452D2" w:rsidRPr="00C270FA">
        <w:rPr>
          <w:rFonts w:eastAsiaTheme="minorHAnsi"/>
          <w:color w:val="000000"/>
          <w:lang w:val="en-CA"/>
        </w:rPr>
        <w:t>supply</w:t>
      </w:r>
      <w:r w:rsidRPr="00C270FA">
        <w:rPr>
          <w:rFonts w:eastAsiaTheme="minorHAnsi"/>
          <w:color w:val="000000"/>
          <w:lang w:val="en-CA"/>
        </w:rPr>
        <w:t xml:space="preserve"> and </w:t>
      </w:r>
      <w:r w:rsidR="008452D2" w:rsidRPr="00C270FA">
        <w:rPr>
          <w:rFonts w:eastAsiaTheme="minorHAnsi"/>
          <w:color w:val="000000"/>
          <w:lang w:val="en-CA"/>
        </w:rPr>
        <w:t xml:space="preserve">demand for masks </w:t>
      </w:r>
      <w:r w:rsidRPr="00C270FA">
        <w:rPr>
          <w:rFonts w:eastAsiaTheme="minorHAnsi"/>
          <w:color w:val="000000"/>
          <w:lang w:val="en-CA"/>
        </w:rPr>
        <w:t xml:space="preserve">included </w:t>
      </w:r>
      <w:r w:rsidR="008452D2" w:rsidRPr="00C270FA">
        <w:rPr>
          <w:rFonts w:eastAsiaTheme="minorHAnsi"/>
          <w:color w:val="000000"/>
          <w:lang w:val="en-CA"/>
        </w:rPr>
        <w:t xml:space="preserve">an increase in prices and </w:t>
      </w:r>
      <w:r w:rsidRPr="00C270FA">
        <w:rPr>
          <w:rFonts w:eastAsiaTheme="minorHAnsi"/>
          <w:color w:val="000000"/>
          <w:lang w:val="en-CA"/>
        </w:rPr>
        <w:t xml:space="preserve">a </w:t>
      </w:r>
      <w:r w:rsidR="008452D2" w:rsidRPr="00C270FA">
        <w:rPr>
          <w:rFonts w:eastAsiaTheme="minorHAnsi"/>
          <w:color w:val="000000"/>
          <w:lang w:val="en-CA"/>
        </w:rPr>
        <w:t xml:space="preserve">proliferation </w:t>
      </w:r>
      <w:r w:rsidRPr="00C270FA">
        <w:rPr>
          <w:rFonts w:eastAsiaTheme="minorHAnsi"/>
          <w:color w:val="000000"/>
          <w:lang w:val="en-CA"/>
        </w:rPr>
        <w:t xml:space="preserve">of </w:t>
      </w:r>
      <w:r w:rsidR="008452D2" w:rsidRPr="00C270FA">
        <w:rPr>
          <w:rFonts w:eastAsiaTheme="minorHAnsi"/>
          <w:color w:val="000000"/>
          <w:lang w:val="en-CA"/>
        </w:rPr>
        <w:t>counterfeit products. The price</w:t>
      </w:r>
      <w:r w:rsidRPr="00C270FA">
        <w:rPr>
          <w:rFonts w:eastAsiaTheme="minorHAnsi"/>
          <w:color w:val="000000"/>
          <w:lang w:val="en-CA"/>
        </w:rPr>
        <w:t>s</w:t>
      </w:r>
      <w:r w:rsidR="008452D2" w:rsidRPr="00C270FA">
        <w:rPr>
          <w:rFonts w:eastAsiaTheme="minorHAnsi"/>
          <w:color w:val="000000"/>
          <w:lang w:val="en-CA"/>
        </w:rPr>
        <w:t xml:space="preserve"> government healthcare agencies </w:t>
      </w:r>
      <w:r w:rsidRPr="00C270FA">
        <w:rPr>
          <w:rFonts w:eastAsiaTheme="minorHAnsi"/>
          <w:color w:val="000000"/>
          <w:lang w:val="en-CA"/>
        </w:rPr>
        <w:t xml:space="preserve">paid </w:t>
      </w:r>
      <w:r w:rsidR="008452D2" w:rsidRPr="00C270FA">
        <w:rPr>
          <w:rFonts w:eastAsiaTheme="minorHAnsi"/>
          <w:color w:val="000000"/>
          <w:lang w:val="en-CA"/>
        </w:rPr>
        <w:t>for N95 masks increased approximately six times from pre-pandemic levels. Meanwhile, US Customs agents seized nearly 13 million counterfeit face masks in 2020.</w:t>
      </w:r>
      <w:r w:rsidR="008452D2" w:rsidRPr="00C270FA">
        <w:rPr>
          <w:rStyle w:val="FootnoteReference"/>
          <w:rFonts w:eastAsiaTheme="minorHAnsi"/>
          <w:color w:val="000000"/>
          <w:lang w:val="en-CA"/>
        </w:rPr>
        <w:footnoteReference w:id="4"/>
      </w:r>
    </w:p>
    <w:p w14:paraId="61BBB2EF" w14:textId="3D022F73" w:rsidR="008452D2" w:rsidRPr="00C270FA" w:rsidRDefault="008452D2" w:rsidP="002D2FBA">
      <w:pPr>
        <w:pStyle w:val="BodyTextMain"/>
        <w:rPr>
          <w:lang w:val="en-CA"/>
        </w:rPr>
      </w:pPr>
    </w:p>
    <w:p w14:paraId="17E3338F" w14:textId="77777777" w:rsidR="008452D2" w:rsidRPr="00C270FA" w:rsidRDefault="008452D2" w:rsidP="00A46E3D">
      <w:pPr>
        <w:pStyle w:val="BodyTextMain"/>
        <w:rPr>
          <w:lang w:val="en-CA"/>
        </w:rPr>
      </w:pPr>
    </w:p>
    <w:p w14:paraId="78CC661E" w14:textId="4DE1CB70" w:rsidR="008452D2" w:rsidRPr="00C270FA" w:rsidRDefault="008452D2" w:rsidP="00605009">
      <w:pPr>
        <w:rPr>
          <w:rFonts w:ascii="Arial" w:hAnsi="Arial" w:cs="Arial"/>
          <w:lang w:val="en-CA"/>
        </w:rPr>
      </w:pPr>
      <w:bookmarkStart w:id="2" w:name="_Hlk64290714"/>
      <w:r w:rsidRPr="00C270FA">
        <w:rPr>
          <w:rFonts w:ascii="Arial" w:hAnsi="Arial" w:cs="Arial"/>
          <w:b/>
          <w:color w:val="0F0F0F"/>
          <w:lang w:val="en-CA"/>
        </w:rPr>
        <w:t>MEDICOM COMPANY BACKGROUND: 1988</w:t>
      </w:r>
      <w:r w:rsidR="00864DB5" w:rsidRPr="00C270FA">
        <w:rPr>
          <w:rFonts w:ascii="Arial" w:hAnsi="Arial" w:cs="Arial"/>
          <w:b/>
          <w:color w:val="0F0F0F"/>
          <w:lang w:val="en-CA"/>
        </w:rPr>
        <w:t>–</w:t>
      </w:r>
      <w:r w:rsidRPr="00C270FA">
        <w:rPr>
          <w:rFonts w:ascii="Arial" w:hAnsi="Arial" w:cs="Arial"/>
          <w:b/>
          <w:color w:val="0F0F0F"/>
          <w:lang w:val="en-CA"/>
        </w:rPr>
        <w:t>2019</w:t>
      </w:r>
    </w:p>
    <w:bookmarkEnd w:id="2"/>
    <w:p w14:paraId="5476914C" w14:textId="77777777" w:rsidR="008452D2" w:rsidRPr="00C270FA" w:rsidRDefault="008452D2" w:rsidP="00F53CD4">
      <w:pPr>
        <w:pStyle w:val="BodyTextMain"/>
        <w:rPr>
          <w:lang w:val="en-CA"/>
        </w:rPr>
      </w:pPr>
    </w:p>
    <w:p w14:paraId="63B0E8F3" w14:textId="5466469A" w:rsidR="008452D2" w:rsidRPr="00C270FA" w:rsidRDefault="00B97CEE" w:rsidP="00605009">
      <w:pPr>
        <w:pStyle w:val="xmsonormal"/>
        <w:shd w:val="clear" w:color="auto" w:fill="FFFFFF"/>
        <w:spacing w:before="0" w:beforeAutospacing="0" w:after="0" w:afterAutospacing="0"/>
        <w:jc w:val="both"/>
        <w:rPr>
          <w:sz w:val="22"/>
          <w:szCs w:val="22"/>
        </w:rPr>
      </w:pPr>
      <w:r w:rsidRPr="00C270FA">
        <w:rPr>
          <w:sz w:val="22"/>
          <w:szCs w:val="22"/>
        </w:rPr>
        <w:t xml:space="preserve">Ronald Reuben founded </w:t>
      </w:r>
      <w:proofErr w:type="spellStart"/>
      <w:r w:rsidR="008452D2" w:rsidRPr="00C270FA">
        <w:rPr>
          <w:sz w:val="22"/>
          <w:szCs w:val="22"/>
        </w:rPr>
        <w:t>Medicom</w:t>
      </w:r>
      <w:proofErr w:type="spellEnd"/>
      <w:r w:rsidR="008452D2" w:rsidRPr="00C270FA">
        <w:rPr>
          <w:sz w:val="22"/>
          <w:szCs w:val="22"/>
        </w:rPr>
        <w:t xml:space="preserve"> in 1988</w:t>
      </w:r>
      <w:r w:rsidRPr="00C270FA">
        <w:rPr>
          <w:sz w:val="22"/>
          <w:szCs w:val="22"/>
        </w:rPr>
        <w:t xml:space="preserve"> </w:t>
      </w:r>
      <w:r w:rsidR="008452D2" w:rsidRPr="00C270FA">
        <w:rPr>
          <w:sz w:val="22"/>
          <w:szCs w:val="22"/>
        </w:rPr>
        <w:t xml:space="preserve">in Montreal, Quebec, distributing </w:t>
      </w:r>
      <w:r w:rsidR="008452D2" w:rsidRPr="00C270FA">
        <w:rPr>
          <w:sz w:val="22"/>
          <w:szCs w:val="22"/>
          <w:shd w:val="clear" w:color="auto" w:fill="FFFFFF"/>
        </w:rPr>
        <w:t xml:space="preserve">medical gloves under the </w:t>
      </w:r>
      <w:proofErr w:type="spellStart"/>
      <w:r w:rsidR="008452D2" w:rsidRPr="00C270FA">
        <w:rPr>
          <w:sz w:val="22"/>
          <w:szCs w:val="22"/>
          <w:shd w:val="clear" w:color="auto" w:fill="FFFFFF"/>
        </w:rPr>
        <w:t>SafeTouch</w:t>
      </w:r>
      <w:proofErr w:type="spellEnd"/>
      <w:r w:rsidR="008452D2" w:rsidRPr="00C270FA">
        <w:rPr>
          <w:sz w:val="22"/>
          <w:szCs w:val="22"/>
          <w:shd w:val="clear" w:color="auto" w:fill="FFFFFF"/>
        </w:rPr>
        <w:t xml:space="preserve"> brand. Demand for medical gloves had expanded in response to the </w:t>
      </w:r>
      <w:r w:rsidRPr="00C270FA">
        <w:rPr>
          <w:sz w:val="22"/>
          <w:szCs w:val="22"/>
          <w:shd w:val="clear" w:color="auto" w:fill="FFFFFF"/>
        </w:rPr>
        <w:t xml:space="preserve">World Health Organization (WHO) </w:t>
      </w:r>
      <w:r w:rsidR="008452D2" w:rsidRPr="00C270FA">
        <w:rPr>
          <w:sz w:val="22"/>
          <w:szCs w:val="22"/>
          <w:shd w:val="clear" w:color="auto" w:fill="FFFFFF"/>
        </w:rPr>
        <w:t xml:space="preserve">recommendation that healthcare workers should use PPE for protection from the HIV virus. During the following years, the company grew its product range to include masks, wipes, disinfectants, and </w:t>
      </w:r>
      <w:r w:rsidR="003339D9" w:rsidRPr="00C270FA">
        <w:rPr>
          <w:sz w:val="22"/>
          <w:szCs w:val="22"/>
          <w:shd w:val="clear" w:color="auto" w:fill="FFFFFF"/>
        </w:rPr>
        <w:t>single-</w:t>
      </w:r>
      <w:r w:rsidR="008452D2" w:rsidRPr="00C270FA">
        <w:rPr>
          <w:sz w:val="22"/>
          <w:szCs w:val="22"/>
          <w:shd w:val="clear" w:color="auto" w:fill="FFFFFF"/>
        </w:rPr>
        <w:t xml:space="preserve">use disposables. </w:t>
      </w:r>
      <w:proofErr w:type="spellStart"/>
      <w:r w:rsidR="008452D2" w:rsidRPr="00C270FA">
        <w:rPr>
          <w:sz w:val="22"/>
          <w:szCs w:val="22"/>
          <w:shd w:val="clear" w:color="auto" w:fill="FFFFFF"/>
        </w:rPr>
        <w:t>Medicom</w:t>
      </w:r>
      <w:proofErr w:type="spellEnd"/>
      <w:r w:rsidR="008452D2" w:rsidRPr="00C270FA">
        <w:rPr>
          <w:sz w:val="22"/>
          <w:szCs w:val="22"/>
          <w:shd w:val="clear" w:color="auto" w:fill="FFFFFF"/>
        </w:rPr>
        <w:t xml:space="preserve"> positioned itself to provide comprehensive </w:t>
      </w:r>
      <w:r w:rsidR="003339D9" w:rsidRPr="00C270FA">
        <w:rPr>
          <w:sz w:val="22"/>
          <w:szCs w:val="22"/>
        </w:rPr>
        <w:t>infection-</w:t>
      </w:r>
      <w:r w:rsidR="008452D2" w:rsidRPr="00C270FA">
        <w:rPr>
          <w:sz w:val="22"/>
          <w:szCs w:val="22"/>
        </w:rPr>
        <w:t>control solutions</w:t>
      </w:r>
      <w:r w:rsidR="003339D9" w:rsidRPr="00C270FA">
        <w:rPr>
          <w:sz w:val="22"/>
          <w:szCs w:val="22"/>
        </w:rPr>
        <w:t xml:space="preserve">, </w:t>
      </w:r>
      <w:r w:rsidR="008452D2" w:rsidRPr="00C270FA">
        <w:rPr>
          <w:sz w:val="22"/>
          <w:szCs w:val="22"/>
        </w:rPr>
        <w:t>distributing products in 95 countries worldwide to manage a range of global health crises that included SARS (2003</w:t>
      </w:r>
      <w:r w:rsidR="003339D9" w:rsidRPr="00C270FA">
        <w:rPr>
          <w:sz w:val="22"/>
          <w:szCs w:val="22"/>
        </w:rPr>
        <w:t>–</w:t>
      </w:r>
      <w:r w:rsidR="008452D2" w:rsidRPr="00C270FA">
        <w:rPr>
          <w:sz w:val="22"/>
          <w:szCs w:val="22"/>
        </w:rPr>
        <w:t>2004), H1N1/swine flu (2009</w:t>
      </w:r>
      <w:r w:rsidR="003339D9" w:rsidRPr="00C270FA">
        <w:rPr>
          <w:sz w:val="22"/>
          <w:szCs w:val="22"/>
        </w:rPr>
        <w:t>–</w:t>
      </w:r>
      <w:r w:rsidR="008452D2" w:rsidRPr="00C270FA">
        <w:rPr>
          <w:sz w:val="22"/>
          <w:szCs w:val="22"/>
        </w:rPr>
        <w:t>2010), H5N1/avian flu (2014</w:t>
      </w:r>
      <w:r w:rsidR="003339D9" w:rsidRPr="00C270FA">
        <w:rPr>
          <w:sz w:val="22"/>
          <w:szCs w:val="22"/>
        </w:rPr>
        <w:t>–2</w:t>
      </w:r>
      <w:r w:rsidR="008452D2" w:rsidRPr="00C270FA">
        <w:rPr>
          <w:sz w:val="22"/>
          <w:szCs w:val="22"/>
        </w:rPr>
        <w:t>015), and Ebola (2014</w:t>
      </w:r>
      <w:r w:rsidR="003339D9" w:rsidRPr="00C270FA">
        <w:rPr>
          <w:sz w:val="22"/>
          <w:szCs w:val="22"/>
        </w:rPr>
        <w:t>–</w:t>
      </w:r>
      <w:r w:rsidR="008452D2" w:rsidRPr="00C270FA">
        <w:rPr>
          <w:sz w:val="22"/>
          <w:szCs w:val="22"/>
        </w:rPr>
        <w:t xml:space="preserve">2016). The company’s brands included </w:t>
      </w:r>
      <w:proofErr w:type="spellStart"/>
      <w:r w:rsidR="008452D2" w:rsidRPr="00C270FA">
        <w:rPr>
          <w:sz w:val="22"/>
          <w:szCs w:val="22"/>
        </w:rPr>
        <w:t>Medicom</w:t>
      </w:r>
      <w:proofErr w:type="spellEnd"/>
      <w:r w:rsidR="008452D2" w:rsidRPr="00C270FA">
        <w:rPr>
          <w:sz w:val="22"/>
          <w:szCs w:val="22"/>
        </w:rPr>
        <w:t xml:space="preserve">, </w:t>
      </w:r>
      <w:proofErr w:type="spellStart"/>
      <w:r w:rsidR="008452D2" w:rsidRPr="00C270FA">
        <w:rPr>
          <w:rFonts w:eastAsia="+mn-ea"/>
          <w:kern w:val="24"/>
          <w:sz w:val="22"/>
          <w:szCs w:val="22"/>
        </w:rPr>
        <w:t>Kolmi</w:t>
      </w:r>
      <w:proofErr w:type="spellEnd"/>
      <w:r w:rsidR="008452D2" w:rsidRPr="00C270FA">
        <w:rPr>
          <w:rFonts w:eastAsia="+mn-ea"/>
          <w:kern w:val="24"/>
          <w:sz w:val="22"/>
          <w:szCs w:val="22"/>
        </w:rPr>
        <w:t xml:space="preserve">, </w:t>
      </w:r>
      <w:proofErr w:type="spellStart"/>
      <w:r w:rsidR="008452D2" w:rsidRPr="00C270FA">
        <w:rPr>
          <w:rFonts w:eastAsia="+mn-ea"/>
          <w:kern w:val="24"/>
          <w:sz w:val="22"/>
          <w:szCs w:val="22"/>
        </w:rPr>
        <w:t>Hopen</w:t>
      </w:r>
      <w:proofErr w:type="spellEnd"/>
      <w:r w:rsidR="008452D2" w:rsidRPr="00C270FA">
        <w:rPr>
          <w:rFonts w:eastAsia="+mn-ea"/>
          <w:kern w:val="24"/>
          <w:sz w:val="22"/>
          <w:szCs w:val="22"/>
        </w:rPr>
        <w:t xml:space="preserve">, </w:t>
      </w:r>
      <w:proofErr w:type="spellStart"/>
      <w:r w:rsidR="008452D2" w:rsidRPr="00C270FA">
        <w:rPr>
          <w:rFonts w:eastAsia="+mn-ea"/>
          <w:kern w:val="24"/>
          <w:sz w:val="22"/>
          <w:szCs w:val="22"/>
        </w:rPr>
        <w:t>Ritmed</w:t>
      </w:r>
      <w:proofErr w:type="spellEnd"/>
      <w:r w:rsidR="008452D2" w:rsidRPr="00C270FA">
        <w:rPr>
          <w:rFonts w:eastAsia="+mn-ea"/>
          <w:kern w:val="24"/>
          <w:sz w:val="22"/>
          <w:szCs w:val="22"/>
        </w:rPr>
        <w:t>, Ocean Pacific</w:t>
      </w:r>
      <w:r w:rsidR="003339D9" w:rsidRPr="00C270FA">
        <w:rPr>
          <w:rFonts w:eastAsia="+mn-ea"/>
          <w:kern w:val="24"/>
          <w:sz w:val="22"/>
          <w:szCs w:val="22"/>
        </w:rPr>
        <w:t>,</w:t>
      </w:r>
      <w:r w:rsidR="008452D2" w:rsidRPr="00C270FA">
        <w:rPr>
          <w:rFonts w:eastAsia="+mn-ea"/>
          <w:kern w:val="24"/>
          <w:sz w:val="22"/>
          <w:szCs w:val="22"/>
        </w:rPr>
        <w:t xml:space="preserve"> and Hedy.</w:t>
      </w:r>
    </w:p>
    <w:p w14:paraId="14E5920A" w14:textId="77777777" w:rsidR="008452D2" w:rsidRPr="00C270FA" w:rsidRDefault="008452D2" w:rsidP="00605009">
      <w:pPr>
        <w:pStyle w:val="xmsonormal"/>
        <w:shd w:val="clear" w:color="auto" w:fill="FFFFFF"/>
        <w:spacing w:before="0" w:beforeAutospacing="0" w:after="0" w:afterAutospacing="0"/>
        <w:jc w:val="both"/>
        <w:rPr>
          <w:sz w:val="22"/>
          <w:szCs w:val="22"/>
        </w:rPr>
      </w:pPr>
    </w:p>
    <w:p w14:paraId="4620425A" w14:textId="72458113" w:rsidR="008452D2" w:rsidRPr="00C270FA" w:rsidRDefault="008452D2" w:rsidP="00605009">
      <w:pPr>
        <w:pStyle w:val="xmsonormal"/>
        <w:shd w:val="clear" w:color="auto" w:fill="FFFFFF"/>
        <w:spacing w:before="0" w:beforeAutospacing="0" w:after="0" w:afterAutospacing="0"/>
        <w:jc w:val="both"/>
        <w:rPr>
          <w:sz w:val="22"/>
          <w:szCs w:val="22"/>
          <w:shd w:val="clear" w:color="auto" w:fill="FFFFFF"/>
        </w:rPr>
      </w:pPr>
      <w:r w:rsidRPr="00C270FA">
        <w:rPr>
          <w:sz w:val="22"/>
          <w:szCs w:val="22"/>
        </w:rPr>
        <w:t xml:space="preserve">Ronald reflected on </w:t>
      </w:r>
      <w:r w:rsidR="008C7E64" w:rsidRPr="00C270FA">
        <w:rPr>
          <w:sz w:val="22"/>
          <w:szCs w:val="22"/>
        </w:rPr>
        <w:t xml:space="preserve">the way </w:t>
      </w:r>
      <w:proofErr w:type="spellStart"/>
      <w:r w:rsidRPr="00C270FA">
        <w:rPr>
          <w:sz w:val="22"/>
          <w:szCs w:val="22"/>
        </w:rPr>
        <w:t>Medicom</w:t>
      </w:r>
      <w:proofErr w:type="spellEnd"/>
      <w:r w:rsidRPr="00C270FA">
        <w:rPr>
          <w:sz w:val="22"/>
          <w:szCs w:val="22"/>
        </w:rPr>
        <w:t xml:space="preserve"> had addressed the evolving requirements of the healthcare field: “There was a new normal at the onset of HIV/AIDS. Dentists and doctors never used to wear gloves, and equipment and supplies were not geared toward single use. Everything was metal and reusable. Then the WHO mandated universal precautions</w:t>
      </w:r>
      <w:r w:rsidR="008C7E64" w:rsidRPr="00C270FA">
        <w:rPr>
          <w:sz w:val="22"/>
          <w:szCs w:val="22"/>
        </w:rPr>
        <w:t>,</w:t>
      </w:r>
      <w:r w:rsidRPr="00C270FA">
        <w:rPr>
          <w:sz w:val="22"/>
          <w:szCs w:val="22"/>
        </w:rPr>
        <w:t xml:space="preserve"> and the industry transitioned to disposables.”</w:t>
      </w:r>
    </w:p>
    <w:p w14:paraId="5E9E63CA" w14:textId="77777777" w:rsidR="008452D2" w:rsidRPr="00C270FA" w:rsidRDefault="008452D2" w:rsidP="00605009">
      <w:pPr>
        <w:pStyle w:val="xmsonormal"/>
        <w:shd w:val="clear" w:color="auto" w:fill="FFFFFF"/>
        <w:spacing w:before="0" w:beforeAutospacing="0" w:after="0" w:afterAutospacing="0"/>
        <w:jc w:val="both"/>
        <w:rPr>
          <w:sz w:val="22"/>
          <w:szCs w:val="22"/>
          <w:shd w:val="clear" w:color="auto" w:fill="FFFFFF"/>
        </w:rPr>
      </w:pPr>
    </w:p>
    <w:p w14:paraId="7D672834" w14:textId="3BDA2337" w:rsidR="008452D2" w:rsidRPr="00C270FA" w:rsidRDefault="008452D2" w:rsidP="00605009">
      <w:pPr>
        <w:pStyle w:val="xmsonormal"/>
        <w:shd w:val="clear" w:color="auto" w:fill="FFFFFF"/>
        <w:spacing w:before="0" w:beforeAutospacing="0" w:after="0" w:afterAutospacing="0"/>
        <w:jc w:val="both"/>
        <w:rPr>
          <w:rFonts w:eastAsia="+mn-ea"/>
          <w:kern w:val="24"/>
          <w:sz w:val="22"/>
          <w:szCs w:val="22"/>
        </w:rPr>
      </w:pPr>
      <w:r w:rsidRPr="00C270FA">
        <w:rPr>
          <w:sz w:val="22"/>
          <w:szCs w:val="22"/>
          <w:shd w:val="clear" w:color="auto" w:fill="FFFFFF"/>
        </w:rPr>
        <w:t xml:space="preserve">In 1998, </w:t>
      </w:r>
      <w:proofErr w:type="spellStart"/>
      <w:r w:rsidRPr="00C270FA">
        <w:rPr>
          <w:sz w:val="22"/>
          <w:szCs w:val="22"/>
          <w:shd w:val="clear" w:color="auto" w:fill="FFFFFF"/>
        </w:rPr>
        <w:t>Medicom</w:t>
      </w:r>
      <w:proofErr w:type="spellEnd"/>
      <w:r w:rsidRPr="00C270FA">
        <w:rPr>
          <w:sz w:val="22"/>
          <w:szCs w:val="22"/>
          <w:shd w:val="clear" w:color="auto" w:fill="FFFFFF"/>
        </w:rPr>
        <w:t xml:space="preserve"> opened its first manufacturing facility in Augusta, Georgia, which produced medical masks. </w:t>
      </w:r>
      <w:r w:rsidRPr="00C270FA">
        <w:rPr>
          <w:sz w:val="22"/>
          <w:szCs w:val="22"/>
        </w:rPr>
        <w:t xml:space="preserve">By December 2019, the company had added three additional </w:t>
      </w:r>
      <w:r w:rsidR="00B10BA1" w:rsidRPr="00C270FA">
        <w:rPr>
          <w:sz w:val="22"/>
          <w:szCs w:val="22"/>
        </w:rPr>
        <w:t>mask</w:t>
      </w:r>
      <w:r w:rsidR="00957692" w:rsidRPr="00C270FA">
        <w:rPr>
          <w:sz w:val="22"/>
          <w:szCs w:val="22"/>
        </w:rPr>
        <w:t xml:space="preserve"> </w:t>
      </w:r>
      <w:r w:rsidRPr="00C270FA">
        <w:rPr>
          <w:sz w:val="22"/>
          <w:szCs w:val="22"/>
        </w:rPr>
        <w:t>manufacturing facilities in Angers, France</w:t>
      </w:r>
      <w:r w:rsidR="008C7E64" w:rsidRPr="00C270FA">
        <w:rPr>
          <w:sz w:val="22"/>
          <w:szCs w:val="22"/>
        </w:rPr>
        <w:t xml:space="preserve">; </w:t>
      </w:r>
      <w:r w:rsidRPr="00C270FA">
        <w:rPr>
          <w:sz w:val="22"/>
          <w:szCs w:val="22"/>
        </w:rPr>
        <w:t>Shanghai, China</w:t>
      </w:r>
      <w:r w:rsidR="008C7E64" w:rsidRPr="00C270FA">
        <w:rPr>
          <w:sz w:val="22"/>
          <w:szCs w:val="22"/>
        </w:rPr>
        <w:t>;</w:t>
      </w:r>
      <w:r w:rsidRPr="00C270FA">
        <w:rPr>
          <w:sz w:val="22"/>
          <w:szCs w:val="22"/>
        </w:rPr>
        <w:t xml:space="preserve"> and </w:t>
      </w:r>
      <w:proofErr w:type="spellStart"/>
      <w:r w:rsidRPr="00C270FA">
        <w:rPr>
          <w:sz w:val="22"/>
          <w:szCs w:val="22"/>
        </w:rPr>
        <w:t>Yilan</w:t>
      </w:r>
      <w:proofErr w:type="spellEnd"/>
      <w:r w:rsidRPr="00C270FA">
        <w:rPr>
          <w:sz w:val="22"/>
          <w:szCs w:val="22"/>
        </w:rPr>
        <w:t xml:space="preserve">, Taiwan. </w:t>
      </w:r>
      <w:r w:rsidR="008C7E64" w:rsidRPr="00C270FA">
        <w:rPr>
          <w:sz w:val="22"/>
          <w:szCs w:val="22"/>
        </w:rPr>
        <w:t>By 2019, t</w:t>
      </w:r>
      <w:r w:rsidRPr="00C270FA">
        <w:rPr>
          <w:sz w:val="22"/>
          <w:szCs w:val="22"/>
        </w:rPr>
        <w:t xml:space="preserve">he company’s total </w:t>
      </w:r>
      <w:r w:rsidR="00B10BA1" w:rsidRPr="00C270FA">
        <w:rPr>
          <w:sz w:val="22"/>
          <w:szCs w:val="22"/>
        </w:rPr>
        <w:t>mask</w:t>
      </w:r>
      <w:r w:rsidR="00957692" w:rsidRPr="00C270FA">
        <w:rPr>
          <w:sz w:val="22"/>
          <w:szCs w:val="22"/>
        </w:rPr>
        <w:t xml:space="preserve"> </w:t>
      </w:r>
      <w:r w:rsidRPr="00C270FA">
        <w:rPr>
          <w:sz w:val="22"/>
          <w:szCs w:val="22"/>
        </w:rPr>
        <w:t xml:space="preserve">manufacturing capacity was approximately 2 billion units. </w:t>
      </w:r>
    </w:p>
    <w:p w14:paraId="797E3B56" w14:textId="77777777" w:rsidR="008452D2" w:rsidRPr="00C270FA" w:rsidRDefault="008452D2" w:rsidP="00605009">
      <w:pPr>
        <w:pStyle w:val="xmsonormal"/>
        <w:shd w:val="clear" w:color="auto" w:fill="FFFFFF"/>
        <w:spacing w:before="0" w:beforeAutospacing="0" w:after="0" w:afterAutospacing="0"/>
        <w:jc w:val="both"/>
        <w:rPr>
          <w:rFonts w:eastAsia="+mn-ea"/>
          <w:kern w:val="24"/>
          <w:sz w:val="22"/>
          <w:szCs w:val="22"/>
        </w:rPr>
      </w:pPr>
    </w:p>
    <w:p w14:paraId="79C0FDE8" w14:textId="546FFDAC" w:rsidR="008E37E8" w:rsidRPr="00C270FA" w:rsidRDefault="008452D2" w:rsidP="00EC6008">
      <w:pPr>
        <w:pStyle w:val="xmsonormal"/>
        <w:keepNext/>
        <w:shd w:val="clear" w:color="auto" w:fill="FFFFFF"/>
        <w:spacing w:before="0" w:beforeAutospacing="0" w:after="0" w:afterAutospacing="0"/>
        <w:jc w:val="both"/>
        <w:rPr>
          <w:rFonts w:eastAsia="+mn-ea"/>
          <w:kern w:val="24"/>
          <w:sz w:val="22"/>
          <w:szCs w:val="22"/>
        </w:rPr>
      </w:pPr>
      <w:r w:rsidRPr="00C270FA">
        <w:rPr>
          <w:rFonts w:eastAsia="+mn-ea"/>
          <w:kern w:val="24"/>
          <w:sz w:val="22"/>
          <w:szCs w:val="22"/>
        </w:rPr>
        <w:lastRenderedPageBreak/>
        <w:t xml:space="preserve">Ronald described the evolution of </w:t>
      </w:r>
      <w:proofErr w:type="spellStart"/>
      <w:r w:rsidRPr="00C270FA">
        <w:rPr>
          <w:rFonts w:eastAsia="+mn-ea"/>
          <w:kern w:val="24"/>
          <w:sz w:val="22"/>
          <w:szCs w:val="22"/>
        </w:rPr>
        <w:t>Medicom</w:t>
      </w:r>
      <w:proofErr w:type="spellEnd"/>
      <w:r w:rsidRPr="00C270FA">
        <w:rPr>
          <w:rFonts w:eastAsia="+mn-ea"/>
          <w:kern w:val="24"/>
          <w:sz w:val="22"/>
          <w:szCs w:val="22"/>
        </w:rPr>
        <w:t xml:space="preserve"> and the challenges faced by the company:</w:t>
      </w:r>
    </w:p>
    <w:p w14:paraId="676394EF" w14:textId="77777777" w:rsidR="00596274" w:rsidRPr="00C270FA" w:rsidRDefault="00596274" w:rsidP="00EC6008">
      <w:pPr>
        <w:pStyle w:val="xmsonormal"/>
        <w:keepNext/>
        <w:shd w:val="clear" w:color="auto" w:fill="FFFFFF"/>
        <w:spacing w:before="0" w:beforeAutospacing="0" w:after="0" w:afterAutospacing="0"/>
        <w:jc w:val="both"/>
        <w:rPr>
          <w:rFonts w:eastAsia="+mn-ea"/>
          <w:kern w:val="24"/>
          <w:sz w:val="22"/>
          <w:szCs w:val="22"/>
        </w:rPr>
      </w:pPr>
    </w:p>
    <w:p w14:paraId="3A70883D" w14:textId="3A85DA36" w:rsidR="008E37E8" w:rsidRPr="00C270FA" w:rsidRDefault="008452D2" w:rsidP="00EC6008">
      <w:pPr>
        <w:pStyle w:val="xmsonormal"/>
        <w:keepNext/>
        <w:shd w:val="clear" w:color="auto" w:fill="FFFFFF"/>
        <w:spacing w:before="0" w:beforeAutospacing="0" w:after="0" w:afterAutospacing="0"/>
        <w:ind w:left="567"/>
        <w:jc w:val="both"/>
        <w:rPr>
          <w:rFonts w:eastAsia="+mn-ea"/>
          <w:kern w:val="24"/>
          <w:sz w:val="22"/>
          <w:szCs w:val="22"/>
        </w:rPr>
      </w:pPr>
      <w:r w:rsidRPr="00C270FA">
        <w:rPr>
          <w:rFonts w:eastAsia="+mn-ea"/>
          <w:kern w:val="24"/>
          <w:sz w:val="22"/>
          <w:szCs w:val="22"/>
        </w:rPr>
        <w:t xml:space="preserve">Our product line has expanded to include a complete range of </w:t>
      </w:r>
      <w:r w:rsidR="008E37E8" w:rsidRPr="00C270FA">
        <w:rPr>
          <w:rFonts w:eastAsia="+mn-ea"/>
          <w:kern w:val="24"/>
          <w:sz w:val="22"/>
          <w:szCs w:val="22"/>
        </w:rPr>
        <w:t>infection-</w:t>
      </w:r>
      <w:r w:rsidRPr="00C270FA">
        <w:rPr>
          <w:rFonts w:eastAsia="+mn-ea"/>
          <w:kern w:val="24"/>
          <w:sz w:val="22"/>
          <w:szCs w:val="22"/>
        </w:rPr>
        <w:t>control products. Our principal customers are large distributors, such as Cardinal, McKesson, Henry Schein, and Patterson in North America, Hartmann in Europe, and Sakura-</w:t>
      </w:r>
      <w:proofErr w:type="spellStart"/>
      <w:r w:rsidRPr="00C270FA">
        <w:rPr>
          <w:rFonts w:eastAsia="+mn-ea"/>
          <w:kern w:val="24"/>
          <w:sz w:val="22"/>
          <w:szCs w:val="22"/>
        </w:rPr>
        <w:t>Finetek</w:t>
      </w:r>
      <w:proofErr w:type="spellEnd"/>
      <w:r w:rsidRPr="00C270FA">
        <w:rPr>
          <w:rFonts w:eastAsia="+mn-ea"/>
          <w:kern w:val="24"/>
          <w:sz w:val="22"/>
          <w:szCs w:val="22"/>
        </w:rPr>
        <w:t xml:space="preserve"> in Japan. There were a series of global healthcare crises during the past 30 years, with three to seven years in between. Product demand would go from feast to famine, requiring us to scale up capacity, followed by a sharp decline. For example, we acquired a factory in France at the tail end of the </w:t>
      </w:r>
      <w:r w:rsidRPr="00C270FA">
        <w:t xml:space="preserve">H1N1 </w:t>
      </w:r>
      <w:r w:rsidRPr="00C270FA">
        <w:rPr>
          <w:rFonts w:eastAsia="+mn-ea"/>
          <w:kern w:val="24"/>
          <w:sz w:val="22"/>
          <w:szCs w:val="22"/>
        </w:rPr>
        <w:t>pandemic in 2011. At the same time, we expanded our capacity significantly in our factories in China and Augusta, Georgia, driven by promises from large customers looking for increased supply. But as soon as the crisis abated, the economics kicked in and orders dried up, forcing us to idle capacity.</w:t>
      </w:r>
    </w:p>
    <w:p w14:paraId="67192331" w14:textId="42B76465" w:rsidR="008452D2" w:rsidRPr="00C270FA" w:rsidRDefault="008452D2" w:rsidP="00605009">
      <w:pPr>
        <w:pStyle w:val="xmsonormal"/>
        <w:shd w:val="clear" w:color="auto" w:fill="FFFFFF"/>
        <w:spacing w:before="0" w:beforeAutospacing="0" w:after="0" w:afterAutospacing="0"/>
        <w:jc w:val="both"/>
        <w:rPr>
          <w:rFonts w:eastAsia="+mn-ea"/>
          <w:kern w:val="24"/>
          <w:sz w:val="22"/>
          <w:szCs w:val="22"/>
        </w:rPr>
      </w:pPr>
    </w:p>
    <w:p w14:paraId="10935D7F" w14:textId="77777777" w:rsidR="008452D2" w:rsidRPr="00C270FA" w:rsidRDefault="008452D2" w:rsidP="00605009">
      <w:pPr>
        <w:pStyle w:val="xmsonormal"/>
        <w:shd w:val="clear" w:color="auto" w:fill="FFFFFF"/>
        <w:spacing w:before="0" w:beforeAutospacing="0" w:after="0" w:afterAutospacing="0"/>
        <w:jc w:val="both"/>
        <w:rPr>
          <w:rFonts w:eastAsia="+mn-ea"/>
          <w:kern w:val="24"/>
          <w:sz w:val="22"/>
          <w:szCs w:val="22"/>
        </w:rPr>
      </w:pPr>
    </w:p>
    <w:p w14:paraId="4A67FE85" w14:textId="77777777" w:rsidR="008452D2" w:rsidRPr="00C270FA" w:rsidRDefault="008452D2" w:rsidP="00F53CD4">
      <w:pPr>
        <w:pStyle w:val="Casehead1"/>
        <w:rPr>
          <w:lang w:val="en-CA"/>
        </w:rPr>
      </w:pPr>
      <w:r w:rsidRPr="00C270FA">
        <w:rPr>
          <w:lang w:val="en-CA"/>
        </w:rPr>
        <w:t>THE COVID-19 PANDEMIC</w:t>
      </w:r>
    </w:p>
    <w:p w14:paraId="129C077D" w14:textId="77777777" w:rsidR="008452D2" w:rsidRPr="00C270FA" w:rsidRDefault="008452D2" w:rsidP="00F53CD4">
      <w:pPr>
        <w:pStyle w:val="BodyTextMain"/>
        <w:rPr>
          <w:lang w:val="en-CA"/>
        </w:rPr>
      </w:pPr>
    </w:p>
    <w:p w14:paraId="09FE58F1" w14:textId="62F212CE" w:rsidR="00AC2A88" w:rsidRPr="00C270FA" w:rsidRDefault="008452D2" w:rsidP="00F53CD4">
      <w:pPr>
        <w:pStyle w:val="BodyTextMain"/>
        <w:rPr>
          <w:lang w:val="en-CA"/>
        </w:rPr>
      </w:pPr>
      <w:r w:rsidRPr="00C270FA">
        <w:rPr>
          <w:lang w:val="en-CA"/>
        </w:rPr>
        <w:t>The WHO declared COVID-19 a global pandemic on March 11, 2020,</w:t>
      </w:r>
      <w:r w:rsidRPr="00C270FA">
        <w:rPr>
          <w:rStyle w:val="FootnoteReference"/>
          <w:lang w:val="en-CA"/>
        </w:rPr>
        <w:footnoteReference w:id="5"/>
      </w:r>
      <w:r w:rsidRPr="00C270FA">
        <w:rPr>
          <w:lang w:val="en-CA"/>
        </w:rPr>
        <w:t xml:space="preserve"> and within weeks</w:t>
      </w:r>
      <w:r w:rsidR="008E37E8" w:rsidRPr="00C270FA">
        <w:rPr>
          <w:lang w:val="en-CA"/>
        </w:rPr>
        <w:t>,</w:t>
      </w:r>
      <w:r w:rsidRPr="00C270FA">
        <w:rPr>
          <w:lang w:val="en-CA"/>
        </w:rPr>
        <w:t xml:space="preserve"> there was a critical global shortage of PPE. However, the leadership team at </w:t>
      </w:r>
      <w:proofErr w:type="spellStart"/>
      <w:r w:rsidRPr="00C270FA">
        <w:rPr>
          <w:lang w:val="en-CA"/>
        </w:rPr>
        <w:t>Medicom</w:t>
      </w:r>
      <w:proofErr w:type="spellEnd"/>
      <w:r w:rsidRPr="00C270FA">
        <w:rPr>
          <w:lang w:val="en-CA"/>
        </w:rPr>
        <w:t xml:space="preserve"> </w:t>
      </w:r>
      <w:r w:rsidR="008E37E8" w:rsidRPr="00C270FA">
        <w:rPr>
          <w:lang w:val="en-CA"/>
        </w:rPr>
        <w:t xml:space="preserve">had begun </w:t>
      </w:r>
      <w:r w:rsidRPr="00C270FA">
        <w:rPr>
          <w:lang w:val="en-CA"/>
        </w:rPr>
        <w:t>monitoring the developments related to COVID-19 in early January and set</w:t>
      </w:r>
      <w:r w:rsidR="00957692" w:rsidRPr="00C270FA">
        <w:rPr>
          <w:lang w:val="en-CA"/>
        </w:rPr>
        <w:t xml:space="preserve"> </w:t>
      </w:r>
      <w:r w:rsidRPr="00C270FA">
        <w:rPr>
          <w:lang w:val="en-CA"/>
        </w:rPr>
        <w:t xml:space="preserve">up an emergency response team of seven senior executives </w:t>
      </w:r>
      <w:r w:rsidR="00EC6008" w:rsidRPr="00C270FA">
        <w:rPr>
          <w:lang w:val="en-CA"/>
        </w:rPr>
        <w:t xml:space="preserve">at </w:t>
      </w:r>
      <w:r w:rsidRPr="00C270FA">
        <w:rPr>
          <w:lang w:val="en-CA"/>
        </w:rPr>
        <w:t xml:space="preserve">the end of that month. Guillaume described </w:t>
      </w:r>
      <w:proofErr w:type="spellStart"/>
      <w:r w:rsidRPr="00C270FA">
        <w:rPr>
          <w:lang w:val="en-CA"/>
        </w:rPr>
        <w:t>Medicom’s</w:t>
      </w:r>
      <w:proofErr w:type="spellEnd"/>
      <w:r w:rsidRPr="00C270FA">
        <w:rPr>
          <w:lang w:val="en-CA"/>
        </w:rPr>
        <w:t xml:space="preserve"> response to the looming pandemic:</w:t>
      </w:r>
    </w:p>
    <w:p w14:paraId="7274BC17" w14:textId="77777777" w:rsidR="00AC2A88" w:rsidRPr="00C270FA" w:rsidRDefault="00AC2A88" w:rsidP="00F53CD4">
      <w:pPr>
        <w:pStyle w:val="BodyTextMain"/>
        <w:rPr>
          <w:lang w:val="en-CA"/>
        </w:rPr>
      </w:pPr>
    </w:p>
    <w:p w14:paraId="06D811B8" w14:textId="4AD067F6" w:rsidR="008452D2" w:rsidRPr="00C270FA" w:rsidRDefault="008452D2" w:rsidP="00C14730">
      <w:pPr>
        <w:pStyle w:val="BodyTextMain"/>
        <w:ind w:left="567"/>
        <w:rPr>
          <w:lang w:val="en-CA"/>
        </w:rPr>
      </w:pPr>
      <w:r w:rsidRPr="00C270FA">
        <w:rPr>
          <w:lang w:val="en-CA"/>
        </w:rPr>
        <w:t>Our executives in Canada, Australia, the UK</w:t>
      </w:r>
      <w:r w:rsidR="00AC2A88" w:rsidRPr="00C270FA">
        <w:rPr>
          <w:lang w:val="en-CA"/>
        </w:rPr>
        <w:t>,</w:t>
      </w:r>
      <w:r w:rsidRPr="00C270FA">
        <w:rPr>
          <w:lang w:val="en-CA"/>
        </w:rPr>
        <w:t xml:space="preserve"> and France were included on the team. We met online at 7:00 a.m. daily for 30 minutes to share information and allocate resources. Pre-pandemic</w:t>
      </w:r>
      <w:r w:rsidR="00AC2A88" w:rsidRPr="00C270FA">
        <w:rPr>
          <w:lang w:val="en-CA"/>
        </w:rPr>
        <w:t>,</w:t>
      </w:r>
      <w:r w:rsidRPr="00C270FA">
        <w:rPr>
          <w:lang w:val="en-CA"/>
        </w:rPr>
        <w:t xml:space="preserve"> we had 50 to 60 mask SKUs</w:t>
      </w:r>
      <w:r w:rsidR="000B2D51" w:rsidRPr="00C270FA">
        <w:rPr>
          <w:lang w:val="en-CA"/>
        </w:rPr>
        <w:t xml:space="preserve"> [stock keeping units]</w:t>
      </w:r>
      <w:r w:rsidRPr="00C270FA">
        <w:rPr>
          <w:lang w:val="en-CA"/>
        </w:rPr>
        <w:t>, with different colours and sizes. We brought the number of SKUs down to two or three at each plant to simplify supply and manufacturing. The customer did not care—they just wanted a mask.</w:t>
      </w:r>
    </w:p>
    <w:p w14:paraId="2A2C6203" w14:textId="77777777" w:rsidR="008452D2" w:rsidRPr="00C270FA" w:rsidRDefault="008452D2" w:rsidP="00F53CD4">
      <w:pPr>
        <w:pStyle w:val="BodyTextMain"/>
        <w:rPr>
          <w:lang w:val="en-CA"/>
        </w:rPr>
      </w:pPr>
    </w:p>
    <w:p w14:paraId="03B8E057" w14:textId="3154B6CF" w:rsidR="008452D2" w:rsidRPr="00C270FA" w:rsidRDefault="008452D2" w:rsidP="00F53CD4">
      <w:pPr>
        <w:pStyle w:val="BodyTextMain"/>
        <w:rPr>
          <w:spacing w:val="-2"/>
          <w:kern w:val="22"/>
          <w:lang w:val="en-CA"/>
        </w:rPr>
      </w:pPr>
      <w:r w:rsidRPr="00C270FA">
        <w:rPr>
          <w:spacing w:val="-2"/>
          <w:kern w:val="22"/>
          <w:lang w:val="en-CA"/>
        </w:rPr>
        <w:t xml:space="preserve">What followed was a series of events that </w:t>
      </w:r>
      <w:r w:rsidR="00E7157E" w:rsidRPr="00C270FA">
        <w:rPr>
          <w:spacing w:val="-2"/>
          <w:kern w:val="22"/>
          <w:lang w:val="en-CA"/>
        </w:rPr>
        <w:t xml:space="preserve">impeded </w:t>
      </w:r>
      <w:proofErr w:type="spellStart"/>
      <w:r w:rsidRPr="00C270FA">
        <w:rPr>
          <w:spacing w:val="-2"/>
          <w:kern w:val="22"/>
          <w:lang w:val="en-CA"/>
        </w:rPr>
        <w:t>Medicom’s</w:t>
      </w:r>
      <w:proofErr w:type="spellEnd"/>
      <w:r w:rsidRPr="00C270FA">
        <w:rPr>
          <w:spacing w:val="-2"/>
          <w:kern w:val="22"/>
          <w:lang w:val="en-CA"/>
        </w:rPr>
        <w:t xml:space="preserve"> manufacturing and distribution network. Without warning</w:t>
      </w:r>
      <w:r w:rsidR="00E7157E" w:rsidRPr="00C270FA">
        <w:rPr>
          <w:spacing w:val="-2"/>
          <w:kern w:val="22"/>
          <w:lang w:val="en-CA"/>
        </w:rPr>
        <w:t>,</w:t>
      </w:r>
      <w:r w:rsidRPr="00C270FA">
        <w:rPr>
          <w:spacing w:val="-2"/>
          <w:kern w:val="22"/>
          <w:lang w:val="en-CA"/>
        </w:rPr>
        <w:t xml:space="preserve"> Chinese government authorities took control of </w:t>
      </w:r>
      <w:proofErr w:type="spellStart"/>
      <w:r w:rsidRPr="00C270FA">
        <w:rPr>
          <w:spacing w:val="-2"/>
          <w:kern w:val="22"/>
          <w:lang w:val="en-CA"/>
        </w:rPr>
        <w:t>Medicom’s</w:t>
      </w:r>
      <w:proofErr w:type="spellEnd"/>
      <w:r w:rsidRPr="00C270FA">
        <w:rPr>
          <w:spacing w:val="-2"/>
          <w:kern w:val="22"/>
          <w:lang w:val="en-CA"/>
        </w:rPr>
        <w:t xml:space="preserve"> Shanghai surgical mask factory</w:t>
      </w:r>
      <w:r w:rsidR="00E7157E" w:rsidRPr="00C270FA">
        <w:rPr>
          <w:spacing w:val="-2"/>
          <w:kern w:val="22"/>
          <w:lang w:val="en-CA"/>
        </w:rPr>
        <w:t xml:space="preserve"> in the last week of January, during the Chinese New Year</w:t>
      </w:r>
      <w:r w:rsidRPr="00C270FA">
        <w:rPr>
          <w:spacing w:val="-2"/>
          <w:kern w:val="22"/>
          <w:lang w:val="en-CA"/>
        </w:rPr>
        <w:t>. With the plant shut</w:t>
      </w:r>
      <w:r w:rsidR="00E7157E" w:rsidRPr="00C270FA">
        <w:rPr>
          <w:spacing w:val="-2"/>
          <w:kern w:val="22"/>
          <w:lang w:val="en-CA"/>
        </w:rPr>
        <w:t xml:space="preserve"> </w:t>
      </w:r>
      <w:r w:rsidRPr="00C270FA">
        <w:rPr>
          <w:spacing w:val="-2"/>
          <w:kern w:val="22"/>
          <w:lang w:val="en-CA"/>
        </w:rPr>
        <w:t xml:space="preserve">down for the holiday, </w:t>
      </w:r>
      <w:r w:rsidR="00E7157E" w:rsidRPr="00C270FA">
        <w:rPr>
          <w:spacing w:val="-2"/>
          <w:kern w:val="22"/>
          <w:lang w:val="en-CA"/>
        </w:rPr>
        <w:t xml:space="preserve">the authorities brought in </w:t>
      </w:r>
      <w:r w:rsidRPr="00C270FA">
        <w:rPr>
          <w:spacing w:val="-2"/>
          <w:kern w:val="22"/>
          <w:lang w:val="en-CA"/>
        </w:rPr>
        <w:t>workers to star</w:t>
      </w:r>
      <w:r w:rsidR="00E7157E" w:rsidRPr="00C270FA">
        <w:rPr>
          <w:spacing w:val="-2"/>
          <w:kern w:val="22"/>
          <w:lang w:val="en-CA"/>
        </w:rPr>
        <w:t xml:space="preserve">t </w:t>
      </w:r>
      <w:r w:rsidRPr="00C270FA">
        <w:rPr>
          <w:spacing w:val="-2"/>
          <w:kern w:val="22"/>
          <w:lang w:val="en-CA"/>
        </w:rPr>
        <w:t xml:space="preserve">up production. Under temporary government control, the Shanghai factory diverted </w:t>
      </w:r>
      <w:r w:rsidR="00E7157E" w:rsidRPr="00C270FA">
        <w:rPr>
          <w:spacing w:val="-2"/>
          <w:kern w:val="22"/>
          <w:lang w:val="en-CA"/>
        </w:rPr>
        <w:t xml:space="preserve">all output </w:t>
      </w:r>
      <w:r w:rsidRPr="00C270FA">
        <w:rPr>
          <w:spacing w:val="-2"/>
          <w:kern w:val="22"/>
          <w:lang w:val="en-CA"/>
        </w:rPr>
        <w:t xml:space="preserve">to </w:t>
      </w:r>
      <w:r w:rsidR="00FB7B04" w:rsidRPr="00C270FA">
        <w:rPr>
          <w:spacing w:val="-2"/>
          <w:kern w:val="22"/>
          <w:lang w:val="en-CA"/>
        </w:rPr>
        <w:t xml:space="preserve">fulfill </w:t>
      </w:r>
      <w:r w:rsidRPr="00C270FA">
        <w:rPr>
          <w:spacing w:val="-2"/>
          <w:kern w:val="22"/>
          <w:lang w:val="en-CA"/>
        </w:rPr>
        <w:t xml:space="preserve">domestic requirements. While </w:t>
      </w:r>
      <w:proofErr w:type="spellStart"/>
      <w:r w:rsidRPr="00C270FA">
        <w:rPr>
          <w:spacing w:val="-2"/>
          <w:kern w:val="22"/>
          <w:lang w:val="en-CA"/>
        </w:rPr>
        <w:t>Medicom</w:t>
      </w:r>
      <w:proofErr w:type="spellEnd"/>
      <w:r w:rsidRPr="00C270FA">
        <w:rPr>
          <w:spacing w:val="-2"/>
          <w:kern w:val="22"/>
          <w:lang w:val="en-CA"/>
        </w:rPr>
        <w:t xml:space="preserve"> was compensated for the masks produced at the plant, the move stripped the company of 50 per cent of its capacity. A significant part of the product from the Shanghai factory </w:t>
      </w:r>
      <w:r w:rsidR="00FB7B04" w:rsidRPr="00C270FA">
        <w:rPr>
          <w:spacing w:val="-2"/>
          <w:kern w:val="22"/>
          <w:lang w:val="en-CA"/>
        </w:rPr>
        <w:t xml:space="preserve">had been </w:t>
      </w:r>
      <w:r w:rsidRPr="00C270FA">
        <w:rPr>
          <w:spacing w:val="-2"/>
          <w:kern w:val="22"/>
          <w:lang w:val="en-CA"/>
        </w:rPr>
        <w:t xml:space="preserve">destined for export to North America and Europe. Then in early February, authorities in Taiwan banned </w:t>
      </w:r>
      <w:proofErr w:type="spellStart"/>
      <w:r w:rsidRPr="00C270FA">
        <w:rPr>
          <w:spacing w:val="-2"/>
          <w:kern w:val="22"/>
          <w:lang w:val="en-CA"/>
        </w:rPr>
        <w:t>Medicom</w:t>
      </w:r>
      <w:proofErr w:type="spellEnd"/>
      <w:r w:rsidRPr="00C270FA">
        <w:rPr>
          <w:spacing w:val="-2"/>
          <w:kern w:val="22"/>
          <w:lang w:val="en-CA"/>
        </w:rPr>
        <w:t xml:space="preserve"> from exporting masks made at its local plant</w:t>
      </w:r>
      <w:r w:rsidR="00FB7B04" w:rsidRPr="00C270FA">
        <w:rPr>
          <w:spacing w:val="-2"/>
          <w:kern w:val="22"/>
          <w:lang w:val="en-CA"/>
        </w:rPr>
        <w:t xml:space="preserve"> there</w:t>
      </w:r>
      <w:r w:rsidRPr="00C270FA">
        <w:rPr>
          <w:spacing w:val="-2"/>
          <w:kern w:val="22"/>
          <w:lang w:val="en-CA"/>
        </w:rPr>
        <w:t xml:space="preserve">. Next, in early March, the French government requisitioned all production from the company’s factory in Angers, Western Europe’s largest </w:t>
      </w:r>
      <w:r w:rsidR="00B10BA1" w:rsidRPr="00C270FA">
        <w:rPr>
          <w:spacing w:val="-2"/>
          <w:kern w:val="22"/>
          <w:lang w:val="en-CA"/>
        </w:rPr>
        <w:t>N95-mask</w:t>
      </w:r>
      <w:r w:rsidR="00957692" w:rsidRPr="00C270FA">
        <w:rPr>
          <w:spacing w:val="-2"/>
          <w:kern w:val="22"/>
          <w:lang w:val="en-CA"/>
        </w:rPr>
        <w:t xml:space="preserve"> </w:t>
      </w:r>
      <w:r w:rsidRPr="00C270FA">
        <w:rPr>
          <w:spacing w:val="-2"/>
          <w:kern w:val="22"/>
          <w:lang w:val="en-CA"/>
        </w:rPr>
        <w:t>manufacturing facility. The result was that</w:t>
      </w:r>
      <w:r w:rsidR="00FF2035" w:rsidRPr="00C270FA">
        <w:rPr>
          <w:spacing w:val="-2"/>
          <w:kern w:val="22"/>
          <w:lang w:val="en-CA"/>
        </w:rPr>
        <w:t>,</w:t>
      </w:r>
      <w:r w:rsidRPr="00C270FA">
        <w:rPr>
          <w:spacing w:val="-2"/>
          <w:kern w:val="22"/>
          <w:lang w:val="en-CA"/>
        </w:rPr>
        <w:t xml:space="preserve"> in early March, the company’s Georgia plant was the only mask</w:t>
      </w:r>
      <w:r w:rsidR="00957692" w:rsidRPr="00C270FA">
        <w:rPr>
          <w:spacing w:val="-2"/>
          <w:kern w:val="22"/>
          <w:lang w:val="en-CA"/>
        </w:rPr>
        <w:t xml:space="preserve"> </w:t>
      </w:r>
      <w:r w:rsidRPr="00C270FA">
        <w:rPr>
          <w:spacing w:val="-2"/>
          <w:kern w:val="22"/>
          <w:lang w:val="en-CA"/>
        </w:rPr>
        <w:t>making facility unaffected by government restrictions.</w:t>
      </w:r>
    </w:p>
    <w:p w14:paraId="66831583" w14:textId="77777777" w:rsidR="008452D2" w:rsidRPr="00C270FA" w:rsidRDefault="008452D2" w:rsidP="00F53CD4">
      <w:pPr>
        <w:pStyle w:val="BodyTextMain"/>
        <w:rPr>
          <w:lang w:val="en-CA"/>
        </w:rPr>
      </w:pPr>
    </w:p>
    <w:p w14:paraId="4DDD2D5D" w14:textId="21B9E7BA" w:rsidR="008452D2" w:rsidRPr="00C270FA" w:rsidRDefault="008452D2" w:rsidP="00F53CD4">
      <w:pPr>
        <w:pStyle w:val="BodyTextMain"/>
        <w:rPr>
          <w:lang w:val="en-CA"/>
        </w:rPr>
      </w:pPr>
      <w:r w:rsidRPr="00C270FA">
        <w:rPr>
          <w:lang w:val="en-CA"/>
        </w:rPr>
        <w:t>Customers were put on allocation</w:t>
      </w:r>
      <w:r w:rsidR="00946280" w:rsidRPr="00C270FA">
        <w:rPr>
          <w:lang w:val="en-CA"/>
        </w:rPr>
        <w:t>,</w:t>
      </w:r>
      <w:r w:rsidRPr="00C270FA">
        <w:rPr>
          <w:lang w:val="en-CA"/>
        </w:rPr>
        <w:t xml:space="preserve"> and existing inventories of masks were drawn down and distributed. Unlike many of its competitors, </w:t>
      </w:r>
      <w:proofErr w:type="spellStart"/>
      <w:r w:rsidRPr="00C270FA">
        <w:rPr>
          <w:lang w:val="en-CA"/>
        </w:rPr>
        <w:t>Medicom</w:t>
      </w:r>
      <w:proofErr w:type="spellEnd"/>
      <w:r w:rsidRPr="00C270FA">
        <w:rPr>
          <w:lang w:val="en-CA"/>
        </w:rPr>
        <w:t xml:space="preserve"> focused on honouring commitments to existing customers and did not pursue opportunities to sell its products to the highest bidder. </w:t>
      </w:r>
    </w:p>
    <w:p w14:paraId="39221C68" w14:textId="77777777" w:rsidR="008452D2" w:rsidRPr="00C270FA" w:rsidRDefault="008452D2" w:rsidP="00F53CD4">
      <w:pPr>
        <w:pStyle w:val="BodyTextMain"/>
        <w:rPr>
          <w:lang w:val="en-CA"/>
        </w:rPr>
      </w:pPr>
    </w:p>
    <w:p w14:paraId="6C60BCCF" w14:textId="6FA705C8" w:rsidR="00946280" w:rsidRPr="00C270FA" w:rsidRDefault="008452D2" w:rsidP="00F53CD4">
      <w:pPr>
        <w:pStyle w:val="BodyTextMain"/>
        <w:rPr>
          <w:lang w:val="en-CA"/>
        </w:rPr>
      </w:pPr>
      <w:r w:rsidRPr="00C270FA">
        <w:rPr>
          <w:lang w:val="en-CA"/>
        </w:rPr>
        <w:t xml:space="preserve">Sensing a prolonged global healthcare crisis, the company was quick to react </w:t>
      </w:r>
      <w:r w:rsidR="00946280" w:rsidRPr="00C270FA">
        <w:rPr>
          <w:lang w:val="en-CA"/>
        </w:rPr>
        <w:t>by</w:t>
      </w:r>
      <w:r w:rsidRPr="00C270FA">
        <w:rPr>
          <w:lang w:val="en-CA"/>
        </w:rPr>
        <w:t xml:space="preserve"> aggressive</w:t>
      </w:r>
      <w:r w:rsidR="00946280" w:rsidRPr="00C270FA">
        <w:rPr>
          <w:lang w:val="en-CA"/>
        </w:rPr>
        <w:t>ly</w:t>
      </w:r>
      <w:r w:rsidRPr="00C270FA">
        <w:rPr>
          <w:lang w:val="en-CA"/>
        </w:rPr>
        <w:t xml:space="preserve"> </w:t>
      </w:r>
      <w:r w:rsidR="00946280" w:rsidRPr="00C270FA">
        <w:rPr>
          <w:lang w:val="en-CA"/>
        </w:rPr>
        <w:t>expanding</w:t>
      </w:r>
      <w:r w:rsidRPr="00C270FA">
        <w:rPr>
          <w:lang w:val="en-CA"/>
        </w:rPr>
        <w:t xml:space="preserve"> its </w:t>
      </w:r>
      <w:r w:rsidR="00946280" w:rsidRPr="00C270FA">
        <w:rPr>
          <w:lang w:val="en-CA"/>
        </w:rPr>
        <w:t>mask</w:t>
      </w:r>
      <w:r w:rsidR="00957692" w:rsidRPr="00C270FA">
        <w:rPr>
          <w:lang w:val="en-CA"/>
        </w:rPr>
        <w:t xml:space="preserve"> </w:t>
      </w:r>
      <w:r w:rsidRPr="00C270FA">
        <w:rPr>
          <w:lang w:val="en-CA"/>
        </w:rPr>
        <w:t xml:space="preserve">manufacturing capacity as part of a strategy that focused on a new market segment. Ronald explained: </w:t>
      </w:r>
    </w:p>
    <w:p w14:paraId="47BA83A2" w14:textId="77777777" w:rsidR="00946280" w:rsidRPr="00C270FA" w:rsidRDefault="00946280" w:rsidP="00F53CD4">
      <w:pPr>
        <w:pStyle w:val="BodyTextMain"/>
        <w:rPr>
          <w:lang w:val="en-CA"/>
        </w:rPr>
      </w:pPr>
    </w:p>
    <w:p w14:paraId="6CA89087" w14:textId="1D5035E0" w:rsidR="008452D2" w:rsidRDefault="008452D2" w:rsidP="00E839B7">
      <w:pPr>
        <w:pStyle w:val="BodyTextMain"/>
        <w:ind w:left="567"/>
        <w:rPr>
          <w:lang w:val="en-CA"/>
        </w:rPr>
      </w:pPr>
      <w:r w:rsidRPr="00C270FA">
        <w:rPr>
          <w:lang w:val="en-CA"/>
        </w:rPr>
        <w:t>We had two choices. If we did nothing, we would potentially lose existing customers. If we increased capacity, eventually</w:t>
      </w:r>
      <w:r w:rsidR="00D36766" w:rsidRPr="00C270FA">
        <w:rPr>
          <w:lang w:val="en-CA"/>
        </w:rPr>
        <w:t>,</w:t>
      </w:r>
      <w:r w:rsidRPr="00C270FA">
        <w:rPr>
          <w:lang w:val="en-CA"/>
        </w:rPr>
        <w:t xml:space="preserve"> there would be a glut of masks after the pandemic subsided</w:t>
      </w:r>
      <w:r w:rsidR="00D36766" w:rsidRPr="00C270FA">
        <w:rPr>
          <w:lang w:val="en-CA"/>
        </w:rPr>
        <w:t>,</w:t>
      </w:r>
      <w:r w:rsidRPr="00C270FA">
        <w:rPr>
          <w:lang w:val="en-CA"/>
        </w:rPr>
        <w:t xml:space="preserve"> and we would be </w:t>
      </w:r>
      <w:r w:rsidRPr="00C270FA">
        <w:rPr>
          <w:lang w:val="en-CA"/>
        </w:rPr>
        <w:lastRenderedPageBreak/>
        <w:t xml:space="preserve">faced with a situation where prices and margins would drop. So, what </w:t>
      </w:r>
      <w:r w:rsidR="00D36766" w:rsidRPr="00C270FA">
        <w:rPr>
          <w:lang w:val="en-CA"/>
        </w:rPr>
        <w:t xml:space="preserve">did </w:t>
      </w:r>
      <w:r w:rsidRPr="00C270FA">
        <w:rPr>
          <w:lang w:val="en-CA"/>
        </w:rPr>
        <w:t xml:space="preserve">we do? We decided to go after a new channel: government bodies. Our value proposition was that we </w:t>
      </w:r>
      <w:r w:rsidR="00D36766" w:rsidRPr="00C270FA">
        <w:rPr>
          <w:lang w:val="en-CA"/>
        </w:rPr>
        <w:t xml:space="preserve">could not </w:t>
      </w:r>
      <w:r w:rsidRPr="00C270FA">
        <w:rPr>
          <w:lang w:val="en-CA"/>
        </w:rPr>
        <w:t xml:space="preserve">assure supply from other regions during pandemics. You need supply chain sovereignty. </w:t>
      </w:r>
      <w:proofErr w:type="spellStart"/>
      <w:r w:rsidRPr="00C270FA">
        <w:rPr>
          <w:lang w:val="en-CA"/>
        </w:rPr>
        <w:t>Medicom</w:t>
      </w:r>
      <w:proofErr w:type="spellEnd"/>
      <w:r w:rsidRPr="00C270FA">
        <w:rPr>
          <w:lang w:val="en-CA"/>
        </w:rPr>
        <w:t xml:space="preserve"> </w:t>
      </w:r>
      <w:r w:rsidR="00D36766" w:rsidRPr="00C270FA">
        <w:rPr>
          <w:lang w:val="en-CA"/>
        </w:rPr>
        <w:t xml:space="preserve">had </w:t>
      </w:r>
      <w:r w:rsidRPr="00C270FA">
        <w:rPr>
          <w:lang w:val="en-CA"/>
        </w:rPr>
        <w:t>the industry knowledge, depth</w:t>
      </w:r>
      <w:r w:rsidR="00D36766" w:rsidRPr="00C270FA">
        <w:rPr>
          <w:lang w:val="en-CA"/>
        </w:rPr>
        <w:t>,</w:t>
      </w:r>
      <w:r w:rsidRPr="00C270FA">
        <w:rPr>
          <w:lang w:val="en-CA"/>
        </w:rPr>
        <w:t xml:space="preserve"> and expertise to establish domestic-based supply</w:t>
      </w:r>
      <w:r w:rsidR="00946280" w:rsidRPr="00C270FA">
        <w:rPr>
          <w:lang w:val="en-CA"/>
        </w:rPr>
        <w:t>.</w:t>
      </w:r>
    </w:p>
    <w:p w14:paraId="292F9331" w14:textId="77777777" w:rsidR="00A237F6" w:rsidRPr="00C270FA" w:rsidRDefault="00A237F6" w:rsidP="00E839B7">
      <w:pPr>
        <w:pStyle w:val="BodyTextMain"/>
        <w:ind w:left="567"/>
        <w:rPr>
          <w:lang w:val="en-CA"/>
        </w:rPr>
      </w:pPr>
    </w:p>
    <w:p w14:paraId="1706E80C" w14:textId="32AC458A" w:rsidR="008452D2" w:rsidRPr="00C270FA" w:rsidRDefault="008452D2" w:rsidP="00F53CD4">
      <w:pPr>
        <w:pStyle w:val="BodyTextMain"/>
        <w:rPr>
          <w:spacing w:val="-2"/>
          <w:kern w:val="22"/>
          <w:lang w:val="en-CA"/>
        </w:rPr>
      </w:pPr>
      <w:proofErr w:type="spellStart"/>
      <w:r w:rsidRPr="00C270FA">
        <w:rPr>
          <w:spacing w:val="-2"/>
          <w:kern w:val="22"/>
          <w:lang w:val="en-CA"/>
        </w:rPr>
        <w:t>Medicom</w:t>
      </w:r>
      <w:proofErr w:type="spellEnd"/>
      <w:r w:rsidRPr="00C270FA">
        <w:rPr>
          <w:spacing w:val="-2"/>
          <w:kern w:val="22"/>
          <w:lang w:val="en-CA"/>
        </w:rPr>
        <w:t xml:space="preserve"> secured a multiyear agreement with the government of Singapore in January 2020, which provided purchase commitments to support opening a new </w:t>
      </w:r>
      <w:r w:rsidR="00AC66F1" w:rsidRPr="00C270FA">
        <w:rPr>
          <w:spacing w:val="-2"/>
          <w:kern w:val="22"/>
          <w:lang w:val="en-CA"/>
        </w:rPr>
        <w:t>surgical</w:t>
      </w:r>
      <w:r w:rsidR="00476539" w:rsidRPr="00C270FA">
        <w:rPr>
          <w:spacing w:val="-2"/>
          <w:kern w:val="22"/>
          <w:lang w:val="en-CA"/>
        </w:rPr>
        <w:t xml:space="preserve"> </w:t>
      </w:r>
      <w:r w:rsidR="00B10BA1" w:rsidRPr="00C270FA">
        <w:rPr>
          <w:spacing w:val="-2"/>
          <w:kern w:val="22"/>
          <w:lang w:val="en-CA"/>
        </w:rPr>
        <w:t>mask</w:t>
      </w:r>
      <w:r w:rsidR="00957692" w:rsidRPr="00C270FA">
        <w:rPr>
          <w:spacing w:val="-2"/>
          <w:kern w:val="22"/>
          <w:lang w:val="en-CA"/>
        </w:rPr>
        <w:t xml:space="preserve"> </w:t>
      </w:r>
      <w:r w:rsidRPr="00C270FA">
        <w:rPr>
          <w:spacing w:val="-2"/>
          <w:kern w:val="22"/>
          <w:lang w:val="en-CA"/>
        </w:rPr>
        <w:t xml:space="preserve">manufacturing plant. Within months, </w:t>
      </w:r>
      <w:r w:rsidR="00AC66F1" w:rsidRPr="00C270FA">
        <w:rPr>
          <w:spacing w:val="-2"/>
          <w:kern w:val="22"/>
          <w:lang w:val="en-CA"/>
        </w:rPr>
        <w:t xml:space="preserve">it had signed </w:t>
      </w:r>
      <w:r w:rsidRPr="00C270FA">
        <w:rPr>
          <w:spacing w:val="-2"/>
          <w:kern w:val="22"/>
          <w:lang w:val="en-CA"/>
        </w:rPr>
        <w:t>similar agreements with authorities in France, the U</w:t>
      </w:r>
      <w:r w:rsidR="00AC66F1" w:rsidRPr="00C270FA">
        <w:rPr>
          <w:spacing w:val="-2"/>
          <w:kern w:val="22"/>
          <w:lang w:val="en-CA"/>
        </w:rPr>
        <w:t>nited King</w:t>
      </w:r>
      <w:r w:rsidR="001E1630" w:rsidRPr="00C270FA">
        <w:rPr>
          <w:spacing w:val="-2"/>
          <w:kern w:val="22"/>
          <w:lang w:val="en-CA"/>
        </w:rPr>
        <w:t>d</w:t>
      </w:r>
      <w:r w:rsidR="00AC66F1" w:rsidRPr="00C270FA">
        <w:rPr>
          <w:spacing w:val="-2"/>
          <w:kern w:val="22"/>
          <w:lang w:val="en-CA"/>
        </w:rPr>
        <w:t>om,</w:t>
      </w:r>
      <w:r w:rsidRPr="00C270FA">
        <w:rPr>
          <w:spacing w:val="-2"/>
          <w:kern w:val="22"/>
          <w:lang w:val="en-CA"/>
        </w:rPr>
        <w:t xml:space="preserve"> and Canada. The result was a commitment by </w:t>
      </w:r>
      <w:proofErr w:type="spellStart"/>
      <w:r w:rsidRPr="00C270FA">
        <w:rPr>
          <w:spacing w:val="-2"/>
          <w:kern w:val="22"/>
          <w:lang w:val="en-CA"/>
        </w:rPr>
        <w:t>Medicom</w:t>
      </w:r>
      <w:proofErr w:type="spellEnd"/>
      <w:r w:rsidRPr="00C270FA">
        <w:rPr>
          <w:spacing w:val="-2"/>
          <w:kern w:val="22"/>
          <w:lang w:val="en-CA"/>
        </w:rPr>
        <w:t xml:space="preserve"> to invest approximately $100 million over an </w:t>
      </w:r>
      <w:r w:rsidR="00AC66F1" w:rsidRPr="00C270FA">
        <w:rPr>
          <w:spacing w:val="-2"/>
          <w:kern w:val="22"/>
          <w:lang w:val="en-CA"/>
        </w:rPr>
        <w:t>18-</w:t>
      </w:r>
      <w:r w:rsidRPr="00C270FA">
        <w:rPr>
          <w:spacing w:val="-2"/>
          <w:kern w:val="22"/>
          <w:lang w:val="en-CA"/>
        </w:rPr>
        <w:t xml:space="preserve">month period to expand its </w:t>
      </w:r>
      <w:r w:rsidR="00AC66F1" w:rsidRPr="00C270FA">
        <w:rPr>
          <w:spacing w:val="-2"/>
          <w:kern w:val="22"/>
          <w:lang w:val="en-CA"/>
        </w:rPr>
        <w:t>mask</w:t>
      </w:r>
      <w:r w:rsidR="00957692" w:rsidRPr="00C270FA">
        <w:rPr>
          <w:spacing w:val="-2"/>
          <w:kern w:val="22"/>
          <w:lang w:val="en-CA"/>
        </w:rPr>
        <w:t xml:space="preserve"> </w:t>
      </w:r>
      <w:r w:rsidRPr="00C270FA">
        <w:rPr>
          <w:spacing w:val="-2"/>
          <w:kern w:val="22"/>
          <w:lang w:val="en-CA"/>
        </w:rPr>
        <w:t>manufacturing capacity from approximately 2.1 billion units per year to 6.1 billion units (see Exhibit 3). In a normal year, the company’s capital expenditure plan would be approximately $</w:t>
      </w:r>
      <w:r w:rsidR="007355B7" w:rsidRPr="00C270FA">
        <w:rPr>
          <w:spacing w:val="-2"/>
          <w:kern w:val="22"/>
          <w:lang w:val="en-CA"/>
        </w:rPr>
        <w:t>5</w:t>
      </w:r>
      <w:r w:rsidR="0024318A" w:rsidRPr="00C270FA">
        <w:rPr>
          <w:spacing w:val="-2"/>
          <w:kern w:val="22"/>
          <w:lang w:val="en-CA"/>
        </w:rPr>
        <w:t xml:space="preserve"> </w:t>
      </w:r>
      <w:r w:rsidRPr="00C270FA">
        <w:rPr>
          <w:spacing w:val="-2"/>
          <w:kern w:val="22"/>
          <w:lang w:val="en-CA"/>
        </w:rPr>
        <w:t>million.</w:t>
      </w:r>
    </w:p>
    <w:p w14:paraId="7F00DF6F" w14:textId="77777777" w:rsidR="008452D2" w:rsidRPr="00C270FA" w:rsidRDefault="008452D2" w:rsidP="00F53CD4">
      <w:pPr>
        <w:pStyle w:val="BodyTextMain"/>
        <w:rPr>
          <w:lang w:val="en-CA"/>
        </w:rPr>
      </w:pPr>
    </w:p>
    <w:p w14:paraId="5F88A5AD" w14:textId="3AA837B4" w:rsidR="008452D2" w:rsidRPr="00C270FA" w:rsidRDefault="008452D2" w:rsidP="00F53CD4">
      <w:pPr>
        <w:pStyle w:val="BodyTextMain"/>
        <w:rPr>
          <w:spacing w:val="-4"/>
          <w:kern w:val="22"/>
          <w:lang w:val="en-CA"/>
        </w:rPr>
      </w:pPr>
      <w:r w:rsidRPr="00C270FA">
        <w:rPr>
          <w:spacing w:val="-4"/>
          <w:kern w:val="22"/>
          <w:lang w:val="en-CA"/>
        </w:rPr>
        <w:t xml:space="preserve">By January 2021, the company had </w:t>
      </w:r>
      <w:r w:rsidR="00AC66F1" w:rsidRPr="00C270FA">
        <w:rPr>
          <w:spacing w:val="-4"/>
          <w:kern w:val="22"/>
          <w:lang w:val="en-CA"/>
        </w:rPr>
        <w:t>11 mask</w:t>
      </w:r>
      <w:r w:rsidR="00957692" w:rsidRPr="00C270FA">
        <w:rPr>
          <w:spacing w:val="-4"/>
          <w:kern w:val="22"/>
          <w:lang w:val="en-CA"/>
        </w:rPr>
        <w:t xml:space="preserve"> </w:t>
      </w:r>
      <w:r w:rsidRPr="00C270FA">
        <w:rPr>
          <w:spacing w:val="-4"/>
          <w:kern w:val="22"/>
          <w:lang w:val="en-CA"/>
        </w:rPr>
        <w:t>manufacturing facilities</w:t>
      </w:r>
      <w:r w:rsidR="00211CC7" w:rsidRPr="00C270FA">
        <w:rPr>
          <w:spacing w:val="-4"/>
          <w:kern w:val="22"/>
          <w:lang w:val="en-CA"/>
        </w:rPr>
        <w:t xml:space="preserve">: </w:t>
      </w:r>
      <w:r w:rsidR="00AC66F1" w:rsidRPr="00C270FA">
        <w:rPr>
          <w:spacing w:val="-4"/>
          <w:kern w:val="22"/>
          <w:lang w:val="en-CA"/>
        </w:rPr>
        <w:t xml:space="preserve">two </w:t>
      </w:r>
      <w:r w:rsidRPr="00C270FA">
        <w:rPr>
          <w:spacing w:val="-4"/>
          <w:kern w:val="22"/>
          <w:lang w:val="en-CA"/>
        </w:rPr>
        <w:t>in North America (Augusta, Georgia</w:t>
      </w:r>
      <w:r w:rsidR="00AC66F1" w:rsidRPr="00C270FA">
        <w:rPr>
          <w:spacing w:val="-4"/>
          <w:kern w:val="22"/>
          <w:lang w:val="en-CA"/>
        </w:rPr>
        <w:t>,</w:t>
      </w:r>
      <w:r w:rsidRPr="00C270FA">
        <w:rPr>
          <w:spacing w:val="-4"/>
          <w:kern w:val="22"/>
          <w:lang w:val="en-CA"/>
        </w:rPr>
        <w:t xml:space="preserve"> and Montreal, Quebec</w:t>
      </w:r>
      <w:r w:rsidR="00AC66F1" w:rsidRPr="00C270FA">
        <w:rPr>
          <w:spacing w:val="-4"/>
          <w:kern w:val="22"/>
          <w:lang w:val="en-CA"/>
        </w:rPr>
        <w:t xml:space="preserve">); </w:t>
      </w:r>
      <w:r w:rsidRPr="00C270FA">
        <w:rPr>
          <w:spacing w:val="-4"/>
          <w:kern w:val="22"/>
          <w:lang w:val="en-CA"/>
        </w:rPr>
        <w:t xml:space="preserve">three in Europe (Angers and </w:t>
      </w:r>
      <w:proofErr w:type="spellStart"/>
      <w:r w:rsidRPr="00C270FA">
        <w:rPr>
          <w:spacing w:val="-4"/>
          <w:kern w:val="22"/>
          <w:lang w:val="en-CA"/>
        </w:rPr>
        <w:t>Beaucouzé</w:t>
      </w:r>
      <w:proofErr w:type="spellEnd"/>
      <w:r w:rsidRPr="00C270FA">
        <w:rPr>
          <w:spacing w:val="-4"/>
          <w:kern w:val="22"/>
          <w:lang w:val="en-CA"/>
        </w:rPr>
        <w:t>, France, and Northampton, UK)</w:t>
      </w:r>
      <w:r w:rsidR="00AC66F1" w:rsidRPr="00C270FA">
        <w:rPr>
          <w:spacing w:val="-4"/>
          <w:kern w:val="22"/>
          <w:lang w:val="en-CA"/>
        </w:rPr>
        <w:t>;</w:t>
      </w:r>
      <w:r w:rsidRPr="00C270FA">
        <w:rPr>
          <w:spacing w:val="-4"/>
          <w:kern w:val="22"/>
          <w:lang w:val="en-CA"/>
        </w:rPr>
        <w:t xml:space="preserve"> and six in Asia (two at Shanghai, China; two at </w:t>
      </w:r>
      <w:proofErr w:type="spellStart"/>
      <w:r w:rsidRPr="00C270FA">
        <w:rPr>
          <w:spacing w:val="-4"/>
          <w:kern w:val="22"/>
          <w:lang w:val="en-CA"/>
        </w:rPr>
        <w:t>Yilan</w:t>
      </w:r>
      <w:proofErr w:type="spellEnd"/>
      <w:r w:rsidRPr="00C270FA">
        <w:rPr>
          <w:spacing w:val="-4"/>
          <w:kern w:val="22"/>
          <w:lang w:val="en-CA"/>
        </w:rPr>
        <w:t xml:space="preserve">, Taiwan; </w:t>
      </w:r>
      <w:r w:rsidR="007928BB" w:rsidRPr="00C270FA">
        <w:rPr>
          <w:spacing w:val="-4"/>
          <w:kern w:val="22"/>
          <w:lang w:val="en-CA"/>
        </w:rPr>
        <w:t xml:space="preserve">and </w:t>
      </w:r>
      <w:r w:rsidRPr="00C270FA">
        <w:rPr>
          <w:spacing w:val="-4"/>
          <w:kern w:val="22"/>
          <w:lang w:val="en-CA"/>
        </w:rPr>
        <w:t xml:space="preserve">one </w:t>
      </w:r>
      <w:r w:rsidR="007928BB" w:rsidRPr="00C270FA">
        <w:rPr>
          <w:spacing w:val="-4"/>
          <w:kern w:val="22"/>
          <w:lang w:val="en-CA"/>
        </w:rPr>
        <w:t xml:space="preserve">each </w:t>
      </w:r>
      <w:r w:rsidRPr="00C270FA">
        <w:rPr>
          <w:spacing w:val="-4"/>
          <w:kern w:val="22"/>
          <w:lang w:val="en-CA"/>
        </w:rPr>
        <w:t>in Hong Kong and Singapore)</w:t>
      </w:r>
      <w:r w:rsidR="001416FB" w:rsidRPr="00C270FA">
        <w:rPr>
          <w:spacing w:val="-4"/>
          <w:kern w:val="22"/>
          <w:lang w:val="en-CA"/>
        </w:rPr>
        <w:t xml:space="preserve"> (see Exhibits 4 and 5)</w:t>
      </w:r>
      <w:r w:rsidRPr="00C270FA">
        <w:rPr>
          <w:spacing w:val="-4"/>
          <w:kern w:val="22"/>
          <w:lang w:val="en-CA"/>
        </w:rPr>
        <w:t xml:space="preserve">. In 2021, the company had 1,700 employees worldwide and sales revenues of approximately $1 billion. </w:t>
      </w:r>
      <w:r w:rsidR="00CC7C9B" w:rsidRPr="00C270FA">
        <w:rPr>
          <w:spacing w:val="-4"/>
          <w:kern w:val="22"/>
          <w:lang w:val="en-CA"/>
        </w:rPr>
        <w:t>The company’s revenues from the mask segment increased significantly in 2020 (see Exhibit 6).</w:t>
      </w:r>
    </w:p>
    <w:p w14:paraId="1848BD89" w14:textId="77777777" w:rsidR="008452D2" w:rsidRPr="00C270FA" w:rsidRDefault="008452D2" w:rsidP="00F53CD4">
      <w:pPr>
        <w:pStyle w:val="BodyTextMain"/>
        <w:rPr>
          <w:lang w:val="en-CA"/>
        </w:rPr>
      </w:pPr>
    </w:p>
    <w:p w14:paraId="399BE286" w14:textId="77777777" w:rsidR="008452D2" w:rsidRPr="00C270FA" w:rsidRDefault="008452D2" w:rsidP="00F53CD4">
      <w:pPr>
        <w:pStyle w:val="BodyTextMain"/>
        <w:rPr>
          <w:lang w:val="en-CA"/>
        </w:rPr>
      </w:pPr>
    </w:p>
    <w:p w14:paraId="2C4DF989" w14:textId="77777777" w:rsidR="008452D2" w:rsidRPr="00C270FA" w:rsidRDefault="008452D2" w:rsidP="00F53CD4">
      <w:pPr>
        <w:pStyle w:val="Casehead1"/>
        <w:rPr>
          <w:lang w:val="en-CA"/>
        </w:rPr>
      </w:pPr>
      <w:r w:rsidRPr="00C270FA">
        <w:rPr>
          <w:lang w:val="en-CA"/>
        </w:rPr>
        <w:t>MASK MANUFACTURING</w:t>
      </w:r>
    </w:p>
    <w:p w14:paraId="466AC1DA" w14:textId="77777777" w:rsidR="008452D2" w:rsidRPr="00C270FA" w:rsidRDefault="008452D2" w:rsidP="00605009">
      <w:pPr>
        <w:pStyle w:val="xmsonormal"/>
        <w:shd w:val="clear" w:color="auto" w:fill="FFFFFF"/>
        <w:spacing w:before="0" w:beforeAutospacing="0" w:after="0" w:afterAutospacing="0"/>
        <w:rPr>
          <w:sz w:val="22"/>
          <w:szCs w:val="22"/>
        </w:rPr>
      </w:pPr>
    </w:p>
    <w:p w14:paraId="089BB42C" w14:textId="353AB0AC" w:rsidR="008452D2" w:rsidRPr="00C270FA" w:rsidRDefault="008452D2" w:rsidP="00605009">
      <w:pPr>
        <w:pStyle w:val="xmsonormal"/>
        <w:shd w:val="clear" w:color="auto" w:fill="FFFFFF"/>
        <w:spacing w:before="0" w:beforeAutospacing="0" w:after="0" w:afterAutospacing="0"/>
        <w:jc w:val="both"/>
        <w:rPr>
          <w:sz w:val="22"/>
          <w:szCs w:val="22"/>
        </w:rPr>
      </w:pPr>
      <w:r w:rsidRPr="00C270FA">
        <w:rPr>
          <w:sz w:val="22"/>
          <w:szCs w:val="22"/>
        </w:rPr>
        <w:t>Melt</w:t>
      </w:r>
      <w:r w:rsidR="00D665D9" w:rsidRPr="00C270FA">
        <w:rPr>
          <w:sz w:val="22"/>
          <w:szCs w:val="22"/>
        </w:rPr>
        <w:t>-</w:t>
      </w:r>
      <w:r w:rsidRPr="00C270FA">
        <w:rPr>
          <w:sz w:val="22"/>
          <w:szCs w:val="22"/>
        </w:rPr>
        <w:t xml:space="preserve">blown was a nonwoven polymer material used as the middle layer </w:t>
      </w:r>
      <w:r w:rsidR="00D665D9" w:rsidRPr="00C270FA">
        <w:rPr>
          <w:sz w:val="22"/>
          <w:szCs w:val="22"/>
        </w:rPr>
        <w:t xml:space="preserve">in </w:t>
      </w:r>
      <w:r w:rsidRPr="00C270FA">
        <w:rPr>
          <w:sz w:val="22"/>
          <w:szCs w:val="22"/>
        </w:rPr>
        <w:t xml:space="preserve">surgical and </w:t>
      </w:r>
      <w:bookmarkStart w:id="3" w:name="_Hlk64292738"/>
      <w:r w:rsidRPr="00C270FA">
        <w:rPr>
          <w:sz w:val="22"/>
          <w:szCs w:val="22"/>
        </w:rPr>
        <w:t>respirator masks</w:t>
      </w:r>
      <w:bookmarkEnd w:id="3"/>
      <w:r w:rsidRPr="00C270FA">
        <w:rPr>
          <w:sz w:val="22"/>
          <w:szCs w:val="22"/>
        </w:rPr>
        <w:t xml:space="preserve">. The fabric consisted of </w:t>
      </w:r>
      <w:r w:rsidR="00D665D9" w:rsidRPr="00C270FA">
        <w:rPr>
          <w:sz w:val="22"/>
          <w:szCs w:val="22"/>
        </w:rPr>
        <w:t>small-</w:t>
      </w:r>
      <w:r w:rsidRPr="00C270FA">
        <w:rPr>
          <w:sz w:val="22"/>
          <w:szCs w:val="22"/>
        </w:rPr>
        <w:t>diameter filaments that provided highly effective filtration properties. Melt</w:t>
      </w:r>
      <w:r w:rsidR="00D665D9" w:rsidRPr="00C270FA">
        <w:rPr>
          <w:sz w:val="22"/>
          <w:szCs w:val="22"/>
        </w:rPr>
        <w:t>-</w:t>
      </w:r>
      <w:r w:rsidRPr="00C270FA">
        <w:rPr>
          <w:sz w:val="22"/>
          <w:szCs w:val="22"/>
        </w:rPr>
        <w:t>blown was manufactured by a continuous process that used a stream of high-velocity air to blow molten polymer resin from an extruder onto a conveyor</w:t>
      </w:r>
      <w:r w:rsidR="00D665D9" w:rsidRPr="00C270FA">
        <w:rPr>
          <w:sz w:val="22"/>
          <w:szCs w:val="22"/>
        </w:rPr>
        <w:t>,</w:t>
      </w:r>
      <w:r w:rsidRPr="00C270FA">
        <w:rPr>
          <w:sz w:val="22"/>
          <w:szCs w:val="22"/>
        </w:rPr>
        <w:t xml:space="preserve"> where it was collected and wound into rolls. The basic components of the process were the resin feed system, extruder, melt</w:t>
      </w:r>
      <w:r w:rsidR="009E29B7" w:rsidRPr="00C270FA">
        <w:rPr>
          <w:sz w:val="22"/>
          <w:szCs w:val="22"/>
        </w:rPr>
        <w:t>-</w:t>
      </w:r>
      <w:r w:rsidRPr="00C270FA">
        <w:rPr>
          <w:sz w:val="22"/>
          <w:szCs w:val="22"/>
        </w:rPr>
        <w:t>blown die, metering pump, collector, and roller unit. As the melt</w:t>
      </w:r>
      <w:r w:rsidR="009E29B7" w:rsidRPr="00C270FA">
        <w:rPr>
          <w:sz w:val="22"/>
          <w:szCs w:val="22"/>
        </w:rPr>
        <w:t>-</w:t>
      </w:r>
      <w:r w:rsidRPr="00C270FA">
        <w:rPr>
          <w:sz w:val="22"/>
          <w:szCs w:val="22"/>
        </w:rPr>
        <w:t>blown material emerged from the extruder die, it solidified on the collector</w:t>
      </w:r>
      <w:r w:rsidR="00D665D9" w:rsidRPr="00C270FA">
        <w:rPr>
          <w:sz w:val="22"/>
          <w:szCs w:val="22"/>
        </w:rPr>
        <w:t>,</w:t>
      </w:r>
      <w:r w:rsidRPr="00C270FA">
        <w:rPr>
          <w:sz w:val="22"/>
          <w:szCs w:val="22"/>
        </w:rPr>
        <w:t xml:space="preserve"> forming fib</w:t>
      </w:r>
      <w:r w:rsidR="00D665D9" w:rsidRPr="00C270FA">
        <w:rPr>
          <w:sz w:val="22"/>
          <w:szCs w:val="22"/>
        </w:rPr>
        <w:t>r</w:t>
      </w:r>
      <w:r w:rsidRPr="00C270FA">
        <w:rPr>
          <w:sz w:val="22"/>
          <w:szCs w:val="22"/>
        </w:rPr>
        <w:t xml:space="preserve">es. The random </w:t>
      </w:r>
      <w:r w:rsidR="00404184" w:rsidRPr="00C270FA">
        <w:rPr>
          <w:sz w:val="22"/>
          <w:szCs w:val="22"/>
        </w:rPr>
        <w:t xml:space="preserve">fibre </w:t>
      </w:r>
      <w:r w:rsidRPr="00C270FA">
        <w:rPr>
          <w:sz w:val="22"/>
          <w:szCs w:val="22"/>
        </w:rPr>
        <w:t xml:space="preserve">structure from the extrusion process, together with the density and fine </w:t>
      </w:r>
      <w:r w:rsidR="00404184" w:rsidRPr="00C270FA">
        <w:rPr>
          <w:sz w:val="22"/>
          <w:szCs w:val="22"/>
        </w:rPr>
        <w:t xml:space="preserve">fibre </w:t>
      </w:r>
      <w:r w:rsidRPr="00C270FA">
        <w:rPr>
          <w:sz w:val="22"/>
          <w:szCs w:val="22"/>
        </w:rPr>
        <w:t xml:space="preserve">size, provided an effective filter for small particles. </w:t>
      </w:r>
    </w:p>
    <w:p w14:paraId="585BA5A5" w14:textId="77777777" w:rsidR="008452D2" w:rsidRPr="00C270FA" w:rsidRDefault="008452D2" w:rsidP="00605009">
      <w:pPr>
        <w:pStyle w:val="xmsonormal"/>
        <w:shd w:val="clear" w:color="auto" w:fill="FFFFFF"/>
        <w:spacing w:before="0" w:beforeAutospacing="0" w:after="0" w:afterAutospacing="0"/>
        <w:jc w:val="both"/>
        <w:rPr>
          <w:sz w:val="22"/>
          <w:szCs w:val="22"/>
        </w:rPr>
      </w:pPr>
    </w:p>
    <w:p w14:paraId="4EEE847B" w14:textId="62B5FDA6" w:rsidR="008452D2" w:rsidRPr="00C270FA" w:rsidRDefault="008452D2" w:rsidP="00605009">
      <w:pPr>
        <w:pStyle w:val="xmsonormal"/>
        <w:shd w:val="clear" w:color="auto" w:fill="FFFFFF"/>
        <w:spacing w:before="0" w:beforeAutospacing="0" w:after="0" w:afterAutospacing="0"/>
        <w:jc w:val="both"/>
        <w:rPr>
          <w:spacing w:val="-4"/>
          <w:kern w:val="22"/>
          <w:sz w:val="22"/>
          <w:szCs w:val="22"/>
        </w:rPr>
      </w:pPr>
      <w:r w:rsidRPr="00C270FA">
        <w:rPr>
          <w:spacing w:val="-4"/>
          <w:kern w:val="22"/>
          <w:sz w:val="22"/>
          <w:szCs w:val="22"/>
        </w:rPr>
        <w:t>The filtration properties of melt</w:t>
      </w:r>
      <w:r w:rsidR="009E29B7" w:rsidRPr="00C270FA">
        <w:rPr>
          <w:spacing w:val="-4"/>
          <w:kern w:val="22"/>
          <w:sz w:val="22"/>
          <w:szCs w:val="22"/>
        </w:rPr>
        <w:t>-</w:t>
      </w:r>
      <w:r w:rsidRPr="00C270FA">
        <w:rPr>
          <w:spacing w:val="-4"/>
          <w:kern w:val="22"/>
          <w:sz w:val="22"/>
          <w:szCs w:val="22"/>
        </w:rPr>
        <w:t xml:space="preserve">blown </w:t>
      </w:r>
      <w:r w:rsidR="009E29B7" w:rsidRPr="00C270FA">
        <w:rPr>
          <w:spacing w:val="-4"/>
          <w:kern w:val="22"/>
          <w:sz w:val="22"/>
          <w:szCs w:val="22"/>
        </w:rPr>
        <w:t xml:space="preserve">fibre </w:t>
      </w:r>
      <w:r w:rsidRPr="00C270FA">
        <w:rPr>
          <w:spacing w:val="-4"/>
          <w:kern w:val="22"/>
          <w:sz w:val="22"/>
          <w:szCs w:val="22"/>
        </w:rPr>
        <w:t>had applications in a variety of industries, including the food, industrial, consumer products</w:t>
      </w:r>
      <w:r w:rsidR="00404184" w:rsidRPr="00C270FA">
        <w:rPr>
          <w:spacing w:val="-4"/>
          <w:kern w:val="22"/>
          <w:sz w:val="22"/>
          <w:szCs w:val="22"/>
        </w:rPr>
        <w:t>,</w:t>
      </w:r>
      <w:r w:rsidRPr="00C270FA">
        <w:rPr>
          <w:spacing w:val="-4"/>
          <w:kern w:val="22"/>
          <w:sz w:val="22"/>
          <w:szCs w:val="22"/>
        </w:rPr>
        <w:t xml:space="preserve"> and medical sectors. Differences in fabric density, based on the intended application, could be achieved by varying the speed of the collector and the distance between the die and </w:t>
      </w:r>
      <w:r w:rsidR="00404184" w:rsidRPr="00C270FA">
        <w:rPr>
          <w:spacing w:val="-4"/>
          <w:kern w:val="22"/>
          <w:sz w:val="22"/>
          <w:szCs w:val="22"/>
        </w:rPr>
        <w:t xml:space="preserve">the </w:t>
      </w:r>
      <w:r w:rsidRPr="00C270FA">
        <w:rPr>
          <w:spacing w:val="-4"/>
          <w:kern w:val="22"/>
          <w:sz w:val="22"/>
          <w:szCs w:val="22"/>
        </w:rPr>
        <w:t>collector. For example, respirator masks used three to four times more melt</w:t>
      </w:r>
      <w:r w:rsidR="009E29B7" w:rsidRPr="00C270FA">
        <w:rPr>
          <w:spacing w:val="-4"/>
          <w:kern w:val="22"/>
          <w:sz w:val="22"/>
          <w:szCs w:val="22"/>
        </w:rPr>
        <w:t>-</w:t>
      </w:r>
      <w:r w:rsidRPr="00C270FA">
        <w:rPr>
          <w:spacing w:val="-4"/>
          <w:kern w:val="22"/>
          <w:sz w:val="22"/>
          <w:szCs w:val="22"/>
        </w:rPr>
        <w:t>blown material than surgical masks.</w:t>
      </w:r>
    </w:p>
    <w:p w14:paraId="2F5D3ED9" w14:textId="77777777" w:rsidR="008452D2" w:rsidRPr="00C270FA" w:rsidRDefault="008452D2" w:rsidP="00605009">
      <w:pPr>
        <w:pStyle w:val="xmsonormal"/>
        <w:shd w:val="clear" w:color="auto" w:fill="FFFFFF"/>
        <w:spacing w:before="0" w:beforeAutospacing="0" w:after="0" w:afterAutospacing="0"/>
        <w:jc w:val="both"/>
        <w:rPr>
          <w:sz w:val="22"/>
          <w:szCs w:val="22"/>
        </w:rPr>
      </w:pPr>
    </w:p>
    <w:p w14:paraId="2740CE58" w14:textId="70F449EF" w:rsidR="008452D2" w:rsidRPr="00C270FA" w:rsidRDefault="008452D2" w:rsidP="00605009">
      <w:pPr>
        <w:pStyle w:val="xmsonormal"/>
        <w:shd w:val="clear" w:color="auto" w:fill="FFFFFF"/>
        <w:spacing w:before="0" w:beforeAutospacing="0" w:after="0" w:afterAutospacing="0"/>
        <w:jc w:val="both"/>
        <w:rPr>
          <w:sz w:val="22"/>
          <w:szCs w:val="22"/>
        </w:rPr>
      </w:pPr>
      <w:r w:rsidRPr="00C270FA">
        <w:rPr>
          <w:sz w:val="22"/>
          <w:szCs w:val="22"/>
        </w:rPr>
        <w:t>Medical masks were produced using automated mask</w:t>
      </w:r>
      <w:r w:rsidR="00B10BA1" w:rsidRPr="00C270FA">
        <w:rPr>
          <w:sz w:val="22"/>
          <w:szCs w:val="22"/>
        </w:rPr>
        <w:t>-</w:t>
      </w:r>
      <w:r w:rsidRPr="00C270FA">
        <w:rPr>
          <w:sz w:val="22"/>
          <w:szCs w:val="22"/>
        </w:rPr>
        <w:t xml:space="preserve">making machines that assembled three layers of nonwoven material. The inner layer was designed to absorb moisture created </w:t>
      </w:r>
      <w:r w:rsidR="00AA09F3" w:rsidRPr="00C270FA">
        <w:rPr>
          <w:sz w:val="22"/>
          <w:szCs w:val="22"/>
        </w:rPr>
        <w:t xml:space="preserve">as the wearer exhaled, </w:t>
      </w:r>
      <w:r w:rsidRPr="00C270FA">
        <w:rPr>
          <w:sz w:val="22"/>
          <w:szCs w:val="22"/>
        </w:rPr>
        <w:t xml:space="preserve">and the outer layer served as </w:t>
      </w:r>
      <w:r w:rsidR="00AA09F3" w:rsidRPr="00C270FA">
        <w:rPr>
          <w:sz w:val="22"/>
          <w:szCs w:val="22"/>
        </w:rPr>
        <w:t xml:space="preserve">a </w:t>
      </w:r>
      <w:r w:rsidRPr="00C270FA">
        <w:rPr>
          <w:sz w:val="22"/>
          <w:szCs w:val="22"/>
        </w:rPr>
        <w:t>moisture barrier to block aerosolized particles expelled by other individuals. Inserted between the inner and outer layers was a middle layer of melt</w:t>
      </w:r>
      <w:r w:rsidR="009E29B7" w:rsidRPr="00C270FA">
        <w:rPr>
          <w:sz w:val="22"/>
          <w:szCs w:val="22"/>
        </w:rPr>
        <w:t>-</w:t>
      </w:r>
      <w:r w:rsidRPr="00C270FA">
        <w:rPr>
          <w:sz w:val="22"/>
          <w:szCs w:val="22"/>
        </w:rPr>
        <w:t>blown material that served as a filter. Additional steps of the mask making process included</w:t>
      </w:r>
      <w:r w:rsidR="00AA09F3" w:rsidRPr="00C270FA">
        <w:rPr>
          <w:sz w:val="22"/>
          <w:szCs w:val="22"/>
        </w:rPr>
        <w:t xml:space="preserve"> (</w:t>
      </w:r>
      <w:r w:rsidRPr="00C270FA">
        <w:rPr>
          <w:sz w:val="22"/>
          <w:szCs w:val="22"/>
        </w:rPr>
        <w:t xml:space="preserve">1) </w:t>
      </w:r>
      <w:r w:rsidR="00AA09F3" w:rsidRPr="00C270FA">
        <w:rPr>
          <w:sz w:val="22"/>
          <w:szCs w:val="22"/>
        </w:rPr>
        <w:t>attaching</w:t>
      </w:r>
      <w:r w:rsidRPr="00C270FA">
        <w:rPr>
          <w:sz w:val="22"/>
          <w:szCs w:val="22"/>
        </w:rPr>
        <w:t xml:space="preserve"> a metal or plastic nose strip</w:t>
      </w:r>
      <w:r w:rsidR="00AA09F3" w:rsidRPr="00C270FA">
        <w:rPr>
          <w:sz w:val="22"/>
          <w:szCs w:val="22"/>
        </w:rPr>
        <w:t>, which</w:t>
      </w:r>
      <w:r w:rsidRPr="00C270FA">
        <w:rPr>
          <w:sz w:val="22"/>
          <w:szCs w:val="22"/>
        </w:rPr>
        <w:t xml:space="preserve"> allowed the wearer to improve the mask seal; </w:t>
      </w:r>
      <w:r w:rsidR="00AA09F3" w:rsidRPr="00C270FA">
        <w:rPr>
          <w:sz w:val="22"/>
          <w:szCs w:val="22"/>
        </w:rPr>
        <w:t>(</w:t>
      </w:r>
      <w:r w:rsidRPr="00C270FA">
        <w:rPr>
          <w:sz w:val="22"/>
          <w:szCs w:val="22"/>
        </w:rPr>
        <w:t xml:space="preserve">2) </w:t>
      </w:r>
      <w:r w:rsidR="00AA09F3" w:rsidRPr="00C270FA">
        <w:rPr>
          <w:sz w:val="22"/>
          <w:szCs w:val="22"/>
        </w:rPr>
        <w:t>adding</w:t>
      </w:r>
      <w:r w:rsidRPr="00C270FA">
        <w:rPr>
          <w:sz w:val="22"/>
          <w:szCs w:val="22"/>
        </w:rPr>
        <w:t xml:space="preserve"> folds and pleats</w:t>
      </w:r>
      <w:r w:rsidR="00AA09F3" w:rsidRPr="00C270FA">
        <w:rPr>
          <w:sz w:val="22"/>
          <w:szCs w:val="22"/>
        </w:rPr>
        <w:t>, which</w:t>
      </w:r>
      <w:r w:rsidRPr="00C270FA">
        <w:rPr>
          <w:sz w:val="22"/>
          <w:szCs w:val="22"/>
        </w:rPr>
        <w:t xml:space="preserve"> </w:t>
      </w:r>
      <w:r w:rsidR="00EE538F" w:rsidRPr="00C270FA">
        <w:rPr>
          <w:sz w:val="22"/>
          <w:szCs w:val="22"/>
        </w:rPr>
        <w:t xml:space="preserve">made it possible to </w:t>
      </w:r>
      <w:r w:rsidRPr="00C270FA">
        <w:rPr>
          <w:sz w:val="22"/>
          <w:szCs w:val="22"/>
        </w:rPr>
        <w:t xml:space="preserve">adjust a standard mask to suit different wearers; </w:t>
      </w:r>
      <w:r w:rsidR="00EE538F" w:rsidRPr="00C270FA">
        <w:rPr>
          <w:sz w:val="22"/>
          <w:szCs w:val="22"/>
        </w:rPr>
        <w:t>(</w:t>
      </w:r>
      <w:r w:rsidRPr="00C270FA">
        <w:rPr>
          <w:sz w:val="22"/>
          <w:szCs w:val="22"/>
        </w:rPr>
        <w:t xml:space="preserve">3) cutting to size and stitching the three layers together; </w:t>
      </w:r>
      <w:r w:rsidR="00EE538F" w:rsidRPr="00C270FA">
        <w:rPr>
          <w:sz w:val="22"/>
          <w:szCs w:val="22"/>
        </w:rPr>
        <w:t>(</w:t>
      </w:r>
      <w:r w:rsidRPr="00C270FA">
        <w:rPr>
          <w:sz w:val="22"/>
          <w:szCs w:val="22"/>
        </w:rPr>
        <w:t xml:space="preserve">4) </w:t>
      </w:r>
      <w:r w:rsidR="00EE538F" w:rsidRPr="00C270FA">
        <w:rPr>
          <w:sz w:val="22"/>
          <w:szCs w:val="22"/>
        </w:rPr>
        <w:t>attaching</w:t>
      </w:r>
      <w:r w:rsidRPr="00C270FA">
        <w:rPr>
          <w:sz w:val="22"/>
          <w:szCs w:val="22"/>
        </w:rPr>
        <w:t xml:space="preserve"> ear loops; </w:t>
      </w:r>
      <w:r w:rsidR="00EE538F" w:rsidRPr="00C270FA">
        <w:rPr>
          <w:sz w:val="22"/>
          <w:szCs w:val="22"/>
        </w:rPr>
        <w:t>(</w:t>
      </w:r>
      <w:r w:rsidRPr="00C270FA">
        <w:rPr>
          <w:sz w:val="22"/>
          <w:szCs w:val="22"/>
        </w:rPr>
        <w:t xml:space="preserve">5) </w:t>
      </w:r>
      <w:r w:rsidR="00EE538F" w:rsidRPr="00C270FA">
        <w:rPr>
          <w:sz w:val="22"/>
          <w:szCs w:val="22"/>
        </w:rPr>
        <w:t>disinfecting</w:t>
      </w:r>
      <w:r w:rsidRPr="00C270FA">
        <w:rPr>
          <w:sz w:val="22"/>
          <w:szCs w:val="22"/>
        </w:rPr>
        <w:t xml:space="preserve">; and </w:t>
      </w:r>
      <w:r w:rsidR="00EE538F" w:rsidRPr="00C270FA">
        <w:rPr>
          <w:sz w:val="22"/>
          <w:szCs w:val="22"/>
        </w:rPr>
        <w:t>(</w:t>
      </w:r>
      <w:r w:rsidRPr="00C270FA">
        <w:rPr>
          <w:sz w:val="22"/>
          <w:szCs w:val="22"/>
        </w:rPr>
        <w:t>6) packaging. A standard mask-making machine had a capacity of 100 masks per minute.</w:t>
      </w:r>
    </w:p>
    <w:p w14:paraId="66C55713" w14:textId="3BAA5A7B" w:rsidR="00EC6008" w:rsidRPr="00C270FA" w:rsidRDefault="00EC6008" w:rsidP="00605009">
      <w:pPr>
        <w:pStyle w:val="xmsonormal"/>
        <w:shd w:val="clear" w:color="auto" w:fill="FFFFFF"/>
        <w:spacing w:before="0" w:beforeAutospacing="0" w:after="0" w:afterAutospacing="0"/>
        <w:jc w:val="both"/>
        <w:rPr>
          <w:sz w:val="22"/>
          <w:szCs w:val="22"/>
        </w:rPr>
      </w:pPr>
    </w:p>
    <w:p w14:paraId="115DEDB7" w14:textId="77777777" w:rsidR="00EC6008" w:rsidRPr="00C270FA" w:rsidRDefault="00EC6008" w:rsidP="00605009">
      <w:pPr>
        <w:pStyle w:val="xmsonormal"/>
        <w:shd w:val="clear" w:color="auto" w:fill="FFFFFF"/>
        <w:spacing w:before="0" w:beforeAutospacing="0" w:after="0" w:afterAutospacing="0"/>
        <w:jc w:val="both"/>
        <w:rPr>
          <w:sz w:val="22"/>
          <w:szCs w:val="22"/>
        </w:rPr>
      </w:pPr>
    </w:p>
    <w:p w14:paraId="0006B69D" w14:textId="2B2DACA8" w:rsidR="008452D2" w:rsidRPr="00C270FA" w:rsidRDefault="008452D2" w:rsidP="00CF332E">
      <w:pPr>
        <w:pStyle w:val="Casehead1"/>
        <w:keepNext/>
        <w:keepLines/>
        <w:rPr>
          <w:sz w:val="22"/>
          <w:szCs w:val="22"/>
          <w:lang w:val="en-CA"/>
        </w:rPr>
      </w:pPr>
      <w:r w:rsidRPr="00C270FA">
        <w:rPr>
          <w:lang w:val="en-CA"/>
        </w:rPr>
        <w:lastRenderedPageBreak/>
        <w:t>MELT</w:t>
      </w:r>
      <w:r w:rsidR="00476539" w:rsidRPr="00C270FA">
        <w:rPr>
          <w:lang w:val="en-CA"/>
        </w:rPr>
        <w:t>-</w:t>
      </w:r>
      <w:r w:rsidRPr="00C270FA">
        <w:rPr>
          <w:lang w:val="en-CA"/>
        </w:rPr>
        <w:t xml:space="preserve">BLOWN SUPPLY </w:t>
      </w:r>
    </w:p>
    <w:p w14:paraId="1C985F08" w14:textId="77777777" w:rsidR="008452D2" w:rsidRPr="00C270FA" w:rsidRDefault="008452D2" w:rsidP="00CF332E">
      <w:pPr>
        <w:pStyle w:val="BodyTextMain"/>
        <w:keepNext/>
        <w:keepLines/>
        <w:rPr>
          <w:lang w:val="en-CA"/>
        </w:rPr>
      </w:pPr>
    </w:p>
    <w:p w14:paraId="69C49E47" w14:textId="27F89A37" w:rsidR="00EE538F" w:rsidRPr="00C270FA" w:rsidRDefault="00674DA0" w:rsidP="00CF332E">
      <w:pPr>
        <w:pStyle w:val="BodyTextMain"/>
        <w:keepNext/>
        <w:keepLines/>
        <w:rPr>
          <w:lang w:val="en-CA"/>
        </w:rPr>
      </w:pPr>
      <w:r w:rsidRPr="00C270FA">
        <w:rPr>
          <w:lang w:val="en-CA"/>
        </w:rPr>
        <w:t>A</w:t>
      </w:r>
      <w:r w:rsidR="008452D2" w:rsidRPr="00C270FA">
        <w:rPr>
          <w:lang w:val="en-CA"/>
        </w:rPr>
        <w:t>nnual demand for melt</w:t>
      </w:r>
      <w:r w:rsidRPr="00C270FA">
        <w:rPr>
          <w:lang w:val="en-CA"/>
        </w:rPr>
        <w:t>-</w:t>
      </w:r>
      <w:r w:rsidR="008452D2" w:rsidRPr="00C270FA">
        <w:rPr>
          <w:lang w:val="en-CA"/>
        </w:rPr>
        <w:t xml:space="preserve">blown material at </w:t>
      </w:r>
      <w:proofErr w:type="spellStart"/>
      <w:r w:rsidRPr="00C270FA">
        <w:rPr>
          <w:lang w:val="en-CA"/>
        </w:rPr>
        <w:t>Medicom’s</w:t>
      </w:r>
      <w:proofErr w:type="spellEnd"/>
      <w:r w:rsidRPr="00C270FA">
        <w:rPr>
          <w:lang w:val="en-CA"/>
        </w:rPr>
        <w:t xml:space="preserve"> </w:t>
      </w:r>
      <w:r w:rsidR="008452D2" w:rsidRPr="00C270FA">
        <w:rPr>
          <w:lang w:val="en-CA"/>
        </w:rPr>
        <w:t>plants in Europe and North America</w:t>
      </w:r>
      <w:r w:rsidRPr="00C270FA">
        <w:rPr>
          <w:lang w:val="en-CA"/>
        </w:rPr>
        <w:t xml:space="preserve"> increased dramatically between 2019 and 2021 (see Exhibit 7)</w:t>
      </w:r>
      <w:r w:rsidR="008452D2" w:rsidRPr="00C270FA">
        <w:rPr>
          <w:lang w:val="en-CA"/>
        </w:rPr>
        <w:t xml:space="preserve">. Guillaume explained the effect of increased mask production on raw material sourcing requirements: </w:t>
      </w:r>
    </w:p>
    <w:p w14:paraId="48825B58" w14:textId="77777777" w:rsidR="00EE538F" w:rsidRPr="00C270FA" w:rsidRDefault="00EE538F" w:rsidP="00F53CD4">
      <w:pPr>
        <w:pStyle w:val="BodyTextMain"/>
        <w:rPr>
          <w:lang w:val="en-CA"/>
        </w:rPr>
      </w:pPr>
    </w:p>
    <w:p w14:paraId="1C828004" w14:textId="46486377" w:rsidR="008452D2" w:rsidRPr="00C270FA" w:rsidRDefault="008452D2" w:rsidP="00CF332E">
      <w:pPr>
        <w:pStyle w:val="BodyTextMain"/>
        <w:ind w:left="567"/>
        <w:rPr>
          <w:lang w:val="en-CA"/>
        </w:rPr>
      </w:pPr>
      <w:r w:rsidRPr="00C270FA">
        <w:rPr>
          <w:lang w:val="en-CA"/>
        </w:rPr>
        <w:t>Prior to 2020</w:t>
      </w:r>
      <w:r w:rsidR="002B25DC" w:rsidRPr="00C270FA">
        <w:rPr>
          <w:lang w:val="en-CA"/>
        </w:rPr>
        <w:t>,</w:t>
      </w:r>
      <w:r w:rsidRPr="00C270FA">
        <w:rPr>
          <w:lang w:val="en-CA"/>
        </w:rPr>
        <w:t xml:space="preserve"> melt</w:t>
      </w:r>
      <w:r w:rsidR="00A91263" w:rsidRPr="00C270FA">
        <w:rPr>
          <w:lang w:val="en-CA"/>
        </w:rPr>
        <w:t>-</w:t>
      </w:r>
      <w:r w:rsidRPr="00C270FA">
        <w:rPr>
          <w:lang w:val="en-CA"/>
        </w:rPr>
        <w:t>blown was supplied to our plants in the US, France</w:t>
      </w:r>
      <w:r w:rsidR="00A91263" w:rsidRPr="00C270FA">
        <w:rPr>
          <w:lang w:val="en-CA"/>
        </w:rPr>
        <w:t>,</w:t>
      </w:r>
      <w:r w:rsidRPr="00C270FA">
        <w:rPr>
          <w:lang w:val="en-CA"/>
        </w:rPr>
        <w:t xml:space="preserve"> and China from local suppliers. We had six melt</w:t>
      </w:r>
      <w:r w:rsidR="002B25DC" w:rsidRPr="00C270FA">
        <w:rPr>
          <w:lang w:val="en-CA"/>
        </w:rPr>
        <w:t>-</w:t>
      </w:r>
      <w:r w:rsidRPr="00C270FA">
        <w:rPr>
          <w:lang w:val="en-CA"/>
        </w:rPr>
        <w:t>blown suppliers, with three providing approximately 70 per cent of our total requirements. Presently</w:t>
      </w:r>
      <w:r w:rsidR="00A91263" w:rsidRPr="00C270FA">
        <w:rPr>
          <w:lang w:val="en-CA"/>
        </w:rPr>
        <w:t>,</w:t>
      </w:r>
      <w:r w:rsidRPr="00C270FA">
        <w:rPr>
          <w:lang w:val="en-CA"/>
        </w:rPr>
        <w:t xml:space="preserve"> there is a shortage of melt</w:t>
      </w:r>
      <w:r w:rsidR="00A91263" w:rsidRPr="00C270FA">
        <w:rPr>
          <w:lang w:val="en-CA"/>
        </w:rPr>
        <w:t>-</w:t>
      </w:r>
      <w:r w:rsidRPr="00C270FA">
        <w:rPr>
          <w:lang w:val="en-CA"/>
        </w:rPr>
        <w:t>blown material, and as our production ramped up, we have expanded sourcing to include six new suppliers. Sourcing has become more global, with melt</w:t>
      </w:r>
      <w:r w:rsidR="002B25DC" w:rsidRPr="00C270FA">
        <w:rPr>
          <w:lang w:val="en-CA"/>
        </w:rPr>
        <w:t>-</w:t>
      </w:r>
      <w:r w:rsidRPr="00C270FA">
        <w:rPr>
          <w:lang w:val="en-CA"/>
        </w:rPr>
        <w:t xml:space="preserve">blown suppliers located in Asia, Europe, </w:t>
      </w:r>
      <w:r w:rsidR="002B25DC" w:rsidRPr="00C270FA">
        <w:rPr>
          <w:lang w:val="en-CA"/>
        </w:rPr>
        <w:t xml:space="preserve">the </w:t>
      </w:r>
      <w:r w:rsidRPr="00C270FA">
        <w:rPr>
          <w:lang w:val="en-CA"/>
        </w:rPr>
        <w:t>United States</w:t>
      </w:r>
      <w:r w:rsidR="002B25DC" w:rsidRPr="00C270FA">
        <w:rPr>
          <w:lang w:val="en-CA"/>
        </w:rPr>
        <w:t>,</w:t>
      </w:r>
      <w:r w:rsidRPr="00C270FA">
        <w:rPr>
          <w:lang w:val="en-CA"/>
        </w:rPr>
        <w:t xml:space="preserve"> and Mexico. For example, our plants in Augusta and Montreal could receive melt</w:t>
      </w:r>
      <w:r w:rsidR="002B25DC" w:rsidRPr="00C270FA">
        <w:rPr>
          <w:lang w:val="en-CA"/>
        </w:rPr>
        <w:t>-</w:t>
      </w:r>
      <w:r w:rsidRPr="00C270FA">
        <w:rPr>
          <w:lang w:val="en-CA"/>
        </w:rPr>
        <w:t>blown from suppliers located in North American, Europe</w:t>
      </w:r>
      <w:r w:rsidR="002B25DC" w:rsidRPr="00C270FA">
        <w:rPr>
          <w:lang w:val="en-CA"/>
        </w:rPr>
        <w:t>,</w:t>
      </w:r>
      <w:r w:rsidRPr="00C270FA">
        <w:rPr>
          <w:lang w:val="en-CA"/>
        </w:rPr>
        <w:t xml:space="preserve"> or Asia, depending on the availability and cost</w:t>
      </w:r>
      <w:r w:rsidR="00EE538F" w:rsidRPr="00C270FA">
        <w:rPr>
          <w:lang w:val="en-CA"/>
        </w:rPr>
        <w:t xml:space="preserve">. </w:t>
      </w:r>
    </w:p>
    <w:p w14:paraId="5575CCDA" w14:textId="77777777" w:rsidR="008452D2" w:rsidRPr="00C270FA" w:rsidRDefault="008452D2" w:rsidP="00F53CD4">
      <w:pPr>
        <w:pStyle w:val="BodyTextMain"/>
        <w:rPr>
          <w:lang w:val="en-CA"/>
        </w:rPr>
      </w:pPr>
    </w:p>
    <w:p w14:paraId="2340B844" w14:textId="56732DCC" w:rsidR="008452D2" w:rsidRPr="00C270FA" w:rsidRDefault="008452D2" w:rsidP="00F53CD4">
      <w:pPr>
        <w:pStyle w:val="BodyTextMain"/>
        <w:rPr>
          <w:lang w:val="en-CA"/>
        </w:rPr>
      </w:pPr>
      <w:r w:rsidRPr="00C270FA">
        <w:rPr>
          <w:lang w:val="en-CA"/>
        </w:rPr>
        <w:t>The supply problem for me</w:t>
      </w:r>
      <w:r w:rsidR="00CF332E" w:rsidRPr="00C270FA">
        <w:rPr>
          <w:lang w:val="en-CA"/>
        </w:rPr>
        <w:t>lt-</w:t>
      </w:r>
      <w:r w:rsidRPr="00C270FA">
        <w:rPr>
          <w:lang w:val="en-CA"/>
        </w:rPr>
        <w:t xml:space="preserve">blown was particularly acute in Canada, as </w:t>
      </w:r>
      <w:r w:rsidR="00E2298A" w:rsidRPr="00C270FA">
        <w:rPr>
          <w:lang w:val="en-CA"/>
        </w:rPr>
        <w:t xml:space="preserve">Ronald </w:t>
      </w:r>
      <w:r w:rsidRPr="00C270FA">
        <w:rPr>
          <w:lang w:val="en-CA"/>
        </w:rPr>
        <w:t>described: “We face different challenges in Canada. We have negotiated a 10-year agreement with the federal government to supply masks, but Canada is the only G7 country that does not have a domestic melt</w:t>
      </w:r>
      <w:r w:rsidR="001E1AE9" w:rsidRPr="00C270FA">
        <w:rPr>
          <w:lang w:val="en-CA"/>
        </w:rPr>
        <w:t>-</w:t>
      </w:r>
      <w:r w:rsidRPr="00C270FA">
        <w:rPr>
          <w:lang w:val="en-CA"/>
        </w:rPr>
        <w:t>blown fibre supplier, creating supply and price risks.”</w:t>
      </w:r>
    </w:p>
    <w:p w14:paraId="04E9BFDB" w14:textId="77777777" w:rsidR="008452D2" w:rsidRPr="00C270FA" w:rsidRDefault="008452D2" w:rsidP="00F53CD4">
      <w:pPr>
        <w:pStyle w:val="BodyTextMain"/>
        <w:rPr>
          <w:lang w:val="en-CA"/>
        </w:rPr>
      </w:pPr>
    </w:p>
    <w:p w14:paraId="1671DC0C" w14:textId="7C8CE4DD" w:rsidR="008452D2" w:rsidRPr="00C270FA" w:rsidRDefault="008452D2" w:rsidP="00F53CD4">
      <w:pPr>
        <w:pStyle w:val="BodyTextMain"/>
        <w:rPr>
          <w:lang w:val="en-CA"/>
        </w:rPr>
      </w:pPr>
      <w:r w:rsidRPr="00C270FA">
        <w:rPr>
          <w:lang w:val="en-CA"/>
        </w:rPr>
        <w:t>In February 2021, prices for melt</w:t>
      </w:r>
      <w:r w:rsidR="001E1AE9" w:rsidRPr="00C270FA">
        <w:rPr>
          <w:lang w:val="en-CA"/>
        </w:rPr>
        <w:t>-</w:t>
      </w:r>
      <w:r w:rsidRPr="00C270FA">
        <w:rPr>
          <w:lang w:val="en-CA"/>
        </w:rPr>
        <w:t xml:space="preserve">blown material were about $8.50 per pound, approximately double what </w:t>
      </w:r>
      <w:proofErr w:type="spellStart"/>
      <w:r w:rsidRPr="00C270FA">
        <w:rPr>
          <w:lang w:val="en-CA"/>
        </w:rPr>
        <w:t>Medicom</w:t>
      </w:r>
      <w:proofErr w:type="spellEnd"/>
      <w:r w:rsidRPr="00C270FA">
        <w:rPr>
          <w:lang w:val="en-CA"/>
        </w:rPr>
        <w:t xml:space="preserve"> had been paying before the COVID-19 pandemic. Suppliers required a 12-month “take-or-pay” contract from customers to assure supply. Guillaume expected that it would be 2023 before prices returned to pre-pandemic levels.</w:t>
      </w:r>
    </w:p>
    <w:p w14:paraId="291387A3" w14:textId="77777777" w:rsidR="008452D2" w:rsidRPr="00C270FA" w:rsidRDefault="008452D2" w:rsidP="00F53CD4">
      <w:pPr>
        <w:pStyle w:val="BodyTextMain"/>
        <w:rPr>
          <w:lang w:val="en-CA"/>
        </w:rPr>
      </w:pPr>
    </w:p>
    <w:p w14:paraId="6D47326F" w14:textId="23FF205B" w:rsidR="00605009" w:rsidRPr="00C270FA" w:rsidRDefault="008452D2" w:rsidP="00F53CD4">
      <w:pPr>
        <w:pStyle w:val="BodyTextMain"/>
        <w:rPr>
          <w:spacing w:val="-2"/>
          <w:kern w:val="22"/>
          <w:lang w:val="en-CA"/>
        </w:rPr>
      </w:pPr>
      <w:r w:rsidRPr="00C270FA">
        <w:rPr>
          <w:spacing w:val="-2"/>
          <w:kern w:val="22"/>
          <w:lang w:val="en-CA"/>
        </w:rPr>
        <w:t xml:space="preserve">Concerned about the risks for supply, especially for the new mask manufacturing plant in Montreal, Ronald asked </w:t>
      </w:r>
      <w:bookmarkStart w:id="4" w:name="_Hlk64901826"/>
      <w:r w:rsidRPr="00C270FA">
        <w:rPr>
          <w:spacing w:val="-2"/>
          <w:kern w:val="22"/>
          <w:lang w:val="en-CA"/>
        </w:rPr>
        <w:t xml:space="preserve">Guillaume </w:t>
      </w:r>
      <w:bookmarkEnd w:id="4"/>
      <w:r w:rsidRPr="00C270FA">
        <w:rPr>
          <w:spacing w:val="-2"/>
          <w:kern w:val="22"/>
          <w:lang w:val="en-CA"/>
        </w:rPr>
        <w:t>to evaluate the alternative of opening a plant to produce melt</w:t>
      </w:r>
      <w:r w:rsidR="001E1AE9" w:rsidRPr="00C270FA">
        <w:rPr>
          <w:spacing w:val="-2"/>
          <w:kern w:val="22"/>
          <w:lang w:val="en-CA"/>
        </w:rPr>
        <w:t>-</w:t>
      </w:r>
      <w:r w:rsidRPr="00C270FA">
        <w:rPr>
          <w:spacing w:val="-2"/>
          <w:kern w:val="22"/>
          <w:lang w:val="en-CA"/>
        </w:rPr>
        <w:t xml:space="preserve">blown material. </w:t>
      </w:r>
      <w:r w:rsidR="001E1AE9" w:rsidRPr="00C270FA">
        <w:rPr>
          <w:spacing w:val="-2"/>
          <w:kern w:val="22"/>
          <w:lang w:val="en-CA"/>
        </w:rPr>
        <w:t>T</w:t>
      </w:r>
      <w:r w:rsidRPr="00C270FA">
        <w:rPr>
          <w:spacing w:val="-2"/>
          <w:kern w:val="22"/>
          <w:lang w:val="en-CA"/>
        </w:rPr>
        <w:t xml:space="preserve">he plant would </w:t>
      </w:r>
      <w:r w:rsidR="001E1AE9" w:rsidRPr="00C270FA">
        <w:rPr>
          <w:spacing w:val="-2"/>
          <w:kern w:val="22"/>
          <w:lang w:val="en-CA"/>
        </w:rPr>
        <w:t xml:space="preserve">initially </w:t>
      </w:r>
      <w:r w:rsidRPr="00C270FA">
        <w:rPr>
          <w:spacing w:val="-2"/>
          <w:kern w:val="22"/>
          <w:lang w:val="en-CA"/>
        </w:rPr>
        <w:t xml:space="preserve">support </w:t>
      </w:r>
      <w:proofErr w:type="spellStart"/>
      <w:r w:rsidRPr="00C270FA">
        <w:rPr>
          <w:spacing w:val="-2"/>
          <w:kern w:val="22"/>
          <w:lang w:val="en-CA"/>
        </w:rPr>
        <w:t>Medicom’s</w:t>
      </w:r>
      <w:proofErr w:type="spellEnd"/>
      <w:r w:rsidRPr="00C270FA">
        <w:rPr>
          <w:spacing w:val="-2"/>
          <w:kern w:val="22"/>
          <w:lang w:val="en-CA"/>
        </w:rPr>
        <w:t xml:space="preserve"> Canadian requirements </w:t>
      </w:r>
      <w:r w:rsidR="00841CCE" w:rsidRPr="00C270FA">
        <w:rPr>
          <w:spacing w:val="-2"/>
          <w:kern w:val="22"/>
          <w:lang w:val="en-CA"/>
        </w:rPr>
        <w:t xml:space="preserve">and would have </w:t>
      </w:r>
      <w:r w:rsidRPr="00C270FA">
        <w:rPr>
          <w:spacing w:val="-2"/>
          <w:kern w:val="22"/>
          <w:lang w:val="en-CA"/>
        </w:rPr>
        <w:t xml:space="preserve">the option </w:t>
      </w:r>
      <w:r w:rsidR="00841CCE" w:rsidRPr="00C270FA">
        <w:rPr>
          <w:spacing w:val="-2"/>
          <w:kern w:val="22"/>
          <w:lang w:val="en-CA"/>
        </w:rPr>
        <w:t xml:space="preserve">of </w:t>
      </w:r>
      <w:r w:rsidRPr="00C270FA">
        <w:rPr>
          <w:spacing w:val="-2"/>
          <w:kern w:val="22"/>
          <w:lang w:val="en-CA"/>
        </w:rPr>
        <w:t>expand</w:t>
      </w:r>
      <w:r w:rsidR="00841CCE" w:rsidRPr="00C270FA">
        <w:rPr>
          <w:spacing w:val="-2"/>
          <w:kern w:val="22"/>
          <w:lang w:val="en-CA"/>
        </w:rPr>
        <w:t>ing</w:t>
      </w:r>
      <w:r w:rsidRPr="00C270FA">
        <w:rPr>
          <w:spacing w:val="-2"/>
          <w:kern w:val="22"/>
          <w:lang w:val="en-CA"/>
        </w:rPr>
        <w:t xml:space="preserve"> capacity to support requirements at </w:t>
      </w:r>
      <w:r w:rsidR="00841CCE" w:rsidRPr="00C270FA">
        <w:rPr>
          <w:spacing w:val="-2"/>
          <w:kern w:val="22"/>
          <w:lang w:val="en-CA"/>
        </w:rPr>
        <w:t xml:space="preserve">the company’s </w:t>
      </w:r>
      <w:r w:rsidRPr="00C270FA">
        <w:rPr>
          <w:spacing w:val="-2"/>
          <w:kern w:val="22"/>
          <w:lang w:val="en-CA"/>
        </w:rPr>
        <w:t>plants in the U</w:t>
      </w:r>
      <w:r w:rsidR="001E1AE9" w:rsidRPr="00C270FA">
        <w:rPr>
          <w:spacing w:val="-2"/>
          <w:kern w:val="22"/>
          <w:lang w:val="en-CA"/>
        </w:rPr>
        <w:t xml:space="preserve">nited </w:t>
      </w:r>
      <w:r w:rsidRPr="00C270FA">
        <w:rPr>
          <w:spacing w:val="-2"/>
          <w:kern w:val="22"/>
          <w:lang w:val="en-CA"/>
        </w:rPr>
        <w:t>S</w:t>
      </w:r>
      <w:r w:rsidR="001E1AE9" w:rsidRPr="00C270FA">
        <w:rPr>
          <w:spacing w:val="-2"/>
          <w:kern w:val="22"/>
          <w:lang w:val="en-CA"/>
        </w:rPr>
        <w:t xml:space="preserve">tates </w:t>
      </w:r>
      <w:r w:rsidRPr="00C270FA">
        <w:rPr>
          <w:spacing w:val="-2"/>
          <w:kern w:val="22"/>
          <w:lang w:val="en-CA"/>
        </w:rPr>
        <w:t>and Europe. Guillaume commissioned a study to examine the capital costs for the plant</w:t>
      </w:r>
      <w:r w:rsidR="00841CCE" w:rsidRPr="00C270FA">
        <w:rPr>
          <w:spacing w:val="-2"/>
          <w:kern w:val="22"/>
          <w:lang w:val="en-CA"/>
        </w:rPr>
        <w:t>—</w:t>
      </w:r>
      <w:r w:rsidRPr="00C270FA">
        <w:rPr>
          <w:spacing w:val="-2"/>
          <w:kern w:val="22"/>
          <w:lang w:val="en-CA"/>
        </w:rPr>
        <w:t>including land, building</w:t>
      </w:r>
      <w:r w:rsidR="00841CCE" w:rsidRPr="00C270FA">
        <w:rPr>
          <w:spacing w:val="-2"/>
          <w:kern w:val="22"/>
          <w:lang w:val="en-CA"/>
        </w:rPr>
        <w:t>,</w:t>
      </w:r>
      <w:r w:rsidRPr="00C270FA">
        <w:rPr>
          <w:spacing w:val="-2"/>
          <w:kern w:val="22"/>
          <w:lang w:val="en-CA"/>
        </w:rPr>
        <w:t xml:space="preserve"> and equipment</w:t>
      </w:r>
      <w:r w:rsidR="00841CCE" w:rsidRPr="00C270FA">
        <w:rPr>
          <w:spacing w:val="-2"/>
          <w:kern w:val="22"/>
          <w:lang w:val="en-CA"/>
        </w:rPr>
        <w:t>—</w:t>
      </w:r>
      <w:r w:rsidRPr="00C270FA">
        <w:rPr>
          <w:spacing w:val="-2"/>
          <w:kern w:val="22"/>
          <w:lang w:val="en-CA"/>
        </w:rPr>
        <w:t xml:space="preserve">and the operating costs (see Exhibit 8). The Canadian government was prepared to provide financial support for a portion of the capital investment. The report showed that a plant with </w:t>
      </w:r>
      <w:r w:rsidR="00841CCE" w:rsidRPr="00C270FA">
        <w:rPr>
          <w:spacing w:val="-2"/>
          <w:kern w:val="22"/>
          <w:lang w:val="en-CA"/>
        </w:rPr>
        <w:t xml:space="preserve">an </w:t>
      </w:r>
      <w:r w:rsidRPr="00C270FA">
        <w:rPr>
          <w:spacing w:val="-2"/>
          <w:kern w:val="22"/>
          <w:lang w:val="en-CA"/>
        </w:rPr>
        <w:t xml:space="preserve">initial annual capacity of 480 tonnes would cost </w:t>
      </w:r>
      <w:proofErr w:type="spellStart"/>
      <w:r w:rsidRPr="00C270FA">
        <w:rPr>
          <w:spacing w:val="-2"/>
          <w:kern w:val="22"/>
          <w:lang w:val="en-CA"/>
        </w:rPr>
        <w:t>Medicom</w:t>
      </w:r>
      <w:proofErr w:type="spellEnd"/>
      <w:r w:rsidRPr="00C270FA">
        <w:rPr>
          <w:spacing w:val="-2"/>
          <w:kern w:val="22"/>
          <w:lang w:val="en-CA"/>
        </w:rPr>
        <w:t xml:space="preserve"> $7.045 million.</w:t>
      </w:r>
      <w:r w:rsidRPr="00C270FA">
        <w:rPr>
          <w:rStyle w:val="FootnoteReference"/>
          <w:spacing w:val="-2"/>
          <w:kern w:val="22"/>
          <w:lang w:val="en-CA"/>
        </w:rPr>
        <w:footnoteReference w:id="6"/>
      </w:r>
      <w:r w:rsidRPr="00C270FA">
        <w:rPr>
          <w:spacing w:val="-2"/>
          <w:kern w:val="22"/>
          <w:lang w:val="en-CA"/>
        </w:rPr>
        <w:t xml:space="preserve"> The plant could accommodate a maximum of three additional lines, at a cost of $2.575 million each, representing a maximum capacity of 1,920 tonnes per year (see Exhibit 9).</w:t>
      </w:r>
      <w:r w:rsidRPr="00C270FA">
        <w:rPr>
          <w:rStyle w:val="FootnoteReference"/>
          <w:spacing w:val="-2"/>
          <w:kern w:val="22"/>
          <w:lang w:val="en-CA"/>
        </w:rPr>
        <w:footnoteReference w:id="7"/>
      </w:r>
      <w:r w:rsidRPr="00C270FA">
        <w:rPr>
          <w:spacing w:val="-2"/>
          <w:kern w:val="22"/>
          <w:lang w:val="en-CA"/>
        </w:rPr>
        <w:t xml:space="preserve"> </w:t>
      </w:r>
      <w:r w:rsidR="00605009" w:rsidRPr="00C270FA">
        <w:rPr>
          <w:spacing w:val="-2"/>
          <w:kern w:val="22"/>
          <w:lang w:val="en-CA"/>
        </w:rPr>
        <w:t>Guillaume commented</w:t>
      </w:r>
      <w:r w:rsidR="00841CCE" w:rsidRPr="00C270FA">
        <w:rPr>
          <w:spacing w:val="-2"/>
          <w:kern w:val="22"/>
          <w:lang w:val="en-CA"/>
        </w:rPr>
        <w:t>,</w:t>
      </w:r>
      <w:r w:rsidR="00605009" w:rsidRPr="00C270FA">
        <w:rPr>
          <w:spacing w:val="-2"/>
          <w:kern w:val="22"/>
          <w:lang w:val="en-CA"/>
        </w:rPr>
        <w:t xml:space="preserve"> “We expect our internal requirements for North American and Europe will eventually stabilize at 1,000 to 1,200 tonnes per year</w:t>
      </w:r>
      <w:r w:rsidR="00841CCE" w:rsidRPr="00C270FA">
        <w:rPr>
          <w:spacing w:val="-2"/>
          <w:kern w:val="22"/>
          <w:lang w:val="en-CA"/>
        </w:rPr>
        <w:t>,</w:t>
      </w:r>
      <w:r w:rsidR="00605009" w:rsidRPr="00C270FA">
        <w:rPr>
          <w:spacing w:val="-2"/>
          <w:kern w:val="22"/>
          <w:lang w:val="en-CA"/>
        </w:rPr>
        <w:t xml:space="preserve"> after demand from the pandemic subsides. This volume could support at least three lines. Any surplus production could be sold to third parties at prevailing market prices.”</w:t>
      </w:r>
    </w:p>
    <w:p w14:paraId="5F66AB55" w14:textId="77777777" w:rsidR="00605009" w:rsidRPr="00C270FA" w:rsidRDefault="00605009" w:rsidP="00F53CD4">
      <w:pPr>
        <w:pStyle w:val="BodyTextMain"/>
        <w:rPr>
          <w:lang w:val="en-CA"/>
        </w:rPr>
      </w:pPr>
    </w:p>
    <w:p w14:paraId="00C7C203" w14:textId="0D890453" w:rsidR="00605009" w:rsidRPr="00C270FA" w:rsidRDefault="00605009" w:rsidP="00F53CD4">
      <w:pPr>
        <w:pStyle w:val="BodyTextMain"/>
        <w:rPr>
          <w:spacing w:val="-2"/>
          <w:kern w:val="22"/>
          <w:lang w:val="en-CA"/>
        </w:rPr>
      </w:pPr>
      <w:r w:rsidRPr="00C270FA">
        <w:rPr>
          <w:spacing w:val="-2"/>
          <w:kern w:val="22"/>
          <w:lang w:val="en-CA"/>
        </w:rPr>
        <w:t>Raw material, energy</w:t>
      </w:r>
      <w:r w:rsidR="00841CCE" w:rsidRPr="00C270FA">
        <w:rPr>
          <w:spacing w:val="-2"/>
          <w:kern w:val="22"/>
          <w:lang w:val="en-CA"/>
        </w:rPr>
        <w:t>,</w:t>
      </w:r>
      <w:r w:rsidRPr="00C270FA">
        <w:rPr>
          <w:spacing w:val="-2"/>
          <w:kern w:val="22"/>
          <w:lang w:val="en-CA"/>
        </w:rPr>
        <w:t xml:space="preserve"> and labour represented the main production costs. Labour costs were a fixed expense. Sixteen people, including 12 operators, were required to operate the plant, regardless of the production volume and </w:t>
      </w:r>
      <w:r w:rsidR="003A3A58" w:rsidRPr="00C270FA">
        <w:rPr>
          <w:spacing w:val="-2"/>
          <w:kern w:val="22"/>
          <w:lang w:val="en-CA"/>
        </w:rPr>
        <w:t xml:space="preserve">the </w:t>
      </w:r>
      <w:r w:rsidRPr="00C270FA">
        <w:rPr>
          <w:spacing w:val="-2"/>
          <w:kern w:val="22"/>
          <w:lang w:val="en-CA"/>
        </w:rPr>
        <w:t xml:space="preserve">number of lines. Similarly, administrative staff </w:t>
      </w:r>
      <w:r w:rsidR="003A3A58" w:rsidRPr="00C270FA">
        <w:rPr>
          <w:spacing w:val="-2"/>
          <w:kern w:val="22"/>
          <w:lang w:val="en-CA"/>
        </w:rPr>
        <w:t xml:space="preserve">would </w:t>
      </w:r>
      <w:r w:rsidRPr="00C270FA">
        <w:rPr>
          <w:spacing w:val="-2"/>
          <w:kern w:val="22"/>
          <w:lang w:val="en-CA"/>
        </w:rPr>
        <w:t>consist of nine people (see Exhibit 10).</w:t>
      </w:r>
    </w:p>
    <w:p w14:paraId="0A6A904F" w14:textId="77777777" w:rsidR="00605009" w:rsidRPr="00C270FA" w:rsidRDefault="00605009" w:rsidP="00F53CD4">
      <w:pPr>
        <w:pStyle w:val="BodyTextMain"/>
        <w:rPr>
          <w:lang w:val="en-CA"/>
        </w:rPr>
      </w:pPr>
    </w:p>
    <w:p w14:paraId="352EE86A" w14:textId="2E508456" w:rsidR="00605009" w:rsidRPr="00C270FA" w:rsidRDefault="00605009" w:rsidP="00F53CD4">
      <w:pPr>
        <w:pStyle w:val="BodyTextMain"/>
        <w:rPr>
          <w:lang w:val="en-CA"/>
        </w:rPr>
      </w:pPr>
      <w:r w:rsidRPr="00C270FA">
        <w:rPr>
          <w:lang w:val="en-CA"/>
        </w:rPr>
        <w:t xml:space="preserve">Raw material and energy </w:t>
      </w:r>
      <w:r w:rsidR="003A3A58" w:rsidRPr="00C270FA">
        <w:rPr>
          <w:lang w:val="en-CA"/>
        </w:rPr>
        <w:t xml:space="preserve">costs </w:t>
      </w:r>
      <w:r w:rsidRPr="00C270FA">
        <w:rPr>
          <w:lang w:val="en-CA"/>
        </w:rPr>
        <w:t>were variable. Polymer resin was the main raw material used in the production process. Each pound of finished melt</w:t>
      </w:r>
      <w:r w:rsidR="003A3A58" w:rsidRPr="00C270FA">
        <w:rPr>
          <w:lang w:val="en-CA"/>
        </w:rPr>
        <w:t>-</w:t>
      </w:r>
      <w:r w:rsidRPr="00C270FA">
        <w:rPr>
          <w:lang w:val="en-CA"/>
        </w:rPr>
        <w:t>blown product required 1.5 pounds of polymer resin at a cost of $1.10 per pound. Prices of polymer resin fluctuated directly with the price of oil. Production was an energy-intensive process, which represented a cost of $1.20 per pound of finished product.</w:t>
      </w:r>
    </w:p>
    <w:p w14:paraId="61F1B0B4" w14:textId="1014E4F3" w:rsidR="00C270FA" w:rsidRPr="00C270FA" w:rsidRDefault="00C270FA" w:rsidP="00F53CD4">
      <w:pPr>
        <w:pStyle w:val="BodyTextMain"/>
        <w:rPr>
          <w:lang w:val="en-CA"/>
        </w:rPr>
      </w:pPr>
    </w:p>
    <w:p w14:paraId="0CA005EA" w14:textId="77777777" w:rsidR="00C270FA" w:rsidRPr="00C270FA" w:rsidRDefault="00C270FA" w:rsidP="00F53CD4">
      <w:pPr>
        <w:pStyle w:val="BodyTextMain"/>
        <w:rPr>
          <w:lang w:val="en-CA"/>
        </w:rPr>
      </w:pPr>
    </w:p>
    <w:p w14:paraId="7B7DAB41" w14:textId="77777777" w:rsidR="00605009" w:rsidRPr="00C270FA" w:rsidRDefault="00605009" w:rsidP="00F53CD4">
      <w:pPr>
        <w:pStyle w:val="Casehead1"/>
        <w:rPr>
          <w:sz w:val="22"/>
          <w:szCs w:val="22"/>
          <w:lang w:val="en-CA"/>
        </w:rPr>
      </w:pPr>
      <w:r w:rsidRPr="00C270FA">
        <w:rPr>
          <w:lang w:val="en-CA"/>
        </w:rPr>
        <w:lastRenderedPageBreak/>
        <w:t>EVALUATING SUPPLY ALTERNATIVES</w:t>
      </w:r>
    </w:p>
    <w:p w14:paraId="1F1FE79C" w14:textId="77777777" w:rsidR="00605009" w:rsidRPr="00C270FA" w:rsidRDefault="00605009" w:rsidP="00F53CD4">
      <w:pPr>
        <w:pStyle w:val="BodyTextMain"/>
        <w:rPr>
          <w:lang w:val="en-CA"/>
        </w:rPr>
      </w:pPr>
    </w:p>
    <w:p w14:paraId="1BC66969" w14:textId="74345F52" w:rsidR="00BB4ADA" w:rsidRPr="005A0E92" w:rsidRDefault="00605009" w:rsidP="00BB4ADA">
      <w:pPr>
        <w:pStyle w:val="BodyTextMain"/>
        <w:rPr>
          <w:spacing w:val="4"/>
          <w:lang w:val="en-CA"/>
        </w:rPr>
      </w:pPr>
      <w:r w:rsidRPr="005A0E92">
        <w:rPr>
          <w:spacing w:val="4"/>
          <w:lang w:val="en-CA"/>
        </w:rPr>
        <w:t>As Guillaume reviewed the report for a new me</w:t>
      </w:r>
      <w:r w:rsidR="00775F43" w:rsidRPr="005A0E92">
        <w:rPr>
          <w:spacing w:val="4"/>
          <w:lang w:val="en-CA"/>
        </w:rPr>
        <w:t>l</w:t>
      </w:r>
      <w:r w:rsidRPr="005A0E92">
        <w:rPr>
          <w:spacing w:val="4"/>
          <w:lang w:val="en-CA"/>
        </w:rPr>
        <w:t>t</w:t>
      </w:r>
      <w:r w:rsidR="00775F43" w:rsidRPr="005A0E92">
        <w:rPr>
          <w:spacing w:val="4"/>
          <w:lang w:val="en-CA"/>
        </w:rPr>
        <w:t>-</w:t>
      </w:r>
      <w:r w:rsidRPr="005A0E92">
        <w:rPr>
          <w:spacing w:val="4"/>
          <w:lang w:val="en-CA"/>
        </w:rPr>
        <w:t>blown facility, he reflected on the pressures facing the company:</w:t>
      </w:r>
    </w:p>
    <w:p w14:paraId="50D58BB0" w14:textId="77777777" w:rsidR="00BB4ADA" w:rsidRPr="00C270FA" w:rsidRDefault="00BB4ADA" w:rsidP="00BB4ADA">
      <w:pPr>
        <w:pStyle w:val="BodyTextMain"/>
        <w:rPr>
          <w:lang w:val="en-CA"/>
        </w:rPr>
      </w:pPr>
    </w:p>
    <w:p w14:paraId="2604FD0D" w14:textId="25C6A5DB" w:rsidR="00605009" w:rsidRPr="00C270FA" w:rsidRDefault="00605009" w:rsidP="004B67DF">
      <w:pPr>
        <w:pStyle w:val="BodyTextMain"/>
        <w:ind w:left="720"/>
        <w:rPr>
          <w:lang w:val="en-CA"/>
        </w:rPr>
      </w:pPr>
      <w:r w:rsidRPr="00C270FA">
        <w:rPr>
          <w:lang w:val="en-CA"/>
        </w:rPr>
        <w:t xml:space="preserve">We have tripled our global mask manufacturing capacity based on an expectation for continued strong demand. If we get a government order to deliver 100 million masks or 200 million masks, our supply chain must be able to respond without compromising financial performance. One of the lessons from the COVID-19 pandemic is the effect of supply chain disruptions on delivery continuity. Raw material supply represents a potential constraint. In addition to </w:t>
      </w:r>
      <w:r w:rsidR="00775F43" w:rsidRPr="00C270FA">
        <w:rPr>
          <w:lang w:val="en-CA"/>
        </w:rPr>
        <w:t xml:space="preserve">providing </w:t>
      </w:r>
      <w:r w:rsidRPr="00C270FA">
        <w:rPr>
          <w:lang w:val="en-CA"/>
        </w:rPr>
        <w:t>supply chain resiliency, controlling our own melt</w:t>
      </w:r>
      <w:r w:rsidR="00775F43" w:rsidRPr="00C270FA">
        <w:rPr>
          <w:lang w:val="en-CA"/>
        </w:rPr>
        <w:t>-</w:t>
      </w:r>
      <w:r w:rsidRPr="00C270FA">
        <w:rPr>
          <w:lang w:val="en-CA"/>
        </w:rPr>
        <w:t>blown supply will enable us to develop proprietary product and process innovation. However, in-sourcing melt</w:t>
      </w:r>
      <w:r w:rsidR="00775F43" w:rsidRPr="00C270FA">
        <w:rPr>
          <w:lang w:val="en-CA"/>
        </w:rPr>
        <w:t>-</w:t>
      </w:r>
      <w:r w:rsidRPr="00C270FA">
        <w:rPr>
          <w:lang w:val="en-CA"/>
        </w:rPr>
        <w:t>blown production comes with significant costs and risks, including our lack of experience manufacturing this material. A second option is to continue working with our existing suppliers to identify opportunities to reduce risks of disruptions. This approach may involve long-term agreements and holding safety stock inventory. Our industry is characterized by large swings in demand</w:t>
      </w:r>
      <w:r w:rsidR="00775F43" w:rsidRPr="00C270FA">
        <w:rPr>
          <w:lang w:val="en-CA"/>
        </w:rPr>
        <w:t xml:space="preserve">: </w:t>
      </w:r>
      <w:r w:rsidRPr="00C270FA">
        <w:rPr>
          <w:lang w:val="en-CA"/>
        </w:rPr>
        <w:t>how do we remain cost competitive during periods of normal while being agile enough to meet a demand surge during the next global health crisis? It is a tough balancing act.</w:t>
      </w:r>
    </w:p>
    <w:p w14:paraId="286CAA19" w14:textId="77777777" w:rsidR="00605009" w:rsidRPr="00C270FA" w:rsidRDefault="00605009" w:rsidP="00F53CD4">
      <w:pPr>
        <w:pStyle w:val="BodyTextMain"/>
        <w:rPr>
          <w:lang w:val="en-CA"/>
        </w:rPr>
      </w:pPr>
    </w:p>
    <w:p w14:paraId="6BC65AC5" w14:textId="12BC7510" w:rsidR="00605009" w:rsidRPr="00035609" w:rsidRDefault="00605009" w:rsidP="00F53CD4">
      <w:pPr>
        <w:pStyle w:val="BodyTextMain"/>
        <w:rPr>
          <w:lang w:val="en-CA"/>
        </w:rPr>
      </w:pPr>
      <w:r w:rsidRPr="00035609">
        <w:rPr>
          <w:lang w:val="en-CA"/>
        </w:rPr>
        <w:t>Guillaume was scheduled to meet with Ronald on February 24 to discuss alternatives and review his recommendations. He knew that Ronald expected a thorough evaluation of the options before making a final decision.</w:t>
      </w:r>
    </w:p>
    <w:p w14:paraId="05C0115B" w14:textId="51427227" w:rsidR="00F53CD4" w:rsidRPr="00C270FA" w:rsidRDefault="00F53CD4">
      <w:pPr>
        <w:spacing w:after="200" w:line="276" w:lineRule="auto"/>
        <w:rPr>
          <w:sz w:val="22"/>
          <w:szCs w:val="22"/>
          <w:lang w:val="en-CA"/>
        </w:rPr>
      </w:pPr>
      <w:r w:rsidRPr="00C270FA">
        <w:rPr>
          <w:lang w:val="en-CA"/>
        </w:rPr>
        <w:br w:type="page"/>
      </w:r>
    </w:p>
    <w:p w14:paraId="3EDADB81" w14:textId="77777777" w:rsidR="00944BA8" w:rsidRPr="00C270FA" w:rsidRDefault="00944BA8" w:rsidP="00944BA8">
      <w:pPr>
        <w:jc w:val="center"/>
        <w:rPr>
          <w:rFonts w:ascii="Arial" w:hAnsi="Arial" w:cs="Arial"/>
          <w:b/>
          <w:bCs/>
          <w:lang w:val="en-CA"/>
        </w:rPr>
      </w:pPr>
      <w:r w:rsidRPr="00C270FA">
        <w:rPr>
          <w:rFonts w:ascii="Arial" w:hAnsi="Arial" w:cs="Arial"/>
          <w:b/>
          <w:bCs/>
          <w:lang w:val="en-CA"/>
        </w:rPr>
        <w:lastRenderedPageBreak/>
        <w:t>EXHIBIT 1: GLOBAL MARKET FOR HEALTHCARE PPE BY PRODUCT CATEGORY</w:t>
      </w:r>
    </w:p>
    <w:p w14:paraId="6D23A799" w14:textId="777C1843" w:rsidR="00944BA8" w:rsidRPr="00C270FA" w:rsidRDefault="00944BA8" w:rsidP="00944BA8">
      <w:pPr>
        <w:jc w:val="center"/>
        <w:rPr>
          <w:rFonts w:ascii="Arial" w:hAnsi="Arial" w:cs="Arial"/>
          <w:b/>
          <w:bCs/>
          <w:lang w:val="en-CA"/>
        </w:rPr>
      </w:pPr>
      <w:r w:rsidRPr="00C270FA">
        <w:rPr>
          <w:rFonts w:ascii="Arial" w:hAnsi="Arial" w:cs="Arial"/>
          <w:b/>
          <w:bCs/>
          <w:lang w:val="en-CA"/>
        </w:rPr>
        <w:t>(</w:t>
      </w:r>
      <w:r w:rsidR="006749DD" w:rsidRPr="00C270FA">
        <w:rPr>
          <w:rFonts w:ascii="Arial" w:hAnsi="Arial" w:cs="Arial"/>
          <w:b/>
          <w:bCs/>
          <w:lang w:val="en-CA"/>
        </w:rPr>
        <w:t xml:space="preserve">IN </w:t>
      </w:r>
      <w:r w:rsidRPr="00C270FA">
        <w:rPr>
          <w:rFonts w:ascii="Arial" w:hAnsi="Arial" w:cs="Arial"/>
          <w:b/>
          <w:bCs/>
          <w:lang w:val="en-CA"/>
        </w:rPr>
        <w:t>US$ MILLIONS)</w:t>
      </w:r>
    </w:p>
    <w:p w14:paraId="0BE17A38" w14:textId="77777777" w:rsidR="00944BA8" w:rsidRPr="00C270FA" w:rsidRDefault="00944BA8" w:rsidP="00944BA8">
      <w:pPr>
        <w:rPr>
          <w:b/>
          <w:bCs/>
          <w:lang w:val="en-CA"/>
        </w:rPr>
      </w:pPr>
    </w:p>
    <w:tbl>
      <w:tblPr>
        <w:tblStyle w:val="TableGrid"/>
        <w:tblW w:w="0" w:type="auto"/>
        <w:jc w:val="center"/>
        <w:tblLook w:val="04A0" w:firstRow="1" w:lastRow="0" w:firstColumn="1" w:lastColumn="0" w:noHBand="0" w:noVBand="1"/>
      </w:tblPr>
      <w:tblGrid>
        <w:gridCol w:w="421"/>
        <w:gridCol w:w="2835"/>
        <w:gridCol w:w="1559"/>
        <w:gridCol w:w="1559"/>
        <w:gridCol w:w="1701"/>
      </w:tblGrid>
      <w:tr w:rsidR="00944BA8" w:rsidRPr="00C270FA" w14:paraId="4CBF47C3" w14:textId="77777777" w:rsidTr="00055DBA">
        <w:trPr>
          <w:jc w:val="center"/>
        </w:trPr>
        <w:tc>
          <w:tcPr>
            <w:tcW w:w="421" w:type="dxa"/>
          </w:tcPr>
          <w:p w14:paraId="641A5D88" w14:textId="77777777" w:rsidR="00944BA8" w:rsidRPr="00C270FA" w:rsidRDefault="00944BA8" w:rsidP="00055DBA">
            <w:pPr>
              <w:jc w:val="center"/>
              <w:rPr>
                <w:rFonts w:ascii="Arial" w:hAnsi="Arial" w:cs="Arial"/>
                <w:color w:val="000000" w:themeColor="text1"/>
                <w:lang w:val="en-CA"/>
              </w:rPr>
            </w:pPr>
          </w:p>
        </w:tc>
        <w:tc>
          <w:tcPr>
            <w:tcW w:w="2835" w:type="dxa"/>
          </w:tcPr>
          <w:p w14:paraId="6283042B"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Product Category</w:t>
            </w:r>
          </w:p>
        </w:tc>
        <w:tc>
          <w:tcPr>
            <w:tcW w:w="1559" w:type="dxa"/>
          </w:tcPr>
          <w:p w14:paraId="5743D6B0"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2019</w:t>
            </w:r>
          </w:p>
        </w:tc>
        <w:tc>
          <w:tcPr>
            <w:tcW w:w="1559" w:type="dxa"/>
          </w:tcPr>
          <w:p w14:paraId="608FFB72"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2020</w:t>
            </w:r>
          </w:p>
        </w:tc>
        <w:tc>
          <w:tcPr>
            <w:tcW w:w="1701" w:type="dxa"/>
          </w:tcPr>
          <w:p w14:paraId="0EAE38A2"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2025</w:t>
            </w:r>
          </w:p>
        </w:tc>
      </w:tr>
      <w:tr w:rsidR="00944BA8" w:rsidRPr="00C270FA" w14:paraId="5B480851" w14:textId="77777777" w:rsidTr="00055DBA">
        <w:trPr>
          <w:jc w:val="center"/>
        </w:trPr>
        <w:tc>
          <w:tcPr>
            <w:tcW w:w="421" w:type="dxa"/>
          </w:tcPr>
          <w:p w14:paraId="6130E46C"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1</w:t>
            </w:r>
          </w:p>
          <w:p w14:paraId="2BB7E23F"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2</w:t>
            </w:r>
          </w:p>
          <w:p w14:paraId="486F4AA7"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3</w:t>
            </w:r>
          </w:p>
          <w:p w14:paraId="708FB23F"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4</w:t>
            </w:r>
          </w:p>
          <w:p w14:paraId="53B602F6"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5</w:t>
            </w:r>
          </w:p>
          <w:p w14:paraId="089C7CC0"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6</w:t>
            </w:r>
          </w:p>
          <w:p w14:paraId="766A7C02"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7</w:t>
            </w:r>
          </w:p>
        </w:tc>
        <w:tc>
          <w:tcPr>
            <w:tcW w:w="2835" w:type="dxa"/>
          </w:tcPr>
          <w:p w14:paraId="6E2443A6"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Face Masks</w:t>
            </w:r>
          </w:p>
          <w:p w14:paraId="004418F1"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Protective Clothing</w:t>
            </w:r>
          </w:p>
          <w:p w14:paraId="4F7D7CBD"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Respiratory Protection</w:t>
            </w:r>
          </w:p>
          <w:p w14:paraId="1C27386E"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Eye and Face Protection</w:t>
            </w:r>
          </w:p>
          <w:p w14:paraId="27AC86B0"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Hand Protection</w:t>
            </w:r>
          </w:p>
          <w:p w14:paraId="20B7E6A8"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Foot Protection</w:t>
            </w:r>
          </w:p>
          <w:p w14:paraId="4A1870E8"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Head Protection</w:t>
            </w:r>
          </w:p>
        </w:tc>
        <w:tc>
          <w:tcPr>
            <w:tcW w:w="1559" w:type="dxa"/>
          </w:tcPr>
          <w:p w14:paraId="26B03EC3"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3,424.1</w:t>
            </w:r>
          </w:p>
          <w:p w14:paraId="52648772"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1,043.8</w:t>
            </w:r>
          </w:p>
          <w:p w14:paraId="75ACFAA0"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894.7</w:t>
            </w:r>
          </w:p>
          <w:p w14:paraId="0817C0A4"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860.4</w:t>
            </w:r>
          </w:p>
          <w:p w14:paraId="12461871"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823.4</w:t>
            </w:r>
          </w:p>
          <w:p w14:paraId="262457C2"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676.8</w:t>
            </w:r>
          </w:p>
          <w:p w14:paraId="5B476380"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276.6</w:t>
            </w:r>
          </w:p>
        </w:tc>
        <w:tc>
          <w:tcPr>
            <w:tcW w:w="1559" w:type="dxa"/>
          </w:tcPr>
          <w:p w14:paraId="5CC0FDEA"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13,696.2</w:t>
            </w:r>
          </w:p>
          <w:p w14:paraId="72D9E0BB"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1,400.6</w:t>
            </w:r>
          </w:p>
          <w:p w14:paraId="2B8F6743"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1,228.1</w:t>
            </w:r>
          </w:p>
          <w:p w14:paraId="37793C99"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4,019.6</w:t>
            </w:r>
          </w:p>
          <w:p w14:paraId="41168975"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1,099.8</w:t>
            </w:r>
          </w:p>
          <w:p w14:paraId="18A4191C"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748.7</w:t>
            </w:r>
          </w:p>
          <w:p w14:paraId="6A640536"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301.4</w:t>
            </w:r>
          </w:p>
        </w:tc>
        <w:tc>
          <w:tcPr>
            <w:tcW w:w="1701" w:type="dxa"/>
          </w:tcPr>
          <w:p w14:paraId="1A28D1BF"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5,172.2</w:t>
            </w:r>
          </w:p>
          <w:p w14:paraId="2B0339CB"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1,594.8</w:t>
            </w:r>
          </w:p>
          <w:p w14:paraId="35CCFD6F"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1,364.0</w:t>
            </w:r>
          </w:p>
          <w:p w14:paraId="14235941"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1,323.6</w:t>
            </w:r>
          </w:p>
          <w:p w14:paraId="2B23C27E"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1,284.8</w:t>
            </w:r>
          </w:p>
          <w:p w14:paraId="15E9383D"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924.2</w:t>
            </w:r>
          </w:p>
          <w:p w14:paraId="2F1F352F"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419.8</w:t>
            </w:r>
          </w:p>
        </w:tc>
      </w:tr>
      <w:tr w:rsidR="00944BA8" w:rsidRPr="00C270FA" w14:paraId="6B196961" w14:textId="77777777" w:rsidTr="00055DBA">
        <w:trPr>
          <w:jc w:val="center"/>
        </w:trPr>
        <w:tc>
          <w:tcPr>
            <w:tcW w:w="421" w:type="dxa"/>
          </w:tcPr>
          <w:p w14:paraId="7573E6C3" w14:textId="77777777" w:rsidR="00944BA8" w:rsidRPr="00C270FA" w:rsidRDefault="00944BA8" w:rsidP="00055DBA">
            <w:pPr>
              <w:rPr>
                <w:rFonts w:ascii="Arial" w:hAnsi="Arial" w:cs="Arial"/>
                <w:color w:val="000000" w:themeColor="text1"/>
                <w:lang w:val="en-CA"/>
              </w:rPr>
            </w:pPr>
          </w:p>
        </w:tc>
        <w:tc>
          <w:tcPr>
            <w:tcW w:w="2835" w:type="dxa"/>
          </w:tcPr>
          <w:p w14:paraId="7A68B0C9"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Total</w:t>
            </w:r>
          </w:p>
        </w:tc>
        <w:tc>
          <w:tcPr>
            <w:tcW w:w="1559" w:type="dxa"/>
          </w:tcPr>
          <w:p w14:paraId="1D53093B"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7,999.7</w:t>
            </w:r>
          </w:p>
        </w:tc>
        <w:tc>
          <w:tcPr>
            <w:tcW w:w="1559" w:type="dxa"/>
          </w:tcPr>
          <w:p w14:paraId="1595D9CE"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22,494.4</w:t>
            </w:r>
          </w:p>
        </w:tc>
        <w:tc>
          <w:tcPr>
            <w:tcW w:w="1701" w:type="dxa"/>
          </w:tcPr>
          <w:p w14:paraId="30D15E3F"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12,083.4</w:t>
            </w:r>
          </w:p>
        </w:tc>
      </w:tr>
    </w:tbl>
    <w:p w14:paraId="48ECADEA" w14:textId="77777777" w:rsidR="00944BA8" w:rsidRPr="00C270FA" w:rsidRDefault="00944BA8" w:rsidP="00944BA8">
      <w:pPr>
        <w:pStyle w:val="Footnote"/>
        <w:rPr>
          <w:lang w:val="en-CA"/>
        </w:rPr>
      </w:pPr>
    </w:p>
    <w:p w14:paraId="3AD8D7A1" w14:textId="628B562B" w:rsidR="00944BA8" w:rsidRPr="00C270FA" w:rsidRDefault="00944BA8" w:rsidP="00944BA8">
      <w:pPr>
        <w:pStyle w:val="Footnote"/>
        <w:rPr>
          <w:lang w:val="en-CA"/>
        </w:rPr>
      </w:pPr>
      <w:r w:rsidRPr="00C270FA">
        <w:rPr>
          <w:lang w:val="en-CA"/>
        </w:rPr>
        <w:t xml:space="preserve">Source: </w:t>
      </w:r>
      <w:r w:rsidR="00F24435" w:rsidRPr="00C270FA">
        <w:rPr>
          <w:lang w:val="en-CA"/>
        </w:rPr>
        <w:t xml:space="preserve">BCC Publishing, </w:t>
      </w:r>
      <w:r w:rsidRPr="00C270FA">
        <w:rPr>
          <w:i/>
          <w:iCs/>
          <w:lang w:val="en-CA"/>
        </w:rPr>
        <w:t>Healthcare Personal Protective Equipment: Global Markets</w:t>
      </w:r>
      <w:r w:rsidRPr="00C270FA">
        <w:rPr>
          <w:lang w:val="en-CA"/>
        </w:rPr>
        <w:t>, Report MDS013A</w:t>
      </w:r>
      <w:r w:rsidR="00F24435" w:rsidRPr="00C270FA">
        <w:rPr>
          <w:lang w:val="en-CA"/>
        </w:rPr>
        <w:t xml:space="preserve"> (Wellesley, MD:</w:t>
      </w:r>
      <w:r w:rsidRPr="00C270FA">
        <w:rPr>
          <w:lang w:val="en-CA"/>
        </w:rPr>
        <w:t xml:space="preserve"> BCC Publishing</w:t>
      </w:r>
      <w:r w:rsidR="00F24435" w:rsidRPr="00C270FA">
        <w:rPr>
          <w:lang w:val="en-CA"/>
        </w:rPr>
        <w:t>,</w:t>
      </w:r>
      <w:r w:rsidRPr="00C270FA">
        <w:rPr>
          <w:lang w:val="en-CA"/>
        </w:rPr>
        <w:t xml:space="preserve"> </w:t>
      </w:r>
      <w:r w:rsidR="00F24435" w:rsidRPr="00C270FA">
        <w:rPr>
          <w:lang w:val="en-CA"/>
        </w:rPr>
        <w:t>2020)</w:t>
      </w:r>
      <w:r w:rsidRPr="00C270FA">
        <w:rPr>
          <w:lang w:val="en-CA"/>
        </w:rPr>
        <w:t>,</w:t>
      </w:r>
      <w:r w:rsidR="00DB1690" w:rsidRPr="00C270FA">
        <w:rPr>
          <w:lang w:val="en-CA"/>
        </w:rPr>
        <w:t xml:space="preserve"> p. 7.</w:t>
      </w:r>
    </w:p>
    <w:p w14:paraId="2BD50B5D" w14:textId="77777777" w:rsidR="00944BA8" w:rsidRPr="00C270FA" w:rsidRDefault="00944BA8" w:rsidP="00944BA8">
      <w:pPr>
        <w:pStyle w:val="Footnote"/>
        <w:rPr>
          <w:lang w:val="en-CA"/>
        </w:rPr>
      </w:pPr>
    </w:p>
    <w:p w14:paraId="2721BA64" w14:textId="77777777" w:rsidR="00944BA8" w:rsidRPr="00C270FA" w:rsidRDefault="00944BA8" w:rsidP="00944BA8">
      <w:pPr>
        <w:pStyle w:val="Default"/>
        <w:rPr>
          <w:rFonts w:ascii="Times New Roman" w:hAnsi="Times New Roman" w:hint="default"/>
          <w:sz w:val="22"/>
          <w:szCs w:val="22"/>
          <w:lang w:val="en-CA"/>
        </w:rPr>
      </w:pPr>
    </w:p>
    <w:p w14:paraId="53F84C5E" w14:textId="77777777" w:rsidR="00944BA8" w:rsidRPr="00C270FA" w:rsidRDefault="00944BA8" w:rsidP="000307A3">
      <w:pPr>
        <w:pStyle w:val="ExhibitHeading"/>
        <w:rPr>
          <w:rFonts w:eastAsiaTheme="minorHAnsi"/>
          <w:lang w:val="en-CA"/>
        </w:rPr>
      </w:pPr>
      <w:r w:rsidRPr="00C270FA">
        <w:rPr>
          <w:rFonts w:eastAsiaTheme="minorHAnsi"/>
          <w:lang w:val="en-CA"/>
        </w:rPr>
        <w:t xml:space="preserve">EXHIBIT 2: GLOBAL MARKET FOR FACE MASKS BY REGION </w:t>
      </w:r>
    </w:p>
    <w:p w14:paraId="77969B45" w14:textId="56487CC7" w:rsidR="00944BA8" w:rsidRPr="00C270FA" w:rsidRDefault="00944BA8" w:rsidP="000307A3">
      <w:pPr>
        <w:pStyle w:val="ExhibitHeading"/>
        <w:rPr>
          <w:rFonts w:eastAsiaTheme="minorHAnsi"/>
          <w:lang w:val="en-CA"/>
        </w:rPr>
      </w:pPr>
      <w:r w:rsidRPr="00C270FA">
        <w:rPr>
          <w:rFonts w:eastAsiaTheme="minorHAnsi"/>
          <w:lang w:val="en-CA"/>
        </w:rPr>
        <w:t>(</w:t>
      </w:r>
      <w:r w:rsidR="006749DD" w:rsidRPr="00C270FA">
        <w:rPr>
          <w:rFonts w:eastAsiaTheme="minorHAnsi"/>
          <w:lang w:val="en-CA"/>
        </w:rPr>
        <w:t xml:space="preserve">IN </w:t>
      </w:r>
      <w:r w:rsidRPr="00C270FA">
        <w:rPr>
          <w:rFonts w:eastAsiaTheme="minorHAnsi"/>
          <w:lang w:val="en-CA"/>
        </w:rPr>
        <w:t>US$ MILLIONS)</w:t>
      </w:r>
    </w:p>
    <w:p w14:paraId="67CFA033" w14:textId="77777777" w:rsidR="00944BA8" w:rsidRPr="00C270FA" w:rsidRDefault="00944BA8" w:rsidP="00944BA8">
      <w:pPr>
        <w:adjustRightInd w:val="0"/>
        <w:rPr>
          <w:rFonts w:eastAsiaTheme="minorHAnsi"/>
          <w:b/>
          <w:bCs/>
          <w:color w:val="000000"/>
          <w:lang w:val="en-CA"/>
        </w:rPr>
      </w:pPr>
    </w:p>
    <w:tbl>
      <w:tblPr>
        <w:tblStyle w:val="TableGrid"/>
        <w:tblW w:w="0" w:type="auto"/>
        <w:jc w:val="center"/>
        <w:tblLook w:val="04A0" w:firstRow="1" w:lastRow="0" w:firstColumn="1" w:lastColumn="0" w:noHBand="0" w:noVBand="1"/>
      </w:tblPr>
      <w:tblGrid>
        <w:gridCol w:w="421"/>
        <w:gridCol w:w="2835"/>
        <w:gridCol w:w="1559"/>
        <w:gridCol w:w="1559"/>
        <w:gridCol w:w="1701"/>
      </w:tblGrid>
      <w:tr w:rsidR="00055DBA" w:rsidRPr="00C270FA" w14:paraId="03470E4A" w14:textId="77777777" w:rsidTr="00055DBA">
        <w:trPr>
          <w:jc w:val="center"/>
        </w:trPr>
        <w:tc>
          <w:tcPr>
            <w:tcW w:w="421" w:type="dxa"/>
          </w:tcPr>
          <w:p w14:paraId="2341A15E" w14:textId="77777777" w:rsidR="00944BA8" w:rsidRPr="00C270FA" w:rsidRDefault="00944BA8" w:rsidP="00055DBA">
            <w:pPr>
              <w:jc w:val="center"/>
              <w:rPr>
                <w:rFonts w:ascii="Arial" w:hAnsi="Arial" w:cs="Arial"/>
                <w:color w:val="000000" w:themeColor="text1"/>
                <w:lang w:val="en-CA"/>
              </w:rPr>
            </w:pPr>
          </w:p>
        </w:tc>
        <w:tc>
          <w:tcPr>
            <w:tcW w:w="2835" w:type="dxa"/>
          </w:tcPr>
          <w:p w14:paraId="27D848A6"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Region</w:t>
            </w:r>
          </w:p>
        </w:tc>
        <w:tc>
          <w:tcPr>
            <w:tcW w:w="1559" w:type="dxa"/>
          </w:tcPr>
          <w:p w14:paraId="2F67D64E"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2019</w:t>
            </w:r>
          </w:p>
        </w:tc>
        <w:tc>
          <w:tcPr>
            <w:tcW w:w="1559" w:type="dxa"/>
          </w:tcPr>
          <w:p w14:paraId="3D954B8C"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2020</w:t>
            </w:r>
          </w:p>
        </w:tc>
        <w:tc>
          <w:tcPr>
            <w:tcW w:w="1701" w:type="dxa"/>
          </w:tcPr>
          <w:p w14:paraId="23801234"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2025</w:t>
            </w:r>
          </w:p>
        </w:tc>
      </w:tr>
      <w:tr w:rsidR="00055DBA" w:rsidRPr="00C270FA" w14:paraId="6CA13FBA" w14:textId="77777777" w:rsidTr="00055DBA">
        <w:trPr>
          <w:jc w:val="center"/>
        </w:trPr>
        <w:tc>
          <w:tcPr>
            <w:tcW w:w="421" w:type="dxa"/>
          </w:tcPr>
          <w:p w14:paraId="57FBE59A"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1</w:t>
            </w:r>
          </w:p>
          <w:p w14:paraId="75A4320A"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2</w:t>
            </w:r>
          </w:p>
          <w:p w14:paraId="3720AC75"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3</w:t>
            </w:r>
          </w:p>
          <w:p w14:paraId="7B84E409"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4</w:t>
            </w:r>
          </w:p>
          <w:p w14:paraId="342D1DD0"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5</w:t>
            </w:r>
          </w:p>
        </w:tc>
        <w:tc>
          <w:tcPr>
            <w:tcW w:w="2835" w:type="dxa"/>
          </w:tcPr>
          <w:p w14:paraId="41DD87CF"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North America</w:t>
            </w:r>
          </w:p>
          <w:p w14:paraId="6AAFE278"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Asia-Pacific</w:t>
            </w:r>
          </w:p>
          <w:p w14:paraId="7890005D"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Europe</w:t>
            </w:r>
          </w:p>
          <w:p w14:paraId="476AE9C5"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South America</w:t>
            </w:r>
          </w:p>
          <w:p w14:paraId="6B96F950"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Middle East &amp; Africa</w:t>
            </w:r>
          </w:p>
        </w:tc>
        <w:tc>
          <w:tcPr>
            <w:tcW w:w="1559" w:type="dxa"/>
          </w:tcPr>
          <w:p w14:paraId="19E76E99"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620.4</w:t>
            </w:r>
          </w:p>
          <w:p w14:paraId="5E8A92DC" w14:textId="027667F8"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w:t>
            </w:r>
            <w:r w:rsidR="00B60126" w:rsidRPr="00C270FA">
              <w:rPr>
                <w:rFonts w:ascii="Arial" w:hAnsi="Arial" w:cs="Arial"/>
                <w:color w:val="000000" w:themeColor="text1"/>
                <w:lang w:val="en-CA"/>
              </w:rPr>
              <w:t>,</w:t>
            </w:r>
            <w:r w:rsidRPr="00C270FA">
              <w:rPr>
                <w:rFonts w:ascii="Arial" w:hAnsi="Arial" w:cs="Arial"/>
                <w:color w:val="000000" w:themeColor="text1"/>
                <w:lang w:val="en-CA"/>
              </w:rPr>
              <w:t>648.0</w:t>
            </w:r>
          </w:p>
          <w:p w14:paraId="0530F35E"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786.8</w:t>
            </w:r>
          </w:p>
          <w:p w14:paraId="41F510C6"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192.8</w:t>
            </w:r>
          </w:p>
          <w:p w14:paraId="71915B89"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176.1</w:t>
            </w:r>
          </w:p>
        </w:tc>
        <w:tc>
          <w:tcPr>
            <w:tcW w:w="1559" w:type="dxa"/>
          </w:tcPr>
          <w:p w14:paraId="70718E47"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2,468.1</w:t>
            </w:r>
          </w:p>
          <w:p w14:paraId="4F6C2F34"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6,589.0</w:t>
            </w:r>
          </w:p>
          <w:p w14:paraId="045BD003"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3,165.0</w:t>
            </w:r>
          </w:p>
          <w:p w14:paraId="5147A8B4"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772.1</w:t>
            </w:r>
          </w:p>
          <w:p w14:paraId="451FE246"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702.0</w:t>
            </w:r>
          </w:p>
        </w:tc>
        <w:tc>
          <w:tcPr>
            <w:tcW w:w="1701" w:type="dxa"/>
          </w:tcPr>
          <w:p w14:paraId="73386BF2"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906.2</w:t>
            </w:r>
          </w:p>
          <w:p w14:paraId="56921EEB"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2,482.7</w:t>
            </w:r>
          </w:p>
          <w:p w14:paraId="3EB90EE3"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1,228.9</w:t>
            </w:r>
          </w:p>
          <w:p w14:paraId="5C7CFB6C"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293.8</w:t>
            </w:r>
          </w:p>
          <w:p w14:paraId="41C639B9"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260.6</w:t>
            </w:r>
          </w:p>
        </w:tc>
      </w:tr>
      <w:tr w:rsidR="00055DBA" w:rsidRPr="00C270FA" w14:paraId="611560A7" w14:textId="77777777" w:rsidTr="00055DBA">
        <w:trPr>
          <w:jc w:val="center"/>
        </w:trPr>
        <w:tc>
          <w:tcPr>
            <w:tcW w:w="421" w:type="dxa"/>
          </w:tcPr>
          <w:p w14:paraId="0116B464" w14:textId="77777777" w:rsidR="00944BA8" w:rsidRPr="00C270FA" w:rsidRDefault="00944BA8" w:rsidP="00055DBA">
            <w:pPr>
              <w:rPr>
                <w:rFonts w:ascii="Arial" w:hAnsi="Arial" w:cs="Arial"/>
                <w:color w:val="000000" w:themeColor="text1"/>
                <w:lang w:val="en-CA"/>
              </w:rPr>
            </w:pPr>
          </w:p>
        </w:tc>
        <w:tc>
          <w:tcPr>
            <w:tcW w:w="2835" w:type="dxa"/>
          </w:tcPr>
          <w:p w14:paraId="5F131081" w14:textId="77777777" w:rsidR="00944BA8" w:rsidRPr="00C270FA" w:rsidRDefault="00944BA8" w:rsidP="00055DBA">
            <w:pPr>
              <w:rPr>
                <w:rFonts w:ascii="Arial" w:hAnsi="Arial" w:cs="Arial"/>
                <w:b/>
                <w:color w:val="000000" w:themeColor="text1"/>
                <w:lang w:val="en-CA"/>
              </w:rPr>
            </w:pPr>
            <w:r w:rsidRPr="00C270FA">
              <w:rPr>
                <w:rFonts w:ascii="Arial" w:hAnsi="Arial" w:cs="Arial"/>
                <w:b/>
                <w:color w:val="000000" w:themeColor="text1"/>
                <w:lang w:val="en-CA"/>
              </w:rPr>
              <w:t>Total</w:t>
            </w:r>
          </w:p>
        </w:tc>
        <w:tc>
          <w:tcPr>
            <w:tcW w:w="1559" w:type="dxa"/>
          </w:tcPr>
          <w:p w14:paraId="796D1D32" w14:textId="77777777" w:rsidR="00944BA8" w:rsidRPr="00C270FA" w:rsidRDefault="00944BA8" w:rsidP="00055DBA">
            <w:pPr>
              <w:jc w:val="right"/>
              <w:rPr>
                <w:rFonts w:ascii="Arial" w:hAnsi="Arial" w:cs="Arial"/>
                <w:b/>
                <w:color w:val="000000" w:themeColor="text1"/>
                <w:lang w:val="en-CA"/>
              </w:rPr>
            </w:pPr>
            <w:r w:rsidRPr="00C270FA">
              <w:rPr>
                <w:rFonts w:ascii="Arial" w:hAnsi="Arial" w:cs="Arial"/>
                <w:b/>
                <w:color w:val="000000" w:themeColor="text1"/>
                <w:lang w:val="en-CA"/>
              </w:rPr>
              <w:t>3,424.1</w:t>
            </w:r>
          </w:p>
        </w:tc>
        <w:tc>
          <w:tcPr>
            <w:tcW w:w="1559" w:type="dxa"/>
          </w:tcPr>
          <w:p w14:paraId="6A0607E3" w14:textId="77777777" w:rsidR="00944BA8" w:rsidRPr="00C270FA" w:rsidRDefault="00944BA8" w:rsidP="00055DBA">
            <w:pPr>
              <w:jc w:val="right"/>
              <w:rPr>
                <w:rFonts w:ascii="Arial" w:hAnsi="Arial" w:cs="Arial"/>
                <w:b/>
                <w:color w:val="000000" w:themeColor="text1"/>
                <w:lang w:val="en-CA"/>
              </w:rPr>
            </w:pPr>
            <w:r w:rsidRPr="00C270FA">
              <w:rPr>
                <w:rFonts w:ascii="Arial" w:hAnsi="Arial" w:cs="Arial"/>
                <w:b/>
                <w:color w:val="000000" w:themeColor="text1"/>
                <w:lang w:val="en-CA"/>
              </w:rPr>
              <w:t>13,696.2</w:t>
            </w:r>
          </w:p>
        </w:tc>
        <w:tc>
          <w:tcPr>
            <w:tcW w:w="1701" w:type="dxa"/>
          </w:tcPr>
          <w:p w14:paraId="04699212" w14:textId="77777777" w:rsidR="00944BA8" w:rsidRPr="00C270FA" w:rsidRDefault="00944BA8" w:rsidP="00055DBA">
            <w:pPr>
              <w:jc w:val="right"/>
              <w:rPr>
                <w:rFonts w:ascii="Arial" w:hAnsi="Arial" w:cs="Arial"/>
                <w:b/>
                <w:color w:val="000000" w:themeColor="text1"/>
                <w:lang w:val="en-CA"/>
              </w:rPr>
            </w:pPr>
            <w:r w:rsidRPr="00C270FA">
              <w:rPr>
                <w:rFonts w:ascii="Arial" w:hAnsi="Arial" w:cs="Arial"/>
                <w:b/>
                <w:color w:val="000000" w:themeColor="text1"/>
                <w:lang w:val="en-CA"/>
              </w:rPr>
              <w:t>5,172.2</w:t>
            </w:r>
          </w:p>
        </w:tc>
      </w:tr>
    </w:tbl>
    <w:p w14:paraId="0C29D5A4" w14:textId="77777777" w:rsidR="00944BA8" w:rsidRPr="00C270FA" w:rsidRDefault="00944BA8" w:rsidP="00944BA8">
      <w:pPr>
        <w:pStyle w:val="Default"/>
        <w:rPr>
          <w:rFonts w:ascii="Times New Roman" w:hAnsi="Times New Roman" w:hint="default"/>
          <w:i/>
          <w:iCs/>
          <w:sz w:val="22"/>
          <w:szCs w:val="22"/>
          <w:lang w:val="en-CA"/>
        </w:rPr>
      </w:pPr>
    </w:p>
    <w:p w14:paraId="3BF5A86E" w14:textId="1675A017" w:rsidR="00944BA8" w:rsidRPr="00C270FA" w:rsidRDefault="00944BA8" w:rsidP="00055DBA">
      <w:pPr>
        <w:pStyle w:val="Footnote"/>
        <w:rPr>
          <w:lang w:val="en-CA"/>
        </w:rPr>
      </w:pPr>
      <w:r w:rsidRPr="00C270FA">
        <w:rPr>
          <w:lang w:val="en-CA"/>
        </w:rPr>
        <w:t xml:space="preserve">Source: </w:t>
      </w:r>
      <w:r w:rsidR="00F24435" w:rsidRPr="00C270FA">
        <w:rPr>
          <w:lang w:val="en-CA"/>
        </w:rPr>
        <w:t xml:space="preserve">BCC Publishing, </w:t>
      </w:r>
      <w:r w:rsidRPr="00C270FA">
        <w:rPr>
          <w:i/>
          <w:iCs/>
          <w:lang w:val="en-CA"/>
        </w:rPr>
        <w:t>Healthcare Personal Protective Equipment: Global Markets</w:t>
      </w:r>
      <w:r w:rsidRPr="00C270FA">
        <w:rPr>
          <w:lang w:val="en-CA"/>
        </w:rPr>
        <w:t xml:space="preserve">, Report MDS013A </w:t>
      </w:r>
      <w:r w:rsidR="00F24435" w:rsidRPr="00C270FA">
        <w:rPr>
          <w:lang w:val="en-CA"/>
        </w:rPr>
        <w:t xml:space="preserve">(Wellesley, MD: </w:t>
      </w:r>
      <w:r w:rsidRPr="00C270FA">
        <w:rPr>
          <w:lang w:val="en-CA"/>
        </w:rPr>
        <w:t>BCC Publishing</w:t>
      </w:r>
      <w:r w:rsidR="00F24435" w:rsidRPr="00C270FA">
        <w:rPr>
          <w:lang w:val="en-CA"/>
        </w:rPr>
        <w:t>,</w:t>
      </w:r>
      <w:r w:rsidRPr="00C270FA">
        <w:rPr>
          <w:lang w:val="en-CA"/>
        </w:rPr>
        <w:t xml:space="preserve"> </w:t>
      </w:r>
      <w:r w:rsidR="00F24435" w:rsidRPr="00C270FA">
        <w:rPr>
          <w:lang w:val="en-CA"/>
        </w:rPr>
        <w:t>2020)</w:t>
      </w:r>
      <w:r w:rsidR="00055DBA" w:rsidRPr="00C270FA">
        <w:rPr>
          <w:lang w:val="en-CA"/>
        </w:rPr>
        <w:t>,</w:t>
      </w:r>
      <w:r w:rsidR="00DB1690" w:rsidRPr="00C270FA">
        <w:rPr>
          <w:lang w:val="en-CA"/>
        </w:rPr>
        <w:t xml:space="preserve"> p. 18.</w:t>
      </w:r>
      <w:r w:rsidRPr="00C270FA">
        <w:rPr>
          <w:lang w:val="en-CA"/>
        </w:rPr>
        <w:t xml:space="preserve"> </w:t>
      </w:r>
    </w:p>
    <w:p w14:paraId="5A4B521C" w14:textId="77777777" w:rsidR="00944BA8" w:rsidRPr="00C270FA" w:rsidRDefault="00944BA8" w:rsidP="00944BA8">
      <w:pPr>
        <w:pStyle w:val="Default"/>
        <w:rPr>
          <w:rFonts w:ascii="Times New Roman" w:hAnsi="Times New Roman" w:hint="default"/>
          <w:sz w:val="22"/>
          <w:szCs w:val="22"/>
          <w:lang w:val="en-CA"/>
        </w:rPr>
      </w:pPr>
    </w:p>
    <w:p w14:paraId="1699E752" w14:textId="77777777" w:rsidR="00944BA8" w:rsidRPr="00C270FA" w:rsidRDefault="00944BA8" w:rsidP="00944BA8">
      <w:pPr>
        <w:pStyle w:val="Default"/>
        <w:rPr>
          <w:rFonts w:ascii="Times New Roman" w:hAnsi="Times New Roman" w:hint="default"/>
          <w:sz w:val="22"/>
          <w:szCs w:val="22"/>
          <w:lang w:val="en-CA"/>
        </w:rPr>
      </w:pPr>
    </w:p>
    <w:p w14:paraId="294C04E4" w14:textId="6063233B" w:rsidR="00944BA8" w:rsidRPr="00C270FA" w:rsidRDefault="00944BA8" w:rsidP="000307A3">
      <w:pPr>
        <w:pStyle w:val="ExhibitHeading"/>
        <w:rPr>
          <w:lang w:val="en-CA"/>
        </w:rPr>
      </w:pPr>
      <w:r w:rsidRPr="00C270FA">
        <w:rPr>
          <w:lang w:val="en-CA"/>
        </w:rPr>
        <w:t>EXHIBIT 3: MEDICOM MASK MANUFACTURING CAPACITY</w:t>
      </w:r>
    </w:p>
    <w:tbl>
      <w:tblPr>
        <w:tblW w:w="4680" w:type="dxa"/>
        <w:jc w:val="center"/>
        <w:tblLook w:val="04A0" w:firstRow="1" w:lastRow="0" w:firstColumn="1" w:lastColumn="0" w:noHBand="0" w:noVBand="1"/>
      </w:tblPr>
      <w:tblGrid>
        <w:gridCol w:w="1620"/>
        <w:gridCol w:w="900"/>
        <w:gridCol w:w="990"/>
        <w:gridCol w:w="1170"/>
      </w:tblGrid>
      <w:tr w:rsidR="00055DBA" w:rsidRPr="00C270FA" w14:paraId="261A49E9" w14:textId="77777777" w:rsidTr="00055DBA">
        <w:trPr>
          <w:trHeight w:val="630"/>
          <w:jc w:val="center"/>
        </w:trPr>
        <w:tc>
          <w:tcPr>
            <w:tcW w:w="1620" w:type="dxa"/>
            <w:tcBorders>
              <w:top w:val="nil"/>
              <w:left w:val="nil"/>
              <w:bottom w:val="nil"/>
              <w:right w:val="nil"/>
            </w:tcBorders>
            <w:shd w:val="clear" w:color="auto" w:fill="auto"/>
            <w:noWrap/>
            <w:vAlign w:val="center"/>
            <w:hideMark/>
          </w:tcPr>
          <w:p w14:paraId="78B6207F" w14:textId="77777777" w:rsidR="00944BA8" w:rsidRPr="00C270FA" w:rsidRDefault="00944BA8" w:rsidP="00055DBA">
            <w:pPr>
              <w:rPr>
                <w:rFonts w:ascii="Arial" w:hAnsi="Arial" w:cs="Arial"/>
                <w:b/>
                <w:color w:val="000000" w:themeColor="text1"/>
                <w:lang w:val="en-CA"/>
              </w:rPr>
            </w:pPr>
            <w:r w:rsidRPr="00C270FA">
              <w:rPr>
                <w:rFonts w:ascii="Arial" w:hAnsi="Arial" w:cs="Arial"/>
                <w:b/>
                <w:color w:val="000000" w:themeColor="text1"/>
                <w:lang w:val="en-CA"/>
              </w:rPr>
              <w:t>Region</w:t>
            </w:r>
          </w:p>
        </w:tc>
        <w:tc>
          <w:tcPr>
            <w:tcW w:w="900" w:type="dxa"/>
            <w:tcBorders>
              <w:top w:val="nil"/>
              <w:left w:val="nil"/>
              <w:bottom w:val="single" w:sz="4" w:space="0" w:color="auto"/>
              <w:right w:val="nil"/>
            </w:tcBorders>
            <w:shd w:val="clear" w:color="auto" w:fill="auto"/>
            <w:noWrap/>
            <w:vAlign w:val="center"/>
            <w:hideMark/>
          </w:tcPr>
          <w:p w14:paraId="7E099262"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2019</w:t>
            </w:r>
          </w:p>
        </w:tc>
        <w:tc>
          <w:tcPr>
            <w:tcW w:w="990" w:type="dxa"/>
            <w:tcBorders>
              <w:top w:val="nil"/>
              <w:left w:val="nil"/>
              <w:bottom w:val="single" w:sz="4" w:space="0" w:color="auto"/>
              <w:right w:val="nil"/>
            </w:tcBorders>
            <w:shd w:val="clear" w:color="auto" w:fill="auto"/>
            <w:noWrap/>
            <w:vAlign w:val="center"/>
            <w:hideMark/>
          </w:tcPr>
          <w:p w14:paraId="5041A952"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2021</w:t>
            </w:r>
          </w:p>
        </w:tc>
        <w:tc>
          <w:tcPr>
            <w:tcW w:w="1170" w:type="dxa"/>
            <w:tcBorders>
              <w:top w:val="nil"/>
              <w:left w:val="nil"/>
              <w:bottom w:val="single" w:sz="4" w:space="0" w:color="auto"/>
              <w:right w:val="nil"/>
            </w:tcBorders>
            <w:shd w:val="clear" w:color="auto" w:fill="auto"/>
            <w:vAlign w:val="center"/>
            <w:hideMark/>
          </w:tcPr>
          <w:p w14:paraId="0209820A"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Increase</w:t>
            </w:r>
          </w:p>
          <w:p w14:paraId="41CE658A"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w:t>
            </w:r>
          </w:p>
        </w:tc>
      </w:tr>
      <w:tr w:rsidR="00055DBA" w:rsidRPr="00C270FA" w14:paraId="34E0E6AA" w14:textId="77777777" w:rsidTr="00055DBA">
        <w:trPr>
          <w:trHeight w:val="315"/>
          <w:jc w:val="center"/>
        </w:trPr>
        <w:tc>
          <w:tcPr>
            <w:tcW w:w="1620" w:type="dxa"/>
            <w:tcBorders>
              <w:top w:val="nil"/>
              <w:left w:val="nil"/>
              <w:bottom w:val="nil"/>
              <w:right w:val="nil"/>
            </w:tcBorders>
            <w:shd w:val="clear" w:color="auto" w:fill="auto"/>
            <w:noWrap/>
            <w:vAlign w:val="bottom"/>
            <w:hideMark/>
          </w:tcPr>
          <w:p w14:paraId="599233E7"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Asia</w:t>
            </w:r>
          </w:p>
        </w:tc>
        <w:tc>
          <w:tcPr>
            <w:tcW w:w="900" w:type="dxa"/>
            <w:tcBorders>
              <w:top w:val="nil"/>
              <w:left w:val="nil"/>
              <w:bottom w:val="nil"/>
              <w:right w:val="nil"/>
            </w:tcBorders>
            <w:shd w:val="clear" w:color="auto" w:fill="auto"/>
            <w:noWrap/>
            <w:vAlign w:val="bottom"/>
            <w:hideMark/>
          </w:tcPr>
          <w:p w14:paraId="58DE10F7"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1,650</w:t>
            </w:r>
          </w:p>
        </w:tc>
        <w:tc>
          <w:tcPr>
            <w:tcW w:w="990" w:type="dxa"/>
            <w:tcBorders>
              <w:top w:val="nil"/>
              <w:left w:val="nil"/>
              <w:bottom w:val="nil"/>
              <w:right w:val="nil"/>
            </w:tcBorders>
            <w:shd w:val="clear" w:color="auto" w:fill="auto"/>
            <w:noWrap/>
            <w:vAlign w:val="bottom"/>
            <w:hideMark/>
          </w:tcPr>
          <w:p w14:paraId="5A3DAAB9"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2,300</w:t>
            </w:r>
          </w:p>
        </w:tc>
        <w:tc>
          <w:tcPr>
            <w:tcW w:w="1170" w:type="dxa"/>
            <w:tcBorders>
              <w:top w:val="nil"/>
              <w:left w:val="nil"/>
              <w:bottom w:val="nil"/>
              <w:right w:val="nil"/>
            </w:tcBorders>
            <w:shd w:val="clear" w:color="auto" w:fill="auto"/>
            <w:noWrap/>
            <w:vAlign w:val="bottom"/>
            <w:hideMark/>
          </w:tcPr>
          <w:p w14:paraId="0ACB50A1"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39%</w:t>
            </w:r>
          </w:p>
        </w:tc>
      </w:tr>
      <w:tr w:rsidR="00055DBA" w:rsidRPr="00C270FA" w14:paraId="503BCD61" w14:textId="77777777" w:rsidTr="00055DBA">
        <w:trPr>
          <w:trHeight w:val="315"/>
          <w:jc w:val="center"/>
        </w:trPr>
        <w:tc>
          <w:tcPr>
            <w:tcW w:w="1620" w:type="dxa"/>
            <w:tcBorders>
              <w:top w:val="nil"/>
              <w:left w:val="nil"/>
              <w:bottom w:val="nil"/>
              <w:right w:val="nil"/>
            </w:tcBorders>
            <w:shd w:val="clear" w:color="auto" w:fill="auto"/>
            <w:noWrap/>
            <w:vAlign w:val="bottom"/>
            <w:hideMark/>
          </w:tcPr>
          <w:p w14:paraId="32FDC7BF"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Europe</w:t>
            </w:r>
          </w:p>
        </w:tc>
        <w:tc>
          <w:tcPr>
            <w:tcW w:w="900" w:type="dxa"/>
            <w:tcBorders>
              <w:top w:val="nil"/>
              <w:left w:val="nil"/>
              <w:bottom w:val="nil"/>
              <w:right w:val="nil"/>
            </w:tcBorders>
            <w:shd w:val="clear" w:color="auto" w:fill="auto"/>
            <w:noWrap/>
            <w:vAlign w:val="bottom"/>
            <w:hideMark/>
          </w:tcPr>
          <w:p w14:paraId="4CE4C8DF"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325</w:t>
            </w:r>
          </w:p>
        </w:tc>
        <w:tc>
          <w:tcPr>
            <w:tcW w:w="990" w:type="dxa"/>
            <w:tcBorders>
              <w:top w:val="nil"/>
              <w:left w:val="nil"/>
              <w:bottom w:val="nil"/>
              <w:right w:val="nil"/>
            </w:tcBorders>
            <w:shd w:val="clear" w:color="auto" w:fill="auto"/>
            <w:noWrap/>
            <w:vAlign w:val="bottom"/>
            <w:hideMark/>
          </w:tcPr>
          <w:p w14:paraId="7FFAEEB8"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2,200</w:t>
            </w:r>
          </w:p>
        </w:tc>
        <w:tc>
          <w:tcPr>
            <w:tcW w:w="1170" w:type="dxa"/>
            <w:tcBorders>
              <w:top w:val="nil"/>
              <w:left w:val="nil"/>
              <w:bottom w:val="nil"/>
              <w:right w:val="nil"/>
            </w:tcBorders>
            <w:shd w:val="clear" w:color="auto" w:fill="auto"/>
            <w:noWrap/>
            <w:vAlign w:val="bottom"/>
            <w:hideMark/>
          </w:tcPr>
          <w:p w14:paraId="58A515A2"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577%</w:t>
            </w:r>
          </w:p>
        </w:tc>
      </w:tr>
      <w:tr w:rsidR="00055DBA" w:rsidRPr="00C270FA" w14:paraId="3C8B0746" w14:textId="77777777" w:rsidTr="00055DBA">
        <w:trPr>
          <w:trHeight w:val="315"/>
          <w:jc w:val="center"/>
        </w:trPr>
        <w:tc>
          <w:tcPr>
            <w:tcW w:w="1620" w:type="dxa"/>
            <w:tcBorders>
              <w:top w:val="nil"/>
              <w:left w:val="nil"/>
              <w:bottom w:val="nil"/>
              <w:right w:val="nil"/>
            </w:tcBorders>
            <w:shd w:val="clear" w:color="auto" w:fill="auto"/>
            <w:noWrap/>
            <w:vAlign w:val="bottom"/>
            <w:hideMark/>
          </w:tcPr>
          <w:p w14:paraId="2142E0CD"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North America</w:t>
            </w:r>
          </w:p>
        </w:tc>
        <w:tc>
          <w:tcPr>
            <w:tcW w:w="900" w:type="dxa"/>
            <w:tcBorders>
              <w:top w:val="nil"/>
              <w:left w:val="nil"/>
              <w:bottom w:val="single" w:sz="4" w:space="0" w:color="auto"/>
              <w:right w:val="nil"/>
            </w:tcBorders>
            <w:shd w:val="clear" w:color="auto" w:fill="auto"/>
            <w:noWrap/>
            <w:vAlign w:val="bottom"/>
            <w:hideMark/>
          </w:tcPr>
          <w:p w14:paraId="1DB6D4CB"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115</w:t>
            </w:r>
          </w:p>
        </w:tc>
        <w:tc>
          <w:tcPr>
            <w:tcW w:w="990" w:type="dxa"/>
            <w:tcBorders>
              <w:top w:val="nil"/>
              <w:left w:val="nil"/>
              <w:bottom w:val="single" w:sz="4" w:space="0" w:color="auto"/>
              <w:right w:val="nil"/>
            </w:tcBorders>
            <w:shd w:val="clear" w:color="auto" w:fill="auto"/>
            <w:noWrap/>
            <w:vAlign w:val="bottom"/>
            <w:hideMark/>
          </w:tcPr>
          <w:p w14:paraId="0A0E2BB1"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1,600</w:t>
            </w:r>
          </w:p>
        </w:tc>
        <w:tc>
          <w:tcPr>
            <w:tcW w:w="1170" w:type="dxa"/>
            <w:tcBorders>
              <w:top w:val="nil"/>
              <w:left w:val="nil"/>
              <w:bottom w:val="single" w:sz="4" w:space="0" w:color="auto"/>
              <w:right w:val="nil"/>
            </w:tcBorders>
            <w:shd w:val="clear" w:color="auto" w:fill="auto"/>
            <w:noWrap/>
            <w:vAlign w:val="bottom"/>
            <w:hideMark/>
          </w:tcPr>
          <w:p w14:paraId="5CAEE4C3"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1,291%</w:t>
            </w:r>
          </w:p>
        </w:tc>
      </w:tr>
      <w:tr w:rsidR="00055DBA" w:rsidRPr="00C270FA" w14:paraId="6962FC8A" w14:textId="77777777" w:rsidTr="00055DBA">
        <w:trPr>
          <w:trHeight w:val="315"/>
          <w:jc w:val="center"/>
        </w:trPr>
        <w:tc>
          <w:tcPr>
            <w:tcW w:w="1620" w:type="dxa"/>
            <w:tcBorders>
              <w:top w:val="nil"/>
              <w:left w:val="nil"/>
              <w:bottom w:val="nil"/>
              <w:right w:val="nil"/>
            </w:tcBorders>
            <w:shd w:val="clear" w:color="auto" w:fill="auto"/>
            <w:noWrap/>
            <w:vAlign w:val="bottom"/>
            <w:hideMark/>
          </w:tcPr>
          <w:p w14:paraId="3CA2DAA0" w14:textId="77777777" w:rsidR="00944BA8" w:rsidRPr="00C270FA" w:rsidRDefault="00944BA8" w:rsidP="00055DBA">
            <w:pPr>
              <w:rPr>
                <w:rFonts w:ascii="Arial" w:hAnsi="Arial" w:cs="Arial"/>
                <w:b/>
                <w:color w:val="000000" w:themeColor="text1"/>
                <w:lang w:val="en-CA"/>
              </w:rPr>
            </w:pPr>
            <w:r w:rsidRPr="00C270FA">
              <w:rPr>
                <w:rFonts w:ascii="Arial" w:hAnsi="Arial" w:cs="Arial"/>
                <w:b/>
                <w:color w:val="000000" w:themeColor="text1"/>
                <w:lang w:val="en-CA"/>
              </w:rPr>
              <w:t>Total</w:t>
            </w:r>
          </w:p>
        </w:tc>
        <w:tc>
          <w:tcPr>
            <w:tcW w:w="900" w:type="dxa"/>
            <w:tcBorders>
              <w:top w:val="nil"/>
              <w:left w:val="nil"/>
              <w:bottom w:val="nil"/>
              <w:right w:val="nil"/>
            </w:tcBorders>
            <w:shd w:val="clear" w:color="auto" w:fill="auto"/>
            <w:noWrap/>
            <w:vAlign w:val="bottom"/>
            <w:hideMark/>
          </w:tcPr>
          <w:p w14:paraId="4EAA0FEE" w14:textId="77777777" w:rsidR="00944BA8" w:rsidRPr="00C270FA" w:rsidRDefault="00944BA8" w:rsidP="00055DBA">
            <w:pPr>
              <w:jc w:val="right"/>
              <w:rPr>
                <w:rFonts w:ascii="Arial" w:hAnsi="Arial" w:cs="Arial"/>
                <w:b/>
                <w:color w:val="000000" w:themeColor="text1"/>
                <w:lang w:val="en-CA"/>
              </w:rPr>
            </w:pPr>
            <w:r w:rsidRPr="00C270FA">
              <w:rPr>
                <w:rFonts w:ascii="Arial" w:hAnsi="Arial" w:cs="Arial"/>
                <w:b/>
                <w:color w:val="000000" w:themeColor="text1"/>
                <w:lang w:val="en-CA"/>
              </w:rPr>
              <w:t>2,090</w:t>
            </w:r>
          </w:p>
        </w:tc>
        <w:tc>
          <w:tcPr>
            <w:tcW w:w="990" w:type="dxa"/>
            <w:tcBorders>
              <w:top w:val="nil"/>
              <w:left w:val="nil"/>
              <w:bottom w:val="nil"/>
              <w:right w:val="nil"/>
            </w:tcBorders>
            <w:shd w:val="clear" w:color="auto" w:fill="auto"/>
            <w:noWrap/>
            <w:vAlign w:val="bottom"/>
            <w:hideMark/>
          </w:tcPr>
          <w:p w14:paraId="6D31F533" w14:textId="77777777" w:rsidR="00944BA8" w:rsidRPr="00C270FA" w:rsidRDefault="00944BA8" w:rsidP="00055DBA">
            <w:pPr>
              <w:jc w:val="right"/>
              <w:rPr>
                <w:rFonts w:ascii="Arial" w:hAnsi="Arial" w:cs="Arial"/>
                <w:b/>
                <w:color w:val="000000" w:themeColor="text1"/>
                <w:lang w:val="en-CA"/>
              </w:rPr>
            </w:pPr>
            <w:r w:rsidRPr="00C270FA">
              <w:rPr>
                <w:rFonts w:ascii="Arial" w:hAnsi="Arial" w:cs="Arial"/>
                <w:b/>
                <w:color w:val="000000" w:themeColor="text1"/>
                <w:lang w:val="en-CA"/>
              </w:rPr>
              <w:t>6,100</w:t>
            </w:r>
          </w:p>
        </w:tc>
        <w:tc>
          <w:tcPr>
            <w:tcW w:w="1170" w:type="dxa"/>
            <w:tcBorders>
              <w:top w:val="nil"/>
              <w:left w:val="nil"/>
              <w:bottom w:val="nil"/>
              <w:right w:val="nil"/>
            </w:tcBorders>
            <w:shd w:val="clear" w:color="auto" w:fill="auto"/>
            <w:noWrap/>
            <w:vAlign w:val="bottom"/>
            <w:hideMark/>
          </w:tcPr>
          <w:p w14:paraId="30989A44" w14:textId="77777777" w:rsidR="00944BA8" w:rsidRPr="00C270FA" w:rsidRDefault="00944BA8" w:rsidP="00055DBA">
            <w:pPr>
              <w:jc w:val="right"/>
              <w:rPr>
                <w:rFonts w:ascii="Arial" w:hAnsi="Arial" w:cs="Arial"/>
                <w:b/>
                <w:color w:val="000000" w:themeColor="text1"/>
                <w:lang w:val="en-CA"/>
              </w:rPr>
            </w:pPr>
            <w:r w:rsidRPr="00C270FA">
              <w:rPr>
                <w:rFonts w:ascii="Arial" w:hAnsi="Arial" w:cs="Arial"/>
                <w:b/>
                <w:color w:val="000000" w:themeColor="text1"/>
                <w:lang w:val="en-CA"/>
              </w:rPr>
              <w:t>192%</w:t>
            </w:r>
          </w:p>
        </w:tc>
      </w:tr>
    </w:tbl>
    <w:p w14:paraId="157F322C" w14:textId="77777777" w:rsidR="00944BA8" w:rsidRPr="00C270FA" w:rsidRDefault="00944BA8" w:rsidP="00055DBA">
      <w:pPr>
        <w:pStyle w:val="Footnote"/>
        <w:rPr>
          <w:lang w:val="en-CA"/>
        </w:rPr>
      </w:pPr>
    </w:p>
    <w:p w14:paraId="4BB47503" w14:textId="35E7D37B" w:rsidR="00944BA8" w:rsidRPr="00C270FA" w:rsidRDefault="00944BA8" w:rsidP="00055DBA">
      <w:pPr>
        <w:pStyle w:val="Footnote"/>
        <w:rPr>
          <w:lang w:val="en-CA"/>
        </w:rPr>
      </w:pPr>
      <w:r w:rsidRPr="00C270FA">
        <w:rPr>
          <w:lang w:val="en-CA"/>
        </w:rPr>
        <w:t>Source: Company files</w:t>
      </w:r>
      <w:r w:rsidR="006749DD" w:rsidRPr="00C270FA">
        <w:rPr>
          <w:lang w:val="en-CA"/>
        </w:rPr>
        <w:t>.</w:t>
      </w:r>
    </w:p>
    <w:p w14:paraId="64F9C250" w14:textId="77777777" w:rsidR="00944BA8" w:rsidRPr="00C270FA" w:rsidRDefault="00944BA8" w:rsidP="00055DBA">
      <w:pPr>
        <w:pStyle w:val="Footnote"/>
        <w:rPr>
          <w:lang w:val="en-CA"/>
        </w:rPr>
      </w:pPr>
    </w:p>
    <w:p w14:paraId="5CA0692D" w14:textId="77777777" w:rsidR="00944BA8" w:rsidRPr="00C270FA" w:rsidRDefault="00944BA8" w:rsidP="00944BA8">
      <w:pPr>
        <w:rPr>
          <w:rFonts w:eastAsiaTheme="minorHAnsi"/>
          <w:color w:val="000000"/>
          <w:lang w:val="en-CA"/>
        </w:rPr>
      </w:pPr>
      <w:r w:rsidRPr="00C270FA">
        <w:rPr>
          <w:lang w:val="en-CA"/>
        </w:rPr>
        <w:br w:type="page"/>
      </w:r>
    </w:p>
    <w:p w14:paraId="4071E7E7" w14:textId="5FFCB841" w:rsidR="00944BA8" w:rsidRPr="00C270FA" w:rsidRDefault="00944BA8" w:rsidP="000307A3">
      <w:pPr>
        <w:pStyle w:val="ExhibitHeading"/>
        <w:rPr>
          <w:lang w:val="en-CA"/>
        </w:rPr>
      </w:pPr>
      <w:r w:rsidRPr="00C270FA">
        <w:rPr>
          <w:lang w:val="en-CA"/>
        </w:rPr>
        <w:lastRenderedPageBreak/>
        <w:t xml:space="preserve">EXHIBIT </w:t>
      </w:r>
      <w:r w:rsidR="001416FB" w:rsidRPr="00C270FA">
        <w:rPr>
          <w:lang w:val="en-CA"/>
        </w:rPr>
        <w:t>4</w:t>
      </w:r>
      <w:r w:rsidRPr="00C270FA">
        <w:rPr>
          <w:lang w:val="en-CA"/>
        </w:rPr>
        <w:t xml:space="preserve">: HISTORY OF </w:t>
      </w:r>
      <w:r w:rsidR="00B60126" w:rsidRPr="00C270FA">
        <w:rPr>
          <w:lang w:val="en-CA"/>
        </w:rPr>
        <w:t>Medicom—</w:t>
      </w:r>
      <w:r w:rsidRPr="00C270FA">
        <w:rPr>
          <w:lang w:val="en-CA"/>
        </w:rPr>
        <w:t>KEY EVENTS</w:t>
      </w:r>
    </w:p>
    <w:p w14:paraId="6CDA71D1" w14:textId="77777777" w:rsidR="00944BA8" w:rsidRPr="00C270FA" w:rsidRDefault="00944BA8" w:rsidP="00944BA8">
      <w:pPr>
        <w:rPr>
          <w:rFonts w:ascii="Arial" w:eastAsia="Calibri" w:hAnsi="Arial" w:cs="Arial"/>
          <w:b/>
          <w:bCs/>
          <w:sz w:val="16"/>
          <w:lang w:val="en-CA"/>
        </w:rPr>
      </w:pPr>
    </w:p>
    <w:tbl>
      <w:tblPr>
        <w:tblStyle w:val="TableGrid1"/>
        <w:tblW w:w="0" w:type="auto"/>
        <w:tblLook w:val="04A0" w:firstRow="1" w:lastRow="0" w:firstColumn="1" w:lastColumn="0" w:noHBand="0" w:noVBand="1"/>
      </w:tblPr>
      <w:tblGrid>
        <w:gridCol w:w="948"/>
        <w:gridCol w:w="8402"/>
      </w:tblGrid>
      <w:tr w:rsidR="00944BA8" w:rsidRPr="00C270FA" w14:paraId="286C9205" w14:textId="77777777" w:rsidTr="00055DBA">
        <w:tc>
          <w:tcPr>
            <w:tcW w:w="988" w:type="dxa"/>
            <w:vAlign w:val="center"/>
          </w:tcPr>
          <w:p w14:paraId="134D4428" w14:textId="77777777" w:rsidR="00944BA8" w:rsidRPr="00C270FA" w:rsidRDefault="00944BA8" w:rsidP="00055DBA">
            <w:pPr>
              <w:spacing w:before="60" w:after="60"/>
              <w:jc w:val="center"/>
              <w:rPr>
                <w:rFonts w:ascii="Arial" w:eastAsia="Calibri" w:hAnsi="Arial" w:cs="Arial"/>
                <w:b/>
                <w:bCs/>
                <w:lang w:val="en-CA"/>
              </w:rPr>
            </w:pPr>
            <w:r w:rsidRPr="00C270FA">
              <w:rPr>
                <w:rFonts w:ascii="Arial" w:eastAsia="Calibri" w:hAnsi="Arial" w:cs="Arial"/>
                <w:b/>
                <w:bCs/>
                <w:lang w:val="en-CA"/>
              </w:rPr>
              <w:t>Year</w:t>
            </w:r>
          </w:p>
        </w:tc>
        <w:tc>
          <w:tcPr>
            <w:tcW w:w="9267" w:type="dxa"/>
            <w:vAlign w:val="center"/>
          </w:tcPr>
          <w:p w14:paraId="163C754C" w14:textId="77777777" w:rsidR="00944BA8" w:rsidRPr="00C270FA" w:rsidRDefault="00944BA8" w:rsidP="00055DBA">
            <w:pPr>
              <w:spacing w:before="60" w:after="60"/>
              <w:jc w:val="center"/>
              <w:rPr>
                <w:rFonts w:ascii="Arial" w:eastAsia="Calibri" w:hAnsi="Arial" w:cs="Arial"/>
                <w:b/>
                <w:bCs/>
                <w:lang w:val="en-CA"/>
              </w:rPr>
            </w:pPr>
            <w:r w:rsidRPr="00C270FA">
              <w:rPr>
                <w:rFonts w:ascii="Arial" w:eastAsia="Calibri" w:hAnsi="Arial" w:cs="Arial"/>
                <w:b/>
                <w:bCs/>
                <w:lang w:val="en-CA"/>
              </w:rPr>
              <w:t>Events</w:t>
            </w:r>
          </w:p>
        </w:tc>
      </w:tr>
      <w:tr w:rsidR="00944BA8" w:rsidRPr="00C270FA" w14:paraId="4E1A039B" w14:textId="77777777" w:rsidTr="00DB5C79">
        <w:tc>
          <w:tcPr>
            <w:tcW w:w="988" w:type="dxa"/>
            <w:vAlign w:val="center"/>
          </w:tcPr>
          <w:p w14:paraId="682A8023"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1988</w:t>
            </w:r>
          </w:p>
        </w:tc>
        <w:tc>
          <w:tcPr>
            <w:tcW w:w="9267" w:type="dxa"/>
          </w:tcPr>
          <w:p w14:paraId="4182B301" w14:textId="0349A438" w:rsidR="00944BA8" w:rsidRPr="00C270FA" w:rsidRDefault="00944BA8" w:rsidP="00944BA8">
            <w:pPr>
              <w:pStyle w:val="ListParagraph"/>
              <w:numPr>
                <w:ilvl w:val="0"/>
                <w:numId w:val="13"/>
              </w:numPr>
              <w:ind w:left="158" w:right="504" w:hanging="187"/>
              <w:contextualSpacing w:val="0"/>
              <w:rPr>
                <w:rFonts w:ascii="Arial" w:hAnsi="Arial" w:cs="Arial"/>
                <w:sz w:val="18"/>
                <w:szCs w:val="20"/>
                <w:lang w:val="en-CA"/>
              </w:rPr>
            </w:pPr>
            <w:r w:rsidRPr="00C270FA">
              <w:rPr>
                <w:rFonts w:ascii="Arial" w:hAnsi="Arial" w:cs="Arial"/>
                <w:sz w:val="18"/>
                <w:szCs w:val="20"/>
                <w:lang w:val="en-CA"/>
              </w:rPr>
              <w:t xml:space="preserve">Founded by Ronald Reuben in Montreal, Quebec, distributing </w:t>
            </w:r>
            <w:proofErr w:type="spellStart"/>
            <w:r w:rsidRPr="00C270FA">
              <w:rPr>
                <w:rFonts w:ascii="Arial" w:hAnsi="Arial" w:cs="Arial"/>
                <w:sz w:val="18"/>
                <w:szCs w:val="20"/>
                <w:lang w:val="en-CA"/>
              </w:rPr>
              <w:t>SafeTouch</w:t>
            </w:r>
            <w:proofErr w:type="spellEnd"/>
            <w:r w:rsidRPr="00C270FA">
              <w:rPr>
                <w:rFonts w:ascii="Arial" w:hAnsi="Arial" w:cs="Arial"/>
                <w:sz w:val="18"/>
                <w:szCs w:val="20"/>
                <w:lang w:val="en-CA"/>
              </w:rPr>
              <w:t xml:space="preserve"> brand medical gloves</w:t>
            </w:r>
            <w:r w:rsidR="00B60126" w:rsidRPr="00C270FA">
              <w:rPr>
                <w:rFonts w:ascii="Arial" w:hAnsi="Arial" w:cs="Arial"/>
                <w:sz w:val="18"/>
                <w:szCs w:val="20"/>
                <w:lang w:val="en-CA"/>
              </w:rPr>
              <w:t>.</w:t>
            </w:r>
            <w:r w:rsidRPr="00C270FA">
              <w:rPr>
                <w:rFonts w:ascii="Arial" w:hAnsi="Arial" w:cs="Arial"/>
                <w:sz w:val="18"/>
                <w:szCs w:val="20"/>
                <w:lang w:val="en-CA"/>
              </w:rPr>
              <w:t xml:space="preserve"> </w:t>
            </w:r>
          </w:p>
        </w:tc>
      </w:tr>
      <w:tr w:rsidR="00944BA8" w:rsidRPr="00C270FA" w14:paraId="73DCF5E1" w14:textId="77777777" w:rsidTr="00DB5C79">
        <w:tc>
          <w:tcPr>
            <w:tcW w:w="988" w:type="dxa"/>
            <w:vAlign w:val="center"/>
          </w:tcPr>
          <w:p w14:paraId="57092DC5"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1989</w:t>
            </w:r>
          </w:p>
        </w:tc>
        <w:tc>
          <w:tcPr>
            <w:tcW w:w="9267" w:type="dxa"/>
          </w:tcPr>
          <w:p w14:paraId="162DBDF4" w14:textId="7D3581BB" w:rsidR="00944BA8" w:rsidRPr="00C270FA" w:rsidRDefault="00B60126" w:rsidP="00944BA8">
            <w:pPr>
              <w:pStyle w:val="ListParagraph"/>
              <w:numPr>
                <w:ilvl w:val="0"/>
                <w:numId w:val="13"/>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Expanded </w:t>
            </w:r>
            <w:r w:rsidR="00944BA8" w:rsidRPr="00C270FA">
              <w:rPr>
                <w:rFonts w:ascii="Arial" w:hAnsi="Arial" w:cs="Arial"/>
                <w:sz w:val="18"/>
                <w:szCs w:val="20"/>
                <w:lang w:val="en-CA"/>
              </w:rPr>
              <w:t xml:space="preserve">product range into infection control and sterile cotton products under the brand name </w:t>
            </w:r>
            <w:proofErr w:type="spellStart"/>
            <w:r w:rsidR="00944BA8" w:rsidRPr="00C270FA">
              <w:rPr>
                <w:rFonts w:ascii="Arial" w:hAnsi="Arial" w:cs="Arial"/>
                <w:sz w:val="18"/>
                <w:szCs w:val="20"/>
                <w:lang w:val="en-CA"/>
              </w:rPr>
              <w:t>SafeGauze</w:t>
            </w:r>
            <w:proofErr w:type="spellEnd"/>
            <w:r w:rsidRPr="00C270FA">
              <w:rPr>
                <w:rFonts w:ascii="Arial" w:hAnsi="Arial" w:cs="Arial"/>
                <w:sz w:val="18"/>
                <w:szCs w:val="20"/>
                <w:lang w:val="en-CA"/>
              </w:rPr>
              <w:t>.</w:t>
            </w:r>
          </w:p>
        </w:tc>
      </w:tr>
      <w:tr w:rsidR="00944BA8" w:rsidRPr="00C270FA" w14:paraId="0C5AD4DC" w14:textId="77777777" w:rsidTr="00DB5C79">
        <w:tc>
          <w:tcPr>
            <w:tcW w:w="988" w:type="dxa"/>
            <w:vAlign w:val="center"/>
          </w:tcPr>
          <w:p w14:paraId="7ED1BA70"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1997</w:t>
            </w:r>
          </w:p>
        </w:tc>
        <w:tc>
          <w:tcPr>
            <w:tcW w:w="9267" w:type="dxa"/>
          </w:tcPr>
          <w:p w14:paraId="4EEA44B6" w14:textId="08BEE743" w:rsidR="00944BA8" w:rsidRPr="00C270FA" w:rsidRDefault="00B60126"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Sourced </w:t>
            </w:r>
            <w:r w:rsidR="00944BA8" w:rsidRPr="00C270FA">
              <w:rPr>
                <w:rFonts w:ascii="Arial" w:hAnsi="Arial" w:cs="Arial"/>
                <w:sz w:val="18"/>
                <w:szCs w:val="20"/>
                <w:lang w:val="en-CA"/>
              </w:rPr>
              <w:t>production of masks and paper products to United Medical Enterprises (UME) plant in Augusta, Georgia</w:t>
            </w:r>
            <w:r w:rsidRPr="00C270FA">
              <w:rPr>
                <w:rFonts w:ascii="Arial" w:hAnsi="Arial" w:cs="Arial"/>
                <w:sz w:val="18"/>
                <w:szCs w:val="20"/>
                <w:lang w:val="en-CA"/>
              </w:rPr>
              <w:t>.</w:t>
            </w:r>
          </w:p>
        </w:tc>
      </w:tr>
      <w:tr w:rsidR="00944BA8" w:rsidRPr="00C270FA" w14:paraId="4C2ACD07" w14:textId="77777777" w:rsidTr="00DB5C79">
        <w:tc>
          <w:tcPr>
            <w:tcW w:w="988" w:type="dxa"/>
            <w:vAlign w:val="center"/>
          </w:tcPr>
          <w:p w14:paraId="13A4AE20"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1998</w:t>
            </w:r>
          </w:p>
        </w:tc>
        <w:tc>
          <w:tcPr>
            <w:tcW w:w="9267" w:type="dxa"/>
          </w:tcPr>
          <w:p w14:paraId="2FB8CFED" w14:textId="1EBAA06D" w:rsidR="00944BA8" w:rsidRPr="00C270FA" w:rsidRDefault="00B60126"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Started </w:t>
            </w:r>
            <w:r w:rsidR="00944BA8" w:rsidRPr="00C270FA">
              <w:rPr>
                <w:rFonts w:ascii="Arial" w:hAnsi="Arial" w:cs="Arial"/>
                <w:sz w:val="18"/>
                <w:szCs w:val="20"/>
                <w:lang w:val="en-CA"/>
              </w:rPr>
              <w:t>manufacturing masks by acquiring the UME plant</w:t>
            </w:r>
            <w:r w:rsidRPr="00C270FA">
              <w:rPr>
                <w:rFonts w:ascii="Arial" w:hAnsi="Arial" w:cs="Arial"/>
                <w:sz w:val="18"/>
                <w:szCs w:val="20"/>
                <w:lang w:val="en-CA"/>
              </w:rPr>
              <w:t>.</w:t>
            </w:r>
          </w:p>
          <w:p w14:paraId="600D89D1" w14:textId="78A93A14" w:rsidR="00944BA8" w:rsidRPr="00C270FA" w:rsidRDefault="00B60126"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Launched </w:t>
            </w:r>
            <w:r w:rsidR="00944BA8" w:rsidRPr="00C270FA">
              <w:rPr>
                <w:rFonts w:ascii="Arial" w:hAnsi="Arial" w:cs="Arial"/>
                <w:sz w:val="18"/>
                <w:szCs w:val="20"/>
                <w:lang w:val="en-CA"/>
              </w:rPr>
              <w:t xml:space="preserve">medical division by acquiring AMD </w:t>
            </w:r>
            <w:proofErr w:type="spellStart"/>
            <w:r w:rsidR="00944BA8" w:rsidRPr="00C270FA">
              <w:rPr>
                <w:rFonts w:ascii="Arial" w:hAnsi="Arial" w:cs="Arial"/>
                <w:sz w:val="18"/>
                <w:szCs w:val="20"/>
                <w:lang w:val="en-CA"/>
              </w:rPr>
              <w:t>Ritmed</w:t>
            </w:r>
            <w:proofErr w:type="spellEnd"/>
            <w:r w:rsidRPr="00C270FA">
              <w:rPr>
                <w:rFonts w:ascii="Arial" w:hAnsi="Arial" w:cs="Arial"/>
                <w:sz w:val="18"/>
                <w:szCs w:val="20"/>
                <w:lang w:val="en-CA"/>
              </w:rPr>
              <w:t>.</w:t>
            </w:r>
            <w:r w:rsidR="00944BA8" w:rsidRPr="00C270FA">
              <w:rPr>
                <w:rFonts w:ascii="Arial" w:hAnsi="Arial" w:cs="Arial"/>
                <w:sz w:val="18"/>
                <w:szCs w:val="20"/>
                <w:lang w:val="en-CA"/>
              </w:rPr>
              <w:t xml:space="preserve"> </w:t>
            </w:r>
          </w:p>
          <w:p w14:paraId="026D0526" w14:textId="0F261238" w:rsidR="00944BA8" w:rsidRPr="00C270FA" w:rsidRDefault="00B60126"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Acquired </w:t>
            </w:r>
            <w:proofErr w:type="spellStart"/>
            <w:r w:rsidR="00944BA8" w:rsidRPr="00C270FA">
              <w:rPr>
                <w:rFonts w:ascii="Arial" w:hAnsi="Arial" w:cs="Arial"/>
                <w:sz w:val="18"/>
                <w:szCs w:val="20"/>
                <w:lang w:val="en-CA"/>
              </w:rPr>
              <w:t>Ritmed</w:t>
            </w:r>
            <w:proofErr w:type="spellEnd"/>
            <w:r w:rsidR="00944BA8" w:rsidRPr="00C270FA">
              <w:rPr>
                <w:rFonts w:ascii="Arial" w:hAnsi="Arial" w:cs="Arial"/>
                <w:sz w:val="18"/>
                <w:szCs w:val="20"/>
                <w:lang w:val="en-CA"/>
              </w:rPr>
              <w:t xml:space="preserve"> brand</w:t>
            </w:r>
            <w:r w:rsidRPr="00C270FA">
              <w:rPr>
                <w:rFonts w:ascii="Arial" w:hAnsi="Arial" w:cs="Arial"/>
                <w:sz w:val="18"/>
                <w:szCs w:val="20"/>
                <w:lang w:val="en-CA"/>
              </w:rPr>
              <w:t>.</w:t>
            </w:r>
          </w:p>
          <w:p w14:paraId="2B6B3DB3" w14:textId="29CD409E" w:rsidR="00944BA8" w:rsidRPr="00C270FA" w:rsidRDefault="00944BA8"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Reache</w:t>
            </w:r>
            <w:r w:rsidR="00B60126" w:rsidRPr="00C270FA">
              <w:rPr>
                <w:rFonts w:ascii="Arial" w:hAnsi="Arial" w:cs="Arial"/>
                <w:sz w:val="18"/>
                <w:szCs w:val="20"/>
                <w:lang w:val="en-CA"/>
              </w:rPr>
              <w:t>d</w:t>
            </w:r>
            <w:r w:rsidRPr="00C270FA">
              <w:rPr>
                <w:rFonts w:ascii="Arial" w:hAnsi="Arial" w:cs="Arial"/>
                <w:sz w:val="18"/>
                <w:szCs w:val="20"/>
                <w:lang w:val="en-CA"/>
              </w:rPr>
              <w:t xml:space="preserve"> </w:t>
            </w:r>
            <w:r w:rsidR="00DD527C" w:rsidRPr="00C270FA">
              <w:rPr>
                <w:rFonts w:ascii="Arial" w:hAnsi="Arial" w:cs="Arial"/>
                <w:sz w:val="18"/>
                <w:szCs w:val="20"/>
                <w:lang w:val="en-CA"/>
              </w:rPr>
              <w:t>CA</w:t>
            </w:r>
            <w:r w:rsidRPr="00C270FA">
              <w:rPr>
                <w:rFonts w:ascii="Arial" w:hAnsi="Arial" w:cs="Arial"/>
                <w:sz w:val="18"/>
                <w:szCs w:val="20"/>
                <w:lang w:val="en-CA"/>
              </w:rPr>
              <w:t>$10 million in sales</w:t>
            </w:r>
            <w:r w:rsidR="00B60126" w:rsidRPr="00C270FA">
              <w:rPr>
                <w:rFonts w:ascii="Arial" w:hAnsi="Arial" w:cs="Arial"/>
                <w:sz w:val="18"/>
                <w:szCs w:val="20"/>
                <w:lang w:val="en-CA"/>
              </w:rPr>
              <w:t>.</w:t>
            </w:r>
          </w:p>
        </w:tc>
      </w:tr>
      <w:tr w:rsidR="00944BA8" w:rsidRPr="00C270FA" w14:paraId="6C7A23A5" w14:textId="77777777" w:rsidTr="00DB5C79">
        <w:tc>
          <w:tcPr>
            <w:tcW w:w="988" w:type="dxa"/>
            <w:vAlign w:val="center"/>
          </w:tcPr>
          <w:p w14:paraId="21085D96"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1999</w:t>
            </w:r>
          </w:p>
        </w:tc>
        <w:tc>
          <w:tcPr>
            <w:tcW w:w="9267" w:type="dxa"/>
          </w:tcPr>
          <w:p w14:paraId="58FB0760" w14:textId="74BADEDC" w:rsidR="00944BA8" w:rsidRPr="00C270FA" w:rsidRDefault="00944BA8"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Set up </w:t>
            </w:r>
            <w:proofErr w:type="spellStart"/>
            <w:r w:rsidRPr="00C270FA">
              <w:rPr>
                <w:rFonts w:ascii="Arial" w:hAnsi="Arial" w:cs="Arial"/>
                <w:sz w:val="18"/>
                <w:szCs w:val="20"/>
                <w:lang w:val="en-CA"/>
              </w:rPr>
              <w:t>Medicom</w:t>
            </w:r>
            <w:proofErr w:type="spellEnd"/>
            <w:r w:rsidRPr="00C270FA">
              <w:rPr>
                <w:rFonts w:ascii="Arial" w:hAnsi="Arial" w:cs="Arial"/>
                <w:sz w:val="18"/>
                <w:szCs w:val="20"/>
                <w:lang w:val="en-CA"/>
              </w:rPr>
              <w:t xml:space="preserve"> BV in </w:t>
            </w:r>
            <w:r w:rsidR="00B60126" w:rsidRPr="00C270FA">
              <w:rPr>
                <w:rFonts w:ascii="Arial" w:hAnsi="Arial" w:cs="Arial"/>
                <w:sz w:val="18"/>
                <w:szCs w:val="20"/>
                <w:lang w:val="en-CA"/>
              </w:rPr>
              <w:t>t</w:t>
            </w:r>
            <w:r w:rsidRPr="00C270FA">
              <w:rPr>
                <w:rFonts w:ascii="Arial" w:hAnsi="Arial" w:cs="Arial"/>
                <w:sz w:val="18"/>
                <w:szCs w:val="20"/>
                <w:lang w:val="en-CA"/>
              </w:rPr>
              <w:t>he Netherlands</w:t>
            </w:r>
            <w:r w:rsidR="00B60126" w:rsidRPr="00C270FA">
              <w:rPr>
                <w:rFonts w:ascii="Arial" w:hAnsi="Arial" w:cs="Arial"/>
                <w:sz w:val="18"/>
                <w:szCs w:val="20"/>
                <w:lang w:val="en-CA"/>
              </w:rPr>
              <w:t>,</w:t>
            </w:r>
            <w:r w:rsidRPr="00C270FA">
              <w:rPr>
                <w:rFonts w:ascii="Arial" w:hAnsi="Arial" w:cs="Arial"/>
                <w:sz w:val="18"/>
                <w:szCs w:val="20"/>
                <w:lang w:val="en-CA"/>
              </w:rPr>
              <w:t xml:space="preserve"> targeting European market</w:t>
            </w:r>
            <w:r w:rsidR="00B60126" w:rsidRPr="00C270FA">
              <w:rPr>
                <w:rFonts w:ascii="Arial" w:hAnsi="Arial" w:cs="Arial"/>
                <w:sz w:val="18"/>
                <w:szCs w:val="20"/>
                <w:lang w:val="en-CA"/>
              </w:rPr>
              <w:t>.</w:t>
            </w:r>
          </w:p>
          <w:p w14:paraId="3156DD72" w14:textId="0A9DB5AF"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Moved </w:t>
            </w:r>
            <w:r w:rsidR="00944BA8" w:rsidRPr="00C270FA">
              <w:rPr>
                <w:rFonts w:ascii="Arial" w:hAnsi="Arial" w:cs="Arial"/>
                <w:sz w:val="18"/>
                <w:szCs w:val="20"/>
                <w:lang w:val="en-CA"/>
              </w:rPr>
              <w:t>into making private labels for nonwovens and cotton rolls</w:t>
            </w:r>
            <w:r w:rsidRPr="00C270FA">
              <w:rPr>
                <w:rFonts w:ascii="Arial" w:hAnsi="Arial" w:cs="Arial"/>
                <w:sz w:val="18"/>
                <w:szCs w:val="20"/>
                <w:lang w:val="en-CA"/>
              </w:rPr>
              <w:t>.</w:t>
            </w:r>
          </w:p>
        </w:tc>
      </w:tr>
      <w:tr w:rsidR="00944BA8" w:rsidRPr="00C270FA" w14:paraId="4F1ED4FB" w14:textId="77777777" w:rsidTr="00DB5C79">
        <w:tc>
          <w:tcPr>
            <w:tcW w:w="988" w:type="dxa"/>
            <w:vAlign w:val="center"/>
          </w:tcPr>
          <w:p w14:paraId="24B66ADA"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2000</w:t>
            </w:r>
          </w:p>
        </w:tc>
        <w:tc>
          <w:tcPr>
            <w:tcW w:w="9267" w:type="dxa"/>
          </w:tcPr>
          <w:p w14:paraId="052DF50E" w14:textId="5F4FC128" w:rsidR="00944BA8" w:rsidRPr="00C270FA" w:rsidRDefault="00944BA8"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Set up </w:t>
            </w:r>
            <w:proofErr w:type="spellStart"/>
            <w:r w:rsidRPr="00C270FA">
              <w:rPr>
                <w:rFonts w:ascii="Arial" w:hAnsi="Arial" w:cs="Arial"/>
                <w:sz w:val="18"/>
                <w:szCs w:val="20"/>
                <w:lang w:val="en-CA"/>
              </w:rPr>
              <w:t>Medicom</w:t>
            </w:r>
            <w:proofErr w:type="spellEnd"/>
            <w:r w:rsidRPr="00C270FA">
              <w:rPr>
                <w:rFonts w:ascii="Arial" w:hAnsi="Arial" w:cs="Arial"/>
                <w:sz w:val="18"/>
                <w:szCs w:val="20"/>
                <w:lang w:val="en-CA"/>
              </w:rPr>
              <w:t xml:space="preserve"> Asia in Hong Kong</w:t>
            </w:r>
            <w:r w:rsidR="005A25D9" w:rsidRPr="00C270FA">
              <w:rPr>
                <w:rFonts w:ascii="Arial" w:hAnsi="Arial" w:cs="Arial"/>
                <w:sz w:val="18"/>
                <w:szCs w:val="20"/>
                <w:lang w:val="en-CA"/>
              </w:rPr>
              <w:t>,</w:t>
            </w:r>
            <w:r w:rsidRPr="00C270FA">
              <w:rPr>
                <w:rFonts w:ascii="Arial" w:hAnsi="Arial" w:cs="Arial"/>
                <w:sz w:val="18"/>
                <w:szCs w:val="20"/>
                <w:lang w:val="en-CA"/>
              </w:rPr>
              <w:t xml:space="preserve"> targeting the Asian markets</w:t>
            </w:r>
            <w:r w:rsidR="005A25D9" w:rsidRPr="00C270FA">
              <w:rPr>
                <w:rFonts w:ascii="Arial" w:hAnsi="Arial" w:cs="Arial"/>
                <w:sz w:val="18"/>
                <w:szCs w:val="20"/>
                <w:lang w:val="en-CA"/>
              </w:rPr>
              <w:t>.</w:t>
            </w:r>
          </w:p>
        </w:tc>
      </w:tr>
      <w:tr w:rsidR="00944BA8" w:rsidRPr="00C270FA" w14:paraId="6692C37C" w14:textId="77777777" w:rsidTr="00DB5C79">
        <w:tc>
          <w:tcPr>
            <w:tcW w:w="988" w:type="dxa"/>
            <w:vAlign w:val="center"/>
          </w:tcPr>
          <w:p w14:paraId="6CDD722E"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2002</w:t>
            </w:r>
          </w:p>
        </w:tc>
        <w:tc>
          <w:tcPr>
            <w:tcW w:w="9267" w:type="dxa"/>
          </w:tcPr>
          <w:p w14:paraId="0672361E" w14:textId="11B1F96B"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Opened </w:t>
            </w:r>
            <w:r w:rsidR="00944BA8" w:rsidRPr="00C270FA">
              <w:rPr>
                <w:rFonts w:ascii="Arial" w:hAnsi="Arial" w:cs="Arial"/>
                <w:sz w:val="18"/>
                <w:szCs w:val="20"/>
                <w:lang w:val="en-CA"/>
              </w:rPr>
              <w:t>a manufacturing plant in Shanghai, China</w:t>
            </w:r>
            <w:r w:rsidRPr="00C270FA">
              <w:rPr>
                <w:rFonts w:ascii="Arial" w:hAnsi="Arial" w:cs="Arial"/>
                <w:sz w:val="18"/>
                <w:szCs w:val="20"/>
                <w:lang w:val="en-CA"/>
              </w:rPr>
              <w:t>.</w:t>
            </w:r>
          </w:p>
        </w:tc>
      </w:tr>
      <w:tr w:rsidR="00944BA8" w:rsidRPr="00C270FA" w14:paraId="11B06A9A" w14:textId="77777777" w:rsidTr="00DB5C79">
        <w:tc>
          <w:tcPr>
            <w:tcW w:w="988" w:type="dxa"/>
            <w:vAlign w:val="center"/>
          </w:tcPr>
          <w:p w14:paraId="27625ACB"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2003</w:t>
            </w:r>
          </w:p>
        </w:tc>
        <w:tc>
          <w:tcPr>
            <w:tcW w:w="9267" w:type="dxa"/>
          </w:tcPr>
          <w:p w14:paraId="0341E30F" w14:textId="73BA4832"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Formed </w:t>
            </w:r>
            <w:proofErr w:type="spellStart"/>
            <w:r w:rsidR="00944BA8" w:rsidRPr="00C270FA">
              <w:rPr>
                <w:rFonts w:ascii="Arial" w:hAnsi="Arial" w:cs="Arial"/>
                <w:sz w:val="18"/>
                <w:szCs w:val="20"/>
                <w:lang w:val="en-CA"/>
              </w:rPr>
              <w:t>Medicom</w:t>
            </w:r>
            <w:proofErr w:type="spellEnd"/>
            <w:r w:rsidR="00944BA8" w:rsidRPr="00C270FA">
              <w:rPr>
                <w:rFonts w:ascii="Arial" w:hAnsi="Arial" w:cs="Arial"/>
                <w:sz w:val="18"/>
                <w:szCs w:val="20"/>
                <w:lang w:val="en-CA"/>
              </w:rPr>
              <w:t xml:space="preserve"> Japan in Kobe, Japan, by acquiring a local distributor</w:t>
            </w:r>
            <w:r w:rsidRPr="00C270FA">
              <w:rPr>
                <w:rFonts w:ascii="Arial" w:hAnsi="Arial" w:cs="Arial"/>
                <w:sz w:val="18"/>
                <w:szCs w:val="20"/>
                <w:lang w:val="en-CA"/>
              </w:rPr>
              <w:t>.</w:t>
            </w:r>
          </w:p>
        </w:tc>
      </w:tr>
      <w:tr w:rsidR="00944BA8" w:rsidRPr="00C270FA" w14:paraId="0CD8BF5B" w14:textId="77777777" w:rsidTr="00DB5C79">
        <w:tc>
          <w:tcPr>
            <w:tcW w:w="988" w:type="dxa"/>
            <w:vAlign w:val="center"/>
          </w:tcPr>
          <w:p w14:paraId="37F6599C"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2008</w:t>
            </w:r>
          </w:p>
        </w:tc>
        <w:tc>
          <w:tcPr>
            <w:tcW w:w="9267" w:type="dxa"/>
          </w:tcPr>
          <w:p w14:paraId="00D880FB" w14:textId="7DEEBF47"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Reached </w:t>
            </w:r>
            <w:r w:rsidR="00DD527C" w:rsidRPr="00C270FA">
              <w:rPr>
                <w:rFonts w:ascii="Arial" w:hAnsi="Arial" w:cs="Arial"/>
                <w:sz w:val="18"/>
                <w:szCs w:val="20"/>
                <w:lang w:val="en-CA"/>
              </w:rPr>
              <w:t>CA</w:t>
            </w:r>
            <w:r w:rsidR="00944BA8" w:rsidRPr="00C270FA">
              <w:rPr>
                <w:rFonts w:ascii="Arial" w:hAnsi="Arial" w:cs="Arial"/>
                <w:sz w:val="18"/>
                <w:szCs w:val="20"/>
                <w:lang w:val="en-CA"/>
              </w:rPr>
              <w:t>$100 million in sales</w:t>
            </w:r>
            <w:r w:rsidRPr="00C270FA">
              <w:rPr>
                <w:rFonts w:ascii="Arial" w:hAnsi="Arial" w:cs="Arial"/>
                <w:sz w:val="18"/>
                <w:szCs w:val="20"/>
                <w:lang w:val="en-CA"/>
              </w:rPr>
              <w:t>.</w:t>
            </w:r>
          </w:p>
        </w:tc>
      </w:tr>
      <w:tr w:rsidR="00944BA8" w:rsidRPr="00C270FA" w14:paraId="6895343F" w14:textId="77777777" w:rsidTr="00DB5C79">
        <w:tc>
          <w:tcPr>
            <w:tcW w:w="988" w:type="dxa"/>
            <w:vAlign w:val="center"/>
          </w:tcPr>
          <w:p w14:paraId="7231B2F0"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2009</w:t>
            </w:r>
          </w:p>
        </w:tc>
        <w:tc>
          <w:tcPr>
            <w:tcW w:w="9267" w:type="dxa"/>
          </w:tcPr>
          <w:p w14:paraId="77AAA552" w14:textId="08B868CC"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Acquired </w:t>
            </w:r>
            <w:r w:rsidR="00944BA8" w:rsidRPr="00C270FA">
              <w:rPr>
                <w:rFonts w:ascii="Arial" w:hAnsi="Arial" w:cs="Arial"/>
                <w:sz w:val="18"/>
                <w:szCs w:val="20"/>
                <w:lang w:val="en-CA"/>
              </w:rPr>
              <w:t xml:space="preserve">a factory </w:t>
            </w:r>
            <w:r w:rsidRPr="00C270FA">
              <w:rPr>
                <w:rFonts w:ascii="Arial" w:hAnsi="Arial" w:cs="Arial"/>
                <w:sz w:val="18"/>
                <w:szCs w:val="20"/>
                <w:lang w:val="en-CA"/>
              </w:rPr>
              <w:t xml:space="preserve">in </w:t>
            </w:r>
            <w:proofErr w:type="spellStart"/>
            <w:r w:rsidR="00944BA8" w:rsidRPr="00C270FA">
              <w:rPr>
                <w:rFonts w:ascii="Arial" w:hAnsi="Arial" w:cs="Arial"/>
                <w:sz w:val="18"/>
                <w:szCs w:val="20"/>
                <w:lang w:val="en-CA"/>
              </w:rPr>
              <w:t>Yilan</w:t>
            </w:r>
            <w:proofErr w:type="spellEnd"/>
            <w:r w:rsidRPr="00C270FA">
              <w:rPr>
                <w:rFonts w:ascii="Arial" w:hAnsi="Arial" w:cs="Arial"/>
                <w:sz w:val="18"/>
                <w:szCs w:val="20"/>
                <w:lang w:val="en-CA"/>
              </w:rPr>
              <w:t>,</w:t>
            </w:r>
            <w:r w:rsidR="00944BA8" w:rsidRPr="00C270FA">
              <w:rPr>
                <w:rFonts w:ascii="Arial" w:hAnsi="Arial" w:cs="Arial"/>
                <w:sz w:val="18"/>
                <w:szCs w:val="20"/>
                <w:lang w:val="en-CA"/>
              </w:rPr>
              <w:t xml:space="preserve"> Taiwan</w:t>
            </w:r>
            <w:r w:rsidRPr="00C270FA">
              <w:rPr>
                <w:rFonts w:ascii="Arial" w:hAnsi="Arial" w:cs="Arial"/>
                <w:sz w:val="18"/>
                <w:szCs w:val="20"/>
                <w:lang w:val="en-CA"/>
              </w:rPr>
              <w:t>.</w:t>
            </w:r>
          </w:p>
        </w:tc>
      </w:tr>
      <w:tr w:rsidR="00944BA8" w:rsidRPr="00C270FA" w14:paraId="43FA0A34" w14:textId="77777777" w:rsidTr="00DB5C79">
        <w:tc>
          <w:tcPr>
            <w:tcW w:w="988" w:type="dxa"/>
            <w:vAlign w:val="center"/>
          </w:tcPr>
          <w:p w14:paraId="3F023FA9"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2010</w:t>
            </w:r>
          </w:p>
        </w:tc>
        <w:tc>
          <w:tcPr>
            <w:tcW w:w="9267" w:type="dxa"/>
          </w:tcPr>
          <w:p w14:paraId="54510A03" w14:textId="7AB0F06A"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Opened </w:t>
            </w:r>
            <w:r w:rsidR="00944BA8" w:rsidRPr="00C270FA">
              <w:rPr>
                <w:rFonts w:ascii="Arial" w:hAnsi="Arial" w:cs="Arial"/>
                <w:sz w:val="18"/>
                <w:szCs w:val="20"/>
                <w:lang w:val="en-CA"/>
              </w:rPr>
              <w:t>a sales and distribution cent</w:t>
            </w:r>
            <w:r w:rsidR="0050543D" w:rsidRPr="00C270FA">
              <w:rPr>
                <w:rFonts w:ascii="Arial" w:hAnsi="Arial" w:cs="Arial"/>
                <w:sz w:val="18"/>
                <w:szCs w:val="20"/>
                <w:lang w:val="en-CA"/>
              </w:rPr>
              <w:t>r</w:t>
            </w:r>
            <w:r w:rsidR="00944BA8" w:rsidRPr="00C270FA">
              <w:rPr>
                <w:rFonts w:ascii="Arial" w:hAnsi="Arial" w:cs="Arial"/>
                <w:sz w:val="18"/>
                <w:szCs w:val="20"/>
                <w:lang w:val="en-CA"/>
              </w:rPr>
              <w:t>e in Kiev, Ukraine</w:t>
            </w:r>
            <w:r w:rsidRPr="00C270FA">
              <w:rPr>
                <w:rFonts w:ascii="Arial" w:hAnsi="Arial" w:cs="Arial"/>
                <w:sz w:val="18"/>
                <w:szCs w:val="20"/>
                <w:lang w:val="en-CA"/>
              </w:rPr>
              <w:t>.</w:t>
            </w:r>
          </w:p>
        </w:tc>
      </w:tr>
      <w:tr w:rsidR="00944BA8" w:rsidRPr="00C270FA" w14:paraId="3364E00F" w14:textId="77777777" w:rsidTr="00DB5C79">
        <w:tc>
          <w:tcPr>
            <w:tcW w:w="988" w:type="dxa"/>
            <w:vAlign w:val="center"/>
          </w:tcPr>
          <w:p w14:paraId="6A66430E"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2011</w:t>
            </w:r>
          </w:p>
        </w:tc>
        <w:tc>
          <w:tcPr>
            <w:tcW w:w="9267" w:type="dxa"/>
          </w:tcPr>
          <w:p w14:paraId="21F17DC3" w14:textId="407A6E0A" w:rsidR="005A25D9"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Acquired </w:t>
            </w:r>
            <w:proofErr w:type="spellStart"/>
            <w:r w:rsidR="00944BA8" w:rsidRPr="00C270FA">
              <w:rPr>
                <w:rFonts w:ascii="Arial" w:hAnsi="Arial" w:cs="Arial"/>
                <w:sz w:val="18"/>
                <w:szCs w:val="20"/>
                <w:lang w:val="en-CA"/>
              </w:rPr>
              <w:t>Kolmi-Hopen</w:t>
            </w:r>
            <w:proofErr w:type="spellEnd"/>
            <w:r w:rsidR="00944BA8" w:rsidRPr="00C270FA">
              <w:rPr>
                <w:rFonts w:ascii="Arial" w:hAnsi="Arial" w:cs="Arial"/>
                <w:sz w:val="18"/>
                <w:szCs w:val="20"/>
                <w:lang w:val="en-CA"/>
              </w:rPr>
              <w:t>, a manufacturer of surgical and industrial face masks, located near Angers</w:t>
            </w:r>
            <w:r w:rsidRPr="00C270FA">
              <w:rPr>
                <w:rFonts w:ascii="Arial" w:hAnsi="Arial" w:cs="Arial"/>
                <w:sz w:val="18"/>
                <w:szCs w:val="20"/>
                <w:lang w:val="en-CA"/>
              </w:rPr>
              <w:t>,</w:t>
            </w:r>
            <w:r w:rsidR="00944BA8" w:rsidRPr="00C270FA">
              <w:rPr>
                <w:rFonts w:ascii="Arial" w:hAnsi="Arial" w:cs="Arial"/>
                <w:sz w:val="18"/>
                <w:szCs w:val="20"/>
                <w:lang w:val="en-CA"/>
              </w:rPr>
              <w:t xml:space="preserve"> France</w:t>
            </w:r>
            <w:r w:rsidRPr="00C270FA">
              <w:rPr>
                <w:rFonts w:ascii="Arial" w:hAnsi="Arial" w:cs="Arial"/>
                <w:sz w:val="18"/>
                <w:szCs w:val="20"/>
                <w:lang w:val="en-CA"/>
              </w:rPr>
              <w:t>.</w:t>
            </w:r>
          </w:p>
          <w:p w14:paraId="70276BF1" w14:textId="25CAA7AA" w:rsidR="00944BA8" w:rsidRPr="00C270FA" w:rsidRDefault="00944BA8"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Acquire</w:t>
            </w:r>
            <w:r w:rsidR="005A25D9" w:rsidRPr="00C270FA">
              <w:rPr>
                <w:rFonts w:ascii="Arial" w:hAnsi="Arial" w:cs="Arial"/>
                <w:sz w:val="18"/>
                <w:szCs w:val="20"/>
                <w:lang w:val="en-CA"/>
              </w:rPr>
              <w:t>d</w:t>
            </w:r>
            <w:r w:rsidRPr="00C270FA">
              <w:rPr>
                <w:rFonts w:ascii="Arial" w:hAnsi="Arial" w:cs="Arial"/>
                <w:sz w:val="18"/>
                <w:szCs w:val="20"/>
                <w:lang w:val="en-CA"/>
              </w:rPr>
              <w:t xml:space="preserve"> </w:t>
            </w:r>
            <w:proofErr w:type="spellStart"/>
            <w:r w:rsidRPr="00C270FA">
              <w:rPr>
                <w:rFonts w:ascii="Arial" w:hAnsi="Arial" w:cs="Arial"/>
                <w:sz w:val="18"/>
                <w:szCs w:val="20"/>
                <w:lang w:val="en-CA"/>
              </w:rPr>
              <w:t>Hopen</w:t>
            </w:r>
            <w:proofErr w:type="spellEnd"/>
            <w:r w:rsidRPr="00C270FA">
              <w:rPr>
                <w:rFonts w:ascii="Arial" w:hAnsi="Arial" w:cs="Arial"/>
                <w:sz w:val="18"/>
                <w:szCs w:val="20"/>
                <w:lang w:val="en-CA"/>
              </w:rPr>
              <w:t xml:space="preserve"> brand</w:t>
            </w:r>
            <w:r w:rsidR="005A25D9" w:rsidRPr="00C270FA">
              <w:rPr>
                <w:rFonts w:ascii="Arial" w:hAnsi="Arial" w:cs="Arial"/>
                <w:sz w:val="18"/>
                <w:szCs w:val="20"/>
                <w:lang w:val="en-CA"/>
              </w:rPr>
              <w:t>.</w:t>
            </w:r>
          </w:p>
        </w:tc>
      </w:tr>
      <w:tr w:rsidR="00944BA8" w:rsidRPr="00C270FA" w14:paraId="2C83F5B6" w14:textId="77777777" w:rsidTr="00DB5C79">
        <w:tc>
          <w:tcPr>
            <w:tcW w:w="988" w:type="dxa"/>
            <w:vAlign w:val="center"/>
          </w:tcPr>
          <w:p w14:paraId="3FF45B51"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2012</w:t>
            </w:r>
          </w:p>
        </w:tc>
        <w:tc>
          <w:tcPr>
            <w:tcW w:w="9267" w:type="dxa"/>
          </w:tcPr>
          <w:p w14:paraId="1C60114A" w14:textId="6A8EF8C0"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Got </w:t>
            </w:r>
            <w:r w:rsidR="00944BA8" w:rsidRPr="00C270FA">
              <w:rPr>
                <w:rFonts w:ascii="Arial" w:hAnsi="Arial" w:cs="Arial"/>
                <w:sz w:val="18"/>
                <w:szCs w:val="20"/>
                <w:lang w:val="en-CA"/>
              </w:rPr>
              <w:t xml:space="preserve">the first apparel patent for its innovation </w:t>
            </w:r>
            <w:proofErr w:type="spellStart"/>
            <w:r w:rsidR="00944BA8" w:rsidRPr="00C270FA">
              <w:rPr>
                <w:rFonts w:ascii="Arial" w:hAnsi="Arial" w:cs="Arial"/>
                <w:sz w:val="18"/>
                <w:szCs w:val="20"/>
                <w:lang w:val="en-CA"/>
              </w:rPr>
              <w:t>Ritmed</w:t>
            </w:r>
            <w:proofErr w:type="spellEnd"/>
            <w:r w:rsidR="00944BA8" w:rsidRPr="00C270FA">
              <w:rPr>
                <w:rFonts w:ascii="Arial" w:hAnsi="Arial" w:cs="Arial"/>
                <w:sz w:val="18"/>
                <w:szCs w:val="20"/>
                <w:lang w:val="en-CA"/>
              </w:rPr>
              <w:t xml:space="preserve"> Versa Gown</w:t>
            </w:r>
            <w:r w:rsidRPr="00C270FA">
              <w:rPr>
                <w:rFonts w:ascii="Arial" w:hAnsi="Arial" w:cs="Arial"/>
                <w:sz w:val="18"/>
                <w:szCs w:val="20"/>
                <w:lang w:val="en-CA"/>
              </w:rPr>
              <w:t>.</w:t>
            </w:r>
          </w:p>
        </w:tc>
      </w:tr>
      <w:tr w:rsidR="00944BA8" w:rsidRPr="00C270FA" w14:paraId="40EDC53C" w14:textId="77777777" w:rsidTr="00DB5C79">
        <w:tc>
          <w:tcPr>
            <w:tcW w:w="988" w:type="dxa"/>
            <w:vAlign w:val="center"/>
          </w:tcPr>
          <w:p w14:paraId="5D7618F0"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2016</w:t>
            </w:r>
          </w:p>
        </w:tc>
        <w:tc>
          <w:tcPr>
            <w:tcW w:w="9267" w:type="dxa"/>
          </w:tcPr>
          <w:p w14:paraId="16A79684" w14:textId="09E9CF58"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Merged </w:t>
            </w:r>
            <w:r w:rsidR="00944BA8" w:rsidRPr="00C270FA">
              <w:rPr>
                <w:rFonts w:ascii="Arial" w:hAnsi="Arial" w:cs="Arial"/>
                <w:sz w:val="18"/>
                <w:szCs w:val="20"/>
                <w:lang w:val="en-CA"/>
              </w:rPr>
              <w:t xml:space="preserve">AMD </w:t>
            </w:r>
            <w:proofErr w:type="spellStart"/>
            <w:r w:rsidR="00944BA8" w:rsidRPr="00C270FA">
              <w:rPr>
                <w:rFonts w:ascii="Arial" w:hAnsi="Arial" w:cs="Arial"/>
                <w:sz w:val="18"/>
                <w:szCs w:val="20"/>
                <w:lang w:val="en-CA"/>
              </w:rPr>
              <w:t>Ritmed</w:t>
            </w:r>
            <w:proofErr w:type="spellEnd"/>
            <w:r w:rsidR="00944BA8" w:rsidRPr="00C270FA">
              <w:rPr>
                <w:rFonts w:ascii="Arial" w:hAnsi="Arial" w:cs="Arial"/>
                <w:sz w:val="18"/>
                <w:szCs w:val="20"/>
                <w:lang w:val="en-CA"/>
              </w:rPr>
              <w:t xml:space="preserve"> to form AMD </w:t>
            </w:r>
            <w:proofErr w:type="spellStart"/>
            <w:r w:rsidR="00944BA8" w:rsidRPr="00C270FA">
              <w:rPr>
                <w:rFonts w:ascii="Arial" w:hAnsi="Arial" w:cs="Arial"/>
                <w:sz w:val="18"/>
                <w:szCs w:val="20"/>
                <w:lang w:val="en-CA"/>
              </w:rPr>
              <w:t>Medicom</w:t>
            </w:r>
            <w:proofErr w:type="spellEnd"/>
            <w:r w:rsidRPr="00C270FA">
              <w:rPr>
                <w:rFonts w:ascii="Arial" w:hAnsi="Arial" w:cs="Arial"/>
                <w:sz w:val="18"/>
                <w:szCs w:val="20"/>
                <w:lang w:val="en-CA"/>
              </w:rPr>
              <w:t>.</w:t>
            </w:r>
          </w:p>
          <w:p w14:paraId="36460BF0" w14:textId="24BA4CC6"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Acquired </w:t>
            </w:r>
            <w:r w:rsidR="00944BA8" w:rsidRPr="00C270FA">
              <w:rPr>
                <w:rFonts w:ascii="Arial" w:hAnsi="Arial" w:cs="Arial"/>
                <w:sz w:val="18"/>
                <w:szCs w:val="20"/>
                <w:lang w:val="en-CA"/>
              </w:rPr>
              <w:t xml:space="preserve">Ocean Pacific, a leading Canadian supplier of </w:t>
            </w:r>
            <w:r w:rsidRPr="00C270FA">
              <w:rPr>
                <w:rFonts w:ascii="Arial" w:hAnsi="Arial" w:cs="Arial"/>
                <w:sz w:val="18"/>
                <w:szCs w:val="20"/>
                <w:lang w:val="en-CA"/>
              </w:rPr>
              <w:t>single-</w:t>
            </w:r>
            <w:r w:rsidR="00944BA8" w:rsidRPr="00C270FA">
              <w:rPr>
                <w:rFonts w:ascii="Arial" w:hAnsi="Arial" w:cs="Arial"/>
                <w:sz w:val="18"/>
                <w:szCs w:val="20"/>
                <w:lang w:val="en-CA"/>
              </w:rPr>
              <w:t>use medical examination gloves</w:t>
            </w:r>
            <w:r w:rsidRPr="00C270FA">
              <w:rPr>
                <w:rFonts w:ascii="Arial" w:hAnsi="Arial" w:cs="Arial"/>
                <w:sz w:val="18"/>
                <w:szCs w:val="20"/>
                <w:lang w:val="en-CA"/>
              </w:rPr>
              <w:t>.</w:t>
            </w:r>
          </w:p>
          <w:p w14:paraId="3844C2B1" w14:textId="1A2019D4"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Acquired </w:t>
            </w:r>
            <w:r w:rsidR="00944BA8" w:rsidRPr="00C270FA">
              <w:rPr>
                <w:rFonts w:ascii="Arial" w:hAnsi="Arial" w:cs="Arial"/>
                <w:sz w:val="18"/>
                <w:szCs w:val="20"/>
                <w:lang w:val="en-CA"/>
              </w:rPr>
              <w:t>Ocean Pacific brand</w:t>
            </w:r>
            <w:r w:rsidRPr="00C270FA">
              <w:rPr>
                <w:rFonts w:ascii="Arial" w:hAnsi="Arial" w:cs="Arial"/>
                <w:sz w:val="18"/>
                <w:szCs w:val="20"/>
                <w:lang w:val="en-CA"/>
              </w:rPr>
              <w:t>.</w:t>
            </w:r>
          </w:p>
        </w:tc>
      </w:tr>
      <w:tr w:rsidR="00944BA8" w:rsidRPr="00C270FA" w14:paraId="5282E9E1" w14:textId="77777777" w:rsidTr="00DB5C79">
        <w:tc>
          <w:tcPr>
            <w:tcW w:w="988" w:type="dxa"/>
            <w:vAlign w:val="center"/>
          </w:tcPr>
          <w:p w14:paraId="7CB46CD4"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2018</w:t>
            </w:r>
          </w:p>
        </w:tc>
        <w:tc>
          <w:tcPr>
            <w:tcW w:w="9267" w:type="dxa"/>
          </w:tcPr>
          <w:p w14:paraId="30BFFFA5" w14:textId="17B78A4D"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Reached </w:t>
            </w:r>
            <w:r w:rsidR="00DD527C" w:rsidRPr="00C270FA">
              <w:rPr>
                <w:rFonts w:ascii="Arial" w:hAnsi="Arial" w:cs="Arial"/>
                <w:sz w:val="18"/>
                <w:szCs w:val="20"/>
                <w:lang w:val="en-CA"/>
              </w:rPr>
              <w:t>CA</w:t>
            </w:r>
            <w:r w:rsidR="00944BA8" w:rsidRPr="00C270FA">
              <w:rPr>
                <w:rFonts w:ascii="Arial" w:hAnsi="Arial" w:cs="Arial"/>
                <w:sz w:val="18"/>
                <w:szCs w:val="20"/>
                <w:lang w:val="en-CA"/>
              </w:rPr>
              <w:t>$350 million in sales</w:t>
            </w:r>
            <w:r w:rsidRPr="00C270FA">
              <w:rPr>
                <w:rFonts w:ascii="Arial" w:hAnsi="Arial" w:cs="Arial"/>
                <w:sz w:val="18"/>
                <w:szCs w:val="20"/>
                <w:lang w:val="en-CA"/>
              </w:rPr>
              <w:t>.</w:t>
            </w:r>
          </w:p>
          <w:p w14:paraId="50BF35E1" w14:textId="73D0A923"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Moved </w:t>
            </w:r>
            <w:r w:rsidR="00944BA8" w:rsidRPr="00C270FA">
              <w:rPr>
                <w:rFonts w:ascii="Arial" w:hAnsi="Arial" w:cs="Arial"/>
                <w:sz w:val="18"/>
                <w:szCs w:val="20"/>
                <w:lang w:val="en-CA"/>
              </w:rPr>
              <w:t>into a state-of-the-art corporate office at Pointe-Claire, Quebec</w:t>
            </w:r>
            <w:r w:rsidRPr="00C270FA">
              <w:rPr>
                <w:rFonts w:ascii="Arial" w:hAnsi="Arial" w:cs="Arial"/>
                <w:sz w:val="18"/>
                <w:szCs w:val="20"/>
                <w:lang w:val="en-CA"/>
              </w:rPr>
              <w:t>.</w:t>
            </w:r>
          </w:p>
        </w:tc>
      </w:tr>
      <w:tr w:rsidR="00944BA8" w:rsidRPr="00C270FA" w14:paraId="29C1804A" w14:textId="77777777" w:rsidTr="00DB5C79">
        <w:tc>
          <w:tcPr>
            <w:tcW w:w="988" w:type="dxa"/>
            <w:vAlign w:val="center"/>
          </w:tcPr>
          <w:p w14:paraId="03534139"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2019</w:t>
            </w:r>
          </w:p>
        </w:tc>
        <w:tc>
          <w:tcPr>
            <w:tcW w:w="9267" w:type="dxa"/>
          </w:tcPr>
          <w:p w14:paraId="2BF9CB13" w14:textId="36ACF691"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Acquired </w:t>
            </w:r>
            <w:r w:rsidR="00944BA8" w:rsidRPr="00C270FA">
              <w:rPr>
                <w:rFonts w:ascii="Arial" w:hAnsi="Arial" w:cs="Arial"/>
                <w:sz w:val="18"/>
                <w:szCs w:val="20"/>
                <w:lang w:val="en-CA"/>
              </w:rPr>
              <w:t>Hedy Canada Inc</w:t>
            </w:r>
            <w:r w:rsidRPr="00C270FA">
              <w:rPr>
                <w:rFonts w:ascii="Arial" w:hAnsi="Arial" w:cs="Arial"/>
                <w:sz w:val="18"/>
                <w:szCs w:val="20"/>
                <w:lang w:val="en-CA"/>
              </w:rPr>
              <w:t>.</w:t>
            </w:r>
            <w:r w:rsidR="00944BA8" w:rsidRPr="00C270FA">
              <w:rPr>
                <w:rFonts w:ascii="Arial" w:hAnsi="Arial" w:cs="Arial"/>
                <w:sz w:val="18"/>
                <w:szCs w:val="20"/>
                <w:lang w:val="en-CA"/>
              </w:rPr>
              <w:t xml:space="preserve">, specializing in </w:t>
            </w:r>
            <w:r w:rsidRPr="00C270FA">
              <w:rPr>
                <w:rFonts w:ascii="Arial" w:hAnsi="Arial" w:cs="Arial"/>
                <w:sz w:val="18"/>
                <w:szCs w:val="20"/>
                <w:lang w:val="en-CA"/>
              </w:rPr>
              <w:t>infection-</w:t>
            </w:r>
            <w:r w:rsidR="00944BA8" w:rsidRPr="00C270FA">
              <w:rPr>
                <w:rFonts w:ascii="Arial" w:hAnsi="Arial" w:cs="Arial"/>
                <w:sz w:val="18"/>
                <w:szCs w:val="20"/>
                <w:lang w:val="en-CA"/>
              </w:rPr>
              <w:t xml:space="preserve">control products for </w:t>
            </w:r>
            <w:r w:rsidRPr="00C270FA">
              <w:rPr>
                <w:rFonts w:ascii="Arial" w:hAnsi="Arial" w:cs="Arial"/>
                <w:sz w:val="18"/>
                <w:szCs w:val="20"/>
                <w:lang w:val="en-CA"/>
              </w:rPr>
              <w:t xml:space="preserve">the </w:t>
            </w:r>
            <w:r w:rsidR="00944BA8" w:rsidRPr="00C270FA">
              <w:rPr>
                <w:rFonts w:ascii="Arial" w:hAnsi="Arial" w:cs="Arial"/>
                <w:sz w:val="18"/>
                <w:szCs w:val="20"/>
                <w:lang w:val="en-CA"/>
              </w:rPr>
              <w:t>dental industry</w:t>
            </w:r>
            <w:r w:rsidRPr="00C270FA">
              <w:rPr>
                <w:rFonts w:ascii="Arial" w:hAnsi="Arial" w:cs="Arial"/>
                <w:sz w:val="18"/>
                <w:szCs w:val="20"/>
                <w:lang w:val="en-CA"/>
              </w:rPr>
              <w:t>.</w:t>
            </w:r>
          </w:p>
          <w:p w14:paraId="28F0678E" w14:textId="247BF00B"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Acquired </w:t>
            </w:r>
            <w:r w:rsidR="00944BA8" w:rsidRPr="00C270FA">
              <w:rPr>
                <w:rFonts w:ascii="Arial" w:hAnsi="Arial" w:cs="Arial"/>
                <w:sz w:val="18"/>
                <w:szCs w:val="20"/>
                <w:lang w:val="en-CA"/>
              </w:rPr>
              <w:t>Hedy brand</w:t>
            </w:r>
            <w:r w:rsidRPr="00C270FA">
              <w:rPr>
                <w:rFonts w:ascii="Arial" w:hAnsi="Arial" w:cs="Arial"/>
                <w:sz w:val="18"/>
                <w:szCs w:val="20"/>
                <w:lang w:val="en-CA"/>
              </w:rPr>
              <w:t>.</w:t>
            </w:r>
          </w:p>
        </w:tc>
      </w:tr>
      <w:tr w:rsidR="00944BA8" w:rsidRPr="00C270FA" w14:paraId="655114F6" w14:textId="77777777" w:rsidTr="00DB5C79">
        <w:tc>
          <w:tcPr>
            <w:tcW w:w="988" w:type="dxa"/>
            <w:vAlign w:val="center"/>
          </w:tcPr>
          <w:p w14:paraId="7F635837" w14:textId="77777777" w:rsidR="00944BA8" w:rsidRPr="00C270FA" w:rsidRDefault="00944BA8" w:rsidP="00DB5C79">
            <w:pPr>
              <w:jc w:val="center"/>
              <w:rPr>
                <w:rFonts w:ascii="Arial" w:eastAsia="Calibri" w:hAnsi="Arial" w:cs="Arial"/>
                <w:sz w:val="18"/>
                <w:lang w:val="en-CA"/>
              </w:rPr>
            </w:pPr>
            <w:r w:rsidRPr="00C270FA">
              <w:rPr>
                <w:rFonts w:ascii="Arial" w:eastAsia="Calibri" w:hAnsi="Arial" w:cs="Arial"/>
                <w:sz w:val="18"/>
                <w:lang w:val="en-CA"/>
              </w:rPr>
              <w:t>2020</w:t>
            </w:r>
          </w:p>
        </w:tc>
        <w:tc>
          <w:tcPr>
            <w:tcW w:w="9267" w:type="dxa"/>
          </w:tcPr>
          <w:p w14:paraId="213C452C" w14:textId="41B4A7E5"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Opened </w:t>
            </w:r>
            <w:r w:rsidR="00944BA8" w:rsidRPr="00C270FA">
              <w:rPr>
                <w:rFonts w:ascii="Arial" w:hAnsi="Arial" w:cs="Arial"/>
                <w:sz w:val="18"/>
                <w:szCs w:val="20"/>
                <w:lang w:val="en-CA"/>
              </w:rPr>
              <w:t>the first Canadian plant in Montreal</w:t>
            </w:r>
            <w:r w:rsidRPr="00C270FA">
              <w:rPr>
                <w:rFonts w:ascii="Arial" w:hAnsi="Arial" w:cs="Arial"/>
                <w:sz w:val="18"/>
                <w:szCs w:val="20"/>
                <w:lang w:val="en-CA"/>
              </w:rPr>
              <w:t>,</w:t>
            </w:r>
            <w:r w:rsidR="00944BA8" w:rsidRPr="00C270FA">
              <w:rPr>
                <w:rFonts w:ascii="Arial" w:hAnsi="Arial" w:cs="Arial"/>
                <w:sz w:val="18"/>
                <w:szCs w:val="20"/>
                <w:lang w:val="en-CA"/>
              </w:rPr>
              <w:t xml:space="preserve"> to manufacture face masks and respirators.</w:t>
            </w:r>
          </w:p>
          <w:p w14:paraId="203660F5" w14:textId="2CEBF1C3"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Entered </w:t>
            </w:r>
            <w:r w:rsidR="00944BA8" w:rsidRPr="00C270FA">
              <w:rPr>
                <w:rFonts w:ascii="Arial" w:hAnsi="Arial" w:cs="Arial"/>
                <w:sz w:val="18"/>
                <w:szCs w:val="20"/>
                <w:lang w:val="en-CA"/>
              </w:rPr>
              <w:t xml:space="preserve">into </w:t>
            </w:r>
            <w:r w:rsidRPr="00C270FA">
              <w:rPr>
                <w:rFonts w:ascii="Arial" w:hAnsi="Arial" w:cs="Arial"/>
                <w:sz w:val="18"/>
                <w:szCs w:val="20"/>
                <w:lang w:val="en-CA"/>
              </w:rPr>
              <w:t>long-</w:t>
            </w:r>
            <w:r w:rsidR="00944BA8" w:rsidRPr="00C270FA">
              <w:rPr>
                <w:rFonts w:ascii="Arial" w:hAnsi="Arial" w:cs="Arial"/>
                <w:sz w:val="18"/>
                <w:szCs w:val="20"/>
                <w:lang w:val="en-CA"/>
              </w:rPr>
              <w:t>term agreements with Canadian provincial governments</w:t>
            </w:r>
            <w:r w:rsidRPr="00C270FA">
              <w:rPr>
                <w:rFonts w:ascii="Arial" w:hAnsi="Arial" w:cs="Arial"/>
                <w:sz w:val="18"/>
                <w:szCs w:val="20"/>
                <w:lang w:val="en-CA"/>
              </w:rPr>
              <w:t>,</w:t>
            </w:r>
            <w:r w:rsidR="00944BA8" w:rsidRPr="00C270FA">
              <w:rPr>
                <w:rFonts w:ascii="Arial" w:hAnsi="Arial" w:cs="Arial"/>
                <w:sz w:val="18"/>
                <w:szCs w:val="20"/>
                <w:lang w:val="en-CA"/>
              </w:rPr>
              <w:t xml:space="preserve"> for suppling </w:t>
            </w:r>
            <w:r w:rsidR="005C0AD9" w:rsidRPr="00C270FA">
              <w:rPr>
                <w:rFonts w:ascii="Arial" w:hAnsi="Arial" w:cs="Arial"/>
                <w:sz w:val="18"/>
                <w:szCs w:val="20"/>
                <w:lang w:val="en-CA"/>
              </w:rPr>
              <w:t>personal protective equipment</w:t>
            </w:r>
            <w:r w:rsidR="00944BA8" w:rsidRPr="00C270FA">
              <w:rPr>
                <w:rFonts w:ascii="Arial" w:hAnsi="Arial" w:cs="Arial"/>
                <w:sz w:val="18"/>
                <w:szCs w:val="20"/>
                <w:lang w:val="en-CA"/>
              </w:rPr>
              <w:t>.</w:t>
            </w:r>
          </w:p>
          <w:p w14:paraId="613264C7" w14:textId="121CCF85" w:rsidR="00944BA8" w:rsidRPr="00C270FA" w:rsidRDefault="005A25D9" w:rsidP="00944BA8">
            <w:pPr>
              <w:pStyle w:val="ListParagraph"/>
              <w:numPr>
                <w:ilvl w:val="0"/>
                <w:numId w:val="14"/>
              </w:numPr>
              <w:ind w:left="158" w:right="504" w:hanging="180"/>
              <w:contextualSpacing w:val="0"/>
              <w:rPr>
                <w:rFonts w:ascii="Arial" w:hAnsi="Arial" w:cs="Arial"/>
                <w:sz w:val="18"/>
                <w:szCs w:val="20"/>
                <w:lang w:val="en-CA"/>
              </w:rPr>
            </w:pPr>
            <w:r w:rsidRPr="00C270FA">
              <w:rPr>
                <w:rFonts w:ascii="Arial" w:hAnsi="Arial" w:cs="Arial"/>
                <w:sz w:val="18"/>
                <w:szCs w:val="20"/>
                <w:lang w:val="en-CA"/>
              </w:rPr>
              <w:t xml:space="preserve">Entered </w:t>
            </w:r>
            <w:r w:rsidR="00944BA8" w:rsidRPr="00C270FA">
              <w:rPr>
                <w:rFonts w:ascii="Arial" w:hAnsi="Arial" w:cs="Arial"/>
                <w:sz w:val="18"/>
                <w:szCs w:val="20"/>
                <w:lang w:val="en-CA"/>
              </w:rPr>
              <w:t xml:space="preserve">into </w:t>
            </w:r>
            <w:r w:rsidRPr="00C270FA">
              <w:rPr>
                <w:rFonts w:ascii="Arial" w:hAnsi="Arial" w:cs="Arial"/>
                <w:sz w:val="18"/>
                <w:szCs w:val="20"/>
                <w:lang w:val="en-CA"/>
              </w:rPr>
              <w:t>long-</w:t>
            </w:r>
            <w:r w:rsidR="00944BA8" w:rsidRPr="00C270FA">
              <w:rPr>
                <w:rFonts w:ascii="Arial" w:hAnsi="Arial" w:cs="Arial"/>
                <w:sz w:val="18"/>
                <w:szCs w:val="20"/>
                <w:lang w:val="en-CA"/>
              </w:rPr>
              <w:t xml:space="preserve">term agreements with the governments of </w:t>
            </w:r>
            <w:r w:rsidRPr="00C270FA">
              <w:rPr>
                <w:rFonts w:ascii="Arial" w:hAnsi="Arial" w:cs="Arial"/>
                <w:sz w:val="18"/>
                <w:szCs w:val="20"/>
                <w:lang w:val="en-CA"/>
              </w:rPr>
              <w:t xml:space="preserve">the </w:t>
            </w:r>
            <w:r w:rsidR="00944BA8" w:rsidRPr="00C270FA">
              <w:rPr>
                <w:rFonts w:ascii="Arial" w:hAnsi="Arial" w:cs="Arial"/>
                <w:sz w:val="18"/>
                <w:szCs w:val="20"/>
                <w:lang w:val="en-CA"/>
              </w:rPr>
              <w:t>U</w:t>
            </w:r>
            <w:r w:rsidR="005C0AD9" w:rsidRPr="00C270FA">
              <w:rPr>
                <w:rFonts w:ascii="Arial" w:hAnsi="Arial" w:cs="Arial"/>
                <w:sz w:val="18"/>
                <w:szCs w:val="20"/>
                <w:lang w:val="en-CA"/>
              </w:rPr>
              <w:t xml:space="preserve">nited </w:t>
            </w:r>
            <w:r w:rsidR="00944BA8" w:rsidRPr="00C270FA">
              <w:rPr>
                <w:rFonts w:ascii="Arial" w:hAnsi="Arial" w:cs="Arial"/>
                <w:sz w:val="18"/>
                <w:szCs w:val="20"/>
                <w:lang w:val="en-CA"/>
              </w:rPr>
              <w:t>K</w:t>
            </w:r>
            <w:r w:rsidR="005C0AD9" w:rsidRPr="00C270FA">
              <w:rPr>
                <w:rFonts w:ascii="Arial" w:hAnsi="Arial" w:cs="Arial"/>
                <w:sz w:val="18"/>
                <w:szCs w:val="20"/>
                <w:lang w:val="en-CA"/>
              </w:rPr>
              <w:t>ingdom</w:t>
            </w:r>
            <w:r w:rsidR="00944BA8" w:rsidRPr="00C270FA">
              <w:rPr>
                <w:rFonts w:ascii="Arial" w:hAnsi="Arial" w:cs="Arial"/>
                <w:sz w:val="18"/>
                <w:szCs w:val="20"/>
                <w:lang w:val="en-CA"/>
              </w:rPr>
              <w:t>, France, and Singapore</w:t>
            </w:r>
            <w:r w:rsidRPr="00C270FA">
              <w:rPr>
                <w:rFonts w:ascii="Arial" w:hAnsi="Arial" w:cs="Arial"/>
                <w:sz w:val="18"/>
                <w:szCs w:val="20"/>
                <w:lang w:val="en-CA"/>
              </w:rPr>
              <w:t>,</w:t>
            </w:r>
            <w:r w:rsidR="00944BA8" w:rsidRPr="00C270FA">
              <w:rPr>
                <w:rFonts w:ascii="Arial" w:hAnsi="Arial" w:cs="Arial"/>
                <w:sz w:val="18"/>
                <w:szCs w:val="20"/>
                <w:lang w:val="en-CA"/>
              </w:rPr>
              <w:t xml:space="preserve"> to manufacture surgical and respirator masks</w:t>
            </w:r>
            <w:r w:rsidRPr="00C270FA">
              <w:rPr>
                <w:rFonts w:ascii="Arial" w:hAnsi="Arial" w:cs="Arial"/>
                <w:sz w:val="18"/>
                <w:szCs w:val="20"/>
                <w:lang w:val="en-CA"/>
              </w:rPr>
              <w:t>.</w:t>
            </w:r>
          </w:p>
        </w:tc>
      </w:tr>
    </w:tbl>
    <w:p w14:paraId="729E0611" w14:textId="77777777" w:rsidR="00944BA8" w:rsidRPr="00C270FA" w:rsidRDefault="00944BA8" w:rsidP="00944BA8">
      <w:pPr>
        <w:jc w:val="both"/>
        <w:rPr>
          <w:rFonts w:eastAsia="Calibri"/>
          <w:sz w:val="24"/>
          <w:lang w:val="en-CA"/>
        </w:rPr>
      </w:pPr>
    </w:p>
    <w:p w14:paraId="335BBF2D" w14:textId="22AEE0BF" w:rsidR="00944BA8" w:rsidRPr="00C270FA" w:rsidRDefault="00944BA8" w:rsidP="00055DBA">
      <w:pPr>
        <w:pStyle w:val="Footnote"/>
        <w:rPr>
          <w:rFonts w:eastAsiaTheme="minorHAnsi"/>
          <w:lang w:val="en-CA"/>
        </w:rPr>
      </w:pPr>
      <w:r w:rsidRPr="00C270FA">
        <w:rPr>
          <w:lang w:val="en-CA"/>
        </w:rPr>
        <w:t>Source: Company files</w:t>
      </w:r>
      <w:r w:rsidR="00055DBA" w:rsidRPr="00C270FA">
        <w:rPr>
          <w:lang w:val="en-CA"/>
        </w:rPr>
        <w:t>.</w:t>
      </w:r>
      <w:r w:rsidRPr="00C270FA">
        <w:rPr>
          <w:lang w:val="en-CA"/>
        </w:rPr>
        <w:br w:type="page"/>
      </w:r>
    </w:p>
    <w:p w14:paraId="61C1E4B5" w14:textId="1C880A1D" w:rsidR="00944BA8" w:rsidRPr="00C270FA" w:rsidRDefault="00944BA8" w:rsidP="000307A3">
      <w:pPr>
        <w:pStyle w:val="ExhibitHeading"/>
        <w:rPr>
          <w:lang w:val="en-CA"/>
        </w:rPr>
      </w:pPr>
      <w:r w:rsidRPr="00C270FA">
        <w:rPr>
          <w:lang w:val="en-CA"/>
        </w:rPr>
        <w:lastRenderedPageBreak/>
        <w:t xml:space="preserve">EXHIBIT </w:t>
      </w:r>
      <w:r w:rsidR="001416FB" w:rsidRPr="00C270FA">
        <w:rPr>
          <w:lang w:val="en-CA"/>
        </w:rPr>
        <w:t>5</w:t>
      </w:r>
      <w:r w:rsidRPr="00C270FA">
        <w:rPr>
          <w:lang w:val="en-CA"/>
        </w:rPr>
        <w:t>: MEDICOM MANUFACTURING AND DISTRIBUTION FACILITIES</w:t>
      </w:r>
    </w:p>
    <w:p w14:paraId="666FD8E8" w14:textId="77777777" w:rsidR="00944BA8" w:rsidRPr="00C270FA" w:rsidRDefault="00944BA8" w:rsidP="00944BA8">
      <w:pPr>
        <w:pStyle w:val="Default"/>
        <w:rPr>
          <w:rFonts w:ascii="Times New Roman" w:hAnsi="Times New Roman" w:hint="default"/>
          <w:sz w:val="22"/>
          <w:szCs w:val="22"/>
          <w:lang w:val="en-CA"/>
        </w:rPr>
      </w:pPr>
    </w:p>
    <w:tbl>
      <w:tblPr>
        <w:tblStyle w:val="TableGrid11"/>
        <w:tblW w:w="9445" w:type="dxa"/>
        <w:tblLook w:val="04A0" w:firstRow="1" w:lastRow="0" w:firstColumn="1" w:lastColumn="0" w:noHBand="0" w:noVBand="1"/>
      </w:tblPr>
      <w:tblGrid>
        <w:gridCol w:w="3055"/>
        <w:gridCol w:w="6390"/>
      </w:tblGrid>
      <w:tr w:rsidR="00944BA8" w:rsidRPr="00C270FA" w14:paraId="35464E30" w14:textId="77777777" w:rsidTr="00055DBA">
        <w:tc>
          <w:tcPr>
            <w:tcW w:w="3055" w:type="dxa"/>
          </w:tcPr>
          <w:p w14:paraId="6BE11E5C" w14:textId="77777777" w:rsidR="00944BA8" w:rsidRPr="00C270FA" w:rsidRDefault="00944BA8" w:rsidP="00055DBA">
            <w:pPr>
              <w:rPr>
                <w:rFonts w:ascii="Arial" w:eastAsia="Calibri" w:hAnsi="Arial" w:cs="Arial"/>
                <w:b/>
                <w:bCs/>
                <w:color w:val="000000" w:themeColor="text1"/>
                <w:lang w:val="en-CA"/>
              </w:rPr>
            </w:pPr>
            <w:r w:rsidRPr="00C270FA">
              <w:rPr>
                <w:rFonts w:ascii="Arial" w:eastAsia="Calibri" w:hAnsi="Arial" w:cs="Arial"/>
                <w:b/>
                <w:bCs/>
                <w:color w:val="000000" w:themeColor="text1"/>
                <w:lang w:val="en-CA"/>
              </w:rPr>
              <w:t>Head Office</w:t>
            </w:r>
          </w:p>
        </w:tc>
        <w:tc>
          <w:tcPr>
            <w:tcW w:w="6390" w:type="dxa"/>
          </w:tcPr>
          <w:p w14:paraId="3656A6B5" w14:textId="77777777" w:rsidR="00944BA8" w:rsidRPr="00C270FA" w:rsidRDefault="00944BA8" w:rsidP="00055DBA">
            <w:pPr>
              <w:jc w:val="left"/>
              <w:rPr>
                <w:rFonts w:ascii="Arial" w:eastAsia="Calibri" w:hAnsi="Arial" w:cs="Arial"/>
                <w:b/>
                <w:bCs/>
                <w:color w:val="000000" w:themeColor="text1"/>
                <w:lang w:val="en-CA"/>
              </w:rPr>
            </w:pPr>
            <w:r w:rsidRPr="00C270FA">
              <w:rPr>
                <w:rFonts w:ascii="Arial" w:eastAsia="Calibri" w:hAnsi="Arial" w:cs="Arial"/>
                <w:b/>
                <w:bCs/>
                <w:color w:val="000000" w:themeColor="text1"/>
                <w:lang w:val="en-CA"/>
              </w:rPr>
              <w:t>Canada</w:t>
            </w:r>
          </w:p>
        </w:tc>
      </w:tr>
      <w:tr w:rsidR="00944BA8" w:rsidRPr="00C270FA" w14:paraId="0CFEF36A" w14:textId="77777777" w:rsidTr="00055DBA">
        <w:tc>
          <w:tcPr>
            <w:tcW w:w="3055" w:type="dxa"/>
          </w:tcPr>
          <w:p w14:paraId="65325882" w14:textId="29F8C371" w:rsidR="00944BA8" w:rsidRPr="00C270FA" w:rsidRDefault="00B10BA1" w:rsidP="00055DBA">
            <w:pPr>
              <w:rPr>
                <w:rFonts w:ascii="Arial" w:eastAsia="Calibri" w:hAnsi="Arial" w:cs="Arial"/>
                <w:color w:val="000000" w:themeColor="text1"/>
                <w:lang w:val="en-CA"/>
              </w:rPr>
            </w:pPr>
            <w:r w:rsidRPr="00C270FA">
              <w:rPr>
                <w:rFonts w:ascii="Arial" w:eastAsia="Calibri" w:hAnsi="Arial" w:cs="Arial"/>
                <w:color w:val="000000" w:themeColor="text1"/>
                <w:lang w:val="en-CA"/>
              </w:rPr>
              <w:t>Mask</w:t>
            </w:r>
            <w:r w:rsidR="00957692" w:rsidRPr="00C270FA">
              <w:rPr>
                <w:rFonts w:ascii="Arial" w:eastAsia="Calibri" w:hAnsi="Arial" w:cs="Arial"/>
                <w:color w:val="000000" w:themeColor="text1"/>
                <w:lang w:val="en-CA"/>
              </w:rPr>
              <w:t xml:space="preserve"> </w:t>
            </w:r>
            <w:r w:rsidR="00944BA8" w:rsidRPr="00C270FA">
              <w:rPr>
                <w:rFonts w:ascii="Arial" w:eastAsia="Calibri" w:hAnsi="Arial" w:cs="Arial"/>
                <w:color w:val="000000" w:themeColor="text1"/>
                <w:lang w:val="en-CA"/>
              </w:rPr>
              <w:t>Manufacturing Plants: 13</w:t>
            </w:r>
          </w:p>
        </w:tc>
        <w:tc>
          <w:tcPr>
            <w:tcW w:w="6390" w:type="dxa"/>
          </w:tcPr>
          <w:p w14:paraId="577A6198" w14:textId="15A6C551" w:rsidR="00944BA8" w:rsidRPr="00C270FA" w:rsidRDefault="00944BA8" w:rsidP="00055DBA">
            <w:pPr>
              <w:jc w:val="left"/>
              <w:rPr>
                <w:rFonts w:ascii="Arial" w:eastAsia="Calibri" w:hAnsi="Arial" w:cs="Arial"/>
                <w:color w:val="000000" w:themeColor="text1"/>
                <w:lang w:val="en-CA"/>
              </w:rPr>
            </w:pPr>
            <w:r w:rsidRPr="00C270FA">
              <w:rPr>
                <w:rFonts w:ascii="Arial" w:eastAsia="Calibri" w:hAnsi="Arial" w:cs="Arial"/>
                <w:color w:val="000000" w:themeColor="text1"/>
                <w:lang w:val="en-CA"/>
              </w:rPr>
              <w:t>Canada, China (2), France (2), Germany, Hong Kong, Netherlands, Singapore, Taiwan (2), U</w:t>
            </w:r>
            <w:r w:rsidR="005C0AD9" w:rsidRPr="00C270FA">
              <w:rPr>
                <w:rFonts w:ascii="Arial" w:eastAsia="Calibri" w:hAnsi="Arial" w:cs="Arial"/>
                <w:color w:val="000000" w:themeColor="text1"/>
                <w:lang w:val="en-CA"/>
              </w:rPr>
              <w:t xml:space="preserve">nited </w:t>
            </w:r>
            <w:r w:rsidRPr="00C270FA">
              <w:rPr>
                <w:rFonts w:ascii="Arial" w:eastAsia="Calibri" w:hAnsi="Arial" w:cs="Arial"/>
                <w:color w:val="000000" w:themeColor="text1"/>
                <w:lang w:val="en-CA"/>
              </w:rPr>
              <w:t>K</w:t>
            </w:r>
            <w:r w:rsidR="005C0AD9" w:rsidRPr="00C270FA">
              <w:rPr>
                <w:rFonts w:ascii="Arial" w:eastAsia="Calibri" w:hAnsi="Arial" w:cs="Arial"/>
                <w:color w:val="000000" w:themeColor="text1"/>
                <w:lang w:val="en-CA"/>
              </w:rPr>
              <w:t>ingdom</w:t>
            </w:r>
            <w:r w:rsidRPr="00C270FA">
              <w:rPr>
                <w:rFonts w:ascii="Arial" w:eastAsia="Calibri" w:hAnsi="Arial" w:cs="Arial"/>
                <w:color w:val="000000" w:themeColor="text1"/>
                <w:lang w:val="en-CA"/>
              </w:rPr>
              <w:t>, and U</w:t>
            </w:r>
            <w:r w:rsidR="005C0AD9" w:rsidRPr="00C270FA">
              <w:rPr>
                <w:rFonts w:ascii="Arial" w:eastAsia="Calibri" w:hAnsi="Arial" w:cs="Arial"/>
                <w:color w:val="000000" w:themeColor="text1"/>
                <w:lang w:val="en-CA"/>
              </w:rPr>
              <w:t xml:space="preserve">nited </w:t>
            </w:r>
            <w:r w:rsidRPr="00C270FA">
              <w:rPr>
                <w:rFonts w:ascii="Arial" w:eastAsia="Calibri" w:hAnsi="Arial" w:cs="Arial"/>
                <w:color w:val="000000" w:themeColor="text1"/>
                <w:lang w:val="en-CA"/>
              </w:rPr>
              <w:t>S</w:t>
            </w:r>
            <w:r w:rsidR="005C0AD9" w:rsidRPr="00C270FA">
              <w:rPr>
                <w:rFonts w:ascii="Arial" w:eastAsia="Calibri" w:hAnsi="Arial" w:cs="Arial"/>
                <w:color w:val="000000" w:themeColor="text1"/>
                <w:lang w:val="en-CA"/>
              </w:rPr>
              <w:t>tates</w:t>
            </w:r>
          </w:p>
        </w:tc>
      </w:tr>
      <w:tr w:rsidR="00944BA8" w:rsidRPr="00C270FA" w14:paraId="1AF593AF" w14:textId="77777777" w:rsidTr="00055DBA">
        <w:tc>
          <w:tcPr>
            <w:tcW w:w="3055" w:type="dxa"/>
          </w:tcPr>
          <w:p w14:paraId="2BCCF244" w14:textId="77777777" w:rsidR="00944BA8" w:rsidRPr="00C270FA" w:rsidRDefault="00944BA8" w:rsidP="00055DBA">
            <w:pPr>
              <w:rPr>
                <w:rFonts w:ascii="Arial" w:eastAsia="Calibri" w:hAnsi="Arial" w:cs="Arial"/>
                <w:color w:val="000000" w:themeColor="text1"/>
                <w:lang w:val="en-CA"/>
              </w:rPr>
            </w:pPr>
            <w:r w:rsidRPr="00C270FA">
              <w:rPr>
                <w:rFonts w:ascii="Arial" w:eastAsia="Calibri" w:hAnsi="Arial" w:cs="Arial"/>
                <w:color w:val="000000" w:themeColor="text1"/>
                <w:lang w:val="en-CA"/>
              </w:rPr>
              <w:t>Sales/Distribution Offices: 15</w:t>
            </w:r>
          </w:p>
        </w:tc>
        <w:tc>
          <w:tcPr>
            <w:tcW w:w="6390" w:type="dxa"/>
          </w:tcPr>
          <w:p w14:paraId="7076DC7D" w14:textId="47E35D69" w:rsidR="00944BA8" w:rsidRPr="00C270FA" w:rsidRDefault="00944BA8" w:rsidP="00055DBA">
            <w:pPr>
              <w:jc w:val="left"/>
              <w:rPr>
                <w:rFonts w:ascii="Arial" w:eastAsia="Calibri" w:hAnsi="Arial" w:cs="Arial"/>
                <w:color w:val="000000" w:themeColor="text1"/>
                <w:lang w:val="en-CA"/>
              </w:rPr>
            </w:pPr>
            <w:r w:rsidRPr="00C270FA">
              <w:rPr>
                <w:rFonts w:ascii="Arial" w:eastAsia="Calibri" w:hAnsi="Arial" w:cs="Arial"/>
                <w:color w:val="000000" w:themeColor="text1"/>
                <w:lang w:val="en-CA"/>
              </w:rPr>
              <w:t>Australia, Canada, China, France, Germany, Hong Kong, Japan, Malaysia, Netherlands, Singapore, South Korea, Taiwan, Ukraine, U</w:t>
            </w:r>
            <w:r w:rsidR="005C0AD9" w:rsidRPr="00C270FA">
              <w:rPr>
                <w:rFonts w:ascii="Arial" w:eastAsia="Calibri" w:hAnsi="Arial" w:cs="Arial"/>
                <w:color w:val="000000" w:themeColor="text1"/>
                <w:lang w:val="en-CA"/>
              </w:rPr>
              <w:t xml:space="preserve">nited </w:t>
            </w:r>
            <w:r w:rsidRPr="00C270FA">
              <w:rPr>
                <w:rFonts w:ascii="Arial" w:eastAsia="Calibri" w:hAnsi="Arial" w:cs="Arial"/>
                <w:color w:val="000000" w:themeColor="text1"/>
                <w:lang w:val="en-CA"/>
              </w:rPr>
              <w:t>K</w:t>
            </w:r>
            <w:r w:rsidR="005C0AD9" w:rsidRPr="00C270FA">
              <w:rPr>
                <w:rFonts w:ascii="Arial" w:eastAsia="Calibri" w:hAnsi="Arial" w:cs="Arial"/>
                <w:color w:val="000000" w:themeColor="text1"/>
                <w:lang w:val="en-CA"/>
              </w:rPr>
              <w:t>ingdom</w:t>
            </w:r>
            <w:r w:rsidRPr="00C270FA">
              <w:rPr>
                <w:rFonts w:ascii="Arial" w:eastAsia="Calibri" w:hAnsi="Arial" w:cs="Arial"/>
                <w:color w:val="000000" w:themeColor="text1"/>
                <w:lang w:val="en-CA"/>
              </w:rPr>
              <w:t>, and U</w:t>
            </w:r>
            <w:r w:rsidR="005C0AD9" w:rsidRPr="00C270FA">
              <w:rPr>
                <w:rFonts w:ascii="Arial" w:eastAsia="Calibri" w:hAnsi="Arial" w:cs="Arial"/>
                <w:color w:val="000000" w:themeColor="text1"/>
                <w:lang w:val="en-CA"/>
              </w:rPr>
              <w:t xml:space="preserve">nited </w:t>
            </w:r>
            <w:r w:rsidRPr="00C270FA">
              <w:rPr>
                <w:rFonts w:ascii="Arial" w:eastAsia="Calibri" w:hAnsi="Arial" w:cs="Arial"/>
                <w:color w:val="000000" w:themeColor="text1"/>
                <w:lang w:val="en-CA"/>
              </w:rPr>
              <w:t>S</w:t>
            </w:r>
            <w:r w:rsidR="005C0AD9" w:rsidRPr="00C270FA">
              <w:rPr>
                <w:rFonts w:ascii="Arial" w:eastAsia="Calibri" w:hAnsi="Arial" w:cs="Arial"/>
                <w:color w:val="000000" w:themeColor="text1"/>
                <w:lang w:val="en-CA"/>
              </w:rPr>
              <w:t>tates</w:t>
            </w:r>
          </w:p>
        </w:tc>
      </w:tr>
    </w:tbl>
    <w:p w14:paraId="5A2F662E" w14:textId="77777777" w:rsidR="00944BA8" w:rsidRPr="00C270FA" w:rsidRDefault="00944BA8" w:rsidP="001F3235">
      <w:pPr>
        <w:pStyle w:val="Footnote"/>
        <w:rPr>
          <w:rFonts w:eastAsia="Calibri"/>
          <w:lang w:val="en-CA"/>
        </w:rPr>
      </w:pPr>
    </w:p>
    <w:p w14:paraId="676FE918" w14:textId="57A4A71D" w:rsidR="00944BA8" w:rsidRPr="00C270FA" w:rsidRDefault="00944BA8" w:rsidP="001F3235">
      <w:pPr>
        <w:pStyle w:val="Footnote"/>
        <w:rPr>
          <w:lang w:val="en-CA"/>
        </w:rPr>
      </w:pPr>
      <w:r w:rsidRPr="00C270FA">
        <w:rPr>
          <w:lang w:val="en-CA"/>
        </w:rPr>
        <w:t>Source: Company files</w:t>
      </w:r>
      <w:r w:rsidR="001F3235" w:rsidRPr="00C270FA">
        <w:rPr>
          <w:lang w:val="en-CA"/>
        </w:rPr>
        <w:t>.</w:t>
      </w:r>
    </w:p>
    <w:p w14:paraId="4B4E3D9F" w14:textId="0FFE5452" w:rsidR="00944BA8" w:rsidRPr="00C270FA" w:rsidRDefault="00944BA8" w:rsidP="001F3235">
      <w:pPr>
        <w:pStyle w:val="Footnote"/>
        <w:rPr>
          <w:lang w:val="en-CA"/>
        </w:rPr>
      </w:pPr>
    </w:p>
    <w:p w14:paraId="2AF597E5" w14:textId="77777777" w:rsidR="001416FB" w:rsidRPr="00C270FA" w:rsidRDefault="001416FB" w:rsidP="001F3235">
      <w:pPr>
        <w:pStyle w:val="Footnote"/>
        <w:rPr>
          <w:lang w:val="en-CA"/>
        </w:rPr>
      </w:pPr>
    </w:p>
    <w:p w14:paraId="44A33C58" w14:textId="760344A6" w:rsidR="001416FB" w:rsidRPr="00C270FA" w:rsidRDefault="001416FB" w:rsidP="001416FB">
      <w:pPr>
        <w:pStyle w:val="ExhibitHeading"/>
        <w:rPr>
          <w:lang w:val="en-CA"/>
        </w:rPr>
      </w:pPr>
      <w:bookmarkStart w:id="5" w:name="_Hlk64905457"/>
      <w:r w:rsidRPr="00C270FA">
        <w:rPr>
          <w:lang w:val="en-CA"/>
        </w:rPr>
        <w:t xml:space="preserve">EXHIBIT 6: MEDICOM REVENUES BY PRODUCT </w:t>
      </w:r>
      <w:proofErr w:type="gramStart"/>
      <w:r w:rsidRPr="00C270FA">
        <w:rPr>
          <w:lang w:val="en-CA"/>
        </w:rPr>
        <w:t>SEGMENT,*</w:t>
      </w:r>
      <w:proofErr w:type="gramEnd"/>
      <w:r w:rsidRPr="00C270FA">
        <w:rPr>
          <w:lang w:val="en-CA"/>
        </w:rPr>
        <w:t xml:space="preserve"> (PERCENTage)</w:t>
      </w:r>
    </w:p>
    <w:p w14:paraId="454EC732" w14:textId="77777777" w:rsidR="001416FB" w:rsidRPr="00C270FA" w:rsidRDefault="001416FB" w:rsidP="001416FB">
      <w:pPr>
        <w:pStyle w:val="Default"/>
        <w:rPr>
          <w:rFonts w:ascii="Times New Roman" w:hAnsi="Times New Roman" w:hint="default"/>
          <w:sz w:val="16"/>
          <w:szCs w:val="22"/>
          <w:lang w:val="en-CA"/>
        </w:rPr>
      </w:pPr>
    </w:p>
    <w:tbl>
      <w:tblPr>
        <w:tblStyle w:val="TableGrid"/>
        <w:tblW w:w="0" w:type="auto"/>
        <w:jc w:val="center"/>
        <w:tblLook w:val="04A0" w:firstRow="1" w:lastRow="0" w:firstColumn="1" w:lastColumn="0" w:noHBand="0" w:noVBand="1"/>
      </w:tblPr>
      <w:tblGrid>
        <w:gridCol w:w="2785"/>
        <w:gridCol w:w="1008"/>
        <w:gridCol w:w="1008"/>
        <w:gridCol w:w="1008"/>
      </w:tblGrid>
      <w:tr w:rsidR="001416FB" w:rsidRPr="00C270FA" w14:paraId="04B5C6AC" w14:textId="77777777" w:rsidTr="00E2298A">
        <w:trPr>
          <w:jc w:val="center"/>
        </w:trPr>
        <w:tc>
          <w:tcPr>
            <w:tcW w:w="2785" w:type="dxa"/>
            <w:vAlign w:val="center"/>
          </w:tcPr>
          <w:p w14:paraId="7A3CB116" w14:textId="77777777" w:rsidR="001416FB" w:rsidRPr="00C270FA" w:rsidRDefault="001416FB" w:rsidP="00E2298A">
            <w:pPr>
              <w:pStyle w:val="Default"/>
              <w:spacing w:before="60" w:after="60"/>
              <w:rPr>
                <w:rFonts w:ascii="Arial" w:hAnsi="Arial" w:cs="Arial" w:hint="default"/>
                <w:b/>
                <w:bCs/>
                <w:sz w:val="20"/>
                <w:lang w:val="en-CA"/>
              </w:rPr>
            </w:pPr>
            <w:r w:rsidRPr="00C270FA">
              <w:rPr>
                <w:rFonts w:ascii="Arial" w:hAnsi="Arial" w:cs="Arial" w:hint="default"/>
                <w:b/>
                <w:bCs/>
                <w:sz w:val="20"/>
                <w:lang w:val="en-CA"/>
              </w:rPr>
              <w:t>Segment</w:t>
            </w:r>
          </w:p>
        </w:tc>
        <w:tc>
          <w:tcPr>
            <w:tcW w:w="1008" w:type="dxa"/>
            <w:vAlign w:val="center"/>
          </w:tcPr>
          <w:p w14:paraId="056296BA" w14:textId="77777777" w:rsidR="001416FB" w:rsidRPr="00C270FA" w:rsidRDefault="001416FB" w:rsidP="00E2298A">
            <w:pPr>
              <w:pStyle w:val="Default"/>
              <w:spacing w:before="60" w:after="60"/>
              <w:jc w:val="center"/>
              <w:rPr>
                <w:rFonts w:ascii="Arial" w:hAnsi="Arial" w:cs="Arial" w:hint="default"/>
                <w:b/>
                <w:bCs/>
                <w:sz w:val="20"/>
                <w:lang w:val="en-CA"/>
              </w:rPr>
            </w:pPr>
            <w:r w:rsidRPr="00C270FA">
              <w:rPr>
                <w:rFonts w:ascii="Arial" w:hAnsi="Arial" w:cs="Arial" w:hint="default"/>
                <w:b/>
                <w:bCs/>
                <w:sz w:val="20"/>
                <w:lang w:val="en-CA"/>
              </w:rPr>
              <w:t>2018</w:t>
            </w:r>
          </w:p>
        </w:tc>
        <w:tc>
          <w:tcPr>
            <w:tcW w:w="1008" w:type="dxa"/>
            <w:vAlign w:val="center"/>
          </w:tcPr>
          <w:p w14:paraId="323D0941" w14:textId="77777777" w:rsidR="001416FB" w:rsidRPr="00C270FA" w:rsidRDefault="001416FB" w:rsidP="00E2298A">
            <w:pPr>
              <w:pStyle w:val="Default"/>
              <w:spacing w:before="60" w:after="60"/>
              <w:jc w:val="center"/>
              <w:rPr>
                <w:rFonts w:ascii="Arial" w:hAnsi="Arial" w:cs="Arial" w:hint="default"/>
                <w:b/>
                <w:bCs/>
                <w:sz w:val="20"/>
                <w:lang w:val="en-CA"/>
              </w:rPr>
            </w:pPr>
            <w:r w:rsidRPr="00C270FA">
              <w:rPr>
                <w:rFonts w:ascii="Arial" w:hAnsi="Arial" w:cs="Arial" w:hint="default"/>
                <w:b/>
                <w:bCs/>
                <w:sz w:val="20"/>
                <w:lang w:val="en-CA"/>
              </w:rPr>
              <w:t>2019</w:t>
            </w:r>
          </w:p>
        </w:tc>
        <w:tc>
          <w:tcPr>
            <w:tcW w:w="1008" w:type="dxa"/>
            <w:vAlign w:val="center"/>
          </w:tcPr>
          <w:p w14:paraId="6A98D87B" w14:textId="77777777" w:rsidR="001416FB" w:rsidRPr="00C270FA" w:rsidRDefault="001416FB" w:rsidP="00E2298A">
            <w:pPr>
              <w:pStyle w:val="Default"/>
              <w:spacing w:before="60" w:after="60"/>
              <w:jc w:val="center"/>
              <w:rPr>
                <w:rFonts w:ascii="Arial" w:hAnsi="Arial" w:cs="Arial" w:hint="default"/>
                <w:b/>
                <w:bCs/>
                <w:sz w:val="20"/>
                <w:lang w:val="en-CA"/>
              </w:rPr>
            </w:pPr>
            <w:r w:rsidRPr="00C270FA">
              <w:rPr>
                <w:rFonts w:ascii="Arial" w:hAnsi="Arial" w:cs="Arial" w:hint="default"/>
                <w:b/>
                <w:bCs/>
                <w:sz w:val="20"/>
                <w:lang w:val="en-CA"/>
              </w:rPr>
              <w:t>2020</w:t>
            </w:r>
          </w:p>
        </w:tc>
      </w:tr>
      <w:tr w:rsidR="001416FB" w:rsidRPr="00C270FA" w14:paraId="44D70776" w14:textId="77777777" w:rsidTr="00E2298A">
        <w:trPr>
          <w:jc w:val="center"/>
        </w:trPr>
        <w:tc>
          <w:tcPr>
            <w:tcW w:w="2785" w:type="dxa"/>
          </w:tcPr>
          <w:p w14:paraId="4C935BBF" w14:textId="77777777" w:rsidR="001416FB" w:rsidRPr="00C270FA" w:rsidRDefault="001416FB" w:rsidP="00E2298A">
            <w:pPr>
              <w:pStyle w:val="Default"/>
              <w:rPr>
                <w:rFonts w:ascii="Arial" w:hAnsi="Arial" w:cs="Arial" w:hint="default"/>
                <w:sz w:val="20"/>
                <w:lang w:val="en-CA"/>
              </w:rPr>
            </w:pPr>
            <w:r w:rsidRPr="00C270FA">
              <w:rPr>
                <w:rFonts w:ascii="Arial" w:hAnsi="Arial" w:cs="Arial" w:hint="default"/>
                <w:sz w:val="20"/>
                <w:lang w:val="en-CA"/>
              </w:rPr>
              <w:t>Masks</w:t>
            </w:r>
          </w:p>
        </w:tc>
        <w:tc>
          <w:tcPr>
            <w:tcW w:w="1008" w:type="dxa"/>
          </w:tcPr>
          <w:p w14:paraId="4C338F1E"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13</w:t>
            </w:r>
          </w:p>
        </w:tc>
        <w:tc>
          <w:tcPr>
            <w:tcW w:w="1008" w:type="dxa"/>
          </w:tcPr>
          <w:p w14:paraId="71065ED7"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14</w:t>
            </w:r>
          </w:p>
        </w:tc>
        <w:tc>
          <w:tcPr>
            <w:tcW w:w="1008" w:type="dxa"/>
          </w:tcPr>
          <w:p w14:paraId="1C71625B"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38</w:t>
            </w:r>
          </w:p>
        </w:tc>
      </w:tr>
      <w:tr w:rsidR="001416FB" w:rsidRPr="00C270FA" w14:paraId="41573935" w14:textId="77777777" w:rsidTr="00E2298A">
        <w:trPr>
          <w:jc w:val="center"/>
        </w:trPr>
        <w:tc>
          <w:tcPr>
            <w:tcW w:w="2785" w:type="dxa"/>
          </w:tcPr>
          <w:p w14:paraId="084621DF" w14:textId="77777777" w:rsidR="001416FB" w:rsidRPr="00C270FA" w:rsidRDefault="001416FB" w:rsidP="00E2298A">
            <w:pPr>
              <w:pStyle w:val="Default"/>
              <w:rPr>
                <w:rFonts w:ascii="Arial" w:hAnsi="Arial" w:cs="Arial" w:hint="default"/>
                <w:sz w:val="20"/>
                <w:lang w:val="en-CA"/>
              </w:rPr>
            </w:pPr>
            <w:r w:rsidRPr="00C270FA">
              <w:rPr>
                <w:rFonts w:ascii="Arial" w:hAnsi="Arial" w:cs="Arial" w:hint="default"/>
                <w:sz w:val="20"/>
                <w:lang w:val="en-CA"/>
              </w:rPr>
              <w:t>Gloves</w:t>
            </w:r>
          </w:p>
        </w:tc>
        <w:tc>
          <w:tcPr>
            <w:tcW w:w="1008" w:type="dxa"/>
          </w:tcPr>
          <w:p w14:paraId="058E1FFD"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18</w:t>
            </w:r>
          </w:p>
        </w:tc>
        <w:tc>
          <w:tcPr>
            <w:tcW w:w="1008" w:type="dxa"/>
          </w:tcPr>
          <w:p w14:paraId="386DD453"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28</w:t>
            </w:r>
          </w:p>
        </w:tc>
        <w:tc>
          <w:tcPr>
            <w:tcW w:w="1008" w:type="dxa"/>
          </w:tcPr>
          <w:p w14:paraId="68773C75"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23</w:t>
            </w:r>
          </w:p>
        </w:tc>
      </w:tr>
      <w:tr w:rsidR="001416FB" w:rsidRPr="00C270FA" w14:paraId="3AD661E8" w14:textId="77777777" w:rsidTr="00E2298A">
        <w:trPr>
          <w:jc w:val="center"/>
        </w:trPr>
        <w:tc>
          <w:tcPr>
            <w:tcW w:w="2785" w:type="dxa"/>
          </w:tcPr>
          <w:p w14:paraId="4A3A84E3" w14:textId="77777777" w:rsidR="001416FB" w:rsidRPr="00C270FA" w:rsidRDefault="001416FB" w:rsidP="00E2298A">
            <w:pPr>
              <w:pStyle w:val="Default"/>
              <w:rPr>
                <w:rFonts w:ascii="Arial" w:hAnsi="Arial" w:cs="Arial" w:hint="default"/>
                <w:sz w:val="20"/>
                <w:lang w:val="en-CA"/>
              </w:rPr>
            </w:pPr>
            <w:r w:rsidRPr="00C270FA">
              <w:rPr>
                <w:rFonts w:ascii="Arial" w:hAnsi="Arial" w:cs="Arial" w:hint="default"/>
                <w:sz w:val="20"/>
                <w:lang w:val="en-CA"/>
              </w:rPr>
              <w:t>Protective Products</w:t>
            </w:r>
          </w:p>
        </w:tc>
        <w:tc>
          <w:tcPr>
            <w:tcW w:w="1008" w:type="dxa"/>
          </w:tcPr>
          <w:p w14:paraId="4208E21D"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22</w:t>
            </w:r>
          </w:p>
        </w:tc>
        <w:tc>
          <w:tcPr>
            <w:tcW w:w="1008" w:type="dxa"/>
          </w:tcPr>
          <w:p w14:paraId="69D750B8"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16</w:t>
            </w:r>
          </w:p>
        </w:tc>
        <w:tc>
          <w:tcPr>
            <w:tcW w:w="1008" w:type="dxa"/>
          </w:tcPr>
          <w:p w14:paraId="0440890D"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15</w:t>
            </w:r>
          </w:p>
        </w:tc>
      </w:tr>
      <w:tr w:rsidR="001416FB" w:rsidRPr="00C270FA" w14:paraId="0AB83ED3" w14:textId="77777777" w:rsidTr="00E2298A">
        <w:trPr>
          <w:jc w:val="center"/>
        </w:trPr>
        <w:tc>
          <w:tcPr>
            <w:tcW w:w="2785" w:type="dxa"/>
          </w:tcPr>
          <w:p w14:paraId="4D76E53C" w14:textId="77777777" w:rsidR="001416FB" w:rsidRPr="00C270FA" w:rsidRDefault="001416FB" w:rsidP="00E2298A">
            <w:pPr>
              <w:pStyle w:val="Default"/>
              <w:rPr>
                <w:rFonts w:ascii="Arial" w:hAnsi="Arial" w:cs="Arial" w:hint="default"/>
                <w:sz w:val="20"/>
                <w:lang w:val="en-CA"/>
              </w:rPr>
            </w:pPr>
            <w:r w:rsidRPr="00C270FA">
              <w:rPr>
                <w:rFonts w:ascii="Arial" w:hAnsi="Arial" w:cs="Arial" w:hint="default"/>
                <w:sz w:val="20"/>
                <w:lang w:val="en-CA"/>
              </w:rPr>
              <w:t>Pouches and Reels</w:t>
            </w:r>
          </w:p>
        </w:tc>
        <w:tc>
          <w:tcPr>
            <w:tcW w:w="1008" w:type="dxa"/>
          </w:tcPr>
          <w:p w14:paraId="65451479"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11</w:t>
            </w:r>
          </w:p>
        </w:tc>
        <w:tc>
          <w:tcPr>
            <w:tcW w:w="1008" w:type="dxa"/>
          </w:tcPr>
          <w:p w14:paraId="262F5275"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14</w:t>
            </w:r>
          </w:p>
        </w:tc>
        <w:tc>
          <w:tcPr>
            <w:tcW w:w="1008" w:type="dxa"/>
          </w:tcPr>
          <w:p w14:paraId="007B0695"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7</w:t>
            </w:r>
          </w:p>
        </w:tc>
      </w:tr>
      <w:tr w:rsidR="001416FB" w:rsidRPr="00C270FA" w14:paraId="27DE7140" w14:textId="77777777" w:rsidTr="00E2298A">
        <w:trPr>
          <w:jc w:val="center"/>
        </w:trPr>
        <w:tc>
          <w:tcPr>
            <w:tcW w:w="2785" w:type="dxa"/>
          </w:tcPr>
          <w:p w14:paraId="594EDD13" w14:textId="77777777" w:rsidR="001416FB" w:rsidRPr="00C270FA" w:rsidRDefault="001416FB" w:rsidP="00E2298A">
            <w:pPr>
              <w:pStyle w:val="Default"/>
              <w:rPr>
                <w:rFonts w:ascii="Arial" w:hAnsi="Arial" w:cs="Arial" w:hint="default"/>
                <w:sz w:val="20"/>
                <w:lang w:val="en-CA"/>
              </w:rPr>
            </w:pPr>
            <w:r w:rsidRPr="00C270FA">
              <w:rPr>
                <w:rFonts w:ascii="Arial" w:hAnsi="Arial" w:cs="Arial" w:hint="default"/>
                <w:sz w:val="20"/>
                <w:lang w:val="en-CA"/>
              </w:rPr>
              <w:t>Nonwoven**</w:t>
            </w:r>
          </w:p>
        </w:tc>
        <w:tc>
          <w:tcPr>
            <w:tcW w:w="1008" w:type="dxa"/>
          </w:tcPr>
          <w:p w14:paraId="4183FEA0"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12</w:t>
            </w:r>
          </w:p>
        </w:tc>
        <w:tc>
          <w:tcPr>
            <w:tcW w:w="1008" w:type="dxa"/>
          </w:tcPr>
          <w:p w14:paraId="7FCC24AD"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8</w:t>
            </w:r>
          </w:p>
        </w:tc>
        <w:tc>
          <w:tcPr>
            <w:tcW w:w="1008" w:type="dxa"/>
          </w:tcPr>
          <w:p w14:paraId="55A7F7E8"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4</w:t>
            </w:r>
          </w:p>
        </w:tc>
      </w:tr>
      <w:tr w:rsidR="001416FB" w:rsidRPr="00C270FA" w14:paraId="12596295" w14:textId="77777777" w:rsidTr="00E2298A">
        <w:trPr>
          <w:jc w:val="center"/>
        </w:trPr>
        <w:tc>
          <w:tcPr>
            <w:tcW w:w="2785" w:type="dxa"/>
          </w:tcPr>
          <w:p w14:paraId="1BAB624B" w14:textId="77777777" w:rsidR="001416FB" w:rsidRPr="00C270FA" w:rsidRDefault="001416FB" w:rsidP="00E2298A">
            <w:pPr>
              <w:pStyle w:val="Default"/>
              <w:rPr>
                <w:rFonts w:ascii="Arial" w:hAnsi="Arial" w:cs="Arial" w:hint="default"/>
                <w:sz w:val="20"/>
                <w:lang w:val="en-CA"/>
              </w:rPr>
            </w:pPr>
            <w:r w:rsidRPr="00C270FA">
              <w:rPr>
                <w:rFonts w:ascii="Arial" w:hAnsi="Arial" w:cs="Arial" w:hint="default"/>
                <w:sz w:val="20"/>
                <w:lang w:val="en-CA"/>
              </w:rPr>
              <w:t>Other</w:t>
            </w:r>
          </w:p>
        </w:tc>
        <w:tc>
          <w:tcPr>
            <w:tcW w:w="1008" w:type="dxa"/>
          </w:tcPr>
          <w:p w14:paraId="18E69A03"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24</w:t>
            </w:r>
          </w:p>
        </w:tc>
        <w:tc>
          <w:tcPr>
            <w:tcW w:w="1008" w:type="dxa"/>
          </w:tcPr>
          <w:p w14:paraId="61AF127F"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20</w:t>
            </w:r>
          </w:p>
        </w:tc>
        <w:tc>
          <w:tcPr>
            <w:tcW w:w="1008" w:type="dxa"/>
          </w:tcPr>
          <w:p w14:paraId="14656ED3" w14:textId="77777777" w:rsidR="001416FB" w:rsidRPr="00C270FA" w:rsidRDefault="001416FB" w:rsidP="00E2298A">
            <w:pPr>
              <w:pStyle w:val="Default"/>
              <w:jc w:val="right"/>
              <w:rPr>
                <w:rFonts w:ascii="Arial" w:hAnsi="Arial" w:cs="Arial" w:hint="default"/>
                <w:sz w:val="20"/>
                <w:lang w:val="en-CA"/>
              </w:rPr>
            </w:pPr>
            <w:r w:rsidRPr="00C270FA">
              <w:rPr>
                <w:rFonts w:ascii="Arial" w:hAnsi="Arial" w:cs="Arial" w:hint="default"/>
                <w:sz w:val="20"/>
                <w:lang w:val="en-CA"/>
              </w:rPr>
              <w:t>13</w:t>
            </w:r>
          </w:p>
        </w:tc>
      </w:tr>
      <w:tr w:rsidR="001416FB" w:rsidRPr="00C270FA" w14:paraId="276C3988" w14:textId="77777777" w:rsidTr="00E2298A">
        <w:trPr>
          <w:jc w:val="center"/>
        </w:trPr>
        <w:tc>
          <w:tcPr>
            <w:tcW w:w="2785" w:type="dxa"/>
          </w:tcPr>
          <w:p w14:paraId="0A279E03" w14:textId="77777777" w:rsidR="001416FB" w:rsidRPr="00C270FA" w:rsidRDefault="001416FB" w:rsidP="00E2298A">
            <w:pPr>
              <w:pStyle w:val="Default"/>
              <w:rPr>
                <w:rFonts w:ascii="Arial" w:hAnsi="Arial" w:cs="Arial" w:hint="default"/>
                <w:b/>
                <w:sz w:val="20"/>
                <w:lang w:val="en-CA"/>
              </w:rPr>
            </w:pPr>
            <w:r w:rsidRPr="00C270FA">
              <w:rPr>
                <w:rFonts w:ascii="Arial" w:hAnsi="Arial" w:cs="Arial" w:hint="default"/>
                <w:b/>
                <w:sz w:val="20"/>
                <w:lang w:val="en-CA"/>
              </w:rPr>
              <w:t>Total</w:t>
            </w:r>
          </w:p>
        </w:tc>
        <w:tc>
          <w:tcPr>
            <w:tcW w:w="1008" w:type="dxa"/>
          </w:tcPr>
          <w:p w14:paraId="2CE58F31" w14:textId="77777777" w:rsidR="001416FB" w:rsidRPr="00C270FA" w:rsidRDefault="001416FB" w:rsidP="00E2298A">
            <w:pPr>
              <w:pStyle w:val="Default"/>
              <w:jc w:val="right"/>
              <w:rPr>
                <w:rFonts w:ascii="Arial" w:hAnsi="Arial" w:cs="Arial" w:hint="default"/>
                <w:b/>
                <w:sz w:val="20"/>
                <w:lang w:val="en-CA"/>
              </w:rPr>
            </w:pPr>
            <w:r w:rsidRPr="00C270FA">
              <w:rPr>
                <w:rFonts w:ascii="Arial" w:hAnsi="Arial" w:cs="Arial" w:hint="default"/>
                <w:b/>
                <w:sz w:val="20"/>
                <w:lang w:val="en-CA"/>
              </w:rPr>
              <w:t>100</w:t>
            </w:r>
          </w:p>
        </w:tc>
        <w:tc>
          <w:tcPr>
            <w:tcW w:w="1008" w:type="dxa"/>
          </w:tcPr>
          <w:p w14:paraId="7DB303D1" w14:textId="77777777" w:rsidR="001416FB" w:rsidRPr="00C270FA" w:rsidRDefault="001416FB" w:rsidP="00E2298A">
            <w:pPr>
              <w:pStyle w:val="Default"/>
              <w:jc w:val="right"/>
              <w:rPr>
                <w:rFonts w:ascii="Arial" w:hAnsi="Arial" w:cs="Arial" w:hint="default"/>
                <w:b/>
                <w:sz w:val="20"/>
                <w:lang w:val="en-CA"/>
              </w:rPr>
            </w:pPr>
            <w:r w:rsidRPr="00C270FA">
              <w:rPr>
                <w:rFonts w:ascii="Arial" w:hAnsi="Arial" w:cs="Arial" w:hint="default"/>
                <w:b/>
                <w:sz w:val="20"/>
                <w:lang w:val="en-CA"/>
              </w:rPr>
              <w:t>100</w:t>
            </w:r>
          </w:p>
        </w:tc>
        <w:tc>
          <w:tcPr>
            <w:tcW w:w="1008" w:type="dxa"/>
          </w:tcPr>
          <w:p w14:paraId="57A671E5" w14:textId="77777777" w:rsidR="001416FB" w:rsidRPr="00C270FA" w:rsidRDefault="001416FB" w:rsidP="00E2298A">
            <w:pPr>
              <w:pStyle w:val="Default"/>
              <w:jc w:val="right"/>
              <w:rPr>
                <w:rFonts w:ascii="Arial" w:hAnsi="Arial" w:cs="Arial" w:hint="default"/>
                <w:b/>
                <w:sz w:val="20"/>
                <w:lang w:val="en-CA"/>
              </w:rPr>
            </w:pPr>
            <w:r w:rsidRPr="00C270FA">
              <w:rPr>
                <w:rFonts w:ascii="Arial" w:hAnsi="Arial" w:cs="Arial" w:hint="default"/>
                <w:b/>
                <w:sz w:val="20"/>
                <w:lang w:val="en-CA"/>
              </w:rPr>
              <w:t>100</w:t>
            </w:r>
          </w:p>
        </w:tc>
      </w:tr>
    </w:tbl>
    <w:p w14:paraId="7DE7D9FD" w14:textId="77777777" w:rsidR="001416FB" w:rsidRPr="00C270FA" w:rsidRDefault="001416FB" w:rsidP="001416FB">
      <w:pPr>
        <w:pStyle w:val="Default"/>
        <w:rPr>
          <w:rFonts w:ascii="Times New Roman" w:hAnsi="Times New Roman" w:hint="default"/>
          <w:sz w:val="22"/>
          <w:szCs w:val="22"/>
          <w:lang w:val="en-CA"/>
        </w:rPr>
      </w:pPr>
    </w:p>
    <w:p w14:paraId="42A2B8F8" w14:textId="72A68873" w:rsidR="001416FB" w:rsidRPr="00C270FA" w:rsidRDefault="001416FB" w:rsidP="001416FB">
      <w:pPr>
        <w:pStyle w:val="Footnote"/>
        <w:rPr>
          <w:lang w:val="en-CA"/>
        </w:rPr>
      </w:pPr>
      <w:r w:rsidRPr="00C270FA">
        <w:rPr>
          <w:lang w:val="en-CA"/>
        </w:rPr>
        <w:t>Note: * Data for fiscal year: August 1 to July 31; ** Nonwoven includes products such as gauze and sponges</w:t>
      </w:r>
    </w:p>
    <w:p w14:paraId="779ED7E2" w14:textId="77777777" w:rsidR="001416FB" w:rsidRPr="00C270FA" w:rsidRDefault="001416FB" w:rsidP="001416FB">
      <w:pPr>
        <w:pStyle w:val="Footnote"/>
        <w:rPr>
          <w:lang w:val="en-CA"/>
        </w:rPr>
      </w:pPr>
      <w:r w:rsidRPr="00C270FA">
        <w:rPr>
          <w:lang w:val="en-CA"/>
        </w:rPr>
        <w:t>Source: Company files.</w:t>
      </w:r>
    </w:p>
    <w:p w14:paraId="0965586F" w14:textId="77777777" w:rsidR="001416FB" w:rsidRPr="00C270FA" w:rsidRDefault="001416FB" w:rsidP="001416FB">
      <w:pPr>
        <w:rPr>
          <w:rFonts w:eastAsiaTheme="minorHAnsi"/>
          <w:b/>
          <w:bCs/>
          <w:color w:val="000000"/>
          <w:sz w:val="16"/>
          <w:lang w:val="en-CA"/>
        </w:rPr>
      </w:pPr>
    </w:p>
    <w:p w14:paraId="139ED8ED" w14:textId="77777777" w:rsidR="00944BA8" w:rsidRPr="00C270FA" w:rsidRDefault="00944BA8" w:rsidP="001F3235">
      <w:pPr>
        <w:pStyle w:val="Footnote"/>
        <w:rPr>
          <w:lang w:val="en-CA"/>
        </w:rPr>
      </w:pPr>
    </w:p>
    <w:p w14:paraId="7B679065" w14:textId="1B9909EC" w:rsidR="00944BA8" w:rsidRPr="00C270FA" w:rsidRDefault="00944BA8" w:rsidP="000307A3">
      <w:pPr>
        <w:pStyle w:val="ExhibitHeading"/>
        <w:rPr>
          <w:lang w:val="en-CA"/>
        </w:rPr>
      </w:pPr>
      <w:r w:rsidRPr="00C270FA">
        <w:rPr>
          <w:lang w:val="en-CA"/>
        </w:rPr>
        <w:t>EXHIBIT 7: MEDICOM MELT</w:t>
      </w:r>
      <w:r w:rsidR="005A25D9" w:rsidRPr="00C270FA">
        <w:rPr>
          <w:lang w:val="en-CA"/>
        </w:rPr>
        <w:t>-</w:t>
      </w:r>
      <w:r w:rsidRPr="00C270FA">
        <w:rPr>
          <w:lang w:val="en-CA"/>
        </w:rPr>
        <w:t>BLOWN DEMAND</w:t>
      </w:r>
      <w:bookmarkEnd w:id="5"/>
      <w:r w:rsidR="001F3235" w:rsidRPr="00C270FA">
        <w:rPr>
          <w:lang w:val="en-CA"/>
        </w:rPr>
        <w:t xml:space="preserve"> </w:t>
      </w:r>
      <w:r w:rsidRPr="00C270FA">
        <w:rPr>
          <w:lang w:val="en-CA"/>
        </w:rPr>
        <w:t xml:space="preserve">(In </w:t>
      </w:r>
      <w:proofErr w:type="gramStart"/>
      <w:r w:rsidRPr="00C270FA">
        <w:rPr>
          <w:lang w:val="en-CA"/>
        </w:rPr>
        <w:t>Tonnes)*</w:t>
      </w:r>
      <w:proofErr w:type="gramEnd"/>
    </w:p>
    <w:p w14:paraId="4F1B72E5" w14:textId="77777777" w:rsidR="00944BA8" w:rsidRPr="00C270FA" w:rsidRDefault="00944BA8" w:rsidP="00944BA8">
      <w:pPr>
        <w:pStyle w:val="xmsonormal"/>
        <w:shd w:val="clear" w:color="auto" w:fill="FFFFFF"/>
        <w:spacing w:before="0" w:beforeAutospacing="0" w:after="0" w:afterAutospacing="0"/>
        <w:rPr>
          <w:sz w:val="22"/>
          <w:szCs w:val="22"/>
        </w:rPr>
      </w:pPr>
    </w:p>
    <w:tbl>
      <w:tblPr>
        <w:tblW w:w="8920" w:type="dxa"/>
        <w:tblLook w:val="04A0" w:firstRow="1" w:lastRow="0" w:firstColumn="1" w:lastColumn="0" w:noHBand="0" w:noVBand="1"/>
      </w:tblPr>
      <w:tblGrid>
        <w:gridCol w:w="1780"/>
        <w:gridCol w:w="1205"/>
        <w:gridCol w:w="1495"/>
        <w:gridCol w:w="780"/>
        <w:gridCol w:w="272"/>
        <w:gridCol w:w="1189"/>
        <w:gridCol w:w="1475"/>
        <w:gridCol w:w="816"/>
      </w:tblGrid>
      <w:tr w:rsidR="00944BA8" w:rsidRPr="00C270FA" w14:paraId="61F92A28" w14:textId="77777777" w:rsidTr="00055DBA">
        <w:trPr>
          <w:trHeight w:val="315"/>
        </w:trPr>
        <w:tc>
          <w:tcPr>
            <w:tcW w:w="1780" w:type="dxa"/>
            <w:vMerge w:val="restart"/>
            <w:tcBorders>
              <w:top w:val="nil"/>
              <w:left w:val="nil"/>
              <w:bottom w:val="nil"/>
              <w:right w:val="nil"/>
            </w:tcBorders>
            <w:shd w:val="clear" w:color="auto" w:fill="auto"/>
            <w:noWrap/>
            <w:vAlign w:val="center"/>
            <w:hideMark/>
          </w:tcPr>
          <w:p w14:paraId="6B138CF0"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Region</w:t>
            </w:r>
          </w:p>
        </w:tc>
        <w:tc>
          <w:tcPr>
            <w:tcW w:w="3480" w:type="dxa"/>
            <w:gridSpan w:val="3"/>
            <w:tcBorders>
              <w:top w:val="nil"/>
              <w:left w:val="nil"/>
              <w:bottom w:val="single" w:sz="4" w:space="0" w:color="auto"/>
              <w:right w:val="nil"/>
            </w:tcBorders>
            <w:shd w:val="clear" w:color="auto" w:fill="auto"/>
            <w:noWrap/>
            <w:vAlign w:val="center"/>
            <w:hideMark/>
          </w:tcPr>
          <w:p w14:paraId="6812B38B"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2019</w:t>
            </w:r>
          </w:p>
        </w:tc>
        <w:tc>
          <w:tcPr>
            <w:tcW w:w="180" w:type="dxa"/>
            <w:tcBorders>
              <w:top w:val="nil"/>
              <w:left w:val="nil"/>
              <w:bottom w:val="nil"/>
              <w:right w:val="nil"/>
            </w:tcBorders>
            <w:shd w:val="clear" w:color="auto" w:fill="auto"/>
            <w:noWrap/>
            <w:vAlign w:val="center"/>
            <w:hideMark/>
          </w:tcPr>
          <w:p w14:paraId="307ECC1D" w14:textId="77777777" w:rsidR="00944BA8" w:rsidRPr="00C270FA" w:rsidRDefault="00944BA8" w:rsidP="00055DBA">
            <w:pPr>
              <w:jc w:val="center"/>
              <w:rPr>
                <w:rFonts w:ascii="Arial" w:hAnsi="Arial" w:cs="Arial"/>
                <w:b/>
                <w:color w:val="000000"/>
                <w:lang w:val="en-CA"/>
              </w:rPr>
            </w:pPr>
          </w:p>
        </w:tc>
        <w:tc>
          <w:tcPr>
            <w:tcW w:w="3480" w:type="dxa"/>
            <w:gridSpan w:val="3"/>
            <w:tcBorders>
              <w:top w:val="nil"/>
              <w:left w:val="nil"/>
              <w:bottom w:val="single" w:sz="4" w:space="0" w:color="auto"/>
              <w:right w:val="nil"/>
            </w:tcBorders>
            <w:shd w:val="clear" w:color="auto" w:fill="auto"/>
            <w:noWrap/>
            <w:vAlign w:val="center"/>
            <w:hideMark/>
          </w:tcPr>
          <w:p w14:paraId="0B694E9A"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2021</w:t>
            </w:r>
          </w:p>
        </w:tc>
      </w:tr>
      <w:tr w:rsidR="00944BA8" w:rsidRPr="00C270FA" w14:paraId="33129957" w14:textId="77777777" w:rsidTr="009646A5">
        <w:trPr>
          <w:trHeight w:val="53"/>
        </w:trPr>
        <w:tc>
          <w:tcPr>
            <w:tcW w:w="1780" w:type="dxa"/>
            <w:vMerge/>
            <w:tcBorders>
              <w:top w:val="nil"/>
              <w:left w:val="nil"/>
              <w:bottom w:val="nil"/>
              <w:right w:val="nil"/>
            </w:tcBorders>
            <w:vAlign w:val="center"/>
            <w:hideMark/>
          </w:tcPr>
          <w:p w14:paraId="2ED333EC" w14:textId="77777777" w:rsidR="00944BA8" w:rsidRPr="00C270FA" w:rsidRDefault="00944BA8" w:rsidP="00055DBA">
            <w:pPr>
              <w:rPr>
                <w:rFonts w:ascii="Arial" w:hAnsi="Arial" w:cs="Arial"/>
                <w:b/>
                <w:color w:val="000000"/>
                <w:lang w:val="en-CA"/>
              </w:rPr>
            </w:pPr>
          </w:p>
        </w:tc>
        <w:tc>
          <w:tcPr>
            <w:tcW w:w="1205" w:type="dxa"/>
            <w:tcBorders>
              <w:top w:val="nil"/>
              <w:left w:val="nil"/>
              <w:bottom w:val="single" w:sz="4" w:space="0" w:color="auto"/>
              <w:right w:val="nil"/>
            </w:tcBorders>
            <w:shd w:val="clear" w:color="auto" w:fill="auto"/>
            <w:noWrap/>
            <w:vAlign w:val="center"/>
            <w:hideMark/>
          </w:tcPr>
          <w:p w14:paraId="777BB415"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Surgical</w:t>
            </w:r>
          </w:p>
        </w:tc>
        <w:tc>
          <w:tcPr>
            <w:tcW w:w="1495" w:type="dxa"/>
            <w:tcBorders>
              <w:top w:val="nil"/>
              <w:left w:val="nil"/>
              <w:bottom w:val="single" w:sz="4" w:space="0" w:color="auto"/>
              <w:right w:val="nil"/>
            </w:tcBorders>
            <w:shd w:val="clear" w:color="auto" w:fill="auto"/>
            <w:noWrap/>
            <w:vAlign w:val="center"/>
            <w:hideMark/>
          </w:tcPr>
          <w:p w14:paraId="5FB8712E"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Respirator</w:t>
            </w:r>
          </w:p>
        </w:tc>
        <w:tc>
          <w:tcPr>
            <w:tcW w:w="780" w:type="dxa"/>
            <w:tcBorders>
              <w:top w:val="nil"/>
              <w:left w:val="nil"/>
              <w:bottom w:val="single" w:sz="4" w:space="0" w:color="auto"/>
              <w:right w:val="nil"/>
            </w:tcBorders>
            <w:shd w:val="clear" w:color="auto" w:fill="auto"/>
            <w:noWrap/>
            <w:vAlign w:val="center"/>
            <w:hideMark/>
          </w:tcPr>
          <w:p w14:paraId="41DACCC0"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Total</w:t>
            </w:r>
          </w:p>
        </w:tc>
        <w:tc>
          <w:tcPr>
            <w:tcW w:w="180" w:type="dxa"/>
            <w:tcBorders>
              <w:top w:val="nil"/>
              <w:left w:val="nil"/>
              <w:right w:val="nil"/>
            </w:tcBorders>
            <w:shd w:val="clear" w:color="auto" w:fill="auto"/>
            <w:noWrap/>
            <w:vAlign w:val="center"/>
            <w:hideMark/>
          </w:tcPr>
          <w:p w14:paraId="01EDAFD4"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 </w:t>
            </w:r>
          </w:p>
        </w:tc>
        <w:tc>
          <w:tcPr>
            <w:tcW w:w="1189" w:type="dxa"/>
            <w:tcBorders>
              <w:top w:val="nil"/>
              <w:left w:val="nil"/>
              <w:bottom w:val="single" w:sz="4" w:space="0" w:color="auto"/>
              <w:right w:val="nil"/>
            </w:tcBorders>
            <w:shd w:val="clear" w:color="auto" w:fill="auto"/>
            <w:noWrap/>
            <w:vAlign w:val="center"/>
            <w:hideMark/>
          </w:tcPr>
          <w:p w14:paraId="167F15D6"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Surgical</w:t>
            </w:r>
          </w:p>
        </w:tc>
        <w:tc>
          <w:tcPr>
            <w:tcW w:w="1475" w:type="dxa"/>
            <w:tcBorders>
              <w:top w:val="nil"/>
              <w:left w:val="nil"/>
              <w:bottom w:val="single" w:sz="4" w:space="0" w:color="auto"/>
              <w:right w:val="nil"/>
            </w:tcBorders>
            <w:shd w:val="clear" w:color="auto" w:fill="auto"/>
            <w:noWrap/>
            <w:vAlign w:val="center"/>
            <w:hideMark/>
          </w:tcPr>
          <w:p w14:paraId="2475609A"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Respirator</w:t>
            </w:r>
          </w:p>
        </w:tc>
        <w:tc>
          <w:tcPr>
            <w:tcW w:w="816" w:type="dxa"/>
            <w:tcBorders>
              <w:top w:val="nil"/>
              <w:left w:val="nil"/>
              <w:bottom w:val="single" w:sz="4" w:space="0" w:color="auto"/>
              <w:right w:val="nil"/>
            </w:tcBorders>
            <w:shd w:val="clear" w:color="auto" w:fill="auto"/>
            <w:noWrap/>
            <w:vAlign w:val="center"/>
            <w:hideMark/>
          </w:tcPr>
          <w:p w14:paraId="4607C4B8" w14:textId="77777777" w:rsidR="00944BA8" w:rsidRPr="00C270FA" w:rsidRDefault="00944BA8" w:rsidP="00055DBA">
            <w:pPr>
              <w:jc w:val="center"/>
              <w:rPr>
                <w:rFonts w:ascii="Arial" w:hAnsi="Arial" w:cs="Arial"/>
                <w:b/>
                <w:color w:val="000000"/>
                <w:lang w:val="en-CA"/>
              </w:rPr>
            </w:pPr>
            <w:r w:rsidRPr="00C270FA">
              <w:rPr>
                <w:rFonts w:ascii="Arial" w:hAnsi="Arial" w:cs="Arial"/>
                <w:b/>
                <w:color w:val="000000"/>
                <w:lang w:val="en-CA"/>
              </w:rPr>
              <w:t>Total</w:t>
            </w:r>
          </w:p>
        </w:tc>
      </w:tr>
      <w:tr w:rsidR="00944BA8" w:rsidRPr="00C270FA" w14:paraId="50542BD7" w14:textId="77777777" w:rsidTr="00055DBA">
        <w:trPr>
          <w:trHeight w:val="315"/>
        </w:trPr>
        <w:tc>
          <w:tcPr>
            <w:tcW w:w="1780" w:type="dxa"/>
            <w:tcBorders>
              <w:top w:val="nil"/>
              <w:left w:val="nil"/>
              <w:bottom w:val="nil"/>
              <w:right w:val="nil"/>
            </w:tcBorders>
            <w:shd w:val="clear" w:color="auto" w:fill="auto"/>
            <w:noWrap/>
            <w:vAlign w:val="bottom"/>
            <w:hideMark/>
          </w:tcPr>
          <w:p w14:paraId="6B9177EB" w14:textId="77777777" w:rsidR="00944BA8" w:rsidRPr="00C270FA" w:rsidRDefault="00944BA8" w:rsidP="00055DBA">
            <w:pPr>
              <w:rPr>
                <w:rFonts w:ascii="Arial" w:hAnsi="Arial" w:cs="Arial"/>
                <w:color w:val="000000"/>
                <w:lang w:val="en-CA"/>
              </w:rPr>
            </w:pPr>
            <w:r w:rsidRPr="00C270FA">
              <w:rPr>
                <w:rFonts w:ascii="Arial" w:hAnsi="Arial" w:cs="Arial"/>
                <w:color w:val="000000"/>
                <w:lang w:val="en-CA"/>
              </w:rPr>
              <w:t>France</w:t>
            </w:r>
          </w:p>
        </w:tc>
        <w:tc>
          <w:tcPr>
            <w:tcW w:w="1205" w:type="dxa"/>
            <w:tcBorders>
              <w:top w:val="nil"/>
              <w:left w:val="nil"/>
              <w:bottom w:val="nil"/>
              <w:right w:val="nil"/>
            </w:tcBorders>
            <w:shd w:val="clear" w:color="auto" w:fill="auto"/>
            <w:noWrap/>
            <w:vAlign w:val="bottom"/>
            <w:hideMark/>
          </w:tcPr>
          <w:p w14:paraId="46B25FFE"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145</w:t>
            </w:r>
          </w:p>
        </w:tc>
        <w:tc>
          <w:tcPr>
            <w:tcW w:w="1495" w:type="dxa"/>
            <w:tcBorders>
              <w:top w:val="nil"/>
              <w:left w:val="nil"/>
              <w:bottom w:val="nil"/>
              <w:right w:val="nil"/>
            </w:tcBorders>
            <w:shd w:val="clear" w:color="auto" w:fill="auto"/>
            <w:noWrap/>
            <w:vAlign w:val="bottom"/>
            <w:hideMark/>
          </w:tcPr>
          <w:p w14:paraId="44196339"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185</w:t>
            </w:r>
          </w:p>
        </w:tc>
        <w:tc>
          <w:tcPr>
            <w:tcW w:w="780" w:type="dxa"/>
            <w:tcBorders>
              <w:top w:val="nil"/>
              <w:left w:val="nil"/>
              <w:bottom w:val="nil"/>
              <w:right w:val="nil"/>
            </w:tcBorders>
            <w:shd w:val="clear" w:color="auto" w:fill="auto"/>
            <w:noWrap/>
            <w:vAlign w:val="bottom"/>
            <w:hideMark/>
          </w:tcPr>
          <w:p w14:paraId="1D005448"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330</w:t>
            </w:r>
          </w:p>
        </w:tc>
        <w:tc>
          <w:tcPr>
            <w:tcW w:w="180" w:type="dxa"/>
            <w:tcBorders>
              <w:top w:val="nil"/>
              <w:left w:val="nil"/>
              <w:bottom w:val="nil"/>
              <w:right w:val="nil"/>
            </w:tcBorders>
            <w:shd w:val="clear" w:color="auto" w:fill="auto"/>
            <w:noWrap/>
            <w:vAlign w:val="bottom"/>
            <w:hideMark/>
          </w:tcPr>
          <w:p w14:paraId="30AE0814" w14:textId="77777777" w:rsidR="00944BA8" w:rsidRPr="00C270FA" w:rsidRDefault="00944BA8" w:rsidP="00055DBA">
            <w:pPr>
              <w:jc w:val="right"/>
              <w:rPr>
                <w:rFonts w:ascii="Arial" w:hAnsi="Arial" w:cs="Arial"/>
                <w:color w:val="000000"/>
                <w:lang w:val="en-CA"/>
              </w:rPr>
            </w:pPr>
          </w:p>
        </w:tc>
        <w:tc>
          <w:tcPr>
            <w:tcW w:w="1189" w:type="dxa"/>
            <w:tcBorders>
              <w:top w:val="nil"/>
              <w:left w:val="nil"/>
              <w:bottom w:val="nil"/>
              <w:right w:val="nil"/>
            </w:tcBorders>
            <w:shd w:val="clear" w:color="auto" w:fill="auto"/>
            <w:noWrap/>
            <w:vAlign w:val="bottom"/>
            <w:hideMark/>
          </w:tcPr>
          <w:p w14:paraId="1F78AA67"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660</w:t>
            </w:r>
          </w:p>
        </w:tc>
        <w:tc>
          <w:tcPr>
            <w:tcW w:w="1475" w:type="dxa"/>
            <w:tcBorders>
              <w:top w:val="nil"/>
              <w:left w:val="nil"/>
              <w:bottom w:val="nil"/>
              <w:right w:val="nil"/>
            </w:tcBorders>
            <w:shd w:val="clear" w:color="auto" w:fill="auto"/>
            <w:noWrap/>
            <w:vAlign w:val="bottom"/>
            <w:hideMark/>
          </w:tcPr>
          <w:p w14:paraId="732E01AA"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385</w:t>
            </w:r>
          </w:p>
        </w:tc>
        <w:tc>
          <w:tcPr>
            <w:tcW w:w="816" w:type="dxa"/>
            <w:tcBorders>
              <w:top w:val="nil"/>
              <w:left w:val="nil"/>
              <w:bottom w:val="nil"/>
              <w:right w:val="nil"/>
            </w:tcBorders>
            <w:shd w:val="clear" w:color="auto" w:fill="auto"/>
            <w:noWrap/>
            <w:vAlign w:val="bottom"/>
            <w:hideMark/>
          </w:tcPr>
          <w:p w14:paraId="4702C534"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1,045</w:t>
            </w:r>
          </w:p>
        </w:tc>
      </w:tr>
      <w:tr w:rsidR="00944BA8" w:rsidRPr="00C270FA" w14:paraId="28172A3B" w14:textId="77777777" w:rsidTr="00055DBA">
        <w:trPr>
          <w:trHeight w:val="315"/>
        </w:trPr>
        <w:tc>
          <w:tcPr>
            <w:tcW w:w="1780" w:type="dxa"/>
            <w:tcBorders>
              <w:top w:val="nil"/>
              <w:left w:val="nil"/>
              <w:bottom w:val="nil"/>
              <w:right w:val="nil"/>
            </w:tcBorders>
            <w:shd w:val="clear" w:color="auto" w:fill="auto"/>
            <w:noWrap/>
            <w:vAlign w:val="bottom"/>
            <w:hideMark/>
          </w:tcPr>
          <w:p w14:paraId="4822A9AD" w14:textId="4523222F" w:rsidR="00944BA8" w:rsidRPr="00C270FA" w:rsidRDefault="00944BA8" w:rsidP="00055DBA">
            <w:pPr>
              <w:rPr>
                <w:rFonts w:ascii="Arial" w:hAnsi="Arial" w:cs="Arial"/>
                <w:color w:val="000000"/>
                <w:lang w:val="en-CA"/>
              </w:rPr>
            </w:pPr>
            <w:r w:rsidRPr="00C270FA">
              <w:rPr>
                <w:rFonts w:ascii="Arial" w:hAnsi="Arial" w:cs="Arial"/>
                <w:color w:val="000000"/>
                <w:lang w:val="en-CA"/>
              </w:rPr>
              <w:t>U</w:t>
            </w:r>
            <w:r w:rsidR="005C0AD9" w:rsidRPr="00C270FA">
              <w:rPr>
                <w:rFonts w:ascii="Arial" w:hAnsi="Arial" w:cs="Arial"/>
                <w:color w:val="000000"/>
                <w:lang w:val="en-CA"/>
              </w:rPr>
              <w:t xml:space="preserve">nited </w:t>
            </w:r>
            <w:r w:rsidR="001F3235" w:rsidRPr="00C270FA">
              <w:rPr>
                <w:rFonts w:ascii="Arial" w:hAnsi="Arial" w:cs="Arial"/>
                <w:color w:val="000000"/>
                <w:lang w:val="en-CA"/>
              </w:rPr>
              <w:t>K</w:t>
            </w:r>
            <w:r w:rsidR="005C0AD9" w:rsidRPr="00C270FA">
              <w:rPr>
                <w:rFonts w:ascii="Arial" w:hAnsi="Arial" w:cs="Arial"/>
                <w:color w:val="000000"/>
                <w:lang w:val="en-CA"/>
              </w:rPr>
              <w:t>ingdom</w:t>
            </w:r>
          </w:p>
        </w:tc>
        <w:tc>
          <w:tcPr>
            <w:tcW w:w="1205" w:type="dxa"/>
            <w:tcBorders>
              <w:top w:val="nil"/>
              <w:left w:val="nil"/>
              <w:bottom w:val="nil"/>
              <w:right w:val="nil"/>
            </w:tcBorders>
            <w:shd w:val="clear" w:color="auto" w:fill="auto"/>
            <w:noWrap/>
            <w:vAlign w:val="bottom"/>
            <w:hideMark/>
          </w:tcPr>
          <w:p w14:paraId="74D43221" w14:textId="77777777" w:rsidR="00944BA8" w:rsidRPr="00C270FA" w:rsidRDefault="00944BA8" w:rsidP="00055DBA">
            <w:pPr>
              <w:rPr>
                <w:rFonts w:ascii="Arial" w:hAnsi="Arial" w:cs="Arial"/>
                <w:color w:val="000000"/>
                <w:lang w:val="en-CA"/>
              </w:rPr>
            </w:pPr>
          </w:p>
        </w:tc>
        <w:tc>
          <w:tcPr>
            <w:tcW w:w="1495" w:type="dxa"/>
            <w:tcBorders>
              <w:top w:val="nil"/>
              <w:left w:val="nil"/>
              <w:bottom w:val="nil"/>
              <w:right w:val="nil"/>
            </w:tcBorders>
            <w:shd w:val="clear" w:color="auto" w:fill="auto"/>
            <w:noWrap/>
            <w:vAlign w:val="bottom"/>
            <w:hideMark/>
          </w:tcPr>
          <w:p w14:paraId="0B94057E" w14:textId="77777777" w:rsidR="00944BA8" w:rsidRPr="00C270FA" w:rsidRDefault="00944BA8" w:rsidP="00055DBA">
            <w:pPr>
              <w:rPr>
                <w:rFonts w:ascii="Arial" w:hAnsi="Arial" w:cs="Arial"/>
                <w:lang w:val="en-CA"/>
              </w:rPr>
            </w:pPr>
          </w:p>
        </w:tc>
        <w:tc>
          <w:tcPr>
            <w:tcW w:w="780" w:type="dxa"/>
            <w:tcBorders>
              <w:top w:val="nil"/>
              <w:left w:val="nil"/>
              <w:bottom w:val="nil"/>
              <w:right w:val="nil"/>
            </w:tcBorders>
            <w:shd w:val="clear" w:color="auto" w:fill="auto"/>
            <w:noWrap/>
            <w:vAlign w:val="bottom"/>
            <w:hideMark/>
          </w:tcPr>
          <w:p w14:paraId="48A35CA8" w14:textId="77777777" w:rsidR="00944BA8" w:rsidRPr="00C270FA" w:rsidRDefault="00944BA8" w:rsidP="00055DBA">
            <w:pPr>
              <w:rPr>
                <w:rFonts w:ascii="Arial" w:hAnsi="Arial" w:cs="Arial"/>
                <w:lang w:val="en-CA"/>
              </w:rPr>
            </w:pPr>
          </w:p>
        </w:tc>
        <w:tc>
          <w:tcPr>
            <w:tcW w:w="180" w:type="dxa"/>
            <w:tcBorders>
              <w:top w:val="nil"/>
              <w:left w:val="nil"/>
              <w:bottom w:val="nil"/>
              <w:right w:val="nil"/>
            </w:tcBorders>
            <w:shd w:val="clear" w:color="auto" w:fill="auto"/>
            <w:noWrap/>
            <w:vAlign w:val="bottom"/>
            <w:hideMark/>
          </w:tcPr>
          <w:p w14:paraId="3E26877A" w14:textId="77777777" w:rsidR="00944BA8" w:rsidRPr="00C270FA" w:rsidRDefault="00944BA8" w:rsidP="00055DBA">
            <w:pPr>
              <w:rPr>
                <w:rFonts w:ascii="Arial" w:hAnsi="Arial" w:cs="Arial"/>
                <w:lang w:val="en-CA"/>
              </w:rPr>
            </w:pPr>
          </w:p>
        </w:tc>
        <w:tc>
          <w:tcPr>
            <w:tcW w:w="1189" w:type="dxa"/>
            <w:tcBorders>
              <w:top w:val="nil"/>
              <w:left w:val="nil"/>
              <w:bottom w:val="nil"/>
              <w:right w:val="nil"/>
            </w:tcBorders>
            <w:shd w:val="clear" w:color="auto" w:fill="auto"/>
            <w:noWrap/>
            <w:vAlign w:val="bottom"/>
            <w:hideMark/>
          </w:tcPr>
          <w:p w14:paraId="6728231E"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415</w:t>
            </w:r>
          </w:p>
        </w:tc>
        <w:tc>
          <w:tcPr>
            <w:tcW w:w="1475" w:type="dxa"/>
            <w:tcBorders>
              <w:top w:val="nil"/>
              <w:left w:val="nil"/>
              <w:bottom w:val="nil"/>
              <w:right w:val="nil"/>
            </w:tcBorders>
            <w:shd w:val="clear" w:color="auto" w:fill="auto"/>
            <w:noWrap/>
            <w:vAlign w:val="bottom"/>
            <w:hideMark/>
          </w:tcPr>
          <w:p w14:paraId="09D820E6"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140</w:t>
            </w:r>
          </w:p>
        </w:tc>
        <w:tc>
          <w:tcPr>
            <w:tcW w:w="816" w:type="dxa"/>
            <w:tcBorders>
              <w:top w:val="nil"/>
              <w:left w:val="nil"/>
              <w:bottom w:val="nil"/>
              <w:right w:val="nil"/>
            </w:tcBorders>
            <w:shd w:val="clear" w:color="auto" w:fill="auto"/>
            <w:noWrap/>
            <w:vAlign w:val="bottom"/>
            <w:hideMark/>
          </w:tcPr>
          <w:p w14:paraId="4372D9B7"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555</w:t>
            </w:r>
          </w:p>
        </w:tc>
      </w:tr>
      <w:tr w:rsidR="00944BA8" w:rsidRPr="00C270FA" w14:paraId="45814E52" w14:textId="77777777" w:rsidTr="00055DBA">
        <w:trPr>
          <w:trHeight w:val="315"/>
        </w:trPr>
        <w:tc>
          <w:tcPr>
            <w:tcW w:w="1780" w:type="dxa"/>
            <w:tcBorders>
              <w:top w:val="nil"/>
              <w:left w:val="nil"/>
              <w:bottom w:val="nil"/>
              <w:right w:val="nil"/>
            </w:tcBorders>
            <w:shd w:val="clear" w:color="auto" w:fill="auto"/>
            <w:noWrap/>
            <w:vAlign w:val="bottom"/>
            <w:hideMark/>
          </w:tcPr>
          <w:p w14:paraId="1BBBF0BA" w14:textId="28189F57" w:rsidR="00944BA8" w:rsidRPr="00C270FA" w:rsidRDefault="00944BA8" w:rsidP="00055DBA">
            <w:pPr>
              <w:rPr>
                <w:rFonts w:ascii="Arial" w:hAnsi="Arial" w:cs="Arial"/>
                <w:color w:val="000000"/>
                <w:lang w:val="en-CA"/>
              </w:rPr>
            </w:pPr>
            <w:r w:rsidRPr="00C270FA">
              <w:rPr>
                <w:rFonts w:ascii="Arial" w:hAnsi="Arial" w:cs="Arial"/>
                <w:color w:val="000000"/>
                <w:lang w:val="en-CA"/>
              </w:rPr>
              <w:t>U</w:t>
            </w:r>
            <w:r w:rsidR="005C0AD9" w:rsidRPr="00C270FA">
              <w:rPr>
                <w:rFonts w:ascii="Arial" w:hAnsi="Arial" w:cs="Arial"/>
                <w:color w:val="000000"/>
                <w:lang w:val="en-CA"/>
              </w:rPr>
              <w:t xml:space="preserve">nited </w:t>
            </w:r>
            <w:r w:rsidRPr="00C270FA">
              <w:rPr>
                <w:rFonts w:ascii="Arial" w:hAnsi="Arial" w:cs="Arial"/>
                <w:color w:val="000000"/>
                <w:lang w:val="en-CA"/>
              </w:rPr>
              <w:t>S</w:t>
            </w:r>
            <w:r w:rsidR="005C0AD9" w:rsidRPr="00C270FA">
              <w:rPr>
                <w:rFonts w:ascii="Arial" w:hAnsi="Arial" w:cs="Arial"/>
                <w:color w:val="000000"/>
                <w:lang w:val="en-CA"/>
              </w:rPr>
              <w:t>tates</w:t>
            </w:r>
          </w:p>
        </w:tc>
        <w:tc>
          <w:tcPr>
            <w:tcW w:w="1205" w:type="dxa"/>
            <w:tcBorders>
              <w:top w:val="nil"/>
              <w:left w:val="nil"/>
              <w:bottom w:val="nil"/>
              <w:right w:val="nil"/>
            </w:tcBorders>
            <w:shd w:val="clear" w:color="auto" w:fill="auto"/>
            <w:noWrap/>
            <w:vAlign w:val="bottom"/>
            <w:hideMark/>
          </w:tcPr>
          <w:p w14:paraId="140EDA80"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110</w:t>
            </w:r>
          </w:p>
        </w:tc>
        <w:tc>
          <w:tcPr>
            <w:tcW w:w="1495" w:type="dxa"/>
            <w:tcBorders>
              <w:top w:val="nil"/>
              <w:left w:val="nil"/>
              <w:bottom w:val="nil"/>
              <w:right w:val="nil"/>
            </w:tcBorders>
            <w:shd w:val="clear" w:color="auto" w:fill="auto"/>
            <w:noWrap/>
            <w:vAlign w:val="bottom"/>
            <w:hideMark/>
          </w:tcPr>
          <w:p w14:paraId="18E12C8E" w14:textId="77777777" w:rsidR="00944BA8" w:rsidRPr="00C270FA" w:rsidRDefault="00944BA8" w:rsidP="00055DBA">
            <w:pPr>
              <w:jc w:val="right"/>
              <w:rPr>
                <w:rFonts w:ascii="Arial" w:hAnsi="Arial" w:cs="Arial"/>
                <w:color w:val="000000"/>
                <w:lang w:val="en-CA"/>
              </w:rPr>
            </w:pPr>
          </w:p>
        </w:tc>
        <w:tc>
          <w:tcPr>
            <w:tcW w:w="780" w:type="dxa"/>
            <w:tcBorders>
              <w:top w:val="nil"/>
              <w:left w:val="nil"/>
              <w:bottom w:val="nil"/>
              <w:right w:val="nil"/>
            </w:tcBorders>
            <w:shd w:val="clear" w:color="auto" w:fill="auto"/>
            <w:noWrap/>
            <w:vAlign w:val="bottom"/>
            <w:hideMark/>
          </w:tcPr>
          <w:p w14:paraId="11770514"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110</w:t>
            </w:r>
          </w:p>
        </w:tc>
        <w:tc>
          <w:tcPr>
            <w:tcW w:w="180" w:type="dxa"/>
            <w:tcBorders>
              <w:top w:val="nil"/>
              <w:left w:val="nil"/>
              <w:bottom w:val="nil"/>
              <w:right w:val="nil"/>
            </w:tcBorders>
            <w:shd w:val="clear" w:color="auto" w:fill="auto"/>
            <w:noWrap/>
            <w:vAlign w:val="bottom"/>
            <w:hideMark/>
          </w:tcPr>
          <w:p w14:paraId="1E0A7A4E" w14:textId="77777777" w:rsidR="00944BA8" w:rsidRPr="00C270FA" w:rsidRDefault="00944BA8" w:rsidP="00055DBA">
            <w:pPr>
              <w:jc w:val="right"/>
              <w:rPr>
                <w:rFonts w:ascii="Arial" w:hAnsi="Arial" w:cs="Arial"/>
                <w:color w:val="000000"/>
                <w:lang w:val="en-CA"/>
              </w:rPr>
            </w:pPr>
          </w:p>
        </w:tc>
        <w:tc>
          <w:tcPr>
            <w:tcW w:w="1189" w:type="dxa"/>
            <w:tcBorders>
              <w:top w:val="nil"/>
              <w:left w:val="nil"/>
              <w:bottom w:val="nil"/>
              <w:right w:val="nil"/>
            </w:tcBorders>
            <w:shd w:val="clear" w:color="auto" w:fill="auto"/>
            <w:noWrap/>
            <w:vAlign w:val="bottom"/>
            <w:hideMark/>
          </w:tcPr>
          <w:p w14:paraId="1302B1FE"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360</w:t>
            </w:r>
          </w:p>
        </w:tc>
        <w:tc>
          <w:tcPr>
            <w:tcW w:w="1475" w:type="dxa"/>
            <w:tcBorders>
              <w:top w:val="nil"/>
              <w:left w:val="nil"/>
              <w:bottom w:val="nil"/>
              <w:right w:val="nil"/>
            </w:tcBorders>
            <w:shd w:val="clear" w:color="auto" w:fill="auto"/>
            <w:noWrap/>
            <w:vAlign w:val="bottom"/>
            <w:hideMark/>
          </w:tcPr>
          <w:p w14:paraId="697324D4"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80</w:t>
            </w:r>
          </w:p>
        </w:tc>
        <w:tc>
          <w:tcPr>
            <w:tcW w:w="816" w:type="dxa"/>
            <w:tcBorders>
              <w:top w:val="nil"/>
              <w:left w:val="nil"/>
              <w:bottom w:val="nil"/>
              <w:right w:val="nil"/>
            </w:tcBorders>
            <w:shd w:val="clear" w:color="auto" w:fill="auto"/>
            <w:noWrap/>
            <w:vAlign w:val="bottom"/>
            <w:hideMark/>
          </w:tcPr>
          <w:p w14:paraId="0158C4C4"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440</w:t>
            </w:r>
          </w:p>
        </w:tc>
      </w:tr>
      <w:tr w:rsidR="00944BA8" w:rsidRPr="00C270FA" w14:paraId="227463D8" w14:textId="77777777" w:rsidTr="009646A5">
        <w:trPr>
          <w:trHeight w:val="315"/>
        </w:trPr>
        <w:tc>
          <w:tcPr>
            <w:tcW w:w="1780" w:type="dxa"/>
            <w:tcBorders>
              <w:top w:val="nil"/>
              <w:left w:val="nil"/>
              <w:bottom w:val="nil"/>
              <w:right w:val="nil"/>
            </w:tcBorders>
            <w:shd w:val="clear" w:color="auto" w:fill="auto"/>
            <w:noWrap/>
            <w:vAlign w:val="bottom"/>
            <w:hideMark/>
          </w:tcPr>
          <w:p w14:paraId="0CA685B2" w14:textId="77777777" w:rsidR="00944BA8" w:rsidRPr="00C270FA" w:rsidRDefault="00944BA8" w:rsidP="00055DBA">
            <w:pPr>
              <w:rPr>
                <w:rFonts w:ascii="Arial" w:hAnsi="Arial" w:cs="Arial"/>
                <w:color w:val="000000"/>
                <w:lang w:val="en-CA"/>
              </w:rPr>
            </w:pPr>
            <w:r w:rsidRPr="00C270FA">
              <w:rPr>
                <w:rFonts w:ascii="Arial" w:hAnsi="Arial" w:cs="Arial"/>
                <w:color w:val="000000"/>
                <w:lang w:val="en-CA"/>
              </w:rPr>
              <w:t>Canada</w:t>
            </w:r>
          </w:p>
        </w:tc>
        <w:tc>
          <w:tcPr>
            <w:tcW w:w="1205" w:type="dxa"/>
            <w:tcBorders>
              <w:top w:val="nil"/>
              <w:left w:val="nil"/>
              <w:bottom w:val="single" w:sz="4" w:space="0" w:color="auto"/>
              <w:right w:val="nil"/>
            </w:tcBorders>
            <w:shd w:val="clear" w:color="auto" w:fill="auto"/>
            <w:noWrap/>
            <w:vAlign w:val="bottom"/>
            <w:hideMark/>
          </w:tcPr>
          <w:p w14:paraId="6B63BDCD" w14:textId="77777777" w:rsidR="00944BA8" w:rsidRPr="00C270FA" w:rsidRDefault="00944BA8" w:rsidP="00055DBA">
            <w:pPr>
              <w:rPr>
                <w:rFonts w:ascii="Arial" w:hAnsi="Arial" w:cs="Arial"/>
                <w:color w:val="000000"/>
                <w:lang w:val="en-CA"/>
              </w:rPr>
            </w:pPr>
            <w:r w:rsidRPr="00C270FA">
              <w:rPr>
                <w:rFonts w:ascii="Arial" w:hAnsi="Arial" w:cs="Arial"/>
                <w:color w:val="000000"/>
                <w:lang w:val="en-CA"/>
              </w:rPr>
              <w:t> </w:t>
            </w:r>
          </w:p>
        </w:tc>
        <w:tc>
          <w:tcPr>
            <w:tcW w:w="1495" w:type="dxa"/>
            <w:tcBorders>
              <w:top w:val="nil"/>
              <w:left w:val="nil"/>
              <w:bottom w:val="single" w:sz="4" w:space="0" w:color="auto"/>
              <w:right w:val="nil"/>
            </w:tcBorders>
            <w:shd w:val="clear" w:color="auto" w:fill="auto"/>
            <w:noWrap/>
            <w:vAlign w:val="bottom"/>
            <w:hideMark/>
          </w:tcPr>
          <w:p w14:paraId="6C754DE4" w14:textId="77777777" w:rsidR="00944BA8" w:rsidRPr="00C270FA" w:rsidRDefault="00944BA8" w:rsidP="00055DBA">
            <w:pPr>
              <w:rPr>
                <w:rFonts w:ascii="Arial" w:hAnsi="Arial" w:cs="Arial"/>
                <w:color w:val="000000"/>
                <w:lang w:val="en-CA"/>
              </w:rPr>
            </w:pPr>
            <w:r w:rsidRPr="00C270FA">
              <w:rPr>
                <w:rFonts w:ascii="Arial" w:hAnsi="Arial" w:cs="Arial"/>
                <w:color w:val="000000"/>
                <w:lang w:val="en-CA"/>
              </w:rPr>
              <w:t> </w:t>
            </w:r>
          </w:p>
        </w:tc>
        <w:tc>
          <w:tcPr>
            <w:tcW w:w="780" w:type="dxa"/>
            <w:tcBorders>
              <w:top w:val="nil"/>
              <w:left w:val="nil"/>
              <w:bottom w:val="single" w:sz="4" w:space="0" w:color="auto"/>
              <w:right w:val="nil"/>
            </w:tcBorders>
            <w:shd w:val="clear" w:color="auto" w:fill="auto"/>
            <w:noWrap/>
            <w:vAlign w:val="bottom"/>
            <w:hideMark/>
          </w:tcPr>
          <w:p w14:paraId="6B3A1DBC" w14:textId="77777777" w:rsidR="00944BA8" w:rsidRPr="00C270FA" w:rsidRDefault="00944BA8" w:rsidP="00055DBA">
            <w:pPr>
              <w:rPr>
                <w:rFonts w:ascii="Arial" w:hAnsi="Arial" w:cs="Arial"/>
                <w:color w:val="000000"/>
                <w:lang w:val="en-CA"/>
              </w:rPr>
            </w:pPr>
            <w:r w:rsidRPr="00C270FA">
              <w:rPr>
                <w:rFonts w:ascii="Arial" w:hAnsi="Arial" w:cs="Arial"/>
                <w:color w:val="000000"/>
                <w:lang w:val="en-CA"/>
              </w:rPr>
              <w:t> </w:t>
            </w:r>
          </w:p>
        </w:tc>
        <w:tc>
          <w:tcPr>
            <w:tcW w:w="180" w:type="dxa"/>
            <w:tcBorders>
              <w:top w:val="nil"/>
              <w:left w:val="nil"/>
              <w:right w:val="nil"/>
            </w:tcBorders>
            <w:shd w:val="clear" w:color="auto" w:fill="auto"/>
            <w:noWrap/>
            <w:vAlign w:val="bottom"/>
            <w:hideMark/>
          </w:tcPr>
          <w:p w14:paraId="2F93A385" w14:textId="77777777" w:rsidR="00944BA8" w:rsidRPr="00C270FA" w:rsidRDefault="00944BA8" w:rsidP="00055DBA">
            <w:pPr>
              <w:rPr>
                <w:rFonts w:ascii="Arial" w:hAnsi="Arial" w:cs="Arial"/>
                <w:color w:val="000000"/>
                <w:lang w:val="en-CA"/>
              </w:rPr>
            </w:pPr>
            <w:r w:rsidRPr="00C270FA">
              <w:rPr>
                <w:rFonts w:ascii="Arial" w:hAnsi="Arial" w:cs="Arial"/>
                <w:color w:val="000000"/>
                <w:lang w:val="en-CA"/>
              </w:rPr>
              <w:t> </w:t>
            </w:r>
          </w:p>
        </w:tc>
        <w:tc>
          <w:tcPr>
            <w:tcW w:w="1189" w:type="dxa"/>
            <w:tcBorders>
              <w:top w:val="nil"/>
              <w:left w:val="nil"/>
              <w:bottom w:val="single" w:sz="4" w:space="0" w:color="auto"/>
              <w:right w:val="nil"/>
            </w:tcBorders>
            <w:shd w:val="clear" w:color="auto" w:fill="auto"/>
            <w:noWrap/>
            <w:vAlign w:val="bottom"/>
            <w:hideMark/>
          </w:tcPr>
          <w:p w14:paraId="4DF4E049"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330</w:t>
            </w:r>
          </w:p>
        </w:tc>
        <w:tc>
          <w:tcPr>
            <w:tcW w:w="1475" w:type="dxa"/>
            <w:tcBorders>
              <w:top w:val="nil"/>
              <w:left w:val="nil"/>
              <w:bottom w:val="single" w:sz="4" w:space="0" w:color="auto"/>
              <w:right w:val="nil"/>
            </w:tcBorders>
            <w:shd w:val="clear" w:color="auto" w:fill="auto"/>
            <w:noWrap/>
            <w:vAlign w:val="bottom"/>
            <w:hideMark/>
          </w:tcPr>
          <w:p w14:paraId="464D287C"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220</w:t>
            </w:r>
          </w:p>
        </w:tc>
        <w:tc>
          <w:tcPr>
            <w:tcW w:w="816" w:type="dxa"/>
            <w:tcBorders>
              <w:top w:val="nil"/>
              <w:left w:val="nil"/>
              <w:bottom w:val="single" w:sz="4" w:space="0" w:color="auto"/>
              <w:right w:val="nil"/>
            </w:tcBorders>
            <w:shd w:val="clear" w:color="auto" w:fill="auto"/>
            <w:noWrap/>
            <w:vAlign w:val="bottom"/>
            <w:hideMark/>
          </w:tcPr>
          <w:p w14:paraId="19170054" w14:textId="77777777" w:rsidR="00944BA8" w:rsidRPr="00C270FA" w:rsidRDefault="00944BA8" w:rsidP="00055DBA">
            <w:pPr>
              <w:jc w:val="right"/>
              <w:rPr>
                <w:rFonts w:ascii="Arial" w:hAnsi="Arial" w:cs="Arial"/>
                <w:color w:val="000000"/>
                <w:lang w:val="en-CA"/>
              </w:rPr>
            </w:pPr>
            <w:r w:rsidRPr="00C270FA">
              <w:rPr>
                <w:rFonts w:ascii="Arial" w:hAnsi="Arial" w:cs="Arial"/>
                <w:color w:val="000000"/>
                <w:lang w:val="en-CA"/>
              </w:rPr>
              <w:t>550</w:t>
            </w:r>
          </w:p>
        </w:tc>
      </w:tr>
      <w:tr w:rsidR="00944BA8" w:rsidRPr="00C270FA" w14:paraId="1A75D5B8" w14:textId="77777777" w:rsidTr="00055DBA">
        <w:trPr>
          <w:trHeight w:val="315"/>
        </w:trPr>
        <w:tc>
          <w:tcPr>
            <w:tcW w:w="1780" w:type="dxa"/>
            <w:tcBorders>
              <w:top w:val="nil"/>
              <w:left w:val="nil"/>
              <w:bottom w:val="nil"/>
              <w:right w:val="nil"/>
            </w:tcBorders>
            <w:shd w:val="clear" w:color="auto" w:fill="auto"/>
            <w:noWrap/>
            <w:vAlign w:val="bottom"/>
            <w:hideMark/>
          </w:tcPr>
          <w:p w14:paraId="66271A53" w14:textId="77777777" w:rsidR="00944BA8" w:rsidRPr="00C270FA" w:rsidRDefault="00944BA8" w:rsidP="00055DBA">
            <w:pPr>
              <w:rPr>
                <w:rFonts w:ascii="Arial" w:hAnsi="Arial" w:cs="Arial"/>
                <w:b/>
                <w:color w:val="000000"/>
                <w:lang w:val="en-CA"/>
              </w:rPr>
            </w:pPr>
            <w:r w:rsidRPr="00C270FA">
              <w:rPr>
                <w:rFonts w:ascii="Arial" w:hAnsi="Arial" w:cs="Arial"/>
                <w:b/>
                <w:color w:val="000000"/>
                <w:lang w:val="en-CA"/>
              </w:rPr>
              <w:t>Total</w:t>
            </w:r>
          </w:p>
        </w:tc>
        <w:tc>
          <w:tcPr>
            <w:tcW w:w="1205" w:type="dxa"/>
            <w:tcBorders>
              <w:top w:val="nil"/>
              <w:left w:val="nil"/>
              <w:bottom w:val="nil"/>
              <w:right w:val="nil"/>
            </w:tcBorders>
            <w:shd w:val="clear" w:color="auto" w:fill="auto"/>
            <w:noWrap/>
            <w:vAlign w:val="bottom"/>
            <w:hideMark/>
          </w:tcPr>
          <w:p w14:paraId="0529DF96" w14:textId="77777777" w:rsidR="00944BA8" w:rsidRPr="00C270FA" w:rsidRDefault="00944BA8" w:rsidP="00055DBA">
            <w:pPr>
              <w:jc w:val="right"/>
              <w:rPr>
                <w:rFonts w:ascii="Arial" w:hAnsi="Arial" w:cs="Arial"/>
                <w:b/>
                <w:color w:val="000000"/>
                <w:lang w:val="en-CA"/>
              </w:rPr>
            </w:pPr>
            <w:r w:rsidRPr="00C270FA">
              <w:rPr>
                <w:rFonts w:ascii="Arial" w:hAnsi="Arial" w:cs="Arial"/>
                <w:b/>
                <w:color w:val="000000"/>
                <w:lang w:val="en-CA"/>
              </w:rPr>
              <w:t>255</w:t>
            </w:r>
          </w:p>
        </w:tc>
        <w:tc>
          <w:tcPr>
            <w:tcW w:w="1495" w:type="dxa"/>
            <w:tcBorders>
              <w:top w:val="nil"/>
              <w:left w:val="nil"/>
              <w:bottom w:val="nil"/>
              <w:right w:val="nil"/>
            </w:tcBorders>
            <w:shd w:val="clear" w:color="auto" w:fill="auto"/>
            <w:noWrap/>
            <w:vAlign w:val="bottom"/>
            <w:hideMark/>
          </w:tcPr>
          <w:p w14:paraId="32733384" w14:textId="77777777" w:rsidR="00944BA8" w:rsidRPr="00C270FA" w:rsidRDefault="00944BA8" w:rsidP="00055DBA">
            <w:pPr>
              <w:jc w:val="right"/>
              <w:rPr>
                <w:rFonts w:ascii="Arial" w:hAnsi="Arial" w:cs="Arial"/>
                <w:b/>
                <w:color w:val="000000"/>
                <w:lang w:val="en-CA"/>
              </w:rPr>
            </w:pPr>
            <w:r w:rsidRPr="00C270FA">
              <w:rPr>
                <w:rFonts w:ascii="Arial" w:hAnsi="Arial" w:cs="Arial"/>
                <w:b/>
                <w:color w:val="000000"/>
                <w:lang w:val="en-CA"/>
              </w:rPr>
              <w:t>185</w:t>
            </w:r>
          </w:p>
        </w:tc>
        <w:tc>
          <w:tcPr>
            <w:tcW w:w="780" w:type="dxa"/>
            <w:tcBorders>
              <w:top w:val="nil"/>
              <w:left w:val="nil"/>
              <w:bottom w:val="nil"/>
              <w:right w:val="nil"/>
            </w:tcBorders>
            <w:shd w:val="clear" w:color="auto" w:fill="auto"/>
            <w:noWrap/>
            <w:vAlign w:val="bottom"/>
            <w:hideMark/>
          </w:tcPr>
          <w:p w14:paraId="088C275F" w14:textId="77777777" w:rsidR="00944BA8" w:rsidRPr="00C270FA" w:rsidRDefault="00944BA8" w:rsidP="00055DBA">
            <w:pPr>
              <w:jc w:val="right"/>
              <w:rPr>
                <w:rFonts w:ascii="Arial" w:hAnsi="Arial" w:cs="Arial"/>
                <w:b/>
                <w:color w:val="000000"/>
                <w:lang w:val="en-CA"/>
              </w:rPr>
            </w:pPr>
            <w:r w:rsidRPr="00C270FA">
              <w:rPr>
                <w:rFonts w:ascii="Arial" w:hAnsi="Arial" w:cs="Arial"/>
                <w:b/>
                <w:color w:val="000000"/>
                <w:lang w:val="en-CA"/>
              </w:rPr>
              <w:t>440</w:t>
            </w:r>
          </w:p>
        </w:tc>
        <w:tc>
          <w:tcPr>
            <w:tcW w:w="180" w:type="dxa"/>
            <w:tcBorders>
              <w:top w:val="nil"/>
              <w:left w:val="nil"/>
              <w:bottom w:val="nil"/>
              <w:right w:val="nil"/>
            </w:tcBorders>
            <w:shd w:val="clear" w:color="auto" w:fill="auto"/>
            <w:noWrap/>
            <w:vAlign w:val="bottom"/>
            <w:hideMark/>
          </w:tcPr>
          <w:p w14:paraId="03CF27E1" w14:textId="77777777" w:rsidR="00944BA8" w:rsidRPr="00C270FA" w:rsidRDefault="00944BA8" w:rsidP="00055DBA">
            <w:pPr>
              <w:jc w:val="right"/>
              <w:rPr>
                <w:rFonts w:ascii="Arial" w:hAnsi="Arial" w:cs="Arial"/>
                <w:b/>
                <w:color w:val="000000"/>
                <w:lang w:val="en-CA"/>
              </w:rPr>
            </w:pPr>
          </w:p>
        </w:tc>
        <w:tc>
          <w:tcPr>
            <w:tcW w:w="1189" w:type="dxa"/>
            <w:tcBorders>
              <w:top w:val="nil"/>
              <w:left w:val="nil"/>
              <w:bottom w:val="nil"/>
              <w:right w:val="nil"/>
            </w:tcBorders>
            <w:shd w:val="clear" w:color="auto" w:fill="auto"/>
            <w:noWrap/>
            <w:vAlign w:val="bottom"/>
            <w:hideMark/>
          </w:tcPr>
          <w:p w14:paraId="3D399757" w14:textId="77777777" w:rsidR="00944BA8" w:rsidRPr="00C270FA" w:rsidRDefault="00944BA8" w:rsidP="00055DBA">
            <w:pPr>
              <w:jc w:val="right"/>
              <w:rPr>
                <w:rFonts w:ascii="Arial" w:hAnsi="Arial" w:cs="Arial"/>
                <w:b/>
                <w:color w:val="000000"/>
                <w:lang w:val="en-CA"/>
              </w:rPr>
            </w:pPr>
            <w:r w:rsidRPr="00C270FA">
              <w:rPr>
                <w:rFonts w:ascii="Arial" w:hAnsi="Arial" w:cs="Arial"/>
                <w:b/>
                <w:color w:val="000000"/>
                <w:lang w:val="en-CA"/>
              </w:rPr>
              <w:t>1,765</w:t>
            </w:r>
          </w:p>
        </w:tc>
        <w:tc>
          <w:tcPr>
            <w:tcW w:w="1475" w:type="dxa"/>
            <w:tcBorders>
              <w:top w:val="nil"/>
              <w:left w:val="nil"/>
              <w:bottom w:val="nil"/>
              <w:right w:val="nil"/>
            </w:tcBorders>
            <w:shd w:val="clear" w:color="auto" w:fill="auto"/>
            <w:noWrap/>
            <w:vAlign w:val="bottom"/>
            <w:hideMark/>
          </w:tcPr>
          <w:p w14:paraId="656FABB6" w14:textId="1E1BCF57" w:rsidR="00944BA8" w:rsidRPr="00C270FA" w:rsidRDefault="00B54F3E" w:rsidP="00055DBA">
            <w:pPr>
              <w:jc w:val="right"/>
              <w:rPr>
                <w:rFonts w:ascii="Arial" w:hAnsi="Arial" w:cs="Arial"/>
                <w:b/>
                <w:color w:val="000000"/>
                <w:lang w:val="en-CA"/>
              </w:rPr>
            </w:pPr>
            <w:r>
              <w:rPr>
                <w:rFonts w:ascii="Arial" w:hAnsi="Arial" w:cs="Arial"/>
                <w:b/>
                <w:color w:val="000000"/>
                <w:lang w:val="en-CA"/>
              </w:rPr>
              <w:t>825</w:t>
            </w:r>
          </w:p>
        </w:tc>
        <w:tc>
          <w:tcPr>
            <w:tcW w:w="816" w:type="dxa"/>
            <w:tcBorders>
              <w:top w:val="nil"/>
              <w:left w:val="nil"/>
              <w:bottom w:val="nil"/>
              <w:right w:val="nil"/>
            </w:tcBorders>
            <w:shd w:val="clear" w:color="auto" w:fill="auto"/>
            <w:noWrap/>
            <w:vAlign w:val="bottom"/>
            <w:hideMark/>
          </w:tcPr>
          <w:p w14:paraId="081B4D6C" w14:textId="77777777" w:rsidR="00944BA8" w:rsidRPr="00C270FA" w:rsidRDefault="00944BA8" w:rsidP="00055DBA">
            <w:pPr>
              <w:jc w:val="right"/>
              <w:rPr>
                <w:rFonts w:ascii="Arial" w:hAnsi="Arial" w:cs="Arial"/>
                <w:b/>
                <w:color w:val="000000"/>
                <w:lang w:val="en-CA"/>
              </w:rPr>
            </w:pPr>
            <w:r w:rsidRPr="00C270FA">
              <w:rPr>
                <w:rFonts w:ascii="Arial" w:hAnsi="Arial" w:cs="Arial"/>
                <w:b/>
                <w:color w:val="000000"/>
                <w:lang w:val="en-CA"/>
              </w:rPr>
              <w:t>2,590</w:t>
            </w:r>
          </w:p>
        </w:tc>
      </w:tr>
    </w:tbl>
    <w:p w14:paraId="3594B123" w14:textId="77777777" w:rsidR="00944BA8" w:rsidRPr="00C270FA" w:rsidRDefault="00944BA8" w:rsidP="001F3235">
      <w:pPr>
        <w:pStyle w:val="Footnote"/>
        <w:rPr>
          <w:lang w:val="en-CA"/>
        </w:rPr>
      </w:pPr>
    </w:p>
    <w:p w14:paraId="245C5585" w14:textId="79CD8FF8" w:rsidR="00944BA8" w:rsidRPr="00C270FA" w:rsidRDefault="001F3235" w:rsidP="001F3235">
      <w:pPr>
        <w:pStyle w:val="Footnote"/>
        <w:rPr>
          <w:lang w:val="en-CA"/>
        </w:rPr>
      </w:pPr>
      <w:r w:rsidRPr="00C270FA">
        <w:rPr>
          <w:lang w:val="en-CA"/>
        </w:rPr>
        <w:t xml:space="preserve">Note: </w:t>
      </w:r>
      <w:r w:rsidR="00944BA8" w:rsidRPr="00C270FA">
        <w:rPr>
          <w:lang w:val="en-CA"/>
        </w:rPr>
        <w:t>* 1 tonne = 2,205 pounds</w:t>
      </w:r>
    </w:p>
    <w:p w14:paraId="0549A5F0" w14:textId="1364E725" w:rsidR="00944BA8" w:rsidRPr="00C270FA" w:rsidRDefault="00944BA8" w:rsidP="001F3235">
      <w:pPr>
        <w:pStyle w:val="Footnote"/>
        <w:rPr>
          <w:lang w:val="en-CA"/>
        </w:rPr>
      </w:pPr>
      <w:r w:rsidRPr="00C270FA">
        <w:rPr>
          <w:lang w:val="en-CA"/>
        </w:rPr>
        <w:t>Source: Company files</w:t>
      </w:r>
      <w:r w:rsidR="002D2FBA" w:rsidRPr="00C270FA">
        <w:rPr>
          <w:lang w:val="en-CA"/>
        </w:rPr>
        <w:t>.</w:t>
      </w:r>
    </w:p>
    <w:p w14:paraId="756F9AC3" w14:textId="77777777" w:rsidR="00944BA8" w:rsidRPr="00C270FA" w:rsidRDefault="00944BA8" w:rsidP="00094011">
      <w:pPr>
        <w:pStyle w:val="Footnote"/>
        <w:rPr>
          <w:lang w:val="en-CA"/>
        </w:rPr>
      </w:pPr>
    </w:p>
    <w:p w14:paraId="55911BFB" w14:textId="77777777" w:rsidR="00944BA8" w:rsidRPr="00C270FA" w:rsidRDefault="00944BA8" w:rsidP="00094011">
      <w:pPr>
        <w:pStyle w:val="Footnote"/>
        <w:rPr>
          <w:lang w:val="en-CA"/>
        </w:rPr>
      </w:pPr>
    </w:p>
    <w:p w14:paraId="3AEB50D0" w14:textId="43512BDF" w:rsidR="00944BA8" w:rsidRPr="00C270FA" w:rsidRDefault="00944BA8" w:rsidP="00DB1690">
      <w:pPr>
        <w:pStyle w:val="ExhibitHeading"/>
        <w:keepNext/>
        <w:keepLines/>
        <w:rPr>
          <w:lang w:val="en-CA"/>
        </w:rPr>
      </w:pPr>
      <w:r w:rsidRPr="00C270FA">
        <w:rPr>
          <w:lang w:val="en-CA"/>
        </w:rPr>
        <w:lastRenderedPageBreak/>
        <w:t>EXHIBIT 8: INITIAL CAPITAL COSTS</w:t>
      </w:r>
      <w:bookmarkStart w:id="6" w:name="_GoBack"/>
      <w:bookmarkEnd w:id="6"/>
    </w:p>
    <w:p w14:paraId="7088133A" w14:textId="77777777" w:rsidR="00944BA8" w:rsidRPr="00C270FA" w:rsidRDefault="00944BA8" w:rsidP="00DB1690">
      <w:pPr>
        <w:pStyle w:val="xmsonormal"/>
        <w:keepNext/>
        <w:keepLines/>
        <w:shd w:val="clear" w:color="auto" w:fill="FFFFFF"/>
        <w:spacing w:before="0" w:beforeAutospacing="0" w:after="0" w:afterAutospacing="0"/>
        <w:rPr>
          <w:rFonts w:ascii="Arial" w:hAnsi="Arial" w:cs="Arial"/>
          <w:color w:val="000000"/>
          <w:sz w:val="16"/>
          <w:szCs w:val="20"/>
          <w:lang w:eastAsia="en-US"/>
        </w:rPr>
      </w:pPr>
    </w:p>
    <w:tbl>
      <w:tblPr>
        <w:tblW w:w="4770" w:type="dxa"/>
        <w:jc w:val="center"/>
        <w:tblLook w:val="04A0" w:firstRow="1" w:lastRow="0" w:firstColumn="1" w:lastColumn="0" w:noHBand="0" w:noVBand="1"/>
      </w:tblPr>
      <w:tblGrid>
        <w:gridCol w:w="2700"/>
        <w:gridCol w:w="2070"/>
      </w:tblGrid>
      <w:tr w:rsidR="00944BA8" w:rsidRPr="00C270FA" w14:paraId="71D0E899" w14:textId="77777777" w:rsidTr="00697F89">
        <w:trPr>
          <w:trHeight w:val="510"/>
          <w:jc w:val="center"/>
        </w:trPr>
        <w:tc>
          <w:tcPr>
            <w:tcW w:w="2700" w:type="dxa"/>
            <w:tcBorders>
              <w:top w:val="nil"/>
              <w:left w:val="nil"/>
              <w:bottom w:val="single" w:sz="4" w:space="0" w:color="auto"/>
              <w:right w:val="nil"/>
            </w:tcBorders>
            <w:shd w:val="clear" w:color="auto" w:fill="auto"/>
            <w:noWrap/>
            <w:vAlign w:val="center"/>
            <w:hideMark/>
          </w:tcPr>
          <w:p w14:paraId="2F5685D7" w14:textId="77777777" w:rsidR="00944BA8" w:rsidRPr="00C270FA" w:rsidRDefault="00944BA8" w:rsidP="00DB1690">
            <w:pPr>
              <w:keepNext/>
              <w:keepLines/>
              <w:jc w:val="center"/>
              <w:rPr>
                <w:rFonts w:ascii="Arial" w:hAnsi="Arial" w:cs="Arial"/>
                <w:b/>
                <w:color w:val="000000"/>
                <w:lang w:val="en-CA"/>
              </w:rPr>
            </w:pPr>
            <w:r w:rsidRPr="00C270FA">
              <w:rPr>
                <w:rFonts w:ascii="Arial" w:hAnsi="Arial" w:cs="Arial"/>
                <w:b/>
                <w:color w:val="000000"/>
                <w:lang w:val="en-CA"/>
              </w:rPr>
              <w:t>Expense</w:t>
            </w:r>
          </w:p>
        </w:tc>
        <w:tc>
          <w:tcPr>
            <w:tcW w:w="2070" w:type="dxa"/>
            <w:tcBorders>
              <w:top w:val="nil"/>
              <w:left w:val="nil"/>
              <w:bottom w:val="single" w:sz="4" w:space="0" w:color="auto"/>
              <w:right w:val="nil"/>
            </w:tcBorders>
            <w:shd w:val="clear" w:color="auto" w:fill="auto"/>
            <w:vAlign w:val="center"/>
            <w:hideMark/>
          </w:tcPr>
          <w:p w14:paraId="10012449" w14:textId="77777777" w:rsidR="00094011" w:rsidRPr="00C270FA" w:rsidRDefault="00944BA8" w:rsidP="00DB1690">
            <w:pPr>
              <w:keepNext/>
              <w:keepLines/>
              <w:jc w:val="center"/>
              <w:rPr>
                <w:rFonts w:ascii="Arial" w:hAnsi="Arial" w:cs="Arial"/>
                <w:b/>
                <w:color w:val="000000"/>
                <w:lang w:val="en-CA"/>
              </w:rPr>
            </w:pPr>
            <w:proofErr w:type="spellStart"/>
            <w:r w:rsidRPr="00C270FA">
              <w:rPr>
                <w:rFonts w:ascii="Arial" w:hAnsi="Arial" w:cs="Arial"/>
                <w:b/>
                <w:color w:val="000000"/>
                <w:lang w:val="en-CA"/>
              </w:rPr>
              <w:t>Medicom</w:t>
            </w:r>
            <w:proofErr w:type="spellEnd"/>
            <w:r w:rsidRPr="00C270FA">
              <w:rPr>
                <w:rFonts w:ascii="Arial" w:hAnsi="Arial" w:cs="Arial"/>
                <w:b/>
                <w:color w:val="000000"/>
                <w:lang w:val="en-CA"/>
              </w:rPr>
              <w:t xml:space="preserve"> Cost</w:t>
            </w:r>
          </w:p>
          <w:p w14:paraId="255966FE" w14:textId="7CF5FE6E" w:rsidR="00944BA8" w:rsidRPr="00C270FA" w:rsidRDefault="00944BA8" w:rsidP="00DB1690">
            <w:pPr>
              <w:keepNext/>
              <w:keepLines/>
              <w:jc w:val="center"/>
              <w:rPr>
                <w:rFonts w:ascii="Arial" w:hAnsi="Arial" w:cs="Arial"/>
                <w:b/>
                <w:color w:val="000000"/>
                <w:lang w:val="en-CA"/>
              </w:rPr>
            </w:pPr>
            <w:r w:rsidRPr="00C270FA">
              <w:rPr>
                <w:rFonts w:ascii="Arial" w:hAnsi="Arial" w:cs="Arial"/>
                <w:b/>
                <w:color w:val="000000"/>
                <w:lang w:val="en-CA"/>
              </w:rPr>
              <w:t>(</w:t>
            </w:r>
            <w:r w:rsidR="00DD527C" w:rsidRPr="00C270FA">
              <w:rPr>
                <w:rFonts w:ascii="Arial" w:hAnsi="Arial" w:cs="Arial"/>
                <w:b/>
                <w:color w:val="000000"/>
                <w:lang w:val="en-CA"/>
              </w:rPr>
              <w:t>i</w:t>
            </w:r>
            <w:r w:rsidRPr="00C270FA">
              <w:rPr>
                <w:rFonts w:ascii="Arial" w:hAnsi="Arial" w:cs="Arial"/>
                <w:b/>
                <w:color w:val="000000"/>
                <w:lang w:val="en-CA"/>
              </w:rPr>
              <w:t xml:space="preserve">n </w:t>
            </w:r>
            <w:r w:rsidR="00DD527C" w:rsidRPr="00C270FA">
              <w:rPr>
                <w:rFonts w:ascii="Arial" w:hAnsi="Arial" w:cs="Arial"/>
                <w:b/>
                <w:color w:val="000000"/>
                <w:lang w:val="en-CA"/>
              </w:rPr>
              <w:t>CA</w:t>
            </w:r>
            <w:r w:rsidRPr="00C270FA">
              <w:rPr>
                <w:rFonts w:ascii="Arial" w:hAnsi="Arial" w:cs="Arial"/>
                <w:b/>
                <w:color w:val="000000"/>
                <w:lang w:val="en-CA"/>
              </w:rPr>
              <w:t>$</w:t>
            </w:r>
            <w:r w:rsidR="00094011" w:rsidRPr="00C270FA">
              <w:rPr>
                <w:rFonts w:ascii="Arial" w:hAnsi="Arial" w:cs="Arial"/>
                <w:b/>
                <w:color w:val="000000"/>
                <w:lang w:val="en-CA"/>
              </w:rPr>
              <w:t xml:space="preserve"> </w:t>
            </w:r>
            <w:r w:rsidR="00DD527C" w:rsidRPr="00C270FA">
              <w:rPr>
                <w:rFonts w:ascii="Arial" w:hAnsi="Arial" w:cs="Arial"/>
                <w:b/>
                <w:color w:val="000000"/>
                <w:lang w:val="en-CA"/>
              </w:rPr>
              <w:t>T</w:t>
            </w:r>
            <w:r w:rsidRPr="00C270FA">
              <w:rPr>
                <w:rFonts w:ascii="Arial" w:hAnsi="Arial" w:cs="Arial"/>
                <w:b/>
                <w:color w:val="000000"/>
                <w:lang w:val="en-CA"/>
              </w:rPr>
              <w:t>housand)</w:t>
            </w:r>
          </w:p>
        </w:tc>
      </w:tr>
      <w:tr w:rsidR="00944BA8" w:rsidRPr="00C270FA" w14:paraId="024DC225" w14:textId="77777777" w:rsidTr="00697F89">
        <w:trPr>
          <w:trHeight w:val="255"/>
          <w:jc w:val="center"/>
        </w:trPr>
        <w:tc>
          <w:tcPr>
            <w:tcW w:w="2700" w:type="dxa"/>
            <w:tcBorders>
              <w:top w:val="nil"/>
              <w:left w:val="nil"/>
              <w:bottom w:val="nil"/>
              <w:right w:val="nil"/>
            </w:tcBorders>
            <w:shd w:val="clear" w:color="auto" w:fill="auto"/>
            <w:noWrap/>
            <w:vAlign w:val="bottom"/>
            <w:hideMark/>
          </w:tcPr>
          <w:p w14:paraId="76783CF9" w14:textId="591E7322" w:rsidR="00944BA8" w:rsidRPr="00C270FA" w:rsidRDefault="00944BA8" w:rsidP="00DB1690">
            <w:pPr>
              <w:keepNext/>
              <w:keepLines/>
              <w:rPr>
                <w:rFonts w:ascii="Arial" w:hAnsi="Arial" w:cs="Arial"/>
                <w:color w:val="000000"/>
                <w:lang w:val="en-CA"/>
              </w:rPr>
            </w:pPr>
            <w:r w:rsidRPr="00C270FA">
              <w:rPr>
                <w:rFonts w:ascii="Arial" w:hAnsi="Arial" w:cs="Arial"/>
                <w:color w:val="000000"/>
                <w:lang w:val="en-CA"/>
              </w:rPr>
              <w:t xml:space="preserve">Land and </w:t>
            </w:r>
            <w:r w:rsidR="005A25D9" w:rsidRPr="00C270FA">
              <w:rPr>
                <w:rFonts w:ascii="Arial" w:hAnsi="Arial" w:cs="Arial"/>
                <w:color w:val="000000"/>
                <w:lang w:val="en-CA"/>
              </w:rPr>
              <w:t>Building</w:t>
            </w:r>
          </w:p>
        </w:tc>
        <w:tc>
          <w:tcPr>
            <w:tcW w:w="2070" w:type="dxa"/>
            <w:tcBorders>
              <w:top w:val="nil"/>
              <w:left w:val="nil"/>
              <w:bottom w:val="nil"/>
              <w:right w:val="nil"/>
            </w:tcBorders>
            <w:shd w:val="clear" w:color="auto" w:fill="auto"/>
            <w:noWrap/>
            <w:vAlign w:val="bottom"/>
          </w:tcPr>
          <w:p w14:paraId="7DC82559" w14:textId="77777777" w:rsidR="00944BA8" w:rsidRPr="00C270FA" w:rsidRDefault="00944BA8" w:rsidP="00DB1690">
            <w:pPr>
              <w:keepNext/>
              <w:keepLines/>
              <w:jc w:val="right"/>
              <w:rPr>
                <w:rFonts w:ascii="Arial" w:hAnsi="Arial" w:cs="Arial"/>
                <w:color w:val="000000"/>
                <w:lang w:val="en-CA"/>
              </w:rPr>
            </w:pPr>
            <w:r w:rsidRPr="00C270FA">
              <w:rPr>
                <w:rFonts w:ascii="Arial" w:hAnsi="Arial" w:cs="Arial"/>
                <w:color w:val="000000"/>
                <w:lang w:val="en-CA"/>
              </w:rPr>
              <w:t>1,650</w:t>
            </w:r>
          </w:p>
        </w:tc>
      </w:tr>
      <w:tr w:rsidR="00944BA8" w:rsidRPr="00C270FA" w14:paraId="08501BA6" w14:textId="77777777" w:rsidTr="00697F89">
        <w:trPr>
          <w:trHeight w:val="255"/>
          <w:jc w:val="center"/>
        </w:trPr>
        <w:tc>
          <w:tcPr>
            <w:tcW w:w="2700" w:type="dxa"/>
            <w:tcBorders>
              <w:top w:val="nil"/>
              <w:left w:val="nil"/>
              <w:bottom w:val="nil"/>
              <w:right w:val="nil"/>
            </w:tcBorders>
            <w:shd w:val="clear" w:color="auto" w:fill="auto"/>
            <w:noWrap/>
            <w:vAlign w:val="bottom"/>
            <w:hideMark/>
          </w:tcPr>
          <w:p w14:paraId="7C1DADD3" w14:textId="0033B560" w:rsidR="00944BA8" w:rsidRPr="00C270FA" w:rsidRDefault="00944BA8" w:rsidP="00DB1690">
            <w:pPr>
              <w:keepNext/>
              <w:keepLines/>
              <w:rPr>
                <w:rFonts w:ascii="Arial" w:hAnsi="Arial" w:cs="Arial"/>
                <w:color w:val="000000"/>
                <w:lang w:val="en-CA"/>
              </w:rPr>
            </w:pPr>
            <w:r w:rsidRPr="00C270FA">
              <w:rPr>
                <w:rFonts w:ascii="Arial" w:hAnsi="Arial" w:cs="Arial"/>
                <w:color w:val="000000"/>
                <w:lang w:val="en-CA"/>
              </w:rPr>
              <w:t xml:space="preserve">Site </w:t>
            </w:r>
            <w:r w:rsidR="005A25D9" w:rsidRPr="00C270FA">
              <w:rPr>
                <w:rFonts w:ascii="Arial" w:hAnsi="Arial" w:cs="Arial"/>
                <w:color w:val="000000"/>
                <w:lang w:val="en-CA"/>
              </w:rPr>
              <w:t>Preparation</w:t>
            </w:r>
          </w:p>
        </w:tc>
        <w:tc>
          <w:tcPr>
            <w:tcW w:w="2070" w:type="dxa"/>
            <w:tcBorders>
              <w:top w:val="nil"/>
              <w:left w:val="nil"/>
              <w:bottom w:val="nil"/>
              <w:right w:val="nil"/>
            </w:tcBorders>
            <w:shd w:val="clear" w:color="auto" w:fill="auto"/>
            <w:noWrap/>
            <w:vAlign w:val="bottom"/>
          </w:tcPr>
          <w:p w14:paraId="19A27430" w14:textId="77777777" w:rsidR="00944BA8" w:rsidRPr="00C270FA" w:rsidRDefault="00944BA8" w:rsidP="00DB1690">
            <w:pPr>
              <w:keepNext/>
              <w:keepLines/>
              <w:jc w:val="right"/>
              <w:rPr>
                <w:rFonts w:ascii="Arial" w:hAnsi="Arial" w:cs="Arial"/>
                <w:color w:val="000000"/>
                <w:lang w:val="en-CA"/>
              </w:rPr>
            </w:pPr>
            <w:r w:rsidRPr="00C270FA">
              <w:rPr>
                <w:rFonts w:ascii="Arial" w:hAnsi="Arial" w:cs="Arial"/>
                <w:color w:val="000000"/>
                <w:lang w:val="en-CA"/>
              </w:rPr>
              <w:t>550</w:t>
            </w:r>
          </w:p>
        </w:tc>
      </w:tr>
      <w:tr w:rsidR="00944BA8" w:rsidRPr="00C270FA" w14:paraId="10188ADE" w14:textId="77777777" w:rsidTr="00697F89">
        <w:trPr>
          <w:trHeight w:val="255"/>
          <w:jc w:val="center"/>
        </w:trPr>
        <w:tc>
          <w:tcPr>
            <w:tcW w:w="2700" w:type="dxa"/>
            <w:tcBorders>
              <w:top w:val="nil"/>
              <w:left w:val="nil"/>
              <w:bottom w:val="nil"/>
              <w:right w:val="nil"/>
            </w:tcBorders>
            <w:shd w:val="clear" w:color="auto" w:fill="auto"/>
            <w:noWrap/>
            <w:vAlign w:val="bottom"/>
            <w:hideMark/>
          </w:tcPr>
          <w:p w14:paraId="04416A5A" w14:textId="5572D846" w:rsidR="00944BA8" w:rsidRPr="00C270FA" w:rsidRDefault="00944BA8" w:rsidP="00DB1690">
            <w:pPr>
              <w:keepNext/>
              <w:keepLines/>
              <w:rPr>
                <w:rFonts w:ascii="Arial" w:hAnsi="Arial" w:cs="Arial"/>
                <w:color w:val="000000"/>
                <w:lang w:val="en-CA"/>
              </w:rPr>
            </w:pPr>
            <w:r w:rsidRPr="00C270FA">
              <w:rPr>
                <w:rFonts w:ascii="Arial" w:hAnsi="Arial" w:cs="Arial"/>
                <w:color w:val="000000"/>
                <w:lang w:val="en-CA"/>
              </w:rPr>
              <w:t>R</w:t>
            </w:r>
            <w:r w:rsidR="005A25D9" w:rsidRPr="00C270FA">
              <w:rPr>
                <w:rFonts w:ascii="Arial" w:hAnsi="Arial" w:cs="Arial"/>
                <w:color w:val="000000"/>
                <w:lang w:val="en-CA"/>
              </w:rPr>
              <w:t xml:space="preserve">esearch and </w:t>
            </w:r>
            <w:r w:rsidRPr="00C270FA">
              <w:rPr>
                <w:rFonts w:ascii="Arial" w:hAnsi="Arial" w:cs="Arial"/>
                <w:color w:val="000000"/>
                <w:lang w:val="en-CA"/>
              </w:rPr>
              <w:t>D</w:t>
            </w:r>
            <w:r w:rsidR="005A25D9" w:rsidRPr="00C270FA">
              <w:rPr>
                <w:rFonts w:ascii="Arial" w:hAnsi="Arial" w:cs="Arial"/>
                <w:color w:val="000000"/>
                <w:lang w:val="en-CA"/>
              </w:rPr>
              <w:t>evelopment</w:t>
            </w:r>
          </w:p>
        </w:tc>
        <w:tc>
          <w:tcPr>
            <w:tcW w:w="2070" w:type="dxa"/>
            <w:tcBorders>
              <w:top w:val="nil"/>
              <w:left w:val="nil"/>
              <w:bottom w:val="nil"/>
              <w:right w:val="nil"/>
            </w:tcBorders>
            <w:shd w:val="clear" w:color="auto" w:fill="auto"/>
            <w:noWrap/>
            <w:vAlign w:val="bottom"/>
          </w:tcPr>
          <w:p w14:paraId="5C99B744" w14:textId="77777777" w:rsidR="00944BA8" w:rsidRPr="00C270FA" w:rsidRDefault="00944BA8" w:rsidP="00DB1690">
            <w:pPr>
              <w:keepNext/>
              <w:keepLines/>
              <w:jc w:val="right"/>
              <w:rPr>
                <w:rFonts w:ascii="Arial" w:hAnsi="Arial" w:cs="Arial"/>
                <w:color w:val="000000"/>
                <w:lang w:val="en-CA"/>
              </w:rPr>
            </w:pPr>
            <w:r w:rsidRPr="00C270FA">
              <w:rPr>
                <w:rFonts w:ascii="Arial" w:hAnsi="Arial" w:cs="Arial"/>
                <w:color w:val="000000"/>
                <w:lang w:val="en-CA"/>
              </w:rPr>
              <w:t>400</w:t>
            </w:r>
          </w:p>
        </w:tc>
      </w:tr>
      <w:tr w:rsidR="00944BA8" w:rsidRPr="00C270FA" w14:paraId="4EB7ADB6" w14:textId="77777777" w:rsidTr="00697F89">
        <w:trPr>
          <w:trHeight w:val="255"/>
          <w:jc w:val="center"/>
        </w:trPr>
        <w:tc>
          <w:tcPr>
            <w:tcW w:w="2700" w:type="dxa"/>
            <w:tcBorders>
              <w:top w:val="nil"/>
              <w:left w:val="nil"/>
              <w:bottom w:val="nil"/>
              <w:right w:val="nil"/>
            </w:tcBorders>
            <w:shd w:val="clear" w:color="auto" w:fill="auto"/>
            <w:noWrap/>
            <w:vAlign w:val="bottom"/>
            <w:hideMark/>
          </w:tcPr>
          <w:p w14:paraId="18940DFD" w14:textId="56B208EC" w:rsidR="00944BA8" w:rsidRPr="00C270FA" w:rsidRDefault="00944BA8" w:rsidP="00DB1690">
            <w:pPr>
              <w:keepNext/>
              <w:keepLines/>
              <w:rPr>
                <w:rFonts w:ascii="Arial" w:hAnsi="Arial" w:cs="Arial"/>
                <w:color w:val="000000"/>
                <w:lang w:val="en-CA"/>
              </w:rPr>
            </w:pPr>
            <w:r w:rsidRPr="00C270FA">
              <w:rPr>
                <w:rFonts w:ascii="Arial" w:hAnsi="Arial" w:cs="Arial"/>
                <w:color w:val="000000"/>
                <w:lang w:val="en-CA"/>
              </w:rPr>
              <w:t xml:space="preserve">Other </w:t>
            </w:r>
            <w:r w:rsidR="005A25D9" w:rsidRPr="00C270FA">
              <w:rPr>
                <w:rFonts w:ascii="Arial" w:hAnsi="Arial" w:cs="Arial"/>
                <w:color w:val="000000"/>
                <w:lang w:val="en-CA"/>
              </w:rPr>
              <w:t>Expenses</w:t>
            </w:r>
          </w:p>
        </w:tc>
        <w:tc>
          <w:tcPr>
            <w:tcW w:w="2070" w:type="dxa"/>
            <w:tcBorders>
              <w:top w:val="nil"/>
              <w:left w:val="nil"/>
              <w:bottom w:val="nil"/>
              <w:right w:val="nil"/>
            </w:tcBorders>
            <w:shd w:val="clear" w:color="auto" w:fill="auto"/>
            <w:noWrap/>
            <w:vAlign w:val="bottom"/>
          </w:tcPr>
          <w:p w14:paraId="02E96440" w14:textId="77777777" w:rsidR="00944BA8" w:rsidRPr="00C270FA" w:rsidRDefault="00944BA8" w:rsidP="00DB1690">
            <w:pPr>
              <w:keepNext/>
              <w:keepLines/>
              <w:jc w:val="right"/>
              <w:rPr>
                <w:rFonts w:ascii="Arial" w:hAnsi="Arial" w:cs="Arial"/>
                <w:color w:val="000000"/>
                <w:lang w:val="en-CA"/>
              </w:rPr>
            </w:pPr>
            <w:r w:rsidRPr="00C270FA">
              <w:rPr>
                <w:rFonts w:ascii="Arial" w:hAnsi="Arial" w:cs="Arial"/>
                <w:color w:val="000000"/>
                <w:lang w:val="en-CA"/>
              </w:rPr>
              <w:t>520</w:t>
            </w:r>
          </w:p>
        </w:tc>
      </w:tr>
      <w:tr w:rsidR="00944BA8" w:rsidRPr="00C270FA" w14:paraId="7623C615" w14:textId="77777777" w:rsidTr="00697F89">
        <w:trPr>
          <w:trHeight w:val="255"/>
          <w:jc w:val="center"/>
        </w:trPr>
        <w:tc>
          <w:tcPr>
            <w:tcW w:w="2700" w:type="dxa"/>
            <w:tcBorders>
              <w:top w:val="nil"/>
              <w:left w:val="nil"/>
              <w:bottom w:val="nil"/>
              <w:right w:val="nil"/>
            </w:tcBorders>
            <w:shd w:val="clear" w:color="auto" w:fill="auto"/>
            <w:noWrap/>
            <w:vAlign w:val="bottom"/>
            <w:hideMark/>
          </w:tcPr>
          <w:p w14:paraId="778FFD60" w14:textId="77777777" w:rsidR="00944BA8" w:rsidRPr="00C270FA" w:rsidRDefault="00944BA8" w:rsidP="00DB1690">
            <w:pPr>
              <w:keepNext/>
              <w:keepLines/>
              <w:rPr>
                <w:rFonts w:ascii="Arial" w:hAnsi="Arial" w:cs="Arial"/>
                <w:color w:val="000000"/>
                <w:lang w:val="en-CA"/>
              </w:rPr>
            </w:pPr>
            <w:r w:rsidRPr="00C270FA">
              <w:rPr>
                <w:rFonts w:ascii="Arial" w:hAnsi="Arial" w:cs="Arial"/>
                <w:color w:val="000000"/>
                <w:lang w:val="en-CA"/>
              </w:rPr>
              <w:t>Equipment</w:t>
            </w:r>
          </w:p>
        </w:tc>
        <w:tc>
          <w:tcPr>
            <w:tcW w:w="2070" w:type="dxa"/>
            <w:tcBorders>
              <w:top w:val="nil"/>
              <w:left w:val="nil"/>
              <w:bottom w:val="nil"/>
              <w:right w:val="nil"/>
            </w:tcBorders>
            <w:shd w:val="clear" w:color="auto" w:fill="auto"/>
            <w:noWrap/>
            <w:vAlign w:val="bottom"/>
          </w:tcPr>
          <w:p w14:paraId="69F8500C" w14:textId="77777777" w:rsidR="00944BA8" w:rsidRPr="00C270FA" w:rsidRDefault="00944BA8" w:rsidP="00DB1690">
            <w:pPr>
              <w:keepNext/>
              <w:keepLines/>
              <w:jc w:val="right"/>
              <w:rPr>
                <w:rFonts w:ascii="Arial" w:hAnsi="Arial" w:cs="Arial"/>
                <w:color w:val="000000"/>
                <w:lang w:val="en-CA"/>
              </w:rPr>
            </w:pPr>
            <w:r w:rsidRPr="00C270FA">
              <w:rPr>
                <w:rFonts w:ascii="Arial" w:hAnsi="Arial" w:cs="Arial"/>
                <w:color w:val="000000"/>
                <w:lang w:val="en-CA"/>
              </w:rPr>
              <w:t>1,875</w:t>
            </w:r>
          </w:p>
        </w:tc>
      </w:tr>
      <w:tr w:rsidR="00944BA8" w:rsidRPr="00C270FA" w14:paraId="5678CD53" w14:textId="77777777" w:rsidTr="00697F89">
        <w:trPr>
          <w:trHeight w:val="255"/>
          <w:jc w:val="center"/>
        </w:trPr>
        <w:tc>
          <w:tcPr>
            <w:tcW w:w="2700" w:type="dxa"/>
            <w:tcBorders>
              <w:top w:val="nil"/>
              <w:left w:val="nil"/>
              <w:bottom w:val="nil"/>
              <w:right w:val="nil"/>
            </w:tcBorders>
            <w:shd w:val="clear" w:color="auto" w:fill="auto"/>
            <w:noWrap/>
            <w:vAlign w:val="bottom"/>
            <w:hideMark/>
          </w:tcPr>
          <w:p w14:paraId="5572F8C8" w14:textId="77777777" w:rsidR="00944BA8" w:rsidRPr="00C270FA" w:rsidRDefault="00944BA8" w:rsidP="00DB1690">
            <w:pPr>
              <w:keepNext/>
              <w:keepLines/>
              <w:rPr>
                <w:rFonts w:ascii="Arial" w:hAnsi="Arial" w:cs="Arial"/>
                <w:color w:val="000000"/>
                <w:lang w:val="en-CA"/>
              </w:rPr>
            </w:pPr>
            <w:r w:rsidRPr="00C270FA">
              <w:rPr>
                <w:rFonts w:ascii="Arial" w:hAnsi="Arial" w:cs="Arial"/>
                <w:color w:val="000000"/>
                <w:lang w:val="en-CA"/>
              </w:rPr>
              <w:t>Installation</w:t>
            </w:r>
          </w:p>
        </w:tc>
        <w:tc>
          <w:tcPr>
            <w:tcW w:w="2070" w:type="dxa"/>
            <w:tcBorders>
              <w:top w:val="nil"/>
              <w:left w:val="nil"/>
              <w:bottom w:val="single" w:sz="4" w:space="0" w:color="auto"/>
              <w:right w:val="nil"/>
            </w:tcBorders>
            <w:shd w:val="clear" w:color="auto" w:fill="auto"/>
            <w:noWrap/>
            <w:vAlign w:val="bottom"/>
          </w:tcPr>
          <w:p w14:paraId="36BEF2E3" w14:textId="77777777" w:rsidR="00944BA8" w:rsidRPr="00C270FA" w:rsidRDefault="00944BA8" w:rsidP="00DB1690">
            <w:pPr>
              <w:keepNext/>
              <w:keepLines/>
              <w:jc w:val="right"/>
              <w:rPr>
                <w:rFonts w:ascii="Arial" w:hAnsi="Arial" w:cs="Arial"/>
                <w:color w:val="000000"/>
                <w:lang w:val="en-CA"/>
              </w:rPr>
            </w:pPr>
            <w:r w:rsidRPr="00C270FA">
              <w:rPr>
                <w:rFonts w:ascii="Arial" w:hAnsi="Arial" w:cs="Arial"/>
                <w:color w:val="000000"/>
                <w:lang w:val="en-CA"/>
              </w:rPr>
              <w:t>2,050</w:t>
            </w:r>
          </w:p>
        </w:tc>
      </w:tr>
      <w:tr w:rsidR="00944BA8" w:rsidRPr="00C270FA" w14:paraId="004912B7" w14:textId="77777777" w:rsidTr="00697F89">
        <w:trPr>
          <w:trHeight w:val="255"/>
          <w:jc w:val="center"/>
        </w:trPr>
        <w:tc>
          <w:tcPr>
            <w:tcW w:w="2700" w:type="dxa"/>
            <w:tcBorders>
              <w:top w:val="nil"/>
              <w:left w:val="nil"/>
              <w:bottom w:val="nil"/>
              <w:right w:val="nil"/>
            </w:tcBorders>
            <w:shd w:val="clear" w:color="auto" w:fill="auto"/>
            <w:noWrap/>
            <w:vAlign w:val="bottom"/>
            <w:hideMark/>
          </w:tcPr>
          <w:p w14:paraId="7369C157" w14:textId="77777777" w:rsidR="00944BA8" w:rsidRPr="00C270FA" w:rsidRDefault="00944BA8" w:rsidP="00DB1690">
            <w:pPr>
              <w:keepNext/>
              <w:keepLines/>
              <w:rPr>
                <w:rFonts w:ascii="Arial" w:hAnsi="Arial" w:cs="Arial"/>
                <w:b/>
                <w:color w:val="000000"/>
                <w:lang w:val="en-CA"/>
              </w:rPr>
            </w:pPr>
            <w:r w:rsidRPr="00C270FA">
              <w:rPr>
                <w:rFonts w:ascii="Arial" w:hAnsi="Arial" w:cs="Arial"/>
                <w:b/>
                <w:color w:val="000000"/>
                <w:lang w:val="en-CA"/>
              </w:rPr>
              <w:t>Total</w:t>
            </w:r>
          </w:p>
        </w:tc>
        <w:tc>
          <w:tcPr>
            <w:tcW w:w="2070" w:type="dxa"/>
            <w:tcBorders>
              <w:top w:val="nil"/>
              <w:left w:val="nil"/>
              <w:bottom w:val="nil"/>
              <w:right w:val="nil"/>
            </w:tcBorders>
            <w:shd w:val="clear" w:color="auto" w:fill="auto"/>
            <w:noWrap/>
            <w:vAlign w:val="bottom"/>
          </w:tcPr>
          <w:p w14:paraId="3B2B1ECB" w14:textId="77777777" w:rsidR="00944BA8" w:rsidRPr="00C270FA" w:rsidRDefault="00944BA8" w:rsidP="00DB1690">
            <w:pPr>
              <w:keepNext/>
              <w:keepLines/>
              <w:jc w:val="right"/>
              <w:rPr>
                <w:rFonts w:ascii="Arial" w:hAnsi="Arial" w:cs="Arial"/>
                <w:b/>
                <w:color w:val="000000"/>
                <w:lang w:val="en-CA"/>
              </w:rPr>
            </w:pPr>
            <w:r w:rsidRPr="00C270FA">
              <w:rPr>
                <w:rFonts w:ascii="Arial" w:hAnsi="Arial" w:cs="Arial"/>
                <w:b/>
                <w:color w:val="000000"/>
                <w:lang w:val="en-CA"/>
              </w:rPr>
              <w:t>7,045</w:t>
            </w:r>
          </w:p>
        </w:tc>
      </w:tr>
    </w:tbl>
    <w:p w14:paraId="0E5F961B" w14:textId="77777777" w:rsidR="00944BA8" w:rsidRPr="00C270FA" w:rsidRDefault="00944BA8" w:rsidP="00DB1690">
      <w:pPr>
        <w:pStyle w:val="xmsonormal"/>
        <w:keepNext/>
        <w:keepLines/>
        <w:shd w:val="clear" w:color="auto" w:fill="FFFFFF"/>
        <w:spacing w:before="0" w:beforeAutospacing="0" w:after="0" w:afterAutospacing="0"/>
        <w:rPr>
          <w:rFonts w:ascii="Arial" w:hAnsi="Arial" w:cs="Arial"/>
          <w:color w:val="000000"/>
          <w:sz w:val="20"/>
          <w:szCs w:val="20"/>
          <w:lang w:eastAsia="en-US"/>
        </w:rPr>
      </w:pPr>
    </w:p>
    <w:p w14:paraId="040E2FF4" w14:textId="760CFAA9" w:rsidR="00944BA8" w:rsidRPr="00C270FA" w:rsidRDefault="00094011" w:rsidP="00DB1690">
      <w:pPr>
        <w:pStyle w:val="Footnote"/>
        <w:keepNext/>
        <w:keepLines/>
        <w:rPr>
          <w:lang w:val="en-CA"/>
        </w:rPr>
      </w:pPr>
      <w:r w:rsidRPr="00C270FA">
        <w:rPr>
          <w:lang w:val="en-CA"/>
        </w:rPr>
        <w:t xml:space="preserve">Note: </w:t>
      </w:r>
      <w:r w:rsidR="00944BA8" w:rsidRPr="00C270FA">
        <w:rPr>
          <w:lang w:val="en-CA"/>
        </w:rPr>
        <w:t>Initial investment for a plant with one line with capacity of 480 ton</w:t>
      </w:r>
      <w:r w:rsidRPr="00C270FA">
        <w:rPr>
          <w:lang w:val="en-CA"/>
        </w:rPr>
        <w:t>n</w:t>
      </w:r>
      <w:r w:rsidR="00944BA8" w:rsidRPr="00C270FA">
        <w:rPr>
          <w:lang w:val="en-CA"/>
        </w:rPr>
        <w:t>es per year</w:t>
      </w:r>
      <w:r w:rsidR="009713E3" w:rsidRPr="00C270FA">
        <w:rPr>
          <w:lang w:val="en-CA"/>
        </w:rPr>
        <w:t>, i</w:t>
      </w:r>
      <w:r w:rsidR="00944BA8" w:rsidRPr="00C270FA">
        <w:rPr>
          <w:lang w:val="en-CA"/>
        </w:rPr>
        <w:t>nclud</w:t>
      </w:r>
      <w:r w:rsidR="009713E3" w:rsidRPr="00C270FA">
        <w:rPr>
          <w:lang w:val="en-CA"/>
        </w:rPr>
        <w:t>ing</w:t>
      </w:r>
      <w:r w:rsidR="00944BA8" w:rsidRPr="00C270FA">
        <w:rPr>
          <w:lang w:val="en-CA"/>
        </w:rPr>
        <w:t xml:space="preserve"> investment from </w:t>
      </w:r>
      <w:proofErr w:type="spellStart"/>
      <w:r w:rsidR="00944BA8" w:rsidRPr="00C270FA">
        <w:rPr>
          <w:lang w:val="en-CA"/>
        </w:rPr>
        <w:t>Medicom</w:t>
      </w:r>
      <w:proofErr w:type="spellEnd"/>
      <w:r w:rsidR="00944BA8" w:rsidRPr="00C270FA">
        <w:rPr>
          <w:lang w:val="en-CA"/>
        </w:rPr>
        <w:t xml:space="preserve"> after government subsidies.</w:t>
      </w:r>
    </w:p>
    <w:p w14:paraId="2F525095" w14:textId="406A14CF" w:rsidR="00944BA8" w:rsidRPr="00C270FA" w:rsidRDefault="00944BA8" w:rsidP="00DB1690">
      <w:pPr>
        <w:pStyle w:val="Footnote"/>
        <w:keepNext/>
        <w:keepLines/>
        <w:rPr>
          <w:lang w:val="en-CA"/>
        </w:rPr>
      </w:pPr>
      <w:r w:rsidRPr="00C270FA">
        <w:rPr>
          <w:lang w:val="en-CA"/>
        </w:rPr>
        <w:t>Source: Company files</w:t>
      </w:r>
      <w:r w:rsidR="00094011" w:rsidRPr="00C270FA">
        <w:rPr>
          <w:lang w:val="en-CA"/>
        </w:rPr>
        <w:t>.</w:t>
      </w:r>
    </w:p>
    <w:p w14:paraId="03EA1EDC" w14:textId="77777777" w:rsidR="00944BA8" w:rsidRPr="00C270FA" w:rsidRDefault="00944BA8" w:rsidP="00DB1690">
      <w:pPr>
        <w:pStyle w:val="Footnote"/>
        <w:keepNext/>
        <w:keepLines/>
        <w:rPr>
          <w:lang w:val="en-CA"/>
        </w:rPr>
      </w:pPr>
    </w:p>
    <w:p w14:paraId="47AE827D" w14:textId="77777777" w:rsidR="00944BA8" w:rsidRPr="00C270FA" w:rsidRDefault="00944BA8" w:rsidP="00DB1690">
      <w:pPr>
        <w:pStyle w:val="xmsonormal"/>
        <w:keepNext/>
        <w:keepLines/>
        <w:shd w:val="clear" w:color="auto" w:fill="FFFFFF"/>
        <w:spacing w:before="0" w:beforeAutospacing="0" w:after="0" w:afterAutospacing="0"/>
        <w:rPr>
          <w:sz w:val="22"/>
          <w:szCs w:val="22"/>
        </w:rPr>
      </w:pPr>
    </w:p>
    <w:p w14:paraId="3F9AB3B8" w14:textId="14C777F2" w:rsidR="00944BA8" w:rsidRPr="00C270FA" w:rsidRDefault="00944BA8" w:rsidP="000307A3">
      <w:pPr>
        <w:pStyle w:val="ExhibitHeading"/>
        <w:rPr>
          <w:lang w:val="en-CA"/>
        </w:rPr>
      </w:pPr>
      <w:r w:rsidRPr="00C270FA">
        <w:rPr>
          <w:lang w:val="en-CA"/>
        </w:rPr>
        <w:t>EXHIBIT 9: COST OF ADDING ONE ADDITIONAL LINE</w:t>
      </w:r>
    </w:p>
    <w:p w14:paraId="2CED6A3E" w14:textId="77777777" w:rsidR="00944BA8" w:rsidRPr="0003243C" w:rsidRDefault="00944BA8" w:rsidP="00944BA8">
      <w:pPr>
        <w:pStyle w:val="xmsonormal"/>
        <w:shd w:val="clear" w:color="auto" w:fill="FFFFFF"/>
        <w:spacing w:before="0" w:beforeAutospacing="0" w:after="0" w:afterAutospacing="0"/>
        <w:rPr>
          <w:rFonts w:ascii="Arial" w:hAnsi="Arial" w:cs="Arial"/>
          <w:color w:val="000000"/>
          <w:sz w:val="16"/>
          <w:szCs w:val="20"/>
          <w:lang w:eastAsia="en-US"/>
        </w:rPr>
      </w:pPr>
    </w:p>
    <w:tbl>
      <w:tblPr>
        <w:tblW w:w="4770" w:type="dxa"/>
        <w:jc w:val="center"/>
        <w:tblLook w:val="04A0" w:firstRow="1" w:lastRow="0" w:firstColumn="1" w:lastColumn="0" w:noHBand="0" w:noVBand="1"/>
      </w:tblPr>
      <w:tblGrid>
        <w:gridCol w:w="2520"/>
        <w:gridCol w:w="2250"/>
      </w:tblGrid>
      <w:tr w:rsidR="00944BA8" w:rsidRPr="00C270FA" w14:paraId="26DEBC79" w14:textId="77777777" w:rsidTr="00697F89">
        <w:trPr>
          <w:trHeight w:val="510"/>
          <w:jc w:val="center"/>
        </w:trPr>
        <w:tc>
          <w:tcPr>
            <w:tcW w:w="2520" w:type="dxa"/>
            <w:tcBorders>
              <w:top w:val="nil"/>
              <w:left w:val="nil"/>
              <w:bottom w:val="single" w:sz="4" w:space="0" w:color="auto"/>
              <w:right w:val="nil"/>
            </w:tcBorders>
            <w:shd w:val="clear" w:color="auto" w:fill="auto"/>
            <w:noWrap/>
            <w:vAlign w:val="center"/>
            <w:hideMark/>
          </w:tcPr>
          <w:p w14:paraId="2B11A28B" w14:textId="77777777"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Expense</w:t>
            </w:r>
          </w:p>
        </w:tc>
        <w:tc>
          <w:tcPr>
            <w:tcW w:w="2250" w:type="dxa"/>
            <w:tcBorders>
              <w:top w:val="nil"/>
              <w:left w:val="nil"/>
              <w:bottom w:val="single" w:sz="4" w:space="0" w:color="auto"/>
              <w:right w:val="nil"/>
            </w:tcBorders>
            <w:shd w:val="clear" w:color="auto" w:fill="auto"/>
            <w:vAlign w:val="center"/>
            <w:hideMark/>
          </w:tcPr>
          <w:p w14:paraId="66C3B277" w14:textId="77777777" w:rsidR="00944BA8" w:rsidRPr="00C270FA" w:rsidRDefault="00944BA8" w:rsidP="00055DBA">
            <w:pPr>
              <w:jc w:val="center"/>
              <w:rPr>
                <w:rFonts w:ascii="Arial" w:hAnsi="Arial" w:cs="Arial"/>
                <w:b/>
                <w:color w:val="000000" w:themeColor="text1"/>
                <w:lang w:val="en-CA"/>
              </w:rPr>
            </w:pPr>
            <w:proofErr w:type="spellStart"/>
            <w:r w:rsidRPr="00C270FA">
              <w:rPr>
                <w:rFonts w:ascii="Arial" w:hAnsi="Arial" w:cs="Arial"/>
                <w:b/>
                <w:color w:val="000000" w:themeColor="text1"/>
                <w:lang w:val="en-CA"/>
              </w:rPr>
              <w:t>Medicom</w:t>
            </w:r>
            <w:proofErr w:type="spellEnd"/>
            <w:r w:rsidRPr="00C270FA">
              <w:rPr>
                <w:rFonts w:ascii="Arial" w:hAnsi="Arial" w:cs="Arial"/>
                <w:b/>
                <w:color w:val="000000" w:themeColor="text1"/>
                <w:lang w:val="en-CA"/>
              </w:rPr>
              <w:t xml:space="preserve"> Cost </w:t>
            </w:r>
          </w:p>
          <w:p w14:paraId="5E95760D" w14:textId="638EDFB5" w:rsidR="00944BA8" w:rsidRPr="00C270FA" w:rsidRDefault="00944BA8" w:rsidP="00055DBA">
            <w:pPr>
              <w:jc w:val="center"/>
              <w:rPr>
                <w:rFonts w:ascii="Arial" w:hAnsi="Arial" w:cs="Arial"/>
                <w:b/>
                <w:color w:val="000000" w:themeColor="text1"/>
                <w:lang w:val="en-CA"/>
              </w:rPr>
            </w:pPr>
            <w:r w:rsidRPr="00C270FA">
              <w:rPr>
                <w:rFonts w:ascii="Arial" w:hAnsi="Arial" w:cs="Arial"/>
                <w:b/>
                <w:color w:val="000000" w:themeColor="text1"/>
                <w:lang w:val="en-CA"/>
              </w:rPr>
              <w:t>(</w:t>
            </w:r>
            <w:r w:rsidR="00DD527C" w:rsidRPr="00C270FA">
              <w:rPr>
                <w:rFonts w:ascii="Arial" w:hAnsi="Arial" w:cs="Arial"/>
                <w:b/>
                <w:color w:val="000000" w:themeColor="text1"/>
                <w:lang w:val="en-CA"/>
              </w:rPr>
              <w:t>i</w:t>
            </w:r>
            <w:r w:rsidRPr="00C270FA">
              <w:rPr>
                <w:rFonts w:ascii="Arial" w:hAnsi="Arial" w:cs="Arial"/>
                <w:b/>
                <w:color w:val="000000" w:themeColor="text1"/>
                <w:lang w:val="en-CA"/>
              </w:rPr>
              <w:t xml:space="preserve">n </w:t>
            </w:r>
            <w:r w:rsidR="00DD527C" w:rsidRPr="00C270FA">
              <w:rPr>
                <w:rFonts w:ascii="Arial" w:hAnsi="Arial" w:cs="Arial"/>
                <w:b/>
                <w:color w:val="000000" w:themeColor="text1"/>
                <w:lang w:val="en-CA"/>
              </w:rPr>
              <w:t>CA</w:t>
            </w:r>
            <w:r w:rsidRPr="00C270FA">
              <w:rPr>
                <w:rFonts w:ascii="Arial" w:hAnsi="Arial" w:cs="Arial"/>
                <w:b/>
                <w:color w:val="000000" w:themeColor="text1"/>
                <w:lang w:val="en-CA"/>
              </w:rPr>
              <w:t xml:space="preserve">$ </w:t>
            </w:r>
            <w:r w:rsidR="00DD527C" w:rsidRPr="00C270FA">
              <w:rPr>
                <w:rFonts w:ascii="Arial" w:hAnsi="Arial" w:cs="Arial"/>
                <w:b/>
                <w:color w:val="000000" w:themeColor="text1"/>
                <w:lang w:val="en-CA"/>
              </w:rPr>
              <w:t>T</w:t>
            </w:r>
            <w:r w:rsidRPr="00C270FA">
              <w:rPr>
                <w:rFonts w:ascii="Arial" w:hAnsi="Arial" w:cs="Arial"/>
                <w:b/>
                <w:color w:val="000000" w:themeColor="text1"/>
                <w:lang w:val="en-CA"/>
              </w:rPr>
              <w:t>housand)</w:t>
            </w:r>
          </w:p>
        </w:tc>
      </w:tr>
      <w:tr w:rsidR="00944BA8" w:rsidRPr="00C270FA" w14:paraId="76B5F0DF" w14:textId="77777777" w:rsidTr="00697F89">
        <w:trPr>
          <w:trHeight w:val="255"/>
          <w:jc w:val="center"/>
        </w:trPr>
        <w:tc>
          <w:tcPr>
            <w:tcW w:w="2520" w:type="dxa"/>
            <w:tcBorders>
              <w:top w:val="nil"/>
              <w:left w:val="nil"/>
              <w:bottom w:val="nil"/>
              <w:right w:val="nil"/>
            </w:tcBorders>
            <w:shd w:val="clear" w:color="auto" w:fill="auto"/>
            <w:noWrap/>
            <w:vAlign w:val="bottom"/>
            <w:hideMark/>
          </w:tcPr>
          <w:p w14:paraId="49F12913"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Equipment</w:t>
            </w:r>
          </w:p>
        </w:tc>
        <w:tc>
          <w:tcPr>
            <w:tcW w:w="2250" w:type="dxa"/>
            <w:tcBorders>
              <w:top w:val="nil"/>
              <w:left w:val="nil"/>
              <w:bottom w:val="nil"/>
              <w:right w:val="nil"/>
            </w:tcBorders>
            <w:shd w:val="clear" w:color="auto" w:fill="auto"/>
            <w:noWrap/>
            <w:vAlign w:val="bottom"/>
          </w:tcPr>
          <w:p w14:paraId="43C1A3CE"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1,000</w:t>
            </w:r>
          </w:p>
        </w:tc>
      </w:tr>
      <w:tr w:rsidR="00944BA8" w:rsidRPr="00C270FA" w14:paraId="275BD4F7" w14:textId="77777777" w:rsidTr="00697F89">
        <w:trPr>
          <w:trHeight w:val="255"/>
          <w:jc w:val="center"/>
        </w:trPr>
        <w:tc>
          <w:tcPr>
            <w:tcW w:w="2520" w:type="dxa"/>
            <w:tcBorders>
              <w:top w:val="nil"/>
              <w:left w:val="nil"/>
              <w:bottom w:val="nil"/>
              <w:right w:val="nil"/>
            </w:tcBorders>
            <w:shd w:val="clear" w:color="auto" w:fill="auto"/>
            <w:noWrap/>
            <w:vAlign w:val="bottom"/>
            <w:hideMark/>
          </w:tcPr>
          <w:p w14:paraId="3CE68F73" w14:textId="77777777"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Installation</w:t>
            </w:r>
          </w:p>
        </w:tc>
        <w:tc>
          <w:tcPr>
            <w:tcW w:w="2250" w:type="dxa"/>
            <w:tcBorders>
              <w:top w:val="nil"/>
              <w:left w:val="nil"/>
              <w:bottom w:val="nil"/>
              <w:right w:val="nil"/>
            </w:tcBorders>
            <w:shd w:val="clear" w:color="auto" w:fill="auto"/>
            <w:noWrap/>
            <w:vAlign w:val="bottom"/>
          </w:tcPr>
          <w:p w14:paraId="741A131A"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1,025</w:t>
            </w:r>
          </w:p>
        </w:tc>
      </w:tr>
      <w:tr w:rsidR="00944BA8" w:rsidRPr="00C270FA" w14:paraId="124F8522" w14:textId="77777777" w:rsidTr="00697F89">
        <w:trPr>
          <w:trHeight w:val="255"/>
          <w:jc w:val="center"/>
        </w:trPr>
        <w:tc>
          <w:tcPr>
            <w:tcW w:w="2520" w:type="dxa"/>
            <w:tcBorders>
              <w:top w:val="nil"/>
              <w:left w:val="nil"/>
              <w:bottom w:val="nil"/>
              <w:right w:val="nil"/>
            </w:tcBorders>
            <w:shd w:val="clear" w:color="auto" w:fill="auto"/>
            <w:noWrap/>
            <w:vAlign w:val="bottom"/>
            <w:hideMark/>
          </w:tcPr>
          <w:p w14:paraId="0905DFC6" w14:textId="3F743A91"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 xml:space="preserve">Site </w:t>
            </w:r>
            <w:r w:rsidR="005A25D9" w:rsidRPr="00C270FA">
              <w:rPr>
                <w:rFonts w:ascii="Arial" w:hAnsi="Arial" w:cs="Arial"/>
                <w:color w:val="000000" w:themeColor="text1"/>
                <w:lang w:val="en-CA"/>
              </w:rPr>
              <w:t>Preparation</w:t>
            </w:r>
          </w:p>
        </w:tc>
        <w:tc>
          <w:tcPr>
            <w:tcW w:w="2250" w:type="dxa"/>
            <w:tcBorders>
              <w:top w:val="nil"/>
              <w:left w:val="nil"/>
              <w:bottom w:val="nil"/>
              <w:right w:val="nil"/>
            </w:tcBorders>
            <w:shd w:val="clear" w:color="auto" w:fill="auto"/>
            <w:noWrap/>
            <w:vAlign w:val="bottom"/>
          </w:tcPr>
          <w:p w14:paraId="416672D1"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300</w:t>
            </w:r>
          </w:p>
        </w:tc>
      </w:tr>
      <w:tr w:rsidR="00944BA8" w:rsidRPr="00C270FA" w14:paraId="231ABB6B" w14:textId="77777777" w:rsidTr="00697F89">
        <w:trPr>
          <w:trHeight w:val="255"/>
          <w:jc w:val="center"/>
        </w:trPr>
        <w:tc>
          <w:tcPr>
            <w:tcW w:w="2520" w:type="dxa"/>
            <w:tcBorders>
              <w:top w:val="nil"/>
              <w:left w:val="nil"/>
              <w:bottom w:val="nil"/>
              <w:right w:val="nil"/>
            </w:tcBorders>
            <w:shd w:val="clear" w:color="auto" w:fill="auto"/>
            <w:noWrap/>
            <w:vAlign w:val="bottom"/>
            <w:hideMark/>
          </w:tcPr>
          <w:p w14:paraId="0FB32E97" w14:textId="68F7B580" w:rsidR="00944BA8" w:rsidRPr="00C270FA" w:rsidRDefault="00944BA8" w:rsidP="00055DBA">
            <w:pPr>
              <w:rPr>
                <w:rFonts w:ascii="Arial" w:hAnsi="Arial" w:cs="Arial"/>
                <w:color w:val="000000" w:themeColor="text1"/>
                <w:lang w:val="en-CA"/>
              </w:rPr>
            </w:pPr>
            <w:r w:rsidRPr="00C270FA">
              <w:rPr>
                <w:rFonts w:ascii="Arial" w:hAnsi="Arial" w:cs="Arial"/>
                <w:color w:val="000000" w:themeColor="text1"/>
                <w:lang w:val="en-CA"/>
              </w:rPr>
              <w:t xml:space="preserve">Other </w:t>
            </w:r>
            <w:r w:rsidR="005A25D9" w:rsidRPr="00C270FA">
              <w:rPr>
                <w:rFonts w:ascii="Arial" w:hAnsi="Arial" w:cs="Arial"/>
                <w:color w:val="000000" w:themeColor="text1"/>
                <w:lang w:val="en-CA"/>
              </w:rPr>
              <w:t>Expenses</w:t>
            </w:r>
          </w:p>
        </w:tc>
        <w:tc>
          <w:tcPr>
            <w:tcW w:w="2250" w:type="dxa"/>
            <w:tcBorders>
              <w:top w:val="nil"/>
              <w:left w:val="nil"/>
              <w:bottom w:val="single" w:sz="4" w:space="0" w:color="auto"/>
              <w:right w:val="nil"/>
            </w:tcBorders>
            <w:shd w:val="clear" w:color="auto" w:fill="auto"/>
            <w:noWrap/>
            <w:vAlign w:val="bottom"/>
          </w:tcPr>
          <w:p w14:paraId="680F0409" w14:textId="77777777" w:rsidR="00944BA8" w:rsidRPr="00C270FA" w:rsidRDefault="00944BA8" w:rsidP="00055DBA">
            <w:pPr>
              <w:jc w:val="right"/>
              <w:rPr>
                <w:rFonts w:ascii="Arial" w:hAnsi="Arial" w:cs="Arial"/>
                <w:color w:val="000000" w:themeColor="text1"/>
                <w:lang w:val="en-CA"/>
              </w:rPr>
            </w:pPr>
            <w:r w:rsidRPr="00C270FA">
              <w:rPr>
                <w:rFonts w:ascii="Arial" w:hAnsi="Arial" w:cs="Arial"/>
                <w:color w:val="000000" w:themeColor="text1"/>
                <w:lang w:val="en-CA"/>
              </w:rPr>
              <w:t>250</w:t>
            </w:r>
          </w:p>
        </w:tc>
      </w:tr>
      <w:tr w:rsidR="00944BA8" w:rsidRPr="00C270FA" w14:paraId="621D4618" w14:textId="77777777" w:rsidTr="00697F89">
        <w:trPr>
          <w:trHeight w:val="255"/>
          <w:jc w:val="center"/>
        </w:trPr>
        <w:tc>
          <w:tcPr>
            <w:tcW w:w="2520" w:type="dxa"/>
            <w:tcBorders>
              <w:top w:val="nil"/>
              <w:left w:val="nil"/>
              <w:bottom w:val="nil"/>
              <w:right w:val="nil"/>
            </w:tcBorders>
            <w:shd w:val="clear" w:color="auto" w:fill="auto"/>
            <w:noWrap/>
            <w:vAlign w:val="bottom"/>
            <w:hideMark/>
          </w:tcPr>
          <w:p w14:paraId="5394ABCC" w14:textId="77777777" w:rsidR="00944BA8" w:rsidRPr="00C270FA" w:rsidRDefault="00944BA8" w:rsidP="00055DBA">
            <w:pPr>
              <w:rPr>
                <w:rFonts w:ascii="Arial" w:hAnsi="Arial" w:cs="Arial"/>
                <w:b/>
                <w:color w:val="000000" w:themeColor="text1"/>
                <w:lang w:val="en-CA"/>
              </w:rPr>
            </w:pPr>
            <w:r w:rsidRPr="00C270FA">
              <w:rPr>
                <w:rFonts w:ascii="Arial" w:hAnsi="Arial" w:cs="Arial"/>
                <w:b/>
                <w:color w:val="000000" w:themeColor="text1"/>
                <w:lang w:val="en-CA"/>
              </w:rPr>
              <w:t>Total</w:t>
            </w:r>
          </w:p>
        </w:tc>
        <w:tc>
          <w:tcPr>
            <w:tcW w:w="2250" w:type="dxa"/>
            <w:tcBorders>
              <w:top w:val="nil"/>
              <w:left w:val="nil"/>
              <w:bottom w:val="nil"/>
              <w:right w:val="nil"/>
            </w:tcBorders>
            <w:shd w:val="clear" w:color="auto" w:fill="auto"/>
            <w:noWrap/>
            <w:vAlign w:val="bottom"/>
          </w:tcPr>
          <w:p w14:paraId="098F863B" w14:textId="77777777" w:rsidR="00944BA8" w:rsidRPr="00C270FA" w:rsidRDefault="00944BA8" w:rsidP="00055DBA">
            <w:pPr>
              <w:jc w:val="right"/>
              <w:rPr>
                <w:rFonts w:ascii="Arial" w:hAnsi="Arial" w:cs="Arial"/>
                <w:b/>
                <w:color w:val="000000" w:themeColor="text1"/>
                <w:lang w:val="en-CA"/>
              </w:rPr>
            </w:pPr>
            <w:r w:rsidRPr="00C270FA">
              <w:rPr>
                <w:rFonts w:ascii="Arial" w:hAnsi="Arial" w:cs="Arial"/>
                <w:b/>
                <w:color w:val="000000" w:themeColor="text1"/>
                <w:lang w:val="en-CA"/>
              </w:rPr>
              <w:t>2,575</w:t>
            </w:r>
          </w:p>
        </w:tc>
      </w:tr>
    </w:tbl>
    <w:p w14:paraId="1816FD8F" w14:textId="77777777" w:rsidR="00944BA8" w:rsidRPr="009646A5" w:rsidRDefault="00944BA8" w:rsidP="00944BA8">
      <w:pPr>
        <w:pStyle w:val="xmsonormal"/>
        <w:shd w:val="clear" w:color="auto" w:fill="FFFFFF"/>
        <w:spacing w:before="0" w:beforeAutospacing="0" w:after="0" w:afterAutospacing="0"/>
        <w:rPr>
          <w:rFonts w:ascii="Arial" w:hAnsi="Arial" w:cs="Arial"/>
          <w:color w:val="000000"/>
          <w:sz w:val="16"/>
          <w:szCs w:val="20"/>
          <w:lang w:eastAsia="en-US"/>
        </w:rPr>
      </w:pPr>
    </w:p>
    <w:p w14:paraId="450A0D92" w14:textId="7B290FC5" w:rsidR="00944BA8" w:rsidRPr="00C270FA" w:rsidRDefault="005A25D9" w:rsidP="00944BA8">
      <w:pPr>
        <w:pStyle w:val="Footnote"/>
        <w:rPr>
          <w:lang w:val="en-CA"/>
        </w:rPr>
      </w:pPr>
      <w:r w:rsidRPr="00C270FA">
        <w:rPr>
          <w:lang w:val="en-CA"/>
        </w:rPr>
        <w:t xml:space="preserve">Note: </w:t>
      </w:r>
      <w:r w:rsidR="00944BA8" w:rsidRPr="00C270FA">
        <w:rPr>
          <w:lang w:val="en-CA"/>
        </w:rPr>
        <w:t>Capacity of $480 tonnes per line</w:t>
      </w:r>
      <w:r w:rsidR="009713E3" w:rsidRPr="00C270FA">
        <w:rPr>
          <w:lang w:val="en-CA"/>
        </w:rPr>
        <w:t>, i</w:t>
      </w:r>
      <w:r w:rsidR="00944BA8" w:rsidRPr="00C270FA">
        <w:rPr>
          <w:lang w:val="en-CA"/>
        </w:rPr>
        <w:t>nclud</w:t>
      </w:r>
      <w:r w:rsidR="009713E3" w:rsidRPr="00C270FA">
        <w:rPr>
          <w:lang w:val="en-CA"/>
        </w:rPr>
        <w:t>ing</w:t>
      </w:r>
      <w:r w:rsidR="00944BA8" w:rsidRPr="00C270FA">
        <w:rPr>
          <w:lang w:val="en-CA"/>
        </w:rPr>
        <w:t xml:space="preserve"> investment from </w:t>
      </w:r>
      <w:proofErr w:type="spellStart"/>
      <w:r w:rsidR="00944BA8" w:rsidRPr="00C270FA">
        <w:rPr>
          <w:lang w:val="en-CA"/>
        </w:rPr>
        <w:t>Medicom</w:t>
      </w:r>
      <w:proofErr w:type="spellEnd"/>
      <w:r w:rsidR="00944BA8" w:rsidRPr="00C270FA">
        <w:rPr>
          <w:lang w:val="en-CA"/>
        </w:rPr>
        <w:t xml:space="preserve"> after government subsidies</w:t>
      </w:r>
    </w:p>
    <w:p w14:paraId="2DB783D7" w14:textId="453B4A00" w:rsidR="00944BA8" w:rsidRPr="00C270FA" w:rsidRDefault="00944BA8" w:rsidP="00944BA8">
      <w:pPr>
        <w:pStyle w:val="Footnote"/>
        <w:rPr>
          <w:lang w:val="en-CA"/>
        </w:rPr>
      </w:pPr>
      <w:r w:rsidRPr="00C270FA">
        <w:rPr>
          <w:lang w:val="en-CA"/>
        </w:rPr>
        <w:t>Source: Company files</w:t>
      </w:r>
      <w:r w:rsidR="009713E3" w:rsidRPr="00C270FA">
        <w:rPr>
          <w:lang w:val="en-CA"/>
        </w:rPr>
        <w:t>.</w:t>
      </w:r>
    </w:p>
    <w:p w14:paraId="744994DC" w14:textId="77777777" w:rsidR="00944BA8" w:rsidRPr="009646A5" w:rsidRDefault="00944BA8" w:rsidP="00944BA8">
      <w:pPr>
        <w:pStyle w:val="xmsonormal"/>
        <w:shd w:val="clear" w:color="auto" w:fill="FFFFFF"/>
        <w:spacing w:before="0" w:beforeAutospacing="0" w:after="0" w:afterAutospacing="0"/>
        <w:rPr>
          <w:sz w:val="16"/>
          <w:szCs w:val="22"/>
        </w:rPr>
      </w:pPr>
    </w:p>
    <w:p w14:paraId="45E0C03F" w14:textId="77777777" w:rsidR="00944BA8" w:rsidRPr="009646A5" w:rsidRDefault="00944BA8" w:rsidP="00944BA8">
      <w:pPr>
        <w:pStyle w:val="xmsonormal"/>
        <w:shd w:val="clear" w:color="auto" w:fill="FFFFFF"/>
        <w:spacing w:before="0" w:beforeAutospacing="0" w:after="0" w:afterAutospacing="0"/>
        <w:rPr>
          <w:sz w:val="16"/>
          <w:szCs w:val="22"/>
        </w:rPr>
      </w:pPr>
    </w:p>
    <w:p w14:paraId="5A3C0255" w14:textId="0B8BF3A5" w:rsidR="00944BA8" w:rsidRPr="00C270FA" w:rsidRDefault="00944BA8" w:rsidP="009646A5">
      <w:pPr>
        <w:pStyle w:val="ExhibitHeading"/>
        <w:keepLines/>
        <w:rPr>
          <w:lang w:val="en-CA"/>
        </w:rPr>
      </w:pPr>
      <w:r w:rsidRPr="00C270FA">
        <w:rPr>
          <w:lang w:val="en-CA"/>
        </w:rPr>
        <w:t>EXHIBIT 10: DIRECT LABO</w:t>
      </w:r>
      <w:r w:rsidR="00D45199" w:rsidRPr="00C270FA">
        <w:rPr>
          <w:lang w:val="en-CA"/>
        </w:rPr>
        <w:t>u</w:t>
      </w:r>
      <w:r w:rsidRPr="00C270FA">
        <w:rPr>
          <w:lang w:val="en-CA"/>
        </w:rPr>
        <w:t>R AND ADMINISTRATION COSTS</w:t>
      </w:r>
    </w:p>
    <w:p w14:paraId="4B3261BA" w14:textId="77777777" w:rsidR="00944BA8" w:rsidRPr="009646A5" w:rsidRDefault="00944BA8" w:rsidP="009646A5">
      <w:pPr>
        <w:pStyle w:val="xmsonormal"/>
        <w:keepLines/>
        <w:shd w:val="clear" w:color="auto" w:fill="FFFFFF"/>
        <w:spacing w:before="0" w:beforeAutospacing="0" w:after="0" w:afterAutospacing="0"/>
        <w:rPr>
          <w:sz w:val="16"/>
          <w:szCs w:val="22"/>
        </w:rPr>
      </w:pPr>
    </w:p>
    <w:tbl>
      <w:tblPr>
        <w:tblW w:w="6210" w:type="dxa"/>
        <w:jc w:val="center"/>
        <w:tblLook w:val="04A0" w:firstRow="1" w:lastRow="0" w:firstColumn="1" w:lastColumn="0" w:noHBand="0" w:noVBand="1"/>
      </w:tblPr>
      <w:tblGrid>
        <w:gridCol w:w="3240"/>
        <w:gridCol w:w="1287"/>
        <w:gridCol w:w="1683"/>
      </w:tblGrid>
      <w:tr w:rsidR="00944BA8" w:rsidRPr="00C270FA" w14:paraId="568135AD" w14:textId="77777777" w:rsidTr="00697F89">
        <w:trPr>
          <w:trHeight w:val="510"/>
          <w:jc w:val="center"/>
        </w:trPr>
        <w:tc>
          <w:tcPr>
            <w:tcW w:w="3240" w:type="dxa"/>
            <w:tcBorders>
              <w:top w:val="nil"/>
              <w:left w:val="nil"/>
              <w:bottom w:val="single" w:sz="4" w:space="0" w:color="auto"/>
              <w:right w:val="nil"/>
            </w:tcBorders>
            <w:shd w:val="clear" w:color="auto" w:fill="auto"/>
            <w:noWrap/>
            <w:vAlign w:val="bottom"/>
            <w:hideMark/>
          </w:tcPr>
          <w:p w14:paraId="66DBF728" w14:textId="77777777" w:rsidR="00944BA8" w:rsidRPr="00C270FA" w:rsidRDefault="00944BA8" w:rsidP="009646A5">
            <w:pPr>
              <w:keepLines/>
              <w:rPr>
                <w:rFonts w:ascii="Arial" w:hAnsi="Arial" w:cs="Arial"/>
                <w:b/>
                <w:bCs/>
                <w:color w:val="000000"/>
                <w:lang w:val="en-CA"/>
              </w:rPr>
            </w:pPr>
            <w:r w:rsidRPr="00C270FA">
              <w:rPr>
                <w:rFonts w:ascii="Arial" w:hAnsi="Arial" w:cs="Arial"/>
                <w:b/>
                <w:bCs/>
                <w:color w:val="000000"/>
                <w:lang w:val="en-CA"/>
              </w:rPr>
              <w:t>Administration</w:t>
            </w:r>
          </w:p>
        </w:tc>
        <w:tc>
          <w:tcPr>
            <w:tcW w:w="1287" w:type="dxa"/>
            <w:tcBorders>
              <w:top w:val="nil"/>
              <w:left w:val="nil"/>
              <w:bottom w:val="single" w:sz="4" w:space="0" w:color="auto"/>
              <w:right w:val="nil"/>
            </w:tcBorders>
            <w:shd w:val="clear" w:color="auto" w:fill="auto"/>
            <w:vAlign w:val="center"/>
            <w:hideMark/>
          </w:tcPr>
          <w:p w14:paraId="1FA5AA87" w14:textId="1E8FED70" w:rsidR="00944BA8" w:rsidRPr="00C270FA" w:rsidRDefault="00944BA8" w:rsidP="009646A5">
            <w:pPr>
              <w:keepLines/>
              <w:jc w:val="center"/>
              <w:rPr>
                <w:rFonts w:ascii="Arial" w:hAnsi="Arial" w:cs="Arial"/>
                <w:b/>
                <w:bCs/>
                <w:color w:val="000000"/>
                <w:lang w:val="en-CA"/>
              </w:rPr>
            </w:pPr>
            <w:r w:rsidRPr="00C270FA">
              <w:rPr>
                <w:rFonts w:ascii="Arial" w:hAnsi="Arial" w:cs="Arial"/>
                <w:b/>
                <w:bCs/>
                <w:color w:val="000000"/>
                <w:lang w:val="en-CA"/>
              </w:rPr>
              <w:t xml:space="preserve">Number </w:t>
            </w:r>
            <w:r w:rsidR="009713E3" w:rsidRPr="00C270FA">
              <w:rPr>
                <w:rFonts w:ascii="Arial" w:hAnsi="Arial" w:cs="Arial"/>
                <w:b/>
                <w:bCs/>
                <w:color w:val="000000"/>
                <w:lang w:val="en-CA"/>
              </w:rPr>
              <w:t xml:space="preserve">of </w:t>
            </w:r>
            <w:r w:rsidRPr="00C270FA">
              <w:rPr>
                <w:rFonts w:ascii="Arial" w:hAnsi="Arial" w:cs="Arial"/>
                <w:b/>
                <w:bCs/>
                <w:color w:val="000000"/>
                <w:lang w:val="en-CA"/>
              </w:rPr>
              <w:t>Positions</w:t>
            </w:r>
          </w:p>
        </w:tc>
        <w:tc>
          <w:tcPr>
            <w:tcW w:w="1683" w:type="dxa"/>
            <w:tcBorders>
              <w:top w:val="nil"/>
              <w:left w:val="nil"/>
              <w:bottom w:val="single" w:sz="4" w:space="0" w:color="auto"/>
              <w:right w:val="nil"/>
            </w:tcBorders>
            <w:shd w:val="clear" w:color="auto" w:fill="auto"/>
            <w:vAlign w:val="center"/>
            <w:hideMark/>
          </w:tcPr>
          <w:p w14:paraId="318BAD39" w14:textId="72C23ACB" w:rsidR="00944BA8" w:rsidRPr="00C270FA" w:rsidRDefault="00944BA8" w:rsidP="009646A5">
            <w:pPr>
              <w:keepLines/>
              <w:jc w:val="center"/>
              <w:rPr>
                <w:rFonts w:ascii="Arial" w:hAnsi="Arial" w:cs="Arial"/>
                <w:b/>
                <w:bCs/>
                <w:color w:val="000000"/>
                <w:lang w:val="en-CA"/>
              </w:rPr>
            </w:pPr>
            <w:r w:rsidRPr="00C270FA">
              <w:rPr>
                <w:rFonts w:ascii="Arial" w:hAnsi="Arial" w:cs="Arial"/>
                <w:b/>
                <w:bCs/>
                <w:color w:val="000000"/>
                <w:lang w:val="en-CA"/>
              </w:rPr>
              <w:t>Annual Cost (</w:t>
            </w:r>
            <w:r w:rsidR="00DD527C" w:rsidRPr="00C270FA">
              <w:rPr>
                <w:rFonts w:ascii="Arial" w:hAnsi="Arial" w:cs="Arial"/>
                <w:b/>
                <w:bCs/>
                <w:color w:val="000000"/>
                <w:lang w:val="en-CA"/>
              </w:rPr>
              <w:t>in CA</w:t>
            </w:r>
            <w:r w:rsidRPr="00C270FA">
              <w:rPr>
                <w:rFonts w:ascii="Arial" w:hAnsi="Arial" w:cs="Arial"/>
                <w:b/>
                <w:bCs/>
                <w:color w:val="000000"/>
                <w:lang w:val="en-CA"/>
              </w:rPr>
              <w:t>$)</w:t>
            </w:r>
          </w:p>
        </w:tc>
      </w:tr>
      <w:tr w:rsidR="00944BA8" w:rsidRPr="00C270FA" w14:paraId="1F228C41"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35F5231D" w14:textId="2DF8CACB"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 xml:space="preserve">General </w:t>
            </w:r>
            <w:r w:rsidR="009713E3" w:rsidRPr="00C270FA">
              <w:rPr>
                <w:rFonts w:ascii="Arial" w:hAnsi="Arial" w:cs="Arial"/>
                <w:color w:val="000000"/>
                <w:lang w:val="en-CA"/>
              </w:rPr>
              <w:t>Manager</w:t>
            </w:r>
          </w:p>
        </w:tc>
        <w:tc>
          <w:tcPr>
            <w:tcW w:w="1287" w:type="dxa"/>
            <w:tcBorders>
              <w:top w:val="nil"/>
              <w:left w:val="nil"/>
              <w:bottom w:val="nil"/>
              <w:right w:val="nil"/>
            </w:tcBorders>
            <w:shd w:val="clear" w:color="auto" w:fill="auto"/>
            <w:noWrap/>
            <w:vAlign w:val="center"/>
            <w:hideMark/>
          </w:tcPr>
          <w:p w14:paraId="1850CD47"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w:t>
            </w:r>
          </w:p>
        </w:tc>
        <w:tc>
          <w:tcPr>
            <w:tcW w:w="1683" w:type="dxa"/>
            <w:tcBorders>
              <w:top w:val="nil"/>
              <w:left w:val="nil"/>
              <w:bottom w:val="nil"/>
              <w:right w:val="nil"/>
            </w:tcBorders>
            <w:shd w:val="clear" w:color="auto" w:fill="auto"/>
            <w:noWrap/>
            <w:vAlign w:val="bottom"/>
          </w:tcPr>
          <w:p w14:paraId="6EDFEA0B"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275,000</w:t>
            </w:r>
          </w:p>
        </w:tc>
      </w:tr>
      <w:tr w:rsidR="00944BA8" w:rsidRPr="00C270FA" w14:paraId="436AF91B"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0B6B4E97" w14:textId="3C88A676"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 xml:space="preserve">Operations </w:t>
            </w:r>
            <w:r w:rsidR="009713E3" w:rsidRPr="00C270FA">
              <w:rPr>
                <w:rFonts w:ascii="Arial" w:hAnsi="Arial" w:cs="Arial"/>
                <w:color w:val="000000"/>
                <w:lang w:val="en-CA"/>
              </w:rPr>
              <w:t>Manager</w:t>
            </w:r>
          </w:p>
        </w:tc>
        <w:tc>
          <w:tcPr>
            <w:tcW w:w="1287" w:type="dxa"/>
            <w:tcBorders>
              <w:top w:val="nil"/>
              <w:left w:val="nil"/>
              <w:bottom w:val="nil"/>
              <w:right w:val="nil"/>
            </w:tcBorders>
            <w:shd w:val="clear" w:color="auto" w:fill="auto"/>
            <w:noWrap/>
            <w:vAlign w:val="center"/>
            <w:hideMark/>
          </w:tcPr>
          <w:p w14:paraId="2EB2BA71"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w:t>
            </w:r>
          </w:p>
        </w:tc>
        <w:tc>
          <w:tcPr>
            <w:tcW w:w="1683" w:type="dxa"/>
            <w:tcBorders>
              <w:top w:val="nil"/>
              <w:left w:val="nil"/>
              <w:bottom w:val="nil"/>
              <w:right w:val="nil"/>
            </w:tcBorders>
            <w:shd w:val="clear" w:color="auto" w:fill="auto"/>
            <w:noWrap/>
            <w:vAlign w:val="bottom"/>
          </w:tcPr>
          <w:p w14:paraId="19A754C0"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100,000</w:t>
            </w:r>
          </w:p>
        </w:tc>
      </w:tr>
      <w:tr w:rsidR="00944BA8" w:rsidRPr="00C270FA" w14:paraId="7E46DB7E"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79E352DA" w14:textId="77777777"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Administration</w:t>
            </w:r>
          </w:p>
        </w:tc>
        <w:tc>
          <w:tcPr>
            <w:tcW w:w="1287" w:type="dxa"/>
            <w:tcBorders>
              <w:top w:val="nil"/>
              <w:left w:val="nil"/>
              <w:bottom w:val="nil"/>
              <w:right w:val="nil"/>
            </w:tcBorders>
            <w:shd w:val="clear" w:color="auto" w:fill="auto"/>
            <w:noWrap/>
            <w:vAlign w:val="center"/>
            <w:hideMark/>
          </w:tcPr>
          <w:p w14:paraId="20EE716E"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2</w:t>
            </w:r>
          </w:p>
        </w:tc>
        <w:tc>
          <w:tcPr>
            <w:tcW w:w="1683" w:type="dxa"/>
            <w:tcBorders>
              <w:top w:val="nil"/>
              <w:left w:val="nil"/>
              <w:bottom w:val="nil"/>
              <w:right w:val="nil"/>
            </w:tcBorders>
            <w:shd w:val="clear" w:color="auto" w:fill="auto"/>
            <w:noWrap/>
            <w:vAlign w:val="bottom"/>
          </w:tcPr>
          <w:p w14:paraId="768242BA"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165,000</w:t>
            </w:r>
          </w:p>
        </w:tc>
      </w:tr>
      <w:tr w:rsidR="00944BA8" w:rsidRPr="00C270FA" w14:paraId="72E006FF"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7F5F6FC6" w14:textId="6166D91A"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 xml:space="preserve">Lab </w:t>
            </w:r>
            <w:r w:rsidR="009713E3" w:rsidRPr="00C270FA">
              <w:rPr>
                <w:rFonts w:ascii="Arial" w:hAnsi="Arial" w:cs="Arial"/>
                <w:color w:val="000000"/>
                <w:lang w:val="en-CA"/>
              </w:rPr>
              <w:t>Technician</w:t>
            </w:r>
          </w:p>
        </w:tc>
        <w:tc>
          <w:tcPr>
            <w:tcW w:w="1287" w:type="dxa"/>
            <w:tcBorders>
              <w:top w:val="nil"/>
              <w:left w:val="nil"/>
              <w:bottom w:val="nil"/>
              <w:right w:val="nil"/>
            </w:tcBorders>
            <w:shd w:val="clear" w:color="auto" w:fill="auto"/>
            <w:noWrap/>
            <w:vAlign w:val="center"/>
            <w:hideMark/>
          </w:tcPr>
          <w:p w14:paraId="0B4FFAA4"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2</w:t>
            </w:r>
          </w:p>
        </w:tc>
        <w:tc>
          <w:tcPr>
            <w:tcW w:w="1683" w:type="dxa"/>
            <w:tcBorders>
              <w:top w:val="nil"/>
              <w:left w:val="nil"/>
              <w:bottom w:val="nil"/>
              <w:right w:val="nil"/>
            </w:tcBorders>
            <w:shd w:val="clear" w:color="auto" w:fill="auto"/>
            <w:noWrap/>
            <w:vAlign w:val="bottom"/>
          </w:tcPr>
          <w:p w14:paraId="164F14DC"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260,000</w:t>
            </w:r>
          </w:p>
        </w:tc>
      </w:tr>
      <w:tr w:rsidR="00944BA8" w:rsidRPr="00C270FA" w14:paraId="48683618"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177964FE" w14:textId="41A3AB4A"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 xml:space="preserve">Business </w:t>
            </w:r>
            <w:r w:rsidR="009713E3" w:rsidRPr="00C270FA">
              <w:rPr>
                <w:rFonts w:ascii="Arial" w:hAnsi="Arial" w:cs="Arial"/>
                <w:color w:val="000000"/>
                <w:lang w:val="en-CA"/>
              </w:rPr>
              <w:t>Development</w:t>
            </w:r>
          </w:p>
        </w:tc>
        <w:tc>
          <w:tcPr>
            <w:tcW w:w="1287" w:type="dxa"/>
            <w:tcBorders>
              <w:top w:val="nil"/>
              <w:left w:val="nil"/>
              <w:bottom w:val="nil"/>
              <w:right w:val="nil"/>
            </w:tcBorders>
            <w:shd w:val="clear" w:color="auto" w:fill="auto"/>
            <w:noWrap/>
            <w:vAlign w:val="center"/>
            <w:hideMark/>
          </w:tcPr>
          <w:p w14:paraId="27241D98"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w:t>
            </w:r>
          </w:p>
        </w:tc>
        <w:tc>
          <w:tcPr>
            <w:tcW w:w="1683" w:type="dxa"/>
            <w:tcBorders>
              <w:top w:val="nil"/>
              <w:left w:val="nil"/>
              <w:bottom w:val="nil"/>
              <w:right w:val="nil"/>
            </w:tcBorders>
            <w:shd w:val="clear" w:color="auto" w:fill="auto"/>
            <w:noWrap/>
            <w:vAlign w:val="bottom"/>
          </w:tcPr>
          <w:p w14:paraId="2F902856"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150,000</w:t>
            </w:r>
          </w:p>
        </w:tc>
      </w:tr>
      <w:tr w:rsidR="00944BA8" w:rsidRPr="00C270FA" w14:paraId="28B7E60C"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60F0222A" w14:textId="77777777"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Quality</w:t>
            </w:r>
          </w:p>
        </w:tc>
        <w:tc>
          <w:tcPr>
            <w:tcW w:w="1287" w:type="dxa"/>
            <w:tcBorders>
              <w:top w:val="nil"/>
              <w:left w:val="nil"/>
              <w:bottom w:val="nil"/>
              <w:right w:val="nil"/>
            </w:tcBorders>
            <w:shd w:val="clear" w:color="auto" w:fill="auto"/>
            <w:noWrap/>
            <w:vAlign w:val="center"/>
            <w:hideMark/>
          </w:tcPr>
          <w:p w14:paraId="775B913A"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w:t>
            </w:r>
          </w:p>
        </w:tc>
        <w:tc>
          <w:tcPr>
            <w:tcW w:w="1683" w:type="dxa"/>
            <w:tcBorders>
              <w:top w:val="nil"/>
              <w:left w:val="nil"/>
              <w:bottom w:val="nil"/>
              <w:right w:val="nil"/>
            </w:tcBorders>
            <w:shd w:val="clear" w:color="auto" w:fill="auto"/>
            <w:noWrap/>
            <w:vAlign w:val="bottom"/>
          </w:tcPr>
          <w:p w14:paraId="0EDF5476"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72,000</w:t>
            </w:r>
          </w:p>
        </w:tc>
      </w:tr>
      <w:tr w:rsidR="00944BA8" w:rsidRPr="00C270FA" w14:paraId="78A16710"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32011029" w14:textId="77777777"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Engineer</w:t>
            </w:r>
          </w:p>
        </w:tc>
        <w:tc>
          <w:tcPr>
            <w:tcW w:w="1287" w:type="dxa"/>
            <w:tcBorders>
              <w:top w:val="nil"/>
              <w:left w:val="nil"/>
              <w:bottom w:val="single" w:sz="4" w:space="0" w:color="auto"/>
              <w:right w:val="nil"/>
            </w:tcBorders>
            <w:shd w:val="clear" w:color="auto" w:fill="auto"/>
            <w:noWrap/>
            <w:vAlign w:val="center"/>
            <w:hideMark/>
          </w:tcPr>
          <w:p w14:paraId="6DD5B867"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w:t>
            </w:r>
          </w:p>
        </w:tc>
        <w:tc>
          <w:tcPr>
            <w:tcW w:w="1683" w:type="dxa"/>
            <w:tcBorders>
              <w:top w:val="nil"/>
              <w:left w:val="nil"/>
              <w:bottom w:val="single" w:sz="4" w:space="0" w:color="auto"/>
              <w:right w:val="nil"/>
            </w:tcBorders>
            <w:shd w:val="clear" w:color="auto" w:fill="auto"/>
            <w:noWrap/>
            <w:vAlign w:val="bottom"/>
          </w:tcPr>
          <w:p w14:paraId="3B103A82"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80,000</w:t>
            </w:r>
          </w:p>
        </w:tc>
      </w:tr>
      <w:tr w:rsidR="00944BA8" w:rsidRPr="00C270FA" w14:paraId="6BBE1E81"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62FBC8D9" w14:textId="77777777" w:rsidR="00944BA8" w:rsidRPr="00C270FA" w:rsidRDefault="00944BA8" w:rsidP="009646A5">
            <w:pPr>
              <w:keepLines/>
              <w:jc w:val="right"/>
              <w:rPr>
                <w:rFonts w:ascii="Arial" w:hAnsi="Arial" w:cs="Arial"/>
                <w:color w:val="000000"/>
                <w:lang w:val="en-CA"/>
              </w:rPr>
            </w:pPr>
          </w:p>
        </w:tc>
        <w:tc>
          <w:tcPr>
            <w:tcW w:w="1287" w:type="dxa"/>
            <w:tcBorders>
              <w:top w:val="nil"/>
              <w:left w:val="nil"/>
              <w:bottom w:val="nil"/>
              <w:right w:val="nil"/>
            </w:tcBorders>
            <w:shd w:val="clear" w:color="auto" w:fill="auto"/>
            <w:noWrap/>
            <w:vAlign w:val="center"/>
            <w:hideMark/>
          </w:tcPr>
          <w:p w14:paraId="7055065E"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9</w:t>
            </w:r>
          </w:p>
        </w:tc>
        <w:tc>
          <w:tcPr>
            <w:tcW w:w="1683" w:type="dxa"/>
            <w:tcBorders>
              <w:top w:val="nil"/>
              <w:left w:val="nil"/>
              <w:bottom w:val="nil"/>
              <w:right w:val="nil"/>
            </w:tcBorders>
            <w:shd w:val="clear" w:color="auto" w:fill="auto"/>
            <w:noWrap/>
            <w:vAlign w:val="bottom"/>
          </w:tcPr>
          <w:p w14:paraId="08E246AD"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1,102,000</w:t>
            </w:r>
          </w:p>
        </w:tc>
      </w:tr>
      <w:tr w:rsidR="00944BA8" w:rsidRPr="00C270FA" w14:paraId="3E66D0D1"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77A53BE3" w14:textId="77777777" w:rsidR="00944BA8" w:rsidRPr="00C270FA" w:rsidRDefault="00944BA8" w:rsidP="009646A5">
            <w:pPr>
              <w:keepLines/>
              <w:jc w:val="right"/>
              <w:rPr>
                <w:rFonts w:ascii="Arial" w:hAnsi="Arial" w:cs="Arial"/>
                <w:color w:val="000000"/>
                <w:lang w:val="en-CA"/>
              </w:rPr>
            </w:pPr>
          </w:p>
        </w:tc>
        <w:tc>
          <w:tcPr>
            <w:tcW w:w="1287" w:type="dxa"/>
            <w:tcBorders>
              <w:top w:val="nil"/>
              <w:left w:val="nil"/>
              <w:bottom w:val="nil"/>
              <w:right w:val="nil"/>
            </w:tcBorders>
            <w:shd w:val="clear" w:color="auto" w:fill="auto"/>
            <w:noWrap/>
            <w:vAlign w:val="center"/>
            <w:hideMark/>
          </w:tcPr>
          <w:p w14:paraId="18F76B94" w14:textId="77777777" w:rsidR="00944BA8" w:rsidRPr="00C270FA" w:rsidRDefault="00944BA8" w:rsidP="009646A5">
            <w:pPr>
              <w:keepLines/>
              <w:ind w:right="81"/>
              <w:jc w:val="right"/>
              <w:rPr>
                <w:lang w:val="en-CA"/>
              </w:rPr>
            </w:pPr>
          </w:p>
        </w:tc>
        <w:tc>
          <w:tcPr>
            <w:tcW w:w="1683" w:type="dxa"/>
            <w:tcBorders>
              <w:top w:val="nil"/>
              <w:left w:val="nil"/>
              <w:bottom w:val="nil"/>
              <w:right w:val="nil"/>
            </w:tcBorders>
            <w:shd w:val="clear" w:color="auto" w:fill="auto"/>
            <w:noWrap/>
            <w:vAlign w:val="bottom"/>
            <w:hideMark/>
          </w:tcPr>
          <w:p w14:paraId="66E6C6D5" w14:textId="77777777" w:rsidR="00944BA8" w:rsidRPr="00C270FA" w:rsidRDefault="00944BA8" w:rsidP="009646A5">
            <w:pPr>
              <w:keepLines/>
              <w:ind w:right="81"/>
              <w:jc w:val="right"/>
              <w:rPr>
                <w:lang w:val="en-CA"/>
              </w:rPr>
            </w:pPr>
          </w:p>
        </w:tc>
      </w:tr>
      <w:tr w:rsidR="00944BA8" w:rsidRPr="00C270FA" w14:paraId="6174762B" w14:textId="77777777" w:rsidTr="00697F89">
        <w:trPr>
          <w:trHeight w:val="255"/>
          <w:jc w:val="center"/>
        </w:trPr>
        <w:tc>
          <w:tcPr>
            <w:tcW w:w="3240" w:type="dxa"/>
            <w:tcBorders>
              <w:top w:val="nil"/>
              <w:left w:val="nil"/>
              <w:bottom w:val="single" w:sz="4" w:space="0" w:color="auto"/>
              <w:right w:val="nil"/>
            </w:tcBorders>
            <w:shd w:val="clear" w:color="auto" w:fill="auto"/>
            <w:noWrap/>
            <w:vAlign w:val="bottom"/>
            <w:hideMark/>
          </w:tcPr>
          <w:p w14:paraId="0965A9EF" w14:textId="77777777" w:rsidR="00944BA8" w:rsidRPr="00C270FA" w:rsidRDefault="00944BA8" w:rsidP="009646A5">
            <w:pPr>
              <w:keepLines/>
              <w:rPr>
                <w:rFonts w:ascii="Arial" w:hAnsi="Arial" w:cs="Arial"/>
                <w:b/>
                <w:bCs/>
                <w:color w:val="000000"/>
                <w:lang w:val="en-CA"/>
              </w:rPr>
            </w:pPr>
            <w:r w:rsidRPr="00C270FA">
              <w:rPr>
                <w:rFonts w:ascii="Arial" w:hAnsi="Arial" w:cs="Arial"/>
                <w:b/>
                <w:bCs/>
                <w:color w:val="000000"/>
                <w:lang w:val="en-CA"/>
              </w:rPr>
              <w:t>Direct Labour</w:t>
            </w:r>
          </w:p>
        </w:tc>
        <w:tc>
          <w:tcPr>
            <w:tcW w:w="1287" w:type="dxa"/>
            <w:tcBorders>
              <w:top w:val="nil"/>
              <w:left w:val="nil"/>
              <w:bottom w:val="nil"/>
              <w:right w:val="nil"/>
            </w:tcBorders>
            <w:shd w:val="clear" w:color="auto" w:fill="auto"/>
            <w:noWrap/>
            <w:vAlign w:val="center"/>
            <w:hideMark/>
          </w:tcPr>
          <w:p w14:paraId="1C34FEA8" w14:textId="77777777" w:rsidR="00944BA8" w:rsidRPr="00C270FA" w:rsidRDefault="00944BA8" w:rsidP="009646A5">
            <w:pPr>
              <w:keepLines/>
              <w:ind w:right="81"/>
              <w:jc w:val="right"/>
              <w:rPr>
                <w:rFonts w:ascii="Arial" w:hAnsi="Arial" w:cs="Arial"/>
                <w:b/>
                <w:bCs/>
                <w:color w:val="000000"/>
                <w:lang w:val="en-CA"/>
              </w:rPr>
            </w:pPr>
          </w:p>
        </w:tc>
        <w:tc>
          <w:tcPr>
            <w:tcW w:w="1683" w:type="dxa"/>
            <w:tcBorders>
              <w:top w:val="nil"/>
              <w:left w:val="nil"/>
              <w:bottom w:val="nil"/>
              <w:right w:val="nil"/>
            </w:tcBorders>
            <w:shd w:val="clear" w:color="auto" w:fill="auto"/>
            <w:noWrap/>
            <w:vAlign w:val="bottom"/>
            <w:hideMark/>
          </w:tcPr>
          <w:p w14:paraId="381A3BCA" w14:textId="77777777" w:rsidR="00944BA8" w:rsidRPr="00C270FA" w:rsidRDefault="00944BA8" w:rsidP="009646A5">
            <w:pPr>
              <w:keepLines/>
              <w:ind w:right="81"/>
              <w:jc w:val="right"/>
              <w:rPr>
                <w:lang w:val="en-CA"/>
              </w:rPr>
            </w:pPr>
          </w:p>
        </w:tc>
      </w:tr>
      <w:tr w:rsidR="00944BA8" w:rsidRPr="00C270FA" w14:paraId="01A74CCA"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4BE63BE4" w14:textId="3EEEFE7D"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 xml:space="preserve">Machine </w:t>
            </w:r>
            <w:r w:rsidR="009713E3" w:rsidRPr="00C270FA">
              <w:rPr>
                <w:rFonts w:ascii="Arial" w:hAnsi="Arial" w:cs="Arial"/>
                <w:color w:val="000000"/>
                <w:lang w:val="en-CA"/>
              </w:rPr>
              <w:t>Operators</w:t>
            </w:r>
          </w:p>
        </w:tc>
        <w:tc>
          <w:tcPr>
            <w:tcW w:w="1287" w:type="dxa"/>
            <w:tcBorders>
              <w:top w:val="nil"/>
              <w:left w:val="nil"/>
              <w:bottom w:val="nil"/>
              <w:right w:val="nil"/>
            </w:tcBorders>
            <w:shd w:val="clear" w:color="auto" w:fill="auto"/>
            <w:noWrap/>
            <w:vAlign w:val="center"/>
            <w:hideMark/>
          </w:tcPr>
          <w:p w14:paraId="5A9485B9"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12</w:t>
            </w:r>
          </w:p>
        </w:tc>
        <w:tc>
          <w:tcPr>
            <w:tcW w:w="1683" w:type="dxa"/>
            <w:tcBorders>
              <w:top w:val="nil"/>
              <w:left w:val="nil"/>
              <w:bottom w:val="nil"/>
              <w:right w:val="nil"/>
            </w:tcBorders>
            <w:shd w:val="clear" w:color="auto" w:fill="auto"/>
            <w:noWrap/>
            <w:vAlign w:val="bottom"/>
          </w:tcPr>
          <w:p w14:paraId="0EDAF9A1"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575,000</w:t>
            </w:r>
          </w:p>
        </w:tc>
      </w:tr>
      <w:tr w:rsidR="00944BA8" w:rsidRPr="00C270FA" w14:paraId="5E66655A"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0A3996CF" w14:textId="77777777"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Supervisor</w:t>
            </w:r>
          </w:p>
        </w:tc>
        <w:tc>
          <w:tcPr>
            <w:tcW w:w="1287" w:type="dxa"/>
            <w:tcBorders>
              <w:top w:val="nil"/>
              <w:left w:val="nil"/>
              <w:bottom w:val="nil"/>
              <w:right w:val="nil"/>
            </w:tcBorders>
            <w:shd w:val="clear" w:color="auto" w:fill="auto"/>
            <w:noWrap/>
            <w:vAlign w:val="center"/>
            <w:hideMark/>
          </w:tcPr>
          <w:p w14:paraId="5E5B4A3B"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w:t>
            </w:r>
          </w:p>
        </w:tc>
        <w:tc>
          <w:tcPr>
            <w:tcW w:w="1683" w:type="dxa"/>
            <w:tcBorders>
              <w:top w:val="nil"/>
              <w:left w:val="nil"/>
              <w:bottom w:val="nil"/>
              <w:right w:val="nil"/>
            </w:tcBorders>
            <w:shd w:val="clear" w:color="auto" w:fill="auto"/>
            <w:noWrap/>
            <w:vAlign w:val="bottom"/>
          </w:tcPr>
          <w:p w14:paraId="6F3BA644"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82,000</w:t>
            </w:r>
          </w:p>
        </w:tc>
      </w:tr>
      <w:tr w:rsidR="00944BA8" w:rsidRPr="00C270FA" w14:paraId="326B01C2"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194B2835" w14:textId="77777777"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Maintenance</w:t>
            </w:r>
          </w:p>
        </w:tc>
        <w:tc>
          <w:tcPr>
            <w:tcW w:w="1287" w:type="dxa"/>
            <w:tcBorders>
              <w:top w:val="nil"/>
              <w:left w:val="nil"/>
              <w:bottom w:val="nil"/>
              <w:right w:val="nil"/>
            </w:tcBorders>
            <w:shd w:val="clear" w:color="auto" w:fill="auto"/>
            <w:noWrap/>
            <w:vAlign w:val="center"/>
            <w:hideMark/>
          </w:tcPr>
          <w:p w14:paraId="73522C0D"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w:t>
            </w:r>
          </w:p>
        </w:tc>
        <w:tc>
          <w:tcPr>
            <w:tcW w:w="1683" w:type="dxa"/>
            <w:tcBorders>
              <w:top w:val="nil"/>
              <w:left w:val="nil"/>
              <w:bottom w:val="nil"/>
              <w:right w:val="nil"/>
            </w:tcBorders>
            <w:shd w:val="clear" w:color="auto" w:fill="auto"/>
            <w:noWrap/>
            <w:vAlign w:val="bottom"/>
          </w:tcPr>
          <w:p w14:paraId="3270F4C5"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95,000</w:t>
            </w:r>
          </w:p>
        </w:tc>
      </w:tr>
      <w:tr w:rsidR="00944BA8" w:rsidRPr="00C270FA" w14:paraId="273E6C7D"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4E2F414C" w14:textId="77777777"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Warehouse</w:t>
            </w:r>
          </w:p>
        </w:tc>
        <w:tc>
          <w:tcPr>
            <w:tcW w:w="1287" w:type="dxa"/>
            <w:tcBorders>
              <w:top w:val="nil"/>
              <w:left w:val="nil"/>
              <w:bottom w:val="single" w:sz="4" w:space="0" w:color="auto"/>
              <w:right w:val="nil"/>
            </w:tcBorders>
            <w:shd w:val="clear" w:color="auto" w:fill="auto"/>
            <w:noWrap/>
            <w:vAlign w:val="center"/>
            <w:hideMark/>
          </w:tcPr>
          <w:p w14:paraId="05E8E7F0"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2</w:t>
            </w:r>
          </w:p>
        </w:tc>
        <w:tc>
          <w:tcPr>
            <w:tcW w:w="1683" w:type="dxa"/>
            <w:tcBorders>
              <w:top w:val="nil"/>
              <w:left w:val="nil"/>
              <w:bottom w:val="single" w:sz="4" w:space="0" w:color="auto"/>
              <w:right w:val="nil"/>
            </w:tcBorders>
            <w:shd w:val="clear" w:color="auto" w:fill="auto"/>
            <w:noWrap/>
            <w:vAlign w:val="bottom"/>
          </w:tcPr>
          <w:p w14:paraId="5316A82B"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96,000</w:t>
            </w:r>
          </w:p>
        </w:tc>
      </w:tr>
      <w:tr w:rsidR="00944BA8" w:rsidRPr="00C270FA" w14:paraId="1D63E948"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20D4BC59" w14:textId="77777777" w:rsidR="00944BA8" w:rsidRPr="00C270FA" w:rsidRDefault="00944BA8" w:rsidP="009646A5">
            <w:pPr>
              <w:keepLines/>
              <w:jc w:val="right"/>
              <w:rPr>
                <w:rFonts w:ascii="Arial" w:hAnsi="Arial" w:cs="Arial"/>
                <w:color w:val="000000"/>
                <w:lang w:val="en-CA"/>
              </w:rPr>
            </w:pPr>
          </w:p>
        </w:tc>
        <w:tc>
          <w:tcPr>
            <w:tcW w:w="1287" w:type="dxa"/>
            <w:tcBorders>
              <w:top w:val="nil"/>
              <w:left w:val="nil"/>
              <w:bottom w:val="nil"/>
              <w:right w:val="nil"/>
            </w:tcBorders>
            <w:shd w:val="clear" w:color="auto" w:fill="auto"/>
            <w:noWrap/>
            <w:vAlign w:val="center"/>
            <w:hideMark/>
          </w:tcPr>
          <w:p w14:paraId="1C4A5A02"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16</w:t>
            </w:r>
          </w:p>
        </w:tc>
        <w:tc>
          <w:tcPr>
            <w:tcW w:w="1683" w:type="dxa"/>
            <w:tcBorders>
              <w:top w:val="nil"/>
              <w:left w:val="nil"/>
              <w:bottom w:val="nil"/>
              <w:right w:val="nil"/>
            </w:tcBorders>
            <w:shd w:val="clear" w:color="auto" w:fill="auto"/>
            <w:noWrap/>
            <w:vAlign w:val="bottom"/>
          </w:tcPr>
          <w:p w14:paraId="6B6BB0A0"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848,000</w:t>
            </w:r>
          </w:p>
        </w:tc>
      </w:tr>
      <w:tr w:rsidR="00944BA8" w:rsidRPr="00C270FA" w14:paraId="4D2EF250" w14:textId="77777777" w:rsidTr="00697F89">
        <w:trPr>
          <w:trHeight w:val="255"/>
          <w:jc w:val="center"/>
        </w:trPr>
        <w:tc>
          <w:tcPr>
            <w:tcW w:w="3240" w:type="dxa"/>
            <w:tcBorders>
              <w:top w:val="nil"/>
              <w:left w:val="nil"/>
              <w:bottom w:val="nil"/>
              <w:right w:val="nil"/>
            </w:tcBorders>
            <w:shd w:val="clear" w:color="auto" w:fill="auto"/>
            <w:noWrap/>
            <w:vAlign w:val="bottom"/>
            <w:hideMark/>
          </w:tcPr>
          <w:p w14:paraId="1CF92C13" w14:textId="77777777" w:rsidR="00944BA8" w:rsidRPr="00C270FA" w:rsidRDefault="00944BA8" w:rsidP="009646A5">
            <w:pPr>
              <w:keepLines/>
              <w:rPr>
                <w:rFonts w:ascii="Arial" w:hAnsi="Arial" w:cs="Arial"/>
                <w:color w:val="000000"/>
                <w:lang w:val="en-CA"/>
              </w:rPr>
            </w:pPr>
            <w:r w:rsidRPr="00C270FA">
              <w:rPr>
                <w:rFonts w:ascii="Arial" w:hAnsi="Arial" w:cs="Arial"/>
                <w:color w:val="000000"/>
                <w:lang w:val="en-CA"/>
              </w:rPr>
              <w:t>Total</w:t>
            </w:r>
          </w:p>
        </w:tc>
        <w:tc>
          <w:tcPr>
            <w:tcW w:w="1287" w:type="dxa"/>
            <w:tcBorders>
              <w:top w:val="nil"/>
              <w:left w:val="nil"/>
              <w:bottom w:val="nil"/>
              <w:right w:val="nil"/>
            </w:tcBorders>
            <w:shd w:val="clear" w:color="auto" w:fill="auto"/>
            <w:noWrap/>
            <w:vAlign w:val="center"/>
            <w:hideMark/>
          </w:tcPr>
          <w:p w14:paraId="1E1CA23B"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25</w:t>
            </w:r>
          </w:p>
        </w:tc>
        <w:tc>
          <w:tcPr>
            <w:tcW w:w="1683" w:type="dxa"/>
            <w:tcBorders>
              <w:top w:val="nil"/>
              <w:left w:val="nil"/>
              <w:bottom w:val="nil"/>
              <w:right w:val="nil"/>
            </w:tcBorders>
            <w:shd w:val="clear" w:color="auto" w:fill="auto"/>
            <w:noWrap/>
            <w:vAlign w:val="center"/>
          </w:tcPr>
          <w:p w14:paraId="4B88764B" w14:textId="77777777" w:rsidR="00944BA8" w:rsidRPr="00C270FA" w:rsidRDefault="00944BA8" w:rsidP="009646A5">
            <w:pPr>
              <w:keepLines/>
              <w:ind w:right="81"/>
              <w:jc w:val="right"/>
              <w:rPr>
                <w:rFonts w:ascii="Arial" w:hAnsi="Arial" w:cs="Arial"/>
                <w:color w:val="000000"/>
                <w:lang w:val="en-CA"/>
              </w:rPr>
            </w:pPr>
            <w:r w:rsidRPr="00C270FA">
              <w:rPr>
                <w:rFonts w:ascii="Arial" w:hAnsi="Arial" w:cs="Arial"/>
                <w:color w:val="000000"/>
                <w:lang w:val="en-CA"/>
              </w:rPr>
              <w:t>1,950,000</w:t>
            </w:r>
          </w:p>
        </w:tc>
      </w:tr>
    </w:tbl>
    <w:p w14:paraId="1D12C374" w14:textId="77777777" w:rsidR="00944BA8" w:rsidRPr="0003243C" w:rsidRDefault="00944BA8" w:rsidP="009646A5">
      <w:pPr>
        <w:pStyle w:val="xmsonormal"/>
        <w:keepLines/>
        <w:shd w:val="clear" w:color="auto" w:fill="FFFFFF"/>
        <w:tabs>
          <w:tab w:val="left" w:pos="2865"/>
        </w:tabs>
        <w:spacing w:before="0" w:beforeAutospacing="0" w:after="0" w:afterAutospacing="0"/>
        <w:rPr>
          <w:sz w:val="16"/>
          <w:szCs w:val="22"/>
        </w:rPr>
      </w:pPr>
    </w:p>
    <w:p w14:paraId="7D221124" w14:textId="1195A1EE" w:rsidR="00605009" w:rsidRPr="00C270FA" w:rsidRDefault="00944BA8" w:rsidP="009646A5">
      <w:pPr>
        <w:pStyle w:val="Footnote"/>
        <w:keepLines/>
        <w:rPr>
          <w:lang w:val="en-CA"/>
        </w:rPr>
      </w:pPr>
      <w:r w:rsidRPr="00C270FA">
        <w:rPr>
          <w:lang w:val="en-CA"/>
        </w:rPr>
        <w:t>Source: Company files</w:t>
      </w:r>
      <w:r w:rsidR="008452D2" w:rsidRPr="00C270FA">
        <w:rPr>
          <w:lang w:val="en-CA"/>
        </w:rPr>
        <w:t>.</w:t>
      </w:r>
    </w:p>
    <w:sectPr w:rsidR="00605009" w:rsidRPr="00C270FA"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DD727" w14:textId="77777777" w:rsidR="00A464F8" w:rsidRDefault="00A464F8" w:rsidP="00D75295">
      <w:r>
        <w:separator/>
      </w:r>
    </w:p>
  </w:endnote>
  <w:endnote w:type="continuationSeparator" w:id="0">
    <w:p w14:paraId="6B71D05B" w14:textId="77777777" w:rsidR="00A464F8" w:rsidRDefault="00A464F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C4EE" w14:textId="77777777" w:rsidR="00A464F8" w:rsidRDefault="00A464F8" w:rsidP="00D75295">
      <w:r>
        <w:separator/>
      </w:r>
    </w:p>
  </w:footnote>
  <w:footnote w:type="continuationSeparator" w:id="0">
    <w:p w14:paraId="31BC9002" w14:textId="77777777" w:rsidR="00A464F8" w:rsidRDefault="00A464F8" w:rsidP="00D75295">
      <w:r>
        <w:continuationSeparator/>
      </w:r>
    </w:p>
  </w:footnote>
  <w:footnote w:id="1">
    <w:p w14:paraId="2837BAF8" w14:textId="395E4F27" w:rsidR="00A464F8" w:rsidRPr="00F53CD4" w:rsidRDefault="00A464F8" w:rsidP="00242EE3">
      <w:pPr>
        <w:pStyle w:val="FootnoteText"/>
        <w:jc w:val="both"/>
        <w:rPr>
          <w:rFonts w:ascii="Arial" w:hAnsi="Arial" w:cs="Arial"/>
          <w:sz w:val="17"/>
          <w:szCs w:val="17"/>
        </w:rPr>
      </w:pPr>
      <w:r w:rsidRPr="00F53CD4">
        <w:rPr>
          <w:rStyle w:val="FootnoteReference"/>
          <w:rFonts w:ascii="Arial" w:hAnsi="Arial" w:cs="Arial"/>
          <w:sz w:val="17"/>
          <w:szCs w:val="17"/>
        </w:rPr>
        <w:footnoteRef/>
      </w:r>
      <w:r w:rsidRPr="00F53CD4">
        <w:rPr>
          <w:rFonts w:ascii="Arial" w:hAnsi="Arial" w:cs="Arial"/>
          <w:sz w:val="17"/>
          <w:szCs w:val="17"/>
        </w:rPr>
        <w:t xml:space="preserve"> </w:t>
      </w:r>
      <w:r>
        <w:rPr>
          <w:rFonts w:ascii="Arial" w:hAnsi="Arial" w:cs="Arial"/>
          <w:sz w:val="17"/>
          <w:szCs w:val="17"/>
        </w:rPr>
        <w:t>All c</w:t>
      </w:r>
      <w:r w:rsidRPr="00F53CD4">
        <w:rPr>
          <w:rFonts w:ascii="Arial" w:hAnsi="Arial" w:cs="Arial"/>
          <w:sz w:val="17"/>
          <w:szCs w:val="17"/>
        </w:rPr>
        <w:t>urrency amounts are in CA$ unless otherwise specified.</w:t>
      </w:r>
    </w:p>
  </w:footnote>
  <w:footnote w:id="2">
    <w:p w14:paraId="7B395863" w14:textId="5BAFA98C" w:rsidR="00A464F8" w:rsidRPr="00021ED5" w:rsidRDefault="00A464F8" w:rsidP="00F53CD4">
      <w:pPr>
        <w:pStyle w:val="Default"/>
        <w:jc w:val="both"/>
        <w:rPr>
          <w:rStyle w:val="FootnoteChar"/>
          <w:rFonts w:eastAsia="KaiTi_GB2312" w:hint="default"/>
        </w:rPr>
      </w:pPr>
      <w:r w:rsidRPr="00F53CD4">
        <w:rPr>
          <w:rStyle w:val="FootnoteReference"/>
          <w:rFonts w:ascii="Arial" w:hAnsi="Arial" w:cs="Arial" w:hint="default"/>
          <w:sz w:val="17"/>
          <w:szCs w:val="17"/>
        </w:rPr>
        <w:footnoteRef/>
      </w:r>
      <w:r w:rsidRPr="00F53CD4">
        <w:rPr>
          <w:rFonts w:ascii="Arial" w:hAnsi="Arial" w:cs="Arial" w:hint="default"/>
          <w:sz w:val="17"/>
          <w:szCs w:val="17"/>
        </w:rPr>
        <w:t xml:space="preserve"> </w:t>
      </w:r>
      <w:r>
        <w:rPr>
          <w:rFonts w:ascii="Arial" w:hAnsi="Arial" w:cs="Arial" w:hint="default"/>
          <w:sz w:val="17"/>
          <w:szCs w:val="17"/>
        </w:rPr>
        <w:t xml:space="preserve">BCC Publishing, </w:t>
      </w:r>
      <w:r w:rsidRPr="00021ED5">
        <w:rPr>
          <w:rFonts w:ascii="Arial" w:hAnsi="Arial" w:cs="Arial" w:hint="default"/>
          <w:i/>
          <w:iCs/>
          <w:sz w:val="17"/>
          <w:szCs w:val="17"/>
        </w:rPr>
        <w:t xml:space="preserve">Healthcare </w:t>
      </w:r>
      <w:r w:rsidRPr="00021ED5">
        <w:rPr>
          <w:rFonts w:ascii="Arial" w:hAnsi="Arial" w:cs="Arial" w:hint="default"/>
          <w:i/>
          <w:iCs/>
          <w:color w:val="auto"/>
          <w:sz w:val="17"/>
          <w:szCs w:val="17"/>
        </w:rPr>
        <w:t xml:space="preserve">Personal Protective Equipment: </w:t>
      </w:r>
      <w:r w:rsidRPr="002D2FBA">
        <w:rPr>
          <w:rFonts w:ascii="Arial" w:hAnsi="Arial" w:cs="Arial" w:hint="default"/>
          <w:i/>
          <w:iCs/>
          <w:color w:val="auto"/>
          <w:sz w:val="17"/>
          <w:szCs w:val="17"/>
        </w:rPr>
        <w:t>Global Markets</w:t>
      </w:r>
      <w:r>
        <w:rPr>
          <w:rFonts w:ascii="Arial" w:hAnsi="Arial" w:cs="Arial" w:hint="default"/>
          <w:i/>
          <w:iCs/>
          <w:color w:val="auto"/>
          <w:sz w:val="17"/>
          <w:szCs w:val="17"/>
        </w:rPr>
        <w:t>,</w:t>
      </w:r>
      <w:r>
        <w:rPr>
          <w:rFonts w:ascii="Arial" w:hAnsi="Arial" w:cs="Arial" w:hint="default"/>
          <w:color w:val="auto"/>
          <w:sz w:val="17"/>
          <w:szCs w:val="17"/>
        </w:rPr>
        <w:t xml:space="preserve"> </w:t>
      </w:r>
      <w:r w:rsidRPr="002D2FBA">
        <w:rPr>
          <w:rFonts w:ascii="Arial" w:hAnsi="Arial" w:cs="Arial" w:hint="default"/>
          <w:color w:val="auto"/>
          <w:sz w:val="17"/>
          <w:szCs w:val="17"/>
        </w:rPr>
        <w:t xml:space="preserve">Report </w:t>
      </w:r>
      <w:r w:rsidRPr="00905DD7">
        <w:rPr>
          <w:rFonts w:ascii="Arial" w:hAnsi="Arial" w:cs="Arial" w:hint="default"/>
          <w:color w:val="auto"/>
          <w:sz w:val="17"/>
          <w:szCs w:val="17"/>
        </w:rPr>
        <w:t>MDS013A (Wellesley, MA:</w:t>
      </w:r>
      <w:r w:rsidRPr="00905DD7">
        <w:rPr>
          <w:rFonts w:ascii="Arial" w:hAnsi="Arial" w:cs="Arial" w:hint="default"/>
          <w:i/>
          <w:iCs/>
          <w:color w:val="auto"/>
          <w:sz w:val="17"/>
          <w:szCs w:val="17"/>
        </w:rPr>
        <w:t xml:space="preserve"> </w:t>
      </w:r>
      <w:r w:rsidRPr="00905DD7">
        <w:rPr>
          <w:rFonts w:ascii="Arial" w:hAnsi="Arial" w:cs="Arial" w:hint="default"/>
          <w:color w:val="auto"/>
          <w:sz w:val="17"/>
          <w:szCs w:val="17"/>
        </w:rPr>
        <w:t>BCC Publishing, July 2020)</w:t>
      </w:r>
      <w:r>
        <w:rPr>
          <w:rFonts w:ascii="Arial" w:hAnsi="Arial" w:cs="Arial" w:hint="default"/>
          <w:color w:val="auto"/>
          <w:sz w:val="17"/>
          <w:szCs w:val="17"/>
        </w:rPr>
        <w:t>, p. 32.</w:t>
      </w:r>
    </w:p>
  </w:footnote>
  <w:footnote w:id="3">
    <w:p w14:paraId="6200C1CD" w14:textId="38589502" w:rsidR="00A464F8" w:rsidRPr="00F53CD4" w:rsidRDefault="00A464F8" w:rsidP="00F53CD4">
      <w:pPr>
        <w:pStyle w:val="FootnoteText"/>
        <w:jc w:val="both"/>
        <w:rPr>
          <w:rFonts w:ascii="Arial" w:hAnsi="Arial" w:cs="Arial"/>
          <w:sz w:val="17"/>
          <w:szCs w:val="17"/>
        </w:rPr>
      </w:pPr>
      <w:r w:rsidRPr="00F53CD4">
        <w:rPr>
          <w:rStyle w:val="FootnoteReference"/>
          <w:rFonts w:ascii="Arial" w:hAnsi="Arial" w:cs="Arial"/>
          <w:sz w:val="17"/>
          <w:szCs w:val="17"/>
        </w:rPr>
        <w:footnoteRef/>
      </w:r>
      <w:r w:rsidRPr="00F53CD4">
        <w:rPr>
          <w:rFonts w:ascii="Arial" w:hAnsi="Arial" w:cs="Arial"/>
          <w:sz w:val="17"/>
          <w:szCs w:val="17"/>
        </w:rPr>
        <w:t xml:space="preserve"> Ibid</w:t>
      </w:r>
      <w:r>
        <w:rPr>
          <w:rFonts w:ascii="Arial" w:hAnsi="Arial" w:cs="Arial"/>
          <w:sz w:val="17"/>
          <w:szCs w:val="17"/>
        </w:rPr>
        <w:t>, p. 31.</w:t>
      </w:r>
    </w:p>
  </w:footnote>
  <w:footnote w:id="4">
    <w:p w14:paraId="5217CEC8" w14:textId="32E48E43" w:rsidR="00A464F8" w:rsidRPr="00EC6008" w:rsidRDefault="00A464F8" w:rsidP="00F53CD4">
      <w:pPr>
        <w:pStyle w:val="FootnoteText"/>
        <w:jc w:val="both"/>
        <w:rPr>
          <w:rFonts w:ascii="Arial" w:hAnsi="Arial" w:cs="Arial"/>
          <w:spacing w:val="-6"/>
          <w:kern w:val="17"/>
          <w:sz w:val="17"/>
          <w:szCs w:val="17"/>
        </w:rPr>
      </w:pPr>
      <w:r w:rsidRPr="00EC6008">
        <w:rPr>
          <w:rStyle w:val="FootnoteReference"/>
          <w:rFonts w:ascii="Arial" w:hAnsi="Arial" w:cs="Arial"/>
          <w:spacing w:val="-6"/>
          <w:kern w:val="17"/>
          <w:sz w:val="17"/>
          <w:szCs w:val="17"/>
        </w:rPr>
        <w:footnoteRef/>
      </w:r>
      <w:r w:rsidRPr="00EC6008">
        <w:rPr>
          <w:rFonts w:ascii="Arial" w:hAnsi="Arial" w:cs="Arial"/>
          <w:spacing w:val="-6"/>
          <w:kern w:val="17"/>
          <w:sz w:val="17"/>
          <w:szCs w:val="17"/>
        </w:rPr>
        <w:t xml:space="preserve"> Yuka Hayashi, “Millions of Counterfeit Masks Flooded U.S. Customs Facilities Last Year,” </w:t>
      </w:r>
      <w:r w:rsidRPr="00EC6008">
        <w:rPr>
          <w:rFonts w:ascii="Arial" w:hAnsi="Arial" w:cs="Arial"/>
          <w:i/>
          <w:iCs/>
          <w:spacing w:val="-6"/>
          <w:kern w:val="17"/>
          <w:sz w:val="17"/>
          <w:szCs w:val="17"/>
        </w:rPr>
        <w:t>Wall Street Journal</w:t>
      </w:r>
      <w:r w:rsidRPr="00EC6008">
        <w:rPr>
          <w:rFonts w:ascii="Arial" w:hAnsi="Arial" w:cs="Arial"/>
          <w:spacing w:val="-6"/>
          <w:kern w:val="17"/>
          <w:sz w:val="17"/>
          <w:szCs w:val="17"/>
        </w:rPr>
        <w:t xml:space="preserve">, February 4, 2021, accessed February 16, 2021, https://www.wsj.com/articles/millions-of-counterfeit-masks-flooded-u-s-customs-facilities-last-year-11612436403; Mark </w:t>
      </w:r>
      <w:proofErr w:type="spellStart"/>
      <w:r w:rsidRPr="00EC6008">
        <w:rPr>
          <w:rFonts w:ascii="Arial" w:hAnsi="Arial" w:cs="Arial"/>
          <w:spacing w:val="-6"/>
          <w:kern w:val="17"/>
          <w:sz w:val="17"/>
          <w:szCs w:val="17"/>
        </w:rPr>
        <w:t>Maremont</w:t>
      </w:r>
      <w:proofErr w:type="spellEnd"/>
      <w:r w:rsidRPr="00EC6008">
        <w:rPr>
          <w:rFonts w:ascii="Arial" w:hAnsi="Arial" w:cs="Arial"/>
          <w:spacing w:val="-6"/>
          <w:kern w:val="17"/>
          <w:sz w:val="17"/>
          <w:szCs w:val="17"/>
        </w:rPr>
        <w:t xml:space="preserve">, Austen Hufford, and Tom McGinty, “U.S. Pays High Prices for Masks From Unproven Vendors in Coronavirus Fight,” </w:t>
      </w:r>
      <w:r w:rsidRPr="00EC6008">
        <w:rPr>
          <w:rFonts w:ascii="Arial" w:hAnsi="Arial" w:cs="Arial"/>
          <w:i/>
          <w:iCs/>
          <w:spacing w:val="-6"/>
          <w:kern w:val="17"/>
          <w:sz w:val="17"/>
          <w:szCs w:val="17"/>
        </w:rPr>
        <w:t>Wall Street Journal</w:t>
      </w:r>
      <w:r w:rsidRPr="00EC6008">
        <w:rPr>
          <w:rFonts w:ascii="Arial" w:hAnsi="Arial" w:cs="Arial"/>
          <w:spacing w:val="-6"/>
          <w:kern w:val="17"/>
          <w:sz w:val="17"/>
          <w:szCs w:val="17"/>
        </w:rPr>
        <w:t xml:space="preserve">, April 18, 2020, accessed February 16, 2021, </w:t>
      </w:r>
      <w:r w:rsidR="00EC6008" w:rsidRPr="00EC6008">
        <w:rPr>
          <w:rFonts w:ascii="Arial" w:hAnsi="Arial" w:cs="Arial"/>
          <w:spacing w:val="-6"/>
          <w:kern w:val="17"/>
          <w:sz w:val="17"/>
          <w:szCs w:val="17"/>
        </w:rPr>
        <w:t>https://www.wsj.com/articles/u-s-pays-high-prices-for-masks-from-unproven-vendors-in-coronavirus-fight-</w:t>
      </w:r>
      <w:r w:rsidR="00EC6008">
        <w:rPr>
          <w:rFonts w:ascii="Arial" w:hAnsi="Arial" w:cs="Arial"/>
          <w:spacing w:val="-6"/>
          <w:kern w:val="17"/>
          <w:sz w:val="17"/>
          <w:szCs w:val="17"/>
        </w:rPr>
        <w:t>115872</w:t>
      </w:r>
      <w:r w:rsidR="00EC6008" w:rsidRPr="00EC6008">
        <w:rPr>
          <w:rFonts w:ascii="Arial" w:hAnsi="Arial" w:cs="Arial"/>
          <w:spacing w:val="-6"/>
          <w:kern w:val="17"/>
          <w:sz w:val="17"/>
          <w:szCs w:val="17"/>
        </w:rPr>
        <w:t>18400#:~:text=The%20federal%20government%2C%20scrambling</w:t>
      </w:r>
      <w:r w:rsidR="00EC6008">
        <w:rPr>
          <w:rFonts w:ascii="Arial" w:hAnsi="Arial" w:cs="Arial"/>
          <w:spacing w:val="-6"/>
          <w:kern w:val="17"/>
          <w:sz w:val="17"/>
          <w:szCs w:val="17"/>
        </w:rPr>
        <w:t xml:space="preserve">%2 </w:t>
      </w:r>
      <w:r w:rsidRPr="00EC6008">
        <w:rPr>
          <w:rFonts w:ascii="Arial" w:hAnsi="Arial" w:cs="Arial"/>
          <w:spacing w:val="-6"/>
          <w:kern w:val="17"/>
          <w:sz w:val="17"/>
          <w:szCs w:val="17"/>
        </w:rPr>
        <w:t xml:space="preserve">0to,review%20of%20federal%20contracting%20data. </w:t>
      </w:r>
    </w:p>
  </w:footnote>
  <w:footnote w:id="5">
    <w:p w14:paraId="7664AB6A" w14:textId="430D055C" w:rsidR="00A464F8" w:rsidRPr="00944BA8" w:rsidRDefault="00A464F8" w:rsidP="00F53CD4">
      <w:pPr>
        <w:pStyle w:val="FootnoteText"/>
        <w:jc w:val="both"/>
        <w:rPr>
          <w:rFonts w:ascii="Arial" w:hAnsi="Arial" w:cs="Arial"/>
          <w:sz w:val="17"/>
          <w:szCs w:val="17"/>
          <w:lang w:val="en-CA"/>
        </w:rPr>
      </w:pPr>
      <w:r w:rsidRPr="00F53CD4">
        <w:rPr>
          <w:rStyle w:val="FootnoteReference"/>
          <w:rFonts w:ascii="Arial" w:hAnsi="Arial" w:cs="Arial"/>
          <w:sz w:val="17"/>
          <w:szCs w:val="17"/>
        </w:rPr>
        <w:footnoteRef/>
      </w:r>
      <w:r w:rsidRPr="00F53CD4">
        <w:rPr>
          <w:rFonts w:ascii="Arial" w:hAnsi="Arial" w:cs="Arial"/>
          <w:sz w:val="17"/>
          <w:szCs w:val="17"/>
        </w:rPr>
        <w:t xml:space="preserve"> World Health Organization, </w:t>
      </w:r>
      <w:r>
        <w:rPr>
          <w:rFonts w:ascii="Arial" w:hAnsi="Arial" w:cs="Arial"/>
          <w:sz w:val="17"/>
          <w:szCs w:val="17"/>
        </w:rPr>
        <w:t xml:space="preserve">“Archived: WHO Timeline—COVID-19,” World Health Organization, April 27, 2020, </w:t>
      </w:r>
      <w:r w:rsidRPr="00F53CD4">
        <w:rPr>
          <w:rFonts w:ascii="Arial" w:hAnsi="Arial" w:cs="Arial"/>
          <w:sz w:val="17"/>
          <w:szCs w:val="17"/>
        </w:rPr>
        <w:t>accessed August 20, 2020</w:t>
      </w:r>
      <w:r>
        <w:rPr>
          <w:rFonts w:ascii="Arial" w:hAnsi="Arial" w:cs="Arial"/>
          <w:sz w:val="17"/>
          <w:szCs w:val="17"/>
        </w:rPr>
        <w:t xml:space="preserve">, </w:t>
      </w:r>
      <w:r w:rsidRPr="00F53CD4">
        <w:rPr>
          <w:rFonts w:ascii="Arial" w:hAnsi="Arial" w:cs="Arial"/>
          <w:sz w:val="17"/>
          <w:szCs w:val="17"/>
        </w:rPr>
        <w:t>https://www.who.int/news-room/detail/27-04-2020-who-timeline---covid-19</w:t>
      </w:r>
      <w:r>
        <w:rPr>
          <w:rFonts w:ascii="Arial" w:hAnsi="Arial" w:cs="Arial"/>
          <w:sz w:val="17"/>
          <w:szCs w:val="17"/>
          <w:lang w:val="en-CA"/>
        </w:rPr>
        <w:t>.</w:t>
      </w:r>
    </w:p>
  </w:footnote>
  <w:footnote w:id="6">
    <w:p w14:paraId="0F10FCC5" w14:textId="0CC40DB3" w:rsidR="00A464F8" w:rsidRPr="00944BA8" w:rsidRDefault="00A464F8" w:rsidP="00F53CD4">
      <w:pPr>
        <w:pStyle w:val="FootnoteText"/>
        <w:jc w:val="both"/>
        <w:rPr>
          <w:rFonts w:ascii="Arial" w:hAnsi="Arial" w:cs="Arial"/>
          <w:sz w:val="17"/>
          <w:szCs w:val="17"/>
          <w:lang w:val="en-CA"/>
        </w:rPr>
      </w:pPr>
      <w:r w:rsidRPr="00F53CD4">
        <w:rPr>
          <w:rStyle w:val="FootnoteReference"/>
          <w:rFonts w:ascii="Arial" w:hAnsi="Arial" w:cs="Arial"/>
          <w:sz w:val="17"/>
          <w:szCs w:val="17"/>
        </w:rPr>
        <w:footnoteRef/>
      </w:r>
      <w:r w:rsidRPr="00F53CD4">
        <w:rPr>
          <w:rFonts w:ascii="Arial" w:hAnsi="Arial" w:cs="Arial"/>
          <w:sz w:val="17"/>
          <w:szCs w:val="17"/>
        </w:rPr>
        <w:t xml:space="preserve"> 1 </w:t>
      </w:r>
      <w:proofErr w:type="spellStart"/>
      <w:r w:rsidRPr="00F53CD4">
        <w:rPr>
          <w:rFonts w:ascii="Arial" w:hAnsi="Arial" w:cs="Arial"/>
          <w:sz w:val="17"/>
          <w:szCs w:val="17"/>
        </w:rPr>
        <w:t>tonne</w:t>
      </w:r>
      <w:proofErr w:type="spellEnd"/>
      <w:r w:rsidRPr="00F53CD4">
        <w:rPr>
          <w:rFonts w:ascii="Arial" w:hAnsi="Arial" w:cs="Arial"/>
          <w:sz w:val="17"/>
          <w:szCs w:val="17"/>
        </w:rPr>
        <w:t xml:space="preserve"> = </w:t>
      </w:r>
      <w:r>
        <w:rPr>
          <w:rFonts w:ascii="Arial" w:hAnsi="Arial" w:cs="Arial"/>
          <w:sz w:val="17"/>
          <w:szCs w:val="17"/>
        </w:rPr>
        <w:t xml:space="preserve">1,000 kilograms, or </w:t>
      </w:r>
      <w:r w:rsidRPr="00F53CD4">
        <w:rPr>
          <w:rFonts w:ascii="Arial" w:hAnsi="Arial" w:cs="Arial"/>
          <w:sz w:val="17"/>
          <w:szCs w:val="17"/>
        </w:rPr>
        <w:t>2,205 pounds</w:t>
      </w:r>
      <w:r>
        <w:rPr>
          <w:rFonts w:ascii="Arial" w:hAnsi="Arial" w:cs="Arial"/>
          <w:sz w:val="17"/>
          <w:szCs w:val="17"/>
          <w:lang w:val="en-CA"/>
        </w:rPr>
        <w:t>.</w:t>
      </w:r>
    </w:p>
  </w:footnote>
  <w:footnote w:id="7">
    <w:p w14:paraId="19BDBD67" w14:textId="659370BD" w:rsidR="00A464F8" w:rsidRPr="00F53CD4" w:rsidRDefault="00A464F8" w:rsidP="00F53CD4">
      <w:pPr>
        <w:pStyle w:val="FootnoteText"/>
        <w:jc w:val="both"/>
        <w:rPr>
          <w:rFonts w:ascii="Arial" w:hAnsi="Arial" w:cs="Arial"/>
          <w:sz w:val="17"/>
          <w:szCs w:val="17"/>
        </w:rPr>
      </w:pPr>
      <w:r w:rsidRPr="00F53CD4">
        <w:rPr>
          <w:rStyle w:val="FootnoteReference"/>
          <w:rFonts w:ascii="Arial" w:hAnsi="Arial" w:cs="Arial"/>
          <w:sz w:val="17"/>
          <w:szCs w:val="17"/>
        </w:rPr>
        <w:footnoteRef/>
      </w:r>
      <w:r w:rsidRPr="00F53CD4">
        <w:rPr>
          <w:rFonts w:ascii="Arial" w:hAnsi="Arial" w:cs="Arial"/>
          <w:sz w:val="17"/>
          <w:szCs w:val="17"/>
        </w:rPr>
        <w:t xml:space="preserve"> Capital costs represent</w:t>
      </w:r>
      <w:r>
        <w:rPr>
          <w:rFonts w:ascii="Arial" w:hAnsi="Arial" w:cs="Arial"/>
          <w:sz w:val="17"/>
          <w:szCs w:val="17"/>
        </w:rPr>
        <w:t>ed</w:t>
      </w:r>
      <w:r w:rsidRPr="00F53CD4">
        <w:rPr>
          <w:rFonts w:ascii="Arial" w:hAnsi="Arial" w:cs="Arial"/>
          <w:sz w:val="17"/>
          <w:szCs w:val="17"/>
        </w:rPr>
        <w:t xml:space="preserve"> investment from </w:t>
      </w:r>
      <w:proofErr w:type="spellStart"/>
      <w:r w:rsidRPr="00F53CD4">
        <w:rPr>
          <w:rFonts w:ascii="Arial" w:hAnsi="Arial" w:cs="Arial"/>
          <w:sz w:val="17"/>
          <w:szCs w:val="17"/>
        </w:rPr>
        <w:t>Medicom</w:t>
      </w:r>
      <w:proofErr w:type="spellEnd"/>
      <w:r w:rsidRPr="00F53CD4">
        <w:rPr>
          <w:rFonts w:ascii="Arial" w:hAnsi="Arial" w:cs="Arial"/>
          <w:sz w:val="17"/>
          <w:szCs w:val="17"/>
        </w:rPr>
        <w:t xml:space="preserve"> after government subsidies.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142A06D" w:rsidR="00A464F8" w:rsidRPr="00C92CC4" w:rsidRDefault="00A464F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A237F6">
      <w:rPr>
        <w:rFonts w:ascii="Arial" w:hAnsi="Arial"/>
        <w:b/>
      </w:rPr>
      <w:t>9B21D011</w:t>
    </w:r>
  </w:p>
  <w:p w14:paraId="2B53C0A0" w14:textId="77777777" w:rsidR="00A464F8" w:rsidRDefault="00A464F8" w:rsidP="00D13667">
    <w:pPr>
      <w:pStyle w:val="Header"/>
      <w:tabs>
        <w:tab w:val="clear" w:pos="4680"/>
      </w:tabs>
      <w:rPr>
        <w:sz w:val="18"/>
        <w:szCs w:val="18"/>
      </w:rPr>
    </w:pPr>
  </w:p>
  <w:p w14:paraId="47119730" w14:textId="77777777" w:rsidR="00A464F8" w:rsidRPr="00C92CC4" w:rsidRDefault="00A464F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6CFB"/>
    <w:multiLevelType w:val="hybridMultilevel"/>
    <w:tmpl w:val="745EB8B6"/>
    <w:lvl w:ilvl="0" w:tplc="5C720B8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9E1E41"/>
    <w:multiLevelType w:val="hybridMultilevel"/>
    <w:tmpl w:val="EB7A567E"/>
    <w:lvl w:ilvl="0" w:tplc="5C720B88">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1"/>
  </w:num>
  <w:num w:numId="5">
    <w:abstractNumId w:val="5"/>
  </w:num>
  <w:num w:numId="6">
    <w:abstractNumId w:val="9"/>
  </w:num>
  <w:num w:numId="7">
    <w:abstractNumId w:val="1"/>
  </w:num>
  <w:num w:numId="8">
    <w:abstractNumId w:val="13"/>
  </w:num>
  <w:num w:numId="9">
    <w:abstractNumId w:val="10"/>
  </w:num>
  <w:num w:numId="10">
    <w:abstractNumId w:val="2"/>
  </w:num>
  <w:num w:numId="11">
    <w:abstractNumId w:val="7"/>
  </w:num>
  <w:num w:numId="12">
    <w:abstractNumId w:val="8"/>
  </w:num>
  <w:num w:numId="13">
    <w:abstractNumId w:val="3"/>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5427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1ED5"/>
    <w:rsid w:val="00024ED4"/>
    <w:rsid w:val="00025DC7"/>
    <w:rsid w:val="000307A3"/>
    <w:rsid w:val="0003243C"/>
    <w:rsid w:val="00035609"/>
    <w:rsid w:val="00035F09"/>
    <w:rsid w:val="00044ECC"/>
    <w:rsid w:val="000531D3"/>
    <w:rsid w:val="00055DBA"/>
    <w:rsid w:val="0005646B"/>
    <w:rsid w:val="000615D1"/>
    <w:rsid w:val="0008102D"/>
    <w:rsid w:val="00086B26"/>
    <w:rsid w:val="00094011"/>
    <w:rsid w:val="00094C0E"/>
    <w:rsid w:val="000A146D"/>
    <w:rsid w:val="000A647A"/>
    <w:rsid w:val="000A7A8A"/>
    <w:rsid w:val="000B2D51"/>
    <w:rsid w:val="000B59C8"/>
    <w:rsid w:val="000C3BF2"/>
    <w:rsid w:val="000D2A2F"/>
    <w:rsid w:val="000D7091"/>
    <w:rsid w:val="000F0C22"/>
    <w:rsid w:val="000F6B09"/>
    <w:rsid w:val="000F6FDC"/>
    <w:rsid w:val="00102947"/>
    <w:rsid w:val="00104567"/>
    <w:rsid w:val="00104916"/>
    <w:rsid w:val="00104AA7"/>
    <w:rsid w:val="00111412"/>
    <w:rsid w:val="00112AE3"/>
    <w:rsid w:val="0012732D"/>
    <w:rsid w:val="00136B80"/>
    <w:rsid w:val="001416FB"/>
    <w:rsid w:val="00143F25"/>
    <w:rsid w:val="00152682"/>
    <w:rsid w:val="00154FC9"/>
    <w:rsid w:val="001901C0"/>
    <w:rsid w:val="0019241A"/>
    <w:rsid w:val="00192A18"/>
    <w:rsid w:val="001A22D1"/>
    <w:rsid w:val="001A752D"/>
    <w:rsid w:val="001A757E"/>
    <w:rsid w:val="001B5032"/>
    <w:rsid w:val="001C7777"/>
    <w:rsid w:val="001D344B"/>
    <w:rsid w:val="001E1630"/>
    <w:rsid w:val="001E1AE9"/>
    <w:rsid w:val="001E364F"/>
    <w:rsid w:val="001F3235"/>
    <w:rsid w:val="001F4222"/>
    <w:rsid w:val="00203AA1"/>
    <w:rsid w:val="00211CC7"/>
    <w:rsid w:val="00213E98"/>
    <w:rsid w:val="00230150"/>
    <w:rsid w:val="0023081A"/>
    <w:rsid w:val="00233111"/>
    <w:rsid w:val="00242EE3"/>
    <w:rsid w:val="0024318A"/>
    <w:rsid w:val="00250B17"/>
    <w:rsid w:val="00257785"/>
    <w:rsid w:val="00265FA8"/>
    <w:rsid w:val="00267E45"/>
    <w:rsid w:val="00286AF9"/>
    <w:rsid w:val="002A227D"/>
    <w:rsid w:val="002B25DC"/>
    <w:rsid w:val="002B40FF"/>
    <w:rsid w:val="002C1208"/>
    <w:rsid w:val="002C4E29"/>
    <w:rsid w:val="002D2FBA"/>
    <w:rsid w:val="002E205C"/>
    <w:rsid w:val="002F460C"/>
    <w:rsid w:val="002F48D6"/>
    <w:rsid w:val="00316F66"/>
    <w:rsid w:val="00317391"/>
    <w:rsid w:val="00321D0F"/>
    <w:rsid w:val="00326216"/>
    <w:rsid w:val="003339D9"/>
    <w:rsid w:val="00336580"/>
    <w:rsid w:val="00354899"/>
    <w:rsid w:val="00355FD6"/>
    <w:rsid w:val="00364A5C"/>
    <w:rsid w:val="00373FB1"/>
    <w:rsid w:val="00374251"/>
    <w:rsid w:val="00396C76"/>
    <w:rsid w:val="003A3A58"/>
    <w:rsid w:val="003B30D8"/>
    <w:rsid w:val="003B7EF2"/>
    <w:rsid w:val="003C3FA4"/>
    <w:rsid w:val="003D0BA1"/>
    <w:rsid w:val="003F2B0C"/>
    <w:rsid w:val="00404184"/>
    <w:rsid w:val="0040772E"/>
    <w:rsid w:val="004105B2"/>
    <w:rsid w:val="0041145A"/>
    <w:rsid w:val="004124BA"/>
    <w:rsid w:val="00412900"/>
    <w:rsid w:val="004221E4"/>
    <w:rsid w:val="004273F8"/>
    <w:rsid w:val="004355A3"/>
    <w:rsid w:val="00446546"/>
    <w:rsid w:val="004508B8"/>
    <w:rsid w:val="00452769"/>
    <w:rsid w:val="00454FA7"/>
    <w:rsid w:val="00465348"/>
    <w:rsid w:val="00476539"/>
    <w:rsid w:val="0049292C"/>
    <w:rsid w:val="00497549"/>
    <w:rsid w:val="004979A5"/>
    <w:rsid w:val="004A25E0"/>
    <w:rsid w:val="004B1CCB"/>
    <w:rsid w:val="004B632F"/>
    <w:rsid w:val="004B67DF"/>
    <w:rsid w:val="004D3FB1"/>
    <w:rsid w:val="004D6F21"/>
    <w:rsid w:val="004D73A5"/>
    <w:rsid w:val="004F711D"/>
    <w:rsid w:val="0050543D"/>
    <w:rsid w:val="005160F1"/>
    <w:rsid w:val="00524F2F"/>
    <w:rsid w:val="00527E5C"/>
    <w:rsid w:val="00532CF5"/>
    <w:rsid w:val="00547C3C"/>
    <w:rsid w:val="005528CB"/>
    <w:rsid w:val="00566771"/>
    <w:rsid w:val="00581E2E"/>
    <w:rsid w:val="00584F15"/>
    <w:rsid w:val="00591D87"/>
    <w:rsid w:val="0059514B"/>
    <w:rsid w:val="0059515E"/>
    <w:rsid w:val="00596274"/>
    <w:rsid w:val="005A0E92"/>
    <w:rsid w:val="005A1B0F"/>
    <w:rsid w:val="005A25D9"/>
    <w:rsid w:val="005B4CE6"/>
    <w:rsid w:val="005B5EFE"/>
    <w:rsid w:val="005C0AD9"/>
    <w:rsid w:val="005D38D7"/>
    <w:rsid w:val="005E1CC8"/>
    <w:rsid w:val="005F4660"/>
    <w:rsid w:val="005F7757"/>
    <w:rsid w:val="00604587"/>
    <w:rsid w:val="00605009"/>
    <w:rsid w:val="006163F7"/>
    <w:rsid w:val="00627C63"/>
    <w:rsid w:val="0063350B"/>
    <w:rsid w:val="00652606"/>
    <w:rsid w:val="006749DD"/>
    <w:rsid w:val="00674DA0"/>
    <w:rsid w:val="00693633"/>
    <w:rsid w:val="006946EE"/>
    <w:rsid w:val="00697F89"/>
    <w:rsid w:val="006A58A9"/>
    <w:rsid w:val="006A606D"/>
    <w:rsid w:val="006C0371"/>
    <w:rsid w:val="006C08B6"/>
    <w:rsid w:val="006C0B1A"/>
    <w:rsid w:val="006C6065"/>
    <w:rsid w:val="006C7F9F"/>
    <w:rsid w:val="006E2F6D"/>
    <w:rsid w:val="006E58F6"/>
    <w:rsid w:val="006E77E1"/>
    <w:rsid w:val="006F131D"/>
    <w:rsid w:val="00711642"/>
    <w:rsid w:val="007355B7"/>
    <w:rsid w:val="00750136"/>
    <w:rsid w:val="007507C6"/>
    <w:rsid w:val="00751E0B"/>
    <w:rsid w:val="00752BCD"/>
    <w:rsid w:val="007603A9"/>
    <w:rsid w:val="00766DA1"/>
    <w:rsid w:val="00775F43"/>
    <w:rsid w:val="00780D94"/>
    <w:rsid w:val="007866A6"/>
    <w:rsid w:val="007928BB"/>
    <w:rsid w:val="007A130D"/>
    <w:rsid w:val="007D1A2D"/>
    <w:rsid w:val="007D32E6"/>
    <w:rsid w:val="007D374B"/>
    <w:rsid w:val="007D4102"/>
    <w:rsid w:val="007E54A7"/>
    <w:rsid w:val="007F43B7"/>
    <w:rsid w:val="00821FFC"/>
    <w:rsid w:val="008271CA"/>
    <w:rsid w:val="00841CCE"/>
    <w:rsid w:val="008452D2"/>
    <w:rsid w:val="008467D5"/>
    <w:rsid w:val="008549B5"/>
    <w:rsid w:val="00862772"/>
    <w:rsid w:val="00864DB5"/>
    <w:rsid w:val="008A4DC4"/>
    <w:rsid w:val="008B438C"/>
    <w:rsid w:val="008C0A3E"/>
    <w:rsid w:val="008C7E64"/>
    <w:rsid w:val="008D06CA"/>
    <w:rsid w:val="008D3A46"/>
    <w:rsid w:val="008E37E8"/>
    <w:rsid w:val="008F2385"/>
    <w:rsid w:val="00905DD7"/>
    <w:rsid w:val="009067A4"/>
    <w:rsid w:val="00907E0E"/>
    <w:rsid w:val="009170B7"/>
    <w:rsid w:val="00930885"/>
    <w:rsid w:val="00933D68"/>
    <w:rsid w:val="009340DB"/>
    <w:rsid w:val="00935196"/>
    <w:rsid w:val="0094391A"/>
    <w:rsid w:val="00944BA8"/>
    <w:rsid w:val="0094618C"/>
    <w:rsid w:val="00946280"/>
    <w:rsid w:val="00947422"/>
    <w:rsid w:val="0095684B"/>
    <w:rsid w:val="00957692"/>
    <w:rsid w:val="00960675"/>
    <w:rsid w:val="009646A5"/>
    <w:rsid w:val="009713E3"/>
    <w:rsid w:val="00972498"/>
    <w:rsid w:val="0097481F"/>
    <w:rsid w:val="00974CC6"/>
    <w:rsid w:val="00976AD4"/>
    <w:rsid w:val="00995547"/>
    <w:rsid w:val="009A312F"/>
    <w:rsid w:val="009A5348"/>
    <w:rsid w:val="009B0AB7"/>
    <w:rsid w:val="009C76D5"/>
    <w:rsid w:val="009E29B7"/>
    <w:rsid w:val="009F4C86"/>
    <w:rsid w:val="009F4CDB"/>
    <w:rsid w:val="009F7AA4"/>
    <w:rsid w:val="00A07221"/>
    <w:rsid w:val="00A10AD7"/>
    <w:rsid w:val="00A237F6"/>
    <w:rsid w:val="00A323B0"/>
    <w:rsid w:val="00A33521"/>
    <w:rsid w:val="00A464F8"/>
    <w:rsid w:val="00A46E3D"/>
    <w:rsid w:val="00A559DB"/>
    <w:rsid w:val="00A5619F"/>
    <w:rsid w:val="00A569EA"/>
    <w:rsid w:val="00A676A0"/>
    <w:rsid w:val="00A91263"/>
    <w:rsid w:val="00A9134D"/>
    <w:rsid w:val="00AA09F3"/>
    <w:rsid w:val="00AB59F8"/>
    <w:rsid w:val="00AC2A88"/>
    <w:rsid w:val="00AC66F1"/>
    <w:rsid w:val="00AF35FC"/>
    <w:rsid w:val="00AF47E0"/>
    <w:rsid w:val="00AF5556"/>
    <w:rsid w:val="00B03639"/>
    <w:rsid w:val="00B03E2E"/>
    <w:rsid w:val="00B0652A"/>
    <w:rsid w:val="00B10BA1"/>
    <w:rsid w:val="00B40937"/>
    <w:rsid w:val="00B423EF"/>
    <w:rsid w:val="00B453DE"/>
    <w:rsid w:val="00B54F3E"/>
    <w:rsid w:val="00B60126"/>
    <w:rsid w:val="00B62497"/>
    <w:rsid w:val="00B72597"/>
    <w:rsid w:val="00B87DC0"/>
    <w:rsid w:val="00B901F9"/>
    <w:rsid w:val="00B97CEE"/>
    <w:rsid w:val="00BA1053"/>
    <w:rsid w:val="00BB4ADA"/>
    <w:rsid w:val="00BC4D98"/>
    <w:rsid w:val="00BD03BC"/>
    <w:rsid w:val="00BD6EFB"/>
    <w:rsid w:val="00BE3DF5"/>
    <w:rsid w:val="00BF5EAB"/>
    <w:rsid w:val="00C02410"/>
    <w:rsid w:val="00C03CE2"/>
    <w:rsid w:val="00C14730"/>
    <w:rsid w:val="00C1584D"/>
    <w:rsid w:val="00C15BE2"/>
    <w:rsid w:val="00C21790"/>
    <w:rsid w:val="00C270FA"/>
    <w:rsid w:val="00C325EC"/>
    <w:rsid w:val="00C3447F"/>
    <w:rsid w:val="00C44714"/>
    <w:rsid w:val="00C67102"/>
    <w:rsid w:val="00C81491"/>
    <w:rsid w:val="00C81676"/>
    <w:rsid w:val="00C85C5D"/>
    <w:rsid w:val="00C92CC4"/>
    <w:rsid w:val="00CA0AFB"/>
    <w:rsid w:val="00CA2CE1"/>
    <w:rsid w:val="00CA3976"/>
    <w:rsid w:val="00CA50E3"/>
    <w:rsid w:val="00CA757B"/>
    <w:rsid w:val="00CB1FF9"/>
    <w:rsid w:val="00CC1787"/>
    <w:rsid w:val="00CC182C"/>
    <w:rsid w:val="00CC7518"/>
    <w:rsid w:val="00CC7C9B"/>
    <w:rsid w:val="00CD0824"/>
    <w:rsid w:val="00CD2908"/>
    <w:rsid w:val="00CD4C9E"/>
    <w:rsid w:val="00CF332E"/>
    <w:rsid w:val="00D03A82"/>
    <w:rsid w:val="00D13667"/>
    <w:rsid w:val="00D15344"/>
    <w:rsid w:val="00D22054"/>
    <w:rsid w:val="00D23F57"/>
    <w:rsid w:val="00D27F38"/>
    <w:rsid w:val="00D31BEC"/>
    <w:rsid w:val="00D36766"/>
    <w:rsid w:val="00D45199"/>
    <w:rsid w:val="00D54169"/>
    <w:rsid w:val="00D63150"/>
    <w:rsid w:val="00D636BA"/>
    <w:rsid w:val="00D64A32"/>
    <w:rsid w:val="00D64EFC"/>
    <w:rsid w:val="00D665D9"/>
    <w:rsid w:val="00D75295"/>
    <w:rsid w:val="00D76CE9"/>
    <w:rsid w:val="00D97F12"/>
    <w:rsid w:val="00DA5C10"/>
    <w:rsid w:val="00DA6095"/>
    <w:rsid w:val="00DB1690"/>
    <w:rsid w:val="00DB42E7"/>
    <w:rsid w:val="00DB5C79"/>
    <w:rsid w:val="00DC0550"/>
    <w:rsid w:val="00DC09D8"/>
    <w:rsid w:val="00DD527C"/>
    <w:rsid w:val="00DE01A6"/>
    <w:rsid w:val="00DE7A98"/>
    <w:rsid w:val="00DF32C2"/>
    <w:rsid w:val="00DF74D8"/>
    <w:rsid w:val="00E2298A"/>
    <w:rsid w:val="00E326B4"/>
    <w:rsid w:val="00E471A7"/>
    <w:rsid w:val="00E5126E"/>
    <w:rsid w:val="00E635CF"/>
    <w:rsid w:val="00E6782C"/>
    <w:rsid w:val="00E7157E"/>
    <w:rsid w:val="00E839B7"/>
    <w:rsid w:val="00EB1E3B"/>
    <w:rsid w:val="00EC6008"/>
    <w:rsid w:val="00EC6E0A"/>
    <w:rsid w:val="00ED4E18"/>
    <w:rsid w:val="00ED7922"/>
    <w:rsid w:val="00EE02C4"/>
    <w:rsid w:val="00EE1F37"/>
    <w:rsid w:val="00EE4001"/>
    <w:rsid w:val="00EE538F"/>
    <w:rsid w:val="00EE6223"/>
    <w:rsid w:val="00EE72F8"/>
    <w:rsid w:val="00F0159C"/>
    <w:rsid w:val="00F105B7"/>
    <w:rsid w:val="00F13220"/>
    <w:rsid w:val="00F17A21"/>
    <w:rsid w:val="00F24435"/>
    <w:rsid w:val="00F36FC2"/>
    <w:rsid w:val="00F37B27"/>
    <w:rsid w:val="00F46556"/>
    <w:rsid w:val="00F50E91"/>
    <w:rsid w:val="00F53CD4"/>
    <w:rsid w:val="00F56799"/>
    <w:rsid w:val="00F57D29"/>
    <w:rsid w:val="00F60786"/>
    <w:rsid w:val="00F75924"/>
    <w:rsid w:val="00F91BC7"/>
    <w:rsid w:val="00F96201"/>
    <w:rsid w:val="00FA1BBC"/>
    <w:rsid w:val="00FB7B04"/>
    <w:rsid w:val="00FD0B18"/>
    <w:rsid w:val="00FD2FAD"/>
    <w:rsid w:val="00FE714F"/>
    <w:rsid w:val="00FF2035"/>
    <w:rsid w:val="00FF7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paragraph" w:customStyle="1" w:styleId="xmsonormal">
    <w:name w:val="x_msonormal"/>
    <w:basedOn w:val="Normal"/>
    <w:rsid w:val="00605009"/>
    <w:pPr>
      <w:spacing w:before="100" w:beforeAutospacing="1" w:after="100" w:afterAutospacing="1"/>
    </w:pPr>
    <w:rPr>
      <w:sz w:val="24"/>
      <w:szCs w:val="24"/>
      <w:lang w:val="en-CA" w:eastAsia="en-CA"/>
    </w:rPr>
  </w:style>
  <w:style w:type="table" w:customStyle="1" w:styleId="TableGrid1">
    <w:name w:val="Table Grid1"/>
    <w:basedOn w:val="TableNormal"/>
    <w:next w:val="TableGrid"/>
    <w:uiPriority w:val="39"/>
    <w:rsid w:val="00944BA8"/>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44BA8"/>
    <w:pPr>
      <w:spacing w:after="0" w:line="240" w:lineRule="auto"/>
      <w:jc w:val="both"/>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C7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9BF9104-63BF-4C55-B59A-330828B3E91A}">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CE19B-E8B2-4706-99E2-418ADA43D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10</Pages>
  <Words>3629</Words>
  <Characters>20690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Alex Bojmelgrin</cp:lastModifiedBy>
  <cp:revision>6</cp:revision>
  <cp:lastPrinted>2021-06-25T15:39:00Z</cp:lastPrinted>
  <dcterms:created xsi:type="dcterms:W3CDTF">2021-06-25T15:29:00Z</dcterms:created>
  <dcterms:modified xsi:type="dcterms:W3CDTF">2021-08-25T17:53:00Z</dcterms:modified>
</cp:coreProperties>
</file>