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4C06D" w14:textId="77777777" w:rsidR="001614C2" w:rsidRDefault="001614C2" w:rsidP="001614C2">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6F34A74B" wp14:editId="1E3B2656">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A6CDDE" w14:textId="22EE3E4F" w:rsidR="001614C2" w:rsidRDefault="001614C2" w:rsidP="001614C2">
      <w:pPr>
        <w:pStyle w:val="ProductNumber"/>
      </w:pPr>
      <w:r>
        <w:t>9B21E011</w:t>
      </w:r>
    </w:p>
    <w:p w14:paraId="0E8DEFD9" w14:textId="77777777" w:rsidR="00AA54EA" w:rsidRPr="001614C2" w:rsidRDefault="00AA54EA" w:rsidP="00AA54EA">
      <w:pPr>
        <w:jc w:val="right"/>
        <w:rPr>
          <w:rFonts w:ascii="Arial" w:hAnsi="Arial"/>
          <w:b/>
          <w:lang w:val="en-GB"/>
        </w:rPr>
      </w:pPr>
    </w:p>
    <w:p w14:paraId="76372229" w14:textId="77777777" w:rsidR="004D25A2" w:rsidRPr="001614C2" w:rsidRDefault="004D25A2" w:rsidP="00037616">
      <w:pPr>
        <w:jc w:val="right"/>
        <w:rPr>
          <w:rFonts w:ascii="Arial" w:hAnsi="Arial"/>
          <w:b/>
          <w:lang w:val="en-GB"/>
        </w:rPr>
      </w:pPr>
    </w:p>
    <w:p w14:paraId="3C2676EE" w14:textId="77777777" w:rsidR="00D75295" w:rsidRPr="003D50F8" w:rsidRDefault="00037616" w:rsidP="00037616">
      <w:pPr>
        <w:pStyle w:val="CaseTitle"/>
        <w:spacing w:after="0" w:line="240" w:lineRule="auto"/>
        <w:rPr>
          <w:lang w:val="en-GB"/>
        </w:rPr>
      </w:pPr>
      <w:r w:rsidRPr="003D50F8">
        <w:rPr>
          <w:color w:val="auto"/>
          <w:lang w:val="en-GB"/>
        </w:rPr>
        <w:t>cailyn isaac: CRYPTOCURRENCIES and THE moving average strategy</w:t>
      </w:r>
    </w:p>
    <w:p w14:paraId="2AAD6200" w14:textId="77777777" w:rsidR="0022715E" w:rsidRPr="003D50F8" w:rsidRDefault="0022715E" w:rsidP="00013360">
      <w:pPr>
        <w:pStyle w:val="CaseTitle"/>
        <w:spacing w:after="0" w:line="240" w:lineRule="auto"/>
        <w:rPr>
          <w:sz w:val="20"/>
          <w:szCs w:val="20"/>
          <w:lang w:val="en-GB"/>
        </w:rPr>
      </w:pPr>
    </w:p>
    <w:p w14:paraId="58957629" w14:textId="77777777" w:rsidR="00013360" w:rsidRPr="003D50F8" w:rsidRDefault="00013360" w:rsidP="00013360">
      <w:pPr>
        <w:pStyle w:val="CaseTitle"/>
        <w:spacing w:after="0" w:line="240" w:lineRule="auto"/>
        <w:rPr>
          <w:sz w:val="20"/>
          <w:szCs w:val="20"/>
          <w:lang w:val="en-GB"/>
        </w:rPr>
      </w:pPr>
    </w:p>
    <w:p w14:paraId="78E2ECC4" w14:textId="77777777" w:rsidR="00013360" w:rsidRPr="003D50F8" w:rsidRDefault="00037616" w:rsidP="00104567">
      <w:pPr>
        <w:pStyle w:val="StyleCopyrightStatementAfter0ptBottomSinglesolidline1"/>
        <w:rPr>
          <w:lang w:val="en-GB"/>
        </w:rPr>
      </w:pPr>
      <w:r w:rsidRPr="003D50F8">
        <w:rPr>
          <w:lang w:val="en-GB"/>
        </w:rPr>
        <w:t>Hamid Elahi and Hubert Pun</w:t>
      </w:r>
      <w:r w:rsidR="00AA54EA" w:rsidRPr="003D50F8">
        <w:rPr>
          <w:lang w:val="en-GB"/>
        </w:rPr>
        <w:t xml:space="preserve"> </w:t>
      </w:r>
      <w:r w:rsidRPr="003D50F8">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4A20E4B" w14:textId="77777777" w:rsidR="0022715E" w:rsidRPr="003D50F8" w:rsidRDefault="0022715E" w:rsidP="00104567">
      <w:pPr>
        <w:pStyle w:val="StyleCopyrightStatementAfter0ptBottomSinglesolidline1"/>
        <w:rPr>
          <w:lang w:val="en-GB"/>
        </w:rPr>
      </w:pPr>
    </w:p>
    <w:p w14:paraId="013FC1D8" w14:textId="77777777" w:rsidR="001614C2" w:rsidRPr="00A323B0" w:rsidRDefault="001614C2" w:rsidP="001614C2">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5FC2163" w14:textId="77777777" w:rsidR="001614C2" w:rsidRPr="00A323B0" w:rsidRDefault="001614C2" w:rsidP="001614C2">
      <w:pPr>
        <w:pStyle w:val="StyleStyleCopyrightStatementAfter0ptBottomSinglesolid"/>
        <w:rPr>
          <w:rFonts w:cs="Arial"/>
          <w:szCs w:val="16"/>
        </w:rPr>
      </w:pPr>
    </w:p>
    <w:p w14:paraId="6E0B4443" w14:textId="7C51785C" w:rsidR="00514795" w:rsidRPr="003D50F8" w:rsidRDefault="001614C2" w:rsidP="001614C2">
      <w:pPr>
        <w:pStyle w:val="StyleStyleCopyrightStatementAfter0ptBottomSinglesolid"/>
        <w:rPr>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2021-05-20</w:t>
      </w:r>
    </w:p>
    <w:p w14:paraId="41469F99" w14:textId="77777777" w:rsidR="00514795" w:rsidRPr="003D50F8" w:rsidRDefault="00514795" w:rsidP="00514795">
      <w:pPr>
        <w:pStyle w:val="StyleCopyrightStatementAfter0ptBottomSinglesolidline1"/>
        <w:rPr>
          <w:rFonts w:ascii="Times New Roman" w:hAnsi="Times New Roman"/>
          <w:sz w:val="20"/>
          <w:lang w:val="en-GB"/>
        </w:rPr>
      </w:pPr>
    </w:p>
    <w:p w14:paraId="4D6581BB" w14:textId="77777777" w:rsidR="00835DA5" w:rsidRPr="003D50F8" w:rsidRDefault="00835DA5" w:rsidP="00514795">
      <w:pPr>
        <w:pStyle w:val="StyleCopyrightStatementAfter0ptBottomSinglesolidline1"/>
        <w:rPr>
          <w:rFonts w:ascii="Times New Roman" w:hAnsi="Times New Roman"/>
          <w:sz w:val="20"/>
          <w:lang w:val="en-GB"/>
        </w:rPr>
      </w:pPr>
    </w:p>
    <w:p w14:paraId="4A2EB1E8" w14:textId="123066E4" w:rsidR="00037616" w:rsidRPr="003D50F8" w:rsidRDefault="00E31CE7" w:rsidP="00037616">
      <w:pPr>
        <w:pStyle w:val="BodyTextMain"/>
        <w:rPr>
          <w:lang w:val="en-GB"/>
        </w:rPr>
      </w:pPr>
      <w:r>
        <w:rPr>
          <w:lang w:val="en-GB"/>
        </w:rPr>
        <w:t>On</w:t>
      </w:r>
      <w:r w:rsidR="00037616" w:rsidRPr="003D50F8">
        <w:rPr>
          <w:lang w:val="en-GB"/>
        </w:rPr>
        <w:t xml:space="preserve"> February 11, 2021, Cailyn Isaac was looking at Bitcoin</w:t>
      </w:r>
      <w:r w:rsidR="00E01C1E">
        <w:rPr>
          <w:lang w:val="en-GB"/>
        </w:rPr>
        <w:t>’s</w:t>
      </w:r>
      <w:r w:rsidR="00037616" w:rsidRPr="003D50F8">
        <w:rPr>
          <w:lang w:val="en-GB"/>
        </w:rPr>
        <w:t xml:space="preserve"> price chart. Amazed by the high volatility of this recent currency, she was trying to find a trading strategy that would allow her to make a profit from the Bitcoin price movement. Her goal was to identify a bullish or bearish Bitcoin market so that she could decide whether to buy or sell. After much research, Isaac decided to use the moving average strategy, a popular technical analysis tool among traders.</w:t>
      </w:r>
    </w:p>
    <w:p w14:paraId="7C6BFC5A" w14:textId="77777777" w:rsidR="00037616" w:rsidRPr="003D50F8" w:rsidRDefault="00037616" w:rsidP="00037616">
      <w:pPr>
        <w:pStyle w:val="BodyTextMain"/>
        <w:rPr>
          <w:lang w:val="en-GB"/>
        </w:rPr>
      </w:pPr>
    </w:p>
    <w:p w14:paraId="55BCF830" w14:textId="77777777" w:rsidR="00037616" w:rsidRPr="003D50F8" w:rsidRDefault="00037616" w:rsidP="00037616">
      <w:pPr>
        <w:pStyle w:val="BodyTextMain"/>
        <w:rPr>
          <w:lang w:val="en-GB"/>
        </w:rPr>
      </w:pPr>
    </w:p>
    <w:p w14:paraId="4D8A2E11" w14:textId="77777777" w:rsidR="00037616" w:rsidRPr="003D50F8" w:rsidRDefault="00037616" w:rsidP="00037616">
      <w:pPr>
        <w:pStyle w:val="Casehead1"/>
        <w:rPr>
          <w:lang w:val="en-GB"/>
        </w:rPr>
      </w:pPr>
      <w:r w:rsidRPr="003D50F8">
        <w:rPr>
          <w:lang w:val="en-GB"/>
        </w:rPr>
        <w:t>bLockChain and Bitcoin: A BRIEF HISTORY</w:t>
      </w:r>
    </w:p>
    <w:p w14:paraId="491619D7" w14:textId="77777777" w:rsidR="00037616" w:rsidRPr="003D50F8" w:rsidRDefault="00037616" w:rsidP="00037616">
      <w:pPr>
        <w:pStyle w:val="BodyTextMain"/>
        <w:rPr>
          <w:lang w:val="en-GB"/>
        </w:rPr>
      </w:pPr>
    </w:p>
    <w:p w14:paraId="6FEA3ADF" w14:textId="757CF84A" w:rsidR="00037616" w:rsidRPr="006973E5" w:rsidRDefault="00037616" w:rsidP="00037616">
      <w:pPr>
        <w:pStyle w:val="BodyTextMain"/>
        <w:rPr>
          <w:spacing w:val="-2"/>
          <w:lang w:val="en-GB"/>
        </w:rPr>
      </w:pPr>
      <w:r w:rsidRPr="006973E5">
        <w:rPr>
          <w:spacing w:val="-2"/>
          <w:lang w:val="en-GB"/>
        </w:rPr>
        <w:t xml:space="preserve">Initiated in 2008 by an unknown entity called Satoshi Nakamoto, Bitcoin </w:t>
      </w:r>
      <w:r w:rsidR="00E01C1E" w:rsidRPr="006973E5">
        <w:rPr>
          <w:spacing w:val="-2"/>
          <w:lang w:val="en-GB"/>
        </w:rPr>
        <w:t xml:space="preserve">was </w:t>
      </w:r>
      <w:r w:rsidRPr="006973E5">
        <w:rPr>
          <w:spacing w:val="-2"/>
          <w:lang w:val="en-GB"/>
        </w:rPr>
        <w:t xml:space="preserve">the first decentralized cryptocurrency. In this decentralized system, transactions between two parties </w:t>
      </w:r>
      <w:r w:rsidR="00E01C1E" w:rsidRPr="006973E5">
        <w:rPr>
          <w:spacing w:val="-2"/>
          <w:lang w:val="en-GB"/>
        </w:rPr>
        <w:t xml:space="preserve">were </w:t>
      </w:r>
      <w:r w:rsidRPr="006973E5">
        <w:rPr>
          <w:spacing w:val="-2"/>
          <w:lang w:val="en-GB"/>
        </w:rPr>
        <w:t xml:space="preserve">conducted and verified across the network and then recorded in the Bitcoin blockchain. This blockchain technology </w:t>
      </w:r>
      <w:r w:rsidR="00E01C1E" w:rsidRPr="006973E5">
        <w:rPr>
          <w:spacing w:val="-2"/>
          <w:lang w:val="en-GB"/>
        </w:rPr>
        <w:t xml:space="preserve">was </w:t>
      </w:r>
      <w:r w:rsidRPr="006973E5">
        <w:rPr>
          <w:spacing w:val="-2"/>
          <w:lang w:val="en-GB"/>
        </w:rPr>
        <w:t xml:space="preserve">a self-sustaining, distributed, and decentralized ledger. </w:t>
      </w:r>
      <w:r w:rsidR="00E01C1E" w:rsidRPr="006973E5">
        <w:rPr>
          <w:spacing w:val="-2"/>
          <w:lang w:val="en-GB"/>
        </w:rPr>
        <w:t>The</w:t>
      </w:r>
      <w:r w:rsidRPr="006973E5">
        <w:rPr>
          <w:spacing w:val="-2"/>
          <w:lang w:val="en-GB"/>
        </w:rPr>
        <w:t xml:space="preserve"> blockchain </w:t>
      </w:r>
      <w:r w:rsidR="00E01C1E" w:rsidRPr="006973E5">
        <w:rPr>
          <w:spacing w:val="-2"/>
          <w:lang w:val="en-GB"/>
        </w:rPr>
        <w:t xml:space="preserve">had </w:t>
      </w:r>
      <w:r w:rsidRPr="006973E5">
        <w:rPr>
          <w:spacing w:val="-2"/>
          <w:lang w:val="en-GB"/>
        </w:rPr>
        <w:t>no central entity</w:t>
      </w:r>
      <w:r w:rsidR="00E01C1E" w:rsidRPr="006973E5">
        <w:rPr>
          <w:spacing w:val="-2"/>
          <w:lang w:val="en-GB"/>
        </w:rPr>
        <w:t>,</w:t>
      </w:r>
      <w:r w:rsidRPr="006973E5">
        <w:rPr>
          <w:spacing w:val="-2"/>
          <w:lang w:val="en-GB"/>
        </w:rPr>
        <w:t xml:space="preserve"> and all data </w:t>
      </w:r>
      <w:r w:rsidR="00E01C1E" w:rsidRPr="006973E5">
        <w:rPr>
          <w:spacing w:val="-2"/>
          <w:lang w:val="en-GB"/>
        </w:rPr>
        <w:t xml:space="preserve">were </w:t>
      </w:r>
      <w:r w:rsidRPr="006973E5">
        <w:rPr>
          <w:spacing w:val="-2"/>
          <w:lang w:val="en-GB"/>
        </w:rPr>
        <w:t xml:space="preserve">recorded and verified by an integrated set of computers. Each block in the blockchain </w:t>
      </w:r>
      <w:r w:rsidR="00E01C1E" w:rsidRPr="006973E5">
        <w:rPr>
          <w:spacing w:val="-2"/>
          <w:lang w:val="en-GB"/>
        </w:rPr>
        <w:t xml:space="preserve">resembled </w:t>
      </w:r>
      <w:r w:rsidRPr="006973E5">
        <w:rPr>
          <w:spacing w:val="-2"/>
          <w:lang w:val="en-GB"/>
        </w:rPr>
        <w:t xml:space="preserve">a page in the ledger. The header of </w:t>
      </w:r>
      <w:r w:rsidR="00E01C1E" w:rsidRPr="006973E5">
        <w:rPr>
          <w:spacing w:val="-2"/>
          <w:lang w:val="en-GB"/>
        </w:rPr>
        <w:t xml:space="preserve">each </w:t>
      </w:r>
      <w:r w:rsidRPr="006973E5">
        <w:rPr>
          <w:spacing w:val="-2"/>
          <w:lang w:val="en-GB"/>
        </w:rPr>
        <w:t xml:space="preserve">new block </w:t>
      </w:r>
      <w:r w:rsidR="00E01C1E" w:rsidRPr="006973E5">
        <w:rPr>
          <w:spacing w:val="-2"/>
          <w:lang w:val="en-GB"/>
        </w:rPr>
        <w:t xml:space="preserve">referred </w:t>
      </w:r>
      <w:r w:rsidRPr="006973E5">
        <w:rPr>
          <w:spacing w:val="-2"/>
          <w:lang w:val="en-GB"/>
        </w:rPr>
        <w:t xml:space="preserve">to the footer of the previous block, thereby forming a chain of blocks. Blocks </w:t>
      </w:r>
      <w:r w:rsidR="00E01C1E" w:rsidRPr="006973E5">
        <w:rPr>
          <w:spacing w:val="-2"/>
          <w:lang w:val="en-GB"/>
        </w:rPr>
        <w:t xml:space="preserve">were </w:t>
      </w:r>
      <w:r w:rsidRPr="006973E5">
        <w:rPr>
          <w:spacing w:val="-2"/>
          <w:lang w:val="en-GB"/>
        </w:rPr>
        <w:t xml:space="preserve">connected using a cryptographic function called a “hash function,” which </w:t>
      </w:r>
      <w:r w:rsidR="00E01C1E" w:rsidRPr="006973E5">
        <w:rPr>
          <w:spacing w:val="-2"/>
          <w:lang w:val="en-GB"/>
        </w:rPr>
        <w:t xml:space="preserve">was </w:t>
      </w:r>
      <w:r w:rsidRPr="006973E5">
        <w:rPr>
          <w:spacing w:val="-2"/>
          <w:lang w:val="en-GB"/>
        </w:rPr>
        <w:t>related to the content of the block. Hash functions convert</w:t>
      </w:r>
      <w:r w:rsidR="00E01C1E" w:rsidRPr="006973E5">
        <w:rPr>
          <w:spacing w:val="-2"/>
          <w:lang w:val="en-GB"/>
        </w:rPr>
        <w:t>ed</w:t>
      </w:r>
      <w:r w:rsidRPr="006973E5">
        <w:rPr>
          <w:spacing w:val="-2"/>
          <w:lang w:val="en-GB"/>
        </w:rPr>
        <w:t xml:space="preserve"> a large amount of data into a fixed-length number (i.e., </w:t>
      </w:r>
      <w:r w:rsidR="00E01C1E" w:rsidRPr="006973E5">
        <w:rPr>
          <w:spacing w:val="-2"/>
          <w:lang w:val="en-GB"/>
        </w:rPr>
        <w:t xml:space="preserve">a </w:t>
      </w:r>
      <w:r w:rsidRPr="006973E5">
        <w:rPr>
          <w:spacing w:val="-2"/>
          <w:lang w:val="en-GB"/>
        </w:rPr>
        <w:t xml:space="preserve">hash). Since the hash of the previous block </w:t>
      </w:r>
      <w:r w:rsidR="00E01C1E" w:rsidRPr="006973E5">
        <w:rPr>
          <w:spacing w:val="-2"/>
          <w:lang w:val="en-GB"/>
        </w:rPr>
        <w:t xml:space="preserve">was </w:t>
      </w:r>
      <w:r w:rsidRPr="006973E5">
        <w:rPr>
          <w:spacing w:val="-2"/>
          <w:lang w:val="en-GB"/>
        </w:rPr>
        <w:t xml:space="preserve">incorporated into the description of the </w:t>
      </w:r>
      <w:r w:rsidR="005000D1" w:rsidRPr="006973E5">
        <w:rPr>
          <w:spacing w:val="-2"/>
          <w:lang w:val="en-GB"/>
        </w:rPr>
        <w:t xml:space="preserve">block </w:t>
      </w:r>
      <w:r w:rsidRPr="006973E5">
        <w:rPr>
          <w:spacing w:val="-2"/>
          <w:lang w:val="en-GB"/>
        </w:rPr>
        <w:t xml:space="preserve">that </w:t>
      </w:r>
      <w:r w:rsidR="00E01C1E" w:rsidRPr="006973E5">
        <w:rPr>
          <w:spacing w:val="-2"/>
          <w:lang w:val="en-GB"/>
        </w:rPr>
        <w:t>followed</w:t>
      </w:r>
      <w:r w:rsidRPr="006973E5">
        <w:rPr>
          <w:spacing w:val="-2"/>
          <w:lang w:val="en-GB"/>
        </w:rPr>
        <w:t xml:space="preserve">, blockchains </w:t>
      </w:r>
      <w:r w:rsidR="00E01C1E" w:rsidRPr="006973E5">
        <w:rPr>
          <w:spacing w:val="-2"/>
          <w:lang w:val="en-GB"/>
        </w:rPr>
        <w:t xml:space="preserve">were </w:t>
      </w:r>
      <w:r w:rsidRPr="006973E5">
        <w:rPr>
          <w:spacing w:val="-2"/>
          <w:lang w:val="en-GB"/>
        </w:rPr>
        <w:t xml:space="preserve">immutable. Changing the content in any way </w:t>
      </w:r>
      <w:r w:rsidR="00E01C1E" w:rsidRPr="006973E5">
        <w:rPr>
          <w:spacing w:val="-2"/>
          <w:lang w:val="en-GB"/>
        </w:rPr>
        <w:t xml:space="preserve">required </w:t>
      </w:r>
      <w:r w:rsidRPr="006973E5">
        <w:rPr>
          <w:spacing w:val="-2"/>
          <w:lang w:val="en-GB"/>
        </w:rPr>
        <w:t>rebuilding all of the links that connect</w:t>
      </w:r>
      <w:r w:rsidR="00E01C1E" w:rsidRPr="006973E5">
        <w:rPr>
          <w:spacing w:val="-2"/>
          <w:lang w:val="en-GB"/>
        </w:rPr>
        <w:t>ed</w:t>
      </w:r>
      <w:r w:rsidRPr="006973E5">
        <w:rPr>
          <w:spacing w:val="-2"/>
          <w:lang w:val="en-GB"/>
        </w:rPr>
        <w:t xml:space="preserve"> the blocks, which </w:t>
      </w:r>
      <w:r w:rsidR="00E01C1E" w:rsidRPr="006973E5">
        <w:rPr>
          <w:spacing w:val="-2"/>
          <w:lang w:val="en-GB"/>
        </w:rPr>
        <w:t xml:space="preserve">was </w:t>
      </w:r>
      <w:r w:rsidRPr="006973E5">
        <w:rPr>
          <w:spacing w:val="-2"/>
          <w:lang w:val="en-GB"/>
        </w:rPr>
        <w:t xml:space="preserve">virtually impossible. This design </w:t>
      </w:r>
      <w:r w:rsidR="00E01C1E" w:rsidRPr="006973E5">
        <w:rPr>
          <w:spacing w:val="-2"/>
          <w:lang w:val="en-GB"/>
        </w:rPr>
        <w:t xml:space="preserve">made </w:t>
      </w:r>
      <w:r w:rsidRPr="006973E5">
        <w:rPr>
          <w:spacing w:val="-2"/>
          <w:lang w:val="en-GB"/>
        </w:rPr>
        <w:t>the technology extremely secure.</w:t>
      </w:r>
      <w:r w:rsidRPr="006973E5">
        <w:rPr>
          <w:rStyle w:val="FootnoteReference"/>
          <w:spacing w:val="-2"/>
          <w:lang w:val="en-GB"/>
        </w:rPr>
        <w:footnoteReference w:id="1"/>
      </w:r>
    </w:p>
    <w:p w14:paraId="07E18130" w14:textId="77777777" w:rsidR="00037616" w:rsidRPr="003D50F8" w:rsidRDefault="00037616" w:rsidP="00037616">
      <w:pPr>
        <w:pStyle w:val="BodyTextMain"/>
        <w:rPr>
          <w:b/>
          <w:caps/>
          <w:lang w:val="en-GB"/>
        </w:rPr>
      </w:pPr>
    </w:p>
    <w:p w14:paraId="7125D1CC" w14:textId="10125516" w:rsidR="00037616" w:rsidRPr="003D50F8" w:rsidRDefault="00037616" w:rsidP="00037616">
      <w:pPr>
        <w:pStyle w:val="BodyTextMain"/>
        <w:rPr>
          <w:lang w:val="en-GB"/>
        </w:rPr>
      </w:pPr>
      <w:r w:rsidRPr="003D50F8">
        <w:rPr>
          <w:lang w:val="en-GB"/>
        </w:rPr>
        <w:t xml:space="preserve">In addition, because Bitcoins </w:t>
      </w:r>
      <w:r w:rsidR="00E01C1E">
        <w:rPr>
          <w:lang w:val="en-GB"/>
        </w:rPr>
        <w:t>we</w:t>
      </w:r>
      <w:r w:rsidR="00E01C1E" w:rsidRPr="003D50F8">
        <w:rPr>
          <w:lang w:val="en-GB"/>
        </w:rPr>
        <w:t xml:space="preserve">re </w:t>
      </w:r>
      <w:r w:rsidRPr="003D50F8">
        <w:rPr>
          <w:lang w:val="en-GB"/>
        </w:rPr>
        <w:t xml:space="preserve">owned by “Bitcoin addresses,” which </w:t>
      </w:r>
      <w:r w:rsidR="00E01C1E">
        <w:rPr>
          <w:lang w:val="en-GB"/>
        </w:rPr>
        <w:t>we</w:t>
      </w:r>
      <w:r w:rsidR="00E01C1E" w:rsidRPr="003D50F8">
        <w:rPr>
          <w:lang w:val="en-GB"/>
        </w:rPr>
        <w:t xml:space="preserve">re </w:t>
      </w:r>
      <w:r w:rsidRPr="003D50F8">
        <w:rPr>
          <w:lang w:val="en-GB"/>
        </w:rPr>
        <w:t>numeric identifiers, users remain</w:t>
      </w:r>
      <w:r w:rsidR="00E01C1E">
        <w:rPr>
          <w:lang w:val="en-GB"/>
        </w:rPr>
        <w:t>ed</w:t>
      </w:r>
      <w:r w:rsidRPr="003D50F8">
        <w:rPr>
          <w:lang w:val="en-GB"/>
        </w:rPr>
        <w:t xml:space="preserve"> pseudonymous during transactions. In this way, Bitcoin </w:t>
      </w:r>
      <w:r w:rsidR="00E01C1E" w:rsidRPr="003D50F8">
        <w:rPr>
          <w:lang w:val="en-GB"/>
        </w:rPr>
        <w:t>ensure</w:t>
      </w:r>
      <w:r w:rsidR="00E01C1E">
        <w:rPr>
          <w:lang w:val="en-GB"/>
        </w:rPr>
        <w:t>d</w:t>
      </w:r>
      <w:r w:rsidR="00E01C1E" w:rsidRPr="003D50F8">
        <w:rPr>
          <w:lang w:val="en-GB"/>
        </w:rPr>
        <w:t xml:space="preserve"> </w:t>
      </w:r>
      <w:r w:rsidRPr="003D50F8">
        <w:rPr>
          <w:lang w:val="en-GB"/>
        </w:rPr>
        <w:t>better protection of users’ privacy.</w:t>
      </w:r>
      <w:r w:rsidRPr="003D50F8">
        <w:rPr>
          <w:rStyle w:val="FootnoteReference"/>
          <w:lang w:val="en-GB"/>
        </w:rPr>
        <w:footnoteReference w:id="2"/>
      </w:r>
      <w:r w:rsidRPr="003D50F8">
        <w:rPr>
          <w:lang w:val="en-GB"/>
        </w:rPr>
        <w:t xml:space="preserve"> </w:t>
      </w:r>
      <w:r w:rsidR="00E01C1E">
        <w:rPr>
          <w:lang w:val="en-GB"/>
        </w:rPr>
        <w:t>Bitcoin</w:t>
      </w:r>
      <w:r w:rsidR="00E01C1E" w:rsidRPr="003D50F8">
        <w:rPr>
          <w:lang w:val="en-GB"/>
        </w:rPr>
        <w:t xml:space="preserve"> </w:t>
      </w:r>
      <w:r w:rsidRPr="003D50F8">
        <w:rPr>
          <w:lang w:val="en-GB"/>
        </w:rPr>
        <w:t xml:space="preserve">also </w:t>
      </w:r>
      <w:r w:rsidR="00E01C1E" w:rsidRPr="003D50F8">
        <w:rPr>
          <w:lang w:val="en-GB"/>
        </w:rPr>
        <w:t>reduce</w:t>
      </w:r>
      <w:r w:rsidR="00E01C1E">
        <w:rPr>
          <w:lang w:val="en-GB"/>
        </w:rPr>
        <w:t>d</w:t>
      </w:r>
      <w:r w:rsidR="00E01C1E" w:rsidRPr="003D50F8">
        <w:rPr>
          <w:lang w:val="en-GB"/>
        </w:rPr>
        <w:t xml:space="preserve"> </w:t>
      </w:r>
      <w:r w:rsidRPr="003D50F8">
        <w:rPr>
          <w:lang w:val="en-GB"/>
        </w:rPr>
        <w:t xml:space="preserve">transaction costs since the decentralized blockchain </w:t>
      </w:r>
      <w:r w:rsidR="00E01C1E" w:rsidRPr="003D50F8">
        <w:rPr>
          <w:lang w:val="en-GB"/>
        </w:rPr>
        <w:t>allow</w:t>
      </w:r>
      <w:r w:rsidR="00E01C1E">
        <w:rPr>
          <w:lang w:val="en-GB"/>
        </w:rPr>
        <w:t>ed</w:t>
      </w:r>
      <w:r w:rsidR="00E01C1E" w:rsidRPr="003D50F8">
        <w:rPr>
          <w:lang w:val="en-GB"/>
        </w:rPr>
        <w:t xml:space="preserve"> </w:t>
      </w:r>
      <w:r w:rsidRPr="003D50F8">
        <w:rPr>
          <w:lang w:val="en-GB"/>
        </w:rPr>
        <w:t xml:space="preserve">users to transfer </w:t>
      </w:r>
      <w:r w:rsidRPr="003D50F8">
        <w:rPr>
          <w:lang w:val="en-GB"/>
        </w:rPr>
        <w:lastRenderedPageBreak/>
        <w:t xml:space="preserve">money directly, without the need for financial institutions. While there </w:t>
      </w:r>
      <w:r w:rsidR="00E01C1E">
        <w:rPr>
          <w:lang w:val="en-GB"/>
        </w:rPr>
        <w:t>wa</w:t>
      </w:r>
      <w:r w:rsidR="00E01C1E" w:rsidRPr="003D50F8">
        <w:rPr>
          <w:lang w:val="en-GB"/>
        </w:rPr>
        <w:t xml:space="preserve">s </w:t>
      </w:r>
      <w:r w:rsidRPr="003D50F8">
        <w:rPr>
          <w:lang w:val="en-GB"/>
        </w:rPr>
        <w:t>a risk that fraudulent users could double-spend their Bitcoin</w:t>
      </w:r>
      <w:r w:rsidR="005000D1">
        <w:rPr>
          <w:lang w:val="en-GB"/>
        </w:rPr>
        <w:t>s</w:t>
      </w:r>
      <w:r w:rsidRPr="003D50F8">
        <w:rPr>
          <w:lang w:val="en-GB"/>
        </w:rPr>
        <w:t xml:space="preserve">, as transactions </w:t>
      </w:r>
      <w:r w:rsidR="00E01C1E">
        <w:rPr>
          <w:lang w:val="en-GB"/>
        </w:rPr>
        <w:t>we</w:t>
      </w:r>
      <w:r w:rsidR="00E01C1E" w:rsidRPr="003D50F8">
        <w:rPr>
          <w:lang w:val="en-GB"/>
        </w:rPr>
        <w:t xml:space="preserve">re </w:t>
      </w:r>
      <w:r w:rsidRPr="003D50F8">
        <w:rPr>
          <w:lang w:val="en-GB"/>
        </w:rPr>
        <w:t xml:space="preserve">not controlled by a central authority, Bitcoin blockchain </w:t>
      </w:r>
      <w:r w:rsidR="00E01C1E" w:rsidRPr="003D50F8">
        <w:rPr>
          <w:lang w:val="en-GB"/>
        </w:rPr>
        <w:t>avoid</w:t>
      </w:r>
      <w:r w:rsidR="00E01C1E">
        <w:rPr>
          <w:lang w:val="en-GB"/>
        </w:rPr>
        <w:t>ed</w:t>
      </w:r>
      <w:r w:rsidR="00E01C1E" w:rsidRPr="003D50F8">
        <w:rPr>
          <w:lang w:val="en-GB"/>
        </w:rPr>
        <w:t xml:space="preserve"> </w:t>
      </w:r>
      <w:r w:rsidRPr="003D50F8">
        <w:rPr>
          <w:lang w:val="en-GB"/>
        </w:rPr>
        <w:t xml:space="preserve">this problem by providing a timestamp for each group of transactions and distributing it to all the nodes in the Bitcoin network. Since each timestamp </w:t>
      </w:r>
      <w:r w:rsidR="00E01C1E" w:rsidRPr="003D50F8">
        <w:rPr>
          <w:lang w:val="en-GB"/>
        </w:rPr>
        <w:t>include</w:t>
      </w:r>
      <w:r w:rsidR="00E01C1E">
        <w:rPr>
          <w:lang w:val="en-GB"/>
        </w:rPr>
        <w:t>d</w:t>
      </w:r>
      <w:r w:rsidR="00E01C1E" w:rsidRPr="003D50F8">
        <w:rPr>
          <w:lang w:val="en-GB"/>
        </w:rPr>
        <w:t xml:space="preserve"> </w:t>
      </w:r>
      <w:r w:rsidRPr="003D50F8">
        <w:rPr>
          <w:lang w:val="en-GB"/>
        </w:rPr>
        <w:t xml:space="preserve">the previous timestamp in its hash, all users </w:t>
      </w:r>
      <w:r w:rsidR="00E01C1E">
        <w:rPr>
          <w:lang w:val="en-GB"/>
        </w:rPr>
        <w:t>needed to</w:t>
      </w:r>
      <w:r w:rsidR="00E01C1E" w:rsidRPr="003D50F8">
        <w:rPr>
          <w:lang w:val="en-GB"/>
        </w:rPr>
        <w:t xml:space="preserve"> </w:t>
      </w:r>
      <w:r w:rsidRPr="003D50F8">
        <w:rPr>
          <w:lang w:val="en-GB"/>
        </w:rPr>
        <w:t xml:space="preserve">agree on a single history for each Bitcoin. Thus, the immutability of blockchain data </w:t>
      </w:r>
      <w:r w:rsidR="00E01C1E" w:rsidRPr="003D50F8">
        <w:rPr>
          <w:lang w:val="en-GB"/>
        </w:rPr>
        <w:t>ma</w:t>
      </w:r>
      <w:r w:rsidR="00E01C1E">
        <w:rPr>
          <w:lang w:val="en-GB"/>
        </w:rPr>
        <w:t>de</w:t>
      </w:r>
      <w:r w:rsidR="00E01C1E" w:rsidRPr="003D50F8">
        <w:rPr>
          <w:lang w:val="en-GB"/>
        </w:rPr>
        <w:t xml:space="preserve"> </w:t>
      </w:r>
      <w:r w:rsidRPr="003D50F8">
        <w:rPr>
          <w:lang w:val="en-GB"/>
        </w:rPr>
        <w:t xml:space="preserve">Bitcoin </w:t>
      </w:r>
      <w:r w:rsidR="00E01C1E">
        <w:rPr>
          <w:lang w:val="en-GB"/>
        </w:rPr>
        <w:t>highl</w:t>
      </w:r>
      <w:r w:rsidR="00E01C1E" w:rsidRPr="003D50F8">
        <w:rPr>
          <w:lang w:val="en-GB"/>
        </w:rPr>
        <w:t xml:space="preserve">y </w:t>
      </w:r>
      <w:r w:rsidRPr="003D50F8">
        <w:rPr>
          <w:lang w:val="en-GB"/>
        </w:rPr>
        <w:t>resilient against predators and hackers.</w:t>
      </w:r>
      <w:r w:rsidRPr="003D50F8">
        <w:rPr>
          <w:rStyle w:val="FootnoteReference"/>
          <w:lang w:val="en-GB"/>
        </w:rPr>
        <w:footnoteReference w:id="3"/>
      </w:r>
    </w:p>
    <w:p w14:paraId="52EE6443" w14:textId="77777777" w:rsidR="00037616" w:rsidRPr="006973E5" w:rsidRDefault="00037616" w:rsidP="00F14C10">
      <w:pPr>
        <w:pStyle w:val="BodyTextMain"/>
      </w:pPr>
    </w:p>
    <w:p w14:paraId="1E894093" w14:textId="31254B37" w:rsidR="00037616" w:rsidRPr="003D50F8" w:rsidRDefault="00037616" w:rsidP="00037616">
      <w:pPr>
        <w:pStyle w:val="BodyTextMain"/>
        <w:rPr>
          <w:lang w:val="en-GB"/>
        </w:rPr>
      </w:pPr>
      <w:r w:rsidRPr="003D50F8">
        <w:rPr>
          <w:lang w:val="en-GB"/>
        </w:rPr>
        <w:t xml:space="preserve">At the same time, Bitcoin </w:t>
      </w:r>
      <w:r w:rsidR="009B34A3">
        <w:rPr>
          <w:lang w:val="en-GB"/>
        </w:rPr>
        <w:t>did have</w:t>
      </w:r>
      <w:r w:rsidRPr="003D50F8">
        <w:rPr>
          <w:lang w:val="en-GB"/>
        </w:rPr>
        <w:t xml:space="preserve"> some disadvantages, including its high energy cost. Bitcoin creation (or “mining”) </w:t>
      </w:r>
      <w:r w:rsidR="009B34A3">
        <w:rPr>
          <w:lang w:val="en-GB"/>
        </w:rPr>
        <w:t>wa</w:t>
      </w:r>
      <w:r w:rsidR="009B34A3" w:rsidRPr="003D50F8">
        <w:rPr>
          <w:lang w:val="en-GB"/>
        </w:rPr>
        <w:t xml:space="preserve">s </w:t>
      </w:r>
      <w:r w:rsidRPr="003D50F8">
        <w:rPr>
          <w:lang w:val="en-GB"/>
        </w:rPr>
        <w:t xml:space="preserve">power-hungry and </w:t>
      </w:r>
      <w:r w:rsidR="009B34A3" w:rsidRPr="003D50F8">
        <w:rPr>
          <w:lang w:val="en-GB"/>
        </w:rPr>
        <w:t>involve</w:t>
      </w:r>
      <w:r w:rsidR="009B34A3">
        <w:rPr>
          <w:lang w:val="en-GB"/>
        </w:rPr>
        <w:t>d</w:t>
      </w:r>
      <w:r w:rsidR="009B34A3" w:rsidRPr="003D50F8">
        <w:rPr>
          <w:lang w:val="en-GB"/>
        </w:rPr>
        <w:t xml:space="preserve"> </w:t>
      </w:r>
      <w:r w:rsidRPr="003D50F8">
        <w:rPr>
          <w:lang w:val="en-GB"/>
        </w:rPr>
        <w:t xml:space="preserve">heavy computer calculations. The process of creating a block in the Bitcoin blockchain </w:t>
      </w:r>
      <w:r w:rsidR="009B34A3" w:rsidRPr="003D50F8">
        <w:rPr>
          <w:lang w:val="en-GB"/>
        </w:rPr>
        <w:t>include</w:t>
      </w:r>
      <w:r w:rsidR="009B34A3">
        <w:rPr>
          <w:lang w:val="en-GB"/>
        </w:rPr>
        <w:t>d</w:t>
      </w:r>
      <w:r w:rsidR="009B34A3" w:rsidRPr="003D50F8">
        <w:rPr>
          <w:lang w:val="en-GB"/>
        </w:rPr>
        <w:t xml:space="preserve"> </w:t>
      </w:r>
      <w:r w:rsidRPr="003D50F8">
        <w:rPr>
          <w:lang w:val="en-GB"/>
        </w:rPr>
        <w:t xml:space="preserve">providing “proof of work,” which </w:t>
      </w:r>
      <w:r w:rsidR="009B34A3" w:rsidRPr="003D50F8">
        <w:rPr>
          <w:lang w:val="en-GB"/>
        </w:rPr>
        <w:t>refer</w:t>
      </w:r>
      <w:r w:rsidR="009B34A3">
        <w:rPr>
          <w:lang w:val="en-GB"/>
        </w:rPr>
        <w:t>red</w:t>
      </w:r>
      <w:r w:rsidR="009B34A3" w:rsidRPr="003D50F8">
        <w:rPr>
          <w:lang w:val="en-GB"/>
        </w:rPr>
        <w:t xml:space="preserve"> </w:t>
      </w:r>
      <w:r w:rsidRPr="003D50F8">
        <w:rPr>
          <w:lang w:val="en-GB"/>
        </w:rPr>
        <w:t>to finding a specific number, called the “nonce,” such that the block content and nonce create</w:t>
      </w:r>
      <w:r w:rsidR="009B34A3">
        <w:rPr>
          <w:lang w:val="en-GB"/>
        </w:rPr>
        <w:t>d</w:t>
      </w:r>
      <w:r w:rsidRPr="003D50F8">
        <w:rPr>
          <w:lang w:val="en-GB"/>
        </w:rPr>
        <w:t xml:space="preserve"> a hash with some pre-specified restrictions. The first miner that </w:t>
      </w:r>
      <w:r w:rsidR="009B34A3" w:rsidRPr="003D50F8">
        <w:rPr>
          <w:lang w:val="en-GB"/>
        </w:rPr>
        <w:t>c</w:t>
      </w:r>
      <w:r w:rsidR="009B34A3">
        <w:rPr>
          <w:lang w:val="en-GB"/>
        </w:rPr>
        <w:t>ould</w:t>
      </w:r>
      <w:r w:rsidR="009B34A3" w:rsidRPr="003D50F8">
        <w:rPr>
          <w:lang w:val="en-GB"/>
        </w:rPr>
        <w:t xml:space="preserve"> </w:t>
      </w:r>
      <w:r w:rsidRPr="003D50F8">
        <w:rPr>
          <w:lang w:val="en-GB"/>
        </w:rPr>
        <w:t xml:space="preserve">successfully find the nonce </w:t>
      </w:r>
      <w:r w:rsidR="009B34A3">
        <w:rPr>
          <w:lang w:val="en-GB"/>
        </w:rPr>
        <w:t>wa</w:t>
      </w:r>
      <w:r w:rsidR="009B34A3" w:rsidRPr="003D50F8">
        <w:rPr>
          <w:lang w:val="en-GB"/>
        </w:rPr>
        <w:t xml:space="preserve">s </w:t>
      </w:r>
      <w:r w:rsidRPr="003D50F8">
        <w:rPr>
          <w:lang w:val="en-GB"/>
        </w:rPr>
        <w:t xml:space="preserve">awarded a certain </w:t>
      </w:r>
      <w:r w:rsidR="009B34A3">
        <w:rPr>
          <w:lang w:val="en-GB"/>
        </w:rPr>
        <w:t>number</w:t>
      </w:r>
      <w:r w:rsidR="009B34A3" w:rsidRPr="003D50F8">
        <w:rPr>
          <w:lang w:val="en-GB"/>
        </w:rPr>
        <w:t xml:space="preserve"> </w:t>
      </w:r>
      <w:r w:rsidRPr="003D50F8">
        <w:rPr>
          <w:lang w:val="en-GB"/>
        </w:rPr>
        <w:t xml:space="preserve">of Bitcoins. </w:t>
      </w:r>
      <w:r w:rsidR="0083538F">
        <w:rPr>
          <w:lang w:val="en-GB"/>
        </w:rPr>
        <w:t>A</w:t>
      </w:r>
      <w:r w:rsidR="0083538F" w:rsidRPr="003D50F8">
        <w:rPr>
          <w:lang w:val="en-GB"/>
        </w:rPr>
        <w:t>s of May 2020</w:t>
      </w:r>
      <w:r w:rsidR="0083538F">
        <w:rPr>
          <w:lang w:val="en-GB"/>
        </w:rPr>
        <w:t>, t</w:t>
      </w:r>
      <w:r w:rsidRPr="003D50F8">
        <w:rPr>
          <w:lang w:val="en-GB"/>
        </w:rPr>
        <w:t xml:space="preserve">he reward stood at 6.25 Bitcoins, but in </w:t>
      </w:r>
      <w:r w:rsidR="0083538F">
        <w:rPr>
          <w:lang w:val="en-GB"/>
        </w:rPr>
        <w:t xml:space="preserve">an </w:t>
      </w:r>
      <w:r w:rsidR="009B34A3">
        <w:rPr>
          <w:lang w:val="en-GB"/>
        </w:rPr>
        <w:t>effort</w:t>
      </w:r>
      <w:r w:rsidR="009B34A3" w:rsidRPr="003D50F8">
        <w:rPr>
          <w:lang w:val="en-GB"/>
        </w:rPr>
        <w:t xml:space="preserve"> </w:t>
      </w:r>
      <w:r w:rsidRPr="003D50F8">
        <w:rPr>
          <w:lang w:val="en-GB"/>
        </w:rPr>
        <w:t xml:space="preserve">to </w:t>
      </w:r>
      <w:r w:rsidR="009B34A3">
        <w:rPr>
          <w:lang w:val="en-GB"/>
        </w:rPr>
        <w:t>retain</w:t>
      </w:r>
      <w:r w:rsidR="009B34A3" w:rsidRPr="003D50F8">
        <w:rPr>
          <w:lang w:val="en-GB"/>
        </w:rPr>
        <w:t xml:space="preserve"> </w:t>
      </w:r>
      <w:r w:rsidRPr="003D50F8">
        <w:rPr>
          <w:lang w:val="en-GB"/>
        </w:rPr>
        <w:t xml:space="preserve">the value of the currency, this reward </w:t>
      </w:r>
      <w:r w:rsidR="009B34A3">
        <w:rPr>
          <w:lang w:val="en-GB"/>
        </w:rPr>
        <w:t>wa</w:t>
      </w:r>
      <w:r w:rsidR="009B34A3" w:rsidRPr="003D50F8">
        <w:rPr>
          <w:lang w:val="en-GB"/>
        </w:rPr>
        <w:t xml:space="preserve">s </w:t>
      </w:r>
      <w:r w:rsidRPr="003D50F8">
        <w:rPr>
          <w:lang w:val="en-GB"/>
        </w:rPr>
        <w:t>halved roughly every four years (</w:t>
      </w:r>
      <w:r w:rsidR="0083538F">
        <w:rPr>
          <w:lang w:val="en-GB"/>
        </w:rPr>
        <w:t xml:space="preserve">known as </w:t>
      </w:r>
      <w:r w:rsidRPr="003D50F8">
        <w:rPr>
          <w:lang w:val="en-GB"/>
        </w:rPr>
        <w:t>a Bitcoin</w:t>
      </w:r>
      <w:r w:rsidR="0083538F">
        <w:rPr>
          <w:lang w:val="en-GB"/>
        </w:rPr>
        <w:t>-</w:t>
      </w:r>
      <w:r w:rsidRPr="003D50F8">
        <w:rPr>
          <w:lang w:val="en-GB"/>
        </w:rPr>
        <w:t xml:space="preserve">halving event). The nonce </w:t>
      </w:r>
      <w:r w:rsidR="009B34A3" w:rsidRPr="003D50F8">
        <w:rPr>
          <w:lang w:val="en-GB"/>
        </w:rPr>
        <w:t>c</w:t>
      </w:r>
      <w:r w:rsidR="009B34A3">
        <w:rPr>
          <w:lang w:val="en-GB"/>
        </w:rPr>
        <w:t>ould</w:t>
      </w:r>
      <w:r w:rsidR="009B34A3" w:rsidRPr="003D50F8">
        <w:rPr>
          <w:lang w:val="en-GB"/>
        </w:rPr>
        <w:t xml:space="preserve"> </w:t>
      </w:r>
      <w:r w:rsidRPr="003D50F8">
        <w:rPr>
          <w:lang w:val="en-GB"/>
        </w:rPr>
        <w:t xml:space="preserve">be found </w:t>
      </w:r>
      <w:r w:rsidR="0083538F">
        <w:rPr>
          <w:lang w:val="en-GB"/>
        </w:rPr>
        <w:t xml:space="preserve">only </w:t>
      </w:r>
      <w:r w:rsidRPr="003D50F8">
        <w:rPr>
          <w:lang w:val="en-GB"/>
        </w:rPr>
        <w:t xml:space="preserve">by trial and error—a process so computationally expensive that the central processing units of personal computers </w:t>
      </w:r>
      <w:r w:rsidR="009B34A3">
        <w:rPr>
          <w:lang w:val="en-GB"/>
        </w:rPr>
        <w:t>we</w:t>
      </w:r>
      <w:r w:rsidR="009B34A3" w:rsidRPr="003D50F8">
        <w:rPr>
          <w:lang w:val="en-GB"/>
        </w:rPr>
        <w:t xml:space="preserve">re </w:t>
      </w:r>
      <w:r w:rsidR="009B34A3">
        <w:rPr>
          <w:lang w:val="en-GB"/>
        </w:rPr>
        <w:t>in</w:t>
      </w:r>
      <w:r w:rsidRPr="003D50F8">
        <w:rPr>
          <w:lang w:val="en-GB"/>
        </w:rPr>
        <w:t xml:space="preserve">sufficient. Instead, special electronic chips called “application-specific integrated circuits” </w:t>
      </w:r>
      <w:r w:rsidR="009B34A3">
        <w:rPr>
          <w:lang w:val="en-GB"/>
        </w:rPr>
        <w:t>we</w:t>
      </w:r>
      <w:r w:rsidR="009B34A3" w:rsidRPr="003D50F8">
        <w:rPr>
          <w:lang w:val="en-GB"/>
        </w:rPr>
        <w:t xml:space="preserve">re </w:t>
      </w:r>
      <w:r w:rsidRPr="003D50F8">
        <w:rPr>
          <w:lang w:val="en-GB"/>
        </w:rPr>
        <w:t>required</w:t>
      </w:r>
      <w:r w:rsidR="009B34A3">
        <w:rPr>
          <w:lang w:val="en-GB"/>
        </w:rPr>
        <w:t>,</w:t>
      </w:r>
      <w:r w:rsidRPr="003D50F8">
        <w:rPr>
          <w:lang w:val="en-GB"/>
        </w:rPr>
        <w:t xml:space="preserve"> and computers </w:t>
      </w:r>
      <w:r w:rsidR="009B34A3" w:rsidRPr="003D50F8">
        <w:rPr>
          <w:lang w:val="en-GB"/>
        </w:rPr>
        <w:t>r</w:t>
      </w:r>
      <w:r w:rsidR="009B34A3">
        <w:rPr>
          <w:lang w:val="en-GB"/>
        </w:rPr>
        <w:t>a</w:t>
      </w:r>
      <w:r w:rsidR="009B34A3" w:rsidRPr="003D50F8">
        <w:rPr>
          <w:lang w:val="en-GB"/>
        </w:rPr>
        <w:t xml:space="preserve">n </w:t>
      </w:r>
      <w:r w:rsidRPr="003D50F8">
        <w:rPr>
          <w:lang w:val="en-GB"/>
        </w:rPr>
        <w:t>almost constantly during the process. Moreover, miners usually form</w:t>
      </w:r>
      <w:r w:rsidR="009B34A3">
        <w:rPr>
          <w:lang w:val="en-GB"/>
        </w:rPr>
        <w:t>ed</w:t>
      </w:r>
      <w:r w:rsidRPr="003D50F8">
        <w:rPr>
          <w:lang w:val="en-GB"/>
        </w:rPr>
        <w:t xml:space="preserve"> Bitcoin mining pools to increase the </w:t>
      </w:r>
      <w:r w:rsidR="009B34A3">
        <w:rPr>
          <w:lang w:val="en-GB"/>
        </w:rPr>
        <w:t>likelihood</w:t>
      </w:r>
      <w:r w:rsidR="009B34A3" w:rsidRPr="003D50F8">
        <w:rPr>
          <w:lang w:val="en-GB"/>
        </w:rPr>
        <w:t xml:space="preserve"> </w:t>
      </w:r>
      <w:r w:rsidRPr="003D50F8">
        <w:rPr>
          <w:lang w:val="en-GB"/>
        </w:rPr>
        <w:t xml:space="preserve">of </w:t>
      </w:r>
      <w:r w:rsidR="0083538F">
        <w:rPr>
          <w:lang w:val="en-GB"/>
        </w:rPr>
        <w:t xml:space="preserve">successfully </w:t>
      </w:r>
      <w:r w:rsidRPr="003D50F8">
        <w:rPr>
          <w:lang w:val="en-GB"/>
        </w:rPr>
        <w:t>mining</w:t>
      </w:r>
      <w:r w:rsidR="0083538F">
        <w:rPr>
          <w:lang w:val="en-GB"/>
        </w:rPr>
        <w:t xml:space="preserve"> the nonce</w:t>
      </w:r>
      <w:r w:rsidRPr="003D50F8">
        <w:rPr>
          <w:lang w:val="en-GB"/>
        </w:rPr>
        <w:t>.</w:t>
      </w:r>
      <w:r w:rsidRPr="003D50F8">
        <w:rPr>
          <w:rStyle w:val="FootnoteReference"/>
          <w:lang w:val="en-GB"/>
        </w:rPr>
        <w:footnoteReference w:id="4"/>
      </w:r>
      <w:r w:rsidRPr="003D50F8">
        <w:rPr>
          <w:lang w:val="en-GB"/>
        </w:rPr>
        <w:t xml:space="preserve"> Reports suggest</w:t>
      </w:r>
      <w:r w:rsidR="009B34A3">
        <w:rPr>
          <w:lang w:val="en-GB"/>
        </w:rPr>
        <w:t>ed</w:t>
      </w:r>
      <w:r w:rsidRPr="003D50F8">
        <w:rPr>
          <w:lang w:val="en-GB"/>
        </w:rPr>
        <w:t xml:space="preserve"> that China </w:t>
      </w:r>
      <w:r w:rsidR="009B34A3" w:rsidRPr="003D50F8">
        <w:rPr>
          <w:lang w:val="en-GB"/>
        </w:rPr>
        <w:t>control</w:t>
      </w:r>
      <w:r w:rsidR="009B34A3">
        <w:rPr>
          <w:lang w:val="en-GB"/>
        </w:rPr>
        <w:t>led</w:t>
      </w:r>
      <w:r w:rsidR="009B34A3" w:rsidRPr="003D50F8">
        <w:rPr>
          <w:lang w:val="en-GB"/>
        </w:rPr>
        <w:t xml:space="preserve"> </w:t>
      </w:r>
      <w:r w:rsidRPr="003D50F8">
        <w:rPr>
          <w:lang w:val="en-GB"/>
        </w:rPr>
        <w:t>65</w:t>
      </w:r>
      <w:r w:rsidR="009B34A3">
        <w:rPr>
          <w:lang w:val="en-GB"/>
        </w:rPr>
        <w:t xml:space="preserve"> per cent</w:t>
      </w:r>
      <w:r w:rsidRPr="003D50F8">
        <w:rPr>
          <w:lang w:val="en-GB"/>
        </w:rPr>
        <w:t xml:space="preserve"> of all Bitcoin mining in the world.</w:t>
      </w:r>
      <w:r w:rsidRPr="003D50F8">
        <w:rPr>
          <w:rStyle w:val="FootnoteReference"/>
          <w:lang w:val="en-GB"/>
        </w:rPr>
        <w:footnoteReference w:id="5"/>
      </w:r>
      <w:r w:rsidRPr="003D50F8">
        <w:rPr>
          <w:lang w:val="en-GB"/>
        </w:rPr>
        <w:t xml:space="preserve"> The amount of electricity that Bitcoin mining </w:t>
      </w:r>
      <w:r w:rsidR="009B34A3" w:rsidRPr="003D50F8">
        <w:rPr>
          <w:lang w:val="en-GB"/>
        </w:rPr>
        <w:t>consume</w:t>
      </w:r>
      <w:r w:rsidR="009B34A3">
        <w:rPr>
          <w:lang w:val="en-GB"/>
        </w:rPr>
        <w:t>d</w:t>
      </w:r>
      <w:r w:rsidR="009B34A3" w:rsidRPr="003D50F8">
        <w:rPr>
          <w:lang w:val="en-GB"/>
        </w:rPr>
        <w:t xml:space="preserve"> </w:t>
      </w:r>
      <w:r w:rsidR="009B34A3">
        <w:rPr>
          <w:lang w:val="en-GB"/>
        </w:rPr>
        <w:t>wa</w:t>
      </w:r>
      <w:r w:rsidR="009B34A3" w:rsidRPr="003D50F8">
        <w:rPr>
          <w:lang w:val="en-GB"/>
        </w:rPr>
        <w:t xml:space="preserve">s </w:t>
      </w:r>
      <w:r w:rsidRPr="003D50F8">
        <w:rPr>
          <w:lang w:val="en-GB"/>
        </w:rPr>
        <w:t xml:space="preserve">staggering: it </w:t>
      </w:r>
      <w:r w:rsidR="009B34A3">
        <w:rPr>
          <w:lang w:val="en-GB"/>
        </w:rPr>
        <w:t>wa</w:t>
      </w:r>
      <w:r w:rsidR="009B34A3" w:rsidRPr="003D50F8">
        <w:rPr>
          <w:lang w:val="en-GB"/>
        </w:rPr>
        <w:t xml:space="preserve">s </w:t>
      </w:r>
      <w:r w:rsidRPr="003D50F8">
        <w:rPr>
          <w:lang w:val="en-GB"/>
        </w:rPr>
        <w:t xml:space="preserve">estimated that Bitcoin </w:t>
      </w:r>
      <w:r w:rsidR="009B34A3" w:rsidRPr="003D50F8">
        <w:rPr>
          <w:lang w:val="en-GB"/>
        </w:rPr>
        <w:t>use</w:t>
      </w:r>
      <w:r w:rsidR="009B34A3">
        <w:rPr>
          <w:lang w:val="en-GB"/>
        </w:rPr>
        <w:t>d</w:t>
      </w:r>
      <w:r w:rsidR="009B34A3" w:rsidRPr="003D50F8">
        <w:rPr>
          <w:lang w:val="en-GB"/>
        </w:rPr>
        <w:t xml:space="preserve"> </w:t>
      </w:r>
      <w:r w:rsidRPr="003D50F8">
        <w:rPr>
          <w:lang w:val="en-GB"/>
        </w:rPr>
        <w:t>more electricity annually than the entire country of Argentina.</w:t>
      </w:r>
      <w:r w:rsidRPr="003D50F8">
        <w:rPr>
          <w:rStyle w:val="FootnoteReference"/>
          <w:lang w:val="en-GB"/>
        </w:rPr>
        <w:footnoteReference w:id="6"/>
      </w:r>
      <w:r w:rsidRPr="003D50F8">
        <w:rPr>
          <w:lang w:val="en-GB"/>
        </w:rPr>
        <w:t xml:space="preserve"> </w:t>
      </w:r>
    </w:p>
    <w:p w14:paraId="127EFFE7" w14:textId="77777777" w:rsidR="00037616" w:rsidRPr="00F14C10" w:rsidRDefault="00037616" w:rsidP="00F14C10">
      <w:pPr>
        <w:pStyle w:val="BodyTextMain"/>
      </w:pPr>
    </w:p>
    <w:p w14:paraId="2D2BF2BF" w14:textId="0A41CE1D" w:rsidR="00037616" w:rsidRPr="003D50F8" w:rsidRDefault="00037616" w:rsidP="00037616">
      <w:pPr>
        <w:pStyle w:val="BodyTextMain"/>
        <w:rPr>
          <w:b/>
          <w:caps/>
          <w:lang w:val="en-GB"/>
        </w:rPr>
      </w:pPr>
      <w:r w:rsidRPr="003D50F8">
        <w:rPr>
          <w:lang w:val="en-GB"/>
        </w:rPr>
        <w:t xml:space="preserve">The price of Bitcoin </w:t>
      </w:r>
      <w:r w:rsidR="0079419E" w:rsidRPr="003D50F8">
        <w:rPr>
          <w:lang w:val="en-GB"/>
        </w:rPr>
        <w:t>ha</w:t>
      </w:r>
      <w:r w:rsidR="0079419E">
        <w:rPr>
          <w:lang w:val="en-GB"/>
        </w:rPr>
        <w:t>d</w:t>
      </w:r>
      <w:r w:rsidR="0079419E" w:rsidRPr="003D50F8">
        <w:rPr>
          <w:lang w:val="en-GB"/>
        </w:rPr>
        <w:t xml:space="preserve"> </w:t>
      </w:r>
      <w:r w:rsidRPr="003D50F8">
        <w:rPr>
          <w:lang w:val="en-GB"/>
        </w:rPr>
        <w:t xml:space="preserve">fluctuated significantly </w:t>
      </w:r>
      <w:r w:rsidR="0079419E">
        <w:rPr>
          <w:lang w:val="en-GB"/>
        </w:rPr>
        <w:t>since</w:t>
      </w:r>
      <w:r w:rsidR="0079419E" w:rsidRPr="003D50F8">
        <w:rPr>
          <w:lang w:val="en-GB"/>
        </w:rPr>
        <w:t xml:space="preserve"> </w:t>
      </w:r>
      <w:r w:rsidRPr="003D50F8">
        <w:rPr>
          <w:lang w:val="en-GB"/>
        </w:rPr>
        <w:t>its initiation.</w:t>
      </w:r>
      <w:r w:rsidRPr="003D50F8" w:rsidDel="00D20C23">
        <w:rPr>
          <w:lang w:val="en-GB"/>
        </w:rPr>
        <w:t xml:space="preserve"> </w:t>
      </w:r>
      <w:r w:rsidRPr="003D50F8">
        <w:rPr>
          <w:lang w:val="en-GB"/>
        </w:rPr>
        <w:t xml:space="preserve">Notably, in 2017, Bitcoin blockchain was divided into Bitcoin (BTC) and Bitcoin Cash (BCC). BTC </w:t>
      </w:r>
      <w:r w:rsidR="0079419E" w:rsidRPr="003D50F8">
        <w:rPr>
          <w:lang w:val="en-GB"/>
        </w:rPr>
        <w:t>use</w:t>
      </w:r>
      <w:r w:rsidR="0079419E">
        <w:rPr>
          <w:lang w:val="en-GB"/>
        </w:rPr>
        <w:t>d</w:t>
      </w:r>
      <w:r w:rsidR="0079419E" w:rsidRPr="003D50F8">
        <w:rPr>
          <w:lang w:val="en-GB"/>
        </w:rPr>
        <w:t xml:space="preserve"> </w:t>
      </w:r>
      <w:r w:rsidRPr="003D50F8">
        <w:rPr>
          <w:lang w:val="en-GB"/>
        </w:rPr>
        <w:t>upgraded blockchain technology with an increased rate of transactions</w:t>
      </w:r>
      <w:r w:rsidR="0083538F">
        <w:rPr>
          <w:lang w:val="en-GB"/>
        </w:rPr>
        <w:t>,</w:t>
      </w:r>
      <w:r w:rsidRPr="003D50F8">
        <w:rPr>
          <w:lang w:val="en-GB"/>
        </w:rPr>
        <w:t xml:space="preserve"> while BCC </w:t>
      </w:r>
      <w:r w:rsidR="0079419E" w:rsidRPr="003D50F8">
        <w:rPr>
          <w:lang w:val="en-GB"/>
        </w:rPr>
        <w:t>use</w:t>
      </w:r>
      <w:r w:rsidR="0079419E">
        <w:rPr>
          <w:lang w:val="en-GB"/>
        </w:rPr>
        <w:t>d</w:t>
      </w:r>
      <w:r w:rsidR="0079419E" w:rsidRPr="003D50F8">
        <w:rPr>
          <w:lang w:val="en-GB"/>
        </w:rPr>
        <w:t xml:space="preserve"> </w:t>
      </w:r>
      <w:r w:rsidRPr="003D50F8">
        <w:rPr>
          <w:lang w:val="en-GB"/>
        </w:rPr>
        <w:t>the original, slower version of the technology. On March 7, 2021, BTC’s price was US$52,246.52</w:t>
      </w:r>
      <w:r w:rsidR="00C771A9">
        <w:rPr>
          <w:rStyle w:val="FootnoteReference"/>
          <w:lang w:val="en-GB"/>
        </w:rPr>
        <w:footnoteReference w:id="7"/>
      </w:r>
      <w:r w:rsidRPr="003D50F8">
        <w:rPr>
          <w:lang w:val="en-GB"/>
        </w:rPr>
        <w:t xml:space="preserve"> and BCC’s price was $516.17.</w:t>
      </w:r>
      <w:r w:rsidR="00C771A9" w:rsidRPr="003D50F8">
        <w:rPr>
          <w:rStyle w:val="FootnoteReference"/>
          <w:lang w:val="en-GB"/>
        </w:rPr>
        <w:footnoteReference w:id="8"/>
      </w:r>
      <w:r w:rsidRPr="003D50F8">
        <w:rPr>
          <w:lang w:val="en-GB"/>
        </w:rPr>
        <w:t xml:space="preserve"> In May 2010, Laszlo </w:t>
      </w:r>
      <w:proofErr w:type="spellStart"/>
      <w:r w:rsidRPr="003D50F8">
        <w:rPr>
          <w:lang w:val="en-GB"/>
        </w:rPr>
        <w:t>Hanyecz</w:t>
      </w:r>
      <w:proofErr w:type="spellEnd"/>
      <w:r w:rsidRPr="003D50F8">
        <w:rPr>
          <w:lang w:val="en-GB"/>
        </w:rPr>
        <w:t xml:space="preserve"> paid 10,000 Bitcoins for two pizzas worth </w:t>
      </w:r>
      <w:r w:rsidR="0079419E">
        <w:rPr>
          <w:lang w:val="en-GB"/>
        </w:rPr>
        <w:t>approximately</w:t>
      </w:r>
      <w:r w:rsidR="0079419E" w:rsidRPr="003D50F8">
        <w:rPr>
          <w:lang w:val="en-GB"/>
        </w:rPr>
        <w:t xml:space="preserve"> </w:t>
      </w:r>
      <w:r w:rsidRPr="003D50F8">
        <w:rPr>
          <w:lang w:val="en-GB"/>
        </w:rPr>
        <w:t>$</w:t>
      </w:r>
      <w:r w:rsidR="00B10C14">
        <w:rPr>
          <w:lang w:val="en-GB"/>
        </w:rPr>
        <w:t>25</w:t>
      </w:r>
      <w:r w:rsidRPr="003D50F8">
        <w:rPr>
          <w:lang w:val="en-GB"/>
        </w:rPr>
        <w:t>.</w:t>
      </w:r>
      <w:r w:rsidRPr="003D50F8">
        <w:rPr>
          <w:rStyle w:val="FootnoteReference"/>
          <w:lang w:val="en-GB"/>
        </w:rPr>
        <w:footnoteReference w:id="9"/>
      </w:r>
      <w:r w:rsidRPr="003D50F8">
        <w:rPr>
          <w:lang w:val="en-GB"/>
        </w:rPr>
        <w:t xml:space="preserve"> In February 2021, 10,000 BTC </w:t>
      </w:r>
      <w:r w:rsidR="00C416F6" w:rsidRPr="003D50F8">
        <w:rPr>
          <w:lang w:val="en-GB"/>
        </w:rPr>
        <w:t>w</w:t>
      </w:r>
      <w:r w:rsidR="00C416F6">
        <w:rPr>
          <w:lang w:val="en-GB"/>
        </w:rPr>
        <w:t>ere</w:t>
      </w:r>
      <w:r w:rsidR="00C416F6" w:rsidRPr="003D50F8">
        <w:rPr>
          <w:lang w:val="en-GB"/>
        </w:rPr>
        <w:t xml:space="preserve"> </w:t>
      </w:r>
      <w:r w:rsidRPr="003D50F8">
        <w:rPr>
          <w:lang w:val="en-GB"/>
        </w:rPr>
        <w:t>worth more than $300 million. Over the course of 2017 alone, BTC’s price increased from $1,290 to $13,800—before dropping to $3,300 in 2018. On February 8, 2021, the price of Bitcoin hit its all-time high after Tesla</w:t>
      </w:r>
      <w:r w:rsidR="00C416F6">
        <w:rPr>
          <w:lang w:val="en-GB"/>
        </w:rPr>
        <w:t>’s</w:t>
      </w:r>
      <w:r w:rsidRPr="003D50F8">
        <w:rPr>
          <w:lang w:val="en-GB"/>
        </w:rPr>
        <w:t xml:space="preserve"> chief executive officer</w:t>
      </w:r>
      <w:r w:rsidR="00C416F6">
        <w:rPr>
          <w:lang w:val="en-GB"/>
        </w:rPr>
        <w:t>,</w:t>
      </w:r>
      <w:r w:rsidRPr="003D50F8">
        <w:rPr>
          <w:lang w:val="en-GB"/>
        </w:rPr>
        <w:t xml:space="preserve"> Elon Musk</w:t>
      </w:r>
      <w:r w:rsidR="00C416F6">
        <w:rPr>
          <w:lang w:val="en-GB"/>
        </w:rPr>
        <w:t>,</w:t>
      </w:r>
      <w:r w:rsidRPr="003D50F8">
        <w:rPr>
          <w:lang w:val="en-GB"/>
        </w:rPr>
        <w:t xml:space="preserve"> announced that the company was investing in Bitcoin (a decision that was heavily criticized as </w:t>
      </w:r>
      <w:r w:rsidR="00C416F6">
        <w:rPr>
          <w:lang w:val="en-GB"/>
        </w:rPr>
        <w:t xml:space="preserve">being </w:t>
      </w:r>
      <w:r w:rsidRPr="003D50F8">
        <w:rPr>
          <w:lang w:val="en-GB"/>
        </w:rPr>
        <w:t>contrary to Tesla’s environmental stance).</w:t>
      </w:r>
      <w:r w:rsidRPr="003D50F8">
        <w:rPr>
          <w:rStyle w:val="FootnoteReference"/>
          <w:lang w:val="en-GB"/>
        </w:rPr>
        <w:footnoteReference w:id="10"/>
      </w:r>
      <w:r w:rsidRPr="003D50F8">
        <w:rPr>
          <w:lang w:val="en-GB"/>
        </w:rPr>
        <w:t xml:space="preserve"> These fluctuations </w:t>
      </w:r>
      <w:r w:rsidR="00C416F6" w:rsidRPr="003D50F8">
        <w:rPr>
          <w:lang w:val="en-GB"/>
        </w:rPr>
        <w:t>ma</w:t>
      </w:r>
      <w:r w:rsidR="00C416F6">
        <w:rPr>
          <w:lang w:val="en-GB"/>
        </w:rPr>
        <w:t>d</w:t>
      </w:r>
      <w:r w:rsidR="00C416F6" w:rsidRPr="003D50F8">
        <w:rPr>
          <w:lang w:val="en-GB"/>
        </w:rPr>
        <w:t xml:space="preserve">e </w:t>
      </w:r>
      <w:r w:rsidRPr="003D50F8">
        <w:rPr>
          <w:lang w:val="en-GB"/>
        </w:rPr>
        <w:t>Bitcoin a</w:t>
      </w:r>
      <w:r w:rsidR="00F5608E">
        <w:rPr>
          <w:lang w:val="en-GB"/>
        </w:rPr>
        <w:t>n</w:t>
      </w:r>
      <w:r w:rsidRPr="003D50F8">
        <w:rPr>
          <w:lang w:val="en-GB"/>
        </w:rPr>
        <w:t xml:space="preserve"> interesting investment opportunity, and one that many investment banks </w:t>
      </w:r>
      <w:r w:rsidR="00C416F6">
        <w:rPr>
          <w:lang w:val="en-GB"/>
        </w:rPr>
        <w:t>we</w:t>
      </w:r>
      <w:r w:rsidR="00C416F6" w:rsidRPr="003D50F8">
        <w:rPr>
          <w:lang w:val="en-GB"/>
        </w:rPr>
        <w:t xml:space="preserve">re </w:t>
      </w:r>
      <w:r w:rsidRPr="003D50F8">
        <w:rPr>
          <w:lang w:val="en-GB"/>
        </w:rPr>
        <w:t>eager to capitalize on. For instance, Goldman Sachs opened a cryptocurrency desk to trade cryptocurrencies in 2021.</w:t>
      </w:r>
      <w:r w:rsidRPr="003D50F8">
        <w:rPr>
          <w:rStyle w:val="FootnoteReference"/>
          <w:lang w:val="en-GB"/>
        </w:rPr>
        <w:footnoteReference w:id="11"/>
      </w:r>
      <w:r w:rsidRPr="003D50F8">
        <w:rPr>
          <w:lang w:val="en-GB"/>
        </w:rPr>
        <w:t xml:space="preserve"> Although Bitcoin </w:t>
      </w:r>
      <w:r w:rsidR="00FC2A6D">
        <w:rPr>
          <w:lang w:val="en-GB"/>
        </w:rPr>
        <w:t>wa</w:t>
      </w:r>
      <w:r w:rsidR="00FC2A6D" w:rsidRPr="003D50F8">
        <w:rPr>
          <w:lang w:val="en-GB"/>
        </w:rPr>
        <w:t xml:space="preserve">s </w:t>
      </w:r>
      <w:r w:rsidRPr="003D50F8">
        <w:rPr>
          <w:lang w:val="en-GB"/>
        </w:rPr>
        <w:t xml:space="preserve">the pioneer and most popular cryptocurrency, many other cryptocurrencies </w:t>
      </w:r>
      <w:r w:rsidR="00FC2A6D" w:rsidRPr="003D50F8">
        <w:rPr>
          <w:lang w:val="en-GB"/>
        </w:rPr>
        <w:lastRenderedPageBreak/>
        <w:t>ha</w:t>
      </w:r>
      <w:r w:rsidR="00FC2A6D">
        <w:rPr>
          <w:lang w:val="en-GB"/>
        </w:rPr>
        <w:t>d</w:t>
      </w:r>
      <w:r w:rsidR="00FC2A6D" w:rsidRPr="003D50F8">
        <w:rPr>
          <w:lang w:val="en-GB"/>
        </w:rPr>
        <w:t xml:space="preserve"> </w:t>
      </w:r>
      <w:r w:rsidRPr="003D50F8">
        <w:rPr>
          <w:lang w:val="en-GB"/>
        </w:rPr>
        <w:t xml:space="preserve">gradually emerged, including Ethereum and Ripple. Facebook also </w:t>
      </w:r>
      <w:r w:rsidR="00FC2A6D" w:rsidRPr="003D50F8">
        <w:rPr>
          <w:lang w:val="en-GB"/>
        </w:rPr>
        <w:t>plan</w:t>
      </w:r>
      <w:r w:rsidR="00FC2A6D">
        <w:rPr>
          <w:lang w:val="en-GB"/>
        </w:rPr>
        <w:t>ned</w:t>
      </w:r>
      <w:r w:rsidR="00FC2A6D" w:rsidRPr="003D50F8">
        <w:rPr>
          <w:lang w:val="en-GB"/>
        </w:rPr>
        <w:t xml:space="preserve"> </w:t>
      </w:r>
      <w:r w:rsidRPr="003D50F8">
        <w:rPr>
          <w:lang w:val="en-GB"/>
        </w:rPr>
        <w:t>to create its own cryptocurrency, Diem, in 2021.</w:t>
      </w:r>
      <w:r w:rsidRPr="003D50F8">
        <w:rPr>
          <w:rStyle w:val="FootnoteReference"/>
          <w:lang w:val="en-GB"/>
        </w:rPr>
        <w:footnoteReference w:id="12"/>
      </w:r>
      <w:r w:rsidRPr="003D50F8">
        <w:rPr>
          <w:lang w:val="en-GB"/>
        </w:rPr>
        <w:t xml:space="preserve"> </w:t>
      </w:r>
    </w:p>
    <w:p w14:paraId="0A0C5B36" w14:textId="77777777" w:rsidR="00037616" w:rsidRPr="003D50F8" w:rsidRDefault="00037616" w:rsidP="00037616">
      <w:pPr>
        <w:pStyle w:val="BodyTextMain"/>
        <w:rPr>
          <w:b/>
          <w:caps/>
          <w:lang w:val="en-GB"/>
        </w:rPr>
      </w:pPr>
    </w:p>
    <w:p w14:paraId="1713E795" w14:textId="77777777" w:rsidR="00037616" w:rsidRPr="003D50F8" w:rsidRDefault="00037616" w:rsidP="00037616">
      <w:pPr>
        <w:pStyle w:val="BodyTextMain"/>
        <w:rPr>
          <w:b/>
          <w:caps/>
          <w:lang w:val="en-GB"/>
        </w:rPr>
      </w:pPr>
    </w:p>
    <w:p w14:paraId="71A8051C" w14:textId="77777777" w:rsidR="00037616" w:rsidRPr="003D50F8" w:rsidRDefault="00037616" w:rsidP="00037616">
      <w:pPr>
        <w:pStyle w:val="Casehead1"/>
        <w:rPr>
          <w:lang w:val="en-GB"/>
        </w:rPr>
      </w:pPr>
      <w:r w:rsidRPr="003D50F8">
        <w:rPr>
          <w:lang w:val="en-GB"/>
        </w:rPr>
        <w:t>The MOVING AVERAGE STRATEGY</w:t>
      </w:r>
      <w:r w:rsidRPr="003D50F8">
        <w:rPr>
          <w:rStyle w:val="FootnoteReference"/>
          <w:lang w:val="en-GB"/>
        </w:rPr>
        <w:footnoteReference w:id="13"/>
      </w:r>
    </w:p>
    <w:p w14:paraId="55D8F609" w14:textId="77777777" w:rsidR="00037616" w:rsidRPr="003D50F8" w:rsidRDefault="00037616" w:rsidP="00037616">
      <w:pPr>
        <w:pStyle w:val="BodyTextMain"/>
        <w:rPr>
          <w:lang w:val="en-GB"/>
        </w:rPr>
      </w:pPr>
    </w:p>
    <w:p w14:paraId="7F63A2A3" w14:textId="37F70829" w:rsidR="00037616" w:rsidRPr="003D50F8" w:rsidRDefault="00037616" w:rsidP="00037616">
      <w:pPr>
        <w:pStyle w:val="BodyTextMain"/>
        <w:rPr>
          <w:lang w:val="en-GB"/>
        </w:rPr>
      </w:pPr>
      <w:r w:rsidRPr="003D50F8">
        <w:rPr>
          <w:lang w:val="en-GB"/>
        </w:rPr>
        <w:t xml:space="preserve">Isaac’s decision to use the moving average strategy </w:t>
      </w:r>
      <w:r w:rsidR="00FC2A6D">
        <w:rPr>
          <w:lang w:val="en-GB"/>
        </w:rPr>
        <w:t>wa</w:t>
      </w:r>
      <w:r w:rsidR="00FC2A6D" w:rsidRPr="003D50F8">
        <w:rPr>
          <w:lang w:val="en-GB"/>
        </w:rPr>
        <w:t xml:space="preserve">s </w:t>
      </w:r>
      <w:r w:rsidRPr="003D50F8">
        <w:rPr>
          <w:lang w:val="en-GB"/>
        </w:rPr>
        <w:t xml:space="preserve">a common one: </w:t>
      </w:r>
      <w:r w:rsidR="00FC2A6D" w:rsidRPr="003D50F8">
        <w:rPr>
          <w:lang w:val="en-GB"/>
        </w:rPr>
        <w:t>th</w:t>
      </w:r>
      <w:r w:rsidR="00FC2A6D">
        <w:rPr>
          <w:lang w:val="en-GB"/>
        </w:rPr>
        <w:t>is</w:t>
      </w:r>
      <w:r w:rsidR="00FC2A6D" w:rsidRPr="003D50F8">
        <w:rPr>
          <w:lang w:val="en-GB"/>
        </w:rPr>
        <w:t xml:space="preserve"> </w:t>
      </w:r>
      <w:r w:rsidRPr="003D50F8">
        <w:rPr>
          <w:lang w:val="en-GB"/>
        </w:rPr>
        <w:t xml:space="preserve">strategy </w:t>
      </w:r>
      <w:r w:rsidR="00FC2A6D">
        <w:rPr>
          <w:lang w:val="en-GB"/>
        </w:rPr>
        <w:t>wa</w:t>
      </w:r>
      <w:r w:rsidR="00FC2A6D" w:rsidRPr="003D50F8">
        <w:rPr>
          <w:lang w:val="en-GB"/>
        </w:rPr>
        <w:t xml:space="preserve">s </w:t>
      </w:r>
      <w:r w:rsidRPr="003D50F8">
        <w:rPr>
          <w:lang w:val="en-GB"/>
        </w:rPr>
        <w:t>widely u</w:t>
      </w:r>
      <w:bookmarkStart w:id="1" w:name="_GoBack"/>
      <w:bookmarkEnd w:id="1"/>
      <w:r w:rsidRPr="003D50F8">
        <w:rPr>
          <w:lang w:val="en-GB"/>
        </w:rPr>
        <w:t xml:space="preserve">sed in the trading world to confirm any upward or downward trends once they </w:t>
      </w:r>
      <w:r w:rsidR="00FC2A6D" w:rsidRPr="003D50F8">
        <w:rPr>
          <w:lang w:val="en-GB"/>
        </w:rPr>
        <w:t>ha</w:t>
      </w:r>
      <w:r w:rsidR="00FC2A6D">
        <w:rPr>
          <w:lang w:val="en-GB"/>
        </w:rPr>
        <w:t>d</w:t>
      </w:r>
      <w:r w:rsidR="00FC2A6D" w:rsidRPr="003D50F8">
        <w:rPr>
          <w:lang w:val="en-GB"/>
        </w:rPr>
        <w:t xml:space="preserve"> </w:t>
      </w:r>
      <w:r w:rsidRPr="003D50F8">
        <w:rPr>
          <w:lang w:val="en-GB"/>
        </w:rPr>
        <w:t xml:space="preserve">been established. A simple moving average </w:t>
      </w:r>
      <w:r w:rsidR="00FC2A6D">
        <w:rPr>
          <w:lang w:val="en-GB"/>
        </w:rPr>
        <w:t>wa</w:t>
      </w:r>
      <w:r w:rsidR="00FC2A6D" w:rsidRPr="003D50F8">
        <w:rPr>
          <w:lang w:val="en-GB"/>
        </w:rPr>
        <w:t xml:space="preserve">s </w:t>
      </w:r>
      <w:r w:rsidRPr="003D50F8">
        <w:rPr>
          <w:lang w:val="en-GB"/>
        </w:rPr>
        <w:t xml:space="preserve">the mean of </w:t>
      </w:r>
      <m:oMath>
        <m:r>
          <w:rPr>
            <w:rFonts w:ascii="Cambria Math" w:hAnsi="Cambria Math"/>
            <w:lang w:val="en-GB"/>
          </w:rPr>
          <m:t>n</m:t>
        </m:r>
      </m:oMath>
      <w:r w:rsidRPr="003D50F8">
        <w:rPr>
          <w:lang w:val="en-GB"/>
        </w:rPr>
        <w:t xml:space="preserve"> previous prices, and it </w:t>
      </w:r>
      <w:r w:rsidR="00FC2A6D" w:rsidRPr="003D50F8">
        <w:rPr>
          <w:lang w:val="en-GB"/>
        </w:rPr>
        <w:t>filter</w:t>
      </w:r>
      <w:r w:rsidR="00FC2A6D">
        <w:rPr>
          <w:lang w:val="en-GB"/>
        </w:rPr>
        <w:t>ed</w:t>
      </w:r>
      <w:r w:rsidR="00FC2A6D" w:rsidRPr="003D50F8">
        <w:rPr>
          <w:lang w:val="en-GB"/>
        </w:rPr>
        <w:t xml:space="preserve"> </w:t>
      </w:r>
      <w:r w:rsidRPr="003D50F8">
        <w:rPr>
          <w:lang w:val="en-GB"/>
        </w:rPr>
        <w:t xml:space="preserve">out the day-to-day price fluctuations. The strategy </w:t>
      </w:r>
      <w:r w:rsidR="00FC2A6D" w:rsidRPr="003D50F8">
        <w:rPr>
          <w:lang w:val="en-GB"/>
        </w:rPr>
        <w:t>use</w:t>
      </w:r>
      <w:r w:rsidR="00FC2A6D">
        <w:rPr>
          <w:lang w:val="en-GB"/>
        </w:rPr>
        <w:t>d</w:t>
      </w:r>
      <w:r w:rsidR="00FC2A6D" w:rsidRPr="003D50F8">
        <w:rPr>
          <w:lang w:val="en-GB"/>
        </w:rPr>
        <w:t xml:space="preserve"> </w:t>
      </w:r>
      <w:r w:rsidRPr="003D50F8">
        <w:rPr>
          <w:lang w:val="en-GB"/>
        </w:rPr>
        <w:t xml:space="preserve">one short-term moving average and one long-term moving average. A shift of momentum </w:t>
      </w:r>
      <w:r w:rsidR="00FC2A6D" w:rsidRPr="003D50F8">
        <w:rPr>
          <w:lang w:val="en-GB"/>
        </w:rPr>
        <w:t>occur</w:t>
      </w:r>
      <w:r w:rsidR="00FC2A6D">
        <w:rPr>
          <w:lang w:val="en-GB"/>
        </w:rPr>
        <w:t>red</w:t>
      </w:r>
      <w:r w:rsidR="00FC2A6D" w:rsidRPr="003D50F8">
        <w:rPr>
          <w:lang w:val="en-GB"/>
        </w:rPr>
        <w:t xml:space="preserve"> </w:t>
      </w:r>
      <w:r w:rsidRPr="003D50F8">
        <w:rPr>
          <w:lang w:val="en-GB"/>
        </w:rPr>
        <w:t xml:space="preserve">when the short-term average </w:t>
      </w:r>
      <w:r w:rsidR="00FC2A6D" w:rsidRPr="003D50F8">
        <w:rPr>
          <w:lang w:val="en-GB"/>
        </w:rPr>
        <w:t>crosse</w:t>
      </w:r>
      <w:r w:rsidR="00FC2A6D">
        <w:rPr>
          <w:lang w:val="en-GB"/>
        </w:rPr>
        <w:t>d</w:t>
      </w:r>
      <w:r w:rsidR="00FC2A6D" w:rsidRPr="003D50F8">
        <w:rPr>
          <w:lang w:val="en-GB"/>
        </w:rPr>
        <w:t xml:space="preserve"> </w:t>
      </w:r>
      <w:r w:rsidRPr="003D50F8">
        <w:rPr>
          <w:lang w:val="en-GB"/>
        </w:rPr>
        <w:t xml:space="preserve">through the long-term average. In particular, when the short-term average </w:t>
      </w:r>
      <w:r w:rsidR="00FC2A6D" w:rsidRPr="003D50F8">
        <w:rPr>
          <w:lang w:val="en-GB"/>
        </w:rPr>
        <w:t>crosse</w:t>
      </w:r>
      <w:r w:rsidR="00FC2A6D">
        <w:rPr>
          <w:lang w:val="en-GB"/>
        </w:rPr>
        <w:t>d</w:t>
      </w:r>
      <w:r w:rsidR="00FC2A6D" w:rsidRPr="003D50F8">
        <w:rPr>
          <w:lang w:val="en-GB"/>
        </w:rPr>
        <w:t xml:space="preserve"> </w:t>
      </w:r>
      <w:r w:rsidRPr="003D50F8">
        <w:rPr>
          <w:lang w:val="en-GB"/>
        </w:rPr>
        <w:t xml:space="preserve">above the long-term average (known as a “golden cross”), it </w:t>
      </w:r>
      <w:r w:rsidR="00FC2A6D" w:rsidRPr="003D50F8">
        <w:rPr>
          <w:lang w:val="en-GB"/>
        </w:rPr>
        <w:t>signa</w:t>
      </w:r>
      <w:r w:rsidR="00FC2A6D">
        <w:rPr>
          <w:lang w:val="en-GB"/>
        </w:rPr>
        <w:t>lled</w:t>
      </w:r>
      <w:r w:rsidR="00FC2A6D" w:rsidRPr="003D50F8">
        <w:rPr>
          <w:lang w:val="en-GB"/>
        </w:rPr>
        <w:t xml:space="preserve"> </w:t>
      </w:r>
      <w:r w:rsidRPr="003D50F8">
        <w:rPr>
          <w:lang w:val="en-GB"/>
        </w:rPr>
        <w:t xml:space="preserve">an upward trend, and thus </w:t>
      </w:r>
      <w:r w:rsidR="00FC2A6D" w:rsidRPr="003D50F8">
        <w:rPr>
          <w:lang w:val="en-GB"/>
        </w:rPr>
        <w:t>trigger</w:t>
      </w:r>
      <w:r w:rsidR="00FC2A6D">
        <w:rPr>
          <w:lang w:val="en-GB"/>
        </w:rPr>
        <w:t>ed</w:t>
      </w:r>
      <w:r w:rsidR="00FC2A6D" w:rsidRPr="003D50F8">
        <w:rPr>
          <w:lang w:val="en-GB"/>
        </w:rPr>
        <w:t xml:space="preserve"> </w:t>
      </w:r>
      <w:r w:rsidRPr="003D50F8">
        <w:rPr>
          <w:lang w:val="en-GB"/>
        </w:rPr>
        <w:t xml:space="preserve">a “buy” signal. Conversely, a downward trend </w:t>
      </w:r>
      <w:r w:rsidR="00FC2A6D">
        <w:rPr>
          <w:lang w:val="en-GB"/>
        </w:rPr>
        <w:t>wa</w:t>
      </w:r>
      <w:r w:rsidR="00FC2A6D" w:rsidRPr="003D50F8">
        <w:rPr>
          <w:lang w:val="en-GB"/>
        </w:rPr>
        <w:t xml:space="preserve">s </w:t>
      </w:r>
      <w:r w:rsidRPr="003D50F8">
        <w:rPr>
          <w:lang w:val="en-GB"/>
        </w:rPr>
        <w:t xml:space="preserve">established when the long-term average </w:t>
      </w:r>
      <w:r w:rsidR="00FC2A6D" w:rsidRPr="003D50F8">
        <w:rPr>
          <w:lang w:val="en-GB"/>
        </w:rPr>
        <w:t>crosse</w:t>
      </w:r>
      <w:r w:rsidR="00FC2A6D">
        <w:rPr>
          <w:lang w:val="en-GB"/>
        </w:rPr>
        <w:t>d</w:t>
      </w:r>
      <w:r w:rsidR="00FC2A6D" w:rsidRPr="003D50F8">
        <w:rPr>
          <w:lang w:val="en-GB"/>
        </w:rPr>
        <w:t xml:space="preserve"> </w:t>
      </w:r>
      <w:r w:rsidRPr="003D50F8">
        <w:rPr>
          <w:lang w:val="en-GB"/>
        </w:rPr>
        <w:t>above the short-term average (known as a “death cross”), generating a “sell” signal.</w:t>
      </w:r>
    </w:p>
    <w:p w14:paraId="2C635295" w14:textId="77777777" w:rsidR="00037616" w:rsidRPr="003D50F8" w:rsidRDefault="00037616" w:rsidP="00037616">
      <w:pPr>
        <w:pStyle w:val="BodyTextMain"/>
        <w:rPr>
          <w:lang w:val="en-GB"/>
        </w:rPr>
      </w:pPr>
    </w:p>
    <w:p w14:paraId="7963F245" w14:textId="1B18EFF6" w:rsidR="00037616" w:rsidRPr="003D50F8" w:rsidRDefault="00037616" w:rsidP="00037616">
      <w:pPr>
        <w:pStyle w:val="BodyTextMain"/>
        <w:rPr>
          <w:lang w:val="en-GB"/>
        </w:rPr>
      </w:pPr>
      <w:r w:rsidRPr="003D50F8">
        <w:rPr>
          <w:lang w:val="en-GB"/>
        </w:rPr>
        <w:t xml:space="preserve">The industry standard </w:t>
      </w:r>
      <w:r w:rsidR="00FC2A6D">
        <w:rPr>
          <w:lang w:val="en-GB"/>
        </w:rPr>
        <w:t>wa</w:t>
      </w:r>
      <w:r w:rsidR="00FC2A6D" w:rsidRPr="003D50F8">
        <w:rPr>
          <w:lang w:val="en-GB"/>
        </w:rPr>
        <w:t xml:space="preserve">s </w:t>
      </w:r>
      <w:r w:rsidRPr="003D50F8">
        <w:rPr>
          <w:lang w:val="en-GB"/>
        </w:rPr>
        <w:t>to use a five-day, 10-day, or 20-day moving average as the short-term moving average and a 50-day, 100-day, or 200-day moving average as the long-term moving average. However, consider the following example (illustrated in Exhibits 1 and 2), where a two-day moving average (</w:t>
      </w:r>
      <m:oMath>
        <m:r>
          <w:rPr>
            <w:rFonts w:ascii="Cambria Math" w:hAnsi="Cambria Math"/>
            <w:lang w:val="en-GB"/>
          </w:rPr>
          <m:t>M</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 xml:space="preserve">) </m:t>
        </m:r>
      </m:oMath>
      <w:r w:rsidR="00FC2A6D">
        <w:rPr>
          <w:lang w:val="en-GB"/>
        </w:rPr>
        <w:t>wa</w:t>
      </w:r>
      <w:r w:rsidR="00FC2A6D" w:rsidRPr="003D50F8">
        <w:rPr>
          <w:lang w:val="en-GB"/>
        </w:rPr>
        <w:t xml:space="preserve">s </w:t>
      </w:r>
      <w:r w:rsidRPr="003D50F8">
        <w:rPr>
          <w:lang w:val="en-GB"/>
        </w:rPr>
        <w:t>used as the short-term average</w:t>
      </w:r>
      <w:r w:rsidR="00F5608E">
        <w:rPr>
          <w:lang w:val="en-GB"/>
        </w:rPr>
        <w:t>,</w:t>
      </w:r>
      <w:r w:rsidRPr="003D50F8">
        <w:rPr>
          <w:lang w:val="en-GB"/>
        </w:rPr>
        <w:t xml:space="preserve"> and a five-day moving average (</w:t>
      </w:r>
      <m:oMath>
        <m:r>
          <w:rPr>
            <w:rFonts w:ascii="Cambria Math" w:hAnsi="Cambria Math"/>
            <w:lang w:val="en-GB"/>
          </w:rPr>
          <m:t>M</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5</m:t>
            </m:r>
          </m:sub>
        </m:sSub>
      </m:oMath>
      <w:r w:rsidRPr="003D50F8">
        <w:rPr>
          <w:lang w:val="en-GB"/>
        </w:rPr>
        <w:t xml:space="preserve">) </w:t>
      </w:r>
      <w:r w:rsidR="00FC2A6D">
        <w:rPr>
          <w:lang w:val="en-GB"/>
        </w:rPr>
        <w:t>wa</w:t>
      </w:r>
      <w:r w:rsidR="00FC2A6D" w:rsidRPr="003D50F8">
        <w:rPr>
          <w:lang w:val="en-GB"/>
        </w:rPr>
        <w:t xml:space="preserve">s </w:t>
      </w:r>
      <w:r w:rsidRPr="003D50F8">
        <w:rPr>
          <w:lang w:val="en-GB"/>
        </w:rPr>
        <w:t xml:space="preserve">used as the long-term trend. For instance, on day 5, </w:t>
      </w:r>
      <m:oMath>
        <m:r>
          <w:rPr>
            <w:rFonts w:ascii="Cambria Math" w:hAnsi="Cambria Math"/>
            <w:lang w:val="en-GB"/>
          </w:rPr>
          <m:t>M</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=($5,563.71+$4,970.79)÷2=$5,267.25</m:t>
        </m:r>
      </m:oMath>
      <w:r w:rsidRPr="003D50F8">
        <w:rPr>
          <w:lang w:val="en-GB"/>
        </w:rPr>
        <w:t xml:space="preserve"> and </w:t>
      </w:r>
      <m:oMath>
        <m:r>
          <w:rPr>
            <w:rFonts w:ascii="Cambria Math" w:hAnsi="Cambria Math"/>
            <w:lang w:val="en-GB"/>
          </w:rPr>
          <m:t>M</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5</m:t>
            </m:r>
          </m:sub>
        </m:sSub>
        <m:r>
          <w:rPr>
            <w:rFonts w:ascii="Cambria Math" w:hAnsi="Cambria Math"/>
            <w:lang w:val="en-GB"/>
          </w:rPr>
          <m:t>=($5,563.71+$4,970.79+$7,911.43+$7,909.73+$7,923.64)÷5 = $6,855.86</m:t>
        </m:r>
      </m:oMath>
      <w:r w:rsidRPr="003D50F8">
        <w:rPr>
          <w:lang w:val="en-GB"/>
        </w:rPr>
        <w:t xml:space="preserve">. A buy signal </w:t>
      </w:r>
      <w:r w:rsidR="00FC2A6D">
        <w:rPr>
          <w:lang w:val="en-GB"/>
        </w:rPr>
        <w:t>wa</w:t>
      </w:r>
      <w:r w:rsidR="00FC2A6D" w:rsidRPr="003D50F8">
        <w:rPr>
          <w:lang w:val="en-GB"/>
        </w:rPr>
        <w:t xml:space="preserve">s </w:t>
      </w:r>
      <w:r w:rsidRPr="003D50F8">
        <w:rPr>
          <w:lang w:val="en-GB"/>
        </w:rPr>
        <w:t xml:space="preserve">generated on day 8 because the short-term moving average </w:t>
      </w:r>
      <w:r w:rsidR="00FC2A6D" w:rsidRPr="003D50F8">
        <w:rPr>
          <w:lang w:val="en-GB"/>
        </w:rPr>
        <w:t>crosse</w:t>
      </w:r>
      <w:r w:rsidR="00FC2A6D">
        <w:rPr>
          <w:lang w:val="en-GB"/>
        </w:rPr>
        <w:t>d</w:t>
      </w:r>
      <w:r w:rsidR="00FC2A6D" w:rsidRPr="003D50F8">
        <w:rPr>
          <w:lang w:val="en-GB"/>
        </w:rPr>
        <w:t xml:space="preserve"> </w:t>
      </w:r>
      <w:r w:rsidRPr="003D50F8">
        <w:rPr>
          <w:lang w:val="en-GB"/>
        </w:rPr>
        <w:t xml:space="preserve">above the long-term moving average, while a sell signal </w:t>
      </w:r>
      <w:r w:rsidR="00FC2A6D">
        <w:rPr>
          <w:lang w:val="en-GB"/>
        </w:rPr>
        <w:t>wa</w:t>
      </w:r>
      <w:r w:rsidR="00FC2A6D" w:rsidRPr="003D50F8">
        <w:rPr>
          <w:lang w:val="en-GB"/>
        </w:rPr>
        <w:t xml:space="preserve">s </w:t>
      </w:r>
      <w:r w:rsidRPr="003D50F8">
        <w:rPr>
          <w:lang w:val="en-GB"/>
        </w:rPr>
        <w:t xml:space="preserve">generated on day 10 because the long-term moving average </w:t>
      </w:r>
      <w:r w:rsidR="00FC2A6D" w:rsidRPr="003D50F8">
        <w:rPr>
          <w:lang w:val="en-GB"/>
        </w:rPr>
        <w:t>crosse</w:t>
      </w:r>
      <w:r w:rsidR="00FC2A6D">
        <w:rPr>
          <w:lang w:val="en-GB"/>
        </w:rPr>
        <w:t>d</w:t>
      </w:r>
      <w:r w:rsidR="00FC2A6D" w:rsidRPr="003D50F8">
        <w:rPr>
          <w:lang w:val="en-GB"/>
        </w:rPr>
        <w:t xml:space="preserve"> </w:t>
      </w:r>
      <w:r w:rsidRPr="003D50F8">
        <w:rPr>
          <w:lang w:val="en-GB"/>
        </w:rPr>
        <w:t>above the short-term moving average.</w:t>
      </w:r>
    </w:p>
    <w:p w14:paraId="0A524099" w14:textId="77777777" w:rsidR="00037616" w:rsidRPr="003D50F8" w:rsidRDefault="00037616" w:rsidP="00037616">
      <w:pPr>
        <w:pStyle w:val="BodyTextMain"/>
        <w:rPr>
          <w:lang w:val="en-GB"/>
        </w:rPr>
      </w:pPr>
    </w:p>
    <w:p w14:paraId="1084E70E" w14:textId="77777777" w:rsidR="00037616" w:rsidRPr="003D50F8" w:rsidRDefault="00037616" w:rsidP="00037616">
      <w:pPr>
        <w:pStyle w:val="BodyTextMain"/>
        <w:rPr>
          <w:lang w:val="en-GB"/>
        </w:rPr>
      </w:pPr>
    </w:p>
    <w:p w14:paraId="55A0C3C6" w14:textId="77777777" w:rsidR="00037616" w:rsidRPr="003D50F8" w:rsidRDefault="00037616" w:rsidP="00037616">
      <w:pPr>
        <w:pStyle w:val="Casehead1"/>
        <w:rPr>
          <w:lang w:val="en-GB"/>
        </w:rPr>
      </w:pPr>
      <w:r w:rsidRPr="003D50F8">
        <w:rPr>
          <w:lang w:val="en-GB"/>
        </w:rPr>
        <w:t>MAKING A DECISION</w:t>
      </w:r>
    </w:p>
    <w:p w14:paraId="13836BE8" w14:textId="77777777" w:rsidR="00037616" w:rsidRPr="003D50F8" w:rsidRDefault="00037616" w:rsidP="00037616">
      <w:pPr>
        <w:pStyle w:val="BodyTextMain"/>
        <w:rPr>
          <w:lang w:val="en-GB"/>
        </w:rPr>
      </w:pPr>
    </w:p>
    <w:p w14:paraId="33CF691E" w14:textId="26BA68A4" w:rsidR="00037616" w:rsidRPr="003D50F8" w:rsidRDefault="00037616" w:rsidP="00037616">
      <w:pPr>
        <w:pStyle w:val="BodyTextMain"/>
        <w:rPr>
          <w:lang w:val="en-GB"/>
        </w:rPr>
      </w:pPr>
      <w:r w:rsidRPr="003D50F8">
        <w:rPr>
          <w:lang w:val="en-GB"/>
        </w:rPr>
        <w:t>Isaac knew that she could use the moving average strategy to determine the general trend of the price of Bitcoin. She wanted to ascertain two things: (</w:t>
      </w:r>
      <w:r w:rsidR="00FC2A6D">
        <w:rPr>
          <w:lang w:val="en-GB"/>
        </w:rPr>
        <w:t>1</w:t>
      </w:r>
      <w:r w:rsidRPr="003D50F8">
        <w:rPr>
          <w:lang w:val="en-GB"/>
        </w:rPr>
        <w:t xml:space="preserve">) how effective the simple moving average strategy was in this </w:t>
      </w:r>
      <w:r w:rsidR="00FC2A6D">
        <w:rPr>
          <w:lang w:val="en-GB"/>
        </w:rPr>
        <w:t>situation</w:t>
      </w:r>
      <w:r w:rsidRPr="003D50F8">
        <w:rPr>
          <w:lang w:val="en-GB"/>
        </w:rPr>
        <w:t>, and (</w:t>
      </w:r>
      <w:r w:rsidR="00FC2A6D">
        <w:rPr>
          <w:lang w:val="en-GB"/>
        </w:rPr>
        <w:t>2</w:t>
      </w:r>
      <w:r w:rsidRPr="003D50F8">
        <w:rPr>
          <w:lang w:val="en-GB"/>
        </w:rPr>
        <w:t>) the optimal number of days in the short- and long-term moving averages of Bitcoin’s price. She retrieved Bitcoin’s price history for the previous year (see Exhibit 3) from Yahoo</w:t>
      </w:r>
      <w:r w:rsidR="00F5608E">
        <w:rPr>
          <w:lang w:val="en-GB"/>
        </w:rPr>
        <w:t>!</w:t>
      </w:r>
      <w:r w:rsidRPr="003D50F8">
        <w:rPr>
          <w:lang w:val="en-GB"/>
        </w:rPr>
        <w:t xml:space="preserve"> Finance and began to analyze the data.</w:t>
      </w:r>
    </w:p>
    <w:p w14:paraId="37006277" w14:textId="77777777" w:rsidR="00037616" w:rsidRPr="003D50F8" w:rsidRDefault="00037616">
      <w:pPr>
        <w:spacing w:after="200" w:line="276" w:lineRule="auto"/>
        <w:rPr>
          <w:sz w:val="22"/>
          <w:szCs w:val="22"/>
          <w:lang w:val="en-GB"/>
        </w:rPr>
      </w:pPr>
      <w:r w:rsidRPr="003D50F8">
        <w:rPr>
          <w:lang w:val="en-GB"/>
        </w:rPr>
        <w:br w:type="page"/>
      </w:r>
    </w:p>
    <w:p w14:paraId="24CE3C69" w14:textId="2E72F5F6" w:rsidR="00037616" w:rsidRPr="003D50F8" w:rsidRDefault="00037616" w:rsidP="00037616">
      <w:pPr>
        <w:pStyle w:val="Casehead1"/>
        <w:jc w:val="center"/>
        <w:rPr>
          <w:lang w:val="en-GB"/>
        </w:rPr>
      </w:pPr>
      <w:r w:rsidRPr="003D50F8">
        <w:rPr>
          <w:lang w:val="en-GB"/>
        </w:rPr>
        <w:lastRenderedPageBreak/>
        <w:t xml:space="preserve">EXHIBIT 1: </w:t>
      </w:r>
      <w:r w:rsidR="00CD349E">
        <w:rPr>
          <w:lang w:val="en-GB"/>
        </w:rPr>
        <w:t>comparing bitcoin’s two-day and five-day moving averages over a 10-Day period (IN US$)</w:t>
      </w:r>
    </w:p>
    <w:p w14:paraId="16F03F12" w14:textId="77777777" w:rsidR="00037616" w:rsidRPr="003D50F8" w:rsidRDefault="00037616" w:rsidP="00037616">
      <w:pPr>
        <w:pStyle w:val="Casehead1"/>
        <w:jc w:val="center"/>
        <w:rPr>
          <w:lang w:val="en-GB"/>
        </w:rPr>
      </w:pPr>
    </w:p>
    <w:tbl>
      <w:tblPr>
        <w:tblStyle w:val="TableGrid"/>
        <w:tblW w:w="0" w:type="auto"/>
        <w:jc w:val="center"/>
        <w:tblLook w:val="04A0" w:firstRow="1" w:lastRow="0" w:firstColumn="1" w:lastColumn="0" w:noHBand="0" w:noVBand="1"/>
        <w:tblCaption w:val="EXHIBIT 1"/>
        <w:tblDescription w:val="COMPARING BITCOIN’S TWO-DAY AND FIVE-DAY MOVING AVERAGES OVER A 10-DAY PERIOD (IN US$)"/>
      </w:tblPr>
      <w:tblGrid>
        <w:gridCol w:w="744"/>
        <w:gridCol w:w="1482"/>
        <w:gridCol w:w="1106"/>
        <w:gridCol w:w="1106"/>
      </w:tblGrid>
      <w:tr w:rsidR="00037616" w:rsidRPr="003D50F8" w14:paraId="6CFDF0E6" w14:textId="77777777" w:rsidTr="00C771A9">
        <w:trPr>
          <w:tblHeader/>
          <w:jc w:val="center"/>
        </w:trPr>
        <w:tc>
          <w:tcPr>
            <w:tcW w:w="744" w:type="dxa"/>
          </w:tcPr>
          <w:p w14:paraId="19B04E7D" w14:textId="77777777" w:rsidR="00037616" w:rsidRPr="00DA0487" w:rsidRDefault="00037616" w:rsidP="00FC2A6D">
            <w:pPr>
              <w:pStyle w:val="NoSpacing"/>
              <w:jc w:val="center"/>
              <w:rPr>
                <w:rFonts w:ascii="Arial" w:hAnsi="Arial" w:cs="Arial"/>
                <w:b/>
                <w:bCs/>
                <w:sz w:val="20"/>
                <w:szCs w:val="20"/>
                <w:lang w:val="en-GB"/>
              </w:rPr>
            </w:pPr>
            <w:r w:rsidRPr="00DA0487">
              <w:rPr>
                <w:rFonts w:ascii="Arial" w:hAnsi="Arial" w:cs="Arial"/>
                <w:b/>
                <w:bCs/>
                <w:sz w:val="20"/>
                <w:szCs w:val="20"/>
                <w:lang w:val="en-GB"/>
              </w:rPr>
              <w:t>Day</w:t>
            </w:r>
          </w:p>
        </w:tc>
        <w:tc>
          <w:tcPr>
            <w:tcW w:w="1482" w:type="dxa"/>
          </w:tcPr>
          <w:p w14:paraId="1BBFC6B0" w14:textId="77777777" w:rsidR="00037616" w:rsidRPr="00DA0487" w:rsidRDefault="00037616" w:rsidP="00FC2A6D">
            <w:pPr>
              <w:pStyle w:val="NoSpacing"/>
              <w:jc w:val="center"/>
              <w:rPr>
                <w:rFonts w:ascii="Arial" w:hAnsi="Arial" w:cs="Arial"/>
                <w:b/>
                <w:bCs/>
                <w:sz w:val="20"/>
                <w:szCs w:val="20"/>
                <w:lang w:val="en-GB"/>
              </w:rPr>
            </w:pPr>
            <w:r w:rsidRPr="00DA0487">
              <w:rPr>
                <w:rFonts w:ascii="Arial" w:hAnsi="Arial" w:cs="Arial"/>
                <w:b/>
                <w:bCs/>
                <w:sz w:val="20"/>
                <w:szCs w:val="20"/>
                <w:lang w:val="en-GB"/>
              </w:rPr>
              <w:t>BTC-USD</w:t>
            </w:r>
          </w:p>
        </w:tc>
        <w:tc>
          <w:tcPr>
            <w:tcW w:w="1022" w:type="dxa"/>
          </w:tcPr>
          <w:p w14:paraId="27360709" w14:textId="56FB5448" w:rsidR="00037616" w:rsidRPr="00DA0487" w:rsidRDefault="00881E6A" w:rsidP="00FC2A6D">
            <w:pPr>
              <w:pStyle w:val="NoSpacing"/>
              <w:jc w:val="center"/>
              <w:rPr>
                <w:rFonts w:ascii="Arial" w:hAnsi="Arial" w:cs="Arial"/>
                <w:b/>
                <w:bCs/>
                <w:sz w:val="20"/>
                <w:szCs w:val="20"/>
                <w:lang w:val="en-GB"/>
              </w:rPr>
            </w:pPr>
            <m:oMathPara>
              <m:oMath>
                <m:r>
                  <m:rPr>
                    <m:sty m:val="bi"/>
                  </m:rPr>
                  <w:rPr>
                    <w:rFonts w:ascii="Cambria Math" w:hAnsi="Cambria Math" w:cs="Arial"/>
                    <w:sz w:val="20"/>
                    <w:szCs w:val="20"/>
                    <w:lang w:val="en-GB"/>
                  </w:rPr>
                  <m:t>M</m:t>
                </m:r>
                <m:sSub>
                  <m:sSubPr>
                    <m:ctrlPr>
                      <w:rPr>
                        <w:rFonts w:ascii="Cambria Math" w:hAnsi="Cambria Math" w:cs="Arial"/>
                        <w:b/>
                        <w:bCs/>
                        <w:i/>
                        <w:sz w:val="20"/>
                        <w:szCs w:val="20"/>
                        <w:lang w:val="en-GB"/>
                      </w:rPr>
                    </m:ctrlPr>
                  </m:sSubPr>
                  <m:e>
                    <m:r>
                      <m:rPr>
                        <m:sty m:val="bi"/>
                      </m:rPr>
                      <w:rPr>
                        <w:rFonts w:ascii="Cambria Math" w:hAnsi="Cambria Math" w:cs="Arial"/>
                        <w:sz w:val="20"/>
                        <w:szCs w:val="20"/>
                        <w:lang w:val="en-GB"/>
                      </w:rPr>
                      <m:t>A</m:t>
                    </m:r>
                  </m:e>
                  <m:sub>
                    <m:r>
                      <m:rPr>
                        <m:sty m:val="bi"/>
                      </m:rPr>
                      <w:rPr>
                        <w:rFonts w:ascii="Cambria Math" w:hAnsi="Cambria Math" w:cs="Arial"/>
                        <w:sz w:val="20"/>
                        <w:szCs w:val="20"/>
                        <w:lang w:val="en-GB"/>
                      </w:rPr>
                      <m:t>2</m:t>
                    </m:r>
                  </m:sub>
                </m:sSub>
              </m:oMath>
            </m:oMathPara>
          </w:p>
        </w:tc>
        <w:tc>
          <w:tcPr>
            <w:tcW w:w="1022" w:type="dxa"/>
          </w:tcPr>
          <w:p w14:paraId="5EB8A77B" w14:textId="6B35860E" w:rsidR="00037616" w:rsidRPr="00DA0487" w:rsidRDefault="00881E6A" w:rsidP="00FC2A6D">
            <w:pPr>
              <w:pStyle w:val="NoSpacing"/>
              <w:jc w:val="center"/>
              <w:rPr>
                <w:rFonts w:ascii="Arial" w:hAnsi="Arial" w:cs="Arial"/>
                <w:b/>
                <w:bCs/>
                <w:sz w:val="20"/>
                <w:szCs w:val="20"/>
                <w:lang w:val="en-GB"/>
              </w:rPr>
            </w:pPr>
            <m:oMathPara>
              <m:oMath>
                <m:r>
                  <m:rPr>
                    <m:sty m:val="bi"/>
                  </m:rPr>
                  <w:rPr>
                    <w:rFonts w:ascii="Cambria Math" w:hAnsi="Cambria Math" w:cs="Arial"/>
                    <w:sz w:val="20"/>
                    <w:szCs w:val="20"/>
                    <w:lang w:val="en-GB"/>
                  </w:rPr>
                  <m:t>M</m:t>
                </m:r>
                <m:sSub>
                  <m:sSubPr>
                    <m:ctrlPr>
                      <w:rPr>
                        <w:rFonts w:ascii="Cambria Math" w:hAnsi="Cambria Math" w:cs="Arial"/>
                        <w:b/>
                        <w:bCs/>
                        <w:i/>
                        <w:sz w:val="20"/>
                        <w:szCs w:val="20"/>
                        <w:lang w:val="en-GB"/>
                      </w:rPr>
                    </m:ctrlPr>
                  </m:sSubPr>
                  <m:e>
                    <m:r>
                      <m:rPr>
                        <m:sty m:val="bi"/>
                      </m:rPr>
                      <w:rPr>
                        <w:rFonts w:ascii="Cambria Math" w:hAnsi="Cambria Math" w:cs="Arial"/>
                        <w:sz w:val="20"/>
                        <w:szCs w:val="20"/>
                        <w:lang w:val="en-GB"/>
                      </w:rPr>
                      <m:t>A</m:t>
                    </m:r>
                  </m:e>
                  <m:sub>
                    <m:r>
                      <m:rPr>
                        <m:sty m:val="bi"/>
                      </m:rPr>
                      <w:rPr>
                        <w:rFonts w:ascii="Cambria Math" w:hAnsi="Cambria Math" w:cs="Arial"/>
                        <w:sz w:val="20"/>
                        <w:szCs w:val="20"/>
                        <w:lang w:val="en-GB"/>
                      </w:rPr>
                      <m:t>5</m:t>
                    </m:r>
                  </m:sub>
                </m:sSub>
              </m:oMath>
            </m:oMathPara>
          </w:p>
        </w:tc>
      </w:tr>
      <w:tr w:rsidR="00037616" w:rsidRPr="003D50F8" w14:paraId="6BB1FA89" w14:textId="77777777" w:rsidTr="00C771A9">
        <w:trPr>
          <w:tblHeader/>
          <w:jc w:val="center"/>
        </w:trPr>
        <w:tc>
          <w:tcPr>
            <w:tcW w:w="744" w:type="dxa"/>
            <w:vAlign w:val="bottom"/>
          </w:tcPr>
          <w:p w14:paraId="650F91E0"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w:t>
            </w:r>
          </w:p>
        </w:tc>
        <w:tc>
          <w:tcPr>
            <w:tcW w:w="1482" w:type="dxa"/>
            <w:vAlign w:val="bottom"/>
          </w:tcPr>
          <w:p w14:paraId="215C34FD"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$7,923.64</w:t>
            </w:r>
          </w:p>
        </w:tc>
        <w:tc>
          <w:tcPr>
            <w:tcW w:w="1022" w:type="dxa"/>
            <w:vAlign w:val="bottom"/>
          </w:tcPr>
          <w:p w14:paraId="696995FD" w14:textId="77777777" w:rsidR="00037616" w:rsidRPr="003D50F8" w:rsidRDefault="00037616" w:rsidP="00FC2A6D">
            <w:pPr>
              <w:pStyle w:val="NoSpacing"/>
              <w:jc w:val="center"/>
              <w:rPr>
                <w:rFonts w:ascii="Arial" w:hAnsi="Arial" w:cs="Arial"/>
                <w:sz w:val="20"/>
                <w:szCs w:val="20"/>
                <w:lang w:val="en-GB"/>
              </w:rPr>
            </w:pPr>
          </w:p>
        </w:tc>
        <w:tc>
          <w:tcPr>
            <w:tcW w:w="1022" w:type="dxa"/>
            <w:vAlign w:val="bottom"/>
          </w:tcPr>
          <w:p w14:paraId="12AC0113" w14:textId="77777777" w:rsidR="00037616" w:rsidRPr="003D50F8" w:rsidRDefault="00037616" w:rsidP="00FC2A6D">
            <w:pPr>
              <w:pStyle w:val="NoSpacing"/>
              <w:jc w:val="center"/>
              <w:rPr>
                <w:rFonts w:ascii="Arial" w:hAnsi="Arial" w:cs="Arial"/>
                <w:sz w:val="20"/>
                <w:szCs w:val="20"/>
                <w:lang w:val="en-GB"/>
              </w:rPr>
            </w:pPr>
          </w:p>
        </w:tc>
      </w:tr>
      <w:tr w:rsidR="00037616" w:rsidRPr="003D50F8" w14:paraId="40286995" w14:textId="77777777" w:rsidTr="00C771A9">
        <w:trPr>
          <w:tblHeader/>
          <w:jc w:val="center"/>
        </w:trPr>
        <w:tc>
          <w:tcPr>
            <w:tcW w:w="744" w:type="dxa"/>
            <w:vAlign w:val="bottom"/>
          </w:tcPr>
          <w:p w14:paraId="25E5424C"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2</w:t>
            </w:r>
          </w:p>
        </w:tc>
        <w:tc>
          <w:tcPr>
            <w:tcW w:w="1482" w:type="dxa"/>
            <w:vAlign w:val="bottom"/>
          </w:tcPr>
          <w:p w14:paraId="672D2012"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$7,909.73</w:t>
            </w:r>
          </w:p>
        </w:tc>
        <w:tc>
          <w:tcPr>
            <w:tcW w:w="1022" w:type="dxa"/>
            <w:vAlign w:val="bottom"/>
          </w:tcPr>
          <w:p w14:paraId="493430CC"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$7,916.69</w:t>
            </w:r>
          </w:p>
        </w:tc>
        <w:tc>
          <w:tcPr>
            <w:tcW w:w="1022" w:type="dxa"/>
            <w:vAlign w:val="bottom"/>
          </w:tcPr>
          <w:p w14:paraId="7240EF47" w14:textId="77777777" w:rsidR="00037616" w:rsidRPr="003D50F8" w:rsidRDefault="00037616" w:rsidP="00FC2A6D">
            <w:pPr>
              <w:pStyle w:val="NoSpacing"/>
              <w:jc w:val="center"/>
              <w:rPr>
                <w:rFonts w:ascii="Arial" w:hAnsi="Arial" w:cs="Arial"/>
                <w:sz w:val="20"/>
                <w:szCs w:val="20"/>
                <w:lang w:val="en-GB"/>
              </w:rPr>
            </w:pPr>
          </w:p>
        </w:tc>
      </w:tr>
      <w:tr w:rsidR="00037616" w:rsidRPr="003D50F8" w14:paraId="7B069AD3" w14:textId="77777777" w:rsidTr="00C771A9">
        <w:trPr>
          <w:tblHeader/>
          <w:jc w:val="center"/>
        </w:trPr>
        <w:tc>
          <w:tcPr>
            <w:tcW w:w="744" w:type="dxa"/>
            <w:vAlign w:val="bottom"/>
          </w:tcPr>
          <w:p w14:paraId="69675D75"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3</w:t>
            </w:r>
          </w:p>
        </w:tc>
        <w:tc>
          <w:tcPr>
            <w:tcW w:w="1482" w:type="dxa"/>
            <w:vAlign w:val="bottom"/>
          </w:tcPr>
          <w:p w14:paraId="3D7933A9"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$7,911.43</w:t>
            </w:r>
          </w:p>
        </w:tc>
        <w:tc>
          <w:tcPr>
            <w:tcW w:w="1022" w:type="dxa"/>
            <w:vAlign w:val="bottom"/>
          </w:tcPr>
          <w:p w14:paraId="6DBFB248"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$7,910.58</w:t>
            </w:r>
          </w:p>
        </w:tc>
        <w:tc>
          <w:tcPr>
            <w:tcW w:w="1022" w:type="dxa"/>
            <w:vAlign w:val="bottom"/>
          </w:tcPr>
          <w:p w14:paraId="6E2776D4" w14:textId="77777777" w:rsidR="00037616" w:rsidRPr="003D50F8" w:rsidRDefault="00037616" w:rsidP="00FC2A6D">
            <w:pPr>
              <w:pStyle w:val="NoSpacing"/>
              <w:jc w:val="center"/>
              <w:rPr>
                <w:rFonts w:ascii="Arial" w:hAnsi="Arial" w:cs="Arial"/>
                <w:sz w:val="20"/>
                <w:szCs w:val="20"/>
                <w:lang w:val="en-GB"/>
              </w:rPr>
            </w:pPr>
          </w:p>
        </w:tc>
      </w:tr>
      <w:tr w:rsidR="00037616" w:rsidRPr="003D50F8" w14:paraId="27A3D1A4" w14:textId="77777777" w:rsidTr="00C771A9">
        <w:trPr>
          <w:tblHeader/>
          <w:jc w:val="center"/>
        </w:trPr>
        <w:tc>
          <w:tcPr>
            <w:tcW w:w="744" w:type="dxa"/>
            <w:vAlign w:val="bottom"/>
          </w:tcPr>
          <w:p w14:paraId="476E7B93"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4</w:t>
            </w:r>
          </w:p>
        </w:tc>
        <w:tc>
          <w:tcPr>
            <w:tcW w:w="1482" w:type="dxa"/>
            <w:vAlign w:val="bottom"/>
          </w:tcPr>
          <w:p w14:paraId="74879808"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$4,970.79</w:t>
            </w:r>
          </w:p>
        </w:tc>
        <w:tc>
          <w:tcPr>
            <w:tcW w:w="1022" w:type="dxa"/>
            <w:vAlign w:val="bottom"/>
          </w:tcPr>
          <w:p w14:paraId="10E05EC0"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$6,441.11</w:t>
            </w:r>
          </w:p>
        </w:tc>
        <w:tc>
          <w:tcPr>
            <w:tcW w:w="1022" w:type="dxa"/>
            <w:vAlign w:val="bottom"/>
          </w:tcPr>
          <w:p w14:paraId="0A9F9856" w14:textId="77777777" w:rsidR="00037616" w:rsidRPr="003D50F8" w:rsidRDefault="00037616" w:rsidP="00FC2A6D">
            <w:pPr>
              <w:pStyle w:val="NoSpacing"/>
              <w:jc w:val="center"/>
              <w:rPr>
                <w:rFonts w:ascii="Arial" w:hAnsi="Arial" w:cs="Arial"/>
                <w:sz w:val="20"/>
                <w:szCs w:val="20"/>
                <w:lang w:val="en-GB"/>
              </w:rPr>
            </w:pPr>
          </w:p>
        </w:tc>
      </w:tr>
      <w:tr w:rsidR="00037616" w:rsidRPr="003D50F8" w14:paraId="1C75A6B4" w14:textId="77777777" w:rsidTr="00C771A9">
        <w:trPr>
          <w:tblHeader/>
          <w:jc w:val="center"/>
        </w:trPr>
        <w:tc>
          <w:tcPr>
            <w:tcW w:w="744" w:type="dxa"/>
            <w:vAlign w:val="bottom"/>
          </w:tcPr>
          <w:p w14:paraId="52AE5579"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w:t>
            </w:r>
          </w:p>
        </w:tc>
        <w:tc>
          <w:tcPr>
            <w:tcW w:w="1482" w:type="dxa"/>
            <w:vAlign w:val="bottom"/>
          </w:tcPr>
          <w:p w14:paraId="0511D515" w14:textId="77777777" w:rsidR="00037616" w:rsidRPr="003D50F8" w:rsidRDefault="00037616" w:rsidP="00FC2A6D">
            <w:pPr>
              <w:pStyle w:val="NoSpacing"/>
              <w:jc w:val="center"/>
              <w:rPr>
                <w:rFonts w:ascii="Arial" w:hAnsi="Arial" w:cs="Arial"/>
                <w:sz w:val="20"/>
                <w:szCs w:val="20"/>
                <w:lang w:val="en-GB"/>
              </w:rPr>
            </w:pPr>
            <w:bookmarkStart w:id="2" w:name="_Hlk66270488"/>
            <w:r w:rsidRPr="003D50F8">
              <w:rPr>
                <w:rFonts w:ascii="Arial" w:hAnsi="Arial" w:cs="Arial"/>
                <w:sz w:val="20"/>
                <w:szCs w:val="20"/>
                <w:lang w:val="en-GB"/>
              </w:rPr>
              <w:t>$5,563.71</w:t>
            </w:r>
            <w:bookmarkEnd w:id="2"/>
          </w:p>
        </w:tc>
        <w:tc>
          <w:tcPr>
            <w:tcW w:w="1022" w:type="dxa"/>
            <w:vAlign w:val="bottom"/>
          </w:tcPr>
          <w:p w14:paraId="18283D1B" w14:textId="77777777" w:rsidR="00037616" w:rsidRPr="003D50F8" w:rsidRDefault="00037616" w:rsidP="00FC2A6D">
            <w:pPr>
              <w:pStyle w:val="NoSpacing"/>
              <w:jc w:val="center"/>
              <w:rPr>
                <w:rFonts w:ascii="Arial" w:hAnsi="Arial" w:cs="Arial"/>
                <w:sz w:val="20"/>
                <w:szCs w:val="20"/>
                <w:lang w:val="en-GB"/>
              </w:rPr>
            </w:pPr>
            <w:bookmarkStart w:id="3" w:name="_Hlk66270556"/>
            <w:r w:rsidRPr="003D50F8">
              <w:rPr>
                <w:rFonts w:ascii="Arial" w:hAnsi="Arial" w:cs="Arial"/>
                <w:sz w:val="20"/>
                <w:szCs w:val="20"/>
                <w:lang w:val="en-GB"/>
              </w:rPr>
              <w:t>$5,267.25</w:t>
            </w:r>
            <w:bookmarkEnd w:id="3"/>
          </w:p>
        </w:tc>
        <w:tc>
          <w:tcPr>
            <w:tcW w:w="1022" w:type="dxa"/>
            <w:vAlign w:val="bottom"/>
          </w:tcPr>
          <w:p w14:paraId="5ABCEA4E"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$6,855.86</w:t>
            </w:r>
          </w:p>
        </w:tc>
      </w:tr>
      <w:tr w:rsidR="00037616" w:rsidRPr="003D50F8" w14:paraId="5A1E4B9E" w14:textId="77777777" w:rsidTr="00C771A9">
        <w:trPr>
          <w:tblHeader/>
          <w:jc w:val="center"/>
        </w:trPr>
        <w:tc>
          <w:tcPr>
            <w:tcW w:w="744" w:type="dxa"/>
            <w:vAlign w:val="bottom"/>
          </w:tcPr>
          <w:p w14:paraId="6888FE3C"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6</w:t>
            </w:r>
          </w:p>
        </w:tc>
        <w:tc>
          <w:tcPr>
            <w:tcW w:w="1482" w:type="dxa"/>
            <w:vAlign w:val="bottom"/>
          </w:tcPr>
          <w:p w14:paraId="6A8E4280"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$5,200.37</w:t>
            </w:r>
          </w:p>
        </w:tc>
        <w:tc>
          <w:tcPr>
            <w:tcW w:w="1022" w:type="dxa"/>
            <w:vAlign w:val="bottom"/>
          </w:tcPr>
          <w:p w14:paraId="6E9A0841"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$5,382.04</w:t>
            </w:r>
          </w:p>
        </w:tc>
        <w:tc>
          <w:tcPr>
            <w:tcW w:w="1022" w:type="dxa"/>
            <w:vAlign w:val="bottom"/>
          </w:tcPr>
          <w:p w14:paraId="263BAB10"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$6,311.20</w:t>
            </w:r>
          </w:p>
        </w:tc>
      </w:tr>
      <w:tr w:rsidR="00037616" w:rsidRPr="003D50F8" w14:paraId="000D971F" w14:textId="77777777" w:rsidTr="00C771A9">
        <w:trPr>
          <w:tblHeader/>
          <w:jc w:val="center"/>
        </w:trPr>
        <w:tc>
          <w:tcPr>
            <w:tcW w:w="744" w:type="dxa"/>
            <w:vAlign w:val="bottom"/>
          </w:tcPr>
          <w:p w14:paraId="5747DF30"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w:t>
            </w:r>
          </w:p>
        </w:tc>
        <w:tc>
          <w:tcPr>
            <w:tcW w:w="1482" w:type="dxa"/>
            <w:vAlign w:val="bottom"/>
          </w:tcPr>
          <w:p w14:paraId="7B4A18C3"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$5,392.31</w:t>
            </w:r>
          </w:p>
        </w:tc>
        <w:tc>
          <w:tcPr>
            <w:tcW w:w="1022" w:type="dxa"/>
            <w:vAlign w:val="bottom"/>
          </w:tcPr>
          <w:p w14:paraId="64A4F95B"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$5,296.34</w:t>
            </w:r>
          </w:p>
        </w:tc>
        <w:tc>
          <w:tcPr>
            <w:tcW w:w="1022" w:type="dxa"/>
            <w:vAlign w:val="bottom"/>
          </w:tcPr>
          <w:p w14:paraId="27FF1677"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$5,807.72</w:t>
            </w:r>
          </w:p>
        </w:tc>
      </w:tr>
      <w:tr w:rsidR="00037616" w:rsidRPr="003D50F8" w14:paraId="325F1B2F" w14:textId="77777777" w:rsidTr="00C771A9">
        <w:trPr>
          <w:tblHeader/>
          <w:jc w:val="center"/>
        </w:trPr>
        <w:tc>
          <w:tcPr>
            <w:tcW w:w="744" w:type="dxa"/>
            <w:vAlign w:val="bottom"/>
          </w:tcPr>
          <w:p w14:paraId="246B231B"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8</w:t>
            </w:r>
          </w:p>
        </w:tc>
        <w:tc>
          <w:tcPr>
            <w:tcW w:w="1482" w:type="dxa"/>
            <w:vAlign w:val="bottom"/>
          </w:tcPr>
          <w:p w14:paraId="3D2E880B"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$7,000.13</w:t>
            </w:r>
          </w:p>
        </w:tc>
        <w:tc>
          <w:tcPr>
            <w:tcW w:w="1022" w:type="dxa"/>
            <w:vAlign w:val="bottom"/>
          </w:tcPr>
          <w:p w14:paraId="3D25EF2E"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$6,196.22</w:t>
            </w:r>
          </w:p>
        </w:tc>
        <w:tc>
          <w:tcPr>
            <w:tcW w:w="1022" w:type="dxa"/>
            <w:vAlign w:val="bottom"/>
          </w:tcPr>
          <w:p w14:paraId="735581BD"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$5,625.46</w:t>
            </w:r>
          </w:p>
        </w:tc>
      </w:tr>
      <w:tr w:rsidR="00037616" w:rsidRPr="003D50F8" w14:paraId="043845CC" w14:textId="77777777" w:rsidTr="00C771A9">
        <w:trPr>
          <w:tblHeader/>
          <w:jc w:val="center"/>
        </w:trPr>
        <w:tc>
          <w:tcPr>
            <w:tcW w:w="744" w:type="dxa"/>
            <w:vAlign w:val="bottom"/>
          </w:tcPr>
          <w:p w14:paraId="05A2A6BB"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9</w:t>
            </w:r>
          </w:p>
        </w:tc>
        <w:tc>
          <w:tcPr>
            <w:tcW w:w="1482" w:type="dxa"/>
            <w:vAlign w:val="bottom"/>
          </w:tcPr>
          <w:p w14:paraId="4BE30071"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$5,225.63</w:t>
            </w:r>
          </w:p>
        </w:tc>
        <w:tc>
          <w:tcPr>
            <w:tcW w:w="1022" w:type="dxa"/>
            <w:vAlign w:val="bottom"/>
          </w:tcPr>
          <w:p w14:paraId="5E94C4D8"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$6,112.88</w:t>
            </w:r>
          </w:p>
        </w:tc>
        <w:tc>
          <w:tcPr>
            <w:tcW w:w="1022" w:type="dxa"/>
            <w:vAlign w:val="bottom"/>
          </w:tcPr>
          <w:p w14:paraId="0C506B7D"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$5,676.43</w:t>
            </w:r>
          </w:p>
        </w:tc>
      </w:tr>
      <w:tr w:rsidR="00037616" w:rsidRPr="003D50F8" w14:paraId="151AF428" w14:textId="77777777" w:rsidTr="00C771A9">
        <w:trPr>
          <w:tblHeader/>
          <w:jc w:val="center"/>
        </w:trPr>
        <w:tc>
          <w:tcPr>
            <w:tcW w:w="744" w:type="dxa"/>
            <w:vAlign w:val="bottom"/>
          </w:tcPr>
          <w:p w14:paraId="7DDA5D1A"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10</w:t>
            </w:r>
          </w:p>
        </w:tc>
        <w:tc>
          <w:tcPr>
            <w:tcW w:w="1482" w:type="dxa"/>
            <w:vAlign w:val="bottom"/>
          </w:tcPr>
          <w:p w14:paraId="3D329EEA"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$5,238.44</w:t>
            </w:r>
          </w:p>
        </w:tc>
        <w:tc>
          <w:tcPr>
            <w:tcW w:w="1022" w:type="dxa"/>
            <w:vAlign w:val="bottom"/>
          </w:tcPr>
          <w:p w14:paraId="5A074335"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$5,232.03</w:t>
            </w:r>
          </w:p>
        </w:tc>
        <w:tc>
          <w:tcPr>
            <w:tcW w:w="1022" w:type="dxa"/>
            <w:vAlign w:val="bottom"/>
          </w:tcPr>
          <w:p w14:paraId="63AA3E0A"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$5,611.37</w:t>
            </w:r>
          </w:p>
        </w:tc>
      </w:tr>
    </w:tbl>
    <w:p w14:paraId="461552EF" w14:textId="77777777" w:rsidR="00037616" w:rsidRPr="003D50F8" w:rsidRDefault="00037616" w:rsidP="00037616">
      <w:pPr>
        <w:pStyle w:val="BodyTextMain"/>
        <w:tabs>
          <w:tab w:val="left" w:pos="2016"/>
        </w:tabs>
        <w:rPr>
          <w:lang w:val="en-GB"/>
        </w:rPr>
      </w:pPr>
    </w:p>
    <w:p w14:paraId="3E9D10C8" w14:textId="15DCC790" w:rsidR="00CD349E" w:rsidRPr="00CD349E" w:rsidRDefault="00CD349E" w:rsidP="00037616">
      <w:pPr>
        <w:pStyle w:val="Footnote"/>
        <w:rPr>
          <w:lang w:val="en-GB"/>
        </w:rPr>
      </w:pPr>
      <w:r>
        <w:rPr>
          <w:lang w:val="en-GB"/>
        </w:rPr>
        <w:t>Note: BTC = Bitcoin; USD = US$; MA</w:t>
      </w:r>
      <w:r w:rsidRPr="00DA0487">
        <w:rPr>
          <w:vertAlign w:val="subscript"/>
          <w:lang w:val="en-GB"/>
        </w:rPr>
        <w:t>2</w:t>
      </w:r>
      <w:r w:rsidRPr="00DA0487">
        <w:rPr>
          <w:lang w:val="en-GB"/>
        </w:rPr>
        <w:t xml:space="preserve"> = </w:t>
      </w:r>
      <w:r>
        <w:rPr>
          <w:lang w:val="en-GB"/>
        </w:rPr>
        <w:t>two-day moving average; MA</w:t>
      </w:r>
      <w:r w:rsidRPr="00DA0487">
        <w:rPr>
          <w:vertAlign w:val="subscript"/>
          <w:lang w:val="en-GB"/>
        </w:rPr>
        <w:t>5</w:t>
      </w:r>
      <w:r w:rsidRPr="00DA0487">
        <w:rPr>
          <w:lang w:val="en-GB"/>
        </w:rPr>
        <w:t xml:space="preserve"> = </w:t>
      </w:r>
      <w:r>
        <w:rPr>
          <w:lang w:val="en-GB"/>
        </w:rPr>
        <w:t>five-day moving average</w:t>
      </w:r>
    </w:p>
    <w:p w14:paraId="3B1B81B4" w14:textId="2476E019" w:rsidR="00037616" w:rsidRPr="003D50F8" w:rsidRDefault="00037616" w:rsidP="00037616">
      <w:pPr>
        <w:pStyle w:val="Footnote"/>
        <w:rPr>
          <w:lang w:val="en-GB"/>
        </w:rPr>
      </w:pPr>
      <w:r w:rsidRPr="00CD349E">
        <w:rPr>
          <w:lang w:val="en-GB"/>
        </w:rPr>
        <w:t>S</w:t>
      </w:r>
      <w:r w:rsidRPr="003D50F8">
        <w:rPr>
          <w:lang w:val="en-GB"/>
        </w:rPr>
        <w:t xml:space="preserve">ource: Created by </w:t>
      </w:r>
      <w:r w:rsidR="00CD349E">
        <w:rPr>
          <w:lang w:val="en-GB"/>
        </w:rPr>
        <w:t xml:space="preserve">the case </w:t>
      </w:r>
      <w:r w:rsidRPr="003D50F8">
        <w:rPr>
          <w:lang w:val="en-GB"/>
        </w:rPr>
        <w:t>authors.</w:t>
      </w:r>
    </w:p>
    <w:p w14:paraId="294B98EE" w14:textId="77777777" w:rsidR="00037616" w:rsidRPr="003D50F8" w:rsidRDefault="00037616" w:rsidP="00037616">
      <w:pPr>
        <w:pStyle w:val="BodyTextMain"/>
        <w:rPr>
          <w:lang w:val="en-GB"/>
        </w:rPr>
      </w:pPr>
    </w:p>
    <w:p w14:paraId="5436A153" w14:textId="77777777" w:rsidR="00037616" w:rsidRPr="003D50F8" w:rsidRDefault="00037616" w:rsidP="00037616">
      <w:pPr>
        <w:pStyle w:val="BodyTextMain"/>
        <w:rPr>
          <w:lang w:val="en-GB"/>
        </w:rPr>
      </w:pPr>
    </w:p>
    <w:p w14:paraId="4ED7D634" w14:textId="0B529F55" w:rsidR="00037616" w:rsidRDefault="00037616" w:rsidP="00037616">
      <w:pPr>
        <w:pStyle w:val="Casehead1"/>
        <w:jc w:val="center"/>
        <w:rPr>
          <w:lang w:val="en-GB"/>
        </w:rPr>
      </w:pPr>
      <w:r w:rsidRPr="003D50F8">
        <w:rPr>
          <w:lang w:val="en-GB"/>
        </w:rPr>
        <w:t xml:space="preserve">EXHIBIT 2: </w:t>
      </w:r>
      <w:r w:rsidR="00CD349E">
        <w:rPr>
          <w:lang w:val="en-GB"/>
        </w:rPr>
        <w:t>graphical comparison of bitcoin’s two-day and five-day moving averages over a 10-day period (IN US$)</w:t>
      </w:r>
    </w:p>
    <w:p w14:paraId="10101A8B" w14:textId="09B32935" w:rsidR="00062202" w:rsidRDefault="00062202" w:rsidP="00037616">
      <w:pPr>
        <w:pStyle w:val="Casehead1"/>
        <w:jc w:val="center"/>
        <w:rPr>
          <w:lang w:val="en-GB"/>
        </w:rPr>
      </w:pPr>
    </w:p>
    <w:p w14:paraId="01652E25" w14:textId="40FFFBCA" w:rsidR="00B43633" w:rsidRDefault="00B43633" w:rsidP="00037616">
      <w:pPr>
        <w:pStyle w:val="Footnote"/>
        <w:rPr>
          <w:lang w:val="en-GB"/>
        </w:rPr>
      </w:pPr>
    </w:p>
    <w:p w14:paraId="4B7C12A2" w14:textId="3B8BF6D4" w:rsidR="00062202" w:rsidRDefault="00062202" w:rsidP="00FD0CC3">
      <w:pPr>
        <w:pStyle w:val="Footnote"/>
        <w:jc w:val="center"/>
        <w:rPr>
          <w:lang w:val="en-GB"/>
        </w:rPr>
      </w:pPr>
      <w:r>
        <w:rPr>
          <w:noProof/>
          <w:lang w:val="en-GB" w:eastAsia="en-GB"/>
        </w:rPr>
        <w:drawing>
          <wp:inline distT="0" distB="0" distL="0" distR="0" wp14:anchorId="0388E8B4" wp14:editId="6A320470">
            <wp:extent cx="3815930" cy="2514600"/>
            <wp:effectExtent l="0" t="0" r="0" b="0"/>
            <wp:docPr id="9" name="Picture 9" descr="GRAPHICAL COMPARISON OF BITCOIN’S TWO-DAY AND FIVE-DAY MOVING AVERAGES OVER A 10-DAY PERIOD (IN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6802" cy="2541534"/>
                    </a:xfrm>
                    <a:prstGeom prst="rect">
                      <a:avLst/>
                    </a:prstGeom>
                  </pic:spPr>
                </pic:pic>
              </a:graphicData>
            </a:graphic>
          </wp:inline>
        </w:drawing>
      </w:r>
    </w:p>
    <w:p w14:paraId="43E4B352" w14:textId="77777777" w:rsidR="00062202" w:rsidRDefault="00062202" w:rsidP="00037616">
      <w:pPr>
        <w:pStyle w:val="Footnote"/>
        <w:rPr>
          <w:lang w:val="en-GB"/>
        </w:rPr>
      </w:pPr>
    </w:p>
    <w:p w14:paraId="37DE3F63" w14:textId="71E39C00" w:rsidR="00CD349E" w:rsidRDefault="00CD349E" w:rsidP="00037616">
      <w:pPr>
        <w:pStyle w:val="Footnote"/>
        <w:rPr>
          <w:lang w:val="en-GB"/>
        </w:rPr>
      </w:pPr>
      <w:r>
        <w:rPr>
          <w:lang w:val="en-GB"/>
        </w:rPr>
        <w:t>Note: BTC = Bitcoin; USD = US$; MA</w:t>
      </w:r>
      <w:r w:rsidRPr="00362B1D">
        <w:rPr>
          <w:vertAlign w:val="subscript"/>
          <w:lang w:val="en-GB"/>
        </w:rPr>
        <w:t>2</w:t>
      </w:r>
      <w:r w:rsidRPr="00362B1D">
        <w:rPr>
          <w:lang w:val="en-GB"/>
        </w:rPr>
        <w:t xml:space="preserve"> = </w:t>
      </w:r>
      <w:r>
        <w:rPr>
          <w:lang w:val="en-GB"/>
        </w:rPr>
        <w:t>two-day moving average; MA</w:t>
      </w:r>
      <w:r w:rsidRPr="00362B1D">
        <w:rPr>
          <w:vertAlign w:val="subscript"/>
          <w:lang w:val="en-GB"/>
        </w:rPr>
        <w:t>5</w:t>
      </w:r>
      <w:r w:rsidRPr="00362B1D">
        <w:rPr>
          <w:lang w:val="en-GB"/>
        </w:rPr>
        <w:t xml:space="preserve"> = </w:t>
      </w:r>
      <w:r>
        <w:rPr>
          <w:lang w:val="en-GB"/>
        </w:rPr>
        <w:t>five-day moving average</w:t>
      </w:r>
    </w:p>
    <w:p w14:paraId="494155B1" w14:textId="0B00BE4D" w:rsidR="00037616" w:rsidRPr="003D50F8" w:rsidRDefault="00037616" w:rsidP="00037616">
      <w:pPr>
        <w:pStyle w:val="Footnote"/>
        <w:rPr>
          <w:lang w:val="en-GB"/>
        </w:rPr>
      </w:pPr>
      <w:r w:rsidRPr="003D50F8">
        <w:rPr>
          <w:lang w:val="en-GB"/>
        </w:rPr>
        <w:t xml:space="preserve">Source: Created by </w:t>
      </w:r>
      <w:r w:rsidR="00CD349E">
        <w:rPr>
          <w:lang w:val="en-GB"/>
        </w:rPr>
        <w:t xml:space="preserve">the </w:t>
      </w:r>
      <w:r w:rsidR="00881E6A">
        <w:rPr>
          <w:lang w:val="en-GB"/>
        </w:rPr>
        <w:t xml:space="preserve">case </w:t>
      </w:r>
      <w:r w:rsidRPr="003D50F8">
        <w:rPr>
          <w:lang w:val="en-GB"/>
        </w:rPr>
        <w:t>authors.</w:t>
      </w:r>
    </w:p>
    <w:p w14:paraId="6A81481B" w14:textId="77777777" w:rsidR="00037616" w:rsidRPr="003D50F8" w:rsidRDefault="00037616" w:rsidP="00037616">
      <w:pPr>
        <w:pStyle w:val="Casehead1"/>
        <w:jc w:val="center"/>
        <w:rPr>
          <w:lang w:val="en-GB"/>
        </w:rPr>
      </w:pPr>
    </w:p>
    <w:p w14:paraId="7CB827B8" w14:textId="77777777" w:rsidR="00037616" w:rsidRPr="003D50F8" w:rsidRDefault="00037616" w:rsidP="00037616">
      <w:pPr>
        <w:pStyle w:val="Casehead1"/>
        <w:jc w:val="center"/>
        <w:rPr>
          <w:lang w:val="en-GB"/>
        </w:rPr>
      </w:pPr>
    </w:p>
    <w:p w14:paraId="747F76BC" w14:textId="77777777" w:rsidR="00881E6A" w:rsidRDefault="00881E6A">
      <w:pPr>
        <w:spacing w:after="200" w:line="276" w:lineRule="auto"/>
        <w:rPr>
          <w:rFonts w:ascii="Arial" w:hAnsi="Arial" w:cs="Arial"/>
          <w:b/>
          <w:caps/>
          <w:lang w:val="en-GB"/>
        </w:rPr>
      </w:pPr>
      <w:r>
        <w:rPr>
          <w:lang w:val="en-GB"/>
        </w:rPr>
        <w:br w:type="page"/>
      </w:r>
    </w:p>
    <w:p w14:paraId="3FD8BDF9" w14:textId="6BC47D05" w:rsidR="00037616" w:rsidRPr="003D50F8" w:rsidRDefault="00037616" w:rsidP="00037616">
      <w:pPr>
        <w:pStyle w:val="ExhibitHeading"/>
        <w:rPr>
          <w:lang w:val="en-GB"/>
        </w:rPr>
      </w:pPr>
      <w:r w:rsidRPr="003D50F8">
        <w:rPr>
          <w:lang w:val="en-GB"/>
        </w:rPr>
        <w:lastRenderedPageBreak/>
        <w:t>EXHIBIT 3: Bitcoin prices</w:t>
      </w:r>
      <w:r w:rsidR="00CD349E">
        <w:rPr>
          <w:lang w:val="en-GB"/>
        </w:rPr>
        <w:t xml:space="preserve"> on selected dates in 2020</w:t>
      </w:r>
      <w:r w:rsidR="00881E6A">
        <w:rPr>
          <w:lang w:val="en-GB"/>
        </w:rPr>
        <w:t xml:space="preserve"> and 2021</w:t>
      </w:r>
      <w:r w:rsidR="00CD349E">
        <w:rPr>
          <w:lang w:val="en-GB"/>
        </w:rPr>
        <w:t xml:space="preserve"> (IN US$)</w:t>
      </w:r>
    </w:p>
    <w:p w14:paraId="78FCC44F" w14:textId="77777777" w:rsidR="00037616" w:rsidRPr="003D50F8" w:rsidRDefault="00037616" w:rsidP="00037616">
      <w:pPr>
        <w:pStyle w:val="NoSpacing"/>
        <w:rPr>
          <w:sz w:val="20"/>
          <w:lang w:val="en-GB"/>
        </w:rPr>
      </w:pPr>
    </w:p>
    <w:tbl>
      <w:tblPr>
        <w:tblStyle w:val="TableGrid"/>
        <w:tblW w:w="0" w:type="auto"/>
        <w:jc w:val="center"/>
        <w:tblLook w:val="04A0" w:firstRow="1" w:lastRow="0" w:firstColumn="1" w:lastColumn="0" w:noHBand="0" w:noVBand="1"/>
        <w:tblCaption w:val="EXHIBIT 3"/>
        <w:tblDescription w:val="BITCOIN PRICES ON SELECTED DATES IN 2020 AND 2021 (IN US$)"/>
      </w:tblPr>
      <w:tblGrid>
        <w:gridCol w:w="1645"/>
        <w:gridCol w:w="2071"/>
      </w:tblGrid>
      <w:tr w:rsidR="00037616" w:rsidRPr="003D50F8" w14:paraId="5C3BD345" w14:textId="77777777" w:rsidTr="00C771A9">
        <w:trPr>
          <w:tblHeader/>
          <w:jc w:val="center"/>
        </w:trPr>
        <w:tc>
          <w:tcPr>
            <w:tcW w:w="1645" w:type="dxa"/>
          </w:tcPr>
          <w:p w14:paraId="1403F626" w14:textId="77777777" w:rsidR="00037616" w:rsidRPr="00DA0487" w:rsidRDefault="00037616" w:rsidP="00FC2A6D">
            <w:pPr>
              <w:pStyle w:val="NoSpacing"/>
              <w:jc w:val="center"/>
              <w:rPr>
                <w:rFonts w:ascii="Arial" w:hAnsi="Arial" w:cs="Arial"/>
                <w:b/>
                <w:bCs/>
                <w:sz w:val="20"/>
                <w:szCs w:val="20"/>
                <w:lang w:val="en-GB"/>
              </w:rPr>
            </w:pPr>
            <w:r w:rsidRPr="00DA0487">
              <w:rPr>
                <w:rFonts w:ascii="Arial" w:hAnsi="Arial" w:cs="Arial"/>
                <w:b/>
                <w:bCs/>
                <w:sz w:val="20"/>
                <w:szCs w:val="20"/>
                <w:lang w:val="en-GB"/>
              </w:rPr>
              <w:t>Date</w:t>
            </w:r>
          </w:p>
        </w:tc>
        <w:tc>
          <w:tcPr>
            <w:tcW w:w="2071" w:type="dxa"/>
          </w:tcPr>
          <w:p w14:paraId="7706D58F" w14:textId="77777777" w:rsidR="00037616" w:rsidRPr="00DA0487" w:rsidRDefault="00037616" w:rsidP="00FC2A6D">
            <w:pPr>
              <w:jc w:val="center"/>
              <w:rPr>
                <w:rFonts w:ascii="Arial" w:hAnsi="Arial" w:cs="Arial"/>
                <w:b/>
                <w:bCs/>
                <w:lang w:val="en-GB"/>
              </w:rPr>
            </w:pPr>
            <w:r w:rsidRPr="00DA0487">
              <w:rPr>
                <w:rFonts w:ascii="Arial" w:hAnsi="Arial" w:cs="Arial"/>
                <w:b/>
                <w:bCs/>
                <w:lang w:val="en-GB"/>
              </w:rPr>
              <w:t>BTC-USD</w:t>
            </w:r>
          </w:p>
        </w:tc>
      </w:tr>
      <w:tr w:rsidR="00037616" w:rsidRPr="003D50F8" w14:paraId="0045CE73" w14:textId="77777777" w:rsidTr="00C771A9">
        <w:trPr>
          <w:tblHeader/>
          <w:jc w:val="center"/>
        </w:trPr>
        <w:tc>
          <w:tcPr>
            <w:tcW w:w="1645" w:type="dxa"/>
          </w:tcPr>
          <w:p w14:paraId="7E24F5E0" w14:textId="77777777" w:rsidR="00037616" w:rsidRPr="003D50F8" w:rsidRDefault="00037616" w:rsidP="00FC2A6D">
            <w:pPr>
              <w:jc w:val="center"/>
              <w:rPr>
                <w:rFonts w:ascii="Arial" w:hAnsi="Arial" w:cs="Arial"/>
                <w:lang w:val="en-GB"/>
              </w:rPr>
            </w:pPr>
            <w:r w:rsidRPr="003D50F8">
              <w:rPr>
                <w:rFonts w:ascii="Arial" w:hAnsi="Arial" w:cs="Arial"/>
                <w:lang w:val="en-GB"/>
              </w:rPr>
              <w:t>10/2/2020</w:t>
            </w:r>
          </w:p>
        </w:tc>
        <w:tc>
          <w:tcPr>
            <w:tcW w:w="2071" w:type="dxa"/>
            <w:vAlign w:val="bottom"/>
          </w:tcPr>
          <w:p w14:paraId="6AF97D38"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9,856.6113</w:t>
            </w:r>
          </w:p>
        </w:tc>
      </w:tr>
      <w:tr w:rsidR="00037616" w:rsidRPr="003D50F8" w14:paraId="705DDA06" w14:textId="77777777" w:rsidTr="00C771A9">
        <w:trPr>
          <w:tblHeader/>
          <w:jc w:val="center"/>
        </w:trPr>
        <w:tc>
          <w:tcPr>
            <w:tcW w:w="1645" w:type="dxa"/>
          </w:tcPr>
          <w:p w14:paraId="110DC40F"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11/2/2020</w:t>
            </w:r>
          </w:p>
        </w:tc>
        <w:tc>
          <w:tcPr>
            <w:tcW w:w="2071" w:type="dxa"/>
            <w:vAlign w:val="bottom"/>
          </w:tcPr>
          <w:p w14:paraId="5827225B"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10,208.236</w:t>
            </w:r>
          </w:p>
        </w:tc>
      </w:tr>
      <w:tr w:rsidR="00037616" w:rsidRPr="003D50F8" w14:paraId="44BEACE7" w14:textId="77777777" w:rsidTr="00C771A9">
        <w:trPr>
          <w:tblHeader/>
          <w:jc w:val="center"/>
        </w:trPr>
        <w:tc>
          <w:tcPr>
            <w:tcW w:w="1645" w:type="dxa"/>
          </w:tcPr>
          <w:p w14:paraId="5B8209D8"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12/2/2020</w:t>
            </w:r>
          </w:p>
        </w:tc>
        <w:tc>
          <w:tcPr>
            <w:tcW w:w="2071" w:type="dxa"/>
            <w:vAlign w:val="bottom"/>
          </w:tcPr>
          <w:p w14:paraId="26C09270"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10,326.055</w:t>
            </w:r>
          </w:p>
        </w:tc>
      </w:tr>
      <w:tr w:rsidR="00037616" w:rsidRPr="003D50F8" w14:paraId="3C72A340" w14:textId="77777777" w:rsidTr="00C771A9">
        <w:trPr>
          <w:tblHeader/>
          <w:jc w:val="center"/>
        </w:trPr>
        <w:tc>
          <w:tcPr>
            <w:tcW w:w="1645" w:type="dxa"/>
          </w:tcPr>
          <w:p w14:paraId="61FBE811"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13/2/2020</w:t>
            </w:r>
          </w:p>
        </w:tc>
        <w:tc>
          <w:tcPr>
            <w:tcW w:w="2071" w:type="dxa"/>
            <w:vAlign w:val="bottom"/>
          </w:tcPr>
          <w:p w14:paraId="1802BF53"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10,214.38</w:t>
            </w:r>
          </w:p>
        </w:tc>
      </w:tr>
      <w:tr w:rsidR="00037616" w:rsidRPr="003D50F8" w14:paraId="6C2A5233" w14:textId="77777777" w:rsidTr="00C771A9">
        <w:trPr>
          <w:tblHeader/>
          <w:jc w:val="center"/>
        </w:trPr>
        <w:tc>
          <w:tcPr>
            <w:tcW w:w="1645" w:type="dxa"/>
          </w:tcPr>
          <w:p w14:paraId="14EDAEC3"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14/2/2020</w:t>
            </w:r>
          </w:p>
        </w:tc>
        <w:tc>
          <w:tcPr>
            <w:tcW w:w="2071" w:type="dxa"/>
            <w:vAlign w:val="bottom"/>
          </w:tcPr>
          <w:p w14:paraId="7D562084"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10,312.116</w:t>
            </w:r>
          </w:p>
        </w:tc>
      </w:tr>
      <w:tr w:rsidR="00037616" w:rsidRPr="003D50F8" w14:paraId="63906C9F" w14:textId="77777777" w:rsidTr="00C771A9">
        <w:trPr>
          <w:tblHeader/>
          <w:jc w:val="center"/>
        </w:trPr>
        <w:tc>
          <w:tcPr>
            <w:tcW w:w="1645" w:type="dxa"/>
          </w:tcPr>
          <w:p w14:paraId="2EA05E3F" w14:textId="77777777" w:rsidR="00037616" w:rsidRPr="003D50F8" w:rsidRDefault="00037616" w:rsidP="00FC2A6D">
            <w:pPr>
              <w:pStyle w:val="NoSpacing"/>
              <w:jc w:val="center"/>
              <w:rPr>
                <w:rFonts w:ascii="Arial" w:hAnsi="Arial" w:cs="Arial"/>
                <w:sz w:val="20"/>
                <w:szCs w:val="20"/>
                <w:lang w:val="en-GB"/>
              </w:rPr>
            </w:pPr>
          </w:p>
        </w:tc>
        <w:tc>
          <w:tcPr>
            <w:tcW w:w="2071" w:type="dxa"/>
            <w:vAlign w:val="bottom"/>
          </w:tcPr>
          <w:p w14:paraId="594C6A21" w14:textId="77777777" w:rsidR="00037616" w:rsidRPr="003D50F8" w:rsidRDefault="00037616" w:rsidP="00DA0487">
            <w:pPr>
              <w:pStyle w:val="NoSpacing"/>
              <w:tabs>
                <w:tab w:val="decimal" w:pos="940"/>
              </w:tabs>
              <w:jc w:val="center"/>
              <w:rPr>
                <w:rFonts w:ascii="Arial" w:hAnsi="Arial" w:cs="Arial"/>
                <w:sz w:val="20"/>
                <w:szCs w:val="20"/>
                <w:lang w:val="en-GB"/>
              </w:rPr>
            </w:pPr>
          </w:p>
        </w:tc>
      </w:tr>
      <w:tr w:rsidR="00037616" w:rsidRPr="003D50F8" w14:paraId="660D2413" w14:textId="77777777" w:rsidTr="00C771A9">
        <w:trPr>
          <w:tblHeader/>
          <w:jc w:val="center"/>
        </w:trPr>
        <w:tc>
          <w:tcPr>
            <w:tcW w:w="1645" w:type="dxa"/>
          </w:tcPr>
          <w:p w14:paraId="36A3FA89"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w:t>
            </w:r>
          </w:p>
        </w:tc>
        <w:tc>
          <w:tcPr>
            <w:tcW w:w="2071" w:type="dxa"/>
          </w:tcPr>
          <w:p w14:paraId="4BCF2D64" w14:textId="77777777" w:rsidR="00037616" w:rsidRPr="003D50F8" w:rsidRDefault="00037616" w:rsidP="00DA0487">
            <w:pPr>
              <w:pStyle w:val="NoSpacing"/>
              <w:tabs>
                <w:tab w:val="decimal" w:pos="940"/>
              </w:tabs>
              <w:jc w:val="center"/>
              <w:rPr>
                <w:rFonts w:ascii="Arial" w:hAnsi="Arial" w:cs="Arial"/>
                <w:sz w:val="20"/>
                <w:szCs w:val="20"/>
                <w:lang w:val="en-GB"/>
              </w:rPr>
            </w:pPr>
            <w:r w:rsidRPr="003D50F8">
              <w:rPr>
                <w:rFonts w:ascii="Arial" w:hAnsi="Arial" w:cs="Arial"/>
                <w:sz w:val="20"/>
                <w:szCs w:val="20"/>
                <w:lang w:val="en-GB"/>
              </w:rPr>
              <w:t>.</w:t>
            </w:r>
          </w:p>
        </w:tc>
      </w:tr>
      <w:tr w:rsidR="00037616" w:rsidRPr="003D50F8" w14:paraId="1D9B616F" w14:textId="77777777" w:rsidTr="00C771A9">
        <w:trPr>
          <w:tblHeader/>
          <w:jc w:val="center"/>
        </w:trPr>
        <w:tc>
          <w:tcPr>
            <w:tcW w:w="1645" w:type="dxa"/>
          </w:tcPr>
          <w:p w14:paraId="212DE96F" w14:textId="6BFD17C8"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8/2/202</w:t>
            </w:r>
            <w:r w:rsidR="006F4DAC">
              <w:rPr>
                <w:rFonts w:ascii="Arial" w:hAnsi="Arial" w:cs="Arial"/>
                <w:sz w:val="20"/>
                <w:szCs w:val="20"/>
                <w:lang w:val="en-GB"/>
              </w:rPr>
              <w:t>1</w:t>
            </w:r>
          </w:p>
        </w:tc>
        <w:tc>
          <w:tcPr>
            <w:tcW w:w="2071" w:type="dxa"/>
            <w:vAlign w:val="bottom"/>
          </w:tcPr>
          <w:p w14:paraId="79611CD0"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46,196.465</w:t>
            </w:r>
          </w:p>
        </w:tc>
      </w:tr>
      <w:tr w:rsidR="00037616" w:rsidRPr="003D50F8" w14:paraId="76C77CBB" w14:textId="77777777" w:rsidTr="00C771A9">
        <w:trPr>
          <w:tblHeader/>
          <w:jc w:val="center"/>
        </w:trPr>
        <w:tc>
          <w:tcPr>
            <w:tcW w:w="1645" w:type="dxa"/>
          </w:tcPr>
          <w:p w14:paraId="6CF59B31" w14:textId="6786544E"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9/2/202</w:t>
            </w:r>
            <w:r w:rsidR="006F4DAC">
              <w:rPr>
                <w:rFonts w:ascii="Arial" w:hAnsi="Arial" w:cs="Arial"/>
                <w:sz w:val="20"/>
                <w:szCs w:val="20"/>
                <w:lang w:val="en-GB"/>
              </w:rPr>
              <w:t>1</w:t>
            </w:r>
          </w:p>
        </w:tc>
        <w:tc>
          <w:tcPr>
            <w:tcW w:w="2071" w:type="dxa"/>
            <w:vAlign w:val="bottom"/>
          </w:tcPr>
          <w:p w14:paraId="254F85A9" w14:textId="77777777"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46,481.105</w:t>
            </w:r>
          </w:p>
        </w:tc>
      </w:tr>
      <w:tr w:rsidR="00037616" w:rsidRPr="003D50F8" w14:paraId="1C350E76" w14:textId="77777777" w:rsidTr="00C771A9">
        <w:trPr>
          <w:tblHeader/>
          <w:jc w:val="center"/>
        </w:trPr>
        <w:tc>
          <w:tcPr>
            <w:tcW w:w="1645" w:type="dxa"/>
          </w:tcPr>
          <w:p w14:paraId="5E09180E" w14:textId="77777777" w:rsidR="00037616" w:rsidRPr="003D50F8" w:rsidRDefault="00037616" w:rsidP="00FC2A6D">
            <w:pPr>
              <w:pStyle w:val="NoSpacing"/>
              <w:jc w:val="center"/>
              <w:rPr>
                <w:rFonts w:ascii="Arial" w:hAnsi="Arial" w:cs="Arial"/>
                <w:sz w:val="20"/>
                <w:szCs w:val="20"/>
                <w:lang w:val="en-GB"/>
              </w:rPr>
            </w:pPr>
            <w:r w:rsidRPr="003D50F8">
              <w:rPr>
                <w:rFonts w:ascii="Arial" w:hAnsi="Arial" w:cs="Arial"/>
                <w:sz w:val="20"/>
                <w:szCs w:val="20"/>
                <w:lang w:val="en-GB"/>
              </w:rPr>
              <w:t>10/2/2021</w:t>
            </w:r>
          </w:p>
        </w:tc>
        <w:tc>
          <w:tcPr>
            <w:tcW w:w="2071" w:type="dxa"/>
            <w:vAlign w:val="bottom"/>
          </w:tcPr>
          <w:p w14:paraId="1DECB052" w14:textId="7B1CBC32" w:rsidR="00037616" w:rsidRPr="003D50F8" w:rsidRDefault="00037616" w:rsidP="00DA0487">
            <w:pPr>
              <w:pStyle w:val="NoSpacing"/>
              <w:tabs>
                <w:tab w:val="decimal" w:pos="940"/>
              </w:tabs>
              <w:rPr>
                <w:rFonts w:ascii="Arial" w:hAnsi="Arial" w:cs="Arial"/>
                <w:sz w:val="20"/>
                <w:szCs w:val="20"/>
                <w:lang w:val="en-GB"/>
              </w:rPr>
            </w:pPr>
            <w:r w:rsidRPr="003D50F8">
              <w:rPr>
                <w:rFonts w:ascii="Arial" w:hAnsi="Arial" w:cs="Arial"/>
                <w:sz w:val="20"/>
                <w:szCs w:val="20"/>
                <w:lang w:val="en-GB"/>
              </w:rPr>
              <w:t>44,985.324</w:t>
            </w:r>
          </w:p>
        </w:tc>
      </w:tr>
    </w:tbl>
    <w:p w14:paraId="3A788216" w14:textId="77777777" w:rsidR="00037616" w:rsidRPr="003D50F8" w:rsidRDefault="00037616" w:rsidP="00037616">
      <w:pPr>
        <w:pStyle w:val="BodyTextMain"/>
        <w:rPr>
          <w:lang w:val="en-GB"/>
        </w:rPr>
      </w:pPr>
    </w:p>
    <w:p w14:paraId="2D51C543" w14:textId="4E322CD7" w:rsidR="00CD349E" w:rsidRDefault="00CD349E" w:rsidP="00037616">
      <w:pPr>
        <w:pStyle w:val="Footnote"/>
        <w:rPr>
          <w:lang w:val="en-GB"/>
        </w:rPr>
      </w:pPr>
      <w:r>
        <w:rPr>
          <w:lang w:val="en-GB"/>
        </w:rPr>
        <w:t>Note: BTC = Bitcoin; USD = US$</w:t>
      </w:r>
    </w:p>
    <w:p w14:paraId="3C2348D4" w14:textId="06F2D7E9" w:rsidR="00037616" w:rsidRPr="003D50F8" w:rsidRDefault="00037616" w:rsidP="00037616">
      <w:pPr>
        <w:pStyle w:val="Footnote"/>
        <w:rPr>
          <w:lang w:val="en-GB"/>
        </w:rPr>
      </w:pPr>
      <w:r w:rsidRPr="003D50F8">
        <w:rPr>
          <w:lang w:val="en-GB"/>
        </w:rPr>
        <w:t xml:space="preserve">Source: Created by </w:t>
      </w:r>
      <w:r w:rsidR="00CD349E">
        <w:rPr>
          <w:lang w:val="en-GB"/>
        </w:rPr>
        <w:t xml:space="preserve">the case </w:t>
      </w:r>
      <w:r w:rsidRPr="003D50F8">
        <w:rPr>
          <w:lang w:val="en-GB"/>
        </w:rPr>
        <w:t>authors.</w:t>
      </w:r>
    </w:p>
    <w:p w14:paraId="30ADC7C1" w14:textId="77777777" w:rsidR="00037616" w:rsidRPr="003D50F8" w:rsidRDefault="00037616" w:rsidP="00037616">
      <w:pPr>
        <w:pStyle w:val="BodyTextMain"/>
        <w:rPr>
          <w:sz w:val="20"/>
          <w:lang w:val="en-GB"/>
        </w:rPr>
      </w:pPr>
    </w:p>
    <w:sectPr w:rsidR="00037616" w:rsidRPr="003D50F8" w:rsidSect="006D65F9">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68844" w14:textId="77777777" w:rsidR="004D7DBC" w:rsidRDefault="004D7DBC" w:rsidP="00D75295">
      <w:r>
        <w:separator/>
      </w:r>
    </w:p>
  </w:endnote>
  <w:endnote w:type="continuationSeparator" w:id="0">
    <w:p w14:paraId="032A3EBB" w14:textId="77777777" w:rsidR="004D7DBC" w:rsidRDefault="004D7DB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E4380" w14:textId="77777777" w:rsidR="004D7DBC" w:rsidRDefault="004D7DBC" w:rsidP="00D75295">
      <w:r>
        <w:separator/>
      </w:r>
    </w:p>
  </w:footnote>
  <w:footnote w:type="continuationSeparator" w:id="0">
    <w:p w14:paraId="1C7FBA96" w14:textId="77777777" w:rsidR="004D7DBC" w:rsidRDefault="004D7DBC" w:rsidP="00D75295">
      <w:r>
        <w:continuationSeparator/>
      </w:r>
    </w:p>
  </w:footnote>
  <w:footnote w:id="1">
    <w:p w14:paraId="01591DF4" w14:textId="369C6EF2" w:rsidR="00C771A9" w:rsidRDefault="00FC2A6D" w:rsidP="00037616">
      <w:pPr>
        <w:pStyle w:val="Footnote"/>
        <w:rPr>
          <w:spacing w:val="-4"/>
        </w:rPr>
      </w:pPr>
      <w:r w:rsidRPr="00037616">
        <w:rPr>
          <w:rStyle w:val="FootnoteReference"/>
        </w:rPr>
        <w:footnoteRef/>
      </w:r>
      <w:r w:rsidRPr="00037616">
        <w:t xml:space="preserve"> </w:t>
      </w:r>
      <w:r w:rsidR="0091224F" w:rsidRPr="006973E5">
        <w:rPr>
          <w:spacing w:val="-4"/>
        </w:rPr>
        <w:t xml:space="preserve">Douglas Miller, Peter </w:t>
      </w:r>
      <w:proofErr w:type="spellStart"/>
      <w:r w:rsidR="0091224F" w:rsidRPr="006973E5">
        <w:rPr>
          <w:spacing w:val="-4"/>
        </w:rPr>
        <w:t>Mockel</w:t>
      </w:r>
      <w:proofErr w:type="spellEnd"/>
      <w:r w:rsidR="0091224F" w:rsidRPr="006973E5">
        <w:rPr>
          <w:spacing w:val="-4"/>
        </w:rPr>
        <w:t xml:space="preserve">, Gordon Myers, Marina </w:t>
      </w:r>
      <w:proofErr w:type="spellStart"/>
      <w:r w:rsidR="0091224F" w:rsidRPr="006973E5">
        <w:rPr>
          <w:spacing w:val="-4"/>
        </w:rPr>
        <w:t>Niforos</w:t>
      </w:r>
      <w:proofErr w:type="spellEnd"/>
      <w:r w:rsidR="0091224F" w:rsidRPr="006973E5">
        <w:rPr>
          <w:spacing w:val="-4"/>
        </w:rPr>
        <w:t xml:space="preserve">, Vijaya Ramachandran, Thomas </w:t>
      </w:r>
      <w:proofErr w:type="spellStart"/>
      <w:r w:rsidR="0091224F" w:rsidRPr="006973E5">
        <w:rPr>
          <w:spacing w:val="-4"/>
        </w:rPr>
        <w:t>Rehermann</w:t>
      </w:r>
      <w:proofErr w:type="spellEnd"/>
      <w:r w:rsidR="0091224F" w:rsidRPr="006973E5">
        <w:rPr>
          <w:spacing w:val="-4"/>
        </w:rPr>
        <w:t xml:space="preserve">, John Salmon, </w:t>
      </w:r>
      <w:r w:rsidRPr="006973E5">
        <w:rPr>
          <w:i/>
          <w:iCs/>
          <w:spacing w:val="-4"/>
        </w:rPr>
        <w:t>Blockchain: Opportunities for Private Enterprises in Emerging Markets</w:t>
      </w:r>
      <w:r w:rsidRPr="006973E5">
        <w:rPr>
          <w:spacing w:val="-4"/>
        </w:rPr>
        <w:t xml:space="preserve">, 2nd ed. (Washington, DC: </w:t>
      </w:r>
      <w:r w:rsidR="0091224F" w:rsidRPr="006973E5">
        <w:rPr>
          <w:spacing w:val="-4"/>
        </w:rPr>
        <w:t xml:space="preserve">International Finance Corporation, </w:t>
      </w:r>
      <w:r w:rsidRPr="006973E5">
        <w:rPr>
          <w:spacing w:val="-4"/>
        </w:rPr>
        <w:t>World Bank</w:t>
      </w:r>
      <w:r w:rsidR="0091224F" w:rsidRPr="006973E5">
        <w:rPr>
          <w:spacing w:val="-4"/>
        </w:rPr>
        <w:t xml:space="preserve"> Group</w:t>
      </w:r>
      <w:r w:rsidRPr="006973E5">
        <w:rPr>
          <w:spacing w:val="-4"/>
        </w:rPr>
        <w:t>, 2019)</w:t>
      </w:r>
      <w:r w:rsidR="005000D1" w:rsidRPr="006973E5">
        <w:rPr>
          <w:spacing w:val="-4"/>
        </w:rPr>
        <w:t xml:space="preserve">, accessed </w:t>
      </w:r>
      <w:bookmarkStart w:id="0" w:name="_Hlk70849212"/>
      <w:r w:rsidR="001B17F3" w:rsidRPr="006973E5">
        <w:rPr>
          <w:rFonts w:eastAsiaTheme="minorHAnsi"/>
          <w:spacing w:val="-4"/>
          <w:lang w:val="en-GB" w:bidi="en-US"/>
        </w:rPr>
        <w:t>April 1, 2021</w:t>
      </w:r>
      <w:bookmarkEnd w:id="0"/>
      <w:r w:rsidR="005000D1" w:rsidRPr="006973E5">
        <w:rPr>
          <w:spacing w:val="-4"/>
        </w:rPr>
        <w:t xml:space="preserve">, </w:t>
      </w:r>
      <w:r w:rsidR="001614C2" w:rsidRPr="00C771A9">
        <w:rPr>
          <w:spacing w:val="-4"/>
        </w:rPr>
        <w:t>www.ifc.org/wps/wcm/connect/publications_ext_content/ifc_</w:t>
      </w:r>
      <w:r w:rsidR="005000D1" w:rsidRPr="006973E5">
        <w:rPr>
          <w:spacing w:val="-4"/>
        </w:rPr>
        <w:t>external_publication_</w:t>
      </w:r>
    </w:p>
    <w:p w14:paraId="29C8C4A3" w14:textId="27299580" w:rsidR="00FC2A6D" w:rsidRPr="00DA0487" w:rsidRDefault="005000D1" w:rsidP="00037616">
      <w:pPr>
        <w:pStyle w:val="Footnote"/>
        <w:rPr>
          <w:b/>
          <w:bCs/>
        </w:rPr>
      </w:pPr>
      <w:r w:rsidRPr="006973E5">
        <w:rPr>
          <w:spacing w:val="-4"/>
        </w:rPr>
        <w:t>site/</w:t>
      </w:r>
      <w:proofErr w:type="spellStart"/>
      <w:r w:rsidRPr="006973E5">
        <w:rPr>
          <w:spacing w:val="-4"/>
        </w:rPr>
        <w:t>publications_listing_page</w:t>
      </w:r>
      <w:proofErr w:type="spellEnd"/>
      <w:r w:rsidRPr="006973E5">
        <w:rPr>
          <w:spacing w:val="-4"/>
        </w:rPr>
        <w:t>/</w:t>
      </w:r>
      <w:proofErr w:type="spellStart"/>
      <w:r w:rsidRPr="006973E5">
        <w:rPr>
          <w:spacing w:val="-4"/>
        </w:rPr>
        <w:t>blockchain+report</w:t>
      </w:r>
      <w:proofErr w:type="spellEnd"/>
      <w:r w:rsidR="00FC2A6D" w:rsidRPr="006973E5">
        <w:rPr>
          <w:spacing w:val="-4"/>
        </w:rPr>
        <w:t>.</w:t>
      </w:r>
      <w:r>
        <w:t xml:space="preserve"> </w:t>
      </w:r>
    </w:p>
  </w:footnote>
  <w:footnote w:id="2">
    <w:p w14:paraId="162C7536" w14:textId="10AD7582" w:rsidR="00FC2A6D" w:rsidRPr="00037616" w:rsidRDefault="00FC2A6D" w:rsidP="00037616">
      <w:pPr>
        <w:pStyle w:val="Footnote"/>
      </w:pPr>
      <w:r w:rsidRPr="00037616">
        <w:rPr>
          <w:rStyle w:val="FootnoteReference"/>
        </w:rPr>
        <w:footnoteRef/>
      </w:r>
      <w:r>
        <w:t xml:space="preserve"> Emerging Technology from the arXiv</w:t>
      </w:r>
      <w:r w:rsidRPr="00037616">
        <w:t>, “Bitcoin Transactions Aren’t as Anonymous as Everyone Hoped</w:t>
      </w:r>
      <w:r>
        <w:t>,</w:t>
      </w:r>
      <w:r w:rsidRPr="00037616">
        <w:t xml:space="preserve">” </w:t>
      </w:r>
      <w:r w:rsidRPr="00DA0487">
        <w:rPr>
          <w:i/>
          <w:iCs/>
        </w:rPr>
        <w:t>MIT Technology Review</w:t>
      </w:r>
      <w:r>
        <w:t>, August 23,</w:t>
      </w:r>
      <w:r w:rsidRPr="00037616">
        <w:t xml:space="preserve"> 2017</w:t>
      </w:r>
      <w:r>
        <w:t xml:space="preserve">, </w:t>
      </w:r>
      <w:r>
        <w:rPr>
          <w:noProof/>
        </w:rPr>
        <w:t xml:space="preserve">accessed </w:t>
      </w:r>
      <w:r w:rsidR="001B17F3" w:rsidRPr="001B17F3">
        <w:rPr>
          <w:noProof/>
        </w:rPr>
        <w:t>April 1, 2021</w:t>
      </w:r>
      <w:r>
        <w:rPr>
          <w:noProof/>
        </w:rPr>
        <w:t xml:space="preserve">, </w:t>
      </w:r>
      <w:r w:rsidRPr="00E01C1E">
        <w:t>www.technologyreview.com/2017/08/23/149531/bitcoin-transactions-arent-as-anonymous-as-everyone-hoped/</w:t>
      </w:r>
      <w:r w:rsidR="005000D1">
        <w:t>.</w:t>
      </w:r>
    </w:p>
  </w:footnote>
  <w:footnote w:id="3">
    <w:p w14:paraId="429963D8" w14:textId="6981AB94" w:rsidR="00FC2A6D" w:rsidRPr="00037616" w:rsidRDefault="00FC2A6D" w:rsidP="00037616">
      <w:pPr>
        <w:pStyle w:val="Footnote"/>
      </w:pPr>
      <w:r w:rsidRPr="00037616">
        <w:rPr>
          <w:rStyle w:val="FootnoteReference"/>
        </w:rPr>
        <w:footnoteRef/>
      </w:r>
      <w:r w:rsidRPr="00037616">
        <w:t xml:space="preserve"> </w:t>
      </w:r>
      <w:r w:rsidRPr="006973E5">
        <w:rPr>
          <w:spacing w:val="-4"/>
        </w:rPr>
        <w:t xml:space="preserve">Satoshi Nakamoto, “Bitcoin: A Peer-to-Peer Electronic Cash System,” 2008, </w:t>
      </w:r>
      <w:r w:rsidRPr="006973E5">
        <w:rPr>
          <w:noProof/>
          <w:spacing w:val="-4"/>
        </w:rPr>
        <w:t xml:space="preserve">accessed </w:t>
      </w:r>
      <w:r w:rsidR="001B17F3" w:rsidRPr="006973E5">
        <w:rPr>
          <w:rFonts w:eastAsiaTheme="minorHAnsi"/>
          <w:spacing w:val="-4"/>
          <w:lang w:val="en-GB" w:bidi="en-US"/>
        </w:rPr>
        <w:t>April 1, 2021</w:t>
      </w:r>
      <w:r w:rsidRPr="006973E5">
        <w:rPr>
          <w:noProof/>
          <w:spacing w:val="-4"/>
        </w:rPr>
        <w:t xml:space="preserve">, </w:t>
      </w:r>
      <w:r w:rsidRPr="006973E5">
        <w:rPr>
          <w:spacing w:val="-4"/>
        </w:rPr>
        <w:t>https://bitcoin.org/bitcoin.pdf.</w:t>
      </w:r>
    </w:p>
  </w:footnote>
  <w:footnote w:id="4">
    <w:p w14:paraId="11983D66" w14:textId="2EA0452D" w:rsidR="00FC2A6D" w:rsidRPr="00037616" w:rsidRDefault="00FC2A6D" w:rsidP="00037616">
      <w:pPr>
        <w:pStyle w:val="Footnote"/>
      </w:pPr>
      <w:r w:rsidRPr="00037616">
        <w:rPr>
          <w:rStyle w:val="FootnoteReference"/>
        </w:rPr>
        <w:footnoteRef/>
      </w:r>
      <w:r w:rsidRPr="00037616">
        <w:t xml:space="preserve"> </w:t>
      </w:r>
      <w:r>
        <w:t xml:space="preserve">Corrie E. Clark and Heather L. </w:t>
      </w:r>
      <w:proofErr w:type="spellStart"/>
      <w:r>
        <w:t>Greenley</w:t>
      </w:r>
      <w:proofErr w:type="spellEnd"/>
      <w:r>
        <w:t xml:space="preserve">, </w:t>
      </w:r>
      <w:r w:rsidRPr="00DA0487">
        <w:rPr>
          <w:i/>
          <w:iCs/>
        </w:rPr>
        <w:t>Bitcoin, Blockchain, and the Energy Sector</w:t>
      </w:r>
      <w:r w:rsidRPr="00037616">
        <w:t xml:space="preserve"> </w:t>
      </w:r>
      <w:r>
        <w:t xml:space="preserve">(Washington, DC: </w:t>
      </w:r>
      <w:r w:rsidRPr="00037616">
        <w:t>Congressional Research Service, 2019</w:t>
      </w:r>
      <w:r w:rsidR="0083538F">
        <w:t xml:space="preserve">), accessed </w:t>
      </w:r>
      <w:r w:rsidR="001B17F3" w:rsidRPr="00FD3CD0">
        <w:rPr>
          <w:rFonts w:eastAsiaTheme="minorHAnsi"/>
          <w:lang w:val="en-GB" w:bidi="en-US"/>
        </w:rPr>
        <w:t xml:space="preserve">April 1, </w:t>
      </w:r>
      <w:r w:rsidR="001B17F3">
        <w:rPr>
          <w:rFonts w:eastAsiaTheme="minorHAnsi"/>
          <w:lang w:val="en-GB" w:bidi="en-US"/>
        </w:rPr>
        <w:t>2021</w:t>
      </w:r>
      <w:r w:rsidR="0083538F">
        <w:t xml:space="preserve">, </w:t>
      </w:r>
      <w:r w:rsidR="0083538F" w:rsidRPr="0083538F">
        <w:t>https://fas.org/sgp/crs/misc/R45863.pdf</w:t>
      </w:r>
      <w:r>
        <w:t>.</w:t>
      </w:r>
    </w:p>
  </w:footnote>
  <w:footnote w:id="5">
    <w:p w14:paraId="1878230F" w14:textId="558AA537" w:rsidR="00FC2A6D" w:rsidRPr="00037616" w:rsidRDefault="00FC2A6D" w:rsidP="00037616">
      <w:pPr>
        <w:pStyle w:val="Footnote"/>
      </w:pPr>
      <w:r w:rsidRPr="00037616">
        <w:rPr>
          <w:rStyle w:val="FootnoteReference"/>
        </w:rPr>
        <w:footnoteRef/>
      </w:r>
      <w:r w:rsidRPr="00037616">
        <w:t xml:space="preserve"> </w:t>
      </w:r>
      <w:r w:rsidRPr="00BE6381">
        <w:rPr>
          <w:spacing w:val="-6"/>
        </w:rPr>
        <w:t xml:space="preserve">Roger Huang, </w:t>
      </w:r>
      <w:r w:rsidRPr="00BE6381">
        <w:rPr>
          <w:noProof/>
          <w:spacing w:val="-6"/>
        </w:rPr>
        <w:t xml:space="preserve">“The ‘Chinese Mining Centralization’ of Bitcoin and Ethereum,” </w:t>
      </w:r>
      <w:r w:rsidRPr="00BE6381">
        <w:rPr>
          <w:i/>
          <w:iCs/>
          <w:noProof/>
          <w:spacing w:val="-6"/>
        </w:rPr>
        <w:t>Forbes</w:t>
      </w:r>
      <w:r w:rsidRPr="00BE6381">
        <w:rPr>
          <w:noProof/>
          <w:spacing w:val="-6"/>
        </w:rPr>
        <w:t xml:space="preserve">, December 29, 2020, accessed </w:t>
      </w:r>
      <w:r w:rsidR="001B17F3" w:rsidRPr="00BE6381">
        <w:rPr>
          <w:rFonts w:eastAsiaTheme="minorHAnsi"/>
          <w:spacing w:val="-6"/>
          <w:lang w:val="en-GB" w:bidi="en-US"/>
        </w:rPr>
        <w:t>April 1, 2021</w:t>
      </w:r>
      <w:r w:rsidRPr="00BE6381">
        <w:rPr>
          <w:noProof/>
          <w:spacing w:val="-6"/>
        </w:rPr>
        <w:t>, www.forbes.com/sites/rogerhuang/2021/12/29/the-chinese-mining-centralization-of-bitcoin-and-ethereum/?sh=6cb6236b2f66.</w:t>
      </w:r>
    </w:p>
  </w:footnote>
  <w:footnote w:id="6">
    <w:p w14:paraId="53E5C858" w14:textId="42F10EF7" w:rsidR="00FC2A6D" w:rsidRPr="00037616" w:rsidRDefault="00FC2A6D" w:rsidP="00037616">
      <w:pPr>
        <w:pStyle w:val="Footnote"/>
      </w:pPr>
      <w:r w:rsidRPr="00037616">
        <w:rPr>
          <w:rStyle w:val="FootnoteReference"/>
        </w:rPr>
        <w:footnoteRef/>
      </w:r>
      <w:r w:rsidRPr="00037616">
        <w:t xml:space="preserve"> </w:t>
      </w:r>
      <w:r>
        <w:t xml:space="preserve">Cristina </w:t>
      </w:r>
      <w:proofErr w:type="spellStart"/>
      <w:r>
        <w:t>Criddle</w:t>
      </w:r>
      <w:proofErr w:type="spellEnd"/>
      <w:r>
        <w:t>, “Bitcoin Consumes ‘More Electricity than Argentina,</w:t>
      </w:r>
      <w:r w:rsidR="00422502">
        <w:t>’</w:t>
      </w:r>
      <w:r>
        <w:t xml:space="preserve">” BBC News, February 10, 2021, </w:t>
      </w:r>
      <w:r>
        <w:rPr>
          <w:noProof/>
        </w:rPr>
        <w:t xml:space="preserve">accessed </w:t>
      </w:r>
      <w:r w:rsidR="001B17F3" w:rsidRPr="00FD3CD0">
        <w:rPr>
          <w:rFonts w:eastAsiaTheme="minorHAnsi"/>
          <w:lang w:val="en-GB" w:bidi="en-US"/>
        </w:rPr>
        <w:t xml:space="preserve">April 1, </w:t>
      </w:r>
      <w:r w:rsidR="001B17F3">
        <w:rPr>
          <w:rFonts w:eastAsiaTheme="minorHAnsi"/>
          <w:lang w:val="en-GB" w:bidi="en-US"/>
        </w:rPr>
        <w:t>2021</w:t>
      </w:r>
      <w:r>
        <w:rPr>
          <w:noProof/>
        </w:rPr>
        <w:t xml:space="preserve">, </w:t>
      </w:r>
      <w:r w:rsidRPr="0079419E">
        <w:t>www.bbc.com/news/technology-56012952</w:t>
      </w:r>
      <w:r w:rsidR="00B10C14">
        <w:t>.</w:t>
      </w:r>
    </w:p>
  </w:footnote>
  <w:footnote w:id="7">
    <w:p w14:paraId="198CEB3B" w14:textId="68A38699" w:rsidR="00C771A9" w:rsidRDefault="00C771A9" w:rsidP="00C771A9">
      <w:pPr>
        <w:pStyle w:val="Footnote"/>
      </w:pPr>
      <w:r>
        <w:rPr>
          <w:rStyle w:val="FootnoteReference"/>
        </w:rPr>
        <w:footnoteRef/>
      </w:r>
      <w:r>
        <w:t xml:space="preserve"> </w:t>
      </w:r>
      <w:r>
        <w:t>A</w:t>
      </w:r>
      <w:r w:rsidRPr="00C771A9">
        <w:t>ll dollar amounts in US</w:t>
      </w:r>
      <w:r>
        <w:t xml:space="preserve"> dollars.</w:t>
      </w:r>
    </w:p>
  </w:footnote>
  <w:footnote w:id="8">
    <w:p w14:paraId="67D7507F" w14:textId="1234AF9D" w:rsidR="00C771A9" w:rsidRPr="00037616" w:rsidRDefault="00C771A9" w:rsidP="00C771A9">
      <w:pPr>
        <w:pStyle w:val="Footnote"/>
      </w:pPr>
      <w:r w:rsidRPr="00037616">
        <w:rPr>
          <w:rStyle w:val="FootnoteReference"/>
        </w:rPr>
        <w:footnoteRef/>
      </w:r>
      <w:r w:rsidRPr="00037616">
        <w:t xml:space="preserve"> </w:t>
      </w:r>
      <w:r>
        <w:t>Sam Lipscomb, “</w:t>
      </w:r>
      <w:r w:rsidRPr="00037616">
        <w:rPr>
          <w:noProof/>
        </w:rPr>
        <w:t>Bitcoin Cash: What Is It, History and How to Buy,</w:t>
      </w:r>
      <w:r>
        <w:rPr>
          <w:noProof/>
        </w:rPr>
        <w:t>”</w:t>
      </w:r>
      <w:r w:rsidRPr="00037616">
        <w:rPr>
          <w:noProof/>
        </w:rPr>
        <w:t xml:space="preserve"> Yahoo</w:t>
      </w:r>
      <w:r>
        <w:rPr>
          <w:noProof/>
        </w:rPr>
        <w:t>!</w:t>
      </w:r>
      <w:r w:rsidRPr="00037616">
        <w:rPr>
          <w:noProof/>
        </w:rPr>
        <w:t xml:space="preserve"> Finance, </w:t>
      </w:r>
      <w:r>
        <w:rPr>
          <w:noProof/>
        </w:rPr>
        <w:t xml:space="preserve">April 5, </w:t>
      </w:r>
      <w:r w:rsidRPr="00037616">
        <w:rPr>
          <w:noProof/>
        </w:rPr>
        <w:t>2021</w:t>
      </w:r>
      <w:r>
        <w:rPr>
          <w:noProof/>
        </w:rPr>
        <w:t xml:space="preserve">, accessed </w:t>
      </w:r>
      <w:r w:rsidRPr="00FD3CD0">
        <w:rPr>
          <w:rFonts w:eastAsiaTheme="minorHAnsi"/>
          <w:lang w:val="en-GB" w:bidi="en-US"/>
        </w:rPr>
        <w:t xml:space="preserve">April 1, </w:t>
      </w:r>
      <w:r>
        <w:rPr>
          <w:rFonts w:eastAsiaTheme="minorHAnsi"/>
          <w:lang w:val="en-GB" w:bidi="en-US"/>
        </w:rPr>
        <w:t>2021</w:t>
      </w:r>
      <w:r>
        <w:rPr>
          <w:noProof/>
        </w:rPr>
        <w:t xml:space="preserve">, </w:t>
      </w:r>
      <w:r w:rsidRPr="0083538F">
        <w:rPr>
          <w:noProof/>
        </w:rPr>
        <w:t>https://ca.finance.yahoo.com/news/bitcoin-cash-history-buy-182010634.html</w:t>
      </w:r>
      <w:r>
        <w:rPr>
          <w:noProof/>
        </w:rPr>
        <w:t xml:space="preserve">. </w:t>
      </w:r>
    </w:p>
  </w:footnote>
  <w:footnote w:id="9">
    <w:p w14:paraId="02D3F15B" w14:textId="146DFC67" w:rsidR="0051359F" w:rsidRPr="00037616" w:rsidRDefault="00FC2A6D">
      <w:pPr>
        <w:pStyle w:val="Footnote"/>
      </w:pPr>
      <w:r w:rsidRPr="00037616">
        <w:rPr>
          <w:rStyle w:val="FootnoteReference"/>
        </w:rPr>
        <w:footnoteRef/>
      </w:r>
      <w:r w:rsidR="00B10C14">
        <w:t xml:space="preserve"> </w:t>
      </w:r>
      <w:hyperlink r:id="rId1" w:history="1">
        <w:r w:rsidR="00B10C14" w:rsidRPr="00E91949">
          <w:t>Aaron Hankin</w:t>
        </w:r>
      </w:hyperlink>
      <w:r w:rsidR="00B10C14">
        <w:t>, “</w:t>
      </w:r>
      <w:r w:rsidR="00B10C14" w:rsidRPr="00E91949">
        <w:rPr>
          <w:noProof/>
        </w:rPr>
        <w:t>Bitcoin Pizza Day: Celebrating the $80 Million Pizza Order,”</w:t>
      </w:r>
      <w:r w:rsidR="00B10C14">
        <w:rPr>
          <w:noProof/>
        </w:rPr>
        <w:t xml:space="preserve"> Investope</w:t>
      </w:r>
      <w:r w:rsidR="00E40581">
        <w:rPr>
          <w:noProof/>
        </w:rPr>
        <w:t>d</w:t>
      </w:r>
      <w:r w:rsidR="00B10C14">
        <w:rPr>
          <w:noProof/>
        </w:rPr>
        <w:t xml:space="preserve">ia, Jun 25, 2019, accessed </w:t>
      </w:r>
      <w:r w:rsidR="00B10C14" w:rsidRPr="00FD3CD0">
        <w:rPr>
          <w:rFonts w:eastAsiaTheme="minorHAnsi"/>
          <w:lang w:val="en-GB" w:bidi="en-US"/>
        </w:rPr>
        <w:t xml:space="preserve">April 1, </w:t>
      </w:r>
      <w:r w:rsidR="00B10C14">
        <w:rPr>
          <w:rFonts w:eastAsiaTheme="minorHAnsi"/>
          <w:lang w:val="en-GB" w:bidi="en-US"/>
        </w:rPr>
        <w:t>2021</w:t>
      </w:r>
      <w:r w:rsidR="00B10C14">
        <w:rPr>
          <w:noProof/>
        </w:rPr>
        <w:t xml:space="preserve">, </w:t>
      </w:r>
      <w:r w:rsidR="00B10C14" w:rsidRPr="00B10C14">
        <w:t>www.investopedia.com/news/bitcoin-pizza-day-celebrating-20-million-pizza-order/</w:t>
      </w:r>
      <w:r w:rsidR="00B10C14">
        <w:t>.</w:t>
      </w:r>
    </w:p>
  </w:footnote>
  <w:footnote w:id="10">
    <w:p w14:paraId="4BC8E78D" w14:textId="6647116B" w:rsidR="00FC2A6D" w:rsidRPr="00037616" w:rsidRDefault="00FC2A6D" w:rsidP="00037616">
      <w:pPr>
        <w:pStyle w:val="Footnote"/>
      </w:pPr>
      <w:r w:rsidRPr="00037616">
        <w:rPr>
          <w:rStyle w:val="FootnoteReference"/>
        </w:rPr>
        <w:footnoteRef/>
      </w:r>
      <w:r w:rsidRPr="00037616">
        <w:t xml:space="preserve"> </w:t>
      </w:r>
      <w:r w:rsidRPr="00037616">
        <w:fldChar w:fldCharType="begin"/>
      </w:r>
      <w:r w:rsidRPr="00037616">
        <w:instrText xml:space="preserve"> ADDIN EN.CITE &lt;EndNote&gt;&lt;Cite&gt;&lt;Author&gt;Insider&lt;/Author&gt;&lt;Year&gt;2021&lt;/Year&gt;&lt;RecNum&gt;5&lt;/RecNum&gt;&lt;DisplayText&gt;Insider, &amp;quot;Bill Gates Advised against Investing in Bitcoin, Saying Cryptocurrencies Damage the Environment,&amp;quot;  (2021).&lt;/DisplayText&gt;&lt;record&gt;&lt;rec-number&gt;5&lt;/rec-number&gt;&lt;foreign-keys&gt;&lt;key app="EN" db-id="vss99a9duwe5rxex9z3xwdpbrd0s9apwtxda" timestamp="1615929468"&gt;5&lt;/key&gt;&lt;/foreign-keys&gt;&lt;ref-type name="Journal Article"&gt;17&lt;/ref-type&gt;&lt;contributors&gt;&lt;authors&gt;&lt;author&gt;Insider,&lt;/author&gt;&lt;/authors&gt;&lt;/contributors&gt;&lt;titles&gt;&lt;title&gt;Bill Gates advised against investing in Bitcoin, saying cryptocurrencies damage the environment&lt;/title&gt;&lt;/titles&gt;&lt;dates&gt;&lt;year&gt;2021&lt;/year&gt;&lt;/dates&gt;&lt;urls&gt;&lt;related-urls&gt;&lt;url&gt;https://www.businessinsider.com/microsoft-tesla-elon-musk-cryptocurrency-climate-change-damage-economist-roubini-2021-3&lt;/url&gt;&lt;/related-urls&gt;&lt;/urls&gt;&lt;/record&gt;&lt;/Cite&gt;&lt;/EndNote&gt;</w:instrText>
      </w:r>
      <w:r w:rsidRPr="00037616">
        <w:fldChar w:fldCharType="end"/>
      </w:r>
      <w:r>
        <w:t xml:space="preserve">Enrique Fernández and Jeevan Ravindran, “Bill Gates Advised against Investing in Bitcoin, Saying Cryptocurrencies Damage the Environment,” Insider, March 11, 2021, </w:t>
      </w:r>
      <w:r>
        <w:rPr>
          <w:noProof/>
        </w:rPr>
        <w:t xml:space="preserve">accessed </w:t>
      </w:r>
      <w:r w:rsidR="001B17F3" w:rsidRPr="00FD3CD0">
        <w:rPr>
          <w:rFonts w:eastAsiaTheme="minorHAnsi"/>
          <w:lang w:val="en-GB" w:bidi="en-US"/>
        </w:rPr>
        <w:t xml:space="preserve">April 1, </w:t>
      </w:r>
      <w:r w:rsidR="001B17F3">
        <w:rPr>
          <w:rFonts w:eastAsiaTheme="minorHAnsi"/>
          <w:lang w:val="en-GB" w:bidi="en-US"/>
        </w:rPr>
        <w:t>2021</w:t>
      </w:r>
      <w:r>
        <w:rPr>
          <w:noProof/>
        </w:rPr>
        <w:t xml:space="preserve">, </w:t>
      </w:r>
      <w:r w:rsidRPr="00C416F6">
        <w:t>www.businessinsider.com/microsoft-tesla-elon-musk-cryptocurrency-climate-change-damage-economist-roubini-2021-3</w:t>
      </w:r>
      <w:r w:rsidR="0083538F">
        <w:t>.</w:t>
      </w:r>
    </w:p>
  </w:footnote>
  <w:footnote w:id="11">
    <w:p w14:paraId="7567F3FF" w14:textId="4F741854" w:rsidR="00FC2A6D" w:rsidRPr="00037616" w:rsidRDefault="00FC2A6D" w:rsidP="00037616">
      <w:pPr>
        <w:pStyle w:val="Footnote"/>
      </w:pPr>
      <w:r w:rsidRPr="00037616">
        <w:rPr>
          <w:rStyle w:val="FootnoteReference"/>
        </w:rPr>
        <w:footnoteRef/>
      </w:r>
      <w:r w:rsidRPr="00037616">
        <w:t xml:space="preserve"> </w:t>
      </w:r>
      <w:r>
        <w:rPr>
          <w:noProof/>
        </w:rPr>
        <w:t>Anna Irrera, Iain Withers, and Lawrence White, “Exclusive: Goldman Sachs Restarts Cryptocurrency Desk amid Bitcoin Boom</w:t>
      </w:r>
      <w:r w:rsidR="0083538F">
        <w:rPr>
          <w:noProof/>
        </w:rPr>
        <w:t>,</w:t>
      </w:r>
      <w:r>
        <w:rPr>
          <w:noProof/>
        </w:rPr>
        <w:t xml:space="preserve">” Reuters, March 1, 2021, accessed </w:t>
      </w:r>
      <w:r w:rsidR="00B10C14" w:rsidRPr="00FD3CD0">
        <w:rPr>
          <w:rFonts w:eastAsiaTheme="minorHAnsi"/>
          <w:lang w:val="en-GB" w:bidi="en-US"/>
        </w:rPr>
        <w:t xml:space="preserve">April 1, </w:t>
      </w:r>
      <w:r w:rsidR="00B10C14">
        <w:rPr>
          <w:rFonts w:eastAsiaTheme="minorHAnsi"/>
          <w:lang w:val="en-GB" w:bidi="en-US"/>
        </w:rPr>
        <w:t>2021</w:t>
      </w:r>
      <w:r>
        <w:rPr>
          <w:noProof/>
        </w:rPr>
        <w:t xml:space="preserve">, </w:t>
      </w:r>
      <w:r w:rsidRPr="00FC2A6D">
        <w:rPr>
          <w:noProof/>
        </w:rPr>
        <w:t>www.reuters.com/article/us-crypto-currency-goldman-sachs-exclusi-idUSKCN2AT390</w:t>
      </w:r>
      <w:r>
        <w:rPr>
          <w:noProof/>
        </w:rPr>
        <w:t>.</w:t>
      </w:r>
    </w:p>
  </w:footnote>
  <w:footnote w:id="12">
    <w:p w14:paraId="30086D6E" w14:textId="37F9D233" w:rsidR="00FC2A6D" w:rsidRPr="00BE6381" w:rsidRDefault="00FC2A6D" w:rsidP="00037616">
      <w:pPr>
        <w:pStyle w:val="Footnote"/>
        <w:rPr>
          <w:spacing w:val="-4"/>
        </w:rPr>
      </w:pPr>
      <w:r w:rsidRPr="00BE6381">
        <w:rPr>
          <w:rStyle w:val="FootnoteReference"/>
          <w:spacing w:val="-4"/>
        </w:rPr>
        <w:footnoteRef/>
      </w:r>
      <w:r w:rsidRPr="00BE6381">
        <w:rPr>
          <w:spacing w:val="-4"/>
        </w:rPr>
        <w:t xml:space="preserve"> </w:t>
      </w:r>
      <w:r w:rsidRPr="00BE6381">
        <w:rPr>
          <w:noProof/>
          <w:spacing w:val="-4"/>
        </w:rPr>
        <w:t xml:space="preserve">Arjun Kharpal, “Facebook Hopes the Cryptocurrency It Backs Will Launch in 2021, Top Exec Says,” </w:t>
      </w:r>
      <w:r w:rsidR="0053368D" w:rsidRPr="00BE6381">
        <w:rPr>
          <w:noProof/>
          <w:spacing w:val="-4"/>
        </w:rPr>
        <w:t>CNBC</w:t>
      </w:r>
      <w:r w:rsidRPr="00BE6381">
        <w:rPr>
          <w:noProof/>
          <w:spacing w:val="-4"/>
        </w:rPr>
        <w:t xml:space="preserve">, December 8, 2020, accessed </w:t>
      </w:r>
      <w:r w:rsidR="00B10C14" w:rsidRPr="00BE6381">
        <w:rPr>
          <w:rFonts w:eastAsiaTheme="minorHAnsi"/>
          <w:spacing w:val="-4"/>
          <w:lang w:val="en-GB" w:bidi="en-US"/>
        </w:rPr>
        <w:t>April 1, 2021</w:t>
      </w:r>
      <w:r w:rsidRPr="00BE6381">
        <w:rPr>
          <w:noProof/>
          <w:spacing w:val="-4"/>
        </w:rPr>
        <w:t>, www.cnbc.com/2020/12/08/facebook-hopes-the-cryptocurrency-diem-it-backs-will-launch-in-2021.html.</w:t>
      </w:r>
    </w:p>
  </w:footnote>
  <w:footnote w:id="13">
    <w:p w14:paraId="4E5AEF19" w14:textId="3021B482" w:rsidR="00FC2A6D" w:rsidRPr="00037616" w:rsidRDefault="00FC2A6D" w:rsidP="00037616">
      <w:pPr>
        <w:pStyle w:val="Footnote"/>
        <w:rPr>
          <w:lang w:val="en-CA"/>
        </w:rPr>
      </w:pPr>
      <w:r w:rsidRPr="00037616">
        <w:rPr>
          <w:rStyle w:val="FootnoteReference"/>
        </w:rPr>
        <w:footnoteRef/>
      </w:r>
      <w:r w:rsidRPr="00037616">
        <w:t xml:space="preserve"> </w:t>
      </w:r>
      <w:r w:rsidRPr="00037616">
        <w:rPr>
          <w:rFonts w:eastAsiaTheme="minorHAnsi"/>
          <w:noProof/>
          <w:lang w:val="en-CA"/>
        </w:rPr>
        <w:t xml:space="preserve">This </w:t>
      </w:r>
      <w:r>
        <w:rPr>
          <w:rFonts w:eastAsiaTheme="minorHAnsi"/>
          <w:noProof/>
          <w:lang w:val="en-CA"/>
        </w:rPr>
        <w:t>strategy wa</w:t>
      </w:r>
      <w:r w:rsidRPr="00037616">
        <w:rPr>
          <w:rFonts w:eastAsiaTheme="minorHAnsi"/>
          <w:noProof/>
          <w:lang w:val="en-CA"/>
        </w:rPr>
        <w:t xml:space="preserve">s also sometimes called </w:t>
      </w:r>
      <w:r>
        <w:rPr>
          <w:rFonts w:eastAsiaTheme="minorHAnsi"/>
          <w:noProof/>
          <w:lang w:val="en-CA"/>
        </w:rPr>
        <w:t>“</w:t>
      </w:r>
      <w:r w:rsidRPr="00037616">
        <w:rPr>
          <w:rFonts w:eastAsiaTheme="minorHAnsi"/>
          <w:noProof/>
          <w:lang w:val="en-CA"/>
        </w:rPr>
        <w:t>the simple moving average strategy” to distinguish it from the more sophisticated exponential moving average strategy.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F3B92" w14:textId="5D2A939B" w:rsidR="00FC2A6D" w:rsidRDefault="00FC2A6D" w:rsidP="007659D8">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70888">
      <w:rPr>
        <w:rFonts w:ascii="Arial" w:hAnsi="Arial"/>
        <w:b/>
        <w:noProof/>
      </w:rPr>
      <w:t>2</w:t>
    </w:r>
    <w:r>
      <w:rPr>
        <w:rFonts w:ascii="Arial" w:hAnsi="Arial"/>
        <w:b/>
      </w:rPr>
      <w:fldChar w:fldCharType="end"/>
    </w:r>
    <w:r>
      <w:rPr>
        <w:rFonts w:ascii="Arial" w:hAnsi="Arial"/>
        <w:b/>
      </w:rPr>
      <w:tab/>
    </w:r>
    <w:r w:rsidR="00C771A9">
      <w:rPr>
        <w:rFonts w:ascii="Arial" w:hAnsi="Arial"/>
        <w:b/>
      </w:rPr>
      <w:t>9B21E011</w:t>
    </w:r>
  </w:p>
  <w:p w14:paraId="6EFD3650" w14:textId="77777777" w:rsidR="00FC2A6D" w:rsidRPr="00C92CC4" w:rsidRDefault="00FC2A6D" w:rsidP="007659D8">
    <w:pPr>
      <w:pStyle w:val="Header"/>
      <w:tabs>
        <w:tab w:val="clear" w:pos="4680"/>
      </w:tabs>
      <w:rPr>
        <w:sz w:val="18"/>
        <w:szCs w:val="18"/>
      </w:rPr>
    </w:pPr>
  </w:p>
  <w:p w14:paraId="031998F2" w14:textId="77777777" w:rsidR="00FC2A6D" w:rsidRPr="00C92CC4" w:rsidRDefault="00FC2A6D" w:rsidP="007659D8">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339"/>
    <w:multiLevelType w:val="hybridMultilevel"/>
    <w:tmpl w:val="E332B30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983646"/>
    <w:multiLevelType w:val="hybridMultilevel"/>
    <w:tmpl w:val="AA4E1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110FB"/>
    <w:multiLevelType w:val="hybridMultilevel"/>
    <w:tmpl w:val="2A52DFFA"/>
    <w:lvl w:ilvl="0" w:tplc="B04CE5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05E34"/>
    <w:multiLevelType w:val="hybridMultilevel"/>
    <w:tmpl w:val="94FAE5EA"/>
    <w:lvl w:ilvl="0" w:tplc="CA6C27DC">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EB45CE"/>
    <w:multiLevelType w:val="hybridMultilevel"/>
    <w:tmpl w:val="4B6858A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7227CA2"/>
    <w:multiLevelType w:val="hybridMultilevel"/>
    <w:tmpl w:val="6F6CED36"/>
    <w:lvl w:ilvl="0" w:tplc="B04CE5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72"/>
    <w:multiLevelType w:val="hybridMultilevel"/>
    <w:tmpl w:val="6E1C940A"/>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ADA24AA"/>
    <w:multiLevelType w:val="hybridMultilevel"/>
    <w:tmpl w:val="730C382A"/>
    <w:lvl w:ilvl="0" w:tplc="B04CE5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46BD1"/>
    <w:multiLevelType w:val="hybridMultilevel"/>
    <w:tmpl w:val="DC86A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2E19FD"/>
    <w:multiLevelType w:val="hybridMultilevel"/>
    <w:tmpl w:val="8C5C39B8"/>
    <w:lvl w:ilvl="0" w:tplc="B04CE5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B5826"/>
    <w:multiLevelType w:val="hybridMultilevel"/>
    <w:tmpl w:val="86E6BC12"/>
    <w:lvl w:ilvl="0" w:tplc="B04CE59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1"/>
  </w:num>
  <w:num w:numId="4">
    <w:abstractNumId w:val="3"/>
  </w:num>
  <w:num w:numId="5">
    <w:abstractNumId w:val="5"/>
  </w:num>
  <w:num w:numId="6">
    <w:abstractNumId w:val="9"/>
  </w:num>
  <w:num w:numId="7">
    <w:abstractNumId w:val="7"/>
  </w:num>
  <w:num w:numId="8">
    <w:abstractNumId w:val="2"/>
  </w:num>
  <w:num w:numId="9">
    <w:abstractNumId w:val="4"/>
  </w:num>
  <w:num w:numId="10">
    <w:abstractNumId w:val="0"/>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tTQ0NzU0NTMxNLRQ0lEKTi0uzszPAykwqQUAZb4B6iwAAAA="/>
  </w:docVars>
  <w:rsids>
    <w:rsidRoot w:val="008A4DC4"/>
    <w:rsid w:val="00013360"/>
    <w:rsid w:val="000216CE"/>
    <w:rsid w:val="00024DCE"/>
    <w:rsid w:val="00025DC7"/>
    <w:rsid w:val="00037616"/>
    <w:rsid w:val="00044ECC"/>
    <w:rsid w:val="000531D3"/>
    <w:rsid w:val="0005646B"/>
    <w:rsid w:val="00062202"/>
    <w:rsid w:val="0008102D"/>
    <w:rsid w:val="00094C0E"/>
    <w:rsid w:val="00097A94"/>
    <w:rsid w:val="000A2D3E"/>
    <w:rsid w:val="000A6DFB"/>
    <w:rsid w:val="000F0C22"/>
    <w:rsid w:val="000F6B09"/>
    <w:rsid w:val="000F6FDC"/>
    <w:rsid w:val="001010A5"/>
    <w:rsid w:val="00104567"/>
    <w:rsid w:val="00113E97"/>
    <w:rsid w:val="0012732D"/>
    <w:rsid w:val="00154D02"/>
    <w:rsid w:val="00154FC9"/>
    <w:rsid w:val="001614C2"/>
    <w:rsid w:val="001909F7"/>
    <w:rsid w:val="0019241A"/>
    <w:rsid w:val="001A752D"/>
    <w:rsid w:val="001B17F3"/>
    <w:rsid w:val="001B7DB6"/>
    <w:rsid w:val="001F6BF6"/>
    <w:rsid w:val="00203AA1"/>
    <w:rsid w:val="00213E98"/>
    <w:rsid w:val="0022433B"/>
    <w:rsid w:val="0022715E"/>
    <w:rsid w:val="002F0F59"/>
    <w:rsid w:val="002F460C"/>
    <w:rsid w:val="002F48D6"/>
    <w:rsid w:val="00305729"/>
    <w:rsid w:val="00347E72"/>
    <w:rsid w:val="00351663"/>
    <w:rsid w:val="00354899"/>
    <w:rsid w:val="00364A5C"/>
    <w:rsid w:val="00373FB1"/>
    <w:rsid w:val="00386A96"/>
    <w:rsid w:val="003B30D8"/>
    <w:rsid w:val="003B7EF2"/>
    <w:rsid w:val="003C32DD"/>
    <w:rsid w:val="003C3FA4"/>
    <w:rsid w:val="003D50F8"/>
    <w:rsid w:val="003F2B0C"/>
    <w:rsid w:val="00407802"/>
    <w:rsid w:val="004221E4"/>
    <w:rsid w:val="00422502"/>
    <w:rsid w:val="00430C39"/>
    <w:rsid w:val="00447E28"/>
    <w:rsid w:val="00464297"/>
    <w:rsid w:val="0048458F"/>
    <w:rsid w:val="004A7638"/>
    <w:rsid w:val="004B1CCB"/>
    <w:rsid w:val="004D25A2"/>
    <w:rsid w:val="004D7DBC"/>
    <w:rsid w:val="004E23A1"/>
    <w:rsid w:val="005000D1"/>
    <w:rsid w:val="0051359F"/>
    <w:rsid w:val="00514795"/>
    <w:rsid w:val="0053368D"/>
    <w:rsid w:val="005406CF"/>
    <w:rsid w:val="005528CB"/>
    <w:rsid w:val="00566771"/>
    <w:rsid w:val="00575215"/>
    <w:rsid w:val="00581E2E"/>
    <w:rsid w:val="00584F15"/>
    <w:rsid w:val="005906C8"/>
    <w:rsid w:val="005F34B4"/>
    <w:rsid w:val="006048C1"/>
    <w:rsid w:val="006163F7"/>
    <w:rsid w:val="00626ACD"/>
    <w:rsid w:val="00647AC9"/>
    <w:rsid w:val="00652606"/>
    <w:rsid w:val="006973E5"/>
    <w:rsid w:val="006A606D"/>
    <w:rsid w:val="006C0371"/>
    <w:rsid w:val="006C08B6"/>
    <w:rsid w:val="006C0B1A"/>
    <w:rsid w:val="006C6065"/>
    <w:rsid w:val="006C7F9F"/>
    <w:rsid w:val="006D65F9"/>
    <w:rsid w:val="006E2F6D"/>
    <w:rsid w:val="006F131D"/>
    <w:rsid w:val="006F4DAC"/>
    <w:rsid w:val="00752BCD"/>
    <w:rsid w:val="007659D8"/>
    <w:rsid w:val="00766DA1"/>
    <w:rsid w:val="00781F3D"/>
    <w:rsid w:val="007866A6"/>
    <w:rsid w:val="00792657"/>
    <w:rsid w:val="0079419E"/>
    <w:rsid w:val="007A0462"/>
    <w:rsid w:val="007A130D"/>
    <w:rsid w:val="007B0677"/>
    <w:rsid w:val="007B4A4A"/>
    <w:rsid w:val="007C2BAA"/>
    <w:rsid w:val="007D4102"/>
    <w:rsid w:val="007D542E"/>
    <w:rsid w:val="00821FFC"/>
    <w:rsid w:val="0082685D"/>
    <w:rsid w:val="008271CA"/>
    <w:rsid w:val="0083538F"/>
    <w:rsid w:val="00835DA5"/>
    <w:rsid w:val="008467D5"/>
    <w:rsid w:val="00881E6A"/>
    <w:rsid w:val="008958BE"/>
    <w:rsid w:val="008A3A8D"/>
    <w:rsid w:val="008A3DBE"/>
    <w:rsid w:val="008A4DC4"/>
    <w:rsid w:val="008B7472"/>
    <w:rsid w:val="008E55B9"/>
    <w:rsid w:val="008F6658"/>
    <w:rsid w:val="00903911"/>
    <w:rsid w:val="009067A4"/>
    <w:rsid w:val="0091224F"/>
    <w:rsid w:val="00923EE0"/>
    <w:rsid w:val="009340DB"/>
    <w:rsid w:val="009354D2"/>
    <w:rsid w:val="00946FB4"/>
    <w:rsid w:val="00954BDE"/>
    <w:rsid w:val="00972498"/>
    <w:rsid w:val="00974CC6"/>
    <w:rsid w:val="00976AD4"/>
    <w:rsid w:val="009B34A3"/>
    <w:rsid w:val="009C754B"/>
    <w:rsid w:val="009C76D5"/>
    <w:rsid w:val="009E1EFA"/>
    <w:rsid w:val="009F7AA4"/>
    <w:rsid w:val="00A21A64"/>
    <w:rsid w:val="00A54F72"/>
    <w:rsid w:val="00A559DB"/>
    <w:rsid w:val="00A72424"/>
    <w:rsid w:val="00AA54EA"/>
    <w:rsid w:val="00AD13F5"/>
    <w:rsid w:val="00AF35FC"/>
    <w:rsid w:val="00B03639"/>
    <w:rsid w:val="00B0652A"/>
    <w:rsid w:val="00B10C14"/>
    <w:rsid w:val="00B40937"/>
    <w:rsid w:val="00B423EF"/>
    <w:rsid w:val="00B43633"/>
    <w:rsid w:val="00B453DE"/>
    <w:rsid w:val="00B901F9"/>
    <w:rsid w:val="00BC671D"/>
    <w:rsid w:val="00BD60A3"/>
    <w:rsid w:val="00BD6EFB"/>
    <w:rsid w:val="00BE6381"/>
    <w:rsid w:val="00C00D86"/>
    <w:rsid w:val="00C15BE2"/>
    <w:rsid w:val="00C3447F"/>
    <w:rsid w:val="00C416F6"/>
    <w:rsid w:val="00C42A78"/>
    <w:rsid w:val="00C771A9"/>
    <w:rsid w:val="00C81491"/>
    <w:rsid w:val="00C81676"/>
    <w:rsid w:val="00C90157"/>
    <w:rsid w:val="00C92CC4"/>
    <w:rsid w:val="00CA0394"/>
    <w:rsid w:val="00CA0AFB"/>
    <w:rsid w:val="00CC1787"/>
    <w:rsid w:val="00CC182C"/>
    <w:rsid w:val="00CD0824"/>
    <w:rsid w:val="00CD2908"/>
    <w:rsid w:val="00CD349E"/>
    <w:rsid w:val="00CF166A"/>
    <w:rsid w:val="00D03A82"/>
    <w:rsid w:val="00D15344"/>
    <w:rsid w:val="00D31BEC"/>
    <w:rsid w:val="00D63150"/>
    <w:rsid w:val="00D64A32"/>
    <w:rsid w:val="00D64EFC"/>
    <w:rsid w:val="00D70888"/>
    <w:rsid w:val="00D75295"/>
    <w:rsid w:val="00D76CE9"/>
    <w:rsid w:val="00D97F12"/>
    <w:rsid w:val="00DA0487"/>
    <w:rsid w:val="00DB42E7"/>
    <w:rsid w:val="00DF32C2"/>
    <w:rsid w:val="00E01C1E"/>
    <w:rsid w:val="00E31CE7"/>
    <w:rsid w:val="00E40581"/>
    <w:rsid w:val="00E471A7"/>
    <w:rsid w:val="00E604E5"/>
    <w:rsid w:val="00E635CF"/>
    <w:rsid w:val="00E9194C"/>
    <w:rsid w:val="00E95F0F"/>
    <w:rsid w:val="00EA4A92"/>
    <w:rsid w:val="00EC6E0A"/>
    <w:rsid w:val="00ED4E18"/>
    <w:rsid w:val="00EE1F37"/>
    <w:rsid w:val="00F0159C"/>
    <w:rsid w:val="00F105B7"/>
    <w:rsid w:val="00F14C10"/>
    <w:rsid w:val="00F36A07"/>
    <w:rsid w:val="00F50E91"/>
    <w:rsid w:val="00F5608E"/>
    <w:rsid w:val="00F57D29"/>
    <w:rsid w:val="00F92007"/>
    <w:rsid w:val="00F9483D"/>
    <w:rsid w:val="00F96201"/>
    <w:rsid w:val="00FC2A6D"/>
    <w:rsid w:val="00FD0B18"/>
    <w:rsid w:val="00FD0CC3"/>
    <w:rsid w:val="00FE6B8D"/>
    <w:rsid w:val="00FE714F"/>
    <w:rsid w:val="00FE7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137F1"/>
  <w15:docId w15:val="{F7854298-8C16-434C-97F9-D4538815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paragraph" w:customStyle="1" w:styleId="Casehead1">
    <w:name w:val="Casehead 1"/>
    <w:basedOn w:val="BodyTextMain"/>
    <w:link w:val="Casehead1Char"/>
    <w:qFormat/>
    <w:rsid w:val="00BD60A3"/>
    <w:rPr>
      <w:rFonts w:ascii="Arial" w:hAnsi="Arial" w:cs="Arial"/>
      <w:b/>
      <w:caps/>
      <w:sz w:val="20"/>
      <w:szCs w:val="20"/>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2">
    <w:name w:val="Casehead 2"/>
    <w:basedOn w:val="Casehead1"/>
    <w:link w:val="Casehead2Char"/>
    <w:qFormat/>
    <w:rsid w:val="00213E98"/>
    <w:rPr>
      <w:caps w:val="0"/>
    </w:rPr>
  </w:style>
  <w:style w:type="character" w:customStyle="1" w:styleId="Casehead1Char">
    <w:name w:val="Casehead 1 Char"/>
    <w:basedOn w:val="BodyTextMainChar"/>
    <w:link w:val="Casehead1"/>
    <w:rsid w:val="00BD60A3"/>
    <w:rPr>
      <w:rFonts w:ascii="Arial" w:eastAsia="Times New Roman" w:hAnsi="Arial" w:cs="Arial"/>
      <w:b/>
      <w:caps/>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4">
    <w:name w:val="Casehead 4"/>
    <w:basedOn w:val="Casehead3"/>
    <w:link w:val="Casehead4Char"/>
    <w:qFormat/>
    <w:rsid w:val="001B7DB6"/>
    <w:rPr>
      <w:i/>
      <w:u w:val="non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Casehead4Char">
    <w:name w:val="Casehead 4 Char"/>
    <w:basedOn w:val="Casehead3Char"/>
    <w:link w:val="Casehead4"/>
    <w:rsid w:val="001B7DB6"/>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F34B4"/>
    <w:pPr>
      <w:jc w:val="both"/>
    </w:pPr>
    <w:rPr>
      <w:rFonts w:ascii="Arial"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FootnoteChar">
    <w:name w:val="Footnote Char"/>
    <w:basedOn w:val="FootnoteTextChar"/>
    <w:link w:val="Footnote"/>
    <w:rsid w:val="005F34B4"/>
    <w:rPr>
      <w:rFonts w:ascii="Arial" w:eastAsia="Times New Roman" w:hAnsi="Arial" w:cs="Arial"/>
      <w:sz w:val="17"/>
      <w:szCs w:val="17"/>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CaseTitle">
    <w:name w:val="Case Title"/>
    <w:basedOn w:val="MainTitle"/>
    <w:link w:val="CaseTitleChar"/>
    <w:qFormat/>
    <w:rsid w:val="00752BCD"/>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TeachingNoteTitle">
    <w:name w:val="Teaching Note Title"/>
    <w:basedOn w:val="CaseTitle"/>
    <w:link w:val="TeachingNoteTitleChar"/>
    <w:qFormat/>
    <w:rsid w:val="00752BCD"/>
    <w:pPr>
      <w:jc w:val="center"/>
    </w:p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ListParagraph">
    <w:name w:val="List Paragraph"/>
    <w:basedOn w:val="Normal"/>
    <w:uiPriority w:val="34"/>
    <w:qFormat/>
    <w:rsid w:val="000A2D3E"/>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A4A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9354D2"/>
    <w:pPr>
      <w:spacing w:before="100" w:beforeAutospacing="1" w:after="100" w:afterAutospacing="1"/>
    </w:pPr>
    <w:rPr>
      <w:sz w:val="24"/>
      <w:szCs w:val="24"/>
      <w:lang w:val="en-GB" w:eastAsia="en-GB"/>
    </w:rPr>
  </w:style>
  <w:style w:type="character" w:customStyle="1" w:styleId="apple-style-span">
    <w:name w:val="apple-style-span"/>
    <w:basedOn w:val="DefaultParagraphFont"/>
    <w:rsid w:val="009354D2"/>
  </w:style>
  <w:style w:type="table" w:customStyle="1" w:styleId="TableGrid1">
    <w:name w:val="Table Grid1"/>
    <w:basedOn w:val="TableNormal"/>
    <w:next w:val="TableGrid"/>
    <w:uiPriority w:val="39"/>
    <w:rsid w:val="002F0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ehead10">
    <w:name w:val="casehead1"/>
    <w:basedOn w:val="Normal"/>
    <w:next w:val="BodyText"/>
    <w:rsid w:val="003C32DD"/>
    <w:rPr>
      <w:rFonts w:ascii="Arial" w:hAnsi="Arial"/>
      <w:b/>
      <w:caps/>
      <w:szCs w:val="24"/>
      <w:lang w:val="en-GB"/>
    </w:rPr>
  </w:style>
  <w:style w:type="character" w:styleId="CommentReference">
    <w:name w:val="annotation reference"/>
    <w:basedOn w:val="DefaultParagraphFont"/>
    <w:semiHidden/>
    <w:unhideWhenUsed/>
    <w:rsid w:val="003C32DD"/>
    <w:rPr>
      <w:sz w:val="16"/>
      <w:szCs w:val="16"/>
    </w:rPr>
  </w:style>
  <w:style w:type="paragraph" w:styleId="CommentText">
    <w:name w:val="annotation text"/>
    <w:basedOn w:val="Normal"/>
    <w:link w:val="CommentTextChar"/>
    <w:semiHidden/>
    <w:unhideWhenUsed/>
    <w:rsid w:val="003C32DD"/>
    <w:rPr>
      <w:sz w:val="24"/>
      <w:szCs w:val="24"/>
      <w:lang w:val="en-GB"/>
    </w:rPr>
  </w:style>
  <w:style w:type="character" w:customStyle="1" w:styleId="CommentTextChar">
    <w:name w:val="Comment Text Char"/>
    <w:basedOn w:val="DefaultParagraphFont"/>
    <w:link w:val="CommentText"/>
    <w:semiHidden/>
    <w:rsid w:val="003C32DD"/>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3C32DD"/>
    <w:pPr>
      <w:spacing w:after="120"/>
    </w:pPr>
  </w:style>
  <w:style w:type="character" w:customStyle="1" w:styleId="BodyTextChar">
    <w:name w:val="Body Text Char"/>
    <w:basedOn w:val="DefaultParagraphFont"/>
    <w:link w:val="BodyText"/>
    <w:uiPriority w:val="99"/>
    <w:semiHidden/>
    <w:rsid w:val="003C32DD"/>
    <w:rPr>
      <w:rFonts w:ascii="Times New Roman" w:eastAsia="Times New Roman" w:hAnsi="Times New Roman" w:cs="Times New Roman"/>
      <w:sz w:val="20"/>
      <w:szCs w:val="20"/>
    </w:rPr>
  </w:style>
  <w:style w:type="paragraph" w:customStyle="1" w:styleId="FootnoteText1">
    <w:name w:val="Footnote Text1"/>
    <w:basedOn w:val="Normal"/>
    <w:next w:val="BodyText"/>
    <w:rsid w:val="003C32DD"/>
    <w:pPr>
      <w:tabs>
        <w:tab w:val="left" w:pos="-1440"/>
        <w:tab w:val="left" w:pos="-720"/>
        <w:tab w:val="left" w:pos="1"/>
        <w:tab w:val="right" w:pos="9000"/>
      </w:tabs>
      <w:ind w:left="432" w:hanging="432"/>
      <w:jc w:val="both"/>
    </w:pPr>
    <w:rPr>
      <w:rFonts w:ascii="Arial" w:hAnsi="Arial"/>
      <w:sz w:val="17"/>
      <w:szCs w:val="24"/>
      <w:lang w:val="en-GB"/>
    </w:rPr>
  </w:style>
  <w:style w:type="paragraph" w:styleId="NoSpacing">
    <w:name w:val="No Spacing"/>
    <w:uiPriority w:val="1"/>
    <w:qFormat/>
    <w:rsid w:val="00037616"/>
    <w:pPr>
      <w:spacing w:after="0" w:line="240" w:lineRule="auto"/>
    </w:pPr>
    <w:rPr>
      <w:rFonts w:eastAsiaTheme="minorEastAsia"/>
      <w:sz w:val="24"/>
      <w:szCs w:val="24"/>
    </w:rPr>
  </w:style>
  <w:style w:type="character" w:customStyle="1" w:styleId="UnresolvedMention1">
    <w:name w:val="Unresolved Mention1"/>
    <w:basedOn w:val="DefaultParagraphFont"/>
    <w:uiPriority w:val="99"/>
    <w:semiHidden/>
    <w:unhideWhenUsed/>
    <w:rsid w:val="009B34A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416F6"/>
    <w:rPr>
      <w:b/>
      <w:bCs/>
      <w:sz w:val="20"/>
      <w:szCs w:val="20"/>
      <w:lang w:val="en-US"/>
    </w:rPr>
  </w:style>
  <w:style w:type="character" w:customStyle="1" w:styleId="CommentSubjectChar">
    <w:name w:val="Comment Subject Char"/>
    <w:basedOn w:val="CommentTextChar"/>
    <w:link w:val="CommentSubject"/>
    <w:uiPriority w:val="99"/>
    <w:semiHidden/>
    <w:rsid w:val="00C416F6"/>
    <w:rPr>
      <w:rFonts w:ascii="Times New Roman" w:eastAsia="Times New Roman" w:hAnsi="Times New Roman" w:cs="Times New Roman"/>
      <w:b/>
      <w:bCs/>
      <w:sz w:val="20"/>
      <w:szCs w:val="20"/>
      <w:lang w:val="en-GB"/>
    </w:rPr>
  </w:style>
  <w:style w:type="paragraph" w:styleId="Revision">
    <w:name w:val="Revision"/>
    <w:hidden/>
    <w:uiPriority w:val="99"/>
    <w:semiHidden/>
    <w:rsid w:val="00C416F6"/>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FC2A6D"/>
    <w:rPr>
      <w:color w:val="800080" w:themeColor="followedHyperlink"/>
      <w:u w:val="single"/>
    </w:rPr>
  </w:style>
  <w:style w:type="character" w:styleId="UnresolvedMention">
    <w:name w:val="Unresolved Mention"/>
    <w:basedOn w:val="DefaultParagraphFont"/>
    <w:uiPriority w:val="99"/>
    <w:semiHidden/>
    <w:unhideWhenUsed/>
    <w:rsid w:val="00161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investopedia.com/contributors/54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53FE4-E101-4035-B444-E487B417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2021-05-20T18:05:00Z</dcterms:created>
  <dcterms:modified xsi:type="dcterms:W3CDTF">2021-05-20T18:05:00Z</dcterms:modified>
</cp:coreProperties>
</file>