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55F33FCD" w:rsidR="003A5366" w:rsidRPr="00C71840" w:rsidRDefault="009B6193" w:rsidP="00C02410">
      <w:pPr>
        <w:pBdr>
          <w:bottom w:val="single" w:sz="18" w:space="1" w:color="auto"/>
        </w:pBdr>
        <w:tabs>
          <w:tab w:val="left" w:pos="-1440"/>
          <w:tab w:val="left" w:pos="-720"/>
          <w:tab w:val="left" w:pos="1"/>
        </w:tabs>
        <w:jc w:val="both"/>
        <w:rPr>
          <w:rFonts w:ascii="Arial" w:hAnsi="Arial"/>
          <w:b/>
          <w:sz w:val="24"/>
          <w:lang w:val="en-CA"/>
        </w:rPr>
      </w:pPr>
      <w:r w:rsidRPr="00A569EA">
        <w:rPr>
          <w:rFonts w:ascii="Arial" w:hAnsi="Arial"/>
          <w:b/>
          <w:noProof/>
          <w:sz w:val="24"/>
          <w:lang w:val="en-CA" w:eastAsia="en-CA"/>
        </w:rPr>
        <w:drawing>
          <wp:inline distT="0" distB="0" distL="0" distR="0" wp14:anchorId="6FE38D49" wp14:editId="0B54CE42">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FF5445B" w:rsidR="00C02410" w:rsidRPr="00C71840" w:rsidRDefault="009B6193" w:rsidP="00C02410">
      <w:pPr>
        <w:pStyle w:val="ProductNumber"/>
        <w:rPr>
          <w:lang w:val="en-CA"/>
        </w:rPr>
      </w:pPr>
      <w:r>
        <w:rPr>
          <w:lang w:val="en-CA"/>
        </w:rPr>
        <w:t>9B21E012</w:t>
      </w:r>
    </w:p>
    <w:p w14:paraId="4E057522" w14:textId="7A113CB1" w:rsidR="00D75295" w:rsidRPr="00C71840" w:rsidRDefault="00D75295" w:rsidP="00D75295">
      <w:pPr>
        <w:jc w:val="right"/>
        <w:rPr>
          <w:rFonts w:ascii="Arial" w:hAnsi="Arial"/>
          <w:b/>
          <w:lang w:val="en-CA"/>
        </w:rPr>
      </w:pPr>
    </w:p>
    <w:p w14:paraId="02524312" w14:textId="77777777" w:rsidR="001901C0" w:rsidRPr="00C71840" w:rsidRDefault="001901C0" w:rsidP="00D75295">
      <w:pPr>
        <w:jc w:val="right"/>
        <w:rPr>
          <w:rFonts w:ascii="Arial" w:hAnsi="Arial"/>
          <w:b/>
          <w:lang w:val="en-CA"/>
        </w:rPr>
      </w:pPr>
    </w:p>
    <w:p w14:paraId="2F03D26A" w14:textId="32C3517B" w:rsidR="00013360" w:rsidRPr="00C71840" w:rsidRDefault="00AA387F" w:rsidP="00013360">
      <w:pPr>
        <w:pStyle w:val="CaseTitle"/>
        <w:spacing w:after="0" w:line="240" w:lineRule="auto"/>
        <w:rPr>
          <w:sz w:val="20"/>
          <w:szCs w:val="20"/>
          <w:lang w:val="en-CA"/>
        </w:rPr>
      </w:pPr>
      <w:r w:rsidRPr="00C71840">
        <w:rPr>
          <w:lang w:val="en-CA"/>
        </w:rPr>
        <w:t>WORLD REINSURANCE COMPANY: EXCESS-OF-LOSS REINSURANCE QUOTE</w:t>
      </w:r>
    </w:p>
    <w:p w14:paraId="40ABF6FD" w14:textId="77777777" w:rsidR="00CA3976" w:rsidRPr="00C71840" w:rsidRDefault="00CA3976" w:rsidP="00013360">
      <w:pPr>
        <w:pStyle w:val="CaseTitle"/>
        <w:spacing w:after="0" w:line="240" w:lineRule="auto"/>
        <w:rPr>
          <w:sz w:val="20"/>
          <w:szCs w:val="20"/>
          <w:lang w:val="en-CA"/>
        </w:rPr>
      </w:pPr>
    </w:p>
    <w:p w14:paraId="202F1085" w14:textId="77777777" w:rsidR="00013360" w:rsidRPr="00C71840" w:rsidRDefault="00013360" w:rsidP="00013360">
      <w:pPr>
        <w:pStyle w:val="CaseTitle"/>
        <w:spacing w:after="0" w:line="240" w:lineRule="auto"/>
        <w:rPr>
          <w:sz w:val="20"/>
          <w:szCs w:val="20"/>
          <w:lang w:val="en-CA"/>
        </w:rPr>
      </w:pPr>
    </w:p>
    <w:p w14:paraId="58B0C73F" w14:textId="1CFB3144" w:rsidR="00086B26" w:rsidRPr="00C71840" w:rsidRDefault="00AA387F" w:rsidP="00086B26">
      <w:pPr>
        <w:pStyle w:val="StyleCopyrightStatementAfter0ptBottomSinglesolidline1"/>
        <w:rPr>
          <w:lang w:val="en-CA"/>
        </w:rPr>
      </w:pPr>
      <w:r w:rsidRPr="00C71840">
        <w:rPr>
          <w:lang w:val="en-CA"/>
        </w:rPr>
        <w:t>Jeffrey Wong and Kyle Maclean</w:t>
      </w:r>
      <w:r w:rsidR="00ED7922" w:rsidRPr="00C71840">
        <w:rPr>
          <w:rFonts w:cs="Arial"/>
          <w:szCs w:val="16"/>
          <w:lang w:val="en-CA"/>
        </w:rPr>
        <w:t xml:space="preserve"> </w:t>
      </w:r>
      <w:r w:rsidR="00086B26" w:rsidRPr="00C71840">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C71840" w:rsidRDefault="00086B26" w:rsidP="00086B26">
      <w:pPr>
        <w:pStyle w:val="StyleCopyrightStatementAfter0ptBottomSinglesolidline1"/>
        <w:rPr>
          <w:lang w:val="en-CA"/>
        </w:rPr>
      </w:pPr>
    </w:p>
    <w:p w14:paraId="21F0694C" w14:textId="74D44EDE" w:rsidR="003A5366" w:rsidRPr="00C71840" w:rsidRDefault="009B6193" w:rsidP="00A323B0">
      <w:pPr>
        <w:pStyle w:val="StyleStyleCopyrightStatementAfter0ptBottomSinglesolid"/>
        <w:rPr>
          <w:rFonts w:cs="Arial"/>
          <w:szCs w:val="16"/>
          <w:lang w:val="en-CA"/>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B5BA02E" w14:textId="651CE0B9" w:rsidR="003A5366" w:rsidRPr="00C71840" w:rsidRDefault="003A5366" w:rsidP="00A323B0">
      <w:pPr>
        <w:pStyle w:val="StyleStyleCopyrightStatementAfter0ptBottomSinglesolid"/>
        <w:rPr>
          <w:rFonts w:cs="Arial"/>
          <w:szCs w:val="16"/>
          <w:lang w:val="en-CA"/>
        </w:rPr>
      </w:pPr>
    </w:p>
    <w:p w14:paraId="3922E14F" w14:textId="3524DE82" w:rsidR="00751E0B" w:rsidRPr="00C71840" w:rsidRDefault="009B6193" w:rsidP="00A323B0">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C71840">
        <w:rPr>
          <w:rFonts w:cs="Arial"/>
          <w:iCs w:val="0"/>
          <w:color w:val="auto"/>
          <w:szCs w:val="16"/>
          <w:lang w:val="en-CA"/>
        </w:rPr>
        <w:tab/>
        <w:t xml:space="preserve">Version: </w:t>
      </w:r>
      <w:r w:rsidR="00AA387F" w:rsidRPr="00C71840">
        <w:rPr>
          <w:rFonts w:cs="Arial"/>
          <w:iCs w:val="0"/>
          <w:color w:val="auto"/>
          <w:szCs w:val="16"/>
          <w:lang w:val="en-CA"/>
        </w:rPr>
        <w:t>2021-</w:t>
      </w:r>
      <w:r>
        <w:rPr>
          <w:rFonts w:cs="Arial"/>
          <w:iCs w:val="0"/>
          <w:color w:val="auto"/>
          <w:szCs w:val="16"/>
          <w:lang w:val="en-CA"/>
        </w:rPr>
        <w:t>08-16</w:t>
      </w:r>
    </w:p>
    <w:p w14:paraId="0A2A54E4" w14:textId="77777777" w:rsidR="00751E0B" w:rsidRPr="00C71840" w:rsidRDefault="00751E0B" w:rsidP="00751E0B">
      <w:pPr>
        <w:pStyle w:val="StyleCopyrightStatementAfter0ptBottomSinglesolidline1"/>
        <w:rPr>
          <w:rFonts w:ascii="Times New Roman" w:hAnsi="Times New Roman"/>
          <w:i w:val="0"/>
          <w:sz w:val="20"/>
          <w:lang w:val="en-CA"/>
        </w:rPr>
      </w:pPr>
    </w:p>
    <w:p w14:paraId="2C183161" w14:textId="6D7A2C16" w:rsidR="00B87DC0" w:rsidRPr="00C71840" w:rsidRDefault="00B87DC0" w:rsidP="002B40FF">
      <w:pPr>
        <w:pStyle w:val="Casehead1"/>
        <w:rPr>
          <w:rFonts w:ascii="Times New Roman" w:hAnsi="Times New Roman" w:cs="Times New Roman"/>
          <w:b w:val="0"/>
          <w:lang w:val="en-CA"/>
        </w:rPr>
      </w:pPr>
    </w:p>
    <w:p w14:paraId="35E73C53" w14:textId="52A77550" w:rsidR="00AA387F" w:rsidRPr="00C71840" w:rsidRDefault="00BF6758" w:rsidP="00AA387F">
      <w:pPr>
        <w:pStyle w:val="BodyTextMain"/>
        <w:rPr>
          <w:lang w:val="en-CA"/>
        </w:rPr>
      </w:pPr>
      <w:r w:rsidRPr="00C71840">
        <w:rPr>
          <w:lang w:val="en-CA"/>
        </w:rPr>
        <w:t>Having r</w:t>
      </w:r>
      <w:r w:rsidR="00AA387F" w:rsidRPr="00C71840">
        <w:rPr>
          <w:lang w:val="en-CA"/>
        </w:rPr>
        <w:t>eturn</w:t>
      </w:r>
      <w:r w:rsidRPr="00C71840">
        <w:rPr>
          <w:lang w:val="en-CA"/>
        </w:rPr>
        <w:t>ed</w:t>
      </w:r>
      <w:r w:rsidR="00AA387F" w:rsidRPr="00C71840">
        <w:rPr>
          <w:lang w:val="en-CA"/>
        </w:rPr>
        <w:t xml:space="preserve"> to his desk after lunch, Jeffrey Wong, an actuarial intern at World Reinsurance Company, was casually checking his e-mail </w:t>
      </w:r>
      <w:r w:rsidR="006B76E9" w:rsidRPr="00C71840">
        <w:rPr>
          <w:lang w:val="en-CA"/>
        </w:rPr>
        <w:t>and</w:t>
      </w:r>
      <w:r w:rsidR="00AA387F" w:rsidRPr="00C71840">
        <w:rPr>
          <w:lang w:val="en-CA"/>
        </w:rPr>
        <w:t xml:space="preserve"> noticed that he </w:t>
      </w:r>
      <w:r w:rsidR="006B76E9" w:rsidRPr="00C71840">
        <w:rPr>
          <w:lang w:val="en-CA"/>
        </w:rPr>
        <w:t xml:space="preserve">had </w:t>
      </w:r>
      <w:r w:rsidR="00AA387F" w:rsidRPr="00C71840">
        <w:rPr>
          <w:lang w:val="en-CA"/>
        </w:rPr>
        <w:t>received a request from his manager, Dominic Tate, to develop a quote for an upcoming request for proposal (RFP) from</w:t>
      </w:r>
      <w:r w:rsidR="00673DE5" w:rsidRPr="00C71840">
        <w:rPr>
          <w:lang w:val="en-CA"/>
        </w:rPr>
        <w:t xml:space="preserve"> one of World Reinsurance Company’s larger clients,</w:t>
      </w:r>
      <w:r w:rsidR="00AA387F" w:rsidRPr="00C71840">
        <w:rPr>
          <w:lang w:val="en-CA"/>
        </w:rPr>
        <w:t xml:space="preserve"> </w:t>
      </w:r>
      <w:r w:rsidR="0094725E" w:rsidRPr="00C71840">
        <w:rPr>
          <w:lang w:val="en-CA"/>
        </w:rPr>
        <w:t>Ontario</w:t>
      </w:r>
      <w:r w:rsidR="00A431FD" w:rsidRPr="00C71840">
        <w:rPr>
          <w:lang w:val="en-CA"/>
        </w:rPr>
        <w:t xml:space="preserve"> </w:t>
      </w:r>
      <w:r w:rsidR="00AA387F" w:rsidRPr="00C71840">
        <w:rPr>
          <w:lang w:val="en-CA"/>
        </w:rPr>
        <w:t>Life</w:t>
      </w:r>
      <w:r w:rsidR="006B76E9" w:rsidRPr="00C71840">
        <w:rPr>
          <w:lang w:val="en-CA"/>
        </w:rPr>
        <w:t xml:space="preserve"> (see Exhibit 1)</w:t>
      </w:r>
      <w:r w:rsidR="00AA387F" w:rsidRPr="00C71840">
        <w:rPr>
          <w:lang w:val="en-CA"/>
        </w:rPr>
        <w:t>. Th</w:t>
      </w:r>
      <w:r w:rsidR="006B76E9" w:rsidRPr="00C71840">
        <w:rPr>
          <w:lang w:val="en-CA"/>
        </w:rPr>
        <w:t>e</w:t>
      </w:r>
      <w:r w:rsidR="00AA387F" w:rsidRPr="00C71840">
        <w:rPr>
          <w:lang w:val="en-CA"/>
        </w:rPr>
        <w:t xml:space="preserve"> RFP would </w:t>
      </w:r>
      <w:r w:rsidR="006B76E9" w:rsidRPr="00C71840">
        <w:rPr>
          <w:lang w:val="en-CA"/>
        </w:rPr>
        <w:t xml:space="preserve">have to </w:t>
      </w:r>
      <w:r w:rsidR="00AA387F" w:rsidRPr="00C71840">
        <w:rPr>
          <w:lang w:val="en-CA"/>
        </w:rPr>
        <w:t xml:space="preserve">contain a quote for an excess-of-loss policy to reinsure </w:t>
      </w:r>
      <w:r w:rsidR="006A7DE5" w:rsidRPr="00C71840">
        <w:rPr>
          <w:lang w:val="en-CA"/>
        </w:rPr>
        <w:t>Ontario</w:t>
      </w:r>
      <w:r w:rsidR="00AA387F" w:rsidRPr="00C71840">
        <w:rPr>
          <w:lang w:val="en-CA"/>
        </w:rPr>
        <w:t xml:space="preserve"> Life’s 10-year</w:t>
      </w:r>
      <w:r w:rsidR="006B76E9" w:rsidRPr="00C71840">
        <w:rPr>
          <w:lang w:val="en-CA"/>
        </w:rPr>
        <w:t>-</w:t>
      </w:r>
      <w:r w:rsidR="00AA387F" w:rsidRPr="00C71840">
        <w:rPr>
          <w:lang w:val="en-CA"/>
        </w:rPr>
        <w:t>term life insurance policy</w:t>
      </w:r>
      <w:r w:rsidR="006453CC" w:rsidRPr="00C71840">
        <w:rPr>
          <w:lang w:val="en-CA"/>
        </w:rPr>
        <w:t>,</w:t>
      </w:r>
      <w:r w:rsidR="00AA387F" w:rsidRPr="00C71840">
        <w:rPr>
          <w:lang w:val="en-CA"/>
        </w:rPr>
        <w:t xml:space="preserve"> con</w:t>
      </w:r>
      <w:r w:rsidR="00944B60" w:rsidRPr="00C71840">
        <w:rPr>
          <w:lang w:val="en-CA"/>
        </w:rPr>
        <w:t>sist</w:t>
      </w:r>
      <w:r w:rsidR="00B356AF" w:rsidRPr="00C71840">
        <w:rPr>
          <w:lang w:val="en-CA"/>
        </w:rPr>
        <w:t>ing</w:t>
      </w:r>
      <w:r w:rsidR="00944B60" w:rsidRPr="00C71840">
        <w:rPr>
          <w:lang w:val="en-CA"/>
        </w:rPr>
        <w:t xml:space="preserve"> of</w:t>
      </w:r>
      <w:r w:rsidR="00AA387F" w:rsidRPr="00C71840">
        <w:rPr>
          <w:lang w:val="en-CA"/>
        </w:rPr>
        <w:t xml:space="preserve"> 100 high-risk policyholders</w:t>
      </w:r>
      <w:r w:rsidR="006453CC" w:rsidRPr="00C71840">
        <w:rPr>
          <w:lang w:val="en-CA"/>
        </w:rPr>
        <w:t>,</w:t>
      </w:r>
      <w:r w:rsidR="00AA387F" w:rsidRPr="00C71840">
        <w:rPr>
          <w:lang w:val="en-CA"/>
        </w:rPr>
        <w:t xml:space="preserve"> for retention limits over </w:t>
      </w:r>
      <w:r w:rsidR="005B6C24" w:rsidRPr="00C71840">
        <w:rPr>
          <w:lang w:val="en-CA"/>
        </w:rPr>
        <w:t>CA</w:t>
      </w:r>
      <w:r w:rsidR="00AA387F" w:rsidRPr="00C71840">
        <w:rPr>
          <w:lang w:val="en-CA"/>
        </w:rPr>
        <w:t>$250,000</w:t>
      </w:r>
      <w:r w:rsidR="005B6C24" w:rsidRPr="00C71840">
        <w:rPr>
          <w:rStyle w:val="FootnoteReference"/>
          <w:lang w:val="en-CA"/>
        </w:rPr>
        <w:footnoteReference w:id="1"/>
      </w:r>
      <w:r w:rsidR="00AA387F" w:rsidRPr="00C71840">
        <w:rPr>
          <w:lang w:val="en-CA"/>
        </w:rPr>
        <w:t xml:space="preserve"> on a per</w:t>
      </w:r>
      <w:r w:rsidR="006B76E9" w:rsidRPr="00C71840">
        <w:rPr>
          <w:lang w:val="en-CA"/>
        </w:rPr>
        <w:t>-</w:t>
      </w:r>
      <w:r w:rsidR="00AA387F" w:rsidRPr="00C71840">
        <w:rPr>
          <w:lang w:val="en-CA"/>
        </w:rPr>
        <w:t>loss basis. Since the quote was to be submitted for review by the end of the day, Wong knew he had to get started on it immediately.</w:t>
      </w:r>
    </w:p>
    <w:p w14:paraId="03021878" w14:textId="64BA1C7A" w:rsidR="00AA387F" w:rsidRPr="00C71840" w:rsidRDefault="00AA387F" w:rsidP="00AA387F">
      <w:pPr>
        <w:pStyle w:val="BodyTextMain"/>
        <w:rPr>
          <w:lang w:val="en-CA"/>
        </w:rPr>
      </w:pPr>
    </w:p>
    <w:p w14:paraId="52E35FB1" w14:textId="77777777" w:rsidR="00AA387F" w:rsidRPr="00C71840" w:rsidRDefault="00AA387F" w:rsidP="00AA387F">
      <w:pPr>
        <w:pStyle w:val="BodyTextMain"/>
        <w:rPr>
          <w:lang w:val="en-CA"/>
        </w:rPr>
      </w:pPr>
    </w:p>
    <w:p w14:paraId="02715EAE" w14:textId="77777777" w:rsidR="00AA387F" w:rsidRPr="00C71840" w:rsidRDefault="00AA387F" w:rsidP="00AA387F">
      <w:pPr>
        <w:pStyle w:val="Casehead1"/>
        <w:rPr>
          <w:lang w:val="en-CA"/>
        </w:rPr>
      </w:pPr>
      <w:r w:rsidRPr="00C71840">
        <w:rPr>
          <w:lang w:val="en-CA"/>
        </w:rPr>
        <w:t>BACKGROUND</w:t>
      </w:r>
    </w:p>
    <w:p w14:paraId="24F4FA7B" w14:textId="77777777" w:rsidR="00AA387F" w:rsidRPr="00C71840" w:rsidRDefault="00AA387F" w:rsidP="00AA387F">
      <w:pPr>
        <w:pStyle w:val="BodyTextMain"/>
        <w:rPr>
          <w:lang w:val="en-CA"/>
        </w:rPr>
      </w:pPr>
    </w:p>
    <w:p w14:paraId="5249FDB2" w14:textId="6BD568A7" w:rsidR="00AA387F" w:rsidRPr="00C71840" w:rsidRDefault="00AA387F" w:rsidP="00AA387F">
      <w:pPr>
        <w:pStyle w:val="BodyTextMain"/>
        <w:rPr>
          <w:lang w:val="en-CA"/>
        </w:rPr>
      </w:pPr>
      <w:r w:rsidRPr="00C71840">
        <w:rPr>
          <w:lang w:val="en-CA"/>
        </w:rPr>
        <w:t xml:space="preserve">Wong was a fourth-year undergraduate student pursuing a dual degree </w:t>
      </w:r>
      <w:r w:rsidR="006B76E9" w:rsidRPr="00C71840">
        <w:rPr>
          <w:lang w:val="en-CA"/>
        </w:rPr>
        <w:t>in</w:t>
      </w:r>
      <w:r w:rsidRPr="00C71840">
        <w:rPr>
          <w:lang w:val="en-CA"/>
        </w:rPr>
        <w:t xml:space="preserve"> </w:t>
      </w:r>
      <w:r w:rsidR="006B76E9" w:rsidRPr="00C71840">
        <w:rPr>
          <w:lang w:val="en-CA"/>
        </w:rPr>
        <w:t>h</w:t>
      </w:r>
      <w:r w:rsidRPr="00C71840">
        <w:rPr>
          <w:lang w:val="en-CA"/>
        </w:rPr>
        <w:t>ono</w:t>
      </w:r>
      <w:r w:rsidR="00A431FD" w:rsidRPr="00C71840">
        <w:rPr>
          <w:lang w:val="en-CA"/>
        </w:rPr>
        <w:t>u</w:t>
      </w:r>
      <w:r w:rsidRPr="00C71840">
        <w:rPr>
          <w:lang w:val="en-CA"/>
        </w:rPr>
        <w:t xml:space="preserve">rs </w:t>
      </w:r>
      <w:r w:rsidR="006B76E9" w:rsidRPr="00C71840">
        <w:rPr>
          <w:lang w:val="en-CA"/>
        </w:rPr>
        <w:t>s</w:t>
      </w:r>
      <w:r w:rsidRPr="00C71840">
        <w:rPr>
          <w:lang w:val="en-CA"/>
        </w:rPr>
        <w:t xml:space="preserve">pecialization </w:t>
      </w:r>
      <w:r w:rsidR="006B76E9" w:rsidRPr="00C71840">
        <w:rPr>
          <w:lang w:val="en-CA"/>
        </w:rPr>
        <w:t>in a</w:t>
      </w:r>
      <w:r w:rsidRPr="00C71840">
        <w:rPr>
          <w:lang w:val="en-CA"/>
        </w:rPr>
        <w:t xml:space="preserve">ctuarial </w:t>
      </w:r>
      <w:r w:rsidR="006B76E9" w:rsidRPr="00C71840">
        <w:rPr>
          <w:lang w:val="en-CA"/>
        </w:rPr>
        <w:t>s</w:t>
      </w:r>
      <w:r w:rsidRPr="00C71840">
        <w:rPr>
          <w:lang w:val="en-CA"/>
        </w:rPr>
        <w:t xml:space="preserve">cience at the University of Western Ontario and </w:t>
      </w:r>
      <w:r w:rsidR="006B76E9" w:rsidRPr="00C71840">
        <w:rPr>
          <w:lang w:val="en-CA"/>
        </w:rPr>
        <w:t>h</w:t>
      </w:r>
      <w:r w:rsidRPr="00C71840">
        <w:rPr>
          <w:lang w:val="en-CA"/>
        </w:rPr>
        <w:t xml:space="preserve">onours </w:t>
      </w:r>
      <w:r w:rsidR="006B76E9" w:rsidRPr="00C71840">
        <w:rPr>
          <w:lang w:val="en-CA"/>
        </w:rPr>
        <w:t>b</w:t>
      </w:r>
      <w:r w:rsidRPr="00C71840">
        <w:rPr>
          <w:lang w:val="en-CA"/>
        </w:rPr>
        <w:t xml:space="preserve">usiness </w:t>
      </w:r>
      <w:r w:rsidR="006B76E9" w:rsidRPr="00C71840">
        <w:rPr>
          <w:lang w:val="en-CA"/>
        </w:rPr>
        <w:t>a</w:t>
      </w:r>
      <w:r w:rsidRPr="00C71840">
        <w:rPr>
          <w:lang w:val="en-CA"/>
        </w:rPr>
        <w:t xml:space="preserve">dministration at </w:t>
      </w:r>
      <w:r w:rsidR="006B76E9" w:rsidRPr="00C71840">
        <w:rPr>
          <w:lang w:val="en-CA"/>
        </w:rPr>
        <w:t>t</w:t>
      </w:r>
      <w:r w:rsidRPr="00C71840">
        <w:rPr>
          <w:lang w:val="en-CA"/>
        </w:rPr>
        <w:t xml:space="preserve">he </w:t>
      </w:r>
      <w:r w:rsidR="006B76E9" w:rsidRPr="00C71840">
        <w:rPr>
          <w:lang w:val="en-CA"/>
        </w:rPr>
        <w:t>u</w:t>
      </w:r>
      <w:r w:rsidRPr="00C71840">
        <w:rPr>
          <w:lang w:val="en-CA"/>
        </w:rPr>
        <w:t>niversity</w:t>
      </w:r>
      <w:r w:rsidR="006B76E9" w:rsidRPr="00C71840">
        <w:rPr>
          <w:lang w:val="en-CA"/>
        </w:rPr>
        <w:t>’s</w:t>
      </w:r>
      <w:r w:rsidRPr="00C71840">
        <w:rPr>
          <w:lang w:val="en-CA"/>
        </w:rPr>
        <w:t xml:space="preserve"> Ivey Business</w:t>
      </w:r>
      <w:r w:rsidR="006B76E9" w:rsidRPr="00C71840">
        <w:rPr>
          <w:lang w:val="en-CA"/>
        </w:rPr>
        <w:t xml:space="preserve"> School</w:t>
      </w:r>
      <w:r w:rsidRPr="00C71840">
        <w:rPr>
          <w:lang w:val="en-CA"/>
        </w:rPr>
        <w:t xml:space="preserve">. He </w:t>
      </w:r>
      <w:r w:rsidR="00BF6758" w:rsidRPr="00C71840">
        <w:rPr>
          <w:lang w:val="en-CA"/>
        </w:rPr>
        <w:t>was also</w:t>
      </w:r>
      <w:r w:rsidRPr="00C71840">
        <w:rPr>
          <w:lang w:val="en-CA"/>
        </w:rPr>
        <w:t xml:space="preserve"> actively </w:t>
      </w:r>
      <w:r w:rsidR="00BF6758" w:rsidRPr="00C71840">
        <w:rPr>
          <w:lang w:val="en-CA"/>
        </w:rPr>
        <w:t xml:space="preserve">working towards </w:t>
      </w:r>
      <w:r w:rsidRPr="00C71840">
        <w:rPr>
          <w:lang w:val="en-CA"/>
        </w:rPr>
        <w:t xml:space="preserve">the designation of Associate of the Society of Actuaries, which </w:t>
      </w:r>
      <w:r w:rsidR="006B76E9" w:rsidRPr="00C71840">
        <w:rPr>
          <w:lang w:val="en-CA"/>
        </w:rPr>
        <w:t>was</w:t>
      </w:r>
      <w:r w:rsidRPr="00C71840">
        <w:rPr>
          <w:lang w:val="en-CA"/>
        </w:rPr>
        <w:t xml:space="preserve"> offered by the Society of Actuaries, as he planned to pursue a career in the insurance industry. Given that this was his first actuarial internship at a large multinational company, he wanted to make a good impression and apply the actuarial and business skills he </w:t>
      </w:r>
      <w:r w:rsidR="00BF6758" w:rsidRPr="00C71840">
        <w:rPr>
          <w:lang w:val="en-CA"/>
        </w:rPr>
        <w:t xml:space="preserve">was </w:t>
      </w:r>
      <w:r w:rsidRPr="00C71840">
        <w:rPr>
          <w:lang w:val="en-CA"/>
        </w:rPr>
        <w:t>learn</w:t>
      </w:r>
      <w:r w:rsidR="00BF6758" w:rsidRPr="00C71840">
        <w:rPr>
          <w:lang w:val="en-CA"/>
        </w:rPr>
        <w:t>ing</w:t>
      </w:r>
      <w:r w:rsidRPr="00C71840">
        <w:rPr>
          <w:lang w:val="en-CA"/>
        </w:rPr>
        <w:t xml:space="preserve"> at university.</w:t>
      </w:r>
    </w:p>
    <w:p w14:paraId="7B96873F" w14:textId="653A19EC" w:rsidR="00AA387F" w:rsidRPr="00C71840" w:rsidRDefault="00AA387F" w:rsidP="00AA387F">
      <w:pPr>
        <w:pStyle w:val="BodyTextMain"/>
        <w:rPr>
          <w:lang w:val="en-CA"/>
        </w:rPr>
      </w:pPr>
    </w:p>
    <w:p w14:paraId="01015964" w14:textId="77777777" w:rsidR="00AA387F" w:rsidRPr="00C71840" w:rsidRDefault="00AA387F" w:rsidP="00AA387F">
      <w:pPr>
        <w:pStyle w:val="BodyTextMain"/>
        <w:rPr>
          <w:lang w:val="en-CA"/>
        </w:rPr>
      </w:pPr>
    </w:p>
    <w:p w14:paraId="58CF8288" w14:textId="77777777" w:rsidR="00AA387F" w:rsidRPr="00C71840" w:rsidRDefault="00AA387F" w:rsidP="00AA387F">
      <w:pPr>
        <w:pStyle w:val="Casehead1"/>
        <w:rPr>
          <w:lang w:val="en-CA"/>
        </w:rPr>
      </w:pPr>
      <w:r w:rsidRPr="00C71840">
        <w:rPr>
          <w:lang w:val="en-CA"/>
        </w:rPr>
        <w:t>LIFE INSURANCE</w:t>
      </w:r>
    </w:p>
    <w:p w14:paraId="3F17EE99" w14:textId="77777777" w:rsidR="00AA387F" w:rsidRPr="00C71840" w:rsidRDefault="00AA387F" w:rsidP="00AA387F">
      <w:pPr>
        <w:pStyle w:val="BodyTextMain"/>
        <w:rPr>
          <w:lang w:val="en-CA"/>
        </w:rPr>
      </w:pPr>
    </w:p>
    <w:p w14:paraId="2BCF84FB" w14:textId="2ABC0F88" w:rsidR="00AA387F" w:rsidRPr="00C71840" w:rsidRDefault="00AA387F" w:rsidP="00AA387F">
      <w:pPr>
        <w:pStyle w:val="BodyTextMain"/>
        <w:rPr>
          <w:lang w:val="en-CA"/>
        </w:rPr>
      </w:pPr>
      <w:r w:rsidRPr="00C71840">
        <w:rPr>
          <w:lang w:val="en-CA"/>
        </w:rPr>
        <w:t xml:space="preserve">Life insurance </w:t>
      </w:r>
      <w:r w:rsidR="00BF6758" w:rsidRPr="00C71840">
        <w:rPr>
          <w:lang w:val="en-CA"/>
        </w:rPr>
        <w:t>was</w:t>
      </w:r>
      <w:r w:rsidRPr="00C71840">
        <w:rPr>
          <w:lang w:val="en-CA"/>
        </w:rPr>
        <w:t xml:space="preserve"> a contract sold by a direct insurer that guarantee</w:t>
      </w:r>
      <w:r w:rsidR="00BF6758" w:rsidRPr="00C71840">
        <w:rPr>
          <w:lang w:val="en-CA"/>
        </w:rPr>
        <w:t>d</w:t>
      </w:r>
      <w:r w:rsidRPr="00C71840">
        <w:rPr>
          <w:lang w:val="en-CA"/>
        </w:rPr>
        <w:t xml:space="preserve"> the insured’s beneficiaries receive</w:t>
      </w:r>
      <w:r w:rsidR="00BF6758" w:rsidRPr="00C71840">
        <w:rPr>
          <w:lang w:val="en-CA"/>
        </w:rPr>
        <w:t>d</w:t>
      </w:r>
      <w:r w:rsidRPr="00C71840">
        <w:rPr>
          <w:lang w:val="en-CA"/>
        </w:rPr>
        <w:t xml:space="preserve"> a specified sum of money when the insured </w:t>
      </w:r>
      <w:r w:rsidR="00BF6758" w:rsidRPr="00C71840">
        <w:rPr>
          <w:lang w:val="en-CA"/>
        </w:rPr>
        <w:t>passed away</w:t>
      </w:r>
      <w:r w:rsidRPr="00C71840">
        <w:rPr>
          <w:lang w:val="en-CA"/>
        </w:rPr>
        <w:t xml:space="preserve">, in exchange for premiums that </w:t>
      </w:r>
      <w:r w:rsidR="00BF6758" w:rsidRPr="00C71840">
        <w:rPr>
          <w:lang w:val="en-CA"/>
        </w:rPr>
        <w:t>were</w:t>
      </w:r>
      <w:r w:rsidRPr="00C71840">
        <w:rPr>
          <w:lang w:val="en-CA"/>
        </w:rPr>
        <w:t xml:space="preserve"> paid by the policyholder.</w:t>
      </w:r>
      <w:r w:rsidRPr="00C71840">
        <w:rPr>
          <w:rStyle w:val="FootnoteReference"/>
          <w:lang w:val="en-CA"/>
        </w:rPr>
        <w:footnoteReference w:id="2"/>
      </w:r>
      <w:r w:rsidRPr="00C71840">
        <w:rPr>
          <w:lang w:val="en-CA"/>
        </w:rPr>
        <w:t xml:space="preserve"> There </w:t>
      </w:r>
      <w:r w:rsidR="00BF6758" w:rsidRPr="00C71840">
        <w:rPr>
          <w:lang w:val="en-CA"/>
        </w:rPr>
        <w:t>were</w:t>
      </w:r>
      <w:r w:rsidRPr="00C71840">
        <w:rPr>
          <w:lang w:val="en-CA"/>
        </w:rPr>
        <w:t xml:space="preserve"> three types of life insurance: term life insurance, </w:t>
      </w:r>
      <w:r w:rsidR="000241A1">
        <w:rPr>
          <w:lang w:val="en-CA"/>
        </w:rPr>
        <w:t xml:space="preserve">permanent (or </w:t>
      </w:r>
      <w:r w:rsidRPr="00C71840">
        <w:rPr>
          <w:lang w:val="en-CA"/>
        </w:rPr>
        <w:t>whole</w:t>
      </w:r>
      <w:r w:rsidR="000241A1">
        <w:rPr>
          <w:lang w:val="en-CA"/>
        </w:rPr>
        <w:t>)</w:t>
      </w:r>
      <w:r w:rsidRPr="00C71840">
        <w:rPr>
          <w:lang w:val="en-CA"/>
        </w:rPr>
        <w:t xml:space="preserve"> life insurance</w:t>
      </w:r>
      <w:r w:rsidR="00BF6758" w:rsidRPr="00C71840">
        <w:rPr>
          <w:lang w:val="en-CA"/>
        </w:rPr>
        <w:t>,</w:t>
      </w:r>
      <w:r w:rsidRPr="00C71840">
        <w:rPr>
          <w:lang w:val="en-CA"/>
        </w:rPr>
        <w:t xml:space="preserve"> and universal life insurance. </w:t>
      </w:r>
    </w:p>
    <w:p w14:paraId="532D6866" w14:textId="77777777" w:rsidR="00AA387F" w:rsidRPr="00C71840" w:rsidRDefault="00AA387F" w:rsidP="00AA387F">
      <w:pPr>
        <w:pStyle w:val="BodyTextMain"/>
        <w:rPr>
          <w:lang w:val="en-CA"/>
        </w:rPr>
      </w:pPr>
    </w:p>
    <w:p w14:paraId="100AFB62" w14:textId="442E9A8B" w:rsidR="00AA387F" w:rsidRPr="00C71840" w:rsidRDefault="00AA387F" w:rsidP="00AA387F">
      <w:pPr>
        <w:pStyle w:val="BodyTextMain"/>
        <w:rPr>
          <w:lang w:val="en-CA"/>
        </w:rPr>
      </w:pPr>
      <w:r w:rsidRPr="00C71840">
        <w:rPr>
          <w:lang w:val="en-CA"/>
        </w:rPr>
        <w:lastRenderedPageBreak/>
        <w:t>Term life insurance guarantee</w:t>
      </w:r>
      <w:r w:rsidR="00BF6758" w:rsidRPr="00C71840">
        <w:rPr>
          <w:lang w:val="en-CA"/>
        </w:rPr>
        <w:t>d</w:t>
      </w:r>
      <w:r w:rsidRPr="00C71840">
        <w:rPr>
          <w:lang w:val="en-CA"/>
        </w:rPr>
        <w:t xml:space="preserve"> a specified payment if the insured die</w:t>
      </w:r>
      <w:r w:rsidR="00BF6758" w:rsidRPr="00C71840">
        <w:rPr>
          <w:lang w:val="en-CA"/>
        </w:rPr>
        <w:t>d</w:t>
      </w:r>
      <w:r w:rsidRPr="00C71840">
        <w:rPr>
          <w:lang w:val="en-CA"/>
        </w:rPr>
        <w:t xml:space="preserve"> within a specified time perio</w:t>
      </w:r>
      <w:bookmarkStart w:id="1" w:name="_GoBack"/>
      <w:bookmarkEnd w:id="1"/>
      <w:r w:rsidRPr="00C71840">
        <w:rPr>
          <w:lang w:val="en-CA"/>
        </w:rPr>
        <w:t>d.</w:t>
      </w:r>
      <w:r w:rsidRPr="00C71840">
        <w:rPr>
          <w:rStyle w:val="FootnoteReference"/>
          <w:lang w:val="en-CA"/>
        </w:rPr>
        <w:footnoteReference w:id="3"/>
      </w:r>
      <w:r w:rsidRPr="00C71840">
        <w:rPr>
          <w:lang w:val="en-CA"/>
        </w:rPr>
        <w:t xml:space="preserve"> </w:t>
      </w:r>
      <w:r w:rsidR="000241A1">
        <w:rPr>
          <w:lang w:val="en-CA"/>
        </w:rPr>
        <w:t xml:space="preserve">Permanent </w:t>
      </w:r>
      <w:r w:rsidRPr="00C71840">
        <w:rPr>
          <w:lang w:val="en-CA"/>
        </w:rPr>
        <w:t>life insurance guarantee</w:t>
      </w:r>
      <w:r w:rsidR="00BF6758" w:rsidRPr="00C71840">
        <w:rPr>
          <w:lang w:val="en-CA"/>
        </w:rPr>
        <w:t>d</w:t>
      </w:r>
      <w:r w:rsidRPr="00C71840">
        <w:rPr>
          <w:lang w:val="en-CA"/>
        </w:rPr>
        <w:t xml:space="preserve"> a specified payment regardless of when the insured </w:t>
      </w:r>
      <w:r w:rsidR="00944B60" w:rsidRPr="00C71840">
        <w:rPr>
          <w:lang w:val="en-CA"/>
        </w:rPr>
        <w:t>passed away</w:t>
      </w:r>
      <w:r w:rsidRPr="00C71840">
        <w:rPr>
          <w:lang w:val="en-CA"/>
        </w:rPr>
        <w:t>.</w:t>
      </w:r>
      <w:r w:rsidRPr="00C71840">
        <w:rPr>
          <w:rStyle w:val="FootnoteReference"/>
          <w:lang w:val="en-CA"/>
        </w:rPr>
        <w:footnoteReference w:id="4"/>
      </w:r>
      <w:r w:rsidRPr="00C71840">
        <w:rPr>
          <w:lang w:val="en-CA"/>
        </w:rPr>
        <w:t xml:space="preserve"> Universal life insurance combine</w:t>
      </w:r>
      <w:r w:rsidR="00944B60" w:rsidRPr="00C71840">
        <w:rPr>
          <w:lang w:val="en-CA"/>
        </w:rPr>
        <w:t>d</w:t>
      </w:r>
      <w:r w:rsidRPr="00C71840">
        <w:rPr>
          <w:lang w:val="en-CA"/>
        </w:rPr>
        <w:t xml:space="preserve"> whole life insurance with an investment component, pa</w:t>
      </w:r>
      <w:r w:rsidR="00944B60" w:rsidRPr="00C71840">
        <w:rPr>
          <w:lang w:val="en-CA"/>
        </w:rPr>
        <w:t>ying</w:t>
      </w:r>
      <w:r w:rsidRPr="00C71840">
        <w:rPr>
          <w:lang w:val="en-CA"/>
        </w:rPr>
        <w:t xml:space="preserve"> out the death benefit plus the fund value upon </w:t>
      </w:r>
      <w:r w:rsidR="00944B60" w:rsidRPr="00C71840">
        <w:rPr>
          <w:lang w:val="en-CA"/>
        </w:rPr>
        <w:t xml:space="preserve">the </w:t>
      </w:r>
      <w:r w:rsidRPr="00C71840">
        <w:rPr>
          <w:lang w:val="en-CA"/>
        </w:rPr>
        <w:t>death of the insured.</w:t>
      </w:r>
      <w:r w:rsidRPr="00C71840">
        <w:rPr>
          <w:rStyle w:val="FootnoteReference"/>
          <w:lang w:val="en-CA"/>
        </w:rPr>
        <w:footnoteReference w:id="5"/>
      </w:r>
      <w:r w:rsidRPr="00C71840">
        <w:rPr>
          <w:lang w:val="en-CA"/>
        </w:rPr>
        <w:t xml:space="preserve"> Universal Life was introduced to the insurance industry in the 1970s as a response to the high interest rate environment, as permanent life insurance policies were viewed </w:t>
      </w:r>
      <w:r w:rsidR="00944B60" w:rsidRPr="00C71840">
        <w:rPr>
          <w:lang w:val="en-CA"/>
        </w:rPr>
        <w:t xml:space="preserve">at that time </w:t>
      </w:r>
      <w:r w:rsidRPr="00C71840">
        <w:rPr>
          <w:lang w:val="en-CA"/>
        </w:rPr>
        <w:t>as uncompetitive.</w:t>
      </w:r>
      <w:r w:rsidRPr="00C71840">
        <w:rPr>
          <w:rStyle w:val="FootnoteReference"/>
          <w:lang w:val="en-CA"/>
        </w:rPr>
        <w:footnoteReference w:id="6"/>
      </w:r>
      <w:r w:rsidRPr="00C71840">
        <w:rPr>
          <w:lang w:val="en-CA"/>
        </w:rPr>
        <w:t xml:space="preserve"> </w:t>
      </w:r>
    </w:p>
    <w:p w14:paraId="105A886A" w14:textId="77777777" w:rsidR="00AA387F" w:rsidRPr="00C71840" w:rsidRDefault="00AA387F" w:rsidP="00AA387F">
      <w:pPr>
        <w:pStyle w:val="BodyTextMain"/>
        <w:rPr>
          <w:lang w:val="en-CA"/>
        </w:rPr>
      </w:pPr>
    </w:p>
    <w:p w14:paraId="7C300B9E" w14:textId="627093F6" w:rsidR="00AA387F" w:rsidRPr="00C71840" w:rsidRDefault="00AA387F" w:rsidP="00AA387F">
      <w:pPr>
        <w:pStyle w:val="BodyTextMain"/>
        <w:rPr>
          <w:lang w:val="en-CA"/>
        </w:rPr>
      </w:pPr>
      <w:r w:rsidRPr="00C71840">
        <w:rPr>
          <w:lang w:val="en-CA"/>
        </w:rPr>
        <w:t xml:space="preserve">In a </w:t>
      </w:r>
      <w:r w:rsidR="00944B60" w:rsidRPr="00C71840">
        <w:rPr>
          <w:lang w:val="en-CA"/>
        </w:rPr>
        <w:t>u</w:t>
      </w:r>
      <w:r w:rsidRPr="00C71840">
        <w:rPr>
          <w:lang w:val="en-CA"/>
        </w:rPr>
        <w:t xml:space="preserve">niversal </w:t>
      </w:r>
      <w:r w:rsidR="00944B60" w:rsidRPr="00C71840">
        <w:rPr>
          <w:lang w:val="en-CA"/>
        </w:rPr>
        <w:t>l</w:t>
      </w:r>
      <w:r w:rsidRPr="00C71840">
        <w:rPr>
          <w:lang w:val="en-CA"/>
        </w:rPr>
        <w:t>ife policy, the policyholder select</w:t>
      </w:r>
      <w:r w:rsidR="00944B60" w:rsidRPr="00C71840">
        <w:rPr>
          <w:lang w:val="en-CA"/>
        </w:rPr>
        <w:t>ed</w:t>
      </w:r>
      <w:r w:rsidRPr="00C71840">
        <w:rPr>
          <w:lang w:val="en-CA"/>
        </w:rPr>
        <w:t xml:space="preserve"> a premium schedule that involve</w:t>
      </w:r>
      <w:r w:rsidR="00944B60" w:rsidRPr="00C71840">
        <w:rPr>
          <w:lang w:val="en-CA"/>
        </w:rPr>
        <w:t>d</w:t>
      </w:r>
      <w:r w:rsidRPr="00C71840">
        <w:rPr>
          <w:lang w:val="en-CA"/>
        </w:rPr>
        <w:t xml:space="preserve"> paying an annual premium. </w:t>
      </w:r>
      <w:r w:rsidR="00673DE5" w:rsidRPr="00C71840">
        <w:rPr>
          <w:lang w:val="en-CA"/>
        </w:rPr>
        <w:t xml:space="preserve">A portion of these premiums went towards mortality costs and expenses, otherwise known as the cost of insurance, and the remainder went into a fund, which was chosen by the policyholder based on their risk tolerance. </w:t>
      </w:r>
      <w:r w:rsidRPr="00C71840">
        <w:rPr>
          <w:lang w:val="en-CA"/>
        </w:rPr>
        <w:t xml:space="preserve">The difference between the premiums’ return in the fund and the </w:t>
      </w:r>
      <w:r w:rsidR="00BF6758" w:rsidRPr="00C71840">
        <w:rPr>
          <w:lang w:val="en-CA"/>
        </w:rPr>
        <w:t>cost of insurance</w:t>
      </w:r>
      <w:r w:rsidRPr="00C71840">
        <w:rPr>
          <w:lang w:val="en-CA"/>
        </w:rPr>
        <w:t xml:space="preserve"> </w:t>
      </w:r>
      <w:r w:rsidR="00944B60" w:rsidRPr="00C71840">
        <w:rPr>
          <w:lang w:val="en-CA"/>
        </w:rPr>
        <w:t>was</w:t>
      </w:r>
      <w:r w:rsidRPr="00C71840">
        <w:rPr>
          <w:lang w:val="en-CA"/>
        </w:rPr>
        <w:t xml:space="preserve"> credited back to the policy as interest.</w:t>
      </w:r>
      <w:r w:rsidRPr="00C71840">
        <w:rPr>
          <w:rStyle w:val="FootnoteReference"/>
          <w:lang w:val="en-CA"/>
        </w:rPr>
        <w:footnoteReference w:id="7"/>
      </w:r>
      <w:r w:rsidRPr="00C71840">
        <w:rPr>
          <w:lang w:val="en-CA"/>
        </w:rPr>
        <w:t xml:space="preserve"> </w:t>
      </w:r>
    </w:p>
    <w:p w14:paraId="5A3AA6AE" w14:textId="142930A6" w:rsidR="00AA387F" w:rsidRPr="00C71840" w:rsidRDefault="00AA387F" w:rsidP="00AA387F">
      <w:pPr>
        <w:pStyle w:val="BodyTextMain"/>
        <w:rPr>
          <w:lang w:val="en-CA"/>
        </w:rPr>
      </w:pPr>
    </w:p>
    <w:p w14:paraId="0B3C0FFF" w14:textId="77777777" w:rsidR="00AA387F" w:rsidRPr="00C71840" w:rsidRDefault="00AA387F" w:rsidP="00AA387F">
      <w:pPr>
        <w:pStyle w:val="BodyTextMain"/>
        <w:rPr>
          <w:lang w:val="en-CA"/>
        </w:rPr>
      </w:pPr>
    </w:p>
    <w:p w14:paraId="17194BD6" w14:textId="77777777" w:rsidR="00AA387F" w:rsidRPr="00C71840" w:rsidRDefault="00AA387F" w:rsidP="00AA387F">
      <w:pPr>
        <w:pStyle w:val="Casehead2"/>
        <w:rPr>
          <w:lang w:val="en-CA"/>
        </w:rPr>
      </w:pPr>
      <w:r w:rsidRPr="00C71840">
        <w:rPr>
          <w:lang w:val="en-CA"/>
        </w:rPr>
        <w:t>REINSURANCE</w:t>
      </w:r>
    </w:p>
    <w:p w14:paraId="67CB9915" w14:textId="77777777" w:rsidR="00AA387F" w:rsidRPr="00C71840" w:rsidRDefault="00AA387F" w:rsidP="00AA387F">
      <w:pPr>
        <w:pStyle w:val="BodyTextMain"/>
        <w:rPr>
          <w:lang w:val="en-CA"/>
        </w:rPr>
      </w:pPr>
    </w:p>
    <w:p w14:paraId="407F166D" w14:textId="068458E1" w:rsidR="00AA387F" w:rsidRPr="00C71840" w:rsidRDefault="00AA387F" w:rsidP="00AA387F">
      <w:pPr>
        <w:pStyle w:val="BodyTextMain"/>
        <w:rPr>
          <w:spacing w:val="-2"/>
          <w:lang w:val="en-CA"/>
        </w:rPr>
      </w:pPr>
      <w:r w:rsidRPr="00C71840">
        <w:rPr>
          <w:spacing w:val="-2"/>
          <w:lang w:val="en-CA"/>
        </w:rPr>
        <w:t>Unlike a direct insurer, a reinsurance company d</w:t>
      </w:r>
      <w:r w:rsidR="00152829" w:rsidRPr="00C71840">
        <w:rPr>
          <w:spacing w:val="-2"/>
          <w:lang w:val="en-CA"/>
        </w:rPr>
        <w:t>id</w:t>
      </w:r>
      <w:r w:rsidRPr="00C71840">
        <w:rPr>
          <w:spacing w:val="-2"/>
          <w:lang w:val="en-CA"/>
        </w:rPr>
        <w:t xml:space="preserve"> not deal directly with policyholders or individuals. Instead, the reinsurance industry </w:t>
      </w:r>
      <w:r w:rsidR="00152829" w:rsidRPr="00C71840">
        <w:rPr>
          <w:spacing w:val="-2"/>
          <w:lang w:val="en-CA"/>
        </w:rPr>
        <w:t>(</w:t>
      </w:r>
      <w:r w:rsidRPr="00C71840">
        <w:rPr>
          <w:spacing w:val="-2"/>
          <w:lang w:val="en-CA"/>
        </w:rPr>
        <w:t xml:space="preserve">a </w:t>
      </w:r>
      <w:r w:rsidR="00944B60" w:rsidRPr="00C71840">
        <w:rPr>
          <w:spacing w:val="-2"/>
          <w:lang w:val="en-CA"/>
        </w:rPr>
        <w:t>US</w:t>
      </w:r>
      <w:r w:rsidRPr="00C71840">
        <w:rPr>
          <w:spacing w:val="-2"/>
          <w:lang w:val="en-CA"/>
        </w:rPr>
        <w:t>$273 billion industry</w:t>
      </w:r>
      <w:r w:rsidR="00152829" w:rsidRPr="00C71840">
        <w:rPr>
          <w:spacing w:val="-2"/>
          <w:lang w:val="en-CA"/>
        </w:rPr>
        <w:t>)</w:t>
      </w:r>
      <w:r w:rsidRPr="00C71840">
        <w:rPr>
          <w:spacing w:val="-2"/>
          <w:lang w:val="en-CA"/>
        </w:rPr>
        <w:t xml:space="preserve"> serve</w:t>
      </w:r>
      <w:r w:rsidR="00152829" w:rsidRPr="00C71840">
        <w:rPr>
          <w:spacing w:val="-2"/>
          <w:lang w:val="en-CA"/>
        </w:rPr>
        <w:t>d</w:t>
      </w:r>
      <w:r w:rsidRPr="00C71840">
        <w:rPr>
          <w:spacing w:val="-2"/>
          <w:lang w:val="en-CA"/>
        </w:rPr>
        <w:t xml:space="preserve"> to help direct insurers reduce the likelihood of having </w:t>
      </w:r>
      <w:r w:rsidR="00152829" w:rsidRPr="00C71840">
        <w:rPr>
          <w:spacing w:val="-2"/>
          <w:lang w:val="en-CA"/>
        </w:rPr>
        <w:t xml:space="preserve">to make </w:t>
      </w:r>
      <w:r w:rsidRPr="00C71840">
        <w:rPr>
          <w:spacing w:val="-2"/>
          <w:lang w:val="en-CA"/>
        </w:rPr>
        <w:t>large payouts.</w:t>
      </w:r>
      <w:r w:rsidRPr="00C71840">
        <w:rPr>
          <w:rStyle w:val="FootnoteReference"/>
          <w:spacing w:val="-2"/>
          <w:lang w:val="en-CA"/>
        </w:rPr>
        <w:footnoteReference w:id="8"/>
      </w:r>
      <w:r w:rsidRPr="00C71840">
        <w:rPr>
          <w:spacing w:val="-2"/>
          <w:lang w:val="en-CA"/>
        </w:rPr>
        <w:t xml:space="preserve"> Reinsurance allow</w:t>
      </w:r>
      <w:r w:rsidR="00152829" w:rsidRPr="00C71840">
        <w:rPr>
          <w:spacing w:val="-2"/>
          <w:lang w:val="en-CA"/>
        </w:rPr>
        <w:t>ed</w:t>
      </w:r>
      <w:r w:rsidRPr="00C71840">
        <w:rPr>
          <w:spacing w:val="-2"/>
          <w:lang w:val="en-CA"/>
        </w:rPr>
        <w:t xml:space="preserve"> direct insurers to reduce payout volatility and</w:t>
      </w:r>
      <w:r w:rsidR="00A1184E" w:rsidRPr="00C71840">
        <w:rPr>
          <w:spacing w:val="-2"/>
          <w:lang w:val="en-CA"/>
        </w:rPr>
        <w:t>,</w:t>
      </w:r>
      <w:r w:rsidRPr="00C71840">
        <w:rPr>
          <w:spacing w:val="-2"/>
          <w:lang w:val="en-CA"/>
        </w:rPr>
        <w:t xml:space="preserve"> in turn, provide</w:t>
      </w:r>
      <w:r w:rsidR="00A1184E" w:rsidRPr="00C71840">
        <w:rPr>
          <w:spacing w:val="-2"/>
          <w:lang w:val="en-CA"/>
        </w:rPr>
        <w:t>d</w:t>
      </w:r>
      <w:r w:rsidRPr="00C71840">
        <w:rPr>
          <w:spacing w:val="-2"/>
          <w:lang w:val="en-CA"/>
        </w:rPr>
        <w:t xml:space="preserve"> a wider array of products, such as life, health, short-term</w:t>
      </w:r>
      <w:r w:rsidR="00040532" w:rsidRPr="00C71840">
        <w:rPr>
          <w:spacing w:val="-2"/>
          <w:lang w:val="en-CA"/>
        </w:rPr>
        <w:t>,</w:t>
      </w:r>
      <w:r w:rsidRPr="00C71840">
        <w:rPr>
          <w:spacing w:val="-2"/>
          <w:lang w:val="en-CA"/>
        </w:rPr>
        <w:t xml:space="preserve"> and long-term disability insurance. Due to the competitive reinsurance landscape, a direct insurer often put out RFPs to multiple reinsurance companies, and a reinsurer would have to win the bid to obtain that specific “block of business</w:t>
      </w:r>
      <w:r w:rsidR="00944B60" w:rsidRPr="00C71840">
        <w:rPr>
          <w:spacing w:val="-2"/>
          <w:lang w:val="en-CA"/>
        </w:rPr>
        <w:t>.</w:t>
      </w:r>
      <w:r w:rsidRPr="00C71840">
        <w:rPr>
          <w:spacing w:val="-2"/>
          <w:lang w:val="en-CA"/>
        </w:rPr>
        <w:t>”</w:t>
      </w:r>
      <w:r w:rsidRPr="00C71840">
        <w:rPr>
          <w:rStyle w:val="FootnoteReference"/>
          <w:spacing w:val="-2"/>
          <w:lang w:val="en-CA"/>
        </w:rPr>
        <w:footnoteReference w:id="9"/>
      </w:r>
      <w:r w:rsidRPr="00C71840">
        <w:rPr>
          <w:spacing w:val="-2"/>
          <w:lang w:val="en-CA"/>
        </w:rPr>
        <w:t xml:space="preserve"> </w:t>
      </w:r>
    </w:p>
    <w:p w14:paraId="668C2A96" w14:textId="77777777" w:rsidR="00AA387F" w:rsidRPr="00C71840" w:rsidRDefault="00AA387F" w:rsidP="00AA387F">
      <w:pPr>
        <w:pStyle w:val="BodyTextMain"/>
        <w:rPr>
          <w:lang w:val="en-CA"/>
        </w:rPr>
      </w:pPr>
    </w:p>
    <w:p w14:paraId="2A4AB846" w14:textId="74484CAA" w:rsidR="00AA387F" w:rsidRPr="00C71840" w:rsidRDefault="00AA387F" w:rsidP="00AA387F">
      <w:pPr>
        <w:pStyle w:val="BodyTextMain"/>
        <w:rPr>
          <w:lang w:val="en-CA"/>
        </w:rPr>
      </w:pPr>
      <w:r w:rsidRPr="00C71840">
        <w:rPr>
          <w:lang w:val="en-CA"/>
        </w:rPr>
        <w:t xml:space="preserve">Primary insurance companies </w:t>
      </w:r>
      <w:r w:rsidR="00040532" w:rsidRPr="00C71840">
        <w:rPr>
          <w:lang w:val="en-CA"/>
        </w:rPr>
        <w:t>were</w:t>
      </w:r>
      <w:r w:rsidRPr="00C71840">
        <w:rPr>
          <w:lang w:val="en-CA"/>
        </w:rPr>
        <w:t xml:space="preserve"> encouraged to have some form of reinsurance, as it help</w:t>
      </w:r>
      <w:r w:rsidR="00040532" w:rsidRPr="00C71840">
        <w:rPr>
          <w:lang w:val="en-CA"/>
        </w:rPr>
        <w:t>ed</w:t>
      </w:r>
      <w:r w:rsidRPr="00C71840">
        <w:rPr>
          <w:lang w:val="en-CA"/>
        </w:rPr>
        <w:t xml:space="preserve"> to ensure a primary insurance company’s ability to stay solvent in extreme situations.</w:t>
      </w:r>
      <w:r w:rsidRPr="00C71840">
        <w:rPr>
          <w:rStyle w:val="FootnoteReference"/>
          <w:lang w:val="en-CA"/>
        </w:rPr>
        <w:footnoteReference w:id="10"/>
      </w:r>
      <w:r w:rsidRPr="00C71840">
        <w:rPr>
          <w:lang w:val="en-CA"/>
        </w:rPr>
        <w:t xml:space="preserve"> For example, in 2005, Hurricane Katrina cost the insurance industry over </w:t>
      </w:r>
      <w:r w:rsidR="00944B60" w:rsidRPr="00C71840">
        <w:rPr>
          <w:lang w:val="en-CA"/>
        </w:rPr>
        <w:t>US</w:t>
      </w:r>
      <w:r w:rsidRPr="00C71840">
        <w:rPr>
          <w:lang w:val="en-CA"/>
        </w:rPr>
        <w:t xml:space="preserve">$41.1 billion in insured losses, </w:t>
      </w:r>
      <w:r w:rsidR="00040532" w:rsidRPr="00C71840">
        <w:rPr>
          <w:lang w:val="en-CA"/>
        </w:rPr>
        <w:t xml:space="preserve">leading to </w:t>
      </w:r>
      <w:r w:rsidR="008B5ED0" w:rsidRPr="00C71840">
        <w:rPr>
          <w:lang w:val="en-CA"/>
        </w:rPr>
        <w:t xml:space="preserve">reinsurance companies having to make </w:t>
      </w:r>
      <w:r w:rsidRPr="00C71840">
        <w:rPr>
          <w:lang w:val="en-CA"/>
        </w:rPr>
        <w:t>large payouts.</w:t>
      </w:r>
      <w:r w:rsidRPr="00C71840">
        <w:rPr>
          <w:rStyle w:val="FootnoteReference"/>
          <w:lang w:val="en-CA"/>
        </w:rPr>
        <w:footnoteReference w:id="11"/>
      </w:r>
      <w:r w:rsidRPr="00C71840">
        <w:rPr>
          <w:lang w:val="en-CA"/>
        </w:rPr>
        <w:t xml:space="preserve"> Furthermore, in 2020, the C</w:t>
      </w:r>
      <w:r w:rsidR="00944B60" w:rsidRPr="00C71840">
        <w:rPr>
          <w:lang w:val="en-CA"/>
        </w:rPr>
        <w:t>OVID</w:t>
      </w:r>
      <w:r w:rsidRPr="00C71840">
        <w:rPr>
          <w:lang w:val="en-CA"/>
        </w:rPr>
        <w:t xml:space="preserve">-19 pandemic cost the top 20 reinsurers over </w:t>
      </w:r>
      <w:r w:rsidR="00944B60" w:rsidRPr="00C71840">
        <w:rPr>
          <w:lang w:val="en-CA"/>
        </w:rPr>
        <w:t>US</w:t>
      </w:r>
      <w:r w:rsidRPr="00C71840">
        <w:rPr>
          <w:lang w:val="en-CA"/>
        </w:rPr>
        <w:t>$12 billion in reinsured losses within the first six months of the pandemic.</w:t>
      </w:r>
      <w:r w:rsidRPr="00C71840">
        <w:rPr>
          <w:rStyle w:val="FootnoteReference"/>
          <w:lang w:val="en-CA"/>
        </w:rPr>
        <w:footnoteReference w:id="12"/>
      </w:r>
      <w:r w:rsidRPr="00C71840">
        <w:rPr>
          <w:vertAlign w:val="superscript"/>
          <w:lang w:val="en-CA"/>
        </w:rPr>
        <w:t xml:space="preserve"> </w:t>
      </w:r>
    </w:p>
    <w:p w14:paraId="68A44785" w14:textId="77777777" w:rsidR="00A431FD" w:rsidRPr="00C71840" w:rsidRDefault="00A431FD" w:rsidP="00EC533A">
      <w:pPr>
        <w:pStyle w:val="BodyTextMain"/>
        <w:rPr>
          <w:lang w:val="en-CA"/>
        </w:rPr>
      </w:pPr>
    </w:p>
    <w:p w14:paraId="1065B716" w14:textId="751CB04C" w:rsidR="00AA387F" w:rsidRPr="00C71840" w:rsidRDefault="00AA387F" w:rsidP="00EC533A">
      <w:pPr>
        <w:pStyle w:val="BodyTextMain"/>
        <w:rPr>
          <w:lang w:val="en-CA"/>
        </w:rPr>
      </w:pPr>
      <w:r w:rsidRPr="00C71840">
        <w:rPr>
          <w:lang w:val="en-CA"/>
        </w:rPr>
        <w:t xml:space="preserve">One specific reinsurance contract </w:t>
      </w:r>
      <w:r w:rsidR="000F2EA5" w:rsidRPr="00C71840">
        <w:rPr>
          <w:lang w:val="en-CA"/>
        </w:rPr>
        <w:t>was</w:t>
      </w:r>
      <w:r w:rsidRPr="00C71840">
        <w:rPr>
          <w:lang w:val="en-CA"/>
        </w:rPr>
        <w:t xml:space="preserve"> excess-of-loss reinsurance, where all losses over a specified retention limit </w:t>
      </w:r>
      <w:r w:rsidR="000F2EA5" w:rsidRPr="00C71840">
        <w:rPr>
          <w:lang w:val="en-CA"/>
        </w:rPr>
        <w:t>were</w:t>
      </w:r>
      <w:r w:rsidRPr="00C71840">
        <w:rPr>
          <w:lang w:val="en-CA"/>
        </w:rPr>
        <w:t xml:space="preserve"> covered by the reinsurer for the duration of the policy.</w:t>
      </w:r>
      <w:r w:rsidRPr="00C71840">
        <w:rPr>
          <w:rStyle w:val="FootnoteReference"/>
          <w:lang w:val="en-CA"/>
        </w:rPr>
        <w:footnoteReference w:id="13"/>
      </w:r>
      <w:r w:rsidRPr="00C71840">
        <w:rPr>
          <w:lang w:val="en-CA"/>
        </w:rPr>
        <w:t xml:space="preserve"> For example, if an excess-of-loss </w:t>
      </w:r>
      <w:r w:rsidRPr="00C71840">
        <w:rPr>
          <w:lang w:val="en-CA"/>
        </w:rPr>
        <w:lastRenderedPageBreak/>
        <w:t>reinsurance had a retention limit of $100,000 on a per</w:t>
      </w:r>
      <w:r w:rsidR="000F2EA5" w:rsidRPr="00C71840">
        <w:rPr>
          <w:lang w:val="en-CA"/>
        </w:rPr>
        <w:t>-</w:t>
      </w:r>
      <w:r w:rsidRPr="00C71840">
        <w:rPr>
          <w:lang w:val="en-CA"/>
        </w:rPr>
        <w:t xml:space="preserve">loss basis, all individual losses above $100,000 would be covered by the reinsurance company. </w:t>
      </w:r>
    </w:p>
    <w:p w14:paraId="292D7F1D" w14:textId="1CBBB085" w:rsidR="00AA387F" w:rsidRPr="00C71840" w:rsidRDefault="00AA387F" w:rsidP="00EC533A">
      <w:pPr>
        <w:pStyle w:val="BodyTextMain"/>
        <w:rPr>
          <w:lang w:val="en-CA"/>
        </w:rPr>
      </w:pPr>
    </w:p>
    <w:p w14:paraId="676F9EE7" w14:textId="77777777" w:rsidR="00EC533A" w:rsidRPr="00C71840" w:rsidRDefault="00EC533A" w:rsidP="00EC533A">
      <w:pPr>
        <w:pStyle w:val="BodyTextMain"/>
        <w:rPr>
          <w:lang w:val="en-CA"/>
        </w:rPr>
      </w:pPr>
    </w:p>
    <w:p w14:paraId="5172573F" w14:textId="77777777" w:rsidR="00AA387F" w:rsidRPr="00C71840" w:rsidRDefault="00AA387F" w:rsidP="00EC533A">
      <w:pPr>
        <w:pStyle w:val="Casehead1"/>
        <w:rPr>
          <w:lang w:val="en-CA"/>
        </w:rPr>
      </w:pPr>
      <w:r w:rsidRPr="00C71840">
        <w:rPr>
          <w:lang w:val="en-CA"/>
        </w:rPr>
        <w:t>THE DECISION</w:t>
      </w:r>
    </w:p>
    <w:p w14:paraId="0AA84721" w14:textId="77777777" w:rsidR="00EC533A" w:rsidRPr="00C71840" w:rsidRDefault="00EC533A" w:rsidP="00EC533A">
      <w:pPr>
        <w:pStyle w:val="BodyTextMain"/>
        <w:rPr>
          <w:bCs/>
          <w:lang w:val="en-CA"/>
        </w:rPr>
      </w:pPr>
    </w:p>
    <w:p w14:paraId="2A89F251" w14:textId="5D05BF46" w:rsidR="00AA387F" w:rsidRPr="00C71840" w:rsidRDefault="00AA387F" w:rsidP="00EC533A">
      <w:pPr>
        <w:pStyle w:val="BodyTextMain"/>
        <w:rPr>
          <w:bCs/>
          <w:lang w:val="en-CA"/>
        </w:rPr>
      </w:pPr>
      <w:r w:rsidRPr="00C71840">
        <w:rPr>
          <w:bCs/>
          <w:lang w:val="en-CA"/>
        </w:rPr>
        <w:t xml:space="preserve">Attached </w:t>
      </w:r>
      <w:r w:rsidR="000F2EA5" w:rsidRPr="00C71840">
        <w:rPr>
          <w:bCs/>
          <w:lang w:val="en-CA"/>
        </w:rPr>
        <w:t>to</w:t>
      </w:r>
      <w:r w:rsidRPr="00C71840">
        <w:rPr>
          <w:bCs/>
          <w:lang w:val="en-CA"/>
        </w:rPr>
        <w:t xml:space="preserve"> </w:t>
      </w:r>
      <w:r w:rsidR="000F2EA5" w:rsidRPr="00C71840">
        <w:rPr>
          <w:bCs/>
          <w:lang w:val="en-CA"/>
        </w:rPr>
        <w:t>Tate’s</w:t>
      </w:r>
      <w:r w:rsidRPr="00C71840">
        <w:rPr>
          <w:bCs/>
          <w:lang w:val="en-CA"/>
        </w:rPr>
        <w:t xml:space="preserve"> e-mail were the details of </w:t>
      </w:r>
      <w:r w:rsidR="006A7DE5" w:rsidRPr="00C71840">
        <w:rPr>
          <w:bCs/>
          <w:lang w:val="en-CA"/>
        </w:rPr>
        <w:t>Ontario</w:t>
      </w:r>
      <w:r w:rsidRPr="00C71840">
        <w:rPr>
          <w:bCs/>
          <w:lang w:val="en-CA"/>
        </w:rPr>
        <w:t xml:space="preserve"> Life’s 10-year</w:t>
      </w:r>
      <w:r w:rsidR="000F2EA5" w:rsidRPr="00C71840">
        <w:rPr>
          <w:bCs/>
          <w:lang w:val="en-CA"/>
        </w:rPr>
        <w:t>-</w:t>
      </w:r>
      <w:r w:rsidRPr="00C71840">
        <w:rPr>
          <w:bCs/>
          <w:lang w:val="en-CA"/>
        </w:rPr>
        <w:t>term life insurance’s block of business, containing the names, gender, age, policy amount</w:t>
      </w:r>
      <w:r w:rsidR="000F2EA5" w:rsidRPr="00C71840">
        <w:rPr>
          <w:bCs/>
          <w:lang w:val="en-CA"/>
        </w:rPr>
        <w:t>,</w:t>
      </w:r>
      <w:r w:rsidRPr="00C71840">
        <w:rPr>
          <w:bCs/>
          <w:lang w:val="en-CA"/>
        </w:rPr>
        <w:t xml:space="preserve"> and smoker status</w:t>
      </w:r>
      <w:r w:rsidRPr="00C71840">
        <w:rPr>
          <w:rStyle w:val="FootnoteReference"/>
          <w:bCs/>
          <w:lang w:val="en-CA"/>
        </w:rPr>
        <w:footnoteReference w:id="14"/>
      </w:r>
      <w:r w:rsidRPr="00C71840">
        <w:rPr>
          <w:bCs/>
          <w:lang w:val="en-CA"/>
        </w:rPr>
        <w:t xml:space="preserve"> of each policyholder. Wong believed that using </w:t>
      </w:r>
      <w:r w:rsidR="000D508D" w:rsidRPr="00C71840">
        <w:rPr>
          <w:bCs/>
          <w:lang w:val="en-CA"/>
        </w:rPr>
        <w:t>Statistics Canada’s</w:t>
      </w:r>
      <w:r w:rsidRPr="00C71840">
        <w:rPr>
          <w:bCs/>
          <w:lang w:val="en-CA"/>
        </w:rPr>
        <w:t xml:space="preserve"> most up-to-date mortality rates, where the rates for each respective year </w:t>
      </w:r>
      <w:r w:rsidR="000F2EA5" w:rsidRPr="00C71840">
        <w:rPr>
          <w:bCs/>
          <w:lang w:val="en-CA"/>
        </w:rPr>
        <w:t>were</w:t>
      </w:r>
      <w:r w:rsidRPr="00C71840">
        <w:rPr>
          <w:bCs/>
          <w:lang w:val="en-CA"/>
        </w:rPr>
        <w:t xml:space="preserve"> conditional upon the individual surviving the prior years</w:t>
      </w:r>
      <w:r w:rsidR="000F2EA5" w:rsidRPr="00C71840">
        <w:rPr>
          <w:bCs/>
          <w:lang w:val="en-CA"/>
        </w:rPr>
        <w:t>,</w:t>
      </w:r>
      <w:r w:rsidRPr="00C71840">
        <w:rPr>
          <w:bCs/>
          <w:lang w:val="en-CA"/>
        </w:rPr>
        <w:t xml:space="preserve"> would be an appropriate assumption in developing his excess-of-loss model (</w:t>
      </w:r>
      <w:r w:rsidR="000F2EA5" w:rsidRPr="00C71840">
        <w:rPr>
          <w:bCs/>
          <w:lang w:val="en-CA"/>
        </w:rPr>
        <w:t xml:space="preserve">see </w:t>
      </w:r>
      <w:r w:rsidRPr="00C71840">
        <w:rPr>
          <w:bCs/>
          <w:lang w:val="en-CA"/>
        </w:rPr>
        <w:t>Exhibit 2).</w:t>
      </w:r>
      <w:r w:rsidRPr="00C71840">
        <w:rPr>
          <w:rStyle w:val="FootnoteReference"/>
          <w:bCs/>
          <w:lang w:val="en-CA"/>
        </w:rPr>
        <w:footnoteReference w:id="15"/>
      </w:r>
    </w:p>
    <w:p w14:paraId="0921CC85" w14:textId="77777777" w:rsidR="00AA387F" w:rsidRPr="00C71840" w:rsidRDefault="00AA387F" w:rsidP="00EC533A">
      <w:pPr>
        <w:pStyle w:val="BodyTextMain"/>
        <w:rPr>
          <w:bCs/>
          <w:lang w:val="en-CA"/>
        </w:rPr>
      </w:pPr>
    </w:p>
    <w:p w14:paraId="70AFBB8B" w14:textId="4087C343" w:rsidR="00AA387F" w:rsidRPr="00C71840" w:rsidRDefault="00AA387F" w:rsidP="00EC533A">
      <w:pPr>
        <w:pStyle w:val="BodyTextMain"/>
        <w:rPr>
          <w:spacing w:val="-2"/>
          <w:lang w:val="en-CA"/>
        </w:rPr>
      </w:pPr>
      <w:r w:rsidRPr="00C71840">
        <w:rPr>
          <w:spacing w:val="-2"/>
          <w:lang w:val="en-CA"/>
        </w:rPr>
        <w:t xml:space="preserve">Wong gathered the necessary data and combined it with the data provided by his manager and started developing the model. He </w:t>
      </w:r>
      <w:r w:rsidR="00594620" w:rsidRPr="00C71840">
        <w:rPr>
          <w:spacing w:val="-2"/>
          <w:lang w:val="en-CA"/>
        </w:rPr>
        <w:t>only</w:t>
      </w:r>
      <w:r w:rsidRPr="00C71840">
        <w:rPr>
          <w:spacing w:val="-2"/>
          <w:lang w:val="en-CA"/>
        </w:rPr>
        <w:t xml:space="preserve"> had until the end of the day to determine the expected loss amount and recommend the proposed rate to charge </w:t>
      </w:r>
      <w:r w:rsidR="006A7DE5" w:rsidRPr="00C71840">
        <w:rPr>
          <w:spacing w:val="-2"/>
          <w:lang w:val="en-CA"/>
        </w:rPr>
        <w:t>Ontario</w:t>
      </w:r>
      <w:r w:rsidRPr="00C71840">
        <w:rPr>
          <w:spacing w:val="-2"/>
          <w:lang w:val="en-CA"/>
        </w:rPr>
        <w:t xml:space="preserve"> Life. </w:t>
      </w:r>
      <w:r w:rsidR="00594620" w:rsidRPr="00C71840">
        <w:rPr>
          <w:spacing w:val="-2"/>
          <w:lang w:val="en-CA"/>
        </w:rPr>
        <w:t>So, m</w:t>
      </w:r>
      <w:r w:rsidRPr="00C71840">
        <w:rPr>
          <w:spacing w:val="-2"/>
          <w:lang w:val="en-CA"/>
        </w:rPr>
        <w:t xml:space="preserve">indful of his future in the industry and wanting to impress upon his manager his diligence and analytical ability, he </w:t>
      </w:r>
      <w:r w:rsidR="00594620" w:rsidRPr="00C71840">
        <w:rPr>
          <w:spacing w:val="-2"/>
          <w:lang w:val="en-CA"/>
        </w:rPr>
        <w:t>opened Microsoft</w:t>
      </w:r>
      <w:r w:rsidRPr="00C71840">
        <w:rPr>
          <w:spacing w:val="-2"/>
          <w:lang w:val="en-CA"/>
        </w:rPr>
        <w:t xml:space="preserve"> Excel and got to work.</w:t>
      </w:r>
    </w:p>
    <w:p w14:paraId="20BAAA4D" w14:textId="77777777" w:rsidR="00AA387F" w:rsidRPr="00C71840" w:rsidRDefault="00AA387F" w:rsidP="00AA387F">
      <w:pPr>
        <w:rPr>
          <w:b/>
          <w:lang w:val="en-CA"/>
        </w:rPr>
      </w:pPr>
      <w:r w:rsidRPr="00C71840">
        <w:rPr>
          <w:b/>
          <w:lang w:val="en-CA"/>
        </w:rPr>
        <w:br w:type="page"/>
      </w:r>
    </w:p>
    <w:p w14:paraId="3531B15C" w14:textId="096926AB" w:rsidR="00AA387F" w:rsidRPr="00C71840" w:rsidRDefault="00AA387F" w:rsidP="00EC533A">
      <w:pPr>
        <w:pStyle w:val="ExhibitHeading"/>
        <w:rPr>
          <w:lang w:val="en-CA"/>
        </w:rPr>
      </w:pPr>
      <w:r w:rsidRPr="00C71840">
        <w:rPr>
          <w:lang w:val="en-CA"/>
        </w:rPr>
        <w:lastRenderedPageBreak/>
        <w:t>Exhibit 1</w:t>
      </w:r>
      <w:r w:rsidR="00EC533A" w:rsidRPr="00C71840">
        <w:rPr>
          <w:lang w:val="en-CA"/>
        </w:rPr>
        <w:t xml:space="preserve">: </w:t>
      </w:r>
      <w:r w:rsidR="00944B60" w:rsidRPr="00C71840">
        <w:rPr>
          <w:lang w:val="en-CA"/>
        </w:rPr>
        <w:t>request for propo</w:t>
      </w:r>
      <w:r w:rsidR="00C0386E" w:rsidRPr="00C71840">
        <w:rPr>
          <w:lang w:val="en-CA"/>
        </w:rPr>
        <w:t>S</w:t>
      </w:r>
      <w:r w:rsidR="00944B60" w:rsidRPr="00C71840">
        <w:rPr>
          <w:lang w:val="en-CA"/>
        </w:rPr>
        <w:t>al</w:t>
      </w:r>
      <w:r w:rsidRPr="00C71840">
        <w:rPr>
          <w:lang w:val="en-CA"/>
        </w:rPr>
        <w:t xml:space="preserve"> E-MAIL</w:t>
      </w:r>
    </w:p>
    <w:p w14:paraId="4E6DE6BF" w14:textId="77777777" w:rsidR="00AA387F" w:rsidRPr="00C71840" w:rsidRDefault="00AA387F" w:rsidP="00EC533A">
      <w:pPr>
        <w:pStyle w:val="Footnote"/>
        <w:rPr>
          <w:lang w:val="en-CA"/>
        </w:rPr>
      </w:pPr>
    </w:p>
    <w:p w14:paraId="6939FC6F" w14:textId="091509A5" w:rsidR="00AA387F" w:rsidRPr="00C71840" w:rsidRDefault="00C71840" w:rsidP="00EC533A">
      <w:pPr>
        <w:pStyle w:val="Casehead2"/>
        <w:rPr>
          <w:lang w:val="en-CA"/>
        </w:rPr>
      </w:pPr>
      <w:r w:rsidRPr="00C71840">
        <w:rPr>
          <w:lang w:val="en-CA"/>
        </w:rPr>
        <w:t>F</w:t>
      </w:r>
      <w:r>
        <w:rPr>
          <w:lang w:val="en-CA"/>
        </w:rPr>
        <w:t>WD</w:t>
      </w:r>
      <w:r w:rsidR="00AA387F" w:rsidRPr="00C71840">
        <w:rPr>
          <w:lang w:val="en-CA"/>
        </w:rPr>
        <w:t xml:space="preserve">: </w:t>
      </w:r>
      <w:r w:rsidR="006A7DE5" w:rsidRPr="00C71840">
        <w:rPr>
          <w:lang w:val="en-CA"/>
        </w:rPr>
        <w:t>Ontario</w:t>
      </w:r>
      <w:r w:rsidR="00AA387F" w:rsidRPr="00C71840">
        <w:rPr>
          <w:lang w:val="en-CA"/>
        </w:rPr>
        <w:t xml:space="preserve"> Life RFP – 10-Year</w:t>
      </w:r>
      <w:r w:rsidR="008A0881" w:rsidRPr="00C71840">
        <w:rPr>
          <w:lang w:val="en-CA"/>
        </w:rPr>
        <w:t>-</w:t>
      </w:r>
      <w:r w:rsidR="00AA387F" w:rsidRPr="00C71840">
        <w:rPr>
          <w:lang w:val="en-CA"/>
        </w:rPr>
        <w:t>Term Life Policy – High Risk</w:t>
      </w:r>
    </w:p>
    <w:p w14:paraId="7096205D" w14:textId="77777777" w:rsidR="00AA387F" w:rsidRPr="00C71840" w:rsidRDefault="00AA387F" w:rsidP="00EC533A">
      <w:pPr>
        <w:pStyle w:val="Footnote"/>
        <w:rPr>
          <w:lang w:val="en-CA"/>
        </w:rPr>
      </w:pPr>
    </w:p>
    <w:p w14:paraId="4A647B28" w14:textId="77777777" w:rsidR="00AA387F" w:rsidRPr="00C71840" w:rsidRDefault="00AA387F" w:rsidP="00EC533A">
      <w:pPr>
        <w:pStyle w:val="ExhibitText"/>
        <w:rPr>
          <w:lang w:val="en-CA"/>
        </w:rPr>
      </w:pPr>
      <w:r w:rsidRPr="00C71840">
        <w:rPr>
          <w:lang w:val="en-CA"/>
        </w:rPr>
        <w:t>Hey Jeffrey,</w:t>
      </w:r>
    </w:p>
    <w:p w14:paraId="0BD5929D" w14:textId="77777777" w:rsidR="00AA387F" w:rsidRPr="00C71840" w:rsidRDefault="00AA387F" w:rsidP="00EC533A">
      <w:pPr>
        <w:pStyle w:val="Footnote"/>
        <w:rPr>
          <w:lang w:val="en-CA"/>
        </w:rPr>
      </w:pPr>
    </w:p>
    <w:p w14:paraId="1B6645CA" w14:textId="386760EE" w:rsidR="00AA387F" w:rsidRPr="00C71840" w:rsidRDefault="006A7DE5" w:rsidP="00EC533A">
      <w:pPr>
        <w:pStyle w:val="ExhibitText"/>
        <w:rPr>
          <w:lang w:val="en-CA"/>
        </w:rPr>
      </w:pPr>
      <w:r w:rsidRPr="00C71840">
        <w:rPr>
          <w:lang w:val="en-CA"/>
        </w:rPr>
        <w:t>Ontario</w:t>
      </w:r>
      <w:r w:rsidR="00AA387F" w:rsidRPr="00C71840">
        <w:rPr>
          <w:lang w:val="en-CA"/>
        </w:rPr>
        <w:t xml:space="preserve"> Life sent us an RFP with regards to their high-risk 10-year</w:t>
      </w:r>
      <w:r w:rsidR="008A0881" w:rsidRPr="00C71840">
        <w:rPr>
          <w:lang w:val="en-CA"/>
        </w:rPr>
        <w:t>-</w:t>
      </w:r>
      <w:r w:rsidR="00AA387F" w:rsidRPr="00C71840">
        <w:rPr>
          <w:lang w:val="en-CA"/>
        </w:rPr>
        <w:t>term life policy consisting of 100 members.</w:t>
      </w:r>
    </w:p>
    <w:p w14:paraId="3D900510" w14:textId="77777777" w:rsidR="00AA387F" w:rsidRPr="00C71840" w:rsidRDefault="00AA387F" w:rsidP="00EC533A">
      <w:pPr>
        <w:pStyle w:val="Footnote"/>
        <w:rPr>
          <w:lang w:val="en-CA"/>
        </w:rPr>
      </w:pPr>
    </w:p>
    <w:p w14:paraId="591F16DF" w14:textId="77777777" w:rsidR="00AA387F" w:rsidRPr="00C71840" w:rsidRDefault="00AA387F" w:rsidP="00EC533A">
      <w:pPr>
        <w:pStyle w:val="ExhibitText"/>
        <w:rPr>
          <w:lang w:val="en-CA"/>
        </w:rPr>
      </w:pPr>
      <w:r w:rsidRPr="00C71840">
        <w:rPr>
          <w:lang w:val="en-CA"/>
        </w:rPr>
        <w:t>Attached below is the data for all 100 of their policyholders.</w:t>
      </w:r>
    </w:p>
    <w:p w14:paraId="18BD3D9C" w14:textId="77777777" w:rsidR="00AA387F" w:rsidRPr="00C71840" w:rsidRDefault="00AA387F" w:rsidP="00EC533A">
      <w:pPr>
        <w:pStyle w:val="Footnote"/>
        <w:rPr>
          <w:lang w:val="en-CA"/>
        </w:rPr>
      </w:pPr>
    </w:p>
    <w:p w14:paraId="2EF13FEC" w14:textId="77777777" w:rsidR="00AA387F" w:rsidRPr="00C71840" w:rsidRDefault="00AA387F" w:rsidP="00EC533A">
      <w:pPr>
        <w:pStyle w:val="ExhibitText"/>
        <w:rPr>
          <w:lang w:val="en-CA"/>
        </w:rPr>
      </w:pPr>
      <w:r w:rsidRPr="00C71840">
        <w:rPr>
          <w:lang w:val="en-CA"/>
        </w:rPr>
        <w:t>Typically, for mortality rates, we apply a multiplicative factor of 5% to smokers. Also, for the premium charged, we usually take the expected payout amount and apply a multiplicative factor of 2% for expenses and 4.5% for premium charges.</w:t>
      </w:r>
    </w:p>
    <w:p w14:paraId="782E07B0" w14:textId="77777777" w:rsidR="00AA387F" w:rsidRPr="00C71840" w:rsidRDefault="00AA387F" w:rsidP="00EC533A">
      <w:pPr>
        <w:pStyle w:val="Footnote"/>
        <w:rPr>
          <w:lang w:val="en-CA"/>
        </w:rPr>
      </w:pPr>
    </w:p>
    <w:p w14:paraId="18E9EBAB" w14:textId="77777777" w:rsidR="00AA387F" w:rsidRPr="00C71840" w:rsidRDefault="00AA387F" w:rsidP="00EC533A">
      <w:pPr>
        <w:pStyle w:val="ExhibitText"/>
        <w:rPr>
          <w:lang w:val="en-CA"/>
        </w:rPr>
      </w:pPr>
      <w:r w:rsidRPr="00C71840">
        <w:rPr>
          <w:lang w:val="en-CA"/>
        </w:rPr>
        <w:t xml:space="preserve">Could you create an excess-of-loss model with the data by end of day? </w:t>
      </w:r>
    </w:p>
    <w:p w14:paraId="6102B4FE" w14:textId="77777777" w:rsidR="00AA387F" w:rsidRPr="00C71840" w:rsidRDefault="00AA387F" w:rsidP="00EC533A">
      <w:pPr>
        <w:pStyle w:val="Footnote"/>
        <w:rPr>
          <w:lang w:val="en-CA"/>
        </w:rPr>
      </w:pPr>
    </w:p>
    <w:p w14:paraId="3FE6651E" w14:textId="77777777" w:rsidR="00AA387F" w:rsidRPr="00C71840" w:rsidRDefault="00AA387F" w:rsidP="00EC533A">
      <w:pPr>
        <w:pStyle w:val="ExhibitText"/>
        <w:rPr>
          <w:lang w:val="en-CA"/>
        </w:rPr>
      </w:pPr>
      <w:r w:rsidRPr="00C71840">
        <w:rPr>
          <w:lang w:val="en-CA"/>
        </w:rPr>
        <w:t>Thanks,</w:t>
      </w:r>
    </w:p>
    <w:p w14:paraId="04C1F882" w14:textId="77777777" w:rsidR="00AA387F" w:rsidRPr="00C71840" w:rsidRDefault="00AA387F" w:rsidP="00EC533A">
      <w:pPr>
        <w:pStyle w:val="Footnote"/>
        <w:rPr>
          <w:lang w:val="en-CA"/>
        </w:rPr>
      </w:pPr>
    </w:p>
    <w:p w14:paraId="20674714" w14:textId="77777777" w:rsidR="00AA387F" w:rsidRPr="00C71840" w:rsidRDefault="00AA387F" w:rsidP="00EC533A">
      <w:pPr>
        <w:pStyle w:val="ExhibitText"/>
        <w:rPr>
          <w:lang w:val="en-CA"/>
        </w:rPr>
      </w:pPr>
      <w:r w:rsidRPr="00C71840">
        <w:rPr>
          <w:lang w:val="en-CA"/>
        </w:rPr>
        <w:t>Dominic Tate</w:t>
      </w:r>
    </w:p>
    <w:p w14:paraId="351E986B" w14:textId="77777777" w:rsidR="00AA387F" w:rsidRPr="00C71840" w:rsidRDefault="00AA387F" w:rsidP="00EC533A">
      <w:pPr>
        <w:pStyle w:val="Footnote"/>
        <w:rPr>
          <w:lang w:val="en-CA"/>
        </w:rPr>
      </w:pPr>
    </w:p>
    <w:p w14:paraId="71CA05A7" w14:textId="77777777" w:rsidR="00AA387F" w:rsidRPr="00C71840" w:rsidRDefault="00AA387F" w:rsidP="00EC533A">
      <w:pPr>
        <w:pStyle w:val="ExhibitHeading"/>
        <w:rPr>
          <w:lang w:val="en-CA"/>
        </w:rPr>
      </w:pPr>
      <w:r w:rsidRPr="00C71840">
        <w:rPr>
          <w:lang w:val="en-CA"/>
        </w:rPr>
        <w:t>POLICYHOLDER DATA</w:t>
      </w:r>
    </w:p>
    <w:p w14:paraId="6E47CE21" w14:textId="77777777" w:rsidR="00AA387F" w:rsidRPr="00C71840" w:rsidRDefault="00AA387F" w:rsidP="00EC533A">
      <w:pPr>
        <w:pStyle w:val="Footnote"/>
        <w:rPr>
          <w:lang w:val="en-CA"/>
        </w:rPr>
      </w:pPr>
    </w:p>
    <w:tbl>
      <w:tblPr>
        <w:tblStyle w:val="TableGrid"/>
        <w:tblW w:w="0" w:type="auto"/>
        <w:tblInd w:w="936" w:type="dxa"/>
        <w:tblLook w:val="04A0" w:firstRow="1" w:lastRow="0" w:firstColumn="1" w:lastColumn="0" w:noHBand="0" w:noVBand="1"/>
        <w:tblCaption w:val="Policyholder Data"/>
        <w:tblDescription w:val="Data on policyholders"/>
      </w:tblPr>
      <w:tblGrid>
        <w:gridCol w:w="1276"/>
        <w:gridCol w:w="1496"/>
        <w:gridCol w:w="1076"/>
        <w:gridCol w:w="596"/>
        <w:gridCol w:w="1703"/>
        <w:gridCol w:w="1329"/>
      </w:tblGrid>
      <w:tr w:rsidR="00AA387F" w:rsidRPr="00C71840" w14:paraId="5D7DA67F" w14:textId="77777777" w:rsidTr="009B6193">
        <w:trPr>
          <w:trHeight w:val="437"/>
          <w:tblHeader/>
        </w:trPr>
        <w:tc>
          <w:tcPr>
            <w:tcW w:w="1276" w:type="dxa"/>
            <w:noWrap/>
            <w:vAlign w:val="center"/>
            <w:hideMark/>
          </w:tcPr>
          <w:p w14:paraId="53BBA892" w14:textId="77777777" w:rsidR="00AA387F" w:rsidRPr="00C71840" w:rsidRDefault="00AA387F" w:rsidP="00EC533A">
            <w:pPr>
              <w:pStyle w:val="ExhibitText"/>
              <w:jc w:val="center"/>
              <w:rPr>
                <w:b/>
                <w:lang w:val="en-CA"/>
              </w:rPr>
            </w:pPr>
            <w:r w:rsidRPr="00C71840">
              <w:rPr>
                <w:b/>
                <w:lang w:val="en-CA"/>
              </w:rPr>
              <w:t>First Name</w:t>
            </w:r>
          </w:p>
        </w:tc>
        <w:tc>
          <w:tcPr>
            <w:tcW w:w="1496" w:type="dxa"/>
            <w:noWrap/>
            <w:vAlign w:val="center"/>
            <w:hideMark/>
          </w:tcPr>
          <w:p w14:paraId="613EC81F" w14:textId="77777777" w:rsidR="00AA387F" w:rsidRPr="00C71840" w:rsidRDefault="00AA387F" w:rsidP="00EC533A">
            <w:pPr>
              <w:pStyle w:val="ExhibitText"/>
              <w:jc w:val="center"/>
              <w:rPr>
                <w:b/>
                <w:lang w:val="en-CA"/>
              </w:rPr>
            </w:pPr>
            <w:r w:rsidRPr="00C71840">
              <w:rPr>
                <w:b/>
                <w:lang w:val="en-CA"/>
              </w:rPr>
              <w:t>Last Name</w:t>
            </w:r>
          </w:p>
        </w:tc>
        <w:tc>
          <w:tcPr>
            <w:tcW w:w="1076" w:type="dxa"/>
            <w:noWrap/>
            <w:vAlign w:val="center"/>
            <w:hideMark/>
          </w:tcPr>
          <w:p w14:paraId="40903A5C" w14:textId="77777777" w:rsidR="00AA387F" w:rsidRPr="00C71840" w:rsidRDefault="00AA387F" w:rsidP="00EC533A">
            <w:pPr>
              <w:pStyle w:val="ExhibitText"/>
              <w:jc w:val="center"/>
              <w:rPr>
                <w:b/>
                <w:lang w:val="en-CA"/>
              </w:rPr>
            </w:pPr>
            <w:r w:rsidRPr="00C71840">
              <w:rPr>
                <w:b/>
                <w:lang w:val="en-CA"/>
              </w:rPr>
              <w:t>Sex</w:t>
            </w:r>
          </w:p>
        </w:tc>
        <w:tc>
          <w:tcPr>
            <w:tcW w:w="596" w:type="dxa"/>
            <w:noWrap/>
            <w:vAlign w:val="center"/>
            <w:hideMark/>
          </w:tcPr>
          <w:p w14:paraId="781BA0E1" w14:textId="77777777" w:rsidR="00AA387F" w:rsidRPr="00C71840" w:rsidRDefault="00AA387F" w:rsidP="00EC533A">
            <w:pPr>
              <w:pStyle w:val="ExhibitText"/>
              <w:jc w:val="center"/>
              <w:rPr>
                <w:b/>
                <w:lang w:val="en-CA"/>
              </w:rPr>
            </w:pPr>
            <w:r w:rsidRPr="00C71840">
              <w:rPr>
                <w:b/>
                <w:lang w:val="en-CA"/>
              </w:rPr>
              <w:t>Age</w:t>
            </w:r>
          </w:p>
        </w:tc>
        <w:tc>
          <w:tcPr>
            <w:tcW w:w="1703" w:type="dxa"/>
            <w:noWrap/>
            <w:vAlign w:val="center"/>
            <w:hideMark/>
          </w:tcPr>
          <w:p w14:paraId="56F7C030" w14:textId="77777777" w:rsidR="00AA387F" w:rsidRPr="00C71840" w:rsidRDefault="00AA387F" w:rsidP="00EC533A">
            <w:pPr>
              <w:pStyle w:val="ExhibitText"/>
              <w:jc w:val="center"/>
              <w:rPr>
                <w:b/>
                <w:lang w:val="en-CA"/>
              </w:rPr>
            </w:pPr>
            <w:r w:rsidRPr="00C71840">
              <w:rPr>
                <w:b/>
                <w:lang w:val="en-CA"/>
              </w:rPr>
              <w:t>Claim Amount</w:t>
            </w:r>
          </w:p>
        </w:tc>
        <w:tc>
          <w:tcPr>
            <w:tcW w:w="1329" w:type="dxa"/>
            <w:noWrap/>
            <w:vAlign w:val="center"/>
            <w:hideMark/>
          </w:tcPr>
          <w:p w14:paraId="7994D35E" w14:textId="77777777" w:rsidR="00AA387F" w:rsidRPr="00C71840" w:rsidRDefault="00AA387F" w:rsidP="00EC533A">
            <w:pPr>
              <w:pStyle w:val="ExhibitText"/>
              <w:jc w:val="center"/>
              <w:rPr>
                <w:b/>
                <w:lang w:val="en-CA"/>
              </w:rPr>
            </w:pPr>
            <w:r w:rsidRPr="00C71840">
              <w:rPr>
                <w:b/>
                <w:lang w:val="en-CA"/>
              </w:rPr>
              <w:t>Smoker</w:t>
            </w:r>
          </w:p>
        </w:tc>
      </w:tr>
      <w:tr w:rsidR="00AA387F" w:rsidRPr="00C71840" w14:paraId="722ED66B" w14:textId="77777777" w:rsidTr="009B6193">
        <w:trPr>
          <w:trHeight w:val="218"/>
          <w:tblHeader/>
        </w:trPr>
        <w:tc>
          <w:tcPr>
            <w:tcW w:w="1276" w:type="dxa"/>
            <w:noWrap/>
            <w:vAlign w:val="center"/>
            <w:hideMark/>
          </w:tcPr>
          <w:p w14:paraId="38693EF6" w14:textId="77777777" w:rsidR="00AA387F" w:rsidRPr="00C71840" w:rsidRDefault="00AA387F" w:rsidP="00EC533A">
            <w:pPr>
              <w:pStyle w:val="ExhibitText"/>
              <w:rPr>
                <w:lang w:val="en-CA"/>
              </w:rPr>
            </w:pPr>
            <w:proofErr w:type="spellStart"/>
            <w:r w:rsidRPr="00C71840">
              <w:rPr>
                <w:lang w:val="en-CA"/>
              </w:rPr>
              <w:t>Cesaro</w:t>
            </w:r>
            <w:proofErr w:type="spellEnd"/>
          </w:p>
        </w:tc>
        <w:tc>
          <w:tcPr>
            <w:tcW w:w="1496" w:type="dxa"/>
            <w:noWrap/>
            <w:vAlign w:val="center"/>
            <w:hideMark/>
          </w:tcPr>
          <w:p w14:paraId="38A141A1" w14:textId="77777777" w:rsidR="00AA387F" w:rsidRPr="00C71840" w:rsidRDefault="00AA387F" w:rsidP="00EC533A">
            <w:pPr>
              <w:pStyle w:val="ExhibitText"/>
              <w:rPr>
                <w:lang w:val="en-CA"/>
              </w:rPr>
            </w:pPr>
            <w:r w:rsidRPr="00C71840">
              <w:rPr>
                <w:lang w:val="en-CA"/>
              </w:rPr>
              <w:t>Groves</w:t>
            </w:r>
          </w:p>
        </w:tc>
        <w:tc>
          <w:tcPr>
            <w:tcW w:w="1076" w:type="dxa"/>
            <w:noWrap/>
            <w:vAlign w:val="center"/>
            <w:hideMark/>
          </w:tcPr>
          <w:p w14:paraId="1D5F844C" w14:textId="77777777" w:rsidR="00AA387F" w:rsidRPr="00C71840" w:rsidRDefault="00AA387F" w:rsidP="00EC533A">
            <w:pPr>
              <w:pStyle w:val="ExhibitText"/>
              <w:rPr>
                <w:lang w:val="en-CA"/>
              </w:rPr>
            </w:pPr>
            <w:r w:rsidRPr="00C71840">
              <w:rPr>
                <w:lang w:val="en-CA"/>
              </w:rPr>
              <w:t>M</w:t>
            </w:r>
          </w:p>
        </w:tc>
        <w:tc>
          <w:tcPr>
            <w:tcW w:w="596" w:type="dxa"/>
            <w:noWrap/>
            <w:vAlign w:val="center"/>
            <w:hideMark/>
          </w:tcPr>
          <w:p w14:paraId="74632409" w14:textId="77777777" w:rsidR="00AA387F" w:rsidRPr="00C71840" w:rsidRDefault="00AA387F" w:rsidP="00EC533A">
            <w:pPr>
              <w:pStyle w:val="ExhibitText"/>
              <w:rPr>
                <w:lang w:val="en-CA"/>
              </w:rPr>
            </w:pPr>
            <w:r w:rsidRPr="00C71840">
              <w:rPr>
                <w:lang w:val="en-CA"/>
              </w:rPr>
              <w:t>44</w:t>
            </w:r>
          </w:p>
        </w:tc>
        <w:tc>
          <w:tcPr>
            <w:tcW w:w="1703" w:type="dxa"/>
            <w:noWrap/>
            <w:vAlign w:val="center"/>
            <w:hideMark/>
          </w:tcPr>
          <w:p w14:paraId="1A6A519A" w14:textId="77777777" w:rsidR="00AA387F" w:rsidRPr="00C71840" w:rsidRDefault="00AA387F" w:rsidP="00EC533A">
            <w:pPr>
              <w:pStyle w:val="ExhibitText"/>
              <w:rPr>
                <w:lang w:val="en-CA"/>
              </w:rPr>
            </w:pPr>
            <w:r w:rsidRPr="00C71840">
              <w:rPr>
                <w:lang w:val="en-CA"/>
              </w:rPr>
              <w:t>$ 460,000</w:t>
            </w:r>
          </w:p>
        </w:tc>
        <w:tc>
          <w:tcPr>
            <w:tcW w:w="1329" w:type="dxa"/>
            <w:noWrap/>
            <w:vAlign w:val="center"/>
            <w:hideMark/>
          </w:tcPr>
          <w:p w14:paraId="7BC93CCF" w14:textId="77777777" w:rsidR="00AA387F" w:rsidRPr="00C71840" w:rsidRDefault="00AA387F" w:rsidP="00EC533A">
            <w:pPr>
              <w:pStyle w:val="ExhibitText"/>
              <w:rPr>
                <w:lang w:val="en-CA"/>
              </w:rPr>
            </w:pPr>
            <w:r w:rsidRPr="00C71840">
              <w:rPr>
                <w:lang w:val="en-CA"/>
              </w:rPr>
              <w:t>Y</w:t>
            </w:r>
          </w:p>
        </w:tc>
      </w:tr>
      <w:tr w:rsidR="00AA387F" w:rsidRPr="00C71840" w14:paraId="409028FE" w14:textId="77777777" w:rsidTr="009B6193">
        <w:trPr>
          <w:trHeight w:val="262"/>
          <w:tblHeader/>
        </w:trPr>
        <w:tc>
          <w:tcPr>
            <w:tcW w:w="1276" w:type="dxa"/>
            <w:noWrap/>
            <w:vAlign w:val="center"/>
            <w:hideMark/>
          </w:tcPr>
          <w:p w14:paraId="09E4C594" w14:textId="77777777" w:rsidR="00AA387F" w:rsidRPr="00C71840" w:rsidRDefault="00AA387F" w:rsidP="00EC533A">
            <w:pPr>
              <w:pStyle w:val="ExhibitText"/>
              <w:rPr>
                <w:lang w:val="en-CA"/>
              </w:rPr>
            </w:pPr>
            <w:proofErr w:type="spellStart"/>
            <w:r w:rsidRPr="00C71840">
              <w:rPr>
                <w:lang w:val="en-CA"/>
              </w:rPr>
              <w:t>Engracia</w:t>
            </w:r>
            <w:proofErr w:type="spellEnd"/>
          </w:p>
        </w:tc>
        <w:tc>
          <w:tcPr>
            <w:tcW w:w="1496" w:type="dxa"/>
            <w:noWrap/>
            <w:vAlign w:val="center"/>
            <w:hideMark/>
          </w:tcPr>
          <w:p w14:paraId="287C783D" w14:textId="77777777" w:rsidR="00AA387F" w:rsidRPr="00C71840" w:rsidRDefault="00AA387F" w:rsidP="00EC533A">
            <w:pPr>
              <w:pStyle w:val="ExhibitText"/>
              <w:rPr>
                <w:lang w:val="en-CA"/>
              </w:rPr>
            </w:pPr>
            <w:r w:rsidRPr="00C71840">
              <w:rPr>
                <w:lang w:val="en-CA"/>
              </w:rPr>
              <w:t>Carty</w:t>
            </w:r>
          </w:p>
        </w:tc>
        <w:tc>
          <w:tcPr>
            <w:tcW w:w="1076" w:type="dxa"/>
            <w:noWrap/>
            <w:vAlign w:val="center"/>
            <w:hideMark/>
          </w:tcPr>
          <w:p w14:paraId="4A1D7BD9" w14:textId="77777777" w:rsidR="00AA387F" w:rsidRPr="00C71840" w:rsidRDefault="00AA387F" w:rsidP="00EC533A">
            <w:pPr>
              <w:pStyle w:val="ExhibitText"/>
              <w:rPr>
                <w:lang w:val="en-CA"/>
              </w:rPr>
            </w:pPr>
            <w:r w:rsidRPr="00C71840">
              <w:rPr>
                <w:lang w:val="en-CA"/>
              </w:rPr>
              <w:t>F</w:t>
            </w:r>
          </w:p>
        </w:tc>
        <w:tc>
          <w:tcPr>
            <w:tcW w:w="596" w:type="dxa"/>
            <w:noWrap/>
            <w:vAlign w:val="center"/>
            <w:hideMark/>
          </w:tcPr>
          <w:p w14:paraId="68251CCE" w14:textId="77777777" w:rsidR="00AA387F" w:rsidRPr="00C71840" w:rsidRDefault="00AA387F" w:rsidP="00EC533A">
            <w:pPr>
              <w:pStyle w:val="ExhibitText"/>
              <w:rPr>
                <w:lang w:val="en-CA"/>
              </w:rPr>
            </w:pPr>
            <w:r w:rsidRPr="00C71840">
              <w:rPr>
                <w:lang w:val="en-CA"/>
              </w:rPr>
              <w:t>38</w:t>
            </w:r>
          </w:p>
        </w:tc>
        <w:tc>
          <w:tcPr>
            <w:tcW w:w="1703" w:type="dxa"/>
            <w:noWrap/>
            <w:vAlign w:val="center"/>
            <w:hideMark/>
          </w:tcPr>
          <w:p w14:paraId="72CEF708" w14:textId="77777777" w:rsidR="00AA387F" w:rsidRPr="00C71840" w:rsidRDefault="00AA387F" w:rsidP="00EC533A">
            <w:pPr>
              <w:pStyle w:val="ExhibitText"/>
              <w:rPr>
                <w:lang w:val="en-CA"/>
              </w:rPr>
            </w:pPr>
            <w:r w:rsidRPr="00C71840">
              <w:rPr>
                <w:lang w:val="en-CA"/>
              </w:rPr>
              <w:t>$ 250,000</w:t>
            </w:r>
          </w:p>
        </w:tc>
        <w:tc>
          <w:tcPr>
            <w:tcW w:w="1329" w:type="dxa"/>
            <w:noWrap/>
            <w:vAlign w:val="center"/>
            <w:hideMark/>
          </w:tcPr>
          <w:p w14:paraId="08E7D2D7" w14:textId="77777777" w:rsidR="00AA387F" w:rsidRPr="00C71840" w:rsidRDefault="00AA387F" w:rsidP="00EC533A">
            <w:pPr>
              <w:pStyle w:val="ExhibitText"/>
              <w:rPr>
                <w:lang w:val="en-CA"/>
              </w:rPr>
            </w:pPr>
            <w:r w:rsidRPr="00C71840">
              <w:rPr>
                <w:lang w:val="en-CA"/>
              </w:rPr>
              <w:t>Y</w:t>
            </w:r>
          </w:p>
        </w:tc>
      </w:tr>
      <w:tr w:rsidR="00AA387F" w:rsidRPr="00C71840" w14:paraId="1227C9CA" w14:textId="77777777" w:rsidTr="009B6193">
        <w:trPr>
          <w:trHeight w:val="196"/>
          <w:tblHeader/>
        </w:trPr>
        <w:tc>
          <w:tcPr>
            <w:tcW w:w="1276" w:type="dxa"/>
            <w:noWrap/>
            <w:vAlign w:val="center"/>
            <w:hideMark/>
          </w:tcPr>
          <w:p w14:paraId="75817C86" w14:textId="77777777" w:rsidR="00AA387F" w:rsidRPr="00C71840" w:rsidRDefault="00AA387F" w:rsidP="00EC533A">
            <w:pPr>
              <w:pStyle w:val="ExhibitText"/>
              <w:rPr>
                <w:lang w:val="en-CA"/>
              </w:rPr>
            </w:pPr>
            <w:r w:rsidRPr="00C71840">
              <w:rPr>
                <w:lang w:val="en-CA"/>
              </w:rPr>
              <w:t>Elisha</w:t>
            </w:r>
          </w:p>
        </w:tc>
        <w:tc>
          <w:tcPr>
            <w:tcW w:w="1496" w:type="dxa"/>
            <w:noWrap/>
            <w:vAlign w:val="center"/>
            <w:hideMark/>
          </w:tcPr>
          <w:p w14:paraId="0393223C" w14:textId="77777777" w:rsidR="00AA387F" w:rsidRPr="00C71840" w:rsidRDefault="00AA387F" w:rsidP="00EC533A">
            <w:pPr>
              <w:pStyle w:val="ExhibitText"/>
              <w:rPr>
                <w:lang w:val="en-CA"/>
              </w:rPr>
            </w:pPr>
            <w:proofErr w:type="spellStart"/>
            <w:r w:rsidRPr="00C71840">
              <w:rPr>
                <w:lang w:val="en-CA"/>
              </w:rPr>
              <w:t>Wadesworth</w:t>
            </w:r>
            <w:proofErr w:type="spellEnd"/>
          </w:p>
        </w:tc>
        <w:tc>
          <w:tcPr>
            <w:tcW w:w="1076" w:type="dxa"/>
            <w:noWrap/>
            <w:vAlign w:val="center"/>
            <w:hideMark/>
          </w:tcPr>
          <w:p w14:paraId="3E950D85" w14:textId="77777777" w:rsidR="00AA387F" w:rsidRPr="00C71840" w:rsidRDefault="00AA387F" w:rsidP="00EC533A">
            <w:pPr>
              <w:pStyle w:val="ExhibitText"/>
              <w:rPr>
                <w:lang w:val="en-CA"/>
              </w:rPr>
            </w:pPr>
            <w:r w:rsidRPr="00C71840">
              <w:rPr>
                <w:lang w:val="en-CA"/>
              </w:rPr>
              <w:t>F</w:t>
            </w:r>
          </w:p>
        </w:tc>
        <w:tc>
          <w:tcPr>
            <w:tcW w:w="596" w:type="dxa"/>
            <w:noWrap/>
            <w:vAlign w:val="center"/>
            <w:hideMark/>
          </w:tcPr>
          <w:p w14:paraId="77348A38" w14:textId="77777777" w:rsidR="00AA387F" w:rsidRPr="00C71840" w:rsidRDefault="00AA387F" w:rsidP="00EC533A">
            <w:pPr>
              <w:pStyle w:val="ExhibitText"/>
              <w:rPr>
                <w:lang w:val="en-CA"/>
              </w:rPr>
            </w:pPr>
            <w:r w:rsidRPr="00C71840">
              <w:rPr>
                <w:lang w:val="en-CA"/>
              </w:rPr>
              <w:t>51</w:t>
            </w:r>
          </w:p>
        </w:tc>
        <w:tc>
          <w:tcPr>
            <w:tcW w:w="1703" w:type="dxa"/>
            <w:noWrap/>
            <w:vAlign w:val="center"/>
            <w:hideMark/>
          </w:tcPr>
          <w:p w14:paraId="35A77D8E" w14:textId="77777777" w:rsidR="00AA387F" w:rsidRPr="00C71840" w:rsidRDefault="00AA387F" w:rsidP="00EC533A">
            <w:pPr>
              <w:pStyle w:val="ExhibitText"/>
              <w:rPr>
                <w:lang w:val="en-CA"/>
              </w:rPr>
            </w:pPr>
            <w:r w:rsidRPr="00C71840">
              <w:rPr>
                <w:lang w:val="en-CA"/>
              </w:rPr>
              <w:t>$ 480,000</w:t>
            </w:r>
          </w:p>
        </w:tc>
        <w:tc>
          <w:tcPr>
            <w:tcW w:w="1329" w:type="dxa"/>
            <w:noWrap/>
            <w:vAlign w:val="center"/>
            <w:hideMark/>
          </w:tcPr>
          <w:p w14:paraId="75888A1F" w14:textId="77777777" w:rsidR="00AA387F" w:rsidRPr="00C71840" w:rsidRDefault="00AA387F" w:rsidP="00EC533A">
            <w:pPr>
              <w:pStyle w:val="ExhibitText"/>
              <w:rPr>
                <w:lang w:val="en-CA"/>
              </w:rPr>
            </w:pPr>
            <w:r w:rsidRPr="00C71840">
              <w:rPr>
                <w:lang w:val="en-CA"/>
              </w:rPr>
              <w:t>N</w:t>
            </w:r>
          </w:p>
        </w:tc>
      </w:tr>
      <w:tr w:rsidR="00AA387F" w:rsidRPr="00C71840" w14:paraId="7C0F7CBD" w14:textId="77777777" w:rsidTr="009B6193">
        <w:trPr>
          <w:trHeight w:val="218"/>
          <w:tblHeader/>
        </w:trPr>
        <w:tc>
          <w:tcPr>
            <w:tcW w:w="1276" w:type="dxa"/>
            <w:noWrap/>
            <w:vAlign w:val="center"/>
          </w:tcPr>
          <w:p w14:paraId="1B750E0C" w14:textId="4D38479F" w:rsidR="00AA387F" w:rsidRPr="00C71840" w:rsidRDefault="000D7D9C" w:rsidP="000844F5">
            <w:pPr>
              <w:pStyle w:val="ExhibitText"/>
              <w:rPr>
                <w:lang w:val="en-CA"/>
              </w:rPr>
            </w:pPr>
            <w:r w:rsidRPr="00C71840">
              <w:rPr>
                <w:lang w:val="en-CA"/>
              </w:rPr>
              <w:t>. . .</w:t>
            </w:r>
          </w:p>
        </w:tc>
        <w:tc>
          <w:tcPr>
            <w:tcW w:w="1496" w:type="dxa"/>
            <w:noWrap/>
            <w:vAlign w:val="center"/>
          </w:tcPr>
          <w:p w14:paraId="74A896A8" w14:textId="03207323" w:rsidR="00AA387F" w:rsidRPr="00C71840" w:rsidRDefault="000D7D9C" w:rsidP="00EC533A">
            <w:pPr>
              <w:pStyle w:val="ExhibitText"/>
              <w:rPr>
                <w:lang w:val="en-CA"/>
              </w:rPr>
            </w:pPr>
            <w:r w:rsidRPr="00C71840">
              <w:rPr>
                <w:lang w:val="en-CA"/>
              </w:rPr>
              <w:t>. . .</w:t>
            </w:r>
          </w:p>
        </w:tc>
        <w:tc>
          <w:tcPr>
            <w:tcW w:w="1076" w:type="dxa"/>
            <w:noWrap/>
            <w:vAlign w:val="center"/>
          </w:tcPr>
          <w:p w14:paraId="02A8A2FF" w14:textId="0EEDA710" w:rsidR="00AA387F" w:rsidRPr="00C71840" w:rsidRDefault="000D7D9C" w:rsidP="00EC533A">
            <w:pPr>
              <w:pStyle w:val="ExhibitText"/>
              <w:rPr>
                <w:lang w:val="en-CA"/>
              </w:rPr>
            </w:pPr>
            <w:r w:rsidRPr="00C71840">
              <w:rPr>
                <w:lang w:val="en-CA"/>
              </w:rPr>
              <w:t>. . .</w:t>
            </w:r>
          </w:p>
        </w:tc>
        <w:tc>
          <w:tcPr>
            <w:tcW w:w="596" w:type="dxa"/>
            <w:noWrap/>
            <w:vAlign w:val="center"/>
          </w:tcPr>
          <w:p w14:paraId="1A81BCC6" w14:textId="4E2EBDC5" w:rsidR="00AA387F" w:rsidRPr="00C71840" w:rsidRDefault="000D7D9C" w:rsidP="00EC533A">
            <w:pPr>
              <w:pStyle w:val="ExhibitText"/>
              <w:rPr>
                <w:lang w:val="en-CA"/>
              </w:rPr>
            </w:pPr>
            <w:r w:rsidRPr="00C71840">
              <w:rPr>
                <w:lang w:val="en-CA"/>
              </w:rPr>
              <w:t>. . .</w:t>
            </w:r>
          </w:p>
        </w:tc>
        <w:tc>
          <w:tcPr>
            <w:tcW w:w="1703" w:type="dxa"/>
            <w:noWrap/>
            <w:vAlign w:val="center"/>
          </w:tcPr>
          <w:p w14:paraId="7E33AAE1" w14:textId="72331ECE" w:rsidR="00AA387F" w:rsidRPr="00C71840" w:rsidRDefault="000D7D9C" w:rsidP="00EC533A">
            <w:pPr>
              <w:pStyle w:val="ExhibitText"/>
              <w:rPr>
                <w:lang w:val="en-CA"/>
              </w:rPr>
            </w:pPr>
            <w:r w:rsidRPr="00C71840">
              <w:rPr>
                <w:lang w:val="en-CA"/>
              </w:rPr>
              <w:t>. . .</w:t>
            </w:r>
          </w:p>
        </w:tc>
        <w:tc>
          <w:tcPr>
            <w:tcW w:w="1329" w:type="dxa"/>
            <w:noWrap/>
            <w:vAlign w:val="center"/>
          </w:tcPr>
          <w:p w14:paraId="1F2F7E5D" w14:textId="2E31C8C9" w:rsidR="00AA387F" w:rsidRPr="00C71840" w:rsidRDefault="000D7D9C" w:rsidP="00EC533A">
            <w:pPr>
              <w:pStyle w:val="ExhibitText"/>
              <w:rPr>
                <w:lang w:val="en-CA"/>
              </w:rPr>
            </w:pPr>
            <w:r w:rsidRPr="00C71840">
              <w:rPr>
                <w:lang w:val="en-CA"/>
              </w:rPr>
              <w:t>. . .</w:t>
            </w:r>
          </w:p>
        </w:tc>
      </w:tr>
      <w:tr w:rsidR="00AA387F" w:rsidRPr="00C71840" w14:paraId="7BD4CA4A" w14:textId="77777777" w:rsidTr="009B6193">
        <w:trPr>
          <w:trHeight w:val="218"/>
          <w:tblHeader/>
        </w:trPr>
        <w:tc>
          <w:tcPr>
            <w:tcW w:w="1276" w:type="dxa"/>
            <w:noWrap/>
            <w:vAlign w:val="center"/>
          </w:tcPr>
          <w:p w14:paraId="79315F62" w14:textId="46F09BEA" w:rsidR="00AA387F" w:rsidRPr="00C71840" w:rsidRDefault="000D7D9C" w:rsidP="00EC533A">
            <w:pPr>
              <w:pStyle w:val="ExhibitText"/>
              <w:rPr>
                <w:lang w:val="en-CA"/>
              </w:rPr>
            </w:pPr>
            <w:r w:rsidRPr="00C71840">
              <w:rPr>
                <w:lang w:val="en-CA"/>
              </w:rPr>
              <w:t>. . .</w:t>
            </w:r>
          </w:p>
        </w:tc>
        <w:tc>
          <w:tcPr>
            <w:tcW w:w="1496" w:type="dxa"/>
            <w:noWrap/>
            <w:vAlign w:val="center"/>
          </w:tcPr>
          <w:p w14:paraId="76253533" w14:textId="179A3222" w:rsidR="00AA387F" w:rsidRPr="00C71840" w:rsidRDefault="000D7D9C" w:rsidP="00EC533A">
            <w:pPr>
              <w:pStyle w:val="ExhibitText"/>
              <w:rPr>
                <w:lang w:val="en-CA"/>
              </w:rPr>
            </w:pPr>
            <w:r w:rsidRPr="00C71840">
              <w:rPr>
                <w:lang w:val="en-CA"/>
              </w:rPr>
              <w:t>. . .</w:t>
            </w:r>
          </w:p>
        </w:tc>
        <w:tc>
          <w:tcPr>
            <w:tcW w:w="1076" w:type="dxa"/>
            <w:noWrap/>
            <w:vAlign w:val="center"/>
          </w:tcPr>
          <w:p w14:paraId="0C76D673" w14:textId="1181F8D4" w:rsidR="00AA387F" w:rsidRPr="00C71840" w:rsidRDefault="000D7D9C" w:rsidP="00EC533A">
            <w:pPr>
              <w:pStyle w:val="ExhibitText"/>
              <w:rPr>
                <w:lang w:val="en-CA"/>
              </w:rPr>
            </w:pPr>
            <w:r w:rsidRPr="00C71840">
              <w:rPr>
                <w:lang w:val="en-CA"/>
              </w:rPr>
              <w:t>. . .</w:t>
            </w:r>
          </w:p>
        </w:tc>
        <w:tc>
          <w:tcPr>
            <w:tcW w:w="596" w:type="dxa"/>
            <w:noWrap/>
            <w:vAlign w:val="center"/>
          </w:tcPr>
          <w:p w14:paraId="460DA310" w14:textId="42339284" w:rsidR="00AA387F" w:rsidRPr="00C71840" w:rsidRDefault="000D7D9C" w:rsidP="00EC533A">
            <w:pPr>
              <w:pStyle w:val="ExhibitText"/>
              <w:rPr>
                <w:lang w:val="en-CA"/>
              </w:rPr>
            </w:pPr>
            <w:r w:rsidRPr="00C71840">
              <w:rPr>
                <w:lang w:val="en-CA"/>
              </w:rPr>
              <w:t>. . .</w:t>
            </w:r>
          </w:p>
        </w:tc>
        <w:tc>
          <w:tcPr>
            <w:tcW w:w="1703" w:type="dxa"/>
            <w:noWrap/>
            <w:vAlign w:val="center"/>
          </w:tcPr>
          <w:p w14:paraId="143579E0" w14:textId="4F889FF4" w:rsidR="00AA387F" w:rsidRPr="00C71840" w:rsidRDefault="000D7D9C" w:rsidP="00EC533A">
            <w:pPr>
              <w:pStyle w:val="ExhibitText"/>
              <w:rPr>
                <w:lang w:val="en-CA"/>
              </w:rPr>
            </w:pPr>
            <w:r w:rsidRPr="00C71840">
              <w:rPr>
                <w:lang w:val="en-CA"/>
              </w:rPr>
              <w:t>. . .</w:t>
            </w:r>
          </w:p>
        </w:tc>
        <w:tc>
          <w:tcPr>
            <w:tcW w:w="1329" w:type="dxa"/>
            <w:noWrap/>
            <w:vAlign w:val="center"/>
          </w:tcPr>
          <w:p w14:paraId="629150C7" w14:textId="476D30DA" w:rsidR="00AA387F" w:rsidRPr="00C71840" w:rsidRDefault="000D7D9C" w:rsidP="00EC533A">
            <w:pPr>
              <w:pStyle w:val="ExhibitText"/>
              <w:rPr>
                <w:lang w:val="en-CA"/>
              </w:rPr>
            </w:pPr>
            <w:r w:rsidRPr="00C71840">
              <w:rPr>
                <w:lang w:val="en-CA"/>
              </w:rPr>
              <w:t>. . .</w:t>
            </w:r>
          </w:p>
        </w:tc>
      </w:tr>
      <w:tr w:rsidR="00AA387F" w:rsidRPr="00C71840" w14:paraId="5E6B0791" w14:textId="77777777" w:rsidTr="009B6193">
        <w:trPr>
          <w:trHeight w:val="218"/>
          <w:tblHeader/>
        </w:trPr>
        <w:tc>
          <w:tcPr>
            <w:tcW w:w="1276" w:type="dxa"/>
            <w:noWrap/>
            <w:vAlign w:val="center"/>
          </w:tcPr>
          <w:p w14:paraId="2D617D95" w14:textId="77777777" w:rsidR="00AA387F" w:rsidRPr="00C71840" w:rsidRDefault="00AA387F" w:rsidP="00EC533A">
            <w:pPr>
              <w:pStyle w:val="ExhibitText"/>
              <w:rPr>
                <w:lang w:val="en-CA"/>
              </w:rPr>
            </w:pPr>
            <w:r w:rsidRPr="00C71840">
              <w:rPr>
                <w:lang w:val="en-CA"/>
              </w:rPr>
              <w:t>Adina</w:t>
            </w:r>
          </w:p>
        </w:tc>
        <w:tc>
          <w:tcPr>
            <w:tcW w:w="1496" w:type="dxa"/>
            <w:noWrap/>
            <w:vAlign w:val="center"/>
          </w:tcPr>
          <w:p w14:paraId="101B8AFC" w14:textId="77777777" w:rsidR="00AA387F" w:rsidRPr="00C71840" w:rsidRDefault="00AA387F" w:rsidP="00EC533A">
            <w:pPr>
              <w:pStyle w:val="ExhibitText"/>
              <w:rPr>
                <w:lang w:val="en-CA"/>
              </w:rPr>
            </w:pPr>
            <w:r w:rsidRPr="00C71840">
              <w:rPr>
                <w:lang w:val="en-CA"/>
              </w:rPr>
              <w:t>Manilow</w:t>
            </w:r>
          </w:p>
        </w:tc>
        <w:tc>
          <w:tcPr>
            <w:tcW w:w="1076" w:type="dxa"/>
            <w:noWrap/>
            <w:vAlign w:val="center"/>
          </w:tcPr>
          <w:p w14:paraId="0BAF8E76" w14:textId="77777777" w:rsidR="00AA387F" w:rsidRPr="00C71840" w:rsidRDefault="00AA387F" w:rsidP="00EC533A">
            <w:pPr>
              <w:pStyle w:val="ExhibitText"/>
              <w:rPr>
                <w:lang w:val="en-CA"/>
              </w:rPr>
            </w:pPr>
            <w:r w:rsidRPr="00C71840">
              <w:rPr>
                <w:lang w:val="en-CA"/>
              </w:rPr>
              <w:t>F</w:t>
            </w:r>
          </w:p>
        </w:tc>
        <w:tc>
          <w:tcPr>
            <w:tcW w:w="596" w:type="dxa"/>
            <w:noWrap/>
            <w:vAlign w:val="center"/>
          </w:tcPr>
          <w:p w14:paraId="68F8FF16" w14:textId="77777777" w:rsidR="00AA387F" w:rsidRPr="00C71840" w:rsidRDefault="00AA387F" w:rsidP="00EC533A">
            <w:pPr>
              <w:pStyle w:val="ExhibitText"/>
              <w:rPr>
                <w:lang w:val="en-CA"/>
              </w:rPr>
            </w:pPr>
            <w:r w:rsidRPr="00C71840">
              <w:rPr>
                <w:lang w:val="en-CA"/>
              </w:rPr>
              <w:t>43</w:t>
            </w:r>
          </w:p>
        </w:tc>
        <w:tc>
          <w:tcPr>
            <w:tcW w:w="1703" w:type="dxa"/>
            <w:noWrap/>
            <w:vAlign w:val="center"/>
          </w:tcPr>
          <w:p w14:paraId="335ECE01" w14:textId="77777777" w:rsidR="00AA387F" w:rsidRPr="00C71840" w:rsidRDefault="00AA387F" w:rsidP="00EC533A">
            <w:pPr>
              <w:pStyle w:val="ExhibitText"/>
              <w:rPr>
                <w:lang w:val="en-CA"/>
              </w:rPr>
            </w:pPr>
            <w:r w:rsidRPr="00C71840">
              <w:rPr>
                <w:lang w:val="en-CA"/>
              </w:rPr>
              <w:t>$ 320,000</w:t>
            </w:r>
          </w:p>
        </w:tc>
        <w:tc>
          <w:tcPr>
            <w:tcW w:w="1329" w:type="dxa"/>
            <w:noWrap/>
            <w:vAlign w:val="center"/>
          </w:tcPr>
          <w:p w14:paraId="5711BC20" w14:textId="77777777" w:rsidR="00AA387F" w:rsidRPr="00C71840" w:rsidRDefault="00AA387F" w:rsidP="00EC533A">
            <w:pPr>
              <w:pStyle w:val="ExhibitText"/>
              <w:rPr>
                <w:lang w:val="en-CA"/>
              </w:rPr>
            </w:pPr>
            <w:r w:rsidRPr="00C71840">
              <w:rPr>
                <w:lang w:val="en-CA"/>
              </w:rPr>
              <w:t>Y</w:t>
            </w:r>
          </w:p>
        </w:tc>
      </w:tr>
    </w:tbl>
    <w:p w14:paraId="60886BE7" w14:textId="77777777" w:rsidR="00AA387F" w:rsidRPr="00C71840" w:rsidRDefault="00AA387F" w:rsidP="00EC533A">
      <w:pPr>
        <w:pStyle w:val="Footnote"/>
        <w:rPr>
          <w:lang w:val="en-CA"/>
        </w:rPr>
      </w:pPr>
    </w:p>
    <w:p w14:paraId="00C2B33D" w14:textId="23A6B9C1" w:rsidR="00944B60" w:rsidRPr="00C71840" w:rsidRDefault="00944B60" w:rsidP="00EC533A">
      <w:pPr>
        <w:pStyle w:val="Footnote"/>
        <w:rPr>
          <w:lang w:val="en-CA"/>
        </w:rPr>
      </w:pPr>
      <w:r w:rsidRPr="00C71840">
        <w:rPr>
          <w:lang w:val="en-CA"/>
        </w:rPr>
        <w:t>Note: RFP = request for proposal; M = male; F = female; Y = yes; N = no</w:t>
      </w:r>
    </w:p>
    <w:p w14:paraId="6CA05961" w14:textId="21C814DA" w:rsidR="00AA387F" w:rsidRPr="00C71840" w:rsidRDefault="00944B60" w:rsidP="00EC533A">
      <w:pPr>
        <w:pStyle w:val="Footnote"/>
        <w:rPr>
          <w:lang w:val="en-CA"/>
        </w:rPr>
      </w:pPr>
      <w:r w:rsidRPr="00C71840">
        <w:rPr>
          <w:lang w:val="en-CA"/>
        </w:rPr>
        <w:t>Source:</w:t>
      </w:r>
      <w:r w:rsidR="00617618" w:rsidRPr="00C71840">
        <w:rPr>
          <w:lang w:val="en-CA"/>
        </w:rPr>
        <w:t xml:space="preserve"> Company documents.</w:t>
      </w:r>
    </w:p>
    <w:p w14:paraId="50EFD775" w14:textId="4F797CBD" w:rsidR="003557EA" w:rsidRPr="00C71840" w:rsidRDefault="003557EA">
      <w:pPr>
        <w:spacing w:after="200" w:line="276" w:lineRule="auto"/>
        <w:rPr>
          <w:rFonts w:ascii="Arial" w:hAnsi="Arial" w:cs="Arial"/>
          <w:sz w:val="18"/>
          <w:szCs w:val="17"/>
          <w:lang w:val="en-CA"/>
        </w:rPr>
      </w:pPr>
    </w:p>
    <w:p w14:paraId="50A63489" w14:textId="3B3825FD" w:rsidR="00AA387F" w:rsidRPr="00C71840" w:rsidRDefault="00AA387F" w:rsidP="00EC533A">
      <w:pPr>
        <w:pStyle w:val="ExhibitHeading"/>
        <w:rPr>
          <w:i/>
          <w:color w:val="000000" w:themeColor="text1"/>
          <w:lang w:val="en-CA"/>
        </w:rPr>
      </w:pPr>
      <w:r w:rsidRPr="00C71840">
        <w:rPr>
          <w:lang w:val="en-CA"/>
        </w:rPr>
        <w:t>Exhibit 2</w:t>
      </w:r>
      <w:r w:rsidR="00EC533A" w:rsidRPr="00C71840">
        <w:rPr>
          <w:lang w:val="en-CA"/>
        </w:rPr>
        <w:t xml:space="preserve">: </w:t>
      </w:r>
      <w:r w:rsidRPr="00C71840">
        <w:rPr>
          <w:lang w:val="en-CA"/>
        </w:rPr>
        <w:t>MORTALITY RATES</w:t>
      </w:r>
    </w:p>
    <w:p w14:paraId="133A3DF8" w14:textId="77777777" w:rsidR="00AA387F" w:rsidRPr="00C71840" w:rsidRDefault="00AA387F" w:rsidP="00EC533A">
      <w:pPr>
        <w:pStyle w:val="Footnote"/>
        <w:rPr>
          <w:sz w:val="18"/>
          <w:lang w:val="en-CA"/>
        </w:rPr>
      </w:pPr>
    </w:p>
    <w:tbl>
      <w:tblPr>
        <w:tblStyle w:val="TableGrid"/>
        <w:tblW w:w="0" w:type="auto"/>
        <w:jc w:val="center"/>
        <w:tblLook w:val="04A0" w:firstRow="1" w:lastRow="0" w:firstColumn="1" w:lastColumn="0" w:noHBand="0" w:noVBand="1"/>
        <w:tblCaption w:val="Exhibit 2"/>
        <w:tblDescription w:val="Mortality Rates"/>
      </w:tblPr>
      <w:tblGrid>
        <w:gridCol w:w="1950"/>
        <w:gridCol w:w="3222"/>
        <w:gridCol w:w="3546"/>
      </w:tblGrid>
      <w:tr w:rsidR="00AA387F" w:rsidRPr="00C71840" w14:paraId="1BDE82F8" w14:textId="77777777" w:rsidTr="009B6193">
        <w:trPr>
          <w:trHeight w:val="49"/>
          <w:tblHeader/>
          <w:jc w:val="center"/>
        </w:trPr>
        <w:tc>
          <w:tcPr>
            <w:tcW w:w="1950" w:type="dxa"/>
            <w:noWrap/>
            <w:hideMark/>
          </w:tcPr>
          <w:p w14:paraId="3C681089" w14:textId="77777777" w:rsidR="00AA387F" w:rsidRPr="00C71840" w:rsidRDefault="00AA387F" w:rsidP="00EC533A">
            <w:pPr>
              <w:pStyle w:val="ExhibitText"/>
              <w:rPr>
                <w:lang w:val="en-CA"/>
              </w:rPr>
            </w:pPr>
          </w:p>
        </w:tc>
        <w:tc>
          <w:tcPr>
            <w:tcW w:w="6768" w:type="dxa"/>
            <w:gridSpan w:val="2"/>
            <w:noWrap/>
            <w:hideMark/>
          </w:tcPr>
          <w:p w14:paraId="7F4F2F82" w14:textId="3D46AE87" w:rsidR="00AA387F" w:rsidRPr="00C71840" w:rsidRDefault="00AA387F" w:rsidP="00B356AF">
            <w:pPr>
              <w:pStyle w:val="ExhibitText"/>
              <w:rPr>
                <w:b/>
                <w:bCs/>
                <w:lang w:val="en-CA"/>
              </w:rPr>
            </w:pPr>
            <w:r w:rsidRPr="00C71840">
              <w:rPr>
                <w:b/>
                <w:bCs/>
                <w:lang w:val="en-CA"/>
              </w:rPr>
              <w:t xml:space="preserve">Conditional Probability of </w:t>
            </w:r>
            <w:r w:rsidR="00B356AF" w:rsidRPr="00C71840">
              <w:rPr>
                <w:b/>
                <w:bCs/>
                <w:lang w:val="en-CA"/>
              </w:rPr>
              <w:t>D</w:t>
            </w:r>
            <w:r w:rsidRPr="00C71840">
              <w:rPr>
                <w:b/>
                <w:bCs/>
                <w:lang w:val="en-CA"/>
              </w:rPr>
              <w:t>eath in [</w:t>
            </w:r>
            <w:proofErr w:type="spellStart"/>
            <w:proofErr w:type="gramStart"/>
            <w:r w:rsidRPr="00C71840">
              <w:rPr>
                <w:b/>
                <w:bCs/>
                <w:lang w:val="en-CA"/>
              </w:rPr>
              <w:t>x,x</w:t>
            </w:r>
            <w:proofErr w:type="spellEnd"/>
            <w:proofErr w:type="gramEnd"/>
            <w:r w:rsidR="00B356AF" w:rsidRPr="00C71840">
              <w:rPr>
                <w:b/>
                <w:bCs/>
                <w:lang w:val="en-CA"/>
              </w:rPr>
              <w:t xml:space="preserve"> </w:t>
            </w:r>
            <w:r w:rsidRPr="00C71840">
              <w:rPr>
                <w:b/>
                <w:bCs/>
                <w:lang w:val="en-CA"/>
              </w:rPr>
              <w:t>+</w:t>
            </w:r>
            <w:r w:rsidR="00B356AF" w:rsidRPr="00C71840">
              <w:rPr>
                <w:b/>
                <w:bCs/>
                <w:lang w:val="en-CA"/>
              </w:rPr>
              <w:t xml:space="preserve"> </w:t>
            </w:r>
            <w:r w:rsidRPr="00C71840">
              <w:rPr>
                <w:b/>
                <w:bCs/>
                <w:lang w:val="en-CA"/>
              </w:rPr>
              <w:t xml:space="preserve">1] </w:t>
            </w:r>
            <w:r w:rsidR="00B356AF" w:rsidRPr="00C71840">
              <w:rPr>
                <w:b/>
                <w:bCs/>
                <w:lang w:val="en-CA"/>
              </w:rPr>
              <w:t>Y</w:t>
            </w:r>
            <w:r w:rsidRPr="00C71840">
              <w:rPr>
                <w:b/>
                <w:bCs/>
                <w:lang w:val="en-CA"/>
              </w:rPr>
              <w:t>ears</w:t>
            </w:r>
          </w:p>
        </w:tc>
      </w:tr>
      <w:tr w:rsidR="00AA387F" w:rsidRPr="00C71840" w14:paraId="518CC173" w14:textId="77777777" w:rsidTr="009B6193">
        <w:trPr>
          <w:trHeight w:val="13"/>
          <w:tblHeader/>
          <w:jc w:val="center"/>
        </w:trPr>
        <w:tc>
          <w:tcPr>
            <w:tcW w:w="1950" w:type="dxa"/>
            <w:noWrap/>
            <w:vAlign w:val="center"/>
            <w:hideMark/>
          </w:tcPr>
          <w:p w14:paraId="42531792" w14:textId="77777777" w:rsidR="00AA387F" w:rsidRPr="00C71840" w:rsidRDefault="00AA387F" w:rsidP="00C0386E">
            <w:pPr>
              <w:pStyle w:val="ExhibitText"/>
              <w:jc w:val="center"/>
              <w:rPr>
                <w:b/>
                <w:bCs/>
                <w:lang w:val="en-CA"/>
              </w:rPr>
            </w:pPr>
            <w:r w:rsidRPr="00C71840">
              <w:rPr>
                <w:b/>
                <w:bCs/>
                <w:lang w:val="en-CA"/>
              </w:rPr>
              <w:t>Age (x)</w:t>
            </w:r>
          </w:p>
        </w:tc>
        <w:tc>
          <w:tcPr>
            <w:tcW w:w="3222" w:type="dxa"/>
            <w:noWrap/>
            <w:vAlign w:val="center"/>
            <w:hideMark/>
          </w:tcPr>
          <w:p w14:paraId="08BC0DB7" w14:textId="77777777" w:rsidR="00AA387F" w:rsidRPr="00C71840" w:rsidRDefault="00AA387F" w:rsidP="00C0386E">
            <w:pPr>
              <w:pStyle w:val="ExhibitText"/>
              <w:jc w:val="center"/>
              <w:rPr>
                <w:b/>
                <w:bCs/>
                <w:lang w:val="en-CA"/>
              </w:rPr>
            </w:pPr>
            <w:r w:rsidRPr="00C71840">
              <w:rPr>
                <w:b/>
                <w:bCs/>
                <w:lang w:val="en-CA"/>
              </w:rPr>
              <w:t>Male</w:t>
            </w:r>
          </w:p>
        </w:tc>
        <w:tc>
          <w:tcPr>
            <w:tcW w:w="3545" w:type="dxa"/>
            <w:noWrap/>
            <w:vAlign w:val="center"/>
            <w:hideMark/>
          </w:tcPr>
          <w:p w14:paraId="3166D882" w14:textId="77777777" w:rsidR="00AA387F" w:rsidRPr="00C71840" w:rsidRDefault="00AA387F" w:rsidP="00C0386E">
            <w:pPr>
              <w:pStyle w:val="ExhibitText"/>
              <w:jc w:val="center"/>
              <w:rPr>
                <w:b/>
                <w:bCs/>
                <w:lang w:val="en-CA"/>
              </w:rPr>
            </w:pPr>
            <w:r w:rsidRPr="00C71840">
              <w:rPr>
                <w:b/>
                <w:bCs/>
                <w:lang w:val="en-CA"/>
              </w:rPr>
              <w:t>Female</w:t>
            </w:r>
          </w:p>
        </w:tc>
      </w:tr>
      <w:tr w:rsidR="00AA387F" w:rsidRPr="00C71840" w14:paraId="1A072A63" w14:textId="77777777" w:rsidTr="009B6193">
        <w:trPr>
          <w:trHeight w:val="240"/>
          <w:tblHeader/>
          <w:jc w:val="center"/>
        </w:trPr>
        <w:tc>
          <w:tcPr>
            <w:tcW w:w="1950" w:type="dxa"/>
            <w:noWrap/>
            <w:vAlign w:val="center"/>
            <w:hideMark/>
          </w:tcPr>
          <w:p w14:paraId="1FE64AE5" w14:textId="77777777" w:rsidR="00AA387F" w:rsidRPr="00C71840" w:rsidRDefault="00AA387F" w:rsidP="00C0386E">
            <w:pPr>
              <w:pStyle w:val="ExhibitText"/>
              <w:jc w:val="center"/>
              <w:rPr>
                <w:lang w:val="en-CA"/>
              </w:rPr>
            </w:pPr>
            <w:r w:rsidRPr="00C71840">
              <w:rPr>
                <w:lang w:val="en-CA"/>
              </w:rPr>
              <w:t>0 year</w:t>
            </w:r>
          </w:p>
        </w:tc>
        <w:tc>
          <w:tcPr>
            <w:tcW w:w="3222" w:type="dxa"/>
            <w:noWrap/>
            <w:vAlign w:val="center"/>
            <w:hideMark/>
          </w:tcPr>
          <w:p w14:paraId="60D3FF2B" w14:textId="77777777" w:rsidR="00AA387F" w:rsidRPr="00C71840" w:rsidRDefault="00AA387F" w:rsidP="00C0386E">
            <w:pPr>
              <w:pStyle w:val="ExhibitText"/>
              <w:jc w:val="center"/>
              <w:rPr>
                <w:lang w:val="en-CA"/>
              </w:rPr>
            </w:pPr>
            <w:r w:rsidRPr="00C71840">
              <w:rPr>
                <w:lang w:val="en-CA"/>
              </w:rPr>
              <w:t>0.00477</w:t>
            </w:r>
          </w:p>
        </w:tc>
        <w:tc>
          <w:tcPr>
            <w:tcW w:w="3545" w:type="dxa"/>
            <w:noWrap/>
            <w:vAlign w:val="center"/>
            <w:hideMark/>
          </w:tcPr>
          <w:p w14:paraId="3FF0F581" w14:textId="77777777" w:rsidR="00AA387F" w:rsidRPr="00C71840" w:rsidRDefault="00AA387F" w:rsidP="00C0386E">
            <w:pPr>
              <w:pStyle w:val="ExhibitText"/>
              <w:jc w:val="center"/>
              <w:rPr>
                <w:lang w:val="en-CA"/>
              </w:rPr>
            </w:pPr>
            <w:r w:rsidRPr="00C71840">
              <w:rPr>
                <w:lang w:val="en-CA"/>
              </w:rPr>
              <w:t>0.00427</w:t>
            </w:r>
          </w:p>
        </w:tc>
      </w:tr>
      <w:tr w:rsidR="00AA387F" w:rsidRPr="00C71840" w14:paraId="1E47F174" w14:textId="77777777" w:rsidTr="009B6193">
        <w:trPr>
          <w:trHeight w:val="288"/>
          <w:tblHeader/>
          <w:jc w:val="center"/>
        </w:trPr>
        <w:tc>
          <w:tcPr>
            <w:tcW w:w="1950" w:type="dxa"/>
            <w:noWrap/>
            <w:vAlign w:val="center"/>
            <w:hideMark/>
          </w:tcPr>
          <w:p w14:paraId="1FF1C73F" w14:textId="77777777" w:rsidR="00AA387F" w:rsidRPr="00C71840" w:rsidRDefault="00AA387F" w:rsidP="00C0386E">
            <w:pPr>
              <w:pStyle w:val="ExhibitText"/>
              <w:jc w:val="center"/>
              <w:rPr>
                <w:lang w:val="en-CA"/>
              </w:rPr>
            </w:pPr>
            <w:r w:rsidRPr="00C71840">
              <w:rPr>
                <w:lang w:val="en-CA"/>
              </w:rPr>
              <w:t>1 year</w:t>
            </w:r>
          </w:p>
        </w:tc>
        <w:tc>
          <w:tcPr>
            <w:tcW w:w="3222" w:type="dxa"/>
            <w:noWrap/>
            <w:vAlign w:val="center"/>
            <w:hideMark/>
          </w:tcPr>
          <w:p w14:paraId="197586F8" w14:textId="77777777" w:rsidR="00AA387F" w:rsidRPr="00C71840" w:rsidRDefault="00AA387F" w:rsidP="00C0386E">
            <w:pPr>
              <w:pStyle w:val="ExhibitText"/>
              <w:jc w:val="center"/>
              <w:rPr>
                <w:lang w:val="en-CA"/>
              </w:rPr>
            </w:pPr>
            <w:r w:rsidRPr="00C71840">
              <w:rPr>
                <w:lang w:val="en-CA"/>
              </w:rPr>
              <w:t>0.00028</w:t>
            </w:r>
          </w:p>
        </w:tc>
        <w:tc>
          <w:tcPr>
            <w:tcW w:w="3545" w:type="dxa"/>
            <w:noWrap/>
            <w:vAlign w:val="center"/>
            <w:hideMark/>
          </w:tcPr>
          <w:p w14:paraId="4CC78BB8" w14:textId="77777777" w:rsidR="00AA387F" w:rsidRPr="00C71840" w:rsidRDefault="00AA387F" w:rsidP="00C0386E">
            <w:pPr>
              <w:pStyle w:val="ExhibitText"/>
              <w:jc w:val="center"/>
              <w:rPr>
                <w:lang w:val="en-CA"/>
              </w:rPr>
            </w:pPr>
            <w:r w:rsidRPr="00C71840">
              <w:rPr>
                <w:lang w:val="en-CA"/>
              </w:rPr>
              <w:t>0.00023</w:t>
            </w:r>
          </w:p>
        </w:tc>
      </w:tr>
      <w:tr w:rsidR="00AA387F" w:rsidRPr="00C71840" w14:paraId="7C9FE8FA" w14:textId="77777777" w:rsidTr="009B6193">
        <w:trPr>
          <w:trHeight w:val="215"/>
          <w:tblHeader/>
          <w:jc w:val="center"/>
        </w:trPr>
        <w:tc>
          <w:tcPr>
            <w:tcW w:w="1950" w:type="dxa"/>
            <w:noWrap/>
            <w:vAlign w:val="center"/>
            <w:hideMark/>
          </w:tcPr>
          <w:p w14:paraId="4906C04A" w14:textId="77777777" w:rsidR="00AA387F" w:rsidRPr="00C71840" w:rsidRDefault="00AA387F" w:rsidP="00C0386E">
            <w:pPr>
              <w:pStyle w:val="ExhibitText"/>
              <w:jc w:val="center"/>
              <w:rPr>
                <w:lang w:val="en-CA"/>
              </w:rPr>
            </w:pPr>
            <w:r w:rsidRPr="00C71840">
              <w:rPr>
                <w:lang w:val="en-CA"/>
              </w:rPr>
              <w:t>2 years</w:t>
            </w:r>
          </w:p>
        </w:tc>
        <w:tc>
          <w:tcPr>
            <w:tcW w:w="3222" w:type="dxa"/>
            <w:noWrap/>
            <w:vAlign w:val="center"/>
            <w:hideMark/>
          </w:tcPr>
          <w:p w14:paraId="230BA5DC" w14:textId="77777777" w:rsidR="00AA387F" w:rsidRPr="00C71840" w:rsidRDefault="00AA387F" w:rsidP="00C0386E">
            <w:pPr>
              <w:pStyle w:val="ExhibitText"/>
              <w:jc w:val="center"/>
              <w:rPr>
                <w:lang w:val="en-CA"/>
              </w:rPr>
            </w:pPr>
            <w:r w:rsidRPr="00C71840">
              <w:rPr>
                <w:lang w:val="en-CA"/>
              </w:rPr>
              <w:t>0.00020</w:t>
            </w:r>
          </w:p>
        </w:tc>
        <w:tc>
          <w:tcPr>
            <w:tcW w:w="3545" w:type="dxa"/>
            <w:noWrap/>
            <w:vAlign w:val="center"/>
            <w:hideMark/>
          </w:tcPr>
          <w:p w14:paraId="10E6ADA2" w14:textId="77777777" w:rsidR="00AA387F" w:rsidRPr="00C71840" w:rsidRDefault="00AA387F" w:rsidP="00C0386E">
            <w:pPr>
              <w:pStyle w:val="ExhibitText"/>
              <w:jc w:val="center"/>
              <w:rPr>
                <w:lang w:val="en-CA"/>
              </w:rPr>
            </w:pPr>
            <w:r w:rsidRPr="00C71840">
              <w:rPr>
                <w:lang w:val="en-CA"/>
              </w:rPr>
              <w:t>0.00017</w:t>
            </w:r>
          </w:p>
        </w:tc>
      </w:tr>
      <w:tr w:rsidR="00AA387F" w:rsidRPr="00C71840" w14:paraId="0B302DF6" w14:textId="77777777" w:rsidTr="009B6193">
        <w:trPr>
          <w:trHeight w:val="240"/>
          <w:tblHeader/>
          <w:jc w:val="center"/>
        </w:trPr>
        <w:tc>
          <w:tcPr>
            <w:tcW w:w="1950" w:type="dxa"/>
            <w:noWrap/>
            <w:vAlign w:val="center"/>
            <w:hideMark/>
          </w:tcPr>
          <w:p w14:paraId="1DB9C9D1" w14:textId="77777777" w:rsidR="00AA387F" w:rsidRPr="00C71840" w:rsidRDefault="00AA387F" w:rsidP="00C0386E">
            <w:pPr>
              <w:pStyle w:val="ExhibitText"/>
              <w:jc w:val="center"/>
              <w:rPr>
                <w:lang w:val="en-CA"/>
              </w:rPr>
            </w:pPr>
            <w:r w:rsidRPr="00C71840">
              <w:rPr>
                <w:lang w:val="en-CA"/>
              </w:rPr>
              <w:t>3 years</w:t>
            </w:r>
          </w:p>
        </w:tc>
        <w:tc>
          <w:tcPr>
            <w:tcW w:w="3222" w:type="dxa"/>
            <w:noWrap/>
            <w:vAlign w:val="center"/>
            <w:hideMark/>
          </w:tcPr>
          <w:p w14:paraId="7B80084D" w14:textId="77777777" w:rsidR="00AA387F" w:rsidRPr="00C71840" w:rsidRDefault="00AA387F" w:rsidP="00C0386E">
            <w:pPr>
              <w:pStyle w:val="ExhibitText"/>
              <w:jc w:val="center"/>
              <w:rPr>
                <w:lang w:val="en-CA"/>
              </w:rPr>
            </w:pPr>
            <w:r w:rsidRPr="00C71840">
              <w:rPr>
                <w:lang w:val="en-CA"/>
              </w:rPr>
              <w:t>0.00015</w:t>
            </w:r>
          </w:p>
        </w:tc>
        <w:tc>
          <w:tcPr>
            <w:tcW w:w="3545" w:type="dxa"/>
            <w:noWrap/>
            <w:vAlign w:val="center"/>
            <w:hideMark/>
          </w:tcPr>
          <w:p w14:paraId="79CB66B5" w14:textId="77777777" w:rsidR="00AA387F" w:rsidRPr="00C71840" w:rsidRDefault="00AA387F" w:rsidP="00C0386E">
            <w:pPr>
              <w:pStyle w:val="ExhibitText"/>
              <w:jc w:val="center"/>
              <w:rPr>
                <w:lang w:val="en-CA"/>
              </w:rPr>
            </w:pPr>
            <w:r w:rsidRPr="00C71840">
              <w:rPr>
                <w:lang w:val="en-CA"/>
              </w:rPr>
              <w:t>0.00013</w:t>
            </w:r>
          </w:p>
        </w:tc>
      </w:tr>
      <w:tr w:rsidR="00AA387F" w:rsidRPr="00C71840" w14:paraId="5993B6EB" w14:textId="77777777" w:rsidTr="009B6193">
        <w:trPr>
          <w:trHeight w:val="240"/>
          <w:tblHeader/>
          <w:jc w:val="center"/>
        </w:trPr>
        <w:tc>
          <w:tcPr>
            <w:tcW w:w="1950" w:type="dxa"/>
            <w:noWrap/>
            <w:vAlign w:val="center"/>
            <w:hideMark/>
          </w:tcPr>
          <w:p w14:paraId="525FE1C0" w14:textId="77777777" w:rsidR="00AA387F" w:rsidRPr="00C71840" w:rsidRDefault="00AA387F" w:rsidP="00C0386E">
            <w:pPr>
              <w:pStyle w:val="ExhibitText"/>
              <w:jc w:val="center"/>
              <w:rPr>
                <w:lang w:val="en-CA"/>
              </w:rPr>
            </w:pPr>
            <w:r w:rsidRPr="00C71840">
              <w:rPr>
                <w:lang w:val="en-CA"/>
              </w:rPr>
              <w:t>4 years</w:t>
            </w:r>
          </w:p>
        </w:tc>
        <w:tc>
          <w:tcPr>
            <w:tcW w:w="3222" w:type="dxa"/>
            <w:noWrap/>
            <w:vAlign w:val="center"/>
            <w:hideMark/>
          </w:tcPr>
          <w:p w14:paraId="4364631C" w14:textId="77777777" w:rsidR="00AA387F" w:rsidRPr="00C71840" w:rsidRDefault="00AA387F" w:rsidP="00C0386E">
            <w:pPr>
              <w:pStyle w:val="ExhibitText"/>
              <w:jc w:val="center"/>
              <w:rPr>
                <w:lang w:val="en-CA"/>
              </w:rPr>
            </w:pPr>
            <w:r w:rsidRPr="00C71840">
              <w:rPr>
                <w:lang w:val="en-CA"/>
              </w:rPr>
              <w:t>0.00012</w:t>
            </w:r>
          </w:p>
        </w:tc>
        <w:tc>
          <w:tcPr>
            <w:tcW w:w="3545" w:type="dxa"/>
            <w:noWrap/>
            <w:vAlign w:val="center"/>
            <w:hideMark/>
          </w:tcPr>
          <w:p w14:paraId="7D3AF346" w14:textId="77777777" w:rsidR="00AA387F" w:rsidRPr="00C71840" w:rsidRDefault="00AA387F" w:rsidP="00C0386E">
            <w:pPr>
              <w:pStyle w:val="ExhibitText"/>
              <w:jc w:val="center"/>
              <w:rPr>
                <w:lang w:val="en-CA"/>
              </w:rPr>
            </w:pPr>
            <w:r w:rsidRPr="00C71840">
              <w:rPr>
                <w:lang w:val="en-CA"/>
              </w:rPr>
              <w:t>0.00011</w:t>
            </w:r>
          </w:p>
        </w:tc>
      </w:tr>
      <w:tr w:rsidR="00AA387F" w:rsidRPr="00C71840" w14:paraId="0E5B106F" w14:textId="77777777" w:rsidTr="009B6193">
        <w:trPr>
          <w:trHeight w:val="240"/>
          <w:tblHeader/>
          <w:jc w:val="center"/>
        </w:trPr>
        <w:tc>
          <w:tcPr>
            <w:tcW w:w="1950" w:type="dxa"/>
            <w:noWrap/>
            <w:vAlign w:val="center"/>
            <w:hideMark/>
          </w:tcPr>
          <w:p w14:paraId="12DD4431" w14:textId="77777777" w:rsidR="00AA387F" w:rsidRPr="00C71840" w:rsidRDefault="00AA387F" w:rsidP="00C0386E">
            <w:pPr>
              <w:pStyle w:val="ExhibitText"/>
              <w:jc w:val="center"/>
              <w:rPr>
                <w:lang w:val="en-CA"/>
              </w:rPr>
            </w:pPr>
            <w:r w:rsidRPr="00C71840">
              <w:rPr>
                <w:lang w:val="en-CA"/>
              </w:rPr>
              <w:t>5 years</w:t>
            </w:r>
          </w:p>
        </w:tc>
        <w:tc>
          <w:tcPr>
            <w:tcW w:w="3222" w:type="dxa"/>
            <w:noWrap/>
            <w:vAlign w:val="center"/>
            <w:hideMark/>
          </w:tcPr>
          <w:p w14:paraId="4D8DD814" w14:textId="77777777" w:rsidR="00AA387F" w:rsidRPr="00C71840" w:rsidRDefault="00AA387F" w:rsidP="00C0386E">
            <w:pPr>
              <w:pStyle w:val="ExhibitText"/>
              <w:jc w:val="center"/>
              <w:rPr>
                <w:lang w:val="en-CA"/>
              </w:rPr>
            </w:pPr>
            <w:r w:rsidRPr="00C71840">
              <w:rPr>
                <w:lang w:val="en-CA"/>
              </w:rPr>
              <w:t>0.00010</w:t>
            </w:r>
          </w:p>
        </w:tc>
        <w:tc>
          <w:tcPr>
            <w:tcW w:w="3545" w:type="dxa"/>
            <w:noWrap/>
            <w:vAlign w:val="center"/>
            <w:hideMark/>
          </w:tcPr>
          <w:p w14:paraId="55A74DA8" w14:textId="77777777" w:rsidR="00AA387F" w:rsidRPr="00C71840" w:rsidRDefault="00AA387F" w:rsidP="00C0386E">
            <w:pPr>
              <w:pStyle w:val="ExhibitText"/>
              <w:jc w:val="center"/>
              <w:rPr>
                <w:lang w:val="en-CA"/>
              </w:rPr>
            </w:pPr>
            <w:r w:rsidRPr="00C71840">
              <w:rPr>
                <w:lang w:val="en-CA"/>
              </w:rPr>
              <w:t>0.00009</w:t>
            </w:r>
          </w:p>
        </w:tc>
      </w:tr>
      <w:tr w:rsidR="00AA387F" w:rsidRPr="00C71840" w14:paraId="01CBD94F" w14:textId="77777777" w:rsidTr="009B6193">
        <w:trPr>
          <w:trHeight w:val="240"/>
          <w:tblHeader/>
          <w:jc w:val="center"/>
        </w:trPr>
        <w:tc>
          <w:tcPr>
            <w:tcW w:w="1950" w:type="dxa"/>
            <w:noWrap/>
            <w:vAlign w:val="center"/>
          </w:tcPr>
          <w:p w14:paraId="5692231A" w14:textId="77777777" w:rsidR="00AA387F" w:rsidRPr="00C71840" w:rsidRDefault="00AA387F" w:rsidP="00C0386E">
            <w:pPr>
              <w:pStyle w:val="ExhibitText"/>
              <w:jc w:val="center"/>
              <w:rPr>
                <w:lang w:val="en-CA"/>
              </w:rPr>
            </w:pPr>
            <w:r w:rsidRPr="00C71840">
              <w:rPr>
                <w:lang w:val="en-CA"/>
              </w:rPr>
              <w:t>…</w:t>
            </w:r>
          </w:p>
        </w:tc>
        <w:tc>
          <w:tcPr>
            <w:tcW w:w="3222" w:type="dxa"/>
            <w:noWrap/>
            <w:vAlign w:val="center"/>
          </w:tcPr>
          <w:p w14:paraId="3F597FCD" w14:textId="77777777" w:rsidR="00AA387F" w:rsidRPr="00C71840" w:rsidRDefault="00AA387F" w:rsidP="00C0386E">
            <w:pPr>
              <w:pStyle w:val="ExhibitText"/>
              <w:jc w:val="center"/>
              <w:rPr>
                <w:lang w:val="en-CA"/>
              </w:rPr>
            </w:pPr>
            <w:r w:rsidRPr="00C71840">
              <w:rPr>
                <w:lang w:val="en-CA"/>
              </w:rPr>
              <w:t>…</w:t>
            </w:r>
          </w:p>
        </w:tc>
        <w:tc>
          <w:tcPr>
            <w:tcW w:w="3545" w:type="dxa"/>
            <w:noWrap/>
            <w:vAlign w:val="center"/>
          </w:tcPr>
          <w:p w14:paraId="6788AFC4" w14:textId="77777777" w:rsidR="00AA387F" w:rsidRPr="00C71840" w:rsidRDefault="00AA387F" w:rsidP="00C0386E">
            <w:pPr>
              <w:pStyle w:val="ExhibitText"/>
              <w:jc w:val="center"/>
              <w:rPr>
                <w:lang w:val="en-CA"/>
              </w:rPr>
            </w:pPr>
            <w:r w:rsidRPr="00C71840">
              <w:rPr>
                <w:lang w:val="en-CA"/>
              </w:rPr>
              <w:t>…</w:t>
            </w:r>
          </w:p>
        </w:tc>
      </w:tr>
      <w:tr w:rsidR="00AA387F" w:rsidRPr="00C71840" w14:paraId="3E555547" w14:textId="77777777" w:rsidTr="009B6193">
        <w:trPr>
          <w:trHeight w:val="240"/>
          <w:tblHeader/>
          <w:jc w:val="center"/>
        </w:trPr>
        <w:tc>
          <w:tcPr>
            <w:tcW w:w="1950" w:type="dxa"/>
            <w:noWrap/>
            <w:vAlign w:val="center"/>
          </w:tcPr>
          <w:p w14:paraId="045C5CC8" w14:textId="77777777" w:rsidR="00AA387F" w:rsidRPr="00C71840" w:rsidRDefault="00AA387F" w:rsidP="00C0386E">
            <w:pPr>
              <w:pStyle w:val="ExhibitText"/>
              <w:jc w:val="center"/>
              <w:rPr>
                <w:lang w:val="en-CA"/>
              </w:rPr>
            </w:pPr>
            <w:r w:rsidRPr="00C71840">
              <w:rPr>
                <w:lang w:val="en-CA"/>
              </w:rPr>
              <w:t>109 years</w:t>
            </w:r>
          </w:p>
        </w:tc>
        <w:tc>
          <w:tcPr>
            <w:tcW w:w="3222" w:type="dxa"/>
            <w:noWrap/>
            <w:vAlign w:val="center"/>
          </w:tcPr>
          <w:p w14:paraId="66601729" w14:textId="77777777" w:rsidR="00AA387F" w:rsidRPr="00C71840" w:rsidRDefault="00AA387F" w:rsidP="00C0386E">
            <w:pPr>
              <w:pStyle w:val="ExhibitText"/>
              <w:jc w:val="center"/>
              <w:rPr>
                <w:lang w:val="en-CA"/>
              </w:rPr>
            </w:pPr>
            <w:r w:rsidRPr="00C71840">
              <w:rPr>
                <w:lang w:val="en-CA"/>
              </w:rPr>
              <w:t>0.51765</w:t>
            </w:r>
          </w:p>
        </w:tc>
        <w:tc>
          <w:tcPr>
            <w:tcW w:w="3545" w:type="dxa"/>
            <w:noWrap/>
            <w:vAlign w:val="center"/>
          </w:tcPr>
          <w:p w14:paraId="0F655AB4" w14:textId="77777777" w:rsidR="00AA387F" w:rsidRPr="00C71840" w:rsidRDefault="00AA387F" w:rsidP="00C0386E">
            <w:pPr>
              <w:pStyle w:val="ExhibitText"/>
              <w:jc w:val="center"/>
              <w:rPr>
                <w:lang w:val="en-CA"/>
              </w:rPr>
            </w:pPr>
            <w:r w:rsidRPr="00C71840">
              <w:rPr>
                <w:lang w:val="en-CA"/>
              </w:rPr>
              <w:t>0.49074</w:t>
            </w:r>
          </w:p>
        </w:tc>
      </w:tr>
      <w:tr w:rsidR="00AA387F" w:rsidRPr="00C71840" w14:paraId="278664B6" w14:textId="77777777" w:rsidTr="009B6193">
        <w:trPr>
          <w:trHeight w:val="240"/>
          <w:tblHeader/>
          <w:jc w:val="center"/>
        </w:trPr>
        <w:tc>
          <w:tcPr>
            <w:tcW w:w="1950" w:type="dxa"/>
            <w:noWrap/>
            <w:vAlign w:val="center"/>
          </w:tcPr>
          <w:p w14:paraId="6AB54CDF" w14:textId="77777777" w:rsidR="00AA387F" w:rsidRPr="00C71840" w:rsidRDefault="00AA387F" w:rsidP="00C0386E">
            <w:pPr>
              <w:pStyle w:val="ExhibitText"/>
              <w:jc w:val="center"/>
              <w:rPr>
                <w:lang w:val="en-CA"/>
              </w:rPr>
            </w:pPr>
            <w:r w:rsidRPr="00C71840">
              <w:rPr>
                <w:lang w:val="en-CA"/>
              </w:rPr>
              <w:t>110 years and over</w:t>
            </w:r>
          </w:p>
        </w:tc>
        <w:tc>
          <w:tcPr>
            <w:tcW w:w="3222" w:type="dxa"/>
            <w:noWrap/>
            <w:vAlign w:val="center"/>
          </w:tcPr>
          <w:p w14:paraId="4852FD2C" w14:textId="77777777" w:rsidR="00AA387F" w:rsidRPr="00C71840" w:rsidRDefault="00AA387F" w:rsidP="00C0386E">
            <w:pPr>
              <w:pStyle w:val="ExhibitText"/>
              <w:jc w:val="center"/>
              <w:rPr>
                <w:lang w:val="en-CA"/>
              </w:rPr>
            </w:pPr>
            <w:r w:rsidRPr="00C71840">
              <w:rPr>
                <w:lang w:val="en-CA"/>
              </w:rPr>
              <w:t>1.00000</w:t>
            </w:r>
          </w:p>
        </w:tc>
        <w:tc>
          <w:tcPr>
            <w:tcW w:w="3545" w:type="dxa"/>
            <w:noWrap/>
            <w:vAlign w:val="center"/>
          </w:tcPr>
          <w:p w14:paraId="32C76BFC" w14:textId="77777777" w:rsidR="00AA387F" w:rsidRPr="00C71840" w:rsidRDefault="00AA387F" w:rsidP="00C0386E">
            <w:pPr>
              <w:pStyle w:val="ExhibitText"/>
              <w:jc w:val="center"/>
              <w:rPr>
                <w:lang w:val="en-CA"/>
              </w:rPr>
            </w:pPr>
            <w:r w:rsidRPr="00C71840">
              <w:rPr>
                <w:lang w:val="en-CA"/>
              </w:rPr>
              <w:t>1.00000</w:t>
            </w:r>
          </w:p>
        </w:tc>
      </w:tr>
    </w:tbl>
    <w:p w14:paraId="69D25C80" w14:textId="77777777" w:rsidR="00AA387F" w:rsidRPr="00C71840" w:rsidRDefault="00AA387F" w:rsidP="00EC533A">
      <w:pPr>
        <w:pStyle w:val="Footnote"/>
        <w:rPr>
          <w:sz w:val="18"/>
          <w:lang w:val="en-CA"/>
        </w:rPr>
      </w:pPr>
    </w:p>
    <w:p w14:paraId="46339828" w14:textId="699A184F" w:rsidR="00AA387F" w:rsidRPr="00C71840" w:rsidRDefault="00AA387F" w:rsidP="00AA387F">
      <w:pPr>
        <w:pStyle w:val="Footnote"/>
        <w:rPr>
          <w:lang w:val="en-CA"/>
        </w:rPr>
      </w:pPr>
      <w:r w:rsidRPr="00C71840">
        <w:rPr>
          <w:iCs/>
          <w:lang w:val="en-CA"/>
        </w:rPr>
        <w:t>Source</w:t>
      </w:r>
      <w:r w:rsidRPr="00C71840">
        <w:rPr>
          <w:lang w:val="en-CA"/>
        </w:rPr>
        <w:t xml:space="preserve">: </w:t>
      </w:r>
      <w:r w:rsidR="00084A60" w:rsidRPr="00C71840">
        <w:rPr>
          <w:lang w:val="en-CA"/>
        </w:rPr>
        <w:t>“</w:t>
      </w:r>
      <w:r w:rsidR="003557EA" w:rsidRPr="00C71840">
        <w:rPr>
          <w:lang w:val="en-CA"/>
        </w:rPr>
        <w:t>Table 13-10-0114-01: Life Expectancy and Other Elements of the Life Table, Canada, All Provinces except Prince Edward Island,” Statistics Canada, November 26, 2020, accessed March 1, 2021, https://www150.statcan.gc.ca/n1/pub/84-537-x/2019002/xls/2016-2018_Tbl-eng.xlsx</w:t>
      </w:r>
      <w:r w:rsidR="00084A60" w:rsidRPr="00C71840">
        <w:rPr>
          <w:lang w:val="en-CA"/>
        </w:rPr>
        <w:t>.</w:t>
      </w:r>
    </w:p>
    <w:sectPr w:rsidR="00AA387F" w:rsidRPr="00C71840"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2136B" w16cex:dateUtc="2021-06-14T21:42:00Z"/>
  <w16cex:commentExtensible w16cex:durableId="249BD1F1" w16cex:dateUtc="2021-07-16T13:37:00Z"/>
  <w16cex:commentExtensible w16cex:durableId="24721604" w16cex:dateUtc="2021-06-14T21:53:00Z"/>
  <w16cex:commentExtensible w16cex:durableId="249BD23C" w16cex:dateUtc="2021-07-16T13:39:00Z"/>
  <w16cex:commentExtensible w16cex:durableId="246E1608" w16cex:dateUtc="2021-06-11T21:04:00Z"/>
  <w16cex:commentExtensible w16cex:durableId="249BD226" w16cex:dateUtc="2021-07-16T13:3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BD27D" w14:textId="77777777" w:rsidR="003872E1" w:rsidRDefault="003872E1" w:rsidP="00D75295">
      <w:r>
        <w:separator/>
      </w:r>
    </w:p>
  </w:endnote>
  <w:endnote w:type="continuationSeparator" w:id="0">
    <w:p w14:paraId="0A21935B" w14:textId="77777777" w:rsidR="003872E1" w:rsidRDefault="003872E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BA674" w14:textId="77777777" w:rsidR="003872E1" w:rsidRDefault="003872E1" w:rsidP="00D75295">
      <w:r>
        <w:separator/>
      </w:r>
    </w:p>
  </w:footnote>
  <w:footnote w:type="continuationSeparator" w:id="0">
    <w:p w14:paraId="0A2CFC11" w14:textId="77777777" w:rsidR="003872E1" w:rsidRDefault="003872E1" w:rsidP="00D75295">
      <w:r>
        <w:continuationSeparator/>
      </w:r>
    </w:p>
  </w:footnote>
  <w:footnote w:id="1">
    <w:p w14:paraId="614E6D4C" w14:textId="1666985B" w:rsidR="005B6C24" w:rsidRPr="00613120" w:rsidRDefault="005B6C24" w:rsidP="005B6C24">
      <w:pPr>
        <w:pStyle w:val="Footnote"/>
        <w:rPr>
          <w:lang w:val="en-CA"/>
        </w:rPr>
      </w:pPr>
      <w:r>
        <w:rPr>
          <w:rStyle w:val="FootnoteReference"/>
        </w:rPr>
        <w:footnoteRef/>
      </w:r>
      <w:bookmarkStart w:id="0" w:name="_Hlk74585090"/>
      <w:r>
        <w:t xml:space="preserve"> </w:t>
      </w:r>
      <w:r>
        <w:rPr>
          <w:lang w:val="en-CA"/>
        </w:rPr>
        <w:t>All currency amounts are in CA$ unless otherwise specified.</w:t>
      </w:r>
      <w:bookmarkEnd w:id="0"/>
    </w:p>
  </w:footnote>
  <w:footnote w:id="2">
    <w:p w14:paraId="11837719" w14:textId="7B72F239" w:rsidR="00742F8F" w:rsidRPr="00B340D7" w:rsidRDefault="00742F8F" w:rsidP="005B6C24">
      <w:pPr>
        <w:pStyle w:val="Footnote"/>
      </w:pPr>
      <w:r w:rsidRPr="00B340D7">
        <w:rPr>
          <w:rStyle w:val="FootnoteReference"/>
        </w:rPr>
        <w:footnoteRef/>
      </w:r>
      <w:r w:rsidRPr="00B340D7">
        <w:t xml:space="preserve"> A policyholder </w:t>
      </w:r>
      <w:r>
        <w:t>was</w:t>
      </w:r>
      <w:r w:rsidRPr="00B340D7">
        <w:t xml:space="preserve"> not </w:t>
      </w:r>
      <w:r>
        <w:t xml:space="preserve">necessarily </w:t>
      </w:r>
      <w:r w:rsidRPr="00B340D7">
        <w:t>the</w:t>
      </w:r>
      <w:r>
        <w:t xml:space="preserve"> person</w:t>
      </w:r>
      <w:r w:rsidRPr="00B340D7">
        <w:t xml:space="preserve"> insured</w:t>
      </w:r>
      <w:r>
        <w:t xml:space="preserve"> but rather</w:t>
      </w:r>
      <w:r w:rsidRPr="00B340D7">
        <w:t xml:space="preserve"> </w:t>
      </w:r>
      <w:r>
        <w:t>simply</w:t>
      </w:r>
      <w:r w:rsidRPr="00B340D7">
        <w:t xml:space="preserve"> the individual who own</w:t>
      </w:r>
      <w:r>
        <w:t>ed</w:t>
      </w:r>
      <w:r w:rsidRPr="00B340D7">
        <w:t xml:space="preserve"> the life insurance policy</w:t>
      </w:r>
      <w:r>
        <w:t>.</w:t>
      </w:r>
    </w:p>
  </w:footnote>
  <w:footnote w:id="3">
    <w:p w14:paraId="7B7CB0DA" w14:textId="0AA5B6F2" w:rsidR="00742F8F" w:rsidRPr="00B340D7" w:rsidRDefault="00742F8F" w:rsidP="005B6C24">
      <w:pPr>
        <w:pStyle w:val="Footnote"/>
      </w:pPr>
      <w:r w:rsidRPr="00B340D7">
        <w:rPr>
          <w:rStyle w:val="FootnoteReference"/>
        </w:rPr>
        <w:footnoteRef/>
      </w:r>
      <w:r w:rsidRPr="00B340D7">
        <w:t xml:space="preserve"> “Term Life Insurance</w:t>
      </w:r>
      <w:r>
        <w:t>,</w:t>
      </w:r>
      <w:r w:rsidRPr="00B340D7">
        <w:t>” Sun Life</w:t>
      </w:r>
      <w:r>
        <w:t>,</w:t>
      </w:r>
      <w:r w:rsidRPr="00B340D7">
        <w:t xml:space="preserve"> </w:t>
      </w:r>
      <w:r>
        <w:t>a</w:t>
      </w:r>
      <w:r w:rsidRPr="00B340D7">
        <w:t>ccessed March 1, 2021</w:t>
      </w:r>
      <w:r>
        <w:t>,</w:t>
      </w:r>
      <w:r w:rsidRPr="00B340D7">
        <w:t xml:space="preserve"> https://www.sunlife.ca/en/explore-products/insurance/life-insurance/term-life-insurance/.</w:t>
      </w:r>
    </w:p>
  </w:footnote>
  <w:footnote w:id="4">
    <w:p w14:paraId="799992ED" w14:textId="4C4C36EC" w:rsidR="00742F8F" w:rsidRPr="00B340D7" w:rsidRDefault="00742F8F" w:rsidP="005B6C24">
      <w:pPr>
        <w:pStyle w:val="Footnote"/>
      </w:pPr>
      <w:r w:rsidRPr="00B340D7">
        <w:rPr>
          <w:rStyle w:val="FootnoteReference"/>
        </w:rPr>
        <w:footnoteRef/>
      </w:r>
      <w:r w:rsidRPr="00B340D7">
        <w:t xml:space="preserve"> “Permanent Life Insurance</w:t>
      </w:r>
      <w:r>
        <w:t>,</w:t>
      </w:r>
      <w:r w:rsidRPr="00B340D7">
        <w:t>” Sun Life</w:t>
      </w:r>
      <w:r>
        <w:t>,</w:t>
      </w:r>
      <w:r w:rsidRPr="00B340D7">
        <w:t xml:space="preserve"> </w:t>
      </w:r>
      <w:r>
        <w:t>a</w:t>
      </w:r>
      <w:r w:rsidRPr="00B340D7">
        <w:t>ccessed March 1, 2021</w:t>
      </w:r>
      <w:r>
        <w:t>,</w:t>
      </w:r>
      <w:r w:rsidRPr="00B340D7">
        <w:t xml:space="preserve"> https://www.sunlife.ca/en/explore-products/insurance/life-insurance/permanent-life-insurance/.</w:t>
      </w:r>
    </w:p>
  </w:footnote>
  <w:footnote w:id="5">
    <w:p w14:paraId="13A6987E" w14:textId="5E811ABB" w:rsidR="00742F8F" w:rsidRPr="00B340D7" w:rsidRDefault="00742F8F" w:rsidP="005B6C24">
      <w:pPr>
        <w:pStyle w:val="Footnote"/>
      </w:pPr>
      <w:r w:rsidRPr="00B340D7">
        <w:rPr>
          <w:rStyle w:val="FootnoteReference"/>
        </w:rPr>
        <w:footnoteRef/>
      </w:r>
      <w:r w:rsidRPr="00B340D7">
        <w:t xml:space="preserve"> “Universal Life Insurance</w:t>
      </w:r>
      <w:r>
        <w:t>,</w:t>
      </w:r>
      <w:r w:rsidRPr="00B340D7">
        <w:t>” Sun Life</w:t>
      </w:r>
      <w:r>
        <w:t>,</w:t>
      </w:r>
      <w:r w:rsidRPr="00B340D7">
        <w:t xml:space="preserve"> </w:t>
      </w:r>
      <w:r>
        <w:t>a</w:t>
      </w:r>
      <w:r w:rsidRPr="00B340D7">
        <w:t>ccessed March 1, 2021</w:t>
      </w:r>
      <w:r>
        <w:t>,</w:t>
      </w:r>
      <w:r w:rsidRPr="00B340D7">
        <w:t xml:space="preserve"> https://www.sunlife.ca/en/explore-products/insurance/life-insurance/universal-life-insurance/.</w:t>
      </w:r>
    </w:p>
  </w:footnote>
  <w:footnote w:id="6">
    <w:p w14:paraId="7934E021" w14:textId="6ADF2B2D" w:rsidR="00742F8F" w:rsidRDefault="00742F8F" w:rsidP="005B6C24">
      <w:pPr>
        <w:pStyle w:val="Footnote"/>
      </w:pPr>
      <w:r w:rsidRPr="00B340D7">
        <w:rPr>
          <w:rStyle w:val="FootnoteReference"/>
        </w:rPr>
        <w:footnoteRef/>
      </w:r>
      <w:r w:rsidRPr="00B340D7">
        <w:t xml:space="preserve"> </w:t>
      </w:r>
      <w:r>
        <w:t xml:space="preserve">Douglas C. </w:t>
      </w:r>
      <w:r w:rsidRPr="00B340D7">
        <w:t>Doll, “Chapter VI</w:t>
      </w:r>
      <w:r>
        <w:t>:</w:t>
      </w:r>
      <w:r w:rsidRPr="00B340D7">
        <w:t xml:space="preserve"> A Brief History of Universal Life</w:t>
      </w:r>
      <w:r>
        <w:t>,”</w:t>
      </w:r>
      <w:r w:rsidRPr="00B340D7">
        <w:t xml:space="preserve"> </w:t>
      </w:r>
      <w:r>
        <w:t>Society of Actuaries, a</w:t>
      </w:r>
      <w:r w:rsidRPr="00B340D7">
        <w:t>ccessed March 1, 2021</w:t>
      </w:r>
      <w:r>
        <w:t>,</w:t>
      </w:r>
      <w:r w:rsidRPr="00B340D7">
        <w:t xml:space="preserve"> https://www.soa.org/globalassets/assets/library/monographs/50th-anniversary/product-development-section/1999/january/m-as99-3-06.pdf.</w:t>
      </w:r>
    </w:p>
  </w:footnote>
  <w:footnote w:id="7">
    <w:p w14:paraId="7C874154" w14:textId="2A19D840" w:rsidR="00742F8F" w:rsidRPr="00EB3CCE" w:rsidRDefault="00742F8F" w:rsidP="005B6C24">
      <w:pPr>
        <w:pStyle w:val="Footnote"/>
      </w:pPr>
      <w:r w:rsidRPr="00EB3CCE">
        <w:rPr>
          <w:rStyle w:val="FootnoteReference"/>
        </w:rPr>
        <w:footnoteRef/>
      </w:r>
      <w:r w:rsidRPr="00EB3CCE">
        <w:t xml:space="preserve"> “Universal Life Insurance</w:t>
      </w:r>
      <w:r>
        <w:t>,</w:t>
      </w:r>
      <w:r w:rsidRPr="00EB3CCE">
        <w:t>” Canada Life</w:t>
      </w:r>
      <w:r>
        <w:t>,</w:t>
      </w:r>
      <w:r w:rsidRPr="00EB3CCE">
        <w:t xml:space="preserve"> </w:t>
      </w:r>
      <w:r>
        <w:t>a</w:t>
      </w:r>
      <w:r w:rsidRPr="00EB3CCE">
        <w:t>ccessed March 1, 2021</w:t>
      </w:r>
      <w:r>
        <w:t>,</w:t>
      </w:r>
      <w:r w:rsidRPr="00EB3CCE">
        <w:t xml:space="preserve"> https://www.canadalife.com/insurance/life-insurance/permanent-life-insurance/universal-life-insurance.html.</w:t>
      </w:r>
    </w:p>
  </w:footnote>
  <w:footnote w:id="8">
    <w:p w14:paraId="6BE230B8" w14:textId="6887F0CF" w:rsidR="00742F8F" w:rsidRPr="00FF3941" w:rsidRDefault="00742F8F" w:rsidP="005B6C24">
      <w:pPr>
        <w:pStyle w:val="Footnote"/>
      </w:pPr>
      <w:r w:rsidRPr="00EB3CCE">
        <w:rPr>
          <w:rStyle w:val="FootnoteReference"/>
        </w:rPr>
        <w:footnoteRef/>
      </w:r>
      <w:r w:rsidRPr="00EB3CCE">
        <w:t xml:space="preserve"> “</w:t>
      </w:r>
      <w:r>
        <w:t>Global Reinsurance Carriers Industry – Market Research Report,</w:t>
      </w:r>
      <w:r w:rsidRPr="00EB3CCE">
        <w:t>” IBISWorld, July 20, 2020, accessed March 1, 2021</w:t>
      </w:r>
      <w:r>
        <w:t>,</w:t>
      </w:r>
      <w:r w:rsidRPr="00EB3CCE">
        <w:t xml:space="preserve"> </w:t>
      </w:r>
      <w:r w:rsidRPr="00FF3941">
        <w:t>https://www.ibisworld.com/global/market-research-reports/global-reinsurance-carriers-industry/.</w:t>
      </w:r>
    </w:p>
  </w:footnote>
  <w:footnote w:id="9">
    <w:p w14:paraId="5F73F0C3" w14:textId="0DC3C9C7" w:rsidR="00742F8F" w:rsidRPr="004F5642" w:rsidRDefault="00742F8F" w:rsidP="005B6C24">
      <w:pPr>
        <w:pStyle w:val="Footnote"/>
      </w:pPr>
      <w:r w:rsidRPr="004F5642">
        <w:rPr>
          <w:rStyle w:val="FootnoteReference"/>
        </w:rPr>
        <w:footnoteRef/>
      </w:r>
      <w:r w:rsidRPr="004F5642">
        <w:t xml:space="preserve"> </w:t>
      </w:r>
      <w:r>
        <w:t xml:space="preserve">L.S. </w:t>
      </w:r>
      <w:r w:rsidRPr="004F5642">
        <w:t>Howard, “Here</w:t>
      </w:r>
      <w:r>
        <w:t>’</w:t>
      </w:r>
      <w:r w:rsidRPr="004F5642">
        <w:t>s How Aon</w:t>
      </w:r>
      <w:r>
        <w:t>’</w:t>
      </w:r>
      <w:r w:rsidRPr="004F5642">
        <w:t>s New Reinsurance Auction Works</w:t>
      </w:r>
      <w:r>
        <w:t>,</w:t>
      </w:r>
      <w:r w:rsidRPr="004F5642">
        <w:t xml:space="preserve">” </w:t>
      </w:r>
      <w:r w:rsidRPr="00C0386E">
        <w:rPr>
          <w:i/>
        </w:rPr>
        <w:t>Insurance Journal</w:t>
      </w:r>
      <w:r w:rsidRPr="004F5642">
        <w:t>, September 17, 2019</w:t>
      </w:r>
      <w:r>
        <w:t>,</w:t>
      </w:r>
      <w:r w:rsidRPr="004F5642">
        <w:t xml:space="preserve"> </w:t>
      </w:r>
      <w:r>
        <w:t xml:space="preserve">accessed March 1, 2021, </w:t>
      </w:r>
      <w:r w:rsidRPr="004F5642">
        <w:t>https://www.insurancejournal.com/news/international/2019/09/17/540214.htm.</w:t>
      </w:r>
    </w:p>
  </w:footnote>
  <w:footnote w:id="10">
    <w:p w14:paraId="7DE854A8" w14:textId="555409BF" w:rsidR="00742F8F" w:rsidRPr="004F5642" w:rsidRDefault="00742F8F" w:rsidP="005B6C24">
      <w:pPr>
        <w:pStyle w:val="Footnote"/>
      </w:pPr>
      <w:r w:rsidRPr="004F5642">
        <w:rPr>
          <w:rStyle w:val="FootnoteReference"/>
        </w:rPr>
        <w:footnoteRef/>
      </w:r>
      <w:r w:rsidRPr="004F5642">
        <w:t xml:space="preserve"> </w:t>
      </w:r>
      <w:r>
        <w:t xml:space="preserve">Caroline </w:t>
      </w:r>
      <w:r w:rsidRPr="004F5642">
        <w:t xml:space="preserve">Banton, “What Is </w:t>
      </w:r>
      <w:proofErr w:type="gramStart"/>
      <w:r w:rsidRPr="004F5642">
        <w:t>Reinsurance?</w:t>
      </w:r>
      <w:r>
        <w:t>,</w:t>
      </w:r>
      <w:proofErr w:type="gramEnd"/>
      <w:r w:rsidRPr="004F5642">
        <w:t>” Investopedia, November 10, 2020</w:t>
      </w:r>
      <w:r>
        <w:t>, accessed March 1, 2021,</w:t>
      </w:r>
      <w:r w:rsidRPr="004F5642">
        <w:t xml:space="preserve"> https://www.investopedia.com/ask/answers/08/reinsurance.asp.</w:t>
      </w:r>
    </w:p>
  </w:footnote>
  <w:footnote w:id="11">
    <w:p w14:paraId="5504BFD8" w14:textId="57A36FBB" w:rsidR="00742F8F" w:rsidRPr="00FF3941" w:rsidRDefault="00742F8F" w:rsidP="005B6C24">
      <w:pPr>
        <w:pStyle w:val="Footnote"/>
      </w:pPr>
      <w:r w:rsidRPr="00FF3941">
        <w:rPr>
          <w:rStyle w:val="FootnoteReference"/>
        </w:rPr>
        <w:footnoteRef/>
      </w:r>
      <w:r w:rsidRPr="00FF3941">
        <w:t xml:space="preserve"> </w:t>
      </w:r>
      <w:r>
        <w:t xml:space="preserve">Robert P. </w:t>
      </w:r>
      <w:r w:rsidRPr="00FF3941">
        <w:t>Hartwig</w:t>
      </w:r>
      <w:r w:rsidR="00BE23C4">
        <w:t xml:space="preserve"> and Claire Wilkinson</w:t>
      </w:r>
      <w:r w:rsidRPr="00FF3941">
        <w:t xml:space="preserve">, </w:t>
      </w:r>
      <w:r w:rsidRPr="00C0386E">
        <w:rPr>
          <w:i/>
        </w:rPr>
        <w:t xml:space="preserve">Hurricane Katrina: The </w:t>
      </w:r>
      <w:proofErr w:type="gramStart"/>
      <w:r w:rsidRPr="00C0386E">
        <w:rPr>
          <w:i/>
        </w:rPr>
        <w:t>Five Year</w:t>
      </w:r>
      <w:proofErr w:type="gramEnd"/>
      <w:r w:rsidRPr="00C0386E">
        <w:rPr>
          <w:i/>
        </w:rPr>
        <w:t xml:space="preserve"> Anniversary</w:t>
      </w:r>
      <w:r w:rsidRPr="00FF3941">
        <w:t xml:space="preserve">, </w:t>
      </w:r>
      <w:r>
        <w:t xml:space="preserve">Insurance Formation Institute, </w:t>
      </w:r>
      <w:r w:rsidRPr="00FF3941">
        <w:t>July 2010</w:t>
      </w:r>
      <w:r>
        <w:t xml:space="preserve">, accessed March 1, 2021, </w:t>
      </w:r>
      <w:r w:rsidRPr="00FF3941">
        <w:t>https://www.iii.org/sites/default/files/1007Katrina5Anniversary.pdf.</w:t>
      </w:r>
    </w:p>
  </w:footnote>
  <w:footnote w:id="12">
    <w:p w14:paraId="3240A367" w14:textId="73F1C8F8" w:rsidR="00742F8F" w:rsidRPr="00FF3941" w:rsidRDefault="00742F8F" w:rsidP="005B6C24">
      <w:pPr>
        <w:pStyle w:val="Footnote"/>
      </w:pPr>
      <w:r w:rsidRPr="00FF3941">
        <w:rPr>
          <w:rStyle w:val="FootnoteReference"/>
        </w:rPr>
        <w:footnoteRef/>
      </w:r>
      <w:r w:rsidRPr="00FF3941">
        <w:t xml:space="preserve"> </w:t>
      </w:r>
      <w:proofErr w:type="spellStart"/>
      <w:r w:rsidR="00292CC1">
        <w:t>Taoufik</w:t>
      </w:r>
      <w:proofErr w:type="spellEnd"/>
      <w:r w:rsidR="00292CC1">
        <w:t xml:space="preserve"> Gharib, </w:t>
      </w:r>
      <w:r w:rsidRPr="00FF3941">
        <w:t xml:space="preserve">“Black Swan </w:t>
      </w:r>
      <w:r>
        <w:t>o</w:t>
      </w:r>
      <w:r w:rsidRPr="00FF3941">
        <w:t>r Not, COVID-19 Is Disrupting Global Reinsurers</w:t>
      </w:r>
      <w:r>
        <w:t>’</w:t>
      </w:r>
      <w:r w:rsidRPr="00FF3941">
        <w:t xml:space="preserve"> Profitability</w:t>
      </w:r>
      <w:r>
        <w:t>,</w:t>
      </w:r>
      <w:r w:rsidRPr="00FF3941">
        <w:t>” S&amp;P Global Ratings</w:t>
      </w:r>
      <w:r>
        <w:t>,</w:t>
      </w:r>
      <w:r w:rsidRPr="00FF3941">
        <w:t xml:space="preserve"> </w:t>
      </w:r>
      <w:r>
        <w:t>September 8, 2020, a</w:t>
      </w:r>
      <w:r w:rsidRPr="00FF3941">
        <w:t>ccessed March 1, 2021</w:t>
      </w:r>
      <w:r>
        <w:t>,</w:t>
      </w:r>
      <w:r w:rsidRPr="00FF3941">
        <w:t xml:space="preserve"> https://www.spglobal.com/ratings/en/research/articles/200908-black-swan-or-not-covid-19-is-disrupting-global-reinsurers-profitability-11639467.</w:t>
      </w:r>
    </w:p>
  </w:footnote>
  <w:footnote w:id="13">
    <w:p w14:paraId="74C96967" w14:textId="25E6D355" w:rsidR="00742F8F" w:rsidRPr="00C0386E" w:rsidRDefault="00742F8F" w:rsidP="005B6C24">
      <w:pPr>
        <w:pStyle w:val="Footnote"/>
        <w:rPr>
          <w:spacing w:val="-2"/>
        </w:rPr>
      </w:pPr>
      <w:r w:rsidRPr="00C0386E">
        <w:rPr>
          <w:rStyle w:val="FootnoteReference"/>
          <w:spacing w:val="-2"/>
        </w:rPr>
        <w:footnoteRef/>
      </w:r>
      <w:r w:rsidRPr="00C0386E">
        <w:rPr>
          <w:spacing w:val="-2"/>
        </w:rPr>
        <w:t xml:space="preserve"> “Excess Loss (XL),” Society of Actuaries, accessed March 1, 2021, https://actuarialtoolkit.soa.org/tool/glossary/excess-loss-xl.</w:t>
      </w:r>
    </w:p>
  </w:footnote>
  <w:footnote w:id="14">
    <w:p w14:paraId="6DDD7D17" w14:textId="23462FEF" w:rsidR="00742F8F" w:rsidRPr="000D3F1F" w:rsidRDefault="00742F8F" w:rsidP="005B6C24">
      <w:pPr>
        <w:pStyle w:val="Footnote"/>
      </w:pPr>
      <w:r w:rsidRPr="00EB3CCE">
        <w:rPr>
          <w:rStyle w:val="FootnoteReference"/>
        </w:rPr>
        <w:footnoteRef/>
      </w:r>
      <w:r w:rsidRPr="00EB3CCE">
        <w:t xml:space="preserve"> </w:t>
      </w:r>
      <w:r w:rsidRPr="000D3F1F">
        <w:t>Smokers were assumed to have a 5</w:t>
      </w:r>
      <w:r>
        <w:t xml:space="preserve"> per cent</w:t>
      </w:r>
      <w:r w:rsidRPr="000D3F1F">
        <w:t xml:space="preserve"> higher mortality rate</w:t>
      </w:r>
      <w:r>
        <w:t>.</w:t>
      </w:r>
    </w:p>
  </w:footnote>
  <w:footnote w:id="15">
    <w:p w14:paraId="6514D21D" w14:textId="06928AE4" w:rsidR="00742F8F" w:rsidRDefault="00742F8F" w:rsidP="005B6C24">
      <w:pPr>
        <w:pStyle w:val="Footnote"/>
      </w:pPr>
      <w:r w:rsidRPr="000D3F1F">
        <w:rPr>
          <w:rStyle w:val="FootnoteReference"/>
        </w:rPr>
        <w:footnoteRef/>
      </w:r>
      <w:r w:rsidRPr="000D3F1F">
        <w:t xml:space="preserve"> “Table 13-10-0114-01</w:t>
      </w:r>
      <w:r>
        <w:t>:</w:t>
      </w:r>
      <w:r w:rsidRPr="000D3F1F">
        <w:t xml:space="preserve"> Life Expectancy and Other Elements of the Life Table, Canada, All Provinces except Prince Edward Island,” </w:t>
      </w:r>
      <w:r>
        <w:t xml:space="preserve">Statistics Canada, </w:t>
      </w:r>
      <w:r w:rsidRPr="000D3F1F">
        <w:t>November 26, 2020</w:t>
      </w:r>
      <w:r>
        <w:t>,</w:t>
      </w:r>
      <w:r w:rsidRPr="000D3F1F">
        <w:t xml:space="preserve"> </w:t>
      </w:r>
      <w:r>
        <w:t xml:space="preserve">accessed March 1, 2021, </w:t>
      </w:r>
      <w:r w:rsidRPr="000D3F1F">
        <w:t>https://www150.statcan.gc.ca/n1/pub/84-537-x/2019002/xls/2016-2018_Tbl-eng.xlsx</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7A809BC" w:rsidR="00742F8F" w:rsidRPr="00C92CC4" w:rsidRDefault="00742F8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F3CF2">
      <w:rPr>
        <w:rFonts w:ascii="Arial" w:hAnsi="Arial"/>
        <w:b/>
        <w:noProof/>
      </w:rPr>
      <w:t>4</w:t>
    </w:r>
    <w:r>
      <w:rPr>
        <w:rFonts w:ascii="Arial" w:hAnsi="Arial"/>
        <w:b/>
      </w:rPr>
      <w:fldChar w:fldCharType="end"/>
    </w:r>
    <w:r>
      <w:rPr>
        <w:rFonts w:ascii="Arial" w:hAnsi="Arial"/>
        <w:b/>
      </w:rPr>
      <w:tab/>
    </w:r>
    <w:r w:rsidR="009B6193">
      <w:rPr>
        <w:rFonts w:ascii="Arial" w:hAnsi="Arial"/>
        <w:b/>
      </w:rPr>
      <w:t>9B21E012</w:t>
    </w:r>
  </w:p>
  <w:p w14:paraId="2B53C0A0" w14:textId="77777777" w:rsidR="00742F8F" w:rsidRDefault="00742F8F" w:rsidP="00D13667">
    <w:pPr>
      <w:pStyle w:val="Header"/>
      <w:tabs>
        <w:tab w:val="clear" w:pos="4680"/>
      </w:tabs>
      <w:rPr>
        <w:sz w:val="18"/>
        <w:szCs w:val="18"/>
      </w:rPr>
    </w:pPr>
  </w:p>
  <w:p w14:paraId="47119730" w14:textId="77777777" w:rsidR="00742F8F" w:rsidRPr="00C92CC4" w:rsidRDefault="00742F8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1A1"/>
    <w:rsid w:val="00024ED4"/>
    <w:rsid w:val="00025DC7"/>
    <w:rsid w:val="00035F09"/>
    <w:rsid w:val="00040532"/>
    <w:rsid w:val="00044ECC"/>
    <w:rsid w:val="000531D3"/>
    <w:rsid w:val="0005646B"/>
    <w:rsid w:val="000615D1"/>
    <w:rsid w:val="0008102D"/>
    <w:rsid w:val="000844F5"/>
    <w:rsid w:val="00084A60"/>
    <w:rsid w:val="00086B26"/>
    <w:rsid w:val="00094C0E"/>
    <w:rsid w:val="000A146D"/>
    <w:rsid w:val="000D2A2F"/>
    <w:rsid w:val="000D508D"/>
    <w:rsid w:val="000D7091"/>
    <w:rsid w:val="000D7D9C"/>
    <w:rsid w:val="000F0C22"/>
    <w:rsid w:val="000F2EA5"/>
    <w:rsid w:val="000F6B09"/>
    <w:rsid w:val="000F6FDC"/>
    <w:rsid w:val="00104567"/>
    <w:rsid w:val="00104916"/>
    <w:rsid w:val="00104AA7"/>
    <w:rsid w:val="0012732D"/>
    <w:rsid w:val="00143F25"/>
    <w:rsid w:val="00150493"/>
    <w:rsid w:val="00152682"/>
    <w:rsid w:val="00152829"/>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55E83"/>
    <w:rsid w:val="00265FA8"/>
    <w:rsid w:val="00292CC1"/>
    <w:rsid w:val="002B40FF"/>
    <w:rsid w:val="002C4E29"/>
    <w:rsid w:val="002F460C"/>
    <w:rsid w:val="002F48D6"/>
    <w:rsid w:val="00317391"/>
    <w:rsid w:val="00326216"/>
    <w:rsid w:val="00336580"/>
    <w:rsid w:val="00354899"/>
    <w:rsid w:val="003557EA"/>
    <w:rsid w:val="00355FD6"/>
    <w:rsid w:val="00364A5C"/>
    <w:rsid w:val="00373FB1"/>
    <w:rsid w:val="003872E1"/>
    <w:rsid w:val="00396C76"/>
    <w:rsid w:val="003A536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53AD"/>
    <w:rsid w:val="004D6F21"/>
    <w:rsid w:val="004D73A5"/>
    <w:rsid w:val="005160F1"/>
    <w:rsid w:val="00524F2F"/>
    <w:rsid w:val="00527E5C"/>
    <w:rsid w:val="00532CF5"/>
    <w:rsid w:val="005528CB"/>
    <w:rsid w:val="00566771"/>
    <w:rsid w:val="00581E2E"/>
    <w:rsid w:val="00584F15"/>
    <w:rsid w:val="00594620"/>
    <w:rsid w:val="0059514B"/>
    <w:rsid w:val="005A1B0F"/>
    <w:rsid w:val="005B4CE6"/>
    <w:rsid w:val="005B5EFE"/>
    <w:rsid w:val="005B6C24"/>
    <w:rsid w:val="00613120"/>
    <w:rsid w:val="006163F7"/>
    <w:rsid w:val="00617618"/>
    <w:rsid w:val="00627C63"/>
    <w:rsid w:val="0063350B"/>
    <w:rsid w:val="006453CC"/>
    <w:rsid w:val="00652606"/>
    <w:rsid w:val="00673DE5"/>
    <w:rsid w:val="006946EE"/>
    <w:rsid w:val="006A29C9"/>
    <w:rsid w:val="006A58A9"/>
    <w:rsid w:val="006A606D"/>
    <w:rsid w:val="006A7DE5"/>
    <w:rsid w:val="006B76E9"/>
    <w:rsid w:val="006C0371"/>
    <w:rsid w:val="006C08B6"/>
    <w:rsid w:val="006C0B1A"/>
    <w:rsid w:val="006C6065"/>
    <w:rsid w:val="006C7F9F"/>
    <w:rsid w:val="006E2067"/>
    <w:rsid w:val="006E2F6D"/>
    <w:rsid w:val="006E58F6"/>
    <w:rsid w:val="006E77E1"/>
    <w:rsid w:val="006F131D"/>
    <w:rsid w:val="00711642"/>
    <w:rsid w:val="00742F8F"/>
    <w:rsid w:val="00745CE3"/>
    <w:rsid w:val="007507C6"/>
    <w:rsid w:val="00751E0B"/>
    <w:rsid w:val="00752BCD"/>
    <w:rsid w:val="00766DA1"/>
    <w:rsid w:val="00780D94"/>
    <w:rsid w:val="007866A6"/>
    <w:rsid w:val="007A130D"/>
    <w:rsid w:val="007D1A2D"/>
    <w:rsid w:val="007D32E6"/>
    <w:rsid w:val="007D4102"/>
    <w:rsid w:val="007E54A7"/>
    <w:rsid w:val="007F43B7"/>
    <w:rsid w:val="00821FFC"/>
    <w:rsid w:val="00822E03"/>
    <w:rsid w:val="008271CA"/>
    <w:rsid w:val="008467D5"/>
    <w:rsid w:val="008A0881"/>
    <w:rsid w:val="008A4DC4"/>
    <w:rsid w:val="008B438C"/>
    <w:rsid w:val="008B5ED0"/>
    <w:rsid w:val="008D06CA"/>
    <w:rsid w:val="008D3A46"/>
    <w:rsid w:val="008E0DFA"/>
    <w:rsid w:val="008F2385"/>
    <w:rsid w:val="009067A4"/>
    <w:rsid w:val="00930885"/>
    <w:rsid w:val="00933D68"/>
    <w:rsid w:val="009340DB"/>
    <w:rsid w:val="0094438B"/>
    <w:rsid w:val="00944B60"/>
    <w:rsid w:val="0094618C"/>
    <w:rsid w:val="0094725E"/>
    <w:rsid w:val="00947B57"/>
    <w:rsid w:val="0095684B"/>
    <w:rsid w:val="00972498"/>
    <w:rsid w:val="0097481F"/>
    <w:rsid w:val="00974CC6"/>
    <w:rsid w:val="00976AD4"/>
    <w:rsid w:val="00995547"/>
    <w:rsid w:val="009A312F"/>
    <w:rsid w:val="009A5348"/>
    <w:rsid w:val="009B0AB7"/>
    <w:rsid w:val="009B6193"/>
    <w:rsid w:val="009C76D5"/>
    <w:rsid w:val="009E1122"/>
    <w:rsid w:val="009F7AA4"/>
    <w:rsid w:val="00A10AD7"/>
    <w:rsid w:val="00A1184E"/>
    <w:rsid w:val="00A323B0"/>
    <w:rsid w:val="00A431FD"/>
    <w:rsid w:val="00A559DB"/>
    <w:rsid w:val="00A569EA"/>
    <w:rsid w:val="00A676A0"/>
    <w:rsid w:val="00AA387F"/>
    <w:rsid w:val="00AF35FC"/>
    <w:rsid w:val="00AF5556"/>
    <w:rsid w:val="00B03639"/>
    <w:rsid w:val="00B0652A"/>
    <w:rsid w:val="00B356AF"/>
    <w:rsid w:val="00B36F42"/>
    <w:rsid w:val="00B40937"/>
    <w:rsid w:val="00B423EF"/>
    <w:rsid w:val="00B453DE"/>
    <w:rsid w:val="00B62497"/>
    <w:rsid w:val="00B72597"/>
    <w:rsid w:val="00B87DC0"/>
    <w:rsid w:val="00B901F9"/>
    <w:rsid w:val="00BB09F3"/>
    <w:rsid w:val="00BC4D98"/>
    <w:rsid w:val="00BD6EFB"/>
    <w:rsid w:val="00BE23C4"/>
    <w:rsid w:val="00BE3DF5"/>
    <w:rsid w:val="00BF5EAB"/>
    <w:rsid w:val="00BF6758"/>
    <w:rsid w:val="00C02410"/>
    <w:rsid w:val="00C0386E"/>
    <w:rsid w:val="00C1584D"/>
    <w:rsid w:val="00C15BE2"/>
    <w:rsid w:val="00C3447F"/>
    <w:rsid w:val="00C44714"/>
    <w:rsid w:val="00C657D7"/>
    <w:rsid w:val="00C67102"/>
    <w:rsid w:val="00C71840"/>
    <w:rsid w:val="00C81491"/>
    <w:rsid w:val="00C81676"/>
    <w:rsid w:val="00C85C5D"/>
    <w:rsid w:val="00C92CC4"/>
    <w:rsid w:val="00CA0AFB"/>
    <w:rsid w:val="00CA2CE1"/>
    <w:rsid w:val="00CA3976"/>
    <w:rsid w:val="00CA50E3"/>
    <w:rsid w:val="00CA757B"/>
    <w:rsid w:val="00CC1787"/>
    <w:rsid w:val="00CC182C"/>
    <w:rsid w:val="00CD0824"/>
    <w:rsid w:val="00CD2908"/>
    <w:rsid w:val="00CE0551"/>
    <w:rsid w:val="00D03A82"/>
    <w:rsid w:val="00D13667"/>
    <w:rsid w:val="00D15344"/>
    <w:rsid w:val="00D23F57"/>
    <w:rsid w:val="00D31BEC"/>
    <w:rsid w:val="00D63150"/>
    <w:rsid w:val="00D636BA"/>
    <w:rsid w:val="00D64A32"/>
    <w:rsid w:val="00D64EFC"/>
    <w:rsid w:val="00D74A15"/>
    <w:rsid w:val="00D75295"/>
    <w:rsid w:val="00D76CE9"/>
    <w:rsid w:val="00D97F12"/>
    <w:rsid w:val="00DA6095"/>
    <w:rsid w:val="00DB42E7"/>
    <w:rsid w:val="00DC09D8"/>
    <w:rsid w:val="00DE01A6"/>
    <w:rsid w:val="00DE7A98"/>
    <w:rsid w:val="00DF32C2"/>
    <w:rsid w:val="00DF3CF2"/>
    <w:rsid w:val="00E275A9"/>
    <w:rsid w:val="00E471A7"/>
    <w:rsid w:val="00E635CF"/>
    <w:rsid w:val="00EA7B83"/>
    <w:rsid w:val="00EB1E3B"/>
    <w:rsid w:val="00EC533A"/>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34984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E8266-3674-4B06-A18B-936C15F50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9B21E012</dc:title>
  <dc:subject/>
  <dc:creator>smuir</dc:creator>
  <cp:keywords/>
  <cp:lastModifiedBy>Product Coordinator</cp:lastModifiedBy>
  <cp:revision>2</cp:revision>
  <cp:lastPrinted>2015-03-04T20:34:00Z</cp:lastPrinted>
  <dcterms:created xsi:type="dcterms:W3CDTF">2021-08-16T14:03:00Z</dcterms:created>
  <dcterms:modified xsi:type="dcterms:W3CDTF">2021-08-16T14:03:00Z</dcterms:modified>
</cp:coreProperties>
</file>