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40810" w14:textId="77777777" w:rsidR="003B3D73" w:rsidRDefault="003B3D73" w:rsidP="003B3D73">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17B8BBE6" wp14:editId="250D22A6">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FA63E82" w14:textId="150DA568" w:rsidR="003B3D73" w:rsidRDefault="003B3D73" w:rsidP="003B3D73">
      <w:pPr>
        <w:pStyle w:val="ProductNumber"/>
      </w:pPr>
      <w:r>
        <w:t>9B21M001</w:t>
      </w:r>
    </w:p>
    <w:p w14:paraId="24A08407" w14:textId="77777777" w:rsidR="00411ACF" w:rsidRPr="006D3921" w:rsidRDefault="00411ACF" w:rsidP="00411ACF">
      <w:pPr>
        <w:jc w:val="right"/>
        <w:rPr>
          <w:rFonts w:ascii="Arial" w:hAnsi="Arial"/>
          <w:b/>
          <w:lang w:val="en-GB"/>
        </w:rPr>
      </w:pPr>
    </w:p>
    <w:p w14:paraId="3CF5C241" w14:textId="77777777" w:rsidR="00411ACF" w:rsidRPr="006D3921" w:rsidRDefault="00411ACF" w:rsidP="00411ACF">
      <w:pPr>
        <w:jc w:val="right"/>
        <w:rPr>
          <w:rFonts w:ascii="Arial" w:hAnsi="Arial"/>
          <w:b/>
          <w:lang w:val="en-GB"/>
        </w:rPr>
      </w:pPr>
    </w:p>
    <w:p w14:paraId="3B2A1CEB" w14:textId="4F560598" w:rsidR="00005E17" w:rsidRPr="006D3921" w:rsidRDefault="00411ACF" w:rsidP="00411ACF">
      <w:pPr>
        <w:pStyle w:val="CaseTitle"/>
        <w:spacing w:after="0" w:line="240" w:lineRule="auto"/>
        <w:rPr>
          <w:sz w:val="20"/>
          <w:szCs w:val="20"/>
          <w:lang w:val="en-GB"/>
        </w:rPr>
      </w:pPr>
      <w:r w:rsidRPr="006D3921">
        <w:rPr>
          <w:lang w:val="en-GB"/>
        </w:rPr>
        <w:t xml:space="preserve">UNILEVER’S FAIR </w:t>
      </w:r>
      <w:r w:rsidR="00602160" w:rsidRPr="006D3921">
        <w:rPr>
          <w:lang w:val="en-GB"/>
        </w:rPr>
        <w:t xml:space="preserve">&amp; </w:t>
      </w:r>
      <w:r w:rsidRPr="006D3921">
        <w:rPr>
          <w:lang w:val="en-GB"/>
        </w:rPr>
        <w:t>LOVELY IN INDIA: FAIRNESS MATTERS</w:t>
      </w:r>
      <w:r w:rsidR="00005E17" w:rsidRPr="006D3921">
        <w:rPr>
          <w:rStyle w:val="EndnoteReference"/>
          <w:lang w:val="en-GB"/>
        </w:rPr>
        <w:endnoteReference w:id="1"/>
      </w:r>
    </w:p>
    <w:p w14:paraId="59A42D06" w14:textId="77777777" w:rsidR="00005E17" w:rsidRPr="006D3921" w:rsidRDefault="00005E17" w:rsidP="00411ACF">
      <w:pPr>
        <w:pStyle w:val="CaseTitle"/>
        <w:spacing w:after="0" w:line="240" w:lineRule="auto"/>
        <w:rPr>
          <w:sz w:val="20"/>
          <w:szCs w:val="20"/>
          <w:lang w:val="en-GB"/>
        </w:rPr>
      </w:pPr>
    </w:p>
    <w:p w14:paraId="0A602E3A" w14:textId="77777777" w:rsidR="00005E17" w:rsidRPr="006D3921" w:rsidRDefault="00005E17" w:rsidP="00411ACF">
      <w:pPr>
        <w:pStyle w:val="CaseTitle"/>
        <w:spacing w:after="0" w:line="240" w:lineRule="auto"/>
        <w:rPr>
          <w:sz w:val="20"/>
          <w:szCs w:val="20"/>
          <w:lang w:val="en-GB"/>
        </w:rPr>
      </w:pPr>
    </w:p>
    <w:p w14:paraId="26DA21E4" w14:textId="77777777" w:rsidR="00005E17" w:rsidRPr="006D3921" w:rsidRDefault="00005E17" w:rsidP="00411ACF">
      <w:pPr>
        <w:pStyle w:val="StyleCopyrightStatementAfter0ptBottomSinglesolidline1"/>
        <w:rPr>
          <w:lang w:val="en-GB"/>
        </w:rPr>
      </w:pPr>
      <w:r w:rsidRPr="006D3921">
        <w:rPr>
          <w:lang w:val="en-GB"/>
        </w:rPr>
        <w:tab/>
        <w:t>Tulsi Jayakumar and Jagdish Rattanani</w:t>
      </w:r>
      <w:r w:rsidRPr="006D3921">
        <w:rPr>
          <w:rFonts w:cs="Arial"/>
          <w:szCs w:val="16"/>
          <w:lang w:val="en-GB"/>
        </w:rPr>
        <w:t xml:space="preserve"> </w:t>
      </w:r>
      <w:r w:rsidRPr="006D3921">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952F1DC" w14:textId="77777777" w:rsidR="00005E17" w:rsidRPr="006D3921" w:rsidRDefault="00005E17" w:rsidP="00411ACF">
      <w:pPr>
        <w:pStyle w:val="StyleCopyrightStatementAfter0ptBottomSinglesolidline1"/>
        <w:rPr>
          <w:lang w:val="en-GB"/>
        </w:rPr>
      </w:pPr>
    </w:p>
    <w:p w14:paraId="7428BC5E" w14:textId="77777777" w:rsidR="003B3D73" w:rsidRPr="00A323B0" w:rsidRDefault="003B3D73" w:rsidP="003B3D73">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59CF5C0E" w14:textId="77777777" w:rsidR="003B3D73" w:rsidRPr="00A323B0" w:rsidRDefault="003B3D73" w:rsidP="003B3D73">
      <w:pPr>
        <w:pStyle w:val="StyleStyleCopyrightStatementAfter0ptBottomSinglesolid"/>
        <w:rPr>
          <w:rFonts w:cs="Arial"/>
          <w:szCs w:val="16"/>
        </w:rPr>
      </w:pPr>
    </w:p>
    <w:p w14:paraId="4605C15B" w14:textId="3D694D9B" w:rsidR="00005E17" w:rsidRPr="006D3921" w:rsidRDefault="003B3D73" w:rsidP="003B3D73">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2021-01-14</w:t>
      </w:r>
    </w:p>
    <w:p w14:paraId="65D78EA8" w14:textId="77777777" w:rsidR="00005E17" w:rsidRPr="006D3921" w:rsidRDefault="00005E17" w:rsidP="00411ACF">
      <w:pPr>
        <w:pStyle w:val="StyleCopyrightStatementAfter0ptBottomSinglesolidline1"/>
        <w:rPr>
          <w:rFonts w:ascii="Times New Roman" w:hAnsi="Times New Roman"/>
          <w:sz w:val="20"/>
          <w:lang w:val="en-GB"/>
        </w:rPr>
      </w:pPr>
    </w:p>
    <w:p w14:paraId="1988B1A1" w14:textId="77777777" w:rsidR="00005E17" w:rsidRPr="006D3921" w:rsidRDefault="00005E17" w:rsidP="00411ACF">
      <w:pPr>
        <w:pStyle w:val="BodyTextMain"/>
        <w:rPr>
          <w:lang w:val="en-GB"/>
        </w:rPr>
      </w:pPr>
    </w:p>
    <w:p w14:paraId="2C1324DD" w14:textId="7CD6016A" w:rsidR="00005E17" w:rsidRPr="006D3921" w:rsidRDefault="00005E17" w:rsidP="00411ACF">
      <w:pPr>
        <w:jc w:val="both"/>
        <w:rPr>
          <w:sz w:val="22"/>
          <w:szCs w:val="22"/>
          <w:lang w:val="en-GB"/>
        </w:rPr>
      </w:pPr>
      <w:r w:rsidRPr="006D3921">
        <w:rPr>
          <w:sz w:val="22"/>
          <w:szCs w:val="22"/>
          <w:lang w:val="en-GB"/>
        </w:rPr>
        <w:t>On July 2, 2020, Unilever plc’s Indian subsidiary, Hindustan Unilever Limited (HUL), renamed one of its largest-selling brands in India from Fair &amp; Lovely (F&amp;L) to Glow &amp; Lovely.</w:t>
      </w:r>
      <w:r w:rsidRPr="006D3921">
        <w:rPr>
          <w:rStyle w:val="EndnoteReference"/>
          <w:sz w:val="22"/>
          <w:szCs w:val="22"/>
          <w:lang w:val="en-GB"/>
        </w:rPr>
        <w:endnoteReference w:id="2"/>
      </w:r>
      <w:r w:rsidRPr="006D3921">
        <w:rPr>
          <w:sz w:val="22"/>
          <w:szCs w:val="22"/>
          <w:lang w:val="en-GB"/>
        </w:rPr>
        <w:t xml:space="preserve"> Unilever was a global fast-moving consumer goods (FMCG) company, with a portfolio of 400 brands sold across more than 190 countries.</w:t>
      </w:r>
      <w:r w:rsidRPr="006D3921">
        <w:rPr>
          <w:rStyle w:val="EndnoteReference"/>
          <w:sz w:val="22"/>
          <w:szCs w:val="22"/>
          <w:lang w:val="en-GB" w:eastAsia="en-GB"/>
        </w:rPr>
        <w:endnoteReference w:id="3"/>
      </w:r>
      <w:r w:rsidRPr="006D3921">
        <w:rPr>
          <w:sz w:val="22"/>
          <w:szCs w:val="22"/>
          <w:lang w:val="en-GB"/>
        </w:rPr>
        <w:t xml:space="preserve"> The skin cream F&amp;L, which promised its users fairer skin, was sold in countries where a majority of the people were dark</w:t>
      </w:r>
      <w:r>
        <w:rPr>
          <w:sz w:val="22"/>
          <w:szCs w:val="22"/>
          <w:lang w:val="en-GB"/>
        </w:rPr>
        <w:t>-</w:t>
      </w:r>
      <w:r w:rsidRPr="006D3921">
        <w:rPr>
          <w:sz w:val="22"/>
          <w:szCs w:val="22"/>
          <w:lang w:val="en-GB"/>
        </w:rPr>
        <w:t xml:space="preserve"> or brown</w:t>
      </w:r>
      <w:r>
        <w:rPr>
          <w:sz w:val="22"/>
          <w:szCs w:val="22"/>
          <w:lang w:val="en-GB"/>
        </w:rPr>
        <w:t>-</w:t>
      </w:r>
      <w:r w:rsidRPr="006D3921">
        <w:rPr>
          <w:sz w:val="22"/>
          <w:szCs w:val="22"/>
          <w:lang w:val="en-GB"/>
        </w:rPr>
        <w:t>skinned.</w:t>
      </w:r>
      <w:r w:rsidRPr="006D3921">
        <w:rPr>
          <w:rStyle w:val="EndnoteReference"/>
          <w:sz w:val="22"/>
          <w:szCs w:val="22"/>
          <w:lang w:val="en-GB"/>
        </w:rPr>
        <w:endnoteReference w:id="4"/>
      </w:r>
      <w:r w:rsidRPr="006D3921">
        <w:rPr>
          <w:sz w:val="22"/>
          <w:szCs w:val="22"/>
          <w:lang w:val="en-GB"/>
        </w:rPr>
        <w:t xml:space="preserve"> India’s skin</w:t>
      </w:r>
      <w:r>
        <w:rPr>
          <w:sz w:val="22"/>
          <w:szCs w:val="22"/>
          <w:lang w:val="en-GB"/>
        </w:rPr>
        <w:t>-</w:t>
      </w:r>
      <w:r w:rsidRPr="006D3921">
        <w:rPr>
          <w:sz w:val="22"/>
          <w:szCs w:val="22"/>
          <w:lang w:val="en-GB"/>
        </w:rPr>
        <w:t>lightening cream market was estimated at US$450–</w:t>
      </w:r>
      <w:r>
        <w:rPr>
          <w:sz w:val="22"/>
          <w:szCs w:val="22"/>
          <w:lang w:val="en-GB"/>
        </w:rPr>
        <w:t>US$</w:t>
      </w:r>
      <w:r w:rsidRPr="006D3921">
        <w:rPr>
          <w:sz w:val="22"/>
          <w:szCs w:val="22"/>
          <w:lang w:val="en-GB"/>
        </w:rPr>
        <w:t>535 million.</w:t>
      </w:r>
      <w:r w:rsidRPr="006D3921">
        <w:rPr>
          <w:rStyle w:val="EndnoteReference"/>
          <w:sz w:val="22"/>
          <w:szCs w:val="22"/>
          <w:lang w:val="en-GB"/>
        </w:rPr>
        <w:endnoteReference w:id="5"/>
      </w:r>
      <w:r w:rsidRPr="006D3921">
        <w:rPr>
          <w:sz w:val="22"/>
          <w:szCs w:val="22"/>
          <w:lang w:val="en-GB"/>
        </w:rPr>
        <w:t xml:space="preserve"> It was the biggest market for F&amp;L, where the brand was a leader with a 70 per cent share.</w:t>
      </w:r>
      <w:r w:rsidRPr="006D3921">
        <w:rPr>
          <w:rStyle w:val="EndnoteReference"/>
          <w:sz w:val="22"/>
          <w:szCs w:val="22"/>
          <w:lang w:val="en-GB"/>
        </w:rPr>
        <w:endnoteReference w:id="6"/>
      </w:r>
      <w:r w:rsidRPr="006D3921">
        <w:rPr>
          <w:sz w:val="22"/>
          <w:szCs w:val="22"/>
          <w:lang w:val="en-GB"/>
        </w:rPr>
        <w:t xml:space="preserve"> The company, however, faced criticism for its positioning and advertising of F&amp;L in India, which was seen as reinforcing the pre-existing bias for fair skin in India.</w:t>
      </w:r>
      <w:r w:rsidRPr="006D3921">
        <w:rPr>
          <w:rStyle w:val="EndnoteReference"/>
          <w:sz w:val="22"/>
          <w:szCs w:val="22"/>
          <w:lang w:val="en-GB"/>
        </w:rPr>
        <w:endnoteReference w:id="7"/>
      </w:r>
      <w:r w:rsidRPr="006D3921">
        <w:rPr>
          <w:sz w:val="22"/>
          <w:szCs w:val="22"/>
          <w:lang w:val="en-GB"/>
        </w:rPr>
        <w:t xml:space="preserve"> </w:t>
      </w:r>
    </w:p>
    <w:p w14:paraId="7579EEAD" w14:textId="77777777" w:rsidR="00005E17" w:rsidRPr="006D3921" w:rsidRDefault="00005E17" w:rsidP="00411ACF">
      <w:pPr>
        <w:jc w:val="both"/>
        <w:rPr>
          <w:sz w:val="22"/>
          <w:szCs w:val="22"/>
          <w:lang w:val="en-GB"/>
        </w:rPr>
      </w:pPr>
    </w:p>
    <w:p w14:paraId="61C64C1F" w14:textId="39014A33" w:rsidR="00005E17" w:rsidRPr="006D3921" w:rsidRDefault="00005E17" w:rsidP="00411ACF">
      <w:pPr>
        <w:jc w:val="both"/>
        <w:rPr>
          <w:color w:val="000000" w:themeColor="text1"/>
          <w:sz w:val="22"/>
          <w:szCs w:val="22"/>
          <w:lang w:val="en-GB"/>
        </w:rPr>
      </w:pPr>
      <w:r w:rsidRPr="006D3921">
        <w:rPr>
          <w:sz w:val="22"/>
          <w:szCs w:val="22"/>
          <w:lang w:val="en-GB"/>
        </w:rPr>
        <w:t>Unilever plc had aggressively taken on the role of a leader in driving sustainable growth since 2010, with its Unilever Sustainable Living Plan (USLP), which it called “our blueprint for sustainable growth.”</w:t>
      </w:r>
      <w:r w:rsidRPr="006D3921">
        <w:rPr>
          <w:sz w:val="22"/>
          <w:szCs w:val="22"/>
          <w:vertAlign w:val="superscript"/>
          <w:lang w:val="en-GB"/>
        </w:rPr>
        <w:endnoteReference w:id="8"/>
      </w:r>
      <w:r w:rsidRPr="006D3921">
        <w:rPr>
          <w:sz w:val="22"/>
          <w:szCs w:val="22"/>
          <w:lang w:val="en-GB"/>
        </w:rPr>
        <w:t xml:space="preserve"> In 2014, it added to its sustainability agenda the commitment to fostering gender equality and women’s empowerment under its broader goal of Enhancing Livelihoods and a specific approach it called “</w:t>
      </w:r>
      <w:proofErr w:type="spellStart"/>
      <w:r w:rsidRPr="006D3921">
        <w:rPr>
          <w:sz w:val="22"/>
          <w:szCs w:val="22"/>
          <w:lang w:val="en-GB"/>
        </w:rPr>
        <w:t>unstereotyping</w:t>
      </w:r>
      <w:proofErr w:type="spellEnd"/>
      <w:r w:rsidRPr="006D3921">
        <w:rPr>
          <w:sz w:val="22"/>
          <w:szCs w:val="22"/>
          <w:lang w:val="en-GB"/>
        </w:rPr>
        <w:t xml:space="preserve">.” The approach involved ridding its value chain of stereotypes and social norms, which caused gender gaps “with life-shaping consequences for men and women,” to make the world </w:t>
      </w:r>
      <w:r w:rsidRPr="006D3921">
        <w:rPr>
          <w:sz w:val="22"/>
          <w:szCs w:val="22"/>
          <w:lang w:val="en-GB" w:eastAsia="en-GB"/>
        </w:rPr>
        <w:t xml:space="preserve">a </w:t>
      </w:r>
      <w:r w:rsidRPr="006D3921">
        <w:rPr>
          <w:iCs/>
          <w:sz w:val="22"/>
          <w:szCs w:val="22"/>
          <w:lang w:val="en-GB" w:eastAsia="en-GB"/>
        </w:rPr>
        <w:t>fairer, happier</w:t>
      </w:r>
      <w:r>
        <w:rPr>
          <w:iCs/>
          <w:sz w:val="22"/>
          <w:szCs w:val="22"/>
          <w:lang w:val="en-GB" w:eastAsia="en-GB"/>
        </w:rPr>
        <w:t>,</w:t>
      </w:r>
      <w:r w:rsidRPr="006D3921">
        <w:rPr>
          <w:iCs/>
          <w:sz w:val="22"/>
          <w:szCs w:val="22"/>
          <w:lang w:val="en-GB" w:eastAsia="en-GB"/>
        </w:rPr>
        <w:t xml:space="preserve"> and more prosperous place</w:t>
      </w:r>
      <w:r w:rsidRPr="006D3921">
        <w:rPr>
          <w:sz w:val="22"/>
          <w:szCs w:val="22"/>
          <w:lang w:val="en-GB" w:eastAsia="en-GB"/>
        </w:rPr>
        <w:t xml:space="preserve"> to live for everybody.</w:t>
      </w:r>
      <w:r w:rsidRPr="006D3921">
        <w:rPr>
          <w:rStyle w:val="EndnoteReference"/>
          <w:sz w:val="22"/>
          <w:szCs w:val="22"/>
          <w:lang w:val="en-GB" w:eastAsia="en-GB"/>
        </w:rPr>
        <w:endnoteReference w:id="9"/>
      </w:r>
      <w:r w:rsidRPr="006D3921">
        <w:rPr>
          <w:sz w:val="22"/>
          <w:szCs w:val="22"/>
          <w:lang w:val="en-GB"/>
        </w:rPr>
        <w:t xml:space="preserve"> In 2020, the company renamed F&amp;L and termed it </w:t>
      </w:r>
      <w:r w:rsidRPr="006D3921">
        <w:rPr>
          <w:color w:val="000000" w:themeColor="text1"/>
          <w:sz w:val="22"/>
          <w:szCs w:val="22"/>
          <w:lang w:val="en-GB"/>
        </w:rPr>
        <w:t>as the</w:t>
      </w:r>
      <w:r w:rsidRPr="006D3921">
        <w:rPr>
          <w:color w:val="000000" w:themeColor="text1"/>
          <w:sz w:val="22"/>
          <w:szCs w:val="22"/>
          <w:shd w:val="clear" w:color="auto" w:fill="FFFFFF"/>
          <w:lang w:val="en-GB"/>
        </w:rPr>
        <w:t xml:space="preserve"> “next step in the evolution of its skin care portfolio to a more inclusive vision of Positive beauty,”</w:t>
      </w:r>
      <w:r w:rsidRPr="006D3921">
        <w:rPr>
          <w:rStyle w:val="EndnoteReference"/>
          <w:color w:val="000000" w:themeColor="text1"/>
          <w:sz w:val="22"/>
          <w:szCs w:val="22"/>
          <w:shd w:val="clear" w:color="auto" w:fill="FFFFFF"/>
          <w:lang w:val="en-GB"/>
        </w:rPr>
        <w:endnoteReference w:id="10"/>
      </w:r>
      <w:r w:rsidRPr="006D3921">
        <w:rPr>
          <w:color w:val="000000" w:themeColor="text1"/>
          <w:sz w:val="22"/>
          <w:szCs w:val="22"/>
          <w:shd w:val="clear" w:color="auto" w:fill="FFFFFF"/>
          <w:lang w:val="en-GB"/>
        </w:rPr>
        <w:t xml:space="preserve"> even as analysts viewed the move with </w:t>
      </w:r>
      <w:proofErr w:type="spellStart"/>
      <w:r w:rsidRPr="006D3921">
        <w:rPr>
          <w:color w:val="000000" w:themeColor="text1"/>
          <w:sz w:val="22"/>
          <w:szCs w:val="22"/>
          <w:shd w:val="clear" w:color="auto" w:fill="FFFFFF"/>
          <w:lang w:val="en-GB"/>
        </w:rPr>
        <w:t>skepticism</w:t>
      </w:r>
      <w:proofErr w:type="spellEnd"/>
      <w:r>
        <w:rPr>
          <w:color w:val="000000" w:themeColor="text1"/>
          <w:sz w:val="22"/>
          <w:szCs w:val="22"/>
          <w:shd w:val="clear" w:color="auto" w:fill="FFFFFF"/>
          <w:lang w:val="en-GB"/>
        </w:rPr>
        <w:t>,</w:t>
      </w:r>
      <w:r w:rsidRPr="006D3921">
        <w:rPr>
          <w:color w:val="000000" w:themeColor="text1"/>
          <w:sz w:val="22"/>
          <w:szCs w:val="22"/>
          <w:shd w:val="clear" w:color="auto" w:fill="FFFFFF"/>
          <w:lang w:val="en-GB"/>
        </w:rPr>
        <w:t xml:space="preserve"> fearing resistance from consumers.</w:t>
      </w:r>
      <w:r w:rsidRPr="006D3921">
        <w:rPr>
          <w:rStyle w:val="EndnoteReference"/>
          <w:color w:val="000000" w:themeColor="text1"/>
          <w:sz w:val="22"/>
          <w:szCs w:val="22"/>
          <w:lang w:val="en-GB"/>
        </w:rPr>
        <w:endnoteReference w:id="11"/>
      </w:r>
      <w:r w:rsidRPr="006D3921">
        <w:rPr>
          <w:color w:val="000000" w:themeColor="text1"/>
          <w:sz w:val="22"/>
          <w:szCs w:val="22"/>
          <w:lang w:val="en-GB"/>
        </w:rPr>
        <w:t xml:space="preserve"> </w:t>
      </w:r>
    </w:p>
    <w:p w14:paraId="0F63230C" w14:textId="77777777" w:rsidR="00005E17" w:rsidRPr="006D3921" w:rsidRDefault="00005E17" w:rsidP="00411ACF">
      <w:pPr>
        <w:jc w:val="both"/>
        <w:rPr>
          <w:color w:val="000000" w:themeColor="text1"/>
          <w:sz w:val="22"/>
          <w:szCs w:val="22"/>
          <w:lang w:val="en-GB"/>
        </w:rPr>
      </w:pPr>
    </w:p>
    <w:p w14:paraId="69443868" w14:textId="018868C3" w:rsidR="00005E17" w:rsidRPr="006D3921" w:rsidRDefault="00005E17" w:rsidP="00411ACF">
      <w:pPr>
        <w:jc w:val="both"/>
        <w:rPr>
          <w:sz w:val="22"/>
          <w:szCs w:val="22"/>
          <w:lang w:val="en-GB"/>
        </w:rPr>
      </w:pPr>
      <w:r w:rsidRPr="006D3921">
        <w:rPr>
          <w:color w:val="000000" w:themeColor="text1"/>
          <w:sz w:val="22"/>
          <w:szCs w:val="22"/>
          <w:lang w:val="en-GB"/>
        </w:rPr>
        <w:t xml:space="preserve">Was the decision to rename the popular fair skin brand the right strategic move, in line with </w:t>
      </w:r>
      <w:r w:rsidRPr="006D3921">
        <w:rPr>
          <w:sz w:val="22"/>
          <w:szCs w:val="22"/>
          <w:lang w:val="en-GB"/>
        </w:rPr>
        <w:t>its publicly stated move toward “</w:t>
      </w:r>
      <w:proofErr w:type="spellStart"/>
      <w:r w:rsidRPr="006D3921">
        <w:rPr>
          <w:sz w:val="22"/>
          <w:szCs w:val="22"/>
          <w:lang w:val="en-GB"/>
        </w:rPr>
        <w:t>unstereotyping</w:t>
      </w:r>
      <w:proofErr w:type="spellEnd"/>
      <w:r>
        <w:rPr>
          <w:sz w:val="22"/>
          <w:szCs w:val="22"/>
          <w:lang w:val="en-GB"/>
        </w:rPr>
        <w:t>”</w:t>
      </w:r>
      <w:r w:rsidRPr="006D3921">
        <w:rPr>
          <w:sz w:val="22"/>
          <w:szCs w:val="22"/>
          <w:lang w:val="en-GB"/>
        </w:rPr>
        <w:t xml:space="preserve">? What more, if anything, should be done with the brand? </w:t>
      </w:r>
    </w:p>
    <w:p w14:paraId="7934DEB2" w14:textId="77777777" w:rsidR="00005E17" w:rsidRPr="006D3921" w:rsidRDefault="00005E17" w:rsidP="00411ACF">
      <w:pPr>
        <w:jc w:val="both"/>
        <w:rPr>
          <w:rFonts w:ascii="Arial" w:hAnsi="Arial" w:cs="Arial"/>
          <w:b/>
          <w:bCs/>
          <w:lang w:val="en-GB" w:eastAsia="en-GB"/>
        </w:rPr>
      </w:pPr>
    </w:p>
    <w:p w14:paraId="7C504899" w14:textId="77777777" w:rsidR="00005E17" w:rsidRPr="006D3921" w:rsidRDefault="00005E17" w:rsidP="00411ACF">
      <w:pPr>
        <w:jc w:val="both"/>
        <w:rPr>
          <w:rFonts w:ascii="Arial" w:hAnsi="Arial" w:cs="Arial"/>
          <w:b/>
          <w:bCs/>
          <w:lang w:val="en-GB" w:eastAsia="en-GB"/>
        </w:rPr>
      </w:pPr>
    </w:p>
    <w:p w14:paraId="2EFE1230" w14:textId="60B858AE" w:rsidR="00005E17" w:rsidRPr="006D3921" w:rsidRDefault="00005E17" w:rsidP="00411ACF">
      <w:pPr>
        <w:pStyle w:val="Casehead1"/>
        <w:rPr>
          <w:lang w:val="en-GB" w:eastAsia="en-GB"/>
        </w:rPr>
      </w:pPr>
      <w:r w:rsidRPr="006D3921">
        <w:rPr>
          <w:lang w:val="en-GB" w:eastAsia="en-GB"/>
        </w:rPr>
        <w:t>UNILEVER plc</w:t>
      </w:r>
    </w:p>
    <w:p w14:paraId="640C97F9" w14:textId="77777777" w:rsidR="00005E17" w:rsidRPr="006D3921" w:rsidRDefault="00005E17" w:rsidP="00411ACF">
      <w:pPr>
        <w:jc w:val="both"/>
        <w:rPr>
          <w:rFonts w:ascii="Arial" w:hAnsi="Arial" w:cs="Arial"/>
          <w:b/>
          <w:bCs/>
          <w:lang w:val="en-GB" w:eastAsia="en-GB"/>
        </w:rPr>
      </w:pPr>
    </w:p>
    <w:p w14:paraId="522F11CF" w14:textId="6927B955" w:rsidR="00005E17" w:rsidRPr="006D3921" w:rsidRDefault="00005E17" w:rsidP="00411ACF">
      <w:pPr>
        <w:jc w:val="both"/>
        <w:rPr>
          <w:sz w:val="22"/>
          <w:szCs w:val="22"/>
          <w:lang w:val="en-GB" w:eastAsia="en-GB"/>
        </w:rPr>
      </w:pPr>
      <w:r w:rsidRPr="006D3921">
        <w:rPr>
          <w:sz w:val="22"/>
          <w:szCs w:val="22"/>
          <w:lang w:val="en-GB" w:eastAsia="en-GB"/>
        </w:rPr>
        <w:t>Unilever plc, a company whose history dated back to 1871, sold its brands in more than 190 countries.</w:t>
      </w:r>
      <w:r w:rsidRPr="006D3921">
        <w:rPr>
          <w:rStyle w:val="EndnoteReference"/>
          <w:sz w:val="22"/>
          <w:szCs w:val="22"/>
          <w:lang w:val="en-GB" w:eastAsia="en-GB"/>
        </w:rPr>
        <w:endnoteReference w:id="12"/>
      </w:r>
      <w:r w:rsidRPr="006D3921">
        <w:rPr>
          <w:sz w:val="22"/>
          <w:szCs w:val="22"/>
          <w:lang w:val="en-GB" w:eastAsia="en-GB"/>
        </w:rPr>
        <w:t xml:space="preserve"> Seven out of 10 households on the planet used its brands, which meant that over 2.5 billion people every day used its products. According to the company, 12 of its brands reported annual financial revenue of over €1 billion,</w:t>
      </w:r>
      <w:r w:rsidRPr="006D3921">
        <w:rPr>
          <w:rStyle w:val="EndnoteReference"/>
          <w:sz w:val="22"/>
          <w:szCs w:val="22"/>
          <w:lang w:val="en-GB" w:eastAsia="en-GB"/>
        </w:rPr>
        <w:endnoteReference w:id="13"/>
      </w:r>
      <w:r w:rsidRPr="006D3921">
        <w:rPr>
          <w:sz w:val="22"/>
          <w:szCs w:val="22"/>
          <w:lang w:val="en-GB" w:eastAsia="en-GB"/>
        </w:rPr>
        <w:t xml:space="preserve"> including its well-known brands Lipton, Knorr, Hellmann’s, Dove, Rexona, and Vaseline.</w:t>
      </w:r>
      <w:r w:rsidRPr="006D3921">
        <w:rPr>
          <w:rStyle w:val="EndnoteReference"/>
          <w:sz w:val="22"/>
          <w:szCs w:val="22"/>
          <w:lang w:val="en-GB" w:eastAsia="en-GB"/>
        </w:rPr>
        <w:endnoteReference w:id="14"/>
      </w:r>
      <w:r w:rsidRPr="006D3921">
        <w:rPr>
          <w:sz w:val="22"/>
          <w:szCs w:val="22"/>
          <w:lang w:val="en-GB" w:eastAsia="en-GB"/>
        </w:rPr>
        <w:t xml:space="preserve"> The company claimed to use “insight and innovation [to] make sure that [its] brands performed for consumers.” The company operated through three main divisions: Beauty &amp; Personal Care, Foods &amp; Refreshment, and Home Care. In 2019, the Beauty &amp; Personal Care division generated revenue of €21.9 </w:t>
      </w:r>
      <w:r w:rsidRPr="006D3921">
        <w:rPr>
          <w:sz w:val="22"/>
          <w:szCs w:val="22"/>
          <w:lang w:val="en-GB" w:eastAsia="en-GB"/>
        </w:rPr>
        <w:lastRenderedPageBreak/>
        <w:t xml:space="preserve">billion as the highest contributor, accounting for 42 per cent of overall revenue and 52 per cent of overall operating profit. The Foods &amp; Refreshment division contributed 37 per cent of the company’s overall revenue and 32 per cent of </w:t>
      </w:r>
      <w:r>
        <w:rPr>
          <w:sz w:val="22"/>
          <w:szCs w:val="22"/>
          <w:lang w:val="en-GB" w:eastAsia="en-GB"/>
        </w:rPr>
        <w:t xml:space="preserve">its </w:t>
      </w:r>
      <w:r w:rsidRPr="006D3921">
        <w:rPr>
          <w:sz w:val="22"/>
          <w:szCs w:val="22"/>
          <w:lang w:val="en-GB" w:eastAsia="en-GB"/>
        </w:rPr>
        <w:t>profit. The Home Care division contributed 21 per cent revenue and 16 per cent profit</w:t>
      </w:r>
      <w:r w:rsidRPr="006D3921">
        <w:rPr>
          <w:rStyle w:val="EndnoteReference"/>
          <w:sz w:val="22"/>
          <w:szCs w:val="22"/>
          <w:lang w:val="en-GB" w:eastAsia="en-GB"/>
        </w:rPr>
        <w:endnoteReference w:id="15"/>
      </w:r>
      <w:r w:rsidRPr="006D3921">
        <w:rPr>
          <w:sz w:val="22"/>
          <w:szCs w:val="22"/>
          <w:lang w:val="en-GB" w:eastAsia="en-GB"/>
        </w:rPr>
        <w:t xml:space="preserve"> (see Exhibit 1). With 155,000 employees, and with annual sales of €52 billion in 2019, Unilever plc was a significant global force in the FMCG category.</w:t>
      </w:r>
      <w:r w:rsidRPr="006D3921">
        <w:rPr>
          <w:rStyle w:val="EndnoteReference"/>
          <w:sz w:val="22"/>
          <w:szCs w:val="22"/>
          <w:lang w:val="en-GB" w:eastAsia="en-GB"/>
        </w:rPr>
        <w:endnoteReference w:id="16"/>
      </w:r>
    </w:p>
    <w:p w14:paraId="72CB10AE" w14:textId="11A9FC47" w:rsidR="00005E17" w:rsidRPr="006D3921" w:rsidRDefault="00005E17" w:rsidP="00411ACF">
      <w:pPr>
        <w:jc w:val="both"/>
        <w:rPr>
          <w:sz w:val="22"/>
          <w:szCs w:val="22"/>
          <w:lang w:val="en-GB" w:eastAsia="en-GB"/>
        </w:rPr>
      </w:pPr>
    </w:p>
    <w:p w14:paraId="413FE0DF" w14:textId="77777777" w:rsidR="00005E17" w:rsidRPr="006D3921" w:rsidRDefault="00005E17" w:rsidP="00411ACF">
      <w:pPr>
        <w:jc w:val="both"/>
        <w:rPr>
          <w:sz w:val="22"/>
          <w:szCs w:val="22"/>
          <w:lang w:val="en-GB" w:eastAsia="en-GB"/>
        </w:rPr>
      </w:pPr>
    </w:p>
    <w:p w14:paraId="734BE549" w14:textId="77777777" w:rsidR="00005E17" w:rsidRPr="006D3921" w:rsidRDefault="00005E17" w:rsidP="00411ACF">
      <w:pPr>
        <w:pStyle w:val="Casehead1"/>
        <w:rPr>
          <w:lang w:val="en-GB" w:eastAsia="en-GB"/>
        </w:rPr>
      </w:pPr>
      <w:r w:rsidRPr="006D3921">
        <w:rPr>
          <w:lang w:val="en-GB" w:eastAsia="en-GB"/>
        </w:rPr>
        <w:t>UNILEVER’S PURPOSE</w:t>
      </w:r>
    </w:p>
    <w:p w14:paraId="41A807F2" w14:textId="77777777" w:rsidR="00005E17" w:rsidRPr="006D3921" w:rsidRDefault="00005E17" w:rsidP="00411ACF">
      <w:pPr>
        <w:pStyle w:val="Casehead1"/>
        <w:rPr>
          <w:lang w:val="en-GB" w:eastAsia="en-GB"/>
        </w:rPr>
      </w:pPr>
    </w:p>
    <w:p w14:paraId="7510849E" w14:textId="5D56F9F2" w:rsidR="00005E17" w:rsidRPr="006D3921" w:rsidRDefault="00005E17" w:rsidP="00411ACF">
      <w:pPr>
        <w:jc w:val="both"/>
        <w:rPr>
          <w:sz w:val="22"/>
          <w:szCs w:val="22"/>
          <w:lang w:val="en-GB" w:eastAsia="en-GB"/>
        </w:rPr>
      </w:pPr>
      <w:r w:rsidRPr="006D3921">
        <w:rPr>
          <w:sz w:val="22"/>
          <w:szCs w:val="22"/>
          <w:lang w:val="en-GB" w:eastAsia="en-GB"/>
        </w:rPr>
        <w:t>Along with his brother, William Hesketh Lever co-founded Lever Brothers in 1885 with a clearly stated purpose:</w:t>
      </w:r>
    </w:p>
    <w:p w14:paraId="004E4599" w14:textId="77777777" w:rsidR="00005E17" w:rsidRPr="006D3921" w:rsidRDefault="00005E17" w:rsidP="00411ACF">
      <w:pPr>
        <w:jc w:val="both"/>
        <w:rPr>
          <w:sz w:val="22"/>
          <w:szCs w:val="22"/>
          <w:lang w:val="en-GB" w:eastAsia="en-GB"/>
        </w:rPr>
      </w:pPr>
    </w:p>
    <w:p w14:paraId="2E627FEC" w14:textId="68F915C1" w:rsidR="00005E17" w:rsidRPr="006D3921" w:rsidRDefault="00005E17" w:rsidP="00675501">
      <w:pPr>
        <w:ind w:left="720"/>
        <w:jc w:val="both"/>
        <w:rPr>
          <w:sz w:val="22"/>
          <w:szCs w:val="22"/>
          <w:lang w:val="en-GB" w:eastAsia="en-GB"/>
        </w:rPr>
      </w:pPr>
      <w:r w:rsidRPr="006D3921">
        <w:rPr>
          <w:sz w:val="22"/>
          <w:szCs w:val="22"/>
          <w:lang w:val="en-GB" w:eastAsia="en-GB"/>
        </w:rPr>
        <w:t>To help popularise cleanliness and hygiene in Victorian England and reduce work for women, to foster health and contribute to personal attractiveness, that life may be more enjoyable and rewarding for the people who use our products.</w:t>
      </w:r>
      <w:r w:rsidRPr="006D3921">
        <w:rPr>
          <w:rStyle w:val="EndnoteReference"/>
          <w:sz w:val="22"/>
          <w:szCs w:val="22"/>
          <w:lang w:val="en-GB" w:eastAsia="en-GB"/>
        </w:rPr>
        <w:endnoteReference w:id="17"/>
      </w:r>
    </w:p>
    <w:p w14:paraId="0612204A" w14:textId="77777777" w:rsidR="00005E17" w:rsidRPr="006D3921" w:rsidRDefault="00005E17" w:rsidP="00411ACF">
      <w:pPr>
        <w:jc w:val="both"/>
        <w:rPr>
          <w:sz w:val="22"/>
          <w:szCs w:val="22"/>
          <w:lang w:val="en-GB" w:eastAsia="en-GB"/>
        </w:rPr>
      </w:pPr>
    </w:p>
    <w:p w14:paraId="6645B471" w14:textId="1CC1D32F" w:rsidR="00005E17" w:rsidRPr="006D3921" w:rsidRDefault="00005E17" w:rsidP="00411ACF">
      <w:pPr>
        <w:jc w:val="both"/>
        <w:rPr>
          <w:sz w:val="22"/>
          <w:szCs w:val="22"/>
          <w:lang w:val="en-GB" w:eastAsia="en-GB"/>
        </w:rPr>
      </w:pPr>
      <w:r w:rsidRPr="006D3921">
        <w:rPr>
          <w:sz w:val="22"/>
          <w:szCs w:val="22"/>
          <w:lang w:val="en-GB" w:eastAsia="en-GB"/>
        </w:rPr>
        <w:t>The idea of sustainability was present in the company’s origins, as expressed by the co-founder in 1900:</w:t>
      </w:r>
    </w:p>
    <w:p w14:paraId="1B28319D" w14:textId="77777777" w:rsidR="00005E17" w:rsidRPr="006D3921" w:rsidRDefault="00005E17" w:rsidP="00411ACF">
      <w:pPr>
        <w:jc w:val="both"/>
        <w:rPr>
          <w:sz w:val="22"/>
          <w:szCs w:val="22"/>
          <w:lang w:val="en-GB" w:eastAsia="en-GB"/>
        </w:rPr>
      </w:pPr>
    </w:p>
    <w:p w14:paraId="7004105A" w14:textId="7C49236E" w:rsidR="00005E17" w:rsidRPr="006D3921" w:rsidRDefault="00005E17" w:rsidP="00411ACF">
      <w:pPr>
        <w:pStyle w:val="BodyTextMain"/>
        <w:ind w:left="720"/>
        <w:rPr>
          <w:lang w:val="en-GB" w:eastAsia="en-GB"/>
        </w:rPr>
      </w:pPr>
      <w:r w:rsidRPr="006D3921">
        <w:rPr>
          <w:lang w:val="en-GB" w:eastAsia="en-GB"/>
        </w:rPr>
        <w:t xml:space="preserve">The truest and highest form of enlightened self-interest requires that we pay the fullest regard to the interest and welfare </w:t>
      </w:r>
      <w:r w:rsidRPr="006D3921">
        <w:rPr>
          <w:iCs/>
          <w:lang w:val="en-GB" w:eastAsia="en-GB"/>
        </w:rPr>
        <w:t>of those around us</w:t>
      </w:r>
      <w:r w:rsidRPr="006D3921">
        <w:rPr>
          <w:lang w:val="en-GB" w:eastAsia="en-GB"/>
        </w:rPr>
        <w:t>, whose wellbeing we must bind up with our own and with whom we must share our prosperity.</w:t>
      </w:r>
      <w:r w:rsidRPr="006D3921">
        <w:rPr>
          <w:rStyle w:val="EndnoteReference"/>
          <w:lang w:val="en-GB" w:eastAsia="en-GB"/>
        </w:rPr>
        <w:endnoteReference w:id="18"/>
      </w:r>
    </w:p>
    <w:p w14:paraId="66F42F00" w14:textId="77777777" w:rsidR="00005E17" w:rsidRPr="006D3921" w:rsidRDefault="00005E17" w:rsidP="00411ACF">
      <w:pPr>
        <w:jc w:val="both"/>
        <w:rPr>
          <w:sz w:val="22"/>
          <w:szCs w:val="22"/>
          <w:lang w:val="en-GB" w:eastAsia="en-GB"/>
        </w:rPr>
      </w:pPr>
    </w:p>
    <w:p w14:paraId="40BBF8D4" w14:textId="6D9FAD4B" w:rsidR="00005E17" w:rsidRPr="006D3921" w:rsidRDefault="00005E17" w:rsidP="00411ACF">
      <w:pPr>
        <w:jc w:val="both"/>
        <w:rPr>
          <w:sz w:val="22"/>
          <w:szCs w:val="22"/>
          <w:lang w:val="en-GB" w:eastAsia="en-GB"/>
        </w:rPr>
      </w:pPr>
      <w:r w:rsidRPr="006D3921">
        <w:rPr>
          <w:sz w:val="22"/>
          <w:szCs w:val="22"/>
          <w:lang w:val="en-GB" w:eastAsia="en-GB"/>
        </w:rPr>
        <w:t>After merging to become Unilever plc, the company saw its purpose as a legacy that had been handed down from the founders and their core values, although not specifically conscious of sustainability.</w:t>
      </w:r>
      <w:r w:rsidRPr="006D3921">
        <w:rPr>
          <w:rStyle w:val="EndnoteReference"/>
          <w:sz w:val="22"/>
          <w:szCs w:val="22"/>
          <w:lang w:val="en-GB" w:eastAsia="en-GB"/>
        </w:rPr>
        <w:endnoteReference w:id="19"/>
      </w:r>
      <w:r w:rsidRPr="006D3921">
        <w:rPr>
          <w:sz w:val="22"/>
          <w:szCs w:val="22"/>
          <w:lang w:val="en-GB" w:eastAsia="en-GB"/>
        </w:rPr>
        <w:t xml:space="preserve"> In the 1990s, Unilever set up a sustainable agriculture program “in light of growing environmental pressures and consumer concerns about the food chain.” This </w:t>
      </w:r>
      <w:r>
        <w:rPr>
          <w:sz w:val="22"/>
          <w:szCs w:val="22"/>
          <w:lang w:val="en-GB" w:eastAsia="en-GB"/>
        </w:rPr>
        <w:t xml:space="preserve">program </w:t>
      </w:r>
      <w:r w:rsidRPr="006D3921">
        <w:rPr>
          <w:sz w:val="22"/>
          <w:szCs w:val="22"/>
          <w:lang w:val="en-GB" w:eastAsia="en-GB"/>
        </w:rPr>
        <w:t>was followed by other initiatives to preserve water resources and source fish from sustainable stocks.</w:t>
      </w:r>
      <w:r w:rsidRPr="006D3921">
        <w:rPr>
          <w:rStyle w:val="EndnoteReference"/>
          <w:sz w:val="22"/>
          <w:szCs w:val="22"/>
          <w:lang w:val="en-GB" w:eastAsia="en-GB"/>
        </w:rPr>
        <w:endnoteReference w:id="20"/>
      </w:r>
      <w:r w:rsidRPr="006D3921">
        <w:rPr>
          <w:sz w:val="22"/>
          <w:szCs w:val="22"/>
          <w:lang w:val="en-GB" w:eastAsia="en-GB"/>
        </w:rPr>
        <w:t xml:space="preserve"> Antony Burgmans, the company’s chairman and head of the Birds Eye brand (with the popular Captain Birdseye mascot), commented on the perception of Unilever plc at the time: “People were worried the oceans were being depleted. I was afraid we would get the blame. After all, we were the ones selling all those fish.”</w:t>
      </w:r>
      <w:r w:rsidRPr="006D3921">
        <w:rPr>
          <w:rStyle w:val="EndnoteReference"/>
          <w:sz w:val="22"/>
          <w:szCs w:val="22"/>
          <w:lang w:val="en-GB"/>
        </w:rPr>
        <w:endnoteReference w:id="21"/>
      </w:r>
    </w:p>
    <w:p w14:paraId="0645B117" w14:textId="77777777" w:rsidR="00005E17" w:rsidRPr="006D3921" w:rsidRDefault="00005E17" w:rsidP="00411ACF">
      <w:pPr>
        <w:jc w:val="both"/>
        <w:rPr>
          <w:rFonts w:ascii="Arial" w:hAnsi="Arial" w:cs="Arial"/>
          <w:color w:val="000000"/>
          <w:lang w:val="en-GB" w:eastAsia="en-GB"/>
        </w:rPr>
      </w:pPr>
    </w:p>
    <w:p w14:paraId="3AA76B30" w14:textId="12BEA636" w:rsidR="00005E17" w:rsidRPr="006D3921" w:rsidRDefault="00005E17" w:rsidP="00411ACF">
      <w:pPr>
        <w:jc w:val="both"/>
        <w:rPr>
          <w:spacing w:val="-2"/>
          <w:sz w:val="22"/>
          <w:szCs w:val="22"/>
          <w:lang w:val="en-GB" w:eastAsia="en-GB"/>
        </w:rPr>
      </w:pPr>
      <w:r w:rsidRPr="006D3921">
        <w:rPr>
          <w:spacing w:val="-2"/>
          <w:sz w:val="22"/>
          <w:szCs w:val="22"/>
          <w:lang w:val="en-GB" w:eastAsia="en-GB"/>
        </w:rPr>
        <w:t xml:space="preserve">Two-thirds of the company’s </w:t>
      </w:r>
      <w:r>
        <w:rPr>
          <w:spacing w:val="-2"/>
          <w:sz w:val="22"/>
          <w:szCs w:val="22"/>
          <w:lang w:val="en-GB" w:eastAsia="en-GB"/>
        </w:rPr>
        <w:t xml:space="preserve">raw materials for </w:t>
      </w:r>
      <w:r w:rsidRPr="006D3921">
        <w:rPr>
          <w:spacing w:val="-2"/>
          <w:sz w:val="22"/>
          <w:szCs w:val="22"/>
          <w:lang w:val="en-GB" w:eastAsia="en-GB"/>
        </w:rPr>
        <w:t xml:space="preserve">various brands originated in the agricultural sector, </w:t>
      </w:r>
      <w:r>
        <w:rPr>
          <w:spacing w:val="-2"/>
          <w:sz w:val="22"/>
          <w:szCs w:val="22"/>
          <w:lang w:val="en-GB" w:eastAsia="en-GB"/>
        </w:rPr>
        <w:t>which had</w:t>
      </w:r>
      <w:r w:rsidRPr="006D3921">
        <w:rPr>
          <w:spacing w:val="-2"/>
          <w:sz w:val="22"/>
          <w:szCs w:val="22"/>
          <w:lang w:val="en-GB" w:eastAsia="en-GB"/>
        </w:rPr>
        <w:t xml:space="preserve"> implications for the cost structure</w:t>
      </w:r>
      <w:r w:rsidRPr="006D3921">
        <w:rPr>
          <w:spacing w:val="-2"/>
          <w:sz w:val="22"/>
          <w:szCs w:val="22"/>
          <w:lang w:val="en-GB"/>
        </w:rPr>
        <w:t>.</w:t>
      </w:r>
      <w:r w:rsidRPr="006D3921">
        <w:rPr>
          <w:rStyle w:val="EndnoteReference"/>
          <w:spacing w:val="-2"/>
          <w:sz w:val="22"/>
          <w:szCs w:val="22"/>
          <w:lang w:val="en-GB"/>
        </w:rPr>
        <w:endnoteReference w:id="22"/>
      </w:r>
      <w:r w:rsidRPr="006D3921">
        <w:rPr>
          <w:spacing w:val="-2"/>
          <w:sz w:val="22"/>
          <w:szCs w:val="22"/>
          <w:lang w:val="en-GB"/>
        </w:rPr>
        <w:t xml:space="preserve"> </w:t>
      </w:r>
      <w:r w:rsidRPr="006D3921">
        <w:rPr>
          <w:spacing w:val="-2"/>
          <w:sz w:val="22"/>
          <w:szCs w:val="22"/>
          <w:lang w:val="en-GB" w:eastAsia="en-GB"/>
        </w:rPr>
        <w:t xml:space="preserve">The move toward sustainable agriculture was strengthened in the first decade of the millennium, especially in the </w:t>
      </w:r>
      <w:r>
        <w:rPr>
          <w:spacing w:val="-2"/>
          <w:sz w:val="22"/>
          <w:szCs w:val="22"/>
          <w:lang w:val="en-GB" w:eastAsia="en-GB"/>
        </w:rPr>
        <w:t>sourcing</w:t>
      </w:r>
      <w:r w:rsidRPr="006D3921">
        <w:rPr>
          <w:spacing w:val="-2"/>
          <w:sz w:val="22"/>
          <w:szCs w:val="22"/>
          <w:lang w:val="en-GB" w:eastAsia="en-GB"/>
        </w:rPr>
        <w:t xml:space="preserve"> of essential raw materials </w:t>
      </w:r>
      <w:r>
        <w:rPr>
          <w:spacing w:val="-2"/>
          <w:sz w:val="22"/>
          <w:szCs w:val="22"/>
          <w:lang w:val="en-GB" w:eastAsia="en-GB"/>
        </w:rPr>
        <w:t>such as</w:t>
      </w:r>
      <w:r w:rsidRPr="006D3921">
        <w:rPr>
          <w:spacing w:val="-2"/>
          <w:sz w:val="22"/>
          <w:szCs w:val="22"/>
          <w:lang w:val="en-GB" w:eastAsia="en-GB"/>
        </w:rPr>
        <w:t xml:space="preserve"> palm oil, </w:t>
      </w:r>
      <w:r>
        <w:rPr>
          <w:spacing w:val="-2"/>
          <w:sz w:val="22"/>
          <w:szCs w:val="22"/>
          <w:lang w:val="en-GB" w:eastAsia="en-GB"/>
        </w:rPr>
        <w:t>which led</w:t>
      </w:r>
      <w:r w:rsidRPr="006D3921">
        <w:rPr>
          <w:spacing w:val="-2"/>
          <w:sz w:val="22"/>
          <w:szCs w:val="22"/>
          <w:lang w:val="en-GB" w:eastAsia="en-GB"/>
        </w:rPr>
        <w:t xml:space="preserve"> Unilever plc </w:t>
      </w:r>
      <w:r>
        <w:rPr>
          <w:spacing w:val="-2"/>
          <w:sz w:val="22"/>
          <w:szCs w:val="22"/>
          <w:lang w:val="en-GB" w:eastAsia="en-GB"/>
        </w:rPr>
        <w:t xml:space="preserve">to </w:t>
      </w:r>
      <w:r w:rsidRPr="006D3921">
        <w:rPr>
          <w:spacing w:val="-2"/>
          <w:sz w:val="22"/>
          <w:szCs w:val="22"/>
          <w:lang w:val="en-GB" w:eastAsia="en-GB"/>
        </w:rPr>
        <w:t>initiate its sustainable</w:t>
      </w:r>
      <w:r>
        <w:rPr>
          <w:spacing w:val="-2"/>
          <w:sz w:val="22"/>
          <w:szCs w:val="22"/>
          <w:lang w:val="en-GB" w:eastAsia="en-GB"/>
        </w:rPr>
        <w:t>-</w:t>
      </w:r>
      <w:r w:rsidRPr="006D3921">
        <w:rPr>
          <w:spacing w:val="-2"/>
          <w:sz w:val="22"/>
          <w:szCs w:val="22"/>
          <w:lang w:val="en-GB" w:eastAsia="en-GB"/>
        </w:rPr>
        <w:t>sourcing program.</w:t>
      </w:r>
      <w:r w:rsidRPr="006D3921">
        <w:rPr>
          <w:rStyle w:val="EndnoteReference"/>
          <w:spacing w:val="-2"/>
          <w:sz w:val="22"/>
          <w:szCs w:val="22"/>
          <w:lang w:val="en-GB"/>
        </w:rPr>
        <w:endnoteReference w:id="23"/>
      </w:r>
      <w:r w:rsidRPr="006D3921">
        <w:rPr>
          <w:spacing w:val="-2"/>
          <w:sz w:val="22"/>
          <w:szCs w:val="22"/>
          <w:lang w:val="en-GB" w:eastAsia="en-GB"/>
        </w:rPr>
        <w:t xml:space="preserve"> Palm oil was used in a wide range of </w:t>
      </w:r>
      <w:r>
        <w:rPr>
          <w:spacing w:val="-2"/>
          <w:sz w:val="22"/>
          <w:szCs w:val="22"/>
          <w:lang w:val="en-GB" w:eastAsia="en-GB"/>
        </w:rPr>
        <w:t>Unilever’s</w:t>
      </w:r>
      <w:r w:rsidRPr="006D3921">
        <w:rPr>
          <w:spacing w:val="-2"/>
          <w:sz w:val="22"/>
          <w:szCs w:val="22"/>
          <w:lang w:val="en-GB" w:eastAsia="en-GB"/>
        </w:rPr>
        <w:t xml:space="preserve"> food, home, and personal care products</w:t>
      </w:r>
      <w:r>
        <w:rPr>
          <w:spacing w:val="-2"/>
          <w:sz w:val="22"/>
          <w:szCs w:val="22"/>
          <w:lang w:val="en-GB" w:eastAsia="en-GB"/>
        </w:rPr>
        <w:t>, and</w:t>
      </w:r>
      <w:r w:rsidRPr="006D3921">
        <w:rPr>
          <w:spacing w:val="-2"/>
          <w:sz w:val="22"/>
          <w:szCs w:val="22"/>
          <w:lang w:val="en-GB" w:eastAsia="en-GB"/>
        </w:rPr>
        <w:t xml:space="preserve"> </w:t>
      </w:r>
      <w:r>
        <w:rPr>
          <w:spacing w:val="-2"/>
          <w:sz w:val="22"/>
          <w:szCs w:val="22"/>
          <w:lang w:val="en-GB" w:eastAsia="en-GB"/>
        </w:rPr>
        <w:t>was</w:t>
      </w:r>
      <w:r w:rsidRPr="006D3921">
        <w:rPr>
          <w:spacing w:val="-2"/>
          <w:sz w:val="22"/>
          <w:szCs w:val="22"/>
          <w:lang w:val="en-GB" w:eastAsia="en-GB"/>
        </w:rPr>
        <w:t xml:space="preserve"> a </w:t>
      </w:r>
      <w:r>
        <w:rPr>
          <w:spacing w:val="-2"/>
          <w:sz w:val="22"/>
          <w:szCs w:val="22"/>
          <w:lang w:val="en-GB" w:eastAsia="en-GB"/>
        </w:rPr>
        <w:t xml:space="preserve">more </w:t>
      </w:r>
      <w:r w:rsidRPr="006D3921">
        <w:rPr>
          <w:spacing w:val="-2"/>
          <w:sz w:val="22"/>
          <w:szCs w:val="22"/>
          <w:lang w:val="en-GB" w:eastAsia="en-GB"/>
        </w:rPr>
        <w:t>cost-effective</w:t>
      </w:r>
      <w:r>
        <w:rPr>
          <w:spacing w:val="-2"/>
          <w:sz w:val="22"/>
          <w:szCs w:val="22"/>
          <w:lang w:val="en-GB" w:eastAsia="en-GB"/>
        </w:rPr>
        <w:t xml:space="preserve"> and</w:t>
      </w:r>
      <w:r w:rsidRPr="006D3921">
        <w:rPr>
          <w:spacing w:val="-2"/>
          <w:sz w:val="22"/>
          <w:szCs w:val="22"/>
          <w:lang w:val="en-GB" w:eastAsia="en-GB"/>
        </w:rPr>
        <w:t xml:space="preserve"> </w:t>
      </w:r>
      <w:r>
        <w:rPr>
          <w:spacing w:val="-2"/>
          <w:sz w:val="22"/>
          <w:szCs w:val="22"/>
          <w:lang w:val="en-GB" w:eastAsia="en-GB"/>
        </w:rPr>
        <w:t xml:space="preserve">more </w:t>
      </w:r>
      <w:r w:rsidRPr="006D3921">
        <w:rPr>
          <w:spacing w:val="-2"/>
          <w:sz w:val="22"/>
          <w:szCs w:val="22"/>
          <w:lang w:val="en-GB" w:eastAsia="en-GB"/>
        </w:rPr>
        <w:t>land</w:t>
      </w:r>
      <w:r>
        <w:rPr>
          <w:spacing w:val="-2"/>
          <w:sz w:val="22"/>
          <w:szCs w:val="22"/>
          <w:lang w:val="en-GB" w:eastAsia="en-GB"/>
        </w:rPr>
        <w:t xml:space="preserve"> </w:t>
      </w:r>
      <w:r w:rsidRPr="006D3921">
        <w:rPr>
          <w:spacing w:val="-2"/>
          <w:sz w:val="22"/>
          <w:szCs w:val="22"/>
          <w:lang w:val="en-GB" w:eastAsia="en-GB"/>
        </w:rPr>
        <w:t>use</w:t>
      </w:r>
      <w:r>
        <w:rPr>
          <w:spacing w:val="-2"/>
          <w:sz w:val="22"/>
          <w:szCs w:val="22"/>
          <w:lang w:val="en-GB" w:eastAsia="en-GB"/>
        </w:rPr>
        <w:t>–</w:t>
      </w:r>
      <w:r w:rsidRPr="006D3921">
        <w:rPr>
          <w:spacing w:val="-2"/>
          <w:sz w:val="22"/>
          <w:szCs w:val="22"/>
          <w:lang w:val="en-GB" w:eastAsia="en-GB"/>
        </w:rPr>
        <w:t xml:space="preserve">efficient resource </w:t>
      </w:r>
      <w:r>
        <w:rPr>
          <w:spacing w:val="-2"/>
          <w:sz w:val="22"/>
          <w:szCs w:val="22"/>
          <w:lang w:val="en-GB" w:eastAsia="en-GB"/>
        </w:rPr>
        <w:t xml:space="preserve">than </w:t>
      </w:r>
      <w:r w:rsidRPr="006D3921">
        <w:rPr>
          <w:spacing w:val="-2"/>
          <w:sz w:val="22"/>
          <w:szCs w:val="22"/>
          <w:lang w:val="en-GB" w:eastAsia="en-GB"/>
        </w:rPr>
        <w:t xml:space="preserve">other vegetable oils. However, the practice affected 8 per cent of the global palm oil production. Despite ecological ramifications that included deforestation, climate change, biodiversity loss, soil erosion, and water pollution, as well as </w:t>
      </w:r>
      <w:r>
        <w:rPr>
          <w:spacing w:val="-2"/>
          <w:sz w:val="22"/>
          <w:szCs w:val="22"/>
          <w:lang w:val="en-GB" w:eastAsia="en-GB"/>
        </w:rPr>
        <w:t xml:space="preserve">the </w:t>
      </w:r>
      <w:r w:rsidRPr="006D3921">
        <w:rPr>
          <w:spacing w:val="-2"/>
          <w:sz w:val="22"/>
          <w:szCs w:val="22"/>
          <w:lang w:val="en-GB" w:eastAsia="en-GB"/>
        </w:rPr>
        <w:t xml:space="preserve">societal implications of human rights abuses, Unilever included </w:t>
      </w:r>
      <w:r>
        <w:rPr>
          <w:spacing w:val="-2"/>
          <w:sz w:val="22"/>
          <w:szCs w:val="22"/>
          <w:lang w:val="en-GB" w:eastAsia="en-GB"/>
        </w:rPr>
        <w:t xml:space="preserve">the </w:t>
      </w:r>
      <w:r w:rsidRPr="006D3921">
        <w:rPr>
          <w:spacing w:val="-2"/>
          <w:sz w:val="22"/>
          <w:szCs w:val="22"/>
          <w:lang w:val="en-GB" w:eastAsia="en-GB"/>
        </w:rPr>
        <w:t>sustainable sourcing of palm oil in its sustainability agenda.</w:t>
      </w:r>
      <w:r w:rsidRPr="006D3921">
        <w:rPr>
          <w:spacing w:val="-2"/>
          <w:sz w:val="22"/>
          <w:szCs w:val="22"/>
          <w:vertAlign w:val="superscript"/>
          <w:lang w:val="en-GB" w:eastAsia="en-GB"/>
        </w:rPr>
        <w:endnoteReference w:id="24"/>
      </w:r>
      <w:r w:rsidRPr="006D3921">
        <w:rPr>
          <w:spacing w:val="-2"/>
          <w:sz w:val="22"/>
          <w:szCs w:val="22"/>
          <w:lang w:val="en-GB" w:eastAsia="en-GB"/>
        </w:rPr>
        <w:t xml:space="preserve"> The company was a found</w:t>
      </w:r>
      <w:r>
        <w:rPr>
          <w:spacing w:val="-2"/>
          <w:sz w:val="22"/>
          <w:szCs w:val="22"/>
          <w:lang w:val="en-GB" w:eastAsia="en-GB"/>
        </w:rPr>
        <w:t>ing</w:t>
      </w:r>
      <w:r w:rsidRPr="006D3921">
        <w:rPr>
          <w:spacing w:val="-2"/>
          <w:sz w:val="22"/>
          <w:szCs w:val="22"/>
          <w:lang w:val="en-GB" w:eastAsia="en-GB"/>
        </w:rPr>
        <w:t xml:space="preserve"> member of the Roundtable on Sustainable Palm Oil in 2004, a globally recognized certification standard to drive </w:t>
      </w:r>
      <w:r>
        <w:rPr>
          <w:spacing w:val="-2"/>
          <w:sz w:val="22"/>
          <w:szCs w:val="22"/>
          <w:lang w:val="en-GB" w:eastAsia="en-GB"/>
        </w:rPr>
        <w:t xml:space="preserve">the </w:t>
      </w:r>
      <w:r w:rsidRPr="006D3921">
        <w:rPr>
          <w:spacing w:val="-2"/>
          <w:sz w:val="22"/>
          <w:szCs w:val="22"/>
          <w:lang w:val="en-GB" w:eastAsia="en-GB"/>
        </w:rPr>
        <w:t xml:space="preserve">sustainable production </w:t>
      </w:r>
      <w:r>
        <w:rPr>
          <w:spacing w:val="-2"/>
          <w:sz w:val="22"/>
          <w:szCs w:val="22"/>
          <w:lang w:val="en-GB" w:eastAsia="en-GB"/>
        </w:rPr>
        <w:t>of</w:t>
      </w:r>
      <w:r w:rsidRPr="006D3921">
        <w:rPr>
          <w:spacing w:val="-2"/>
          <w:sz w:val="22"/>
          <w:szCs w:val="22"/>
          <w:lang w:val="en-GB" w:eastAsia="en-GB"/>
        </w:rPr>
        <w:t xml:space="preserve"> palm</w:t>
      </w:r>
      <w:r>
        <w:rPr>
          <w:spacing w:val="-2"/>
          <w:sz w:val="22"/>
          <w:szCs w:val="22"/>
          <w:lang w:val="en-GB" w:eastAsia="en-GB"/>
        </w:rPr>
        <w:t xml:space="preserve"> oil</w:t>
      </w:r>
      <w:r w:rsidRPr="006D3921">
        <w:rPr>
          <w:spacing w:val="-2"/>
          <w:sz w:val="22"/>
          <w:szCs w:val="22"/>
          <w:lang w:val="en-GB" w:eastAsia="en-GB"/>
        </w:rPr>
        <w:t>.</w:t>
      </w:r>
      <w:r w:rsidRPr="006D3921">
        <w:rPr>
          <w:spacing w:val="-2"/>
          <w:sz w:val="22"/>
          <w:szCs w:val="22"/>
          <w:vertAlign w:val="superscript"/>
          <w:lang w:val="en-GB" w:eastAsia="en-GB"/>
        </w:rPr>
        <w:endnoteReference w:id="25"/>
      </w:r>
    </w:p>
    <w:p w14:paraId="43C7F43E" w14:textId="77777777" w:rsidR="00005E17" w:rsidRPr="006D3921" w:rsidRDefault="00005E17" w:rsidP="00411ACF">
      <w:pPr>
        <w:jc w:val="both"/>
        <w:rPr>
          <w:spacing w:val="-2"/>
          <w:sz w:val="22"/>
          <w:szCs w:val="22"/>
          <w:lang w:val="en-GB" w:eastAsia="en-GB"/>
        </w:rPr>
      </w:pPr>
    </w:p>
    <w:p w14:paraId="68F1C643" w14:textId="6055C515" w:rsidR="00005E17" w:rsidRPr="006D3921" w:rsidRDefault="00005E17" w:rsidP="00411ACF">
      <w:pPr>
        <w:jc w:val="both"/>
        <w:rPr>
          <w:sz w:val="22"/>
          <w:szCs w:val="22"/>
          <w:lang w:val="en-GB" w:eastAsia="en-GB"/>
        </w:rPr>
      </w:pPr>
      <w:r w:rsidRPr="006D3921">
        <w:rPr>
          <w:sz w:val="22"/>
          <w:szCs w:val="22"/>
          <w:lang w:val="en-GB" w:eastAsia="en-GB"/>
        </w:rPr>
        <w:t>Communicating its Sustainable Agriculture Initiative to consumers was intended to strengthen customers</w:t>
      </w:r>
      <w:r>
        <w:rPr>
          <w:sz w:val="22"/>
          <w:szCs w:val="22"/>
          <w:lang w:val="en-GB" w:eastAsia="en-GB"/>
        </w:rPr>
        <w:t>’</w:t>
      </w:r>
      <w:r w:rsidRPr="006D3921">
        <w:rPr>
          <w:sz w:val="22"/>
          <w:szCs w:val="22"/>
          <w:lang w:val="en-GB" w:eastAsia="en-GB"/>
        </w:rPr>
        <w:t xml:space="preserve"> confidence in the food supply chain and help the business</w:t>
      </w:r>
      <w:r>
        <w:rPr>
          <w:sz w:val="22"/>
          <w:szCs w:val="22"/>
          <w:lang w:val="en-GB" w:eastAsia="en-GB"/>
        </w:rPr>
        <w:t>,</w:t>
      </w:r>
      <w:r w:rsidRPr="006D3921">
        <w:rPr>
          <w:sz w:val="22"/>
          <w:szCs w:val="22"/>
          <w:lang w:val="en-GB" w:eastAsia="en-GB"/>
        </w:rPr>
        <w:t xml:space="preserve"> Jan </w:t>
      </w:r>
      <w:proofErr w:type="spellStart"/>
      <w:r w:rsidRPr="006D3921">
        <w:rPr>
          <w:sz w:val="22"/>
          <w:szCs w:val="22"/>
          <w:lang w:val="en-GB" w:eastAsia="en-GB"/>
        </w:rPr>
        <w:t>Kees</w:t>
      </w:r>
      <w:proofErr w:type="spellEnd"/>
      <w:r w:rsidRPr="006D3921">
        <w:rPr>
          <w:sz w:val="22"/>
          <w:szCs w:val="22"/>
          <w:lang w:val="en-GB" w:eastAsia="en-GB"/>
        </w:rPr>
        <w:t xml:space="preserve"> Vis, the company’s environmental manager, stated in a 2001 report that “consumers vote with their purses and are not slow to express their preferences. Their support is crucial to our profitability.”</w:t>
      </w:r>
      <w:r w:rsidRPr="006D3921">
        <w:rPr>
          <w:sz w:val="22"/>
          <w:szCs w:val="22"/>
          <w:vertAlign w:val="superscript"/>
          <w:lang w:val="en-GB" w:eastAsia="en-GB"/>
        </w:rPr>
        <w:endnoteReference w:id="26"/>
      </w:r>
      <w:r w:rsidRPr="006D3921">
        <w:rPr>
          <w:sz w:val="22"/>
          <w:szCs w:val="22"/>
          <w:lang w:val="en-GB" w:eastAsia="en-GB"/>
        </w:rPr>
        <w:t xml:space="preserve"> </w:t>
      </w:r>
    </w:p>
    <w:p w14:paraId="1E4FED15" w14:textId="4AA2A3E0" w:rsidR="00005E17" w:rsidRPr="006D3921" w:rsidRDefault="00005E17" w:rsidP="00411ACF">
      <w:pPr>
        <w:jc w:val="both"/>
        <w:rPr>
          <w:sz w:val="22"/>
          <w:szCs w:val="22"/>
          <w:lang w:val="en-GB" w:eastAsia="en-GB"/>
        </w:rPr>
      </w:pPr>
    </w:p>
    <w:p w14:paraId="5C75B28C" w14:textId="77777777" w:rsidR="00005E17" w:rsidRPr="006D3921" w:rsidRDefault="00005E17" w:rsidP="00411ACF">
      <w:pPr>
        <w:jc w:val="both"/>
        <w:rPr>
          <w:sz w:val="22"/>
          <w:szCs w:val="22"/>
          <w:lang w:val="en-GB" w:eastAsia="en-GB"/>
        </w:rPr>
      </w:pPr>
    </w:p>
    <w:p w14:paraId="7B46F1F4" w14:textId="39D3048F" w:rsidR="00005E17" w:rsidRPr="006D3921" w:rsidRDefault="00005E17" w:rsidP="0035640A">
      <w:pPr>
        <w:keepNext/>
        <w:jc w:val="both"/>
        <w:rPr>
          <w:rFonts w:ascii="Arial" w:hAnsi="Arial" w:cs="Arial"/>
          <w:b/>
          <w:bCs/>
          <w:lang w:val="en-GB" w:eastAsia="en-GB"/>
        </w:rPr>
      </w:pPr>
      <w:r>
        <w:rPr>
          <w:rFonts w:ascii="Arial" w:hAnsi="Arial" w:cs="Arial"/>
          <w:b/>
          <w:bCs/>
          <w:lang w:val="en-GB" w:eastAsia="en-GB"/>
        </w:rPr>
        <w:lastRenderedPageBreak/>
        <w:t xml:space="preserve">THE </w:t>
      </w:r>
      <w:r w:rsidRPr="006D3921">
        <w:rPr>
          <w:rFonts w:ascii="Arial" w:hAnsi="Arial" w:cs="Arial"/>
          <w:b/>
          <w:bCs/>
          <w:lang w:val="en-GB" w:eastAsia="en-GB"/>
        </w:rPr>
        <w:t>UNILEVER SUSTAINABLE LIVING PLAN</w:t>
      </w:r>
    </w:p>
    <w:p w14:paraId="6BBD07BD" w14:textId="77777777" w:rsidR="00005E17" w:rsidRPr="006D3921" w:rsidRDefault="00005E17" w:rsidP="0035640A">
      <w:pPr>
        <w:keepNext/>
        <w:ind w:firstLine="720"/>
        <w:jc w:val="both"/>
        <w:rPr>
          <w:sz w:val="22"/>
          <w:szCs w:val="22"/>
          <w:lang w:val="en-GB" w:eastAsia="en-GB"/>
        </w:rPr>
      </w:pPr>
    </w:p>
    <w:p w14:paraId="5F42CAEB" w14:textId="6AF3842D" w:rsidR="00005E17" w:rsidRPr="006D3921" w:rsidRDefault="00005E17" w:rsidP="0035640A">
      <w:pPr>
        <w:pStyle w:val="BodyTextMain"/>
        <w:keepNext/>
        <w:rPr>
          <w:lang w:val="en-GB" w:eastAsia="en-GB"/>
        </w:rPr>
      </w:pPr>
      <w:r w:rsidRPr="006D3921">
        <w:rPr>
          <w:lang w:val="en-GB" w:eastAsia="en-GB"/>
        </w:rPr>
        <w:t>In 2010, under the leadership of new chief executive officer Paul Polman, Unilever plc announced that the USLP sought to “decouple” growth from the environmental footprint, while also making a positive social impact.</w:t>
      </w:r>
      <w:r w:rsidRPr="006D3921">
        <w:rPr>
          <w:rStyle w:val="EndnoteReference"/>
          <w:lang w:val="en-GB" w:eastAsia="en-GB"/>
        </w:rPr>
        <w:endnoteReference w:id="27"/>
      </w:r>
      <w:r w:rsidRPr="006D3921">
        <w:rPr>
          <w:lang w:val="en-GB" w:eastAsia="en-GB"/>
        </w:rPr>
        <w:t xml:space="preserve"> The company was positioning itself as an early adopter of sustainability in a large corporate setting, and claimed that “our vision is a new way of doing business—one that delivers growth by serving society and the planet.”</w:t>
      </w:r>
      <w:r w:rsidRPr="006D3921">
        <w:rPr>
          <w:rStyle w:val="EndnoteReference"/>
          <w:lang w:val="en-GB" w:eastAsia="en-GB"/>
        </w:rPr>
        <w:endnoteReference w:id="28"/>
      </w:r>
      <w:r w:rsidRPr="006D3921">
        <w:rPr>
          <w:lang w:val="en-GB" w:eastAsia="en-GB"/>
        </w:rPr>
        <w:t xml:space="preserve"> Through the USLP, the company saw sustainability challenges as “presenting opportunities for business growth.”</w:t>
      </w:r>
      <w:r w:rsidRPr="006D3921">
        <w:rPr>
          <w:rStyle w:val="EndnoteReference"/>
          <w:lang w:val="en-GB" w:eastAsia="en-GB"/>
        </w:rPr>
        <w:endnoteReference w:id="29"/>
      </w:r>
      <w:r w:rsidRPr="006D3921">
        <w:rPr>
          <w:lang w:val="en-GB" w:eastAsia="en-GB"/>
        </w:rPr>
        <w:t xml:space="preserve"> When Polman announced the USLP, he spoke about the link between sustainability and profit:</w:t>
      </w:r>
    </w:p>
    <w:p w14:paraId="70CE7754" w14:textId="77777777" w:rsidR="00005E17" w:rsidRPr="006D3921" w:rsidRDefault="00005E17" w:rsidP="00411ACF">
      <w:pPr>
        <w:pStyle w:val="BodyTextMain"/>
        <w:rPr>
          <w:lang w:val="en-GB" w:eastAsia="en-GB"/>
        </w:rPr>
      </w:pPr>
    </w:p>
    <w:p w14:paraId="046722F1" w14:textId="30EFFD25" w:rsidR="00005E17" w:rsidRPr="006D3921" w:rsidRDefault="00005E17" w:rsidP="00675501">
      <w:pPr>
        <w:pStyle w:val="BodyTextMain"/>
        <w:ind w:left="720"/>
        <w:rPr>
          <w:lang w:val="en-GB" w:eastAsia="en-GB"/>
        </w:rPr>
      </w:pPr>
      <w:r w:rsidRPr="006D3921">
        <w:rPr>
          <w:lang w:val="en-GB" w:eastAsia="en-GB"/>
        </w:rPr>
        <w:t>Growth at any cost is not viable. We have to develop new ways of doing business which will increase the positive social benefits arising from Unilever’s activities while at the same time reducing our environmental impacts. We want to be a sustainable business in every sense of the word. We do not believe there is a conflict between sustainability and profitable growth.</w:t>
      </w:r>
      <w:r w:rsidRPr="006D3921">
        <w:rPr>
          <w:rStyle w:val="EndnoteReference"/>
          <w:lang w:val="en-GB" w:eastAsia="en-GB"/>
        </w:rPr>
        <w:endnoteReference w:id="30"/>
      </w:r>
      <w:r w:rsidRPr="006D3921">
        <w:rPr>
          <w:lang w:val="en-GB" w:eastAsia="en-GB"/>
        </w:rPr>
        <w:t xml:space="preserve"> </w:t>
      </w:r>
    </w:p>
    <w:p w14:paraId="337E8AB9" w14:textId="77777777" w:rsidR="00005E17" w:rsidRPr="006D3921" w:rsidRDefault="00005E17" w:rsidP="00411ACF">
      <w:pPr>
        <w:pStyle w:val="BodyTextMain"/>
        <w:rPr>
          <w:bCs/>
          <w:lang w:val="en-GB"/>
        </w:rPr>
      </w:pPr>
    </w:p>
    <w:p w14:paraId="4DDEBF4B" w14:textId="0496F4D6" w:rsidR="00005E17" w:rsidRPr="006D3921" w:rsidRDefault="00005E17" w:rsidP="00411ACF">
      <w:pPr>
        <w:pStyle w:val="BodyTextMain"/>
        <w:rPr>
          <w:bCs/>
          <w:lang w:val="en-GB"/>
        </w:rPr>
      </w:pPr>
      <w:r w:rsidRPr="006D3921">
        <w:rPr>
          <w:bCs/>
          <w:lang w:val="en-GB"/>
        </w:rPr>
        <w:t>Accordingly, from 2012 to 2019, the company featured the heading “Making Sustainable Living Commonplace” on all its annual report covers.</w:t>
      </w:r>
      <w:r w:rsidRPr="006D3921">
        <w:rPr>
          <w:rStyle w:val="EndnoteTextChar"/>
          <w:rFonts w:ascii="Times New Roman" w:hAnsi="Times New Roman"/>
          <w:bCs/>
          <w:sz w:val="22"/>
          <w:szCs w:val="22"/>
          <w:vertAlign w:val="superscript"/>
          <w:lang w:val="en-GB"/>
        </w:rPr>
        <w:endnoteReference w:id="31"/>
      </w:r>
    </w:p>
    <w:p w14:paraId="755D6DCB" w14:textId="77777777" w:rsidR="00005E17" w:rsidRPr="006D3921" w:rsidRDefault="00005E17" w:rsidP="00411ACF">
      <w:pPr>
        <w:rPr>
          <w:sz w:val="22"/>
          <w:szCs w:val="22"/>
          <w:lang w:val="en-GB" w:eastAsia="en-GB"/>
        </w:rPr>
      </w:pPr>
    </w:p>
    <w:p w14:paraId="6097E71F" w14:textId="1BBE944F" w:rsidR="00005E17" w:rsidRPr="006D3921" w:rsidRDefault="00005E17" w:rsidP="00675501">
      <w:pPr>
        <w:jc w:val="both"/>
        <w:outlineLvl w:val="0"/>
        <w:rPr>
          <w:lang w:val="en-GB"/>
        </w:rPr>
      </w:pPr>
      <w:r w:rsidRPr="006D3921">
        <w:rPr>
          <w:bCs/>
          <w:sz w:val="22"/>
          <w:szCs w:val="22"/>
          <w:lang w:val="en-GB"/>
        </w:rPr>
        <w:t xml:space="preserve">The USLP was seen as driving business in four ways. First, it enhanced </w:t>
      </w:r>
      <w:r w:rsidRPr="006D3921">
        <w:rPr>
          <w:sz w:val="22"/>
          <w:szCs w:val="22"/>
          <w:lang w:val="en-GB"/>
        </w:rPr>
        <w:t xml:space="preserve">growth. As the company’s internal research found, sustainable brands were the preferred choice of </w:t>
      </w:r>
      <w:r>
        <w:rPr>
          <w:sz w:val="22"/>
          <w:szCs w:val="22"/>
          <w:lang w:val="en-GB"/>
        </w:rPr>
        <w:t>more than</w:t>
      </w:r>
      <w:r w:rsidRPr="006D3921">
        <w:rPr>
          <w:sz w:val="22"/>
          <w:szCs w:val="22"/>
          <w:lang w:val="en-GB"/>
        </w:rPr>
        <w:t xml:space="preserve"> half of its consumers. Second, it lowered costs. Sustainability helped reduce waste, improve efficiencies, lower expenses, and improve margins, while reducing exposure to volatile resource prices. Third, it mitigated risks associated with climate change and the long-term sourcing of raw materials, thus helping to future-proof the business. Fourth, it fostered trust. A sustainable business model was believed to contribute to stronger trust relationships with multiple stakeholders, including employees.</w:t>
      </w:r>
      <w:r w:rsidR="00F774DC" w:rsidRPr="006D3921">
        <w:rPr>
          <w:bCs/>
          <w:sz w:val="22"/>
          <w:szCs w:val="22"/>
          <w:vertAlign w:val="superscript"/>
          <w:lang w:val="en-GB"/>
        </w:rPr>
        <w:endnoteReference w:id="32"/>
      </w:r>
    </w:p>
    <w:p w14:paraId="3E8A69CD" w14:textId="77777777" w:rsidR="00005E17" w:rsidRPr="006D3921" w:rsidRDefault="00005E17" w:rsidP="00411ACF">
      <w:pPr>
        <w:jc w:val="both"/>
        <w:rPr>
          <w:sz w:val="22"/>
          <w:szCs w:val="22"/>
          <w:lang w:val="en-GB" w:eastAsia="en-GB"/>
        </w:rPr>
      </w:pPr>
    </w:p>
    <w:p w14:paraId="5F09B9A2" w14:textId="687FED18" w:rsidR="00005E17" w:rsidRPr="006D3921" w:rsidRDefault="00005E17" w:rsidP="00411ACF">
      <w:pPr>
        <w:jc w:val="both"/>
        <w:rPr>
          <w:sz w:val="22"/>
          <w:szCs w:val="22"/>
          <w:lang w:val="en-GB" w:eastAsia="en-GB"/>
        </w:rPr>
      </w:pPr>
      <w:r w:rsidRPr="006D3921">
        <w:rPr>
          <w:sz w:val="22"/>
          <w:szCs w:val="22"/>
          <w:lang w:val="en-GB" w:eastAsia="en-GB"/>
        </w:rPr>
        <w:t>In an effort to make Unilever plc the world’s most sustainable business,</w:t>
      </w:r>
      <w:r w:rsidRPr="006D3921">
        <w:rPr>
          <w:rStyle w:val="EndnoteReference"/>
          <w:sz w:val="22"/>
          <w:szCs w:val="22"/>
          <w:lang w:val="en-GB" w:eastAsia="en-GB"/>
        </w:rPr>
        <w:endnoteReference w:id="33"/>
      </w:r>
      <w:r w:rsidRPr="006D3921">
        <w:rPr>
          <w:sz w:val="22"/>
          <w:szCs w:val="22"/>
          <w:lang w:val="en-GB" w:eastAsia="en-GB"/>
        </w:rPr>
        <w:t xml:space="preserve"> the USLP sought to grow the business while achieving three key goals by 2020: </w:t>
      </w:r>
      <w:r>
        <w:rPr>
          <w:sz w:val="22"/>
          <w:szCs w:val="22"/>
          <w:lang w:val="en-GB" w:eastAsia="en-GB"/>
        </w:rPr>
        <w:t xml:space="preserve">to </w:t>
      </w:r>
      <w:r w:rsidRPr="006D3921">
        <w:rPr>
          <w:sz w:val="22"/>
          <w:szCs w:val="22"/>
          <w:lang w:val="en-GB" w:eastAsia="en-GB"/>
        </w:rPr>
        <w:t xml:space="preserve">help more than 1 billion people take action to improve their health and well-being, </w:t>
      </w:r>
      <w:r>
        <w:rPr>
          <w:sz w:val="22"/>
          <w:szCs w:val="22"/>
          <w:lang w:val="en-GB" w:eastAsia="en-GB"/>
        </w:rPr>
        <w:t xml:space="preserve">to </w:t>
      </w:r>
      <w:r w:rsidRPr="006D3921">
        <w:rPr>
          <w:sz w:val="22"/>
          <w:szCs w:val="22"/>
          <w:lang w:val="en-GB" w:eastAsia="en-GB"/>
        </w:rPr>
        <w:t xml:space="preserve">cut in half the environmental footprint of making and using products, and </w:t>
      </w:r>
      <w:r>
        <w:rPr>
          <w:sz w:val="22"/>
          <w:szCs w:val="22"/>
          <w:lang w:val="en-GB" w:eastAsia="en-GB"/>
        </w:rPr>
        <w:t xml:space="preserve">to </w:t>
      </w:r>
      <w:r w:rsidRPr="006D3921">
        <w:rPr>
          <w:sz w:val="22"/>
          <w:szCs w:val="22"/>
          <w:lang w:val="en-GB" w:eastAsia="en-GB"/>
        </w:rPr>
        <w:t>enhance the livelihoods of hundreds of thousands of people in the supply chain. These three goals comprised nine commitments and clear measurable targets for achieving social, environmental, and economic performance across the value chain.</w:t>
      </w:r>
      <w:r w:rsidRPr="006D3921">
        <w:rPr>
          <w:rStyle w:val="EndnoteReference"/>
          <w:sz w:val="22"/>
          <w:szCs w:val="22"/>
          <w:lang w:val="en-GB" w:eastAsia="en-GB"/>
        </w:rPr>
        <w:endnoteReference w:id="34"/>
      </w:r>
    </w:p>
    <w:p w14:paraId="132365BA" w14:textId="77777777" w:rsidR="00005E17" w:rsidRPr="006D3921" w:rsidRDefault="00005E17" w:rsidP="00411ACF">
      <w:pPr>
        <w:jc w:val="both"/>
        <w:rPr>
          <w:sz w:val="22"/>
          <w:szCs w:val="22"/>
          <w:lang w:val="en-GB" w:eastAsia="en-GB"/>
        </w:rPr>
      </w:pPr>
    </w:p>
    <w:p w14:paraId="56515F2C" w14:textId="428C066E" w:rsidR="00005E17" w:rsidRPr="006D3921" w:rsidRDefault="00005E17" w:rsidP="00411ACF">
      <w:pPr>
        <w:jc w:val="both"/>
        <w:rPr>
          <w:spacing w:val="-2"/>
          <w:sz w:val="22"/>
          <w:szCs w:val="22"/>
          <w:lang w:val="en-GB" w:eastAsia="en-GB"/>
        </w:rPr>
      </w:pPr>
      <w:r w:rsidRPr="006D3921">
        <w:rPr>
          <w:spacing w:val="-2"/>
          <w:sz w:val="22"/>
          <w:szCs w:val="22"/>
          <w:lang w:val="en-GB" w:eastAsia="en-GB"/>
        </w:rPr>
        <w:t>One of the USLP’s nine commitments fell under the third goal of enhancing the livelihoods of people in the supply chain—to enhance opportunities for women.</w:t>
      </w:r>
      <w:r w:rsidRPr="006D3921">
        <w:rPr>
          <w:rStyle w:val="EndnoteReference"/>
          <w:spacing w:val="-2"/>
          <w:sz w:val="22"/>
          <w:szCs w:val="22"/>
          <w:lang w:val="en-GB" w:eastAsia="en-GB"/>
        </w:rPr>
        <w:endnoteReference w:id="35"/>
      </w:r>
      <w:r w:rsidRPr="006D3921">
        <w:rPr>
          <w:spacing w:val="-2"/>
          <w:sz w:val="22"/>
          <w:szCs w:val="22"/>
          <w:lang w:val="en-GB" w:eastAsia="en-GB"/>
        </w:rPr>
        <w:t xml:space="preserve"> In 2014, gender equality and women’s empowerment was made a specific part of the USLP under this commitment to identify the company as a leader:</w:t>
      </w:r>
      <w:r w:rsidRPr="006D3921">
        <w:rPr>
          <w:rStyle w:val="EndnoteReference"/>
          <w:spacing w:val="-2"/>
          <w:sz w:val="22"/>
          <w:szCs w:val="22"/>
          <w:lang w:val="en-GB" w:eastAsia="en-GB"/>
        </w:rPr>
        <w:endnoteReference w:id="36"/>
      </w:r>
      <w:r w:rsidRPr="006D3921">
        <w:rPr>
          <w:spacing w:val="-2"/>
          <w:sz w:val="22"/>
          <w:szCs w:val="22"/>
          <w:lang w:val="en-GB" w:eastAsia="en-GB"/>
        </w:rPr>
        <w:t xml:space="preserve"> </w:t>
      </w:r>
    </w:p>
    <w:p w14:paraId="10FD1251" w14:textId="77777777" w:rsidR="00005E17" w:rsidRPr="006D3921" w:rsidRDefault="00005E17" w:rsidP="00411ACF">
      <w:pPr>
        <w:jc w:val="both"/>
        <w:rPr>
          <w:sz w:val="22"/>
          <w:szCs w:val="22"/>
          <w:lang w:val="en-GB" w:eastAsia="en-GB"/>
        </w:rPr>
      </w:pPr>
    </w:p>
    <w:p w14:paraId="3C72410D" w14:textId="32A423F0" w:rsidR="00005E17" w:rsidRPr="006D3921" w:rsidRDefault="00005E17" w:rsidP="00675501">
      <w:pPr>
        <w:ind w:left="720"/>
        <w:jc w:val="both"/>
        <w:rPr>
          <w:sz w:val="22"/>
          <w:szCs w:val="22"/>
          <w:lang w:val="en-GB" w:eastAsia="en-GB"/>
        </w:rPr>
      </w:pPr>
      <w:r w:rsidRPr="006D3921">
        <w:rPr>
          <w:sz w:val="22"/>
          <w:szCs w:val="22"/>
          <w:lang w:val="en-GB" w:eastAsia="en-GB"/>
        </w:rPr>
        <w:t>We want our business to be a leading force in closing the gender gap, and to challenge and change the harmful norms and stereotypes that are a barrier to women’s economic empowerment—and the adverse norms and stereotypes of masculinity that confine men too.</w:t>
      </w:r>
      <w:r w:rsidRPr="006D3921">
        <w:rPr>
          <w:rStyle w:val="EndnoteReference"/>
          <w:sz w:val="22"/>
          <w:szCs w:val="22"/>
          <w:lang w:val="en-GB" w:eastAsia="en-GB"/>
        </w:rPr>
        <w:endnoteReference w:id="37"/>
      </w:r>
      <w:r w:rsidRPr="006D3921">
        <w:rPr>
          <w:sz w:val="22"/>
          <w:szCs w:val="22"/>
          <w:lang w:val="en-GB" w:eastAsia="en-GB"/>
        </w:rPr>
        <w:t xml:space="preserve"> </w:t>
      </w:r>
    </w:p>
    <w:p w14:paraId="6D8E4CBC" w14:textId="77777777" w:rsidR="00005E17" w:rsidRPr="006D3921" w:rsidRDefault="00005E17" w:rsidP="00411ACF">
      <w:pPr>
        <w:jc w:val="both"/>
        <w:rPr>
          <w:sz w:val="22"/>
          <w:szCs w:val="22"/>
          <w:lang w:val="en-GB" w:eastAsia="en-GB"/>
        </w:rPr>
      </w:pPr>
    </w:p>
    <w:p w14:paraId="50025D4C" w14:textId="632E3CCF" w:rsidR="00005E17" w:rsidRDefault="00005E17" w:rsidP="00411ACF">
      <w:pPr>
        <w:jc w:val="both"/>
        <w:rPr>
          <w:sz w:val="22"/>
          <w:szCs w:val="22"/>
          <w:lang w:val="en-GB" w:eastAsia="en-GB"/>
        </w:rPr>
      </w:pPr>
      <w:r w:rsidRPr="006D3921">
        <w:rPr>
          <w:sz w:val="22"/>
          <w:szCs w:val="22"/>
          <w:lang w:val="en-GB" w:eastAsia="en-GB"/>
        </w:rPr>
        <w:t xml:space="preserve">The company claimed that gender equality and women’s empowerment would be transformational, benefiting individuals and their families and entire societies—as well as the business, since women constituted </w:t>
      </w:r>
      <w:r>
        <w:rPr>
          <w:sz w:val="22"/>
          <w:szCs w:val="22"/>
          <w:lang w:val="en-GB" w:eastAsia="en-GB"/>
        </w:rPr>
        <w:t>more than</w:t>
      </w:r>
      <w:r w:rsidRPr="006D3921">
        <w:rPr>
          <w:sz w:val="22"/>
          <w:szCs w:val="22"/>
          <w:lang w:val="en-GB" w:eastAsia="en-GB"/>
        </w:rPr>
        <w:t xml:space="preserve"> 70 per cent of its consumer base and 50 per cent of its employees. The company’s website noted that “we believe a world where women are economically empowered will be a </w:t>
      </w:r>
      <w:r w:rsidRPr="006D3921">
        <w:rPr>
          <w:iCs/>
          <w:sz w:val="22"/>
          <w:szCs w:val="22"/>
          <w:lang w:val="en-GB" w:eastAsia="en-GB"/>
        </w:rPr>
        <w:t>fairer, happier and more prosperous place</w:t>
      </w:r>
      <w:r w:rsidRPr="006D3921">
        <w:rPr>
          <w:sz w:val="22"/>
          <w:szCs w:val="22"/>
          <w:lang w:val="en-GB" w:eastAsia="en-GB"/>
        </w:rPr>
        <w:t xml:space="preserve"> to live for everybody—and that our business will flourish in it.” This </w:t>
      </w:r>
      <w:r>
        <w:rPr>
          <w:sz w:val="22"/>
          <w:szCs w:val="22"/>
          <w:lang w:val="en-GB" w:eastAsia="en-GB"/>
        </w:rPr>
        <w:t xml:space="preserve">commitment </w:t>
      </w:r>
      <w:r w:rsidRPr="006D3921">
        <w:rPr>
          <w:sz w:val="22"/>
          <w:szCs w:val="22"/>
          <w:lang w:val="en-GB" w:eastAsia="en-GB"/>
        </w:rPr>
        <w:t>also meant viewing all programs at the design and implementation stage</w:t>
      </w:r>
      <w:r>
        <w:rPr>
          <w:sz w:val="22"/>
          <w:szCs w:val="22"/>
          <w:lang w:val="en-GB" w:eastAsia="en-GB"/>
        </w:rPr>
        <w:t>s</w:t>
      </w:r>
      <w:r w:rsidRPr="006D3921">
        <w:rPr>
          <w:sz w:val="22"/>
          <w:szCs w:val="22"/>
          <w:lang w:val="en-GB" w:eastAsia="en-GB"/>
        </w:rPr>
        <w:t xml:space="preserve"> through a gender lens to see how they </w:t>
      </w:r>
      <w:r>
        <w:rPr>
          <w:sz w:val="22"/>
          <w:szCs w:val="22"/>
          <w:lang w:val="en-GB" w:eastAsia="en-GB"/>
        </w:rPr>
        <w:t>might</w:t>
      </w:r>
      <w:r w:rsidRPr="006D3921">
        <w:rPr>
          <w:sz w:val="22"/>
          <w:szCs w:val="22"/>
          <w:lang w:val="en-GB" w:eastAsia="en-GB"/>
        </w:rPr>
        <w:t xml:space="preserve"> hold women back, and how these barriers could be overcome.</w:t>
      </w:r>
      <w:r w:rsidRPr="006D3921">
        <w:rPr>
          <w:rStyle w:val="EndnoteReference"/>
          <w:sz w:val="22"/>
          <w:szCs w:val="22"/>
          <w:lang w:val="en-GB" w:eastAsia="en-GB"/>
        </w:rPr>
        <w:endnoteReference w:id="38"/>
      </w:r>
      <w:r w:rsidRPr="006D3921">
        <w:rPr>
          <w:sz w:val="22"/>
          <w:szCs w:val="22"/>
          <w:lang w:val="en-GB" w:eastAsia="en-GB"/>
        </w:rPr>
        <w:t xml:space="preserve"> </w:t>
      </w:r>
    </w:p>
    <w:p w14:paraId="1C7AA43C" w14:textId="77777777" w:rsidR="00005E17" w:rsidRPr="006D3921" w:rsidRDefault="00005E17" w:rsidP="00411ACF">
      <w:pPr>
        <w:jc w:val="both"/>
        <w:rPr>
          <w:sz w:val="22"/>
          <w:szCs w:val="22"/>
          <w:lang w:val="en-GB" w:eastAsia="en-GB"/>
        </w:rPr>
      </w:pPr>
    </w:p>
    <w:p w14:paraId="3CCA33EC" w14:textId="766BC3CA" w:rsidR="00005E17" w:rsidRPr="006D3921" w:rsidRDefault="00005E17" w:rsidP="00411ACF">
      <w:pPr>
        <w:jc w:val="both"/>
        <w:rPr>
          <w:sz w:val="22"/>
          <w:szCs w:val="22"/>
          <w:lang w:val="en-GB" w:eastAsia="en-GB"/>
        </w:rPr>
      </w:pPr>
      <w:r w:rsidRPr="006D3921">
        <w:rPr>
          <w:sz w:val="22"/>
          <w:szCs w:val="22"/>
          <w:lang w:val="en-GB" w:eastAsia="en-GB"/>
        </w:rPr>
        <w:lastRenderedPageBreak/>
        <w:t xml:space="preserve">In its 2017 report </w:t>
      </w:r>
      <w:r w:rsidRPr="006D3921">
        <w:rPr>
          <w:i/>
          <w:sz w:val="22"/>
          <w:szCs w:val="22"/>
          <w:lang w:val="en-GB" w:eastAsia="en-GB"/>
        </w:rPr>
        <w:t>Opportunities for Women</w:t>
      </w:r>
      <w:r w:rsidRPr="006D3921">
        <w:rPr>
          <w:sz w:val="22"/>
          <w:szCs w:val="22"/>
          <w:lang w:val="en-GB" w:eastAsia="en-GB"/>
        </w:rPr>
        <w:t>, Unilever plc highlighted the impact of social norms and stereotypes (which it referred to as “unconscious bias”) on the careers and personal lives of women. For example, women were expected to conform to traditionally male ideals of beauty. The company outlined how its approach across the value chain would work at a systemic level to challenge outdated gender norms and stereotypes. Its approach, which the company referred to as “</w:t>
      </w:r>
      <w:proofErr w:type="spellStart"/>
      <w:r w:rsidRPr="006D3921">
        <w:rPr>
          <w:sz w:val="22"/>
          <w:szCs w:val="22"/>
          <w:lang w:val="en-GB" w:eastAsia="en-GB"/>
        </w:rPr>
        <w:t>unstereotyping</w:t>
      </w:r>
      <w:proofErr w:type="spellEnd"/>
      <w:r w:rsidRPr="006D3921">
        <w:rPr>
          <w:sz w:val="22"/>
          <w:szCs w:val="22"/>
          <w:lang w:val="en-GB" w:eastAsia="en-GB"/>
        </w:rPr>
        <w:t>,” was expected to be the key factor in making equal opportunity the new norm.</w:t>
      </w:r>
      <w:r w:rsidRPr="006D3921">
        <w:rPr>
          <w:rStyle w:val="EndnoteReference"/>
          <w:sz w:val="22"/>
          <w:szCs w:val="22"/>
          <w:lang w:val="en-GB" w:eastAsia="en-GB"/>
        </w:rPr>
        <w:endnoteReference w:id="39"/>
      </w:r>
      <w:r w:rsidRPr="006D3921">
        <w:rPr>
          <w:sz w:val="22"/>
          <w:szCs w:val="22"/>
          <w:lang w:val="en-GB" w:eastAsia="en-GB"/>
        </w:rPr>
        <w:t xml:space="preserve"> The company linked ethics to sustainability, stating that “doing business ethically—and with integrity—is central to the Unilever Sustainable Living Plan.”</w:t>
      </w:r>
      <w:r w:rsidRPr="006D3921">
        <w:rPr>
          <w:rStyle w:val="EndnoteReference"/>
          <w:sz w:val="22"/>
          <w:szCs w:val="22"/>
          <w:lang w:val="en-GB" w:eastAsia="en-GB"/>
        </w:rPr>
        <w:endnoteReference w:id="40"/>
      </w:r>
    </w:p>
    <w:p w14:paraId="3436B775" w14:textId="77777777" w:rsidR="00005E17" w:rsidRPr="006D3921" w:rsidRDefault="00005E17" w:rsidP="00411ACF">
      <w:pPr>
        <w:jc w:val="both"/>
        <w:rPr>
          <w:sz w:val="22"/>
          <w:szCs w:val="22"/>
          <w:lang w:val="en-GB" w:eastAsia="en-GB"/>
        </w:rPr>
      </w:pPr>
    </w:p>
    <w:p w14:paraId="3228CB5C" w14:textId="3D3D1C08" w:rsidR="00005E17" w:rsidRPr="006D3921" w:rsidRDefault="00005E17" w:rsidP="00411ACF">
      <w:pPr>
        <w:jc w:val="both"/>
        <w:rPr>
          <w:lang w:val="en-GB" w:eastAsia="en-GB"/>
        </w:rPr>
      </w:pPr>
      <w:r w:rsidRPr="006D3921">
        <w:rPr>
          <w:sz w:val="22"/>
          <w:szCs w:val="22"/>
          <w:lang w:val="en-GB" w:eastAsia="en-GB"/>
        </w:rPr>
        <w:t xml:space="preserve">In May 2020, when the USLP celebrated its 10th year, the company’s chief executive officer, Alan </w:t>
      </w:r>
      <w:proofErr w:type="spellStart"/>
      <w:r w:rsidRPr="006D3921">
        <w:rPr>
          <w:sz w:val="22"/>
          <w:szCs w:val="22"/>
          <w:lang w:val="en-GB" w:eastAsia="en-GB"/>
        </w:rPr>
        <w:t>Jope</w:t>
      </w:r>
      <w:proofErr w:type="spellEnd"/>
      <w:r w:rsidRPr="006D3921">
        <w:rPr>
          <w:sz w:val="22"/>
          <w:szCs w:val="22"/>
          <w:lang w:val="en-GB" w:eastAsia="en-GB"/>
        </w:rPr>
        <w:t>, stressed the importance of making sustainable living common place for the world’s 8 billion people, even as the USLP was drawing to a close after 10 years:</w:t>
      </w:r>
      <w:r w:rsidRPr="006D3921">
        <w:rPr>
          <w:rStyle w:val="EndnoteReference"/>
          <w:lang w:val="en-GB" w:eastAsia="en-GB"/>
        </w:rPr>
        <w:endnoteReference w:id="41"/>
      </w:r>
      <w:r w:rsidRPr="006D3921">
        <w:rPr>
          <w:lang w:val="en-GB" w:eastAsia="en-GB"/>
        </w:rPr>
        <w:t xml:space="preserve"> </w:t>
      </w:r>
    </w:p>
    <w:p w14:paraId="620E69AD" w14:textId="77777777" w:rsidR="00005E17" w:rsidRPr="006D3921" w:rsidRDefault="00005E17" w:rsidP="00411ACF">
      <w:pPr>
        <w:jc w:val="both"/>
        <w:rPr>
          <w:sz w:val="22"/>
          <w:szCs w:val="22"/>
          <w:lang w:val="en-GB" w:eastAsia="en-GB"/>
        </w:rPr>
      </w:pPr>
    </w:p>
    <w:p w14:paraId="5DF90935" w14:textId="40FC24DD" w:rsidR="00005E17" w:rsidRPr="006D3921" w:rsidRDefault="00005E17" w:rsidP="00411ACF">
      <w:pPr>
        <w:pStyle w:val="BodyTextMain"/>
        <w:ind w:left="720"/>
        <w:rPr>
          <w:lang w:val="en-GB" w:eastAsia="en-GB"/>
        </w:rPr>
      </w:pPr>
      <w:r w:rsidRPr="006D3921">
        <w:rPr>
          <w:lang w:val="en-GB" w:eastAsia="en-GB"/>
        </w:rPr>
        <w:t>In fact, as the world is changing increasingly quickly, our employees, our consumers, our customers, our suppliers, our partners expect more from us. We know that we can continue to lead the charge, but we need to be better, bolder, and faster.</w:t>
      </w:r>
      <w:r w:rsidRPr="006D3921">
        <w:rPr>
          <w:rStyle w:val="EndnoteReference"/>
          <w:lang w:val="en-GB" w:eastAsia="en-GB"/>
        </w:rPr>
        <w:endnoteReference w:id="42"/>
      </w:r>
      <w:r w:rsidRPr="006D3921">
        <w:rPr>
          <w:lang w:val="en-GB" w:eastAsia="en-GB"/>
        </w:rPr>
        <w:t xml:space="preserve"> </w:t>
      </w:r>
    </w:p>
    <w:p w14:paraId="35E31DA8" w14:textId="77777777" w:rsidR="00005E17" w:rsidRPr="006D3921" w:rsidRDefault="00005E17" w:rsidP="00411ACF">
      <w:pPr>
        <w:pStyle w:val="BodyTextMain"/>
        <w:ind w:left="720"/>
        <w:rPr>
          <w:lang w:val="en-GB" w:eastAsia="en-GB"/>
        </w:rPr>
      </w:pPr>
    </w:p>
    <w:p w14:paraId="545E14F6" w14:textId="1EFF11F9" w:rsidR="00005E17" w:rsidRPr="006D3921" w:rsidRDefault="00005E17" w:rsidP="00411ACF">
      <w:pPr>
        <w:jc w:val="both"/>
        <w:rPr>
          <w:sz w:val="22"/>
          <w:szCs w:val="22"/>
          <w:lang w:val="en-GB"/>
        </w:rPr>
      </w:pPr>
      <w:r w:rsidRPr="006D3921">
        <w:rPr>
          <w:sz w:val="22"/>
          <w:szCs w:val="22"/>
          <w:lang w:val="en-GB"/>
        </w:rPr>
        <w:t xml:space="preserve">Previously, in 2019, </w:t>
      </w:r>
      <w:proofErr w:type="spellStart"/>
      <w:r w:rsidRPr="006D3921">
        <w:rPr>
          <w:sz w:val="22"/>
          <w:szCs w:val="22"/>
          <w:lang w:val="en-GB"/>
        </w:rPr>
        <w:t>Jope</w:t>
      </w:r>
      <w:proofErr w:type="spellEnd"/>
      <w:r w:rsidRPr="006D3921">
        <w:rPr>
          <w:sz w:val="22"/>
          <w:szCs w:val="22"/>
          <w:lang w:val="en-GB"/>
        </w:rPr>
        <w:t xml:space="preserve"> had stated, “I intend to build on Unilever’s century old commitment to responsible business. It is not about putting purpose ahead of profits. It is purpose that drives better profits.”</w:t>
      </w:r>
      <w:r w:rsidRPr="006D3921">
        <w:rPr>
          <w:rStyle w:val="EndnoteReference"/>
          <w:sz w:val="22"/>
          <w:szCs w:val="22"/>
          <w:lang w:val="en-GB"/>
        </w:rPr>
        <w:endnoteReference w:id="43"/>
      </w:r>
      <w:r w:rsidRPr="006D3921">
        <w:rPr>
          <w:sz w:val="22"/>
          <w:szCs w:val="22"/>
          <w:lang w:val="en-GB"/>
        </w:rPr>
        <w:t xml:space="preserve"> </w:t>
      </w:r>
    </w:p>
    <w:p w14:paraId="7FB006BA" w14:textId="77777777" w:rsidR="00005E17" w:rsidRPr="006D3921" w:rsidRDefault="00005E17" w:rsidP="00411ACF">
      <w:pPr>
        <w:jc w:val="both"/>
        <w:rPr>
          <w:sz w:val="22"/>
          <w:szCs w:val="22"/>
          <w:lang w:val="en-GB"/>
        </w:rPr>
      </w:pPr>
    </w:p>
    <w:p w14:paraId="64F582FB" w14:textId="42F38D55" w:rsidR="00005E17" w:rsidRPr="006D3921" w:rsidRDefault="00005E17" w:rsidP="00411ACF">
      <w:pPr>
        <w:jc w:val="both"/>
        <w:rPr>
          <w:sz w:val="22"/>
          <w:szCs w:val="22"/>
          <w:lang w:val="en-GB" w:eastAsia="en-GB"/>
        </w:rPr>
      </w:pPr>
      <w:r w:rsidRPr="006D3921">
        <w:rPr>
          <w:sz w:val="22"/>
          <w:szCs w:val="22"/>
          <w:lang w:val="en-GB"/>
        </w:rPr>
        <w:t xml:space="preserve">In the decade that the USLP had been in existence, India had become even more important for global brands. According to the Consumer Reach Points program, which </w:t>
      </w:r>
      <w:proofErr w:type="spellStart"/>
      <w:r w:rsidRPr="006D3921">
        <w:rPr>
          <w:sz w:val="22"/>
          <w:szCs w:val="22"/>
          <w:lang w:val="en-GB"/>
        </w:rPr>
        <w:t>analyzed</w:t>
      </w:r>
      <w:proofErr w:type="spellEnd"/>
      <w:r w:rsidRPr="006D3921">
        <w:rPr>
          <w:sz w:val="22"/>
          <w:szCs w:val="22"/>
          <w:lang w:val="en-GB"/>
        </w:rPr>
        <w:t xml:space="preserve"> consumer decisions using penetration and consumer choice as metrics, India contributed to the growth of 13 of the top 25 global brands.</w:t>
      </w:r>
      <w:r w:rsidRPr="006D3921">
        <w:rPr>
          <w:rStyle w:val="EndnoteReference"/>
          <w:sz w:val="22"/>
          <w:szCs w:val="22"/>
          <w:lang w:val="en-GB"/>
        </w:rPr>
        <w:endnoteReference w:id="44"/>
      </w:r>
      <w:r w:rsidRPr="006D3921">
        <w:rPr>
          <w:sz w:val="22"/>
          <w:szCs w:val="22"/>
          <w:lang w:val="en-GB"/>
        </w:rPr>
        <w:t xml:space="preserve"> </w:t>
      </w:r>
      <w:r w:rsidRPr="006D3921">
        <w:rPr>
          <w:sz w:val="22"/>
          <w:szCs w:val="22"/>
          <w:lang w:val="en-GB" w:eastAsia="en-GB"/>
        </w:rPr>
        <w:t xml:space="preserve">Unilever plc had 12 global brands with </w:t>
      </w:r>
      <w:r>
        <w:rPr>
          <w:sz w:val="22"/>
          <w:szCs w:val="22"/>
          <w:lang w:val="en-GB" w:eastAsia="en-GB"/>
        </w:rPr>
        <w:t>more than</w:t>
      </w:r>
      <w:r w:rsidRPr="006D3921">
        <w:rPr>
          <w:sz w:val="22"/>
          <w:szCs w:val="22"/>
          <w:lang w:val="en-GB" w:eastAsia="en-GB"/>
        </w:rPr>
        <w:t xml:space="preserve"> €1 billion in annual revenue, and other brands such as Fair </w:t>
      </w:r>
      <w:r>
        <w:rPr>
          <w:sz w:val="22"/>
          <w:szCs w:val="22"/>
          <w:lang w:val="en-GB" w:eastAsia="en-GB"/>
        </w:rPr>
        <w:t>&amp;</w:t>
      </w:r>
      <w:r w:rsidRPr="006D3921">
        <w:rPr>
          <w:sz w:val="22"/>
          <w:szCs w:val="22"/>
          <w:lang w:val="en-GB" w:eastAsia="en-GB"/>
        </w:rPr>
        <w:t xml:space="preserve"> Lovely were popular local or regional brands.</w:t>
      </w:r>
      <w:r w:rsidRPr="006D3921">
        <w:rPr>
          <w:rStyle w:val="EndnoteReference"/>
          <w:sz w:val="22"/>
          <w:szCs w:val="22"/>
          <w:lang w:val="en-GB" w:eastAsia="en-GB"/>
        </w:rPr>
        <w:endnoteReference w:id="45"/>
      </w:r>
    </w:p>
    <w:p w14:paraId="39AEC5EE" w14:textId="2A4F8D76" w:rsidR="00005E17" w:rsidRPr="006D3921" w:rsidRDefault="00005E17" w:rsidP="00411ACF">
      <w:pPr>
        <w:jc w:val="both"/>
        <w:rPr>
          <w:rFonts w:ascii="Arial" w:hAnsi="Arial" w:cs="Arial"/>
          <w:lang w:val="en-GB" w:eastAsia="en-GB"/>
        </w:rPr>
      </w:pPr>
    </w:p>
    <w:p w14:paraId="48F2B139" w14:textId="2F07219C" w:rsidR="00005E17" w:rsidRPr="006D3921" w:rsidRDefault="00005E17" w:rsidP="00411ACF">
      <w:pPr>
        <w:jc w:val="both"/>
        <w:rPr>
          <w:rFonts w:ascii="Arial" w:hAnsi="Arial" w:cs="Arial"/>
          <w:lang w:val="en-GB" w:eastAsia="en-GB"/>
        </w:rPr>
      </w:pPr>
    </w:p>
    <w:p w14:paraId="00EC00C6" w14:textId="77777777" w:rsidR="00005E17" w:rsidRPr="006D3921" w:rsidRDefault="00005E17" w:rsidP="00B54538">
      <w:pPr>
        <w:pStyle w:val="Casehead2"/>
        <w:rPr>
          <w:lang w:val="en-GB" w:eastAsia="en-GB"/>
        </w:rPr>
      </w:pPr>
      <w:r w:rsidRPr="006D3921">
        <w:rPr>
          <w:lang w:val="en-GB" w:eastAsia="en-GB"/>
        </w:rPr>
        <w:t>Sustainability</w:t>
      </w:r>
    </w:p>
    <w:p w14:paraId="78E66014" w14:textId="77777777" w:rsidR="00005E17" w:rsidRPr="006D3921" w:rsidRDefault="00005E17" w:rsidP="00411ACF">
      <w:pPr>
        <w:jc w:val="both"/>
        <w:rPr>
          <w:rFonts w:ascii="Arial" w:hAnsi="Arial" w:cs="Arial"/>
          <w:lang w:val="en-GB" w:eastAsia="en-GB"/>
        </w:rPr>
      </w:pPr>
    </w:p>
    <w:p w14:paraId="3900C94B" w14:textId="69ED2B37" w:rsidR="00005E17" w:rsidRPr="006D3921" w:rsidRDefault="00005E17" w:rsidP="00411ACF">
      <w:pPr>
        <w:jc w:val="both"/>
        <w:rPr>
          <w:sz w:val="22"/>
          <w:szCs w:val="22"/>
          <w:lang w:val="en-GB" w:eastAsia="en-GB"/>
        </w:rPr>
      </w:pPr>
      <w:r w:rsidRPr="006D3921">
        <w:rPr>
          <w:sz w:val="22"/>
          <w:szCs w:val="22"/>
          <w:lang w:val="en-GB" w:eastAsia="en-GB"/>
        </w:rPr>
        <w:t xml:space="preserve">In 1987, the United Nations’ </w:t>
      </w:r>
      <w:r w:rsidRPr="006D3921">
        <w:rPr>
          <w:i/>
          <w:sz w:val="22"/>
          <w:szCs w:val="22"/>
          <w:lang w:val="en-GB" w:eastAsia="en-GB"/>
        </w:rPr>
        <w:t>Our Common Future</w:t>
      </w:r>
      <w:r w:rsidRPr="006D3921">
        <w:rPr>
          <w:sz w:val="22"/>
          <w:szCs w:val="22"/>
          <w:lang w:val="en-GB" w:eastAsia="en-GB"/>
        </w:rPr>
        <w:t xml:space="preserve"> report defined sustainability as “meeting the needs of the present without compromising the ability of future generations to meet their own needs.”</w:t>
      </w:r>
      <w:r w:rsidRPr="006D3921">
        <w:rPr>
          <w:rStyle w:val="EndnoteReference"/>
          <w:sz w:val="22"/>
          <w:szCs w:val="22"/>
          <w:lang w:val="en-GB" w:eastAsia="en-GB"/>
        </w:rPr>
        <w:endnoteReference w:id="46"/>
      </w:r>
      <w:r w:rsidRPr="006D3921">
        <w:rPr>
          <w:sz w:val="22"/>
          <w:szCs w:val="22"/>
          <w:lang w:val="en-GB" w:eastAsia="en-GB"/>
        </w:rPr>
        <w:t xml:space="preserve"> Other definitions viewed sustainability in terms of not only intertemporal and intergenerational equity but also interpersonal equity. Yet others spoke of a triple bottom line that comprised people, the planet, and profits.</w:t>
      </w:r>
      <w:r w:rsidRPr="006D3921">
        <w:rPr>
          <w:rStyle w:val="EndnoteReference"/>
          <w:sz w:val="22"/>
          <w:szCs w:val="22"/>
          <w:lang w:val="en-GB" w:eastAsia="en-GB"/>
        </w:rPr>
        <w:endnoteReference w:id="47"/>
      </w:r>
      <w:r w:rsidRPr="006D3921">
        <w:rPr>
          <w:sz w:val="22"/>
          <w:szCs w:val="22"/>
          <w:lang w:val="en-GB" w:eastAsia="en-GB"/>
        </w:rPr>
        <w:t xml:space="preserve"> The focus on sustainability led businesses to improve the way they engaged with ecological and societal issues.</w:t>
      </w:r>
      <w:r w:rsidRPr="006D3921">
        <w:rPr>
          <w:rStyle w:val="EndnoteReference"/>
          <w:sz w:val="22"/>
          <w:szCs w:val="22"/>
          <w:lang w:val="en-GB" w:eastAsia="en-GB"/>
        </w:rPr>
        <w:endnoteReference w:id="48"/>
      </w:r>
      <w:r w:rsidRPr="006D3921">
        <w:rPr>
          <w:sz w:val="22"/>
          <w:szCs w:val="22"/>
          <w:lang w:val="en-GB" w:eastAsia="en-GB"/>
        </w:rPr>
        <w:t xml:space="preserve"> Corporate sustainability thus became a term that described the “various strategies and initiatives that firms used to engage with </w:t>
      </w:r>
      <w:r w:rsidRPr="006D3921">
        <w:rPr>
          <w:iCs/>
          <w:sz w:val="22"/>
          <w:szCs w:val="22"/>
          <w:lang w:val="en-GB" w:eastAsia="en-GB"/>
        </w:rPr>
        <w:t>nature</w:t>
      </w:r>
      <w:r w:rsidRPr="006D3921">
        <w:rPr>
          <w:sz w:val="22"/>
          <w:szCs w:val="22"/>
          <w:lang w:val="en-GB" w:eastAsia="en-GB"/>
        </w:rPr>
        <w:t xml:space="preserve"> and </w:t>
      </w:r>
      <w:r w:rsidRPr="006D3921">
        <w:rPr>
          <w:iCs/>
          <w:sz w:val="22"/>
          <w:szCs w:val="22"/>
          <w:lang w:val="en-GB" w:eastAsia="en-GB"/>
        </w:rPr>
        <w:t>society.</w:t>
      </w:r>
      <w:r w:rsidRPr="006D3921">
        <w:rPr>
          <w:sz w:val="22"/>
          <w:szCs w:val="22"/>
          <w:lang w:val="en-GB" w:eastAsia="en-GB"/>
        </w:rPr>
        <w:t>”</w:t>
      </w:r>
      <w:r w:rsidRPr="006D3921">
        <w:rPr>
          <w:rStyle w:val="EndnoteReference"/>
          <w:sz w:val="22"/>
          <w:szCs w:val="22"/>
          <w:lang w:val="en-GB" w:eastAsia="en-GB"/>
        </w:rPr>
        <w:endnoteReference w:id="49"/>
      </w:r>
      <w:r w:rsidRPr="006D3921">
        <w:rPr>
          <w:sz w:val="22"/>
          <w:szCs w:val="22"/>
          <w:lang w:val="en-GB" w:eastAsia="en-GB"/>
        </w:rPr>
        <w:t xml:space="preserve"> </w:t>
      </w:r>
    </w:p>
    <w:p w14:paraId="6E370228" w14:textId="77777777" w:rsidR="00005E17" w:rsidRPr="006D3921" w:rsidRDefault="00005E17" w:rsidP="00411ACF">
      <w:pPr>
        <w:jc w:val="both"/>
        <w:rPr>
          <w:sz w:val="22"/>
          <w:szCs w:val="22"/>
          <w:lang w:val="en-GB" w:eastAsia="en-GB"/>
        </w:rPr>
      </w:pPr>
    </w:p>
    <w:p w14:paraId="1AAE53E2" w14:textId="52A86D9A" w:rsidR="00005E17" w:rsidRPr="006D3921" w:rsidRDefault="00005E17" w:rsidP="00411ACF">
      <w:pPr>
        <w:jc w:val="both"/>
        <w:rPr>
          <w:sz w:val="22"/>
          <w:szCs w:val="22"/>
          <w:lang w:val="en-GB" w:eastAsia="en-GB"/>
        </w:rPr>
      </w:pPr>
      <w:r w:rsidRPr="006D3921">
        <w:rPr>
          <w:sz w:val="22"/>
          <w:szCs w:val="22"/>
          <w:lang w:val="en-GB" w:eastAsia="en-GB"/>
        </w:rPr>
        <w:t>Benn, Dunphy, and Griffiths assessed the progress of companies that pursued a clear agenda of sustainability through what they called a “phase model of sustainability,” in which organizations evolved into sustainable organizations through six phases organi</w:t>
      </w:r>
      <w:r>
        <w:rPr>
          <w:sz w:val="22"/>
          <w:szCs w:val="22"/>
          <w:lang w:val="en-GB" w:eastAsia="en-GB"/>
        </w:rPr>
        <w:t>z</w:t>
      </w:r>
      <w:r w:rsidRPr="006D3921">
        <w:rPr>
          <w:sz w:val="22"/>
          <w:szCs w:val="22"/>
          <w:lang w:val="en-GB" w:eastAsia="en-GB"/>
        </w:rPr>
        <w:t>ed over three waves. The six phases coincided with corporate views on sustainability as follows: (1) rejection and (2) non-responsiveness (in the first phase); (3) compliance, (4) efficiency, and (5) strategic pro-activity (in the second phase); and (6) the sustaining corporation (in the third phase).</w:t>
      </w:r>
      <w:r w:rsidR="00F774DC">
        <w:rPr>
          <w:rStyle w:val="EndnoteReference"/>
          <w:sz w:val="22"/>
          <w:szCs w:val="22"/>
          <w:lang w:val="en-GB" w:eastAsia="en-GB"/>
        </w:rPr>
        <w:endnoteReference w:id="50"/>
      </w:r>
    </w:p>
    <w:p w14:paraId="7991423A" w14:textId="77777777" w:rsidR="00005E17" w:rsidRPr="006D3921" w:rsidRDefault="00005E17" w:rsidP="00411ACF">
      <w:pPr>
        <w:jc w:val="both"/>
        <w:rPr>
          <w:sz w:val="22"/>
          <w:szCs w:val="22"/>
          <w:lang w:val="en-GB" w:eastAsia="en-GB"/>
        </w:rPr>
      </w:pPr>
    </w:p>
    <w:p w14:paraId="4F5AB669" w14:textId="175E44D1" w:rsidR="00005E17" w:rsidRPr="006D3921" w:rsidRDefault="00005E17" w:rsidP="00411ACF">
      <w:pPr>
        <w:jc w:val="both"/>
        <w:rPr>
          <w:sz w:val="22"/>
          <w:szCs w:val="22"/>
          <w:lang w:val="en-GB" w:eastAsia="en-GB"/>
        </w:rPr>
      </w:pPr>
      <w:r w:rsidRPr="006D3921">
        <w:rPr>
          <w:sz w:val="22"/>
          <w:szCs w:val="22"/>
          <w:lang w:val="en-GB" w:eastAsia="en-GB"/>
        </w:rPr>
        <w:t>The six phases were also mapped across a continuum of value destroyers and value limiters (in the first wave), value conservers and value creators (in the second wave), finally leading to a sustainable business (in the third wave). However, the continuum itself was not always smooth; organizations could progress and regress according to changing circumstances. Some organizations could even undergo transformative change toward more advanced phases of sustainability.</w:t>
      </w:r>
      <w:r w:rsidRPr="006D3921">
        <w:rPr>
          <w:rStyle w:val="EndnoteReference"/>
          <w:sz w:val="22"/>
          <w:szCs w:val="22"/>
          <w:lang w:val="en-GB" w:eastAsia="en-GB"/>
        </w:rPr>
        <w:endnoteReference w:id="51"/>
      </w:r>
    </w:p>
    <w:p w14:paraId="6614B9FA" w14:textId="77777777" w:rsidR="00005E17" w:rsidRPr="006D3921" w:rsidRDefault="00005E17" w:rsidP="00411ACF">
      <w:pPr>
        <w:pStyle w:val="BodyTextMain"/>
        <w:ind w:left="720"/>
        <w:rPr>
          <w:lang w:val="en-GB" w:eastAsia="en-GB"/>
        </w:rPr>
      </w:pPr>
    </w:p>
    <w:p w14:paraId="442F91DF" w14:textId="77777777" w:rsidR="00005E17" w:rsidRPr="006D3921" w:rsidRDefault="00005E17" w:rsidP="00411ACF">
      <w:pPr>
        <w:jc w:val="both"/>
        <w:rPr>
          <w:sz w:val="22"/>
          <w:szCs w:val="22"/>
          <w:lang w:val="en-GB" w:eastAsia="en-GB"/>
        </w:rPr>
      </w:pPr>
    </w:p>
    <w:p w14:paraId="6FFC00FC" w14:textId="4C149D7C" w:rsidR="00005E17" w:rsidRPr="006D3921" w:rsidRDefault="00005E17" w:rsidP="00971632">
      <w:pPr>
        <w:pStyle w:val="Casehead1"/>
        <w:rPr>
          <w:lang w:val="en-GB" w:eastAsia="en-GB"/>
        </w:rPr>
      </w:pPr>
      <w:r w:rsidRPr="006D3921">
        <w:rPr>
          <w:lang w:val="en-GB" w:eastAsia="en-GB"/>
        </w:rPr>
        <w:lastRenderedPageBreak/>
        <w:t>THE MARKET FOR FAIR skin products IN INDIA</w:t>
      </w:r>
    </w:p>
    <w:p w14:paraId="31BEAFBF" w14:textId="77777777" w:rsidR="00005E17" w:rsidRPr="006D3921" w:rsidRDefault="00005E17" w:rsidP="00411ACF">
      <w:pPr>
        <w:keepNext/>
        <w:jc w:val="both"/>
        <w:rPr>
          <w:rFonts w:ascii="Arial" w:hAnsi="Arial" w:cs="Arial"/>
          <w:b/>
          <w:bCs/>
          <w:lang w:val="en-GB" w:eastAsia="en-GB"/>
        </w:rPr>
      </w:pPr>
    </w:p>
    <w:p w14:paraId="7B68F0F3" w14:textId="31CBEFC6" w:rsidR="00005E17" w:rsidRPr="006D3921" w:rsidRDefault="00005E17" w:rsidP="00411ACF">
      <w:pPr>
        <w:keepNext/>
        <w:jc w:val="both"/>
        <w:rPr>
          <w:sz w:val="22"/>
          <w:szCs w:val="22"/>
          <w:lang w:val="en-GB" w:eastAsia="en-GB"/>
        </w:rPr>
      </w:pPr>
      <w:r w:rsidRPr="006D3921">
        <w:rPr>
          <w:sz w:val="22"/>
          <w:szCs w:val="22"/>
          <w:lang w:val="en-GB" w:eastAsia="en-GB"/>
        </w:rPr>
        <w:t xml:space="preserve">The first known commercial fair skin cream in India was called Afghan Snow. The product was launched in 1919 by Ebrahim </w:t>
      </w:r>
      <w:proofErr w:type="spellStart"/>
      <w:r w:rsidRPr="006D3921">
        <w:rPr>
          <w:sz w:val="22"/>
          <w:szCs w:val="22"/>
          <w:lang w:val="en-GB" w:eastAsia="en-GB"/>
        </w:rPr>
        <w:t>Sultanali</w:t>
      </w:r>
      <w:proofErr w:type="spellEnd"/>
      <w:r w:rsidRPr="006D3921">
        <w:rPr>
          <w:sz w:val="22"/>
          <w:szCs w:val="22"/>
          <w:lang w:val="en-GB" w:eastAsia="en-GB"/>
        </w:rPr>
        <w:t xml:space="preserve"> </w:t>
      </w:r>
      <w:proofErr w:type="spellStart"/>
      <w:r w:rsidRPr="006D3921">
        <w:rPr>
          <w:sz w:val="22"/>
          <w:szCs w:val="22"/>
          <w:lang w:val="en-GB" w:eastAsia="en-GB"/>
        </w:rPr>
        <w:t>Patanwala</w:t>
      </w:r>
      <w:proofErr w:type="spellEnd"/>
      <w:r w:rsidRPr="006D3921">
        <w:rPr>
          <w:sz w:val="22"/>
          <w:szCs w:val="22"/>
          <w:lang w:val="en-GB" w:eastAsia="en-GB"/>
        </w:rPr>
        <w:t xml:space="preserve">, a perfumer and entrepreneur. Associations between fair and beautiful were soon established, leading to the company sponsoring the first Miss India pageant in 1952. The practice of celebrity </w:t>
      </w:r>
      <w:r>
        <w:rPr>
          <w:sz w:val="22"/>
          <w:szCs w:val="22"/>
          <w:lang w:val="en-GB" w:eastAsia="en-GB"/>
        </w:rPr>
        <w:t>associations</w:t>
      </w:r>
      <w:r w:rsidRPr="006D3921">
        <w:rPr>
          <w:sz w:val="22"/>
          <w:szCs w:val="22"/>
          <w:lang w:val="en-GB" w:eastAsia="en-GB"/>
        </w:rPr>
        <w:t xml:space="preserve"> had already started by this time, including a</w:t>
      </w:r>
      <w:r>
        <w:rPr>
          <w:sz w:val="22"/>
          <w:szCs w:val="22"/>
          <w:lang w:val="en-GB" w:eastAsia="en-GB"/>
        </w:rPr>
        <w:t xml:space="preserve"> sponsorship</w:t>
      </w:r>
      <w:r w:rsidRPr="006D3921">
        <w:rPr>
          <w:sz w:val="22"/>
          <w:szCs w:val="22"/>
          <w:lang w:val="en-GB" w:eastAsia="en-GB"/>
        </w:rPr>
        <w:t xml:space="preserve"> of the Indian model and film star Persis </w:t>
      </w:r>
      <w:proofErr w:type="spellStart"/>
      <w:r w:rsidRPr="006D3921">
        <w:rPr>
          <w:sz w:val="22"/>
          <w:szCs w:val="22"/>
          <w:lang w:val="en-GB" w:eastAsia="en-GB"/>
        </w:rPr>
        <w:t>Khambatta</w:t>
      </w:r>
      <w:proofErr w:type="spellEnd"/>
      <w:r w:rsidRPr="006D3921">
        <w:rPr>
          <w:sz w:val="22"/>
          <w:szCs w:val="22"/>
          <w:lang w:val="en-GB" w:eastAsia="en-GB"/>
        </w:rPr>
        <w:t xml:space="preserve">, whose movie credits included the 1979 film </w:t>
      </w:r>
      <w:r w:rsidRPr="006D3921">
        <w:rPr>
          <w:i/>
          <w:iCs/>
          <w:sz w:val="22"/>
          <w:szCs w:val="22"/>
          <w:lang w:val="en-GB" w:eastAsia="en-GB"/>
        </w:rPr>
        <w:t>Star Trek: The Motion Picture</w:t>
      </w:r>
      <w:r w:rsidRPr="006D3921">
        <w:rPr>
          <w:sz w:val="22"/>
          <w:szCs w:val="22"/>
          <w:lang w:val="en-GB" w:eastAsia="en-GB"/>
        </w:rPr>
        <w:t>, among others.</w:t>
      </w:r>
      <w:r w:rsidRPr="006D3921">
        <w:rPr>
          <w:rStyle w:val="EndnoteReference"/>
          <w:sz w:val="22"/>
          <w:szCs w:val="22"/>
          <w:lang w:val="en-GB" w:eastAsia="en-GB"/>
        </w:rPr>
        <w:endnoteReference w:id="52"/>
      </w:r>
      <w:r w:rsidRPr="006D3921">
        <w:rPr>
          <w:sz w:val="22"/>
          <w:szCs w:val="22"/>
          <w:lang w:val="en-GB" w:eastAsia="en-GB"/>
        </w:rPr>
        <w:t xml:space="preserve"> </w:t>
      </w:r>
    </w:p>
    <w:p w14:paraId="03F08DD2" w14:textId="77777777" w:rsidR="00005E17" w:rsidRPr="006D3921" w:rsidRDefault="00005E17" w:rsidP="00411ACF">
      <w:pPr>
        <w:jc w:val="both"/>
        <w:rPr>
          <w:sz w:val="22"/>
          <w:szCs w:val="22"/>
          <w:lang w:val="en-GB" w:eastAsia="en-GB"/>
        </w:rPr>
      </w:pPr>
    </w:p>
    <w:p w14:paraId="3E7D685D" w14:textId="132A824B" w:rsidR="00005E17" w:rsidRPr="006D3921" w:rsidRDefault="00005E17" w:rsidP="00411ACF">
      <w:pPr>
        <w:jc w:val="both"/>
        <w:rPr>
          <w:sz w:val="22"/>
          <w:szCs w:val="22"/>
          <w:lang w:val="en-GB" w:eastAsia="en-GB"/>
        </w:rPr>
      </w:pPr>
      <w:r w:rsidRPr="006D3921">
        <w:rPr>
          <w:sz w:val="22"/>
          <w:szCs w:val="22"/>
          <w:lang w:val="en-GB" w:eastAsia="en-GB"/>
        </w:rPr>
        <w:t xml:space="preserve">As the market for the creams grew, so did scrutiny of the products, what they actually did or did not achieve, and the ingredients that </w:t>
      </w:r>
      <w:r>
        <w:rPr>
          <w:sz w:val="22"/>
          <w:szCs w:val="22"/>
          <w:lang w:val="en-GB" w:eastAsia="en-GB"/>
        </w:rPr>
        <w:t>compris</w:t>
      </w:r>
      <w:r w:rsidRPr="006D3921">
        <w:rPr>
          <w:sz w:val="22"/>
          <w:szCs w:val="22"/>
          <w:lang w:val="en-GB" w:eastAsia="en-GB"/>
        </w:rPr>
        <w:t>ed each product. Various reports questioned the claim that a cream could change a person’s skin colour.</w:t>
      </w:r>
      <w:r w:rsidRPr="006D3921">
        <w:rPr>
          <w:rStyle w:val="EndnoteReference"/>
          <w:sz w:val="22"/>
          <w:szCs w:val="22"/>
          <w:lang w:val="en-GB" w:eastAsia="en-GB"/>
        </w:rPr>
        <w:endnoteReference w:id="53"/>
      </w:r>
      <w:r w:rsidRPr="006D3921">
        <w:rPr>
          <w:sz w:val="22"/>
          <w:szCs w:val="22"/>
          <w:lang w:val="en-GB" w:eastAsia="en-GB"/>
        </w:rPr>
        <w:t xml:space="preserve"> In 2019, the World Health Organization issued a report on the use of harmful mercury as an ingredient in some skin</w:t>
      </w:r>
      <w:r>
        <w:rPr>
          <w:sz w:val="22"/>
          <w:szCs w:val="22"/>
          <w:lang w:val="en-GB" w:eastAsia="en-GB"/>
        </w:rPr>
        <w:t>-</w:t>
      </w:r>
      <w:r w:rsidRPr="006D3921">
        <w:rPr>
          <w:sz w:val="22"/>
          <w:szCs w:val="22"/>
          <w:lang w:val="en-GB" w:eastAsia="en-GB"/>
        </w:rPr>
        <w:t>lightening products. The report highlighted the skin</w:t>
      </w:r>
      <w:r>
        <w:rPr>
          <w:sz w:val="22"/>
          <w:szCs w:val="22"/>
          <w:lang w:val="en-GB" w:eastAsia="en-GB"/>
        </w:rPr>
        <w:t>-</w:t>
      </w:r>
      <w:r w:rsidRPr="006D3921">
        <w:rPr>
          <w:sz w:val="22"/>
          <w:szCs w:val="22"/>
          <w:lang w:val="en-GB" w:eastAsia="en-GB"/>
        </w:rPr>
        <w:t>lightening industry as one of the fastest</w:t>
      </w:r>
      <w:r>
        <w:rPr>
          <w:sz w:val="22"/>
          <w:szCs w:val="22"/>
          <w:lang w:val="en-GB" w:eastAsia="en-GB"/>
        </w:rPr>
        <w:t>-</w:t>
      </w:r>
      <w:r w:rsidRPr="006D3921">
        <w:rPr>
          <w:sz w:val="22"/>
          <w:szCs w:val="22"/>
          <w:lang w:val="en-GB" w:eastAsia="en-GB"/>
        </w:rPr>
        <w:t>growing beauty industries in the world, estimated to be worth $31.2 billion by 2024</w:t>
      </w:r>
      <w:r w:rsidRPr="006D3921">
        <w:rPr>
          <w:i/>
          <w:iCs/>
          <w:sz w:val="22"/>
          <w:szCs w:val="22"/>
          <w:lang w:val="en-GB" w:eastAsia="en-GB"/>
        </w:rPr>
        <w:t>.</w:t>
      </w:r>
      <w:r w:rsidRPr="006D3921">
        <w:rPr>
          <w:sz w:val="22"/>
          <w:szCs w:val="22"/>
          <w:lang w:val="en-GB" w:eastAsia="en-GB"/>
        </w:rPr>
        <w:t xml:space="preserve"> In India, skin</w:t>
      </w:r>
      <w:r>
        <w:rPr>
          <w:sz w:val="22"/>
          <w:szCs w:val="22"/>
          <w:lang w:val="en-GB" w:eastAsia="en-GB"/>
        </w:rPr>
        <w:t>-</w:t>
      </w:r>
      <w:r w:rsidRPr="006D3921">
        <w:rPr>
          <w:sz w:val="22"/>
          <w:szCs w:val="22"/>
          <w:lang w:val="en-GB" w:eastAsia="en-GB"/>
        </w:rPr>
        <w:t>lightening products with and without mercury represented 50 per cent of the skin care market, estimated at $450</w:t>
      </w:r>
      <w:r>
        <w:rPr>
          <w:sz w:val="22"/>
          <w:szCs w:val="22"/>
          <w:lang w:val="en-GB" w:eastAsia="en-GB"/>
        </w:rPr>
        <w:t xml:space="preserve"> million</w:t>
      </w:r>
      <w:r w:rsidRPr="006D3921">
        <w:rPr>
          <w:sz w:val="22"/>
          <w:szCs w:val="22"/>
          <w:lang w:val="en-GB" w:eastAsia="en-GB"/>
        </w:rPr>
        <w:t>–$535 million.</w:t>
      </w:r>
      <w:r w:rsidRPr="006D3921">
        <w:rPr>
          <w:rStyle w:val="EndnoteReference"/>
          <w:sz w:val="22"/>
          <w:szCs w:val="22"/>
          <w:lang w:val="en-GB" w:eastAsia="en-GB"/>
        </w:rPr>
        <w:endnoteReference w:id="54"/>
      </w:r>
      <w:r w:rsidRPr="006D3921">
        <w:rPr>
          <w:sz w:val="22"/>
          <w:szCs w:val="22"/>
          <w:lang w:val="en-GB" w:eastAsia="en-GB"/>
        </w:rPr>
        <w:t xml:space="preserve"> An Indian industry report estimated that the market was expected to grow at a compound annual growth rate of 9 per cent between 2018 and 2023, reaching $660.41 million by 2023.</w:t>
      </w:r>
      <w:r w:rsidRPr="006D3921">
        <w:rPr>
          <w:rStyle w:val="EndnoteReference"/>
          <w:sz w:val="22"/>
          <w:szCs w:val="22"/>
          <w:lang w:val="en-GB" w:eastAsia="en-GB"/>
        </w:rPr>
        <w:endnoteReference w:id="55"/>
      </w:r>
      <w:r w:rsidRPr="006D3921">
        <w:rPr>
          <w:sz w:val="22"/>
          <w:szCs w:val="22"/>
          <w:lang w:val="en-GB" w:eastAsia="en-GB"/>
        </w:rPr>
        <w:t xml:space="preserve"> In March 2020, the market research company Nielsen Retail Measurement Services estimated fair skin creams including face moisturizers, hand and body lotions, face cleansers, and skin bleaches at $766.08 million, for a growth rate of 4.4 per cent over the previous year.</w:t>
      </w:r>
      <w:r w:rsidRPr="006D3921">
        <w:rPr>
          <w:rStyle w:val="EndnoteReference"/>
          <w:sz w:val="22"/>
          <w:szCs w:val="22"/>
          <w:lang w:val="en-GB" w:eastAsia="en-GB"/>
        </w:rPr>
        <w:endnoteReference w:id="56"/>
      </w:r>
      <w:r w:rsidRPr="006D3921">
        <w:rPr>
          <w:sz w:val="22"/>
          <w:szCs w:val="22"/>
          <w:lang w:val="en-GB" w:eastAsia="en-GB"/>
        </w:rPr>
        <w:t xml:space="preserve"> </w:t>
      </w:r>
    </w:p>
    <w:p w14:paraId="6C197EAA" w14:textId="77777777" w:rsidR="00005E17" w:rsidRPr="006D3921" w:rsidRDefault="00005E17" w:rsidP="00411ACF">
      <w:pPr>
        <w:jc w:val="both"/>
        <w:rPr>
          <w:sz w:val="22"/>
          <w:szCs w:val="22"/>
          <w:lang w:val="en-GB" w:eastAsia="en-GB"/>
        </w:rPr>
      </w:pPr>
    </w:p>
    <w:p w14:paraId="1378F1D1" w14:textId="6DD7813D" w:rsidR="00005E17" w:rsidRPr="006D3921" w:rsidRDefault="00005E17" w:rsidP="00411ACF">
      <w:pPr>
        <w:jc w:val="both"/>
        <w:rPr>
          <w:spacing w:val="-2"/>
          <w:sz w:val="22"/>
          <w:szCs w:val="22"/>
          <w:lang w:val="en-GB" w:eastAsia="en-GB"/>
        </w:rPr>
      </w:pPr>
      <w:r w:rsidRPr="006D3921">
        <w:rPr>
          <w:sz w:val="22"/>
          <w:szCs w:val="22"/>
          <w:lang w:val="en-GB" w:eastAsia="en-GB"/>
        </w:rPr>
        <w:t xml:space="preserve">However, these estimates considered </w:t>
      </w:r>
      <w:r>
        <w:rPr>
          <w:sz w:val="22"/>
          <w:szCs w:val="22"/>
          <w:lang w:val="en-GB" w:eastAsia="en-GB"/>
        </w:rPr>
        <w:t xml:space="preserve">only </w:t>
      </w:r>
      <w:r w:rsidRPr="006D3921">
        <w:rPr>
          <w:sz w:val="22"/>
          <w:szCs w:val="22"/>
          <w:lang w:val="en-GB" w:eastAsia="en-GB"/>
        </w:rPr>
        <w:t>the country’s organized market. Numerous smaller companies took advantage of the thriving established market to sell their imitation products. In 2000, the unbranded market was estimated at one-third the size of the branded, organi</w:t>
      </w:r>
      <w:r>
        <w:rPr>
          <w:sz w:val="22"/>
          <w:szCs w:val="22"/>
          <w:lang w:val="en-GB" w:eastAsia="en-GB"/>
        </w:rPr>
        <w:t>z</w:t>
      </w:r>
      <w:r w:rsidRPr="006D3921">
        <w:rPr>
          <w:sz w:val="22"/>
          <w:szCs w:val="22"/>
          <w:lang w:val="en-GB" w:eastAsia="en-GB"/>
        </w:rPr>
        <w:t>ed market, with high growth potential.</w:t>
      </w:r>
      <w:r w:rsidRPr="006D3921">
        <w:rPr>
          <w:rStyle w:val="EndnoteReference"/>
          <w:sz w:val="22"/>
          <w:szCs w:val="22"/>
          <w:lang w:val="en-GB" w:eastAsia="en-GB"/>
        </w:rPr>
        <w:endnoteReference w:id="57"/>
      </w:r>
      <w:r w:rsidRPr="006D3921">
        <w:rPr>
          <w:sz w:val="22"/>
          <w:szCs w:val="22"/>
          <w:lang w:val="en-GB" w:eastAsia="en-GB"/>
        </w:rPr>
        <w:t xml:space="preserve"> India’s organized fair skin cream market included major Indian corporations and multinational companies. Unilever plc’s Indian subsidiary, HUL, was competing against local operations of major global competitors including Procter &amp; Gamble Company, Johnson &amp; Johnson, L’Oréal S.A., and NIVEA, in addition to local FMCG companies including Dabur, Emami Group, ITC Limited, Lotus Herbals, Biotique, Vini Cosmetics, and The Himalaya Drug Company.</w:t>
      </w:r>
      <w:r w:rsidRPr="006D3921">
        <w:rPr>
          <w:rStyle w:val="EndnoteReference"/>
          <w:sz w:val="22"/>
          <w:szCs w:val="22"/>
          <w:lang w:val="en-GB" w:eastAsia="en-GB"/>
        </w:rPr>
        <w:endnoteReference w:id="58"/>
      </w:r>
      <w:r w:rsidRPr="006D3921">
        <w:rPr>
          <w:sz w:val="22"/>
          <w:szCs w:val="22"/>
          <w:lang w:val="en-GB" w:eastAsia="en-GB"/>
        </w:rPr>
        <w:t xml:space="preserve"> </w:t>
      </w:r>
      <w:r w:rsidRPr="006D3921">
        <w:rPr>
          <w:spacing w:val="-2"/>
          <w:sz w:val="22"/>
          <w:szCs w:val="22"/>
          <w:lang w:val="en-GB" w:eastAsia="en-GB"/>
        </w:rPr>
        <w:t xml:space="preserve">The Indian market showed a clear preference for fair skin, as noted in the March 2018 industry report </w:t>
      </w:r>
      <w:r w:rsidRPr="006D3921">
        <w:rPr>
          <w:i/>
          <w:spacing w:val="-2"/>
          <w:sz w:val="22"/>
          <w:szCs w:val="22"/>
          <w:lang w:val="en-GB" w:eastAsia="en-GB"/>
        </w:rPr>
        <w:t>India Fairness Cream &amp; Bleach Market Overview, 2018–2023</w:t>
      </w:r>
      <w:r w:rsidRPr="006D3921">
        <w:rPr>
          <w:spacing w:val="-2"/>
          <w:sz w:val="22"/>
          <w:szCs w:val="22"/>
          <w:lang w:val="en-GB" w:eastAsia="en-GB"/>
        </w:rPr>
        <w:t>:</w:t>
      </w:r>
    </w:p>
    <w:p w14:paraId="67FEF0F7" w14:textId="77777777" w:rsidR="00005E17" w:rsidRPr="006D3921" w:rsidRDefault="00005E17" w:rsidP="00411ACF">
      <w:pPr>
        <w:jc w:val="both"/>
        <w:rPr>
          <w:spacing w:val="-2"/>
          <w:sz w:val="22"/>
          <w:szCs w:val="22"/>
          <w:lang w:val="en-GB" w:eastAsia="en-GB"/>
        </w:rPr>
      </w:pPr>
    </w:p>
    <w:p w14:paraId="48F57701" w14:textId="380ABB7B" w:rsidR="00005E17" w:rsidRPr="006D3921" w:rsidRDefault="00005E17" w:rsidP="00675501">
      <w:pPr>
        <w:ind w:left="720"/>
        <w:jc w:val="both"/>
        <w:rPr>
          <w:spacing w:val="-2"/>
          <w:sz w:val="22"/>
          <w:szCs w:val="22"/>
          <w:lang w:val="en-GB" w:eastAsia="en-GB"/>
        </w:rPr>
      </w:pPr>
      <w:r w:rsidRPr="006D3921">
        <w:rPr>
          <w:spacing w:val="-2"/>
          <w:sz w:val="22"/>
          <w:szCs w:val="22"/>
          <w:lang w:val="en-GB" w:eastAsia="en-GB"/>
        </w:rPr>
        <w:t>There’s always been a crazy obsession in Indian women for fair-toned skin. Dusky ladies are often subject to racial discrimination in their own country. There are many matrimonial sites in India, which differentiate the skin colour into fair, dusky and dark.</w:t>
      </w:r>
      <w:r w:rsidRPr="006D3921">
        <w:rPr>
          <w:rStyle w:val="EndnoteReference"/>
          <w:sz w:val="22"/>
          <w:szCs w:val="22"/>
          <w:lang w:val="en-GB" w:eastAsia="en-GB"/>
        </w:rPr>
        <w:endnoteReference w:id="59"/>
      </w:r>
    </w:p>
    <w:p w14:paraId="0BE3312A" w14:textId="77777777" w:rsidR="00005E17" w:rsidRPr="006D3921" w:rsidRDefault="00005E17" w:rsidP="00411ACF">
      <w:pPr>
        <w:jc w:val="both"/>
        <w:rPr>
          <w:spacing w:val="-2"/>
          <w:sz w:val="22"/>
          <w:szCs w:val="22"/>
          <w:lang w:val="en-GB" w:eastAsia="en-GB"/>
        </w:rPr>
      </w:pPr>
    </w:p>
    <w:p w14:paraId="25E1DCE5" w14:textId="07230A17" w:rsidR="00005E17" w:rsidRPr="006D3921" w:rsidRDefault="00005E17" w:rsidP="00411ACF">
      <w:pPr>
        <w:jc w:val="both"/>
        <w:rPr>
          <w:sz w:val="22"/>
          <w:szCs w:val="22"/>
          <w:lang w:val="en-GB" w:eastAsia="en-GB"/>
        </w:rPr>
      </w:pPr>
      <w:r w:rsidRPr="006D3921">
        <w:rPr>
          <w:sz w:val="22"/>
          <w:szCs w:val="22"/>
          <w:lang w:val="en-GB" w:eastAsia="en-GB"/>
        </w:rPr>
        <w:t>On the demand side of this growing market, there were five key drivers: a growing emphasis on appearance, rising disposable incomes, sun protection and other climatic factors, influence and brand endorsements from the media and the Indian movie industry (commonly known as Bollywood—the Bombay version of Hollywood), and societal pressure to look well-groomed and fair-skinned. On the supply side of the growing fair skin market, there were three key drivers: a large number of national and international brands entering the market, growing e-commerce sales, and a strong distribution network.</w:t>
      </w:r>
      <w:r w:rsidRPr="006D3921">
        <w:rPr>
          <w:rStyle w:val="EndnoteReference"/>
          <w:sz w:val="22"/>
          <w:szCs w:val="22"/>
          <w:lang w:val="en-GB" w:eastAsia="en-GB"/>
        </w:rPr>
        <w:endnoteReference w:id="60"/>
      </w:r>
      <w:r w:rsidRPr="006D3921">
        <w:rPr>
          <w:sz w:val="22"/>
          <w:szCs w:val="22"/>
          <w:lang w:val="en-GB" w:eastAsia="en-GB"/>
        </w:rPr>
        <w:t xml:space="preserve"> </w:t>
      </w:r>
    </w:p>
    <w:p w14:paraId="64E3FF5A" w14:textId="77777777" w:rsidR="00005E17" w:rsidRPr="006D3921" w:rsidRDefault="00005E17" w:rsidP="00411ACF">
      <w:pPr>
        <w:jc w:val="both"/>
        <w:rPr>
          <w:sz w:val="22"/>
          <w:szCs w:val="22"/>
          <w:lang w:val="en-GB" w:eastAsia="en-GB"/>
        </w:rPr>
      </w:pPr>
    </w:p>
    <w:p w14:paraId="19C80873" w14:textId="2855CC4F" w:rsidR="00005E17" w:rsidRPr="006D3921" w:rsidRDefault="00005E17" w:rsidP="00411ACF">
      <w:pPr>
        <w:jc w:val="both"/>
        <w:rPr>
          <w:sz w:val="22"/>
          <w:szCs w:val="22"/>
          <w:lang w:val="en-GB" w:eastAsia="en-GB"/>
        </w:rPr>
      </w:pPr>
      <w:r w:rsidRPr="006D3921">
        <w:rPr>
          <w:sz w:val="22"/>
          <w:szCs w:val="22"/>
          <w:lang w:val="en-GB" w:eastAsia="en-GB"/>
        </w:rPr>
        <w:t>Fair skin creams were part of the FMCG sector, the fourth-largest market segment in the Indian economy. The market for FMCG goods in India was one of the fastest</w:t>
      </w:r>
      <w:r>
        <w:rPr>
          <w:sz w:val="22"/>
          <w:szCs w:val="22"/>
          <w:lang w:val="en-GB" w:eastAsia="en-GB"/>
        </w:rPr>
        <w:t>-</w:t>
      </w:r>
      <w:r w:rsidRPr="006D3921">
        <w:rPr>
          <w:sz w:val="22"/>
          <w:szCs w:val="22"/>
          <w:lang w:val="en-GB" w:eastAsia="en-GB"/>
        </w:rPr>
        <w:t xml:space="preserve">growing in the world, although per capita FMCG consumption in India was still very low, which implied </w:t>
      </w:r>
      <w:r>
        <w:rPr>
          <w:sz w:val="22"/>
          <w:szCs w:val="22"/>
          <w:lang w:val="en-GB" w:eastAsia="en-GB"/>
        </w:rPr>
        <w:t>substantial</w:t>
      </w:r>
      <w:r w:rsidRPr="006D3921">
        <w:rPr>
          <w:sz w:val="22"/>
          <w:szCs w:val="22"/>
          <w:lang w:val="en-GB" w:eastAsia="en-GB"/>
        </w:rPr>
        <w:t xml:space="preserve"> scope for the industry to continue growing.</w:t>
      </w:r>
      <w:r w:rsidRPr="006D3921">
        <w:rPr>
          <w:rStyle w:val="EndnoteReference"/>
          <w:sz w:val="22"/>
          <w:szCs w:val="22"/>
          <w:lang w:val="en-GB" w:eastAsia="en-GB"/>
        </w:rPr>
        <w:endnoteReference w:id="61"/>
      </w:r>
      <w:r w:rsidRPr="006D3921">
        <w:rPr>
          <w:sz w:val="22"/>
          <w:szCs w:val="22"/>
          <w:lang w:val="en-GB" w:eastAsia="en-GB"/>
        </w:rPr>
        <w:t xml:space="preserve"> The Indian FMCG market comprised three main segments: food and beverages at 19 per cent, health care at 31 per cent, and household and personal care at 50 per cent. The household and personal care segment included oral care, hair care, skin care, cosmetics and deodorants, perfumes, feminine hygiene and paper products, fabric wash, and household cleaners. In 2018, the urban FMCG market accounted for 55 per cent of revenue</w:t>
      </w:r>
      <w:r>
        <w:rPr>
          <w:sz w:val="22"/>
          <w:szCs w:val="22"/>
          <w:lang w:val="en-GB" w:eastAsia="en-GB"/>
        </w:rPr>
        <w:t>,</w:t>
      </w:r>
      <w:r w:rsidRPr="006D3921">
        <w:rPr>
          <w:sz w:val="22"/>
          <w:szCs w:val="22"/>
          <w:lang w:val="en-GB" w:eastAsia="en-GB"/>
        </w:rPr>
        <w:t xml:space="preserve"> </w:t>
      </w:r>
      <w:r>
        <w:rPr>
          <w:sz w:val="22"/>
          <w:szCs w:val="22"/>
          <w:lang w:val="en-GB" w:eastAsia="en-GB"/>
        </w:rPr>
        <w:t xml:space="preserve">while </w:t>
      </w:r>
      <w:r w:rsidRPr="006D3921">
        <w:rPr>
          <w:sz w:val="22"/>
          <w:szCs w:val="22"/>
          <w:lang w:val="en-GB" w:eastAsia="en-GB"/>
        </w:rPr>
        <w:t>rural areas accounted for 45 per cent.</w:t>
      </w:r>
      <w:r w:rsidRPr="006D3921">
        <w:rPr>
          <w:rStyle w:val="EndnoteReference"/>
          <w:sz w:val="22"/>
          <w:szCs w:val="22"/>
          <w:lang w:val="en-GB" w:eastAsia="en-GB"/>
        </w:rPr>
        <w:endnoteReference w:id="62"/>
      </w:r>
      <w:r w:rsidRPr="006D3921">
        <w:rPr>
          <w:sz w:val="22"/>
          <w:szCs w:val="22"/>
          <w:lang w:val="en-GB" w:eastAsia="en-GB"/>
        </w:rPr>
        <w:t xml:space="preserve"> </w:t>
      </w:r>
    </w:p>
    <w:p w14:paraId="3A457BA1" w14:textId="1BE98101" w:rsidR="00005E17" w:rsidRPr="006D3921" w:rsidRDefault="00005E17" w:rsidP="00A20693">
      <w:pPr>
        <w:pStyle w:val="Casehead1"/>
        <w:rPr>
          <w:bCs/>
          <w:lang w:val="en-GB"/>
        </w:rPr>
      </w:pPr>
      <w:r w:rsidRPr="006D3921">
        <w:rPr>
          <w:bCs/>
          <w:lang w:val="en-GB"/>
        </w:rPr>
        <w:lastRenderedPageBreak/>
        <w:t>HINDUSTAN UNILEVER LimiTeD</w:t>
      </w:r>
    </w:p>
    <w:p w14:paraId="16A490FA" w14:textId="77777777" w:rsidR="00005E17" w:rsidRPr="006D3921" w:rsidRDefault="00005E17" w:rsidP="00411ACF">
      <w:pPr>
        <w:jc w:val="both"/>
        <w:rPr>
          <w:rFonts w:ascii="Arial" w:hAnsi="Arial" w:cs="Arial"/>
          <w:b/>
          <w:bCs/>
          <w:lang w:val="en-GB"/>
        </w:rPr>
      </w:pPr>
    </w:p>
    <w:p w14:paraId="425A9738" w14:textId="19F5738D" w:rsidR="00005E17" w:rsidRPr="006D3921" w:rsidRDefault="00005E17" w:rsidP="00411ACF">
      <w:pPr>
        <w:pStyle w:val="BodyTextMain"/>
        <w:rPr>
          <w:lang w:val="en-GB"/>
        </w:rPr>
      </w:pPr>
      <w:r w:rsidRPr="006D3921">
        <w:rPr>
          <w:lang w:val="en-GB"/>
        </w:rPr>
        <w:t>Unilever plc held a 67.2 per cent share in its Indian subsidiary</w:t>
      </w:r>
      <w:r>
        <w:rPr>
          <w:lang w:val="en-GB"/>
        </w:rPr>
        <w:t>,</w:t>
      </w:r>
      <w:r w:rsidRPr="006D3921">
        <w:rPr>
          <w:lang w:val="en-GB"/>
        </w:rPr>
        <w:t xml:space="preserve"> HUL, which was India’s largest FMCG company.</w:t>
      </w:r>
      <w:r w:rsidRPr="006D3921">
        <w:rPr>
          <w:rStyle w:val="EndnoteReference"/>
          <w:lang w:val="en-GB"/>
        </w:rPr>
        <w:endnoteReference w:id="63"/>
      </w:r>
      <w:r w:rsidRPr="006D3921">
        <w:rPr>
          <w:lang w:val="en-GB"/>
        </w:rPr>
        <w:t xml:space="preserve"> HUL was Unilever plc’s largest market in terms of volume. It was currently second to the US market in terms of revenue, but was estimated to surpass the US market by 2027.</w:t>
      </w:r>
      <w:r w:rsidRPr="006D3921">
        <w:rPr>
          <w:rFonts w:eastAsia="Calibri"/>
          <w:vertAlign w:val="superscript"/>
          <w:lang w:val="en-GB"/>
        </w:rPr>
        <w:endnoteReference w:id="64"/>
      </w:r>
    </w:p>
    <w:p w14:paraId="2868155D" w14:textId="77777777" w:rsidR="00005E17" w:rsidRPr="006D3921" w:rsidRDefault="00005E17" w:rsidP="00411ACF">
      <w:pPr>
        <w:jc w:val="both"/>
        <w:rPr>
          <w:sz w:val="22"/>
          <w:szCs w:val="22"/>
          <w:lang w:val="en-GB"/>
        </w:rPr>
      </w:pPr>
    </w:p>
    <w:p w14:paraId="3C085858" w14:textId="36E94DC8" w:rsidR="00005E17" w:rsidRPr="006D3921" w:rsidRDefault="00005E17" w:rsidP="00411ACF">
      <w:pPr>
        <w:jc w:val="both"/>
        <w:rPr>
          <w:sz w:val="22"/>
          <w:szCs w:val="22"/>
          <w:lang w:val="en-GB" w:eastAsia="en-GB"/>
        </w:rPr>
      </w:pPr>
      <w:r w:rsidRPr="006D3921">
        <w:rPr>
          <w:sz w:val="22"/>
          <w:szCs w:val="22"/>
          <w:lang w:val="en-GB"/>
        </w:rPr>
        <w:t>In 2020, the company had 44 brands across 14 categories. The skin</w:t>
      </w:r>
      <w:r>
        <w:rPr>
          <w:sz w:val="22"/>
          <w:szCs w:val="22"/>
          <w:lang w:val="en-GB"/>
        </w:rPr>
        <w:t>-</w:t>
      </w:r>
      <w:r w:rsidRPr="006D3921">
        <w:rPr>
          <w:sz w:val="22"/>
          <w:szCs w:val="22"/>
          <w:lang w:val="en-GB"/>
        </w:rPr>
        <w:t xml:space="preserve">care category included five major brands: Dove, Pond’s, Vaseline, </w:t>
      </w:r>
      <w:r w:rsidRPr="006D3921">
        <w:rPr>
          <w:sz w:val="22"/>
          <w:szCs w:val="22"/>
          <w:lang w:val="en-GB" w:eastAsia="en-GB"/>
        </w:rPr>
        <w:t>Lakmé, and Fair &amp; Lovely. In HUL’s fiscal year (FY) 2019–20, the beauty and personal care segment contributed 45 per cent of the company’s revenue, at $5.055 billion,</w:t>
      </w:r>
      <w:r w:rsidRPr="006D3921">
        <w:rPr>
          <w:rStyle w:val="EndnoteReference"/>
          <w:sz w:val="22"/>
          <w:szCs w:val="22"/>
          <w:lang w:val="en-GB" w:eastAsia="en-GB"/>
        </w:rPr>
        <w:endnoteReference w:id="65"/>
      </w:r>
      <w:r w:rsidRPr="006D3921">
        <w:rPr>
          <w:sz w:val="22"/>
          <w:szCs w:val="22"/>
          <w:lang w:val="en-GB" w:eastAsia="en-GB"/>
        </w:rPr>
        <w:t xml:space="preserve"> and 56 per cent of earnings before interest, tax, depreciation, and amortization, at $1.268 billion.</w:t>
      </w:r>
      <w:r w:rsidRPr="006D3921">
        <w:rPr>
          <w:rStyle w:val="EndnoteReference"/>
          <w:sz w:val="22"/>
          <w:szCs w:val="22"/>
          <w:lang w:val="en-GB" w:eastAsia="en-GB"/>
        </w:rPr>
        <w:endnoteReference w:id="66"/>
      </w:r>
      <w:r w:rsidRPr="006D3921">
        <w:rPr>
          <w:sz w:val="22"/>
          <w:szCs w:val="22"/>
          <w:lang w:val="en-GB" w:eastAsia="en-GB"/>
        </w:rPr>
        <w:t xml:space="preserve"> The company had 21,000 employees, 1,150 supplier partners, 31 factories, 15 offices, and various logistics warehouses spread across the country. Its products were available in approximately 8 million outlets across India and used by 90 per cent of Indian households “to feel good, look good and get more out of life.”</w:t>
      </w:r>
      <w:r w:rsidRPr="006D3921">
        <w:rPr>
          <w:rStyle w:val="EndnoteReference"/>
          <w:sz w:val="22"/>
          <w:szCs w:val="22"/>
          <w:lang w:val="en-GB" w:eastAsia="en-GB"/>
        </w:rPr>
        <w:endnoteReference w:id="67"/>
      </w:r>
    </w:p>
    <w:p w14:paraId="2731ED5B" w14:textId="77777777" w:rsidR="00005E17" w:rsidRPr="006D3921" w:rsidRDefault="00005E17" w:rsidP="00411ACF">
      <w:pPr>
        <w:jc w:val="both"/>
        <w:rPr>
          <w:rFonts w:ascii="Arial" w:hAnsi="Arial" w:cs="Arial"/>
          <w:lang w:val="en-GB" w:eastAsia="en-GB"/>
        </w:rPr>
      </w:pPr>
    </w:p>
    <w:p w14:paraId="416B772D" w14:textId="1C990E74" w:rsidR="00005E17" w:rsidRPr="006D3921" w:rsidRDefault="00005E17" w:rsidP="00411ACF">
      <w:pPr>
        <w:jc w:val="both"/>
        <w:rPr>
          <w:sz w:val="22"/>
          <w:szCs w:val="22"/>
          <w:lang w:val="en-GB"/>
        </w:rPr>
      </w:pPr>
      <w:r w:rsidRPr="006D3921">
        <w:rPr>
          <w:sz w:val="22"/>
          <w:szCs w:val="22"/>
          <w:lang w:val="en-GB"/>
        </w:rPr>
        <w:t>In 2010, HUL adopted its parent company’s sustainability approach to support the USLP.</w:t>
      </w:r>
      <w:r w:rsidRPr="006D3921">
        <w:rPr>
          <w:sz w:val="22"/>
          <w:szCs w:val="22"/>
          <w:vertAlign w:val="superscript"/>
          <w:lang w:val="en-GB"/>
        </w:rPr>
        <w:endnoteReference w:id="68"/>
      </w:r>
      <w:r w:rsidRPr="006D3921">
        <w:rPr>
          <w:sz w:val="22"/>
          <w:szCs w:val="22"/>
          <w:lang w:val="en-GB"/>
        </w:rPr>
        <w:t xml:space="preserve"> The company also promoted its own high standards of ethical conduct and policies of “doing well by doing good.” HUL values were defined in its Code of Business Principles for interaction with multiple stakeholders, including employees, suppliers, distributors, and retailers.</w:t>
      </w:r>
      <w:r w:rsidRPr="006D3921">
        <w:rPr>
          <w:sz w:val="22"/>
          <w:szCs w:val="22"/>
          <w:vertAlign w:val="superscript"/>
          <w:lang w:val="en-GB"/>
        </w:rPr>
        <w:endnoteReference w:id="69"/>
      </w:r>
      <w:r w:rsidRPr="006D3921">
        <w:rPr>
          <w:sz w:val="22"/>
          <w:szCs w:val="22"/>
          <w:vertAlign w:val="superscript"/>
          <w:lang w:val="en-GB"/>
        </w:rPr>
        <w:t xml:space="preserve"> </w:t>
      </w:r>
      <w:r w:rsidRPr="006D3921">
        <w:rPr>
          <w:sz w:val="22"/>
          <w:szCs w:val="22"/>
          <w:lang w:val="en-GB" w:eastAsia="en-GB"/>
        </w:rPr>
        <w:t>Consider</w:t>
      </w:r>
      <w:r>
        <w:rPr>
          <w:sz w:val="22"/>
          <w:szCs w:val="22"/>
          <w:lang w:val="en-GB" w:eastAsia="en-GB"/>
        </w:rPr>
        <w:t>ing</w:t>
      </w:r>
      <w:r w:rsidRPr="006D3921">
        <w:rPr>
          <w:sz w:val="22"/>
          <w:szCs w:val="22"/>
          <w:lang w:val="en-GB" w:eastAsia="en-GB"/>
        </w:rPr>
        <w:t xml:space="preserve"> itself a company led by consumer insights, it stated in its </w:t>
      </w:r>
      <w:r w:rsidRPr="006D3921">
        <w:rPr>
          <w:i/>
          <w:sz w:val="22"/>
          <w:szCs w:val="22"/>
          <w:lang w:val="en-GB" w:eastAsia="en-GB"/>
        </w:rPr>
        <w:t>Annual Report 2019–20</w:t>
      </w:r>
      <w:r w:rsidRPr="006D3921">
        <w:rPr>
          <w:sz w:val="22"/>
          <w:szCs w:val="22"/>
          <w:lang w:val="en-GB" w:eastAsia="en-GB"/>
        </w:rPr>
        <w:t xml:space="preserve"> that “We track changing consumer sentiment through our People Data Centre, combining social listening with traditional consumer research.”</w:t>
      </w:r>
      <w:r w:rsidRPr="006D3921">
        <w:rPr>
          <w:rStyle w:val="EndnoteReference"/>
          <w:sz w:val="22"/>
          <w:szCs w:val="22"/>
          <w:lang w:val="en-GB" w:eastAsia="en-GB"/>
        </w:rPr>
        <w:endnoteReference w:id="70"/>
      </w:r>
    </w:p>
    <w:p w14:paraId="52C7DF40" w14:textId="38DA7F87" w:rsidR="00005E17" w:rsidRPr="006D3921" w:rsidRDefault="00005E17" w:rsidP="00411ACF">
      <w:pPr>
        <w:jc w:val="both"/>
        <w:rPr>
          <w:sz w:val="22"/>
          <w:szCs w:val="22"/>
          <w:lang w:val="en-GB"/>
        </w:rPr>
      </w:pPr>
    </w:p>
    <w:p w14:paraId="315B314A" w14:textId="63963929" w:rsidR="00005E17" w:rsidRPr="006D3921" w:rsidRDefault="00005E17" w:rsidP="00411ACF">
      <w:pPr>
        <w:jc w:val="both"/>
        <w:rPr>
          <w:sz w:val="22"/>
          <w:szCs w:val="22"/>
          <w:lang w:val="en-GB"/>
        </w:rPr>
      </w:pPr>
    </w:p>
    <w:p w14:paraId="58CC7549" w14:textId="12CCCA41" w:rsidR="00005E17" w:rsidRPr="006D3921" w:rsidRDefault="00005E17" w:rsidP="00675501">
      <w:pPr>
        <w:pStyle w:val="Casehead1"/>
        <w:rPr>
          <w:lang w:val="en-GB" w:eastAsia="en-GB"/>
        </w:rPr>
      </w:pPr>
      <w:r w:rsidRPr="006D3921">
        <w:rPr>
          <w:lang w:val="en-GB" w:eastAsia="en-GB"/>
        </w:rPr>
        <w:t>FAIR &amp; LOVELY</w:t>
      </w:r>
    </w:p>
    <w:p w14:paraId="36BC65F6" w14:textId="77777777" w:rsidR="00005E17" w:rsidRPr="006D3921" w:rsidRDefault="00005E17" w:rsidP="00411ACF">
      <w:pPr>
        <w:jc w:val="both"/>
        <w:rPr>
          <w:rFonts w:ascii="Arial" w:hAnsi="Arial" w:cs="Arial"/>
          <w:b/>
          <w:bCs/>
          <w:lang w:val="en-GB" w:eastAsia="en-GB"/>
        </w:rPr>
      </w:pPr>
    </w:p>
    <w:p w14:paraId="74A04C2E" w14:textId="77777777" w:rsidR="00005E17" w:rsidRPr="006D3921" w:rsidRDefault="00005E17" w:rsidP="00411ACF">
      <w:pPr>
        <w:pStyle w:val="Casehead2"/>
        <w:rPr>
          <w:lang w:val="en-GB" w:eastAsia="en-GB"/>
        </w:rPr>
      </w:pPr>
      <w:r w:rsidRPr="006D3921">
        <w:rPr>
          <w:lang w:val="en-GB" w:eastAsia="en-GB"/>
        </w:rPr>
        <w:t>Origin</w:t>
      </w:r>
    </w:p>
    <w:p w14:paraId="44977B4B" w14:textId="77777777" w:rsidR="00005E17" w:rsidRPr="006D3921" w:rsidRDefault="00005E17" w:rsidP="00411ACF">
      <w:pPr>
        <w:jc w:val="both"/>
        <w:rPr>
          <w:rFonts w:ascii="Arial" w:hAnsi="Arial" w:cs="Arial"/>
          <w:b/>
          <w:bCs/>
          <w:lang w:val="en-GB" w:eastAsia="en-GB"/>
        </w:rPr>
      </w:pPr>
    </w:p>
    <w:p w14:paraId="0261CC62" w14:textId="2281959F" w:rsidR="00005E17" w:rsidRPr="006D3921" w:rsidRDefault="00005E17" w:rsidP="00411ACF">
      <w:pPr>
        <w:jc w:val="both"/>
        <w:rPr>
          <w:sz w:val="22"/>
          <w:szCs w:val="22"/>
          <w:lang w:val="en-GB" w:eastAsia="en-GB"/>
        </w:rPr>
      </w:pPr>
      <w:r w:rsidRPr="006D3921">
        <w:rPr>
          <w:sz w:val="22"/>
          <w:szCs w:val="22"/>
          <w:lang w:val="en-GB" w:eastAsia="en-GB"/>
        </w:rPr>
        <w:t xml:space="preserve">F&amp;L was launched in March 1975 </w:t>
      </w:r>
      <w:r w:rsidRPr="006D3921">
        <w:rPr>
          <w:sz w:val="22"/>
          <w:szCs w:val="22"/>
          <w:lang w:val="en-GB"/>
        </w:rPr>
        <w:t>by HUL</w:t>
      </w:r>
      <w:r w:rsidRPr="006D3921">
        <w:rPr>
          <w:sz w:val="22"/>
          <w:szCs w:val="22"/>
          <w:lang w:val="en-GB" w:eastAsia="en-GB"/>
        </w:rPr>
        <w:t xml:space="preserve"> at a time when the Indian beauty</w:t>
      </w:r>
      <w:r>
        <w:rPr>
          <w:sz w:val="22"/>
          <w:szCs w:val="22"/>
          <w:lang w:val="en-GB" w:eastAsia="en-GB"/>
        </w:rPr>
        <w:t>-</w:t>
      </w:r>
      <w:r w:rsidRPr="006D3921">
        <w:rPr>
          <w:sz w:val="22"/>
          <w:szCs w:val="22"/>
          <w:lang w:val="en-GB" w:eastAsia="en-GB"/>
        </w:rPr>
        <w:t>care segment comprised few products.</w:t>
      </w:r>
      <w:r w:rsidRPr="006D3921">
        <w:rPr>
          <w:rStyle w:val="EndnoteReference"/>
          <w:sz w:val="22"/>
          <w:szCs w:val="22"/>
          <w:lang w:val="en-GB" w:eastAsia="en-GB"/>
        </w:rPr>
        <w:endnoteReference w:id="71"/>
      </w:r>
      <w:r w:rsidRPr="006D3921">
        <w:rPr>
          <w:sz w:val="22"/>
          <w:szCs w:val="22"/>
          <w:lang w:val="en-GB" w:eastAsia="en-GB"/>
        </w:rPr>
        <w:t xml:space="preserve"> The product itself owed its origin to a serendipitous idea conceived by the company’s controller of the toilet preparations division (later renamed the personal products unit) in the Indian state of Tamil Nadu. That division was mainly responsible for products such as shaving cream and talcum powder. Noticing advertisements for “fair brides,” the controller wondered </w:t>
      </w:r>
      <w:r>
        <w:rPr>
          <w:sz w:val="22"/>
          <w:szCs w:val="22"/>
          <w:lang w:val="en-GB" w:eastAsia="en-GB"/>
        </w:rPr>
        <w:t>whether</w:t>
      </w:r>
      <w:r w:rsidRPr="006D3921">
        <w:rPr>
          <w:sz w:val="22"/>
          <w:szCs w:val="22"/>
          <w:lang w:val="en-GB" w:eastAsia="en-GB"/>
        </w:rPr>
        <w:t xml:space="preserve"> a fair</w:t>
      </w:r>
      <w:r>
        <w:rPr>
          <w:sz w:val="22"/>
          <w:szCs w:val="22"/>
          <w:lang w:val="en-GB" w:eastAsia="en-GB"/>
        </w:rPr>
        <w:t>-</w:t>
      </w:r>
      <w:r w:rsidRPr="006D3921">
        <w:rPr>
          <w:sz w:val="22"/>
          <w:szCs w:val="22"/>
          <w:lang w:val="en-GB" w:eastAsia="en-GB"/>
        </w:rPr>
        <w:t>skin product might be successful and approached the company’s research and development department.</w:t>
      </w:r>
      <w:r w:rsidRPr="006D3921">
        <w:rPr>
          <w:rStyle w:val="EndnoteReference"/>
          <w:sz w:val="22"/>
          <w:szCs w:val="22"/>
          <w:lang w:val="en-GB" w:eastAsia="en-GB"/>
        </w:rPr>
        <w:endnoteReference w:id="72"/>
      </w:r>
      <w:r w:rsidRPr="006D3921">
        <w:rPr>
          <w:sz w:val="22"/>
          <w:szCs w:val="22"/>
          <w:lang w:val="en-GB" w:eastAsia="en-GB"/>
        </w:rPr>
        <w:t xml:space="preserve"> At first, the idea was greeted with </w:t>
      </w:r>
      <w:proofErr w:type="spellStart"/>
      <w:r w:rsidRPr="006D3921">
        <w:rPr>
          <w:sz w:val="22"/>
          <w:szCs w:val="22"/>
          <w:lang w:val="en-GB" w:eastAsia="en-GB"/>
        </w:rPr>
        <w:t>skepticism</w:t>
      </w:r>
      <w:proofErr w:type="spellEnd"/>
      <w:r w:rsidRPr="006D3921">
        <w:rPr>
          <w:sz w:val="22"/>
          <w:szCs w:val="22"/>
          <w:lang w:val="en-GB" w:eastAsia="en-GB"/>
        </w:rPr>
        <w:t>, but soon research showed a gap in the market for a product that promised fairer skin</w:t>
      </w:r>
      <w:r>
        <w:rPr>
          <w:sz w:val="22"/>
          <w:szCs w:val="22"/>
          <w:lang w:val="en-GB" w:eastAsia="en-GB"/>
        </w:rPr>
        <w:t>,</w:t>
      </w:r>
      <w:r w:rsidRPr="006D3921">
        <w:rPr>
          <w:sz w:val="22"/>
          <w:szCs w:val="22"/>
          <w:lang w:val="en-GB" w:eastAsia="en-GB"/>
        </w:rPr>
        <w:t xml:space="preserve"> and a face cream was launched that claimed to make the user’s skin fairer within six weeks.</w:t>
      </w:r>
      <w:r w:rsidRPr="006D3921">
        <w:rPr>
          <w:rStyle w:val="EndnoteReference"/>
          <w:sz w:val="22"/>
          <w:szCs w:val="22"/>
          <w:lang w:val="en-GB" w:eastAsia="en-GB"/>
        </w:rPr>
        <w:endnoteReference w:id="73"/>
      </w:r>
      <w:r w:rsidRPr="006D3921">
        <w:rPr>
          <w:sz w:val="22"/>
          <w:szCs w:val="22"/>
          <w:lang w:val="en-GB" w:eastAsia="en-GB"/>
        </w:rPr>
        <w:t xml:space="preserve"> A former brand manager recalled the unique product’s development process and promotion: “The product was developed scientifically, and the results were brilliant. For a national roll-out, massive door-to-door selling was mounted for which promotion agencies were hired in many cities.”</w:t>
      </w:r>
      <w:r w:rsidRPr="006D3921">
        <w:rPr>
          <w:rStyle w:val="EndnoteReference"/>
          <w:sz w:val="22"/>
          <w:szCs w:val="22"/>
          <w:lang w:val="en-GB" w:eastAsia="en-GB"/>
        </w:rPr>
        <w:endnoteReference w:id="74"/>
      </w:r>
      <w:r w:rsidRPr="006D3921">
        <w:rPr>
          <w:sz w:val="22"/>
          <w:szCs w:val="22"/>
          <w:lang w:val="en-GB" w:eastAsia="en-GB"/>
        </w:rPr>
        <w:t xml:space="preserve"> </w:t>
      </w:r>
    </w:p>
    <w:p w14:paraId="7CEA80CC" w14:textId="77777777" w:rsidR="00005E17" w:rsidRPr="006D3921" w:rsidRDefault="00005E17" w:rsidP="00411ACF">
      <w:pPr>
        <w:jc w:val="both"/>
        <w:rPr>
          <w:sz w:val="22"/>
          <w:szCs w:val="22"/>
          <w:lang w:val="en-GB" w:eastAsia="en-GB"/>
        </w:rPr>
      </w:pPr>
    </w:p>
    <w:p w14:paraId="4B5C10F7" w14:textId="77777777" w:rsidR="00005E17" w:rsidRPr="006D3921" w:rsidRDefault="00005E17" w:rsidP="00411ACF">
      <w:pPr>
        <w:jc w:val="both"/>
        <w:rPr>
          <w:sz w:val="22"/>
          <w:szCs w:val="22"/>
          <w:lang w:val="en-GB" w:eastAsia="en-GB"/>
        </w:rPr>
      </w:pPr>
    </w:p>
    <w:p w14:paraId="2603B211" w14:textId="028D747D" w:rsidR="00005E17" w:rsidRPr="006D3921" w:rsidRDefault="00005E17" w:rsidP="00411ACF">
      <w:pPr>
        <w:pStyle w:val="Casehead2"/>
        <w:rPr>
          <w:lang w:val="en-GB" w:eastAsia="en-GB"/>
        </w:rPr>
      </w:pPr>
      <w:r w:rsidRPr="006D3921">
        <w:rPr>
          <w:lang w:val="en-GB" w:eastAsia="en-GB"/>
        </w:rPr>
        <w:t>The Product’s Journey</w:t>
      </w:r>
    </w:p>
    <w:p w14:paraId="76D303F3" w14:textId="77777777" w:rsidR="00005E17" w:rsidRPr="006D3921" w:rsidRDefault="00005E17" w:rsidP="00411ACF">
      <w:pPr>
        <w:jc w:val="both"/>
        <w:rPr>
          <w:rFonts w:ascii="Arial" w:hAnsi="Arial" w:cs="Arial"/>
          <w:b/>
          <w:bCs/>
          <w:lang w:val="en-GB" w:eastAsia="en-GB"/>
        </w:rPr>
      </w:pPr>
    </w:p>
    <w:p w14:paraId="184B6FF3" w14:textId="625D23C2" w:rsidR="00005E17" w:rsidRPr="006D3921" w:rsidRDefault="00005E17" w:rsidP="00411ACF">
      <w:pPr>
        <w:jc w:val="both"/>
        <w:rPr>
          <w:sz w:val="22"/>
          <w:szCs w:val="22"/>
          <w:lang w:val="en-GB" w:eastAsia="en-GB"/>
        </w:rPr>
      </w:pPr>
      <w:r w:rsidRPr="006D3921">
        <w:rPr>
          <w:sz w:val="22"/>
          <w:szCs w:val="22"/>
          <w:lang w:val="en-GB" w:eastAsia="en-GB"/>
        </w:rPr>
        <w:t>The company was able to extend the brand’s appeal across all social classes, in both urban and rural India, to become the largest</w:t>
      </w:r>
      <w:r>
        <w:rPr>
          <w:sz w:val="22"/>
          <w:szCs w:val="22"/>
          <w:lang w:val="en-GB" w:eastAsia="en-GB"/>
        </w:rPr>
        <w:t>-</w:t>
      </w:r>
      <w:r w:rsidRPr="006D3921">
        <w:rPr>
          <w:sz w:val="22"/>
          <w:szCs w:val="22"/>
          <w:lang w:val="en-GB" w:eastAsia="en-GB"/>
        </w:rPr>
        <w:t>selling skin</w:t>
      </w:r>
      <w:r>
        <w:rPr>
          <w:sz w:val="22"/>
          <w:szCs w:val="22"/>
          <w:lang w:val="en-GB" w:eastAsia="en-GB"/>
        </w:rPr>
        <w:t>-</w:t>
      </w:r>
      <w:r w:rsidRPr="006D3921">
        <w:rPr>
          <w:sz w:val="22"/>
          <w:szCs w:val="22"/>
          <w:lang w:val="en-GB" w:eastAsia="en-GB"/>
        </w:rPr>
        <w:t xml:space="preserve">care brand. By 1999, F&amp;L held 90 per cent of the market share of skin-lightening creams in India. Not until 1999 did the product face competition, when a new entrant called </w:t>
      </w:r>
      <w:proofErr w:type="spellStart"/>
      <w:r w:rsidRPr="006D3921">
        <w:rPr>
          <w:iCs/>
          <w:sz w:val="22"/>
          <w:szCs w:val="22"/>
          <w:lang w:val="en-GB" w:eastAsia="en-GB"/>
        </w:rPr>
        <w:t>Fairever</w:t>
      </w:r>
      <w:proofErr w:type="spellEnd"/>
      <w:r w:rsidRPr="006D3921">
        <w:rPr>
          <w:sz w:val="22"/>
          <w:szCs w:val="22"/>
          <w:lang w:val="en-GB" w:eastAsia="en-GB"/>
        </w:rPr>
        <w:t xml:space="preserve"> was launched by the Indian company CavinKare. In response, HUL attempted to retain its market share by launching a new advertising campaign suggesting that girls with fairer skin were more likely to marry the right man.</w:t>
      </w:r>
      <w:r w:rsidRPr="006D3921">
        <w:rPr>
          <w:rStyle w:val="EndnoteReference"/>
          <w:sz w:val="22"/>
          <w:szCs w:val="22"/>
          <w:lang w:val="en-GB" w:eastAsia="en-GB"/>
        </w:rPr>
        <w:endnoteReference w:id="75"/>
      </w:r>
    </w:p>
    <w:p w14:paraId="21127BB2" w14:textId="77777777" w:rsidR="00005E17" w:rsidRPr="006D3921" w:rsidRDefault="00005E17" w:rsidP="00411ACF">
      <w:pPr>
        <w:jc w:val="both"/>
        <w:rPr>
          <w:sz w:val="22"/>
          <w:szCs w:val="22"/>
          <w:lang w:val="en-GB" w:eastAsia="en-GB"/>
        </w:rPr>
      </w:pPr>
    </w:p>
    <w:p w14:paraId="5D201AE7" w14:textId="62878A84" w:rsidR="00005E17" w:rsidRPr="006D3921" w:rsidRDefault="00005E17" w:rsidP="00411ACF">
      <w:pPr>
        <w:jc w:val="both"/>
        <w:rPr>
          <w:sz w:val="22"/>
          <w:szCs w:val="22"/>
          <w:lang w:val="en-GB" w:eastAsia="en-GB"/>
        </w:rPr>
      </w:pPr>
      <w:r w:rsidRPr="006D3921">
        <w:rPr>
          <w:sz w:val="22"/>
          <w:szCs w:val="22"/>
          <w:lang w:val="en-GB" w:eastAsia="en-GB"/>
        </w:rPr>
        <w:t xml:space="preserve">The controversial advertising campaign ran between December 2001 and March 2003 and portrayed lighter skin as a prerequisite for success, in a manner that was seen as extremely derogatory for women. In one </w:t>
      </w:r>
      <w:r w:rsidRPr="006D3921">
        <w:rPr>
          <w:sz w:val="22"/>
          <w:szCs w:val="22"/>
          <w:lang w:val="en-GB" w:eastAsia="en-GB"/>
        </w:rPr>
        <w:lastRenderedPageBreak/>
        <w:t>television commercial</w:t>
      </w:r>
      <w:r>
        <w:rPr>
          <w:sz w:val="22"/>
          <w:szCs w:val="22"/>
          <w:lang w:val="en-GB" w:eastAsia="en-GB"/>
        </w:rPr>
        <w:t>,</w:t>
      </w:r>
      <w:r w:rsidRPr="006D3921">
        <w:rPr>
          <w:sz w:val="22"/>
          <w:szCs w:val="22"/>
          <w:lang w:val="en-GB" w:eastAsia="en-GB"/>
        </w:rPr>
        <w:t xml:space="preserve"> a father was seen bemoaning the fact that he did not have a son to improve his financial status, </w:t>
      </w:r>
      <w:r>
        <w:rPr>
          <w:sz w:val="22"/>
          <w:szCs w:val="22"/>
          <w:lang w:val="en-GB" w:eastAsia="en-GB"/>
        </w:rPr>
        <w:t>as</w:t>
      </w:r>
      <w:r w:rsidRPr="006D3921">
        <w:rPr>
          <w:sz w:val="22"/>
          <w:szCs w:val="22"/>
          <w:lang w:val="en-GB" w:eastAsia="en-GB"/>
        </w:rPr>
        <w:t xml:space="preserve"> his dark-skinned daughter look</w:t>
      </w:r>
      <w:r>
        <w:rPr>
          <w:sz w:val="22"/>
          <w:szCs w:val="22"/>
          <w:lang w:val="en-GB" w:eastAsia="en-GB"/>
        </w:rPr>
        <w:t>ed</w:t>
      </w:r>
      <w:r w:rsidRPr="006D3921">
        <w:rPr>
          <w:sz w:val="22"/>
          <w:szCs w:val="22"/>
          <w:lang w:val="en-GB" w:eastAsia="en-GB"/>
        </w:rPr>
        <w:t xml:space="preserve"> on helplessly</w:t>
      </w:r>
      <w:r>
        <w:rPr>
          <w:sz w:val="22"/>
          <w:szCs w:val="22"/>
          <w:lang w:val="en-GB" w:eastAsia="en-GB"/>
        </w:rPr>
        <w:t>.</w:t>
      </w:r>
      <w:r w:rsidRPr="006D3921">
        <w:rPr>
          <w:sz w:val="22"/>
          <w:szCs w:val="22"/>
          <w:lang w:val="en-GB" w:eastAsia="en-GB"/>
        </w:rPr>
        <w:t xml:space="preserve"> </w:t>
      </w:r>
      <w:r>
        <w:rPr>
          <w:sz w:val="22"/>
          <w:szCs w:val="22"/>
          <w:lang w:val="en-GB" w:eastAsia="en-GB"/>
        </w:rPr>
        <w:t xml:space="preserve">The daughter then uses </w:t>
      </w:r>
      <w:r w:rsidRPr="006D3921">
        <w:rPr>
          <w:sz w:val="22"/>
          <w:szCs w:val="22"/>
          <w:lang w:val="en-GB" w:eastAsia="en-GB"/>
        </w:rPr>
        <w:t>F&amp;L to change her skin complexion</w:t>
      </w:r>
      <w:r>
        <w:rPr>
          <w:sz w:val="22"/>
          <w:szCs w:val="22"/>
          <w:lang w:val="en-GB" w:eastAsia="en-GB"/>
        </w:rPr>
        <w:t>,</w:t>
      </w:r>
      <w:r w:rsidRPr="006D3921">
        <w:rPr>
          <w:sz w:val="22"/>
          <w:szCs w:val="22"/>
          <w:lang w:val="en-GB" w:eastAsia="en-GB"/>
        </w:rPr>
        <w:t xml:space="preserve"> become</w:t>
      </w:r>
      <w:r>
        <w:rPr>
          <w:sz w:val="22"/>
          <w:szCs w:val="22"/>
          <w:lang w:val="en-GB" w:eastAsia="en-GB"/>
        </w:rPr>
        <w:t>s</w:t>
      </w:r>
      <w:r w:rsidRPr="006D3921">
        <w:rPr>
          <w:sz w:val="22"/>
          <w:szCs w:val="22"/>
          <w:lang w:val="en-GB" w:eastAsia="en-GB"/>
        </w:rPr>
        <w:t xml:space="preserve"> a flight attendant</w:t>
      </w:r>
      <w:r>
        <w:rPr>
          <w:sz w:val="22"/>
          <w:szCs w:val="22"/>
          <w:lang w:val="en-GB" w:eastAsia="en-GB"/>
        </w:rPr>
        <w:t>,</w:t>
      </w:r>
      <w:r w:rsidRPr="006D3921">
        <w:rPr>
          <w:sz w:val="22"/>
          <w:szCs w:val="22"/>
          <w:lang w:val="en-GB" w:eastAsia="en-GB"/>
        </w:rPr>
        <w:t xml:space="preserve"> and </w:t>
      </w:r>
      <w:r>
        <w:rPr>
          <w:sz w:val="22"/>
          <w:szCs w:val="22"/>
          <w:lang w:val="en-GB" w:eastAsia="en-GB"/>
        </w:rPr>
        <w:t xml:space="preserve">is shown </w:t>
      </w:r>
      <w:r w:rsidRPr="006D3921">
        <w:rPr>
          <w:sz w:val="22"/>
          <w:szCs w:val="22"/>
          <w:lang w:val="en-GB" w:eastAsia="en-GB"/>
        </w:rPr>
        <w:t>celebrat</w:t>
      </w:r>
      <w:r>
        <w:rPr>
          <w:sz w:val="22"/>
          <w:szCs w:val="22"/>
          <w:lang w:val="en-GB" w:eastAsia="en-GB"/>
        </w:rPr>
        <w:t>ing</w:t>
      </w:r>
      <w:r w:rsidRPr="006D3921">
        <w:rPr>
          <w:sz w:val="22"/>
          <w:szCs w:val="22"/>
          <w:lang w:val="en-GB" w:eastAsia="en-GB"/>
        </w:rPr>
        <w:t xml:space="preserve"> her achievement by taking her father out to dinner. Another commercial showed a light-skinned girl advising a dark-skinned girl </w:t>
      </w:r>
      <w:r>
        <w:rPr>
          <w:sz w:val="22"/>
          <w:szCs w:val="22"/>
          <w:lang w:val="en-GB" w:eastAsia="en-GB"/>
        </w:rPr>
        <w:t>to</w:t>
      </w:r>
      <w:r w:rsidRPr="006D3921">
        <w:rPr>
          <w:sz w:val="22"/>
          <w:szCs w:val="22"/>
          <w:lang w:val="en-GB" w:eastAsia="en-GB"/>
        </w:rPr>
        <w:t xml:space="preserve"> use a skin-</w:t>
      </w:r>
      <w:proofErr w:type="spellStart"/>
      <w:r w:rsidRPr="006D3921">
        <w:rPr>
          <w:sz w:val="22"/>
          <w:szCs w:val="22"/>
          <w:lang w:val="en-GB" w:eastAsia="en-GB"/>
        </w:rPr>
        <w:t>lighte</w:t>
      </w:r>
      <w:r>
        <w:rPr>
          <w:sz w:val="22"/>
          <w:szCs w:val="22"/>
          <w:lang w:val="en-GB" w:eastAsia="en-GB"/>
        </w:rPr>
        <w:t>s</w:t>
      </w:r>
      <w:r w:rsidRPr="006D3921">
        <w:rPr>
          <w:sz w:val="22"/>
          <w:szCs w:val="22"/>
          <w:lang w:val="en-GB" w:eastAsia="en-GB"/>
        </w:rPr>
        <w:t>ning</w:t>
      </w:r>
      <w:proofErr w:type="spellEnd"/>
      <w:r w:rsidRPr="006D3921">
        <w:rPr>
          <w:sz w:val="22"/>
          <w:szCs w:val="22"/>
          <w:lang w:val="en-GB" w:eastAsia="en-GB"/>
        </w:rPr>
        <w:t xml:space="preserve"> cream to retain her boyfriend, as </w:t>
      </w:r>
      <w:r>
        <w:rPr>
          <w:sz w:val="22"/>
          <w:szCs w:val="22"/>
          <w:lang w:val="en-GB" w:eastAsia="en-GB"/>
        </w:rPr>
        <w:t xml:space="preserve">the light-skinned girl </w:t>
      </w:r>
      <w:r w:rsidRPr="006D3921">
        <w:rPr>
          <w:sz w:val="22"/>
          <w:szCs w:val="22"/>
          <w:lang w:val="en-GB" w:eastAsia="en-GB"/>
        </w:rPr>
        <w:t>had already done.</w:t>
      </w:r>
      <w:r w:rsidRPr="006D3921">
        <w:rPr>
          <w:rStyle w:val="EndnoteReference"/>
          <w:sz w:val="22"/>
          <w:szCs w:val="22"/>
          <w:lang w:val="en-GB" w:eastAsia="en-GB"/>
        </w:rPr>
        <w:endnoteReference w:id="76"/>
      </w:r>
      <w:r w:rsidRPr="006D3921">
        <w:rPr>
          <w:sz w:val="22"/>
          <w:szCs w:val="22"/>
          <w:lang w:val="en-GB" w:eastAsia="en-GB"/>
        </w:rPr>
        <w:t xml:space="preserve"> CavinKare, countered HUL’s campaign by portraying career-oriented women who wanted to look good and “enhance [their] self-confidence.”</w:t>
      </w:r>
      <w:r w:rsidRPr="006D3921">
        <w:rPr>
          <w:rStyle w:val="EndnoteReference"/>
          <w:sz w:val="22"/>
          <w:szCs w:val="22"/>
          <w:lang w:val="en-GB" w:eastAsia="en-GB"/>
        </w:rPr>
        <w:endnoteReference w:id="77"/>
      </w:r>
      <w:r w:rsidRPr="006D3921">
        <w:rPr>
          <w:sz w:val="22"/>
          <w:szCs w:val="22"/>
          <w:lang w:val="en-GB" w:eastAsia="en-GB"/>
        </w:rPr>
        <w:t xml:space="preserve"> The CavinKare product was advertised as containing saffron and milk, and therefore being more natural than F&amp;L.</w:t>
      </w:r>
      <w:r>
        <w:rPr>
          <w:rStyle w:val="EndnoteReference"/>
          <w:sz w:val="22"/>
          <w:szCs w:val="22"/>
          <w:lang w:val="en-GB" w:eastAsia="en-GB"/>
        </w:rPr>
        <w:endnoteReference w:id="78"/>
      </w:r>
      <w:r w:rsidRPr="006D3921">
        <w:rPr>
          <w:sz w:val="22"/>
          <w:szCs w:val="22"/>
          <w:lang w:val="en-GB" w:eastAsia="en-GB"/>
        </w:rPr>
        <w:t xml:space="preserve"> </w:t>
      </w:r>
    </w:p>
    <w:p w14:paraId="33B4F572" w14:textId="77777777" w:rsidR="00005E17" w:rsidRPr="006D3921" w:rsidRDefault="00005E17" w:rsidP="00411ACF">
      <w:pPr>
        <w:jc w:val="both"/>
        <w:rPr>
          <w:sz w:val="22"/>
          <w:szCs w:val="22"/>
          <w:lang w:val="en-GB" w:eastAsia="en-GB"/>
        </w:rPr>
      </w:pPr>
    </w:p>
    <w:p w14:paraId="4038F4F9" w14:textId="54D19755" w:rsidR="00005E17" w:rsidRPr="006D3921" w:rsidRDefault="00005E17" w:rsidP="00411ACF">
      <w:pPr>
        <w:jc w:val="both"/>
        <w:rPr>
          <w:spacing w:val="-2"/>
          <w:sz w:val="22"/>
          <w:szCs w:val="22"/>
          <w:lang w:val="en-GB" w:eastAsia="en-GB"/>
        </w:rPr>
      </w:pPr>
      <w:r w:rsidRPr="006D3921">
        <w:rPr>
          <w:spacing w:val="-2"/>
          <w:sz w:val="22"/>
          <w:szCs w:val="22"/>
          <w:lang w:val="en-GB" w:eastAsia="en-GB"/>
        </w:rPr>
        <w:t>The HUL advertising campaign was criticized by various groups across the country. In March 2002, the All India Democratic Women’s Association issued a complaint both with HUL and with the National Human Rights Commission. The complainants saw the advertisements as being racist, depicting gender bias (</w:t>
      </w:r>
      <w:r>
        <w:rPr>
          <w:spacing w:val="-2"/>
          <w:sz w:val="22"/>
          <w:szCs w:val="22"/>
          <w:lang w:val="en-GB" w:eastAsia="en-GB"/>
        </w:rPr>
        <w:t xml:space="preserve">a </w:t>
      </w:r>
      <w:r w:rsidRPr="006D3921">
        <w:rPr>
          <w:spacing w:val="-2"/>
          <w:sz w:val="22"/>
          <w:szCs w:val="22"/>
          <w:lang w:val="en-GB" w:eastAsia="en-GB"/>
        </w:rPr>
        <w:t xml:space="preserve">preference for sons over daughters), and being insulting to working women. The complaint was forwarded to the Ministry of Information and Broadcasting, which notified television networks to stop airing the commercials. In its decision, the ministry cited a violation of the </w:t>
      </w:r>
      <w:r w:rsidRPr="006D3921">
        <w:rPr>
          <w:i/>
          <w:iCs/>
          <w:spacing w:val="-2"/>
          <w:sz w:val="22"/>
          <w:szCs w:val="22"/>
          <w:lang w:val="en-GB" w:eastAsia="en-GB"/>
        </w:rPr>
        <w:t>Cable and Television Network Act</w:t>
      </w:r>
      <w:r w:rsidRPr="006D3921">
        <w:rPr>
          <w:spacing w:val="-2"/>
          <w:sz w:val="22"/>
          <w:szCs w:val="22"/>
          <w:lang w:val="en-GB" w:eastAsia="en-GB"/>
        </w:rPr>
        <w:t xml:space="preserve"> of 1995, which ensured that advertising did not promote discrimination on the basis of gender, race, creed, colour, caste, or nationality. HUL had to stop airing its commercials, which were pulled in March 2003.</w:t>
      </w:r>
      <w:r w:rsidRPr="006D3921">
        <w:rPr>
          <w:rStyle w:val="EndnoteReference"/>
          <w:spacing w:val="-2"/>
          <w:sz w:val="22"/>
          <w:szCs w:val="22"/>
          <w:lang w:val="en-GB" w:eastAsia="en-GB"/>
        </w:rPr>
        <w:endnoteReference w:id="79"/>
      </w:r>
      <w:r w:rsidRPr="006D3921">
        <w:rPr>
          <w:spacing w:val="-2"/>
          <w:sz w:val="22"/>
          <w:szCs w:val="22"/>
          <w:lang w:val="en-GB" w:eastAsia="en-GB"/>
        </w:rPr>
        <w:t xml:space="preserve"> </w:t>
      </w:r>
    </w:p>
    <w:p w14:paraId="641AD723" w14:textId="77777777" w:rsidR="00005E17" w:rsidRPr="006D3921" w:rsidRDefault="00005E17" w:rsidP="00411ACF">
      <w:pPr>
        <w:jc w:val="both"/>
        <w:rPr>
          <w:sz w:val="22"/>
          <w:szCs w:val="22"/>
          <w:lang w:val="en-GB" w:eastAsia="en-GB"/>
        </w:rPr>
      </w:pPr>
    </w:p>
    <w:p w14:paraId="50E8CC0F" w14:textId="5B272FD0" w:rsidR="00005E17" w:rsidRPr="006D3921" w:rsidRDefault="00005E17" w:rsidP="00411ACF">
      <w:pPr>
        <w:jc w:val="both"/>
        <w:rPr>
          <w:sz w:val="22"/>
          <w:szCs w:val="22"/>
          <w:lang w:val="en-GB" w:eastAsia="en-GB"/>
        </w:rPr>
      </w:pPr>
      <w:r w:rsidRPr="006D3921">
        <w:rPr>
          <w:sz w:val="22"/>
          <w:szCs w:val="22"/>
          <w:lang w:val="en-GB" w:eastAsia="en-GB"/>
        </w:rPr>
        <w:t>Facing declining markets, HUL decided to rework its corporate strategy. In 2000, it reduced its portfolio of 110 brands and focus on 35 power brands. Previously, the company’s range included non-FMCG products, such as animal feed, specialty chemicals, and thermometers. Many of the products were “undifferentiated and lacking scale.” The new power brands had consumer appeal and covered all price segments. F&amp;L was one of the company’s 35 power brands, which was planned to be expanded.</w:t>
      </w:r>
      <w:r w:rsidRPr="006D3921">
        <w:rPr>
          <w:rStyle w:val="EndnoteReference"/>
          <w:sz w:val="22"/>
          <w:szCs w:val="22"/>
          <w:lang w:val="en-GB" w:eastAsia="en-GB"/>
        </w:rPr>
        <w:endnoteReference w:id="80"/>
      </w:r>
    </w:p>
    <w:p w14:paraId="45A2D595" w14:textId="77777777" w:rsidR="00005E17" w:rsidRPr="006D3921" w:rsidRDefault="00005E17" w:rsidP="00411ACF">
      <w:pPr>
        <w:jc w:val="both"/>
        <w:rPr>
          <w:sz w:val="22"/>
          <w:szCs w:val="22"/>
          <w:lang w:val="en-GB" w:eastAsia="en-GB"/>
        </w:rPr>
      </w:pPr>
    </w:p>
    <w:p w14:paraId="74BC3C05" w14:textId="76D3B05C" w:rsidR="00005E17" w:rsidRPr="006D3921" w:rsidRDefault="00005E17" w:rsidP="00411ACF">
      <w:pPr>
        <w:jc w:val="both"/>
        <w:rPr>
          <w:sz w:val="22"/>
          <w:szCs w:val="22"/>
          <w:lang w:val="en-GB" w:eastAsia="en-GB"/>
        </w:rPr>
      </w:pPr>
      <w:r w:rsidRPr="006D3921">
        <w:rPr>
          <w:sz w:val="22"/>
          <w:szCs w:val="22"/>
          <w:lang w:val="en-GB" w:eastAsia="en-GB"/>
        </w:rPr>
        <w:t>In 2001, HUL launched a</w:t>
      </w:r>
      <w:r>
        <w:rPr>
          <w:sz w:val="22"/>
          <w:szCs w:val="22"/>
          <w:lang w:val="en-GB" w:eastAsia="en-GB"/>
        </w:rPr>
        <w:t>n</w:t>
      </w:r>
      <w:r w:rsidRPr="006D3921">
        <w:rPr>
          <w:sz w:val="22"/>
          <w:szCs w:val="22"/>
          <w:lang w:val="en-GB" w:eastAsia="en-GB"/>
        </w:rPr>
        <w:t xml:space="preserve"> F&amp;L beauty soap, an under-eye cream, and a sachet with a reusable cap; however, none of these products </w:t>
      </w:r>
      <w:r>
        <w:rPr>
          <w:sz w:val="22"/>
          <w:szCs w:val="22"/>
          <w:lang w:val="en-GB" w:eastAsia="en-GB"/>
        </w:rPr>
        <w:t>was</w:t>
      </w:r>
      <w:r w:rsidRPr="006D3921">
        <w:rPr>
          <w:sz w:val="22"/>
          <w:szCs w:val="22"/>
          <w:lang w:val="en-GB" w:eastAsia="en-GB"/>
        </w:rPr>
        <w:t xml:space="preserve"> successful and </w:t>
      </w:r>
      <w:r>
        <w:rPr>
          <w:sz w:val="22"/>
          <w:szCs w:val="22"/>
          <w:lang w:val="en-GB" w:eastAsia="en-GB"/>
        </w:rPr>
        <w:t>all were</w:t>
      </w:r>
      <w:r w:rsidRPr="006D3921">
        <w:rPr>
          <w:sz w:val="22"/>
          <w:szCs w:val="22"/>
          <w:lang w:val="en-GB" w:eastAsia="en-GB"/>
        </w:rPr>
        <w:t xml:space="preserve"> discontinued. In 2002, the brand entered the herbal and natural products category, with Ayurvedic Fair &amp; Lovely Cream, followed by an anti-marks variant. In 2003, the brand tried to target high-end consumers by offering premium skin</w:t>
      </w:r>
      <w:r>
        <w:rPr>
          <w:sz w:val="22"/>
          <w:szCs w:val="22"/>
          <w:lang w:val="en-GB" w:eastAsia="en-GB"/>
        </w:rPr>
        <w:t xml:space="preserve"> </w:t>
      </w:r>
      <w:r w:rsidRPr="006D3921">
        <w:rPr>
          <w:sz w:val="22"/>
          <w:szCs w:val="22"/>
          <w:lang w:val="en-GB" w:eastAsia="en-GB"/>
        </w:rPr>
        <w:t>care products under the umbrella brand Fair &amp; Lovely Perfect Radiance.</w:t>
      </w:r>
      <w:r w:rsidRPr="006D3921">
        <w:rPr>
          <w:rStyle w:val="EndnoteReference"/>
          <w:sz w:val="22"/>
          <w:szCs w:val="22"/>
          <w:lang w:val="en-GB" w:eastAsia="en-GB"/>
        </w:rPr>
        <w:endnoteReference w:id="81"/>
      </w:r>
      <w:r w:rsidRPr="006D3921">
        <w:rPr>
          <w:sz w:val="22"/>
          <w:szCs w:val="22"/>
          <w:lang w:val="en-GB" w:eastAsia="en-GB"/>
        </w:rPr>
        <w:t xml:space="preserve"> In 2004, HUL launched the Fair &amp; Lovely Oil-Control Fairness Gel.</w:t>
      </w:r>
      <w:r w:rsidRPr="006D3921">
        <w:rPr>
          <w:rStyle w:val="EndnoteReference"/>
          <w:sz w:val="22"/>
          <w:szCs w:val="22"/>
          <w:lang w:val="en-GB" w:eastAsia="en-GB"/>
        </w:rPr>
        <w:endnoteReference w:id="82"/>
      </w:r>
      <w:r w:rsidRPr="006D3921">
        <w:rPr>
          <w:sz w:val="22"/>
          <w:szCs w:val="22"/>
          <w:lang w:val="en-GB" w:eastAsia="en-GB"/>
        </w:rPr>
        <w:t xml:space="preserve"> The advertising campaign followed a similar theme as the company’s earlier advertisements, claiming that women could have six times fairer skin—and thus, be happier.</w:t>
      </w:r>
      <w:r w:rsidRPr="006D3921">
        <w:rPr>
          <w:rStyle w:val="EndnoteReference"/>
          <w:sz w:val="22"/>
          <w:szCs w:val="22"/>
          <w:lang w:val="en-GB" w:eastAsia="en-GB"/>
        </w:rPr>
        <w:endnoteReference w:id="83"/>
      </w:r>
      <w:r w:rsidRPr="006D3921">
        <w:rPr>
          <w:sz w:val="22"/>
          <w:szCs w:val="22"/>
          <w:lang w:val="en-GB" w:eastAsia="en-GB"/>
        </w:rPr>
        <w:t xml:space="preserve"> In 2006, HUL launched a men’s variant, Fair &amp; Lovely </w:t>
      </w:r>
      <w:r w:rsidRPr="006D3921">
        <w:rPr>
          <w:iCs/>
          <w:sz w:val="22"/>
          <w:szCs w:val="22"/>
          <w:lang w:val="en-GB" w:eastAsia="en-GB"/>
        </w:rPr>
        <w:t>Menz, in response to</w:t>
      </w:r>
      <w:r w:rsidRPr="006D3921">
        <w:rPr>
          <w:sz w:val="22"/>
          <w:szCs w:val="22"/>
          <w:lang w:val="en-GB" w:eastAsia="en-GB"/>
        </w:rPr>
        <w:t xml:space="preserve"> the success of Emami Group’s new product Fair and Handsome, which was targeted at men. Initial advertisements for HUL’s Menz product range again followed a similar theme: fairer skin would ensure success.</w:t>
      </w:r>
      <w:r w:rsidRPr="006D3921">
        <w:rPr>
          <w:rStyle w:val="EndnoteReference"/>
          <w:sz w:val="22"/>
          <w:szCs w:val="22"/>
          <w:lang w:val="en-GB" w:eastAsia="en-GB"/>
        </w:rPr>
        <w:endnoteReference w:id="84"/>
      </w:r>
      <w:r w:rsidRPr="006D3921">
        <w:rPr>
          <w:sz w:val="22"/>
          <w:szCs w:val="22"/>
          <w:lang w:val="en-GB" w:eastAsia="en-GB"/>
        </w:rPr>
        <w:t xml:space="preserve"> In 2005, F&amp;L emerged as one of the company’s six mega brands, with sales exceeding ₹5 billion.</w:t>
      </w:r>
      <w:r w:rsidRPr="006D3921">
        <w:rPr>
          <w:rStyle w:val="EndnoteReference"/>
          <w:sz w:val="22"/>
          <w:szCs w:val="22"/>
          <w:lang w:val="en-GB" w:eastAsia="en-GB"/>
        </w:rPr>
        <w:endnoteReference w:id="85"/>
      </w:r>
    </w:p>
    <w:p w14:paraId="745771A4" w14:textId="77777777" w:rsidR="00005E17" w:rsidRPr="006D3921" w:rsidRDefault="00005E17" w:rsidP="00411ACF">
      <w:pPr>
        <w:jc w:val="both"/>
        <w:rPr>
          <w:sz w:val="22"/>
          <w:szCs w:val="22"/>
          <w:lang w:val="en-GB" w:eastAsia="en-GB"/>
        </w:rPr>
      </w:pPr>
    </w:p>
    <w:p w14:paraId="59AF9B16" w14:textId="3221B5E1" w:rsidR="00005E17" w:rsidRPr="006D3921" w:rsidRDefault="00005E17" w:rsidP="00411ACF">
      <w:pPr>
        <w:jc w:val="both"/>
        <w:rPr>
          <w:spacing w:val="-2"/>
          <w:sz w:val="22"/>
          <w:szCs w:val="22"/>
          <w:lang w:val="en-GB" w:eastAsia="en-GB"/>
        </w:rPr>
      </w:pPr>
      <w:r w:rsidRPr="006D3921">
        <w:rPr>
          <w:spacing w:val="-2"/>
          <w:sz w:val="22"/>
          <w:szCs w:val="22"/>
          <w:lang w:val="en-GB" w:eastAsia="en-GB"/>
        </w:rPr>
        <w:t>The brand was also relaunched several times. Around 2012, the company changed the colour of the cream from white to pink, along with a change in packaging. In FY 2013–14, F&amp;L was relaunched as “the Best Ever Fair &amp; Lovely . . . a product that was tailor-made to deliver superior skin lightening results in India.” The relaunch resulted in an increase in the brand’s growth trajectory. HUL then launched a sun protection factor, or SPF, 15 vanishing cream under the F&amp;L brand.</w:t>
      </w:r>
      <w:r w:rsidRPr="006D3921">
        <w:rPr>
          <w:rStyle w:val="EndnoteReference"/>
          <w:spacing w:val="-2"/>
          <w:sz w:val="22"/>
          <w:szCs w:val="22"/>
          <w:lang w:val="en-GB" w:eastAsia="en-GB"/>
        </w:rPr>
        <w:endnoteReference w:id="86"/>
      </w:r>
      <w:r w:rsidRPr="006D3921">
        <w:rPr>
          <w:spacing w:val="-2"/>
          <w:sz w:val="22"/>
          <w:szCs w:val="22"/>
          <w:lang w:val="en-GB" w:eastAsia="en-GB"/>
        </w:rPr>
        <w:t xml:space="preserve"> In 2013, the Indian film star Yami Gautam was chosen as </w:t>
      </w:r>
      <w:r>
        <w:rPr>
          <w:spacing w:val="-2"/>
          <w:sz w:val="22"/>
          <w:szCs w:val="22"/>
          <w:lang w:val="en-GB" w:eastAsia="en-GB"/>
        </w:rPr>
        <w:t xml:space="preserve">an </w:t>
      </w:r>
      <w:r w:rsidRPr="006D3921">
        <w:rPr>
          <w:spacing w:val="-2"/>
          <w:sz w:val="22"/>
          <w:szCs w:val="22"/>
          <w:lang w:val="en-GB" w:eastAsia="en-GB"/>
        </w:rPr>
        <w:t>F&amp;L brand ambassador. During the same period, another Indian film star and activist, Nandita Das, launched a campaign against fair</w:t>
      </w:r>
      <w:r>
        <w:rPr>
          <w:spacing w:val="-2"/>
          <w:sz w:val="22"/>
          <w:szCs w:val="22"/>
          <w:lang w:val="en-GB" w:eastAsia="en-GB"/>
        </w:rPr>
        <w:t>-</w:t>
      </w:r>
      <w:r w:rsidRPr="006D3921">
        <w:rPr>
          <w:spacing w:val="-2"/>
          <w:sz w:val="22"/>
          <w:szCs w:val="22"/>
          <w:lang w:val="en-GB" w:eastAsia="en-GB"/>
        </w:rPr>
        <w:t>skin products called Stay Unfair, Stay Beautiful. Gautam faced ridicule and criticism on social media for her F&amp;L brand endorsement, while Das’s campaign was widely acclaimed.</w:t>
      </w:r>
      <w:r w:rsidRPr="006D3921">
        <w:rPr>
          <w:rStyle w:val="EndnoteReference"/>
          <w:spacing w:val="-2"/>
          <w:sz w:val="22"/>
          <w:szCs w:val="22"/>
          <w:lang w:val="en-GB" w:eastAsia="en-GB"/>
        </w:rPr>
        <w:endnoteReference w:id="87"/>
      </w:r>
      <w:r w:rsidRPr="006D3921">
        <w:rPr>
          <w:spacing w:val="-2"/>
          <w:sz w:val="22"/>
          <w:szCs w:val="22"/>
          <w:lang w:val="en-GB" w:eastAsia="en-GB"/>
        </w:rPr>
        <w:t xml:space="preserve"> </w:t>
      </w:r>
    </w:p>
    <w:p w14:paraId="40DD743B" w14:textId="77777777" w:rsidR="00005E17" w:rsidRPr="006D3921" w:rsidRDefault="00005E17" w:rsidP="00411ACF">
      <w:pPr>
        <w:jc w:val="both"/>
        <w:rPr>
          <w:sz w:val="22"/>
          <w:szCs w:val="22"/>
          <w:lang w:val="en-GB" w:eastAsia="en-GB"/>
        </w:rPr>
      </w:pPr>
    </w:p>
    <w:p w14:paraId="4561762C" w14:textId="72199B7A" w:rsidR="00005E17" w:rsidRPr="00547183" w:rsidRDefault="00005E17" w:rsidP="00411ACF">
      <w:pPr>
        <w:jc w:val="both"/>
        <w:rPr>
          <w:spacing w:val="-4"/>
          <w:sz w:val="22"/>
          <w:szCs w:val="22"/>
          <w:lang w:val="en-GB" w:eastAsia="en-GB"/>
        </w:rPr>
      </w:pPr>
      <w:r w:rsidRPr="00547183">
        <w:rPr>
          <w:spacing w:val="-4"/>
          <w:sz w:val="22"/>
          <w:szCs w:val="22"/>
          <w:lang w:val="en-GB" w:eastAsia="en-GB"/>
        </w:rPr>
        <w:t>Controversy over F&amp;L advertising campaigns persisted. In 2014, India’s self-regulatory agency for advertising, the Advertising Standards Council of India, acted on industry and public feedback by issuing a set of guidelines to regulate advertising of skin-lightening and fair-skin products in India.</w:t>
      </w:r>
      <w:r w:rsidRPr="00547183">
        <w:rPr>
          <w:rStyle w:val="EndnoteReference"/>
          <w:spacing w:val="-4"/>
          <w:sz w:val="22"/>
          <w:szCs w:val="22"/>
          <w:lang w:val="en-GB" w:eastAsia="en-GB"/>
        </w:rPr>
        <w:endnoteReference w:id="88"/>
      </w:r>
      <w:r w:rsidRPr="00547183">
        <w:rPr>
          <w:spacing w:val="-4"/>
          <w:sz w:val="22"/>
          <w:szCs w:val="22"/>
          <w:lang w:val="en-GB" w:eastAsia="en-GB"/>
        </w:rPr>
        <w:t xml:space="preserve"> In 2016, the issue of women being depicted in a demeaning nature in advertising was raised in India’s Upper House of Parliament, the Rajya Sabha. </w:t>
      </w:r>
      <w:r w:rsidRPr="00547183">
        <w:rPr>
          <w:spacing w:val="-4"/>
          <w:sz w:val="22"/>
          <w:szCs w:val="22"/>
          <w:lang w:val="en-GB" w:eastAsia="en-GB"/>
        </w:rPr>
        <w:lastRenderedPageBreak/>
        <w:t>Members discussed the psychological impact on women by specific products, such as F&amp;L and Pond’s face creams.</w:t>
      </w:r>
      <w:r w:rsidRPr="00547183">
        <w:rPr>
          <w:rStyle w:val="EndnoteReference"/>
          <w:spacing w:val="-4"/>
          <w:sz w:val="22"/>
          <w:szCs w:val="22"/>
          <w:lang w:val="en-GB" w:eastAsia="en-GB"/>
        </w:rPr>
        <w:endnoteReference w:id="89"/>
      </w:r>
      <w:r w:rsidRPr="00547183">
        <w:rPr>
          <w:spacing w:val="-4"/>
          <w:sz w:val="22"/>
          <w:szCs w:val="22"/>
          <w:lang w:val="en-GB" w:eastAsia="en-GB"/>
        </w:rPr>
        <w:t xml:space="preserve"> In FY 2015–16, HUL estimated that the F&amp;L brand could bring over ₹20 billion in revenue and introduced a new F&amp;L blemish balm (or BB) cream and a face wash targeted at male consumers.</w:t>
      </w:r>
      <w:r w:rsidRPr="00547183">
        <w:rPr>
          <w:rStyle w:val="EndnoteReference"/>
          <w:spacing w:val="-4"/>
          <w:sz w:val="22"/>
          <w:szCs w:val="22"/>
          <w:lang w:val="en-GB" w:eastAsia="en-GB"/>
        </w:rPr>
        <w:endnoteReference w:id="90"/>
      </w:r>
      <w:r w:rsidRPr="00547183">
        <w:rPr>
          <w:spacing w:val="-4"/>
          <w:sz w:val="22"/>
          <w:szCs w:val="22"/>
          <w:lang w:val="en-GB" w:eastAsia="en-GB"/>
        </w:rPr>
        <w:t xml:space="preserve"> By 2020, the F&amp;L brand had been holding its leading position among HUL brands for decades as a high-revenue earner. </w:t>
      </w:r>
    </w:p>
    <w:p w14:paraId="492DBFC7" w14:textId="77777777" w:rsidR="00005E17" w:rsidRPr="006D3921" w:rsidRDefault="00005E17" w:rsidP="00411ACF">
      <w:pPr>
        <w:jc w:val="both"/>
        <w:rPr>
          <w:sz w:val="22"/>
          <w:szCs w:val="22"/>
          <w:lang w:val="en-GB" w:eastAsia="en-GB"/>
        </w:rPr>
      </w:pPr>
    </w:p>
    <w:p w14:paraId="0AC0E217" w14:textId="32479856" w:rsidR="00005E17" w:rsidRPr="006D3921" w:rsidRDefault="00005E17" w:rsidP="00411ACF">
      <w:pPr>
        <w:jc w:val="both"/>
        <w:rPr>
          <w:sz w:val="22"/>
          <w:szCs w:val="22"/>
          <w:lang w:val="en-GB" w:eastAsia="en-GB"/>
        </w:rPr>
      </w:pPr>
      <w:r w:rsidRPr="006D3921">
        <w:rPr>
          <w:sz w:val="22"/>
          <w:szCs w:val="22"/>
          <w:lang w:val="en-GB" w:eastAsia="en-GB"/>
        </w:rPr>
        <w:t xml:space="preserve">Over the years, HUL’s the parent company, Unilever plc, had been promoting the brand in other ways. In 2003, the company set up the Fair &amp; Lovely Foundation to offer scholarships to </w:t>
      </w:r>
      <w:r>
        <w:rPr>
          <w:sz w:val="22"/>
          <w:szCs w:val="22"/>
          <w:lang w:val="en-GB" w:eastAsia="en-GB"/>
        </w:rPr>
        <w:t xml:space="preserve">help financially challenged young </w:t>
      </w:r>
      <w:r w:rsidRPr="006D3921">
        <w:rPr>
          <w:sz w:val="22"/>
          <w:szCs w:val="22"/>
          <w:lang w:val="en-GB" w:eastAsia="en-GB"/>
        </w:rPr>
        <w:t>women pursu</w:t>
      </w:r>
      <w:r>
        <w:rPr>
          <w:sz w:val="22"/>
          <w:szCs w:val="22"/>
          <w:lang w:val="en-GB" w:eastAsia="en-GB"/>
        </w:rPr>
        <w:t>e</w:t>
      </w:r>
      <w:r w:rsidRPr="006D3921">
        <w:rPr>
          <w:sz w:val="22"/>
          <w:szCs w:val="22"/>
          <w:lang w:val="en-GB" w:eastAsia="en-GB"/>
        </w:rPr>
        <w:t xml:space="preserve"> an education.</w:t>
      </w:r>
      <w:r w:rsidRPr="006D3921">
        <w:rPr>
          <w:rStyle w:val="EndnoteReference"/>
          <w:sz w:val="22"/>
          <w:szCs w:val="22"/>
          <w:lang w:val="en-GB" w:eastAsia="en-GB"/>
        </w:rPr>
        <w:endnoteReference w:id="91"/>
      </w:r>
      <w:r w:rsidRPr="006D3921">
        <w:rPr>
          <w:sz w:val="22"/>
          <w:szCs w:val="22"/>
          <w:lang w:val="en-GB" w:eastAsia="en-GB"/>
        </w:rPr>
        <w:t xml:space="preserve"> By 2018, the foundation </w:t>
      </w:r>
      <w:r>
        <w:rPr>
          <w:sz w:val="22"/>
          <w:szCs w:val="22"/>
          <w:lang w:val="en-GB" w:eastAsia="en-GB"/>
        </w:rPr>
        <w:t>had</w:t>
      </w:r>
      <w:r w:rsidRPr="006D3921">
        <w:rPr>
          <w:sz w:val="22"/>
          <w:szCs w:val="22"/>
          <w:lang w:val="en-GB" w:eastAsia="en-GB"/>
        </w:rPr>
        <w:t xml:space="preserve"> helped </w:t>
      </w:r>
      <w:r>
        <w:rPr>
          <w:sz w:val="22"/>
          <w:szCs w:val="22"/>
          <w:lang w:val="en-GB" w:eastAsia="en-GB"/>
        </w:rPr>
        <w:t>more than</w:t>
      </w:r>
      <w:r w:rsidRPr="006D3921">
        <w:rPr>
          <w:sz w:val="22"/>
          <w:szCs w:val="22"/>
          <w:lang w:val="en-GB" w:eastAsia="en-GB"/>
        </w:rPr>
        <w:t xml:space="preserve"> 20,000 women.</w:t>
      </w:r>
      <w:r w:rsidRPr="006D3921">
        <w:rPr>
          <w:rStyle w:val="EndnoteReference"/>
          <w:sz w:val="22"/>
          <w:szCs w:val="22"/>
          <w:lang w:val="en-GB" w:eastAsia="en-GB"/>
        </w:rPr>
        <w:endnoteReference w:id="92"/>
      </w:r>
      <w:r w:rsidRPr="006D3921">
        <w:rPr>
          <w:sz w:val="22"/>
          <w:szCs w:val="22"/>
          <w:lang w:val="en-GB" w:eastAsia="en-GB"/>
        </w:rPr>
        <w:t xml:space="preserve"> The brand had also benefited by being recognized among India’s Most Trusted Brands.</w:t>
      </w:r>
      <w:r w:rsidRPr="006D3921">
        <w:rPr>
          <w:rStyle w:val="EndnoteReference"/>
          <w:sz w:val="22"/>
          <w:szCs w:val="22"/>
          <w:lang w:val="en-GB" w:eastAsia="en-GB"/>
        </w:rPr>
        <w:endnoteReference w:id="93"/>
      </w:r>
      <w:r w:rsidRPr="006D3921">
        <w:rPr>
          <w:sz w:val="22"/>
          <w:szCs w:val="22"/>
          <w:lang w:val="en-GB" w:eastAsia="en-GB"/>
        </w:rPr>
        <w:t xml:space="preserve"> In 2020, the market research firm The Nielsen Company valued the Fair &amp; Lovely brand at </w:t>
      </w:r>
      <w:r>
        <w:rPr>
          <w:sz w:val="22"/>
          <w:szCs w:val="22"/>
          <w:lang w:val="en-GB" w:eastAsia="en-GB"/>
        </w:rPr>
        <w:t>more than</w:t>
      </w:r>
      <w:r w:rsidRPr="006D3921">
        <w:rPr>
          <w:sz w:val="22"/>
          <w:szCs w:val="22"/>
          <w:lang w:val="en-GB" w:eastAsia="en-GB"/>
        </w:rPr>
        <w:t xml:space="preserve"> $290.58 million and estimated that seven out of 10 women used F&amp;L each year in approximately 200 million households.</w:t>
      </w:r>
      <w:r w:rsidRPr="006D3921">
        <w:rPr>
          <w:rStyle w:val="EndnoteReference"/>
          <w:sz w:val="22"/>
          <w:szCs w:val="22"/>
          <w:lang w:val="en-GB" w:eastAsia="en-GB"/>
        </w:rPr>
        <w:endnoteReference w:id="94"/>
      </w:r>
      <w:r w:rsidRPr="006D3921">
        <w:rPr>
          <w:sz w:val="22"/>
          <w:szCs w:val="22"/>
          <w:lang w:val="en-GB" w:eastAsia="en-GB"/>
        </w:rPr>
        <w:t xml:space="preserve"> In July 2020, the company officially changed the brand’s name. At that time, the brand comprised a range of variants, including Advanced Multi-Vitamin Cream, Ayurvedic Care Cream, BB Cream, Sun Protect, Winter Glow, and Anti Marks Cream.</w:t>
      </w:r>
      <w:r w:rsidRPr="006D3921">
        <w:rPr>
          <w:rStyle w:val="EndnoteReference"/>
          <w:sz w:val="22"/>
          <w:szCs w:val="22"/>
          <w:lang w:val="en-GB" w:eastAsia="en-GB"/>
        </w:rPr>
        <w:endnoteReference w:id="95"/>
      </w:r>
      <w:r w:rsidRPr="006D3921">
        <w:rPr>
          <w:sz w:val="22"/>
          <w:szCs w:val="22"/>
          <w:lang w:val="en-GB" w:eastAsia="en-GB"/>
        </w:rPr>
        <w:t xml:space="preserve"> </w:t>
      </w:r>
    </w:p>
    <w:p w14:paraId="24AE39FD" w14:textId="127EB628" w:rsidR="00005E17" w:rsidRPr="006D3921" w:rsidRDefault="00005E17" w:rsidP="00411ACF">
      <w:pPr>
        <w:jc w:val="both"/>
        <w:rPr>
          <w:sz w:val="22"/>
          <w:szCs w:val="22"/>
          <w:lang w:val="en-GB" w:eastAsia="en-GB"/>
        </w:rPr>
      </w:pPr>
    </w:p>
    <w:p w14:paraId="221EE0F1" w14:textId="77777777" w:rsidR="00005E17" w:rsidRPr="006D3921" w:rsidRDefault="00005E17" w:rsidP="00411ACF">
      <w:pPr>
        <w:jc w:val="both"/>
        <w:rPr>
          <w:sz w:val="22"/>
          <w:szCs w:val="22"/>
          <w:lang w:val="en-GB" w:eastAsia="en-GB"/>
        </w:rPr>
      </w:pPr>
    </w:p>
    <w:p w14:paraId="4AF36A23" w14:textId="77777777" w:rsidR="00005E17" w:rsidRPr="006D3921" w:rsidRDefault="00005E17" w:rsidP="00411ACF">
      <w:pPr>
        <w:jc w:val="both"/>
        <w:rPr>
          <w:rFonts w:ascii="Arial" w:hAnsi="Arial" w:cs="Arial"/>
          <w:b/>
          <w:bCs/>
          <w:lang w:val="en-GB" w:eastAsia="en-GB"/>
        </w:rPr>
      </w:pPr>
      <w:r w:rsidRPr="006D3921">
        <w:rPr>
          <w:rFonts w:ascii="Arial" w:hAnsi="Arial" w:cs="Arial"/>
          <w:b/>
          <w:bCs/>
          <w:lang w:val="en-GB" w:eastAsia="en-GB"/>
        </w:rPr>
        <w:t>Name Matters</w:t>
      </w:r>
    </w:p>
    <w:p w14:paraId="773BA8A3" w14:textId="77777777" w:rsidR="00005E17" w:rsidRPr="006D3921" w:rsidRDefault="00005E17" w:rsidP="00411ACF">
      <w:pPr>
        <w:jc w:val="both"/>
        <w:rPr>
          <w:rFonts w:ascii="Arial" w:hAnsi="Arial" w:cs="Arial"/>
          <w:b/>
          <w:bCs/>
          <w:lang w:val="en-GB" w:eastAsia="en-GB"/>
        </w:rPr>
      </w:pPr>
    </w:p>
    <w:p w14:paraId="46C172F2" w14:textId="00F1CECF" w:rsidR="00005E17" w:rsidRPr="006D3921" w:rsidRDefault="00005E17" w:rsidP="00411ACF">
      <w:pPr>
        <w:pStyle w:val="BodyTextMain"/>
        <w:rPr>
          <w:lang w:val="en-GB" w:eastAsia="en-GB"/>
        </w:rPr>
      </w:pPr>
      <w:r w:rsidRPr="006D3921">
        <w:rPr>
          <w:lang w:val="en-GB" w:eastAsia="en-GB"/>
        </w:rPr>
        <w:t>In early 2019, HUL adjusted its communication about the F&amp;L brand to distance itself from claims such as “benefits of fairness, whitening and skin lightening,” and moved instead toward claims of “glow, even tone, skin clarity and radiance,” which were seen as holistic measures of healthy skin. HUL also removed words such as “fair and fairness,” “white and whitening,” and “light and lightening” from the brand’s packaging to avoid the promise of fair</w:t>
      </w:r>
      <w:r>
        <w:rPr>
          <w:lang w:val="en-GB" w:eastAsia="en-GB"/>
        </w:rPr>
        <w:t>-</w:t>
      </w:r>
      <w:r w:rsidRPr="006D3921">
        <w:rPr>
          <w:lang w:val="en-GB" w:eastAsia="en-GB"/>
        </w:rPr>
        <w:t>skin transformation. The packaging also eliminated images of faces depicting skin shade transformation, as well as a skin shade guide.</w:t>
      </w:r>
      <w:r w:rsidRPr="006D3921">
        <w:rPr>
          <w:rStyle w:val="EndnoteReference"/>
          <w:lang w:val="en-GB" w:eastAsia="en-GB"/>
        </w:rPr>
        <w:endnoteReference w:id="96"/>
      </w:r>
      <w:r w:rsidRPr="006D3921">
        <w:rPr>
          <w:lang w:val="en-GB" w:eastAsia="en-GB"/>
        </w:rPr>
        <w:t xml:space="preserve"> The company indicated in its </w:t>
      </w:r>
      <w:r w:rsidRPr="006D3921">
        <w:rPr>
          <w:i/>
          <w:lang w:val="en-GB" w:eastAsia="en-GB"/>
        </w:rPr>
        <w:t>Annual Report 2019–20</w:t>
      </w:r>
      <w:r w:rsidRPr="006D3921">
        <w:rPr>
          <w:lang w:val="en-GB" w:eastAsia="en-GB"/>
        </w:rPr>
        <w:t xml:space="preserve"> its intention to move toward using the new term “glow</w:t>
      </w:r>
      <w:r>
        <w:rPr>
          <w:lang w:val="en-GB" w:eastAsia="en-GB"/>
        </w:rPr>
        <w:t>”</w:t>
      </w:r>
      <w:r w:rsidRPr="006D3921">
        <w:rPr>
          <w:lang w:val="en-GB" w:eastAsia="en-GB"/>
        </w:rPr>
        <w:t xml:space="preserve">: </w:t>
      </w:r>
    </w:p>
    <w:p w14:paraId="06637FF7" w14:textId="77777777" w:rsidR="00005E17" w:rsidRPr="006D3921" w:rsidRDefault="00005E17" w:rsidP="00411ACF">
      <w:pPr>
        <w:jc w:val="both"/>
        <w:rPr>
          <w:iCs/>
          <w:sz w:val="22"/>
          <w:szCs w:val="22"/>
          <w:lang w:val="en-GB" w:eastAsia="en-GB"/>
        </w:rPr>
      </w:pPr>
    </w:p>
    <w:p w14:paraId="3230D63C" w14:textId="57978263" w:rsidR="00005E17" w:rsidRPr="006D3921" w:rsidRDefault="00005E17" w:rsidP="00411ACF">
      <w:pPr>
        <w:pStyle w:val="BodyTextMain"/>
        <w:ind w:left="720"/>
        <w:rPr>
          <w:lang w:val="en-GB" w:eastAsia="en-GB"/>
        </w:rPr>
      </w:pPr>
      <w:r w:rsidRPr="006D3921">
        <w:rPr>
          <w:lang w:val="en-GB" w:eastAsia="en-GB"/>
        </w:rPr>
        <w:t>In 2019, Fair &amp; Lovely combined the new facial glow trends along with enhanced technology to arrive at a “High Definition (HD) Glow” product line meeting consumer needs. We also launched Fair &amp; Lovely soap during the year and the initial response has been good.</w:t>
      </w:r>
      <w:r w:rsidRPr="006D3921">
        <w:rPr>
          <w:rStyle w:val="EndnoteReference"/>
          <w:lang w:val="en-GB" w:eastAsia="en-GB"/>
        </w:rPr>
        <w:endnoteReference w:id="97"/>
      </w:r>
      <w:r w:rsidRPr="006D3921">
        <w:rPr>
          <w:lang w:val="en-GB" w:eastAsia="en-GB"/>
        </w:rPr>
        <w:t xml:space="preserve"> </w:t>
      </w:r>
    </w:p>
    <w:p w14:paraId="51401548" w14:textId="77777777" w:rsidR="00005E17" w:rsidRPr="006D3921" w:rsidRDefault="00005E17" w:rsidP="00411ACF">
      <w:pPr>
        <w:jc w:val="both"/>
        <w:rPr>
          <w:sz w:val="22"/>
          <w:szCs w:val="22"/>
          <w:lang w:val="en-GB" w:eastAsia="en-GB"/>
        </w:rPr>
      </w:pPr>
    </w:p>
    <w:p w14:paraId="7CAF0A07" w14:textId="3F212988" w:rsidR="00005E17" w:rsidRPr="006D3921" w:rsidRDefault="00005E17" w:rsidP="00411ACF">
      <w:pPr>
        <w:jc w:val="both"/>
        <w:rPr>
          <w:sz w:val="22"/>
          <w:szCs w:val="22"/>
          <w:lang w:val="en-GB" w:eastAsia="en-GB"/>
        </w:rPr>
      </w:pPr>
      <w:r w:rsidRPr="006D3921">
        <w:rPr>
          <w:sz w:val="22"/>
          <w:szCs w:val="22"/>
          <w:lang w:val="en-GB" w:eastAsia="en-GB"/>
        </w:rPr>
        <w:t>In 2018, HUL was denied the trademark Glow &amp; Lovely by India’s Controller General of Patents, Design &amp; Trademarks. HUL’s chairman and managing director acknowledged the complex brand renaming process: “You don’t change the proposition of the brand overnight. This is not something which we have done now. The proposition was changed last year.”</w:t>
      </w:r>
      <w:r w:rsidRPr="006D3921">
        <w:rPr>
          <w:rStyle w:val="EndnoteReference"/>
          <w:sz w:val="22"/>
          <w:szCs w:val="22"/>
          <w:lang w:val="en-GB" w:eastAsia="en-GB"/>
        </w:rPr>
        <w:endnoteReference w:id="98"/>
      </w:r>
      <w:r w:rsidRPr="006D3921">
        <w:rPr>
          <w:sz w:val="22"/>
          <w:szCs w:val="22"/>
          <w:lang w:val="en-GB" w:eastAsia="en-GB"/>
        </w:rPr>
        <w:t> Meanwhile, in response to a global movement against colourism, global competitors were rethinking their own strategies and “erasing, repositioning or updating products” within their fair</w:t>
      </w:r>
      <w:r>
        <w:rPr>
          <w:sz w:val="22"/>
          <w:szCs w:val="22"/>
          <w:lang w:val="en-GB" w:eastAsia="en-GB"/>
        </w:rPr>
        <w:t>-</w:t>
      </w:r>
      <w:r w:rsidRPr="006D3921">
        <w:rPr>
          <w:sz w:val="22"/>
          <w:szCs w:val="22"/>
          <w:lang w:val="en-GB" w:eastAsia="en-GB"/>
        </w:rPr>
        <w:t>skin segment.</w:t>
      </w:r>
      <w:r w:rsidRPr="006D3921">
        <w:rPr>
          <w:sz w:val="22"/>
          <w:szCs w:val="22"/>
          <w:vertAlign w:val="superscript"/>
          <w:lang w:val="en-GB" w:eastAsia="en-GB"/>
        </w:rPr>
        <w:endnoteReference w:id="99"/>
      </w:r>
      <w:r w:rsidRPr="00E11047">
        <w:rPr>
          <w:rStyle w:val="BodyTextMainChar"/>
        </w:rPr>
        <w:t xml:space="preserve"> In</w:t>
      </w:r>
      <w:r w:rsidRPr="006D3921">
        <w:rPr>
          <w:sz w:val="22"/>
          <w:szCs w:val="22"/>
          <w:lang w:val="en-GB" w:eastAsia="en-GB"/>
        </w:rPr>
        <w:t xml:space="preserve"> June 2020, Johnson &amp; Johnson announced its exit from the skin</w:t>
      </w:r>
      <w:r>
        <w:rPr>
          <w:sz w:val="22"/>
          <w:szCs w:val="22"/>
          <w:lang w:val="en-GB" w:eastAsia="en-GB"/>
        </w:rPr>
        <w:t>-</w:t>
      </w:r>
      <w:r w:rsidRPr="006D3921">
        <w:rPr>
          <w:sz w:val="22"/>
          <w:szCs w:val="22"/>
          <w:lang w:val="en-GB" w:eastAsia="en-GB"/>
        </w:rPr>
        <w:t>whitening cream market,</w:t>
      </w:r>
      <w:r w:rsidRPr="006D3921">
        <w:rPr>
          <w:rStyle w:val="EndnoteReference"/>
          <w:sz w:val="22"/>
          <w:szCs w:val="22"/>
          <w:lang w:val="en-GB" w:eastAsia="en-GB"/>
        </w:rPr>
        <w:endnoteReference w:id="100"/>
      </w:r>
      <w:r w:rsidRPr="006D3921">
        <w:rPr>
          <w:sz w:val="22"/>
          <w:szCs w:val="22"/>
          <w:lang w:val="en-GB" w:eastAsia="en-GB"/>
        </w:rPr>
        <w:t xml:space="preserve"> although</w:t>
      </w:r>
      <w:r w:rsidRPr="006D3921" w:rsidDel="00A936A1">
        <w:rPr>
          <w:rStyle w:val="EndnoteReference"/>
          <w:sz w:val="22"/>
          <w:szCs w:val="22"/>
          <w:lang w:val="en-GB" w:eastAsia="en-GB"/>
        </w:rPr>
        <w:t xml:space="preserve"> </w:t>
      </w:r>
      <w:r w:rsidRPr="006D3921">
        <w:rPr>
          <w:sz w:val="22"/>
          <w:szCs w:val="22"/>
          <w:lang w:val="en-GB" w:eastAsia="en-GB"/>
        </w:rPr>
        <w:t>it intended to continue selling its Clean &amp; Clear products until stocks were exhausted.</w:t>
      </w:r>
      <w:r w:rsidRPr="006D3921">
        <w:rPr>
          <w:rStyle w:val="EndnoteReference"/>
          <w:sz w:val="22"/>
          <w:szCs w:val="22"/>
          <w:lang w:val="en-GB" w:eastAsia="en-GB"/>
        </w:rPr>
        <w:endnoteReference w:id="101"/>
      </w:r>
      <w:r w:rsidRPr="006D3921">
        <w:rPr>
          <w:sz w:val="22"/>
          <w:szCs w:val="22"/>
          <w:lang w:val="en-GB" w:eastAsia="en-GB"/>
        </w:rPr>
        <w:t xml:space="preserve"> L’Oréal S.A. announced that it would stop using words such as “white,” “fair,” and “light” </w:t>
      </w:r>
      <w:r>
        <w:rPr>
          <w:sz w:val="22"/>
          <w:szCs w:val="22"/>
          <w:lang w:val="en-GB" w:eastAsia="en-GB"/>
        </w:rPr>
        <w:t>on</w:t>
      </w:r>
      <w:r w:rsidRPr="006D3921">
        <w:rPr>
          <w:sz w:val="22"/>
          <w:szCs w:val="22"/>
          <w:lang w:val="en-GB" w:eastAsia="en-GB"/>
        </w:rPr>
        <w:t xml:space="preserve"> all its skin</w:t>
      </w:r>
      <w:r>
        <w:rPr>
          <w:sz w:val="22"/>
          <w:szCs w:val="22"/>
          <w:lang w:val="en-GB" w:eastAsia="en-GB"/>
        </w:rPr>
        <w:t>-</w:t>
      </w:r>
      <w:r w:rsidRPr="006D3921">
        <w:rPr>
          <w:sz w:val="22"/>
          <w:szCs w:val="22"/>
          <w:lang w:val="en-GB" w:eastAsia="en-GB"/>
        </w:rPr>
        <w:t>care products.</w:t>
      </w:r>
      <w:r w:rsidRPr="006D3921">
        <w:rPr>
          <w:rStyle w:val="EndnoteReference"/>
          <w:sz w:val="22"/>
          <w:szCs w:val="22"/>
          <w:lang w:val="en-GB" w:eastAsia="en-GB"/>
        </w:rPr>
        <w:endnoteReference w:id="102"/>
      </w:r>
      <w:r w:rsidRPr="006D3921">
        <w:rPr>
          <w:sz w:val="22"/>
          <w:szCs w:val="22"/>
          <w:lang w:val="en-GB" w:eastAsia="en-GB"/>
        </w:rPr>
        <w:t xml:space="preserve"> </w:t>
      </w:r>
    </w:p>
    <w:p w14:paraId="62209F3C" w14:textId="77777777" w:rsidR="00005E17" w:rsidRPr="006D3921" w:rsidRDefault="00005E17" w:rsidP="00411ACF">
      <w:pPr>
        <w:jc w:val="both"/>
        <w:rPr>
          <w:sz w:val="22"/>
          <w:szCs w:val="22"/>
          <w:lang w:val="en-GB" w:eastAsia="en-GB"/>
        </w:rPr>
      </w:pPr>
    </w:p>
    <w:p w14:paraId="18B00CD6" w14:textId="6CF42313" w:rsidR="00005E17" w:rsidRPr="006D3921" w:rsidRDefault="00005E17" w:rsidP="00411ACF">
      <w:pPr>
        <w:jc w:val="both"/>
        <w:rPr>
          <w:sz w:val="22"/>
          <w:szCs w:val="22"/>
          <w:lang w:val="en-GB" w:eastAsia="en-GB"/>
        </w:rPr>
      </w:pPr>
      <w:r w:rsidRPr="006D3921">
        <w:rPr>
          <w:sz w:val="22"/>
          <w:szCs w:val="22"/>
          <w:lang w:val="en-GB" w:eastAsia="en-GB"/>
        </w:rPr>
        <w:t>On June 17, 2020, HUL again applied for the trademark Glow &amp; Lovely to be used on a range of categories</w:t>
      </w:r>
      <w:r>
        <w:rPr>
          <w:sz w:val="22"/>
          <w:szCs w:val="22"/>
          <w:lang w:val="en-GB" w:eastAsia="en-GB"/>
        </w:rPr>
        <w:t>,</w:t>
      </w:r>
      <w:r w:rsidRPr="006D3921">
        <w:rPr>
          <w:sz w:val="22"/>
          <w:szCs w:val="22"/>
          <w:lang w:val="en-GB" w:eastAsia="en-GB"/>
        </w:rPr>
        <w:t xml:space="preserve"> including soaps, cleaning preparations, and essential oils.</w:t>
      </w:r>
      <w:r w:rsidRPr="006D3921">
        <w:rPr>
          <w:rStyle w:val="EndnoteReference"/>
          <w:sz w:val="22"/>
          <w:szCs w:val="22"/>
          <w:lang w:val="en-GB" w:eastAsia="en-GB"/>
        </w:rPr>
        <w:endnoteReference w:id="103"/>
      </w:r>
      <w:r w:rsidRPr="006D3921">
        <w:rPr>
          <w:sz w:val="22"/>
          <w:szCs w:val="22"/>
          <w:lang w:val="en-GB" w:eastAsia="en-GB"/>
        </w:rPr>
        <w:t xml:space="preserve"> On July 2, 2020, the company officially announced the renaming of the brand Fair &amp; Lovely to Glow &amp; Lovely.</w:t>
      </w:r>
      <w:r w:rsidRPr="006D3921">
        <w:rPr>
          <w:rStyle w:val="EndnoteReference"/>
          <w:sz w:val="22"/>
          <w:szCs w:val="22"/>
          <w:lang w:val="en-GB" w:eastAsia="en-GB"/>
        </w:rPr>
        <w:endnoteReference w:id="104"/>
      </w:r>
      <w:r w:rsidRPr="006D3921">
        <w:rPr>
          <w:sz w:val="22"/>
          <w:szCs w:val="22"/>
          <w:lang w:val="en-GB" w:eastAsia="en-GB"/>
        </w:rPr>
        <w:t xml:space="preserve"> </w:t>
      </w:r>
    </w:p>
    <w:p w14:paraId="720AC220" w14:textId="77777777" w:rsidR="00005E17" w:rsidRPr="006D3921" w:rsidRDefault="00005E17" w:rsidP="00411ACF">
      <w:pPr>
        <w:jc w:val="both"/>
        <w:rPr>
          <w:sz w:val="22"/>
          <w:szCs w:val="22"/>
          <w:lang w:val="en-GB" w:eastAsia="en-GB"/>
        </w:rPr>
      </w:pPr>
    </w:p>
    <w:p w14:paraId="1A0E035C" w14:textId="76432543" w:rsidR="00411ACF" w:rsidRPr="006D3921" w:rsidRDefault="00005E17" w:rsidP="00411ACF">
      <w:pPr>
        <w:jc w:val="both"/>
        <w:rPr>
          <w:sz w:val="22"/>
          <w:szCs w:val="22"/>
          <w:lang w:val="en-GB"/>
        </w:rPr>
      </w:pPr>
      <w:r w:rsidRPr="006D3921">
        <w:rPr>
          <w:sz w:val="22"/>
          <w:szCs w:val="22"/>
          <w:lang w:val="en-GB" w:eastAsia="en-GB"/>
        </w:rPr>
        <w:t>In the past, the company had faced resistance</w:t>
      </w:r>
      <w:r w:rsidRPr="006D3921">
        <w:rPr>
          <w:sz w:val="22"/>
          <w:szCs w:val="22"/>
          <w:lang w:val="en-GB"/>
        </w:rPr>
        <w:t xml:space="preserve"> from consumers when it had tried to change the colour of the cream and the packaging design. Analysts were now </w:t>
      </w:r>
      <w:proofErr w:type="spellStart"/>
      <w:r w:rsidRPr="006D3921">
        <w:rPr>
          <w:sz w:val="22"/>
          <w:szCs w:val="22"/>
          <w:lang w:val="en-GB"/>
        </w:rPr>
        <w:t>skeptical</w:t>
      </w:r>
      <w:proofErr w:type="spellEnd"/>
      <w:r w:rsidRPr="006D3921">
        <w:rPr>
          <w:sz w:val="22"/>
          <w:szCs w:val="22"/>
          <w:lang w:val="en-GB"/>
        </w:rPr>
        <w:t xml:space="preserve"> of a name change.</w:t>
      </w:r>
      <w:r w:rsidRPr="006D3921">
        <w:rPr>
          <w:rStyle w:val="EndnoteReference"/>
          <w:sz w:val="22"/>
          <w:szCs w:val="22"/>
          <w:lang w:val="en-GB"/>
        </w:rPr>
        <w:endnoteReference w:id="105"/>
      </w:r>
      <w:r w:rsidRPr="006D3921">
        <w:rPr>
          <w:sz w:val="22"/>
          <w:szCs w:val="22"/>
          <w:lang w:val="en-GB"/>
        </w:rPr>
        <w:t xml:space="preserve"> </w:t>
      </w:r>
      <w:r w:rsidR="00411ACF" w:rsidRPr="006D3921">
        <w:rPr>
          <w:sz w:val="22"/>
          <w:szCs w:val="22"/>
          <w:lang w:val="en-GB" w:eastAsia="en-GB"/>
        </w:rPr>
        <w:t xml:space="preserve">Was the company right in its assessment of </w:t>
      </w:r>
      <w:r w:rsidR="00E3249C" w:rsidRPr="006D3921">
        <w:rPr>
          <w:sz w:val="22"/>
          <w:szCs w:val="22"/>
          <w:lang w:val="en-GB" w:eastAsia="en-GB"/>
        </w:rPr>
        <w:t xml:space="preserve">current </w:t>
      </w:r>
      <w:r w:rsidR="00411ACF" w:rsidRPr="006D3921">
        <w:rPr>
          <w:sz w:val="22"/>
          <w:szCs w:val="22"/>
          <w:lang w:val="en-GB" w:eastAsia="en-GB"/>
        </w:rPr>
        <w:t>consumer sentiment</w:t>
      </w:r>
      <w:r w:rsidR="00E3249C" w:rsidRPr="006D3921">
        <w:rPr>
          <w:sz w:val="22"/>
          <w:szCs w:val="22"/>
          <w:lang w:val="en-GB" w:eastAsia="en-GB"/>
        </w:rPr>
        <w:t>? Would</w:t>
      </w:r>
      <w:r w:rsidR="00411ACF" w:rsidRPr="006D3921">
        <w:rPr>
          <w:sz w:val="22"/>
          <w:szCs w:val="22"/>
          <w:lang w:val="en-GB" w:eastAsia="en-GB"/>
        </w:rPr>
        <w:t xml:space="preserve"> the name change strategy</w:t>
      </w:r>
      <w:r w:rsidR="00E3249C" w:rsidRPr="006D3921">
        <w:rPr>
          <w:sz w:val="22"/>
          <w:szCs w:val="22"/>
          <w:lang w:val="en-GB" w:eastAsia="en-GB"/>
        </w:rPr>
        <w:t xml:space="preserve"> be successful</w:t>
      </w:r>
      <w:r w:rsidR="00411ACF" w:rsidRPr="006D3921">
        <w:rPr>
          <w:sz w:val="22"/>
          <w:szCs w:val="22"/>
          <w:lang w:val="en-GB" w:eastAsia="en-GB"/>
        </w:rPr>
        <w:t xml:space="preserve"> </w:t>
      </w:r>
      <w:r w:rsidR="00411ACF" w:rsidRPr="006D3921">
        <w:rPr>
          <w:sz w:val="22"/>
          <w:szCs w:val="22"/>
          <w:lang w:val="en-GB"/>
        </w:rPr>
        <w:t>for one of its largest-selling brands in the personal care segment</w:t>
      </w:r>
      <w:r w:rsidR="00411ACF" w:rsidRPr="006D3921">
        <w:rPr>
          <w:sz w:val="22"/>
          <w:szCs w:val="22"/>
          <w:lang w:val="en-GB" w:eastAsia="en-GB"/>
        </w:rPr>
        <w:t xml:space="preserve">? </w:t>
      </w:r>
      <w:r w:rsidR="0059004C" w:rsidRPr="006D3921">
        <w:rPr>
          <w:sz w:val="22"/>
          <w:szCs w:val="22"/>
          <w:lang w:val="en-GB"/>
        </w:rPr>
        <w:t>Would it</w:t>
      </w:r>
      <w:r w:rsidR="00411ACF" w:rsidRPr="006D3921">
        <w:rPr>
          <w:sz w:val="22"/>
          <w:szCs w:val="22"/>
          <w:lang w:val="en-GB" w:eastAsia="en-GB"/>
        </w:rPr>
        <w:t xml:space="preserve"> cause the company to regress on its business goals? </w:t>
      </w:r>
      <w:r w:rsidR="00A8538A" w:rsidRPr="006D3921">
        <w:rPr>
          <w:sz w:val="22"/>
          <w:szCs w:val="22"/>
          <w:lang w:val="en-GB" w:eastAsia="en-GB"/>
        </w:rPr>
        <w:t>Was distancing</w:t>
      </w:r>
      <w:r w:rsidR="00E3249C" w:rsidRPr="006D3921">
        <w:rPr>
          <w:sz w:val="22"/>
          <w:szCs w:val="22"/>
          <w:lang w:val="en-GB"/>
        </w:rPr>
        <w:t xml:space="preserve"> from </w:t>
      </w:r>
      <w:r w:rsidR="00A8538A" w:rsidRPr="006D3921">
        <w:rPr>
          <w:sz w:val="22"/>
          <w:szCs w:val="22"/>
          <w:lang w:val="en-GB"/>
        </w:rPr>
        <w:t>fair</w:t>
      </w:r>
      <w:r w:rsidR="00B5304D">
        <w:rPr>
          <w:sz w:val="22"/>
          <w:szCs w:val="22"/>
          <w:lang w:val="en-GB"/>
        </w:rPr>
        <w:t>-</w:t>
      </w:r>
      <w:r w:rsidR="00E3249C" w:rsidRPr="006D3921">
        <w:rPr>
          <w:sz w:val="22"/>
          <w:szCs w:val="22"/>
          <w:lang w:val="en-GB"/>
        </w:rPr>
        <w:t xml:space="preserve">skin </w:t>
      </w:r>
      <w:r w:rsidR="00A8538A" w:rsidRPr="006D3921">
        <w:rPr>
          <w:sz w:val="22"/>
          <w:szCs w:val="22"/>
          <w:lang w:val="en-GB"/>
        </w:rPr>
        <w:t>products</w:t>
      </w:r>
      <w:r w:rsidR="00411ACF" w:rsidRPr="006D3921">
        <w:rPr>
          <w:sz w:val="22"/>
          <w:szCs w:val="22"/>
          <w:lang w:val="en-GB"/>
        </w:rPr>
        <w:t xml:space="preserve"> </w:t>
      </w:r>
      <w:r w:rsidR="00E3249C" w:rsidRPr="006D3921">
        <w:rPr>
          <w:sz w:val="22"/>
          <w:szCs w:val="22"/>
          <w:lang w:val="en-GB"/>
        </w:rPr>
        <w:t>consistent with the parent company</w:t>
      </w:r>
      <w:r w:rsidR="00411ACF" w:rsidRPr="006D3921">
        <w:rPr>
          <w:sz w:val="22"/>
          <w:szCs w:val="22"/>
          <w:lang w:val="en-GB"/>
        </w:rPr>
        <w:t xml:space="preserve">’s larger sustainability goals of </w:t>
      </w:r>
      <w:r w:rsidR="00E3249C" w:rsidRPr="006D3921">
        <w:rPr>
          <w:sz w:val="22"/>
          <w:szCs w:val="22"/>
          <w:lang w:val="en-GB"/>
        </w:rPr>
        <w:t xml:space="preserve">social </w:t>
      </w:r>
      <w:r w:rsidR="00411ACF" w:rsidRPr="006D3921">
        <w:rPr>
          <w:sz w:val="22"/>
          <w:szCs w:val="22"/>
          <w:lang w:val="en-GB"/>
        </w:rPr>
        <w:t>fairness?</w:t>
      </w:r>
      <w:r w:rsidR="0059004C" w:rsidRPr="006D3921">
        <w:rPr>
          <w:sz w:val="22"/>
          <w:szCs w:val="22"/>
          <w:lang w:val="en-GB"/>
        </w:rPr>
        <w:t xml:space="preserve"> </w:t>
      </w:r>
    </w:p>
    <w:p w14:paraId="503C6653" w14:textId="197DEAD1" w:rsidR="00411ACF" w:rsidRPr="006D3921" w:rsidRDefault="00411ACF" w:rsidP="00B54538">
      <w:pPr>
        <w:pStyle w:val="Casehead1"/>
        <w:jc w:val="center"/>
        <w:rPr>
          <w:lang w:val="en-GB"/>
        </w:rPr>
      </w:pPr>
      <w:bookmarkStart w:id="17" w:name="_GoBack"/>
      <w:bookmarkEnd w:id="17"/>
      <w:r w:rsidRPr="006D3921">
        <w:rPr>
          <w:lang w:val="en-GB"/>
        </w:rPr>
        <w:lastRenderedPageBreak/>
        <w:t>EXHIBIT 1: UNILEVER</w:t>
      </w:r>
      <w:r w:rsidR="00E3249C" w:rsidRPr="006D3921">
        <w:rPr>
          <w:lang w:val="en-GB"/>
        </w:rPr>
        <w:t xml:space="preserve"> PLC</w:t>
      </w:r>
      <w:r w:rsidRPr="006D3921">
        <w:rPr>
          <w:lang w:val="en-GB"/>
        </w:rPr>
        <w:t xml:space="preserve"> FINANCIALS</w:t>
      </w:r>
      <w:r w:rsidR="00E3249C" w:rsidRPr="006D3921">
        <w:rPr>
          <w:lang w:val="en-GB"/>
        </w:rPr>
        <w:t>,</w:t>
      </w:r>
      <w:r w:rsidRPr="006D3921">
        <w:rPr>
          <w:lang w:val="en-GB"/>
        </w:rPr>
        <w:t xml:space="preserve"> 2018 </w:t>
      </w:r>
      <w:r w:rsidR="00E3249C" w:rsidRPr="006D3921">
        <w:rPr>
          <w:lang w:val="en-GB"/>
        </w:rPr>
        <w:t>and</w:t>
      </w:r>
      <w:r w:rsidRPr="006D3921">
        <w:rPr>
          <w:lang w:val="en-GB"/>
        </w:rPr>
        <w:t xml:space="preserve"> 2019</w:t>
      </w:r>
    </w:p>
    <w:p w14:paraId="382E5C57" w14:textId="77777777" w:rsidR="00411ACF" w:rsidRPr="006D3921" w:rsidRDefault="00411ACF" w:rsidP="00213191">
      <w:pPr>
        <w:pStyle w:val="BodyTextMain"/>
        <w:rPr>
          <w:lang w:val="en-GB"/>
        </w:rPr>
      </w:pPr>
    </w:p>
    <w:tbl>
      <w:tblPr>
        <w:tblStyle w:val="TableGrid"/>
        <w:tblW w:w="9287" w:type="dxa"/>
        <w:tblLayout w:type="fixed"/>
        <w:tblCellMar>
          <w:top w:w="29" w:type="dxa"/>
          <w:left w:w="29" w:type="dxa"/>
          <w:bottom w:w="29" w:type="dxa"/>
          <w:right w:w="58" w:type="dxa"/>
        </w:tblCellMar>
        <w:tblLook w:val="04A0" w:firstRow="1" w:lastRow="0" w:firstColumn="1" w:lastColumn="0" w:noHBand="0" w:noVBand="1"/>
      </w:tblPr>
      <w:tblGrid>
        <w:gridCol w:w="3415"/>
        <w:gridCol w:w="810"/>
        <w:gridCol w:w="720"/>
        <w:gridCol w:w="720"/>
        <w:gridCol w:w="720"/>
        <w:gridCol w:w="720"/>
        <w:gridCol w:w="720"/>
        <w:gridCol w:w="720"/>
        <w:gridCol w:w="742"/>
      </w:tblGrid>
      <w:tr w:rsidR="002E327A" w:rsidRPr="006D3921" w14:paraId="7171F4C7" w14:textId="77777777" w:rsidTr="000808E7">
        <w:tc>
          <w:tcPr>
            <w:tcW w:w="3415" w:type="dxa"/>
            <w:vMerge w:val="restart"/>
          </w:tcPr>
          <w:p w14:paraId="65993571" w14:textId="77777777" w:rsidR="00411ACF" w:rsidRPr="006D3921" w:rsidRDefault="00411ACF" w:rsidP="00E3249C">
            <w:pPr>
              <w:spacing w:line="276" w:lineRule="auto"/>
              <w:rPr>
                <w:rFonts w:ascii="Arial" w:hAnsi="Arial" w:cs="Arial"/>
                <w:lang w:val="en-GB"/>
              </w:rPr>
            </w:pPr>
          </w:p>
        </w:tc>
        <w:tc>
          <w:tcPr>
            <w:tcW w:w="1530" w:type="dxa"/>
            <w:gridSpan w:val="2"/>
          </w:tcPr>
          <w:p w14:paraId="41A426F6" w14:textId="0EA602FC" w:rsidR="00411ACF" w:rsidRPr="006D3921" w:rsidRDefault="00411ACF" w:rsidP="00E3249C">
            <w:pPr>
              <w:spacing w:line="276" w:lineRule="auto"/>
              <w:jc w:val="center"/>
              <w:rPr>
                <w:rFonts w:ascii="Arial" w:hAnsi="Arial" w:cs="Arial"/>
                <w:b/>
                <w:bCs/>
                <w:lang w:val="en-GB"/>
              </w:rPr>
            </w:pPr>
            <w:r w:rsidRPr="006D3921">
              <w:rPr>
                <w:rFonts w:ascii="Arial" w:hAnsi="Arial" w:cs="Arial"/>
                <w:b/>
                <w:bCs/>
                <w:lang w:val="en-GB"/>
              </w:rPr>
              <w:t xml:space="preserve">Beauty </w:t>
            </w:r>
            <w:r w:rsidR="00E41629" w:rsidRPr="006D3921">
              <w:rPr>
                <w:rFonts w:ascii="Arial" w:hAnsi="Arial" w:cs="Arial"/>
                <w:b/>
                <w:bCs/>
                <w:lang w:val="en-GB"/>
              </w:rPr>
              <w:t>&amp;</w:t>
            </w:r>
            <w:r w:rsidRPr="006D3921">
              <w:rPr>
                <w:rFonts w:ascii="Arial" w:hAnsi="Arial" w:cs="Arial"/>
                <w:b/>
                <w:bCs/>
                <w:lang w:val="en-GB"/>
              </w:rPr>
              <w:t xml:space="preserve"> Personal Care</w:t>
            </w:r>
          </w:p>
        </w:tc>
        <w:tc>
          <w:tcPr>
            <w:tcW w:w="1440" w:type="dxa"/>
            <w:gridSpan w:val="2"/>
          </w:tcPr>
          <w:p w14:paraId="72C22277" w14:textId="08460033" w:rsidR="00411ACF" w:rsidRPr="006D3921" w:rsidRDefault="00411ACF" w:rsidP="00E3249C">
            <w:pPr>
              <w:spacing w:line="276" w:lineRule="auto"/>
              <w:jc w:val="center"/>
              <w:rPr>
                <w:rFonts w:ascii="Arial" w:hAnsi="Arial" w:cs="Arial"/>
                <w:b/>
                <w:bCs/>
                <w:lang w:val="en-GB"/>
              </w:rPr>
            </w:pPr>
            <w:r w:rsidRPr="006D3921">
              <w:rPr>
                <w:rFonts w:ascii="Arial" w:hAnsi="Arial" w:cs="Arial"/>
                <w:b/>
                <w:bCs/>
                <w:lang w:val="en-GB"/>
              </w:rPr>
              <w:t xml:space="preserve">Foods </w:t>
            </w:r>
            <w:r w:rsidR="00E41629" w:rsidRPr="006D3921">
              <w:rPr>
                <w:rFonts w:ascii="Arial" w:hAnsi="Arial" w:cs="Arial"/>
                <w:b/>
                <w:bCs/>
                <w:lang w:val="en-GB"/>
              </w:rPr>
              <w:t>&amp;</w:t>
            </w:r>
            <w:r w:rsidRPr="006D3921">
              <w:rPr>
                <w:rFonts w:ascii="Arial" w:hAnsi="Arial" w:cs="Arial"/>
                <w:b/>
                <w:bCs/>
                <w:lang w:val="en-GB"/>
              </w:rPr>
              <w:t xml:space="preserve"> Refreshment</w:t>
            </w:r>
            <w:r w:rsidR="00E3249C" w:rsidRPr="006D3921">
              <w:rPr>
                <w:rFonts w:ascii="Arial" w:hAnsi="Arial" w:cs="Arial"/>
                <w:b/>
                <w:bCs/>
                <w:lang w:val="en-GB"/>
              </w:rPr>
              <w:t>s</w:t>
            </w:r>
          </w:p>
        </w:tc>
        <w:tc>
          <w:tcPr>
            <w:tcW w:w="1440" w:type="dxa"/>
            <w:gridSpan w:val="2"/>
          </w:tcPr>
          <w:p w14:paraId="1CB11BBB" w14:textId="77777777" w:rsidR="00411ACF" w:rsidRPr="006D3921" w:rsidRDefault="00411ACF" w:rsidP="00E3249C">
            <w:pPr>
              <w:spacing w:line="276" w:lineRule="auto"/>
              <w:jc w:val="center"/>
              <w:rPr>
                <w:rFonts w:ascii="Arial" w:hAnsi="Arial" w:cs="Arial"/>
                <w:b/>
                <w:bCs/>
                <w:lang w:val="en-GB"/>
              </w:rPr>
            </w:pPr>
            <w:r w:rsidRPr="006D3921">
              <w:rPr>
                <w:rFonts w:ascii="Arial" w:hAnsi="Arial" w:cs="Arial"/>
                <w:b/>
                <w:bCs/>
                <w:lang w:val="en-GB"/>
              </w:rPr>
              <w:t>Home Care</w:t>
            </w:r>
          </w:p>
        </w:tc>
        <w:tc>
          <w:tcPr>
            <w:tcW w:w="1462" w:type="dxa"/>
            <w:gridSpan w:val="2"/>
          </w:tcPr>
          <w:p w14:paraId="51818902" w14:textId="1EDA33AD" w:rsidR="00411ACF" w:rsidRPr="006D3921" w:rsidRDefault="00E41629" w:rsidP="00E3249C">
            <w:pPr>
              <w:spacing w:line="276" w:lineRule="auto"/>
              <w:jc w:val="center"/>
              <w:rPr>
                <w:rFonts w:ascii="Arial" w:hAnsi="Arial" w:cs="Arial"/>
                <w:b/>
                <w:bCs/>
                <w:lang w:val="en-GB"/>
              </w:rPr>
            </w:pPr>
            <w:r w:rsidRPr="006D3921">
              <w:rPr>
                <w:rFonts w:ascii="Arial" w:hAnsi="Arial" w:cs="Arial"/>
                <w:b/>
                <w:bCs/>
                <w:lang w:val="en-GB"/>
              </w:rPr>
              <w:t xml:space="preserve">Overall </w:t>
            </w:r>
            <w:r w:rsidR="00411ACF" w:rsidRPr="006D3921">
              <w:rPr>
                <w:rFonts w:ascii="Arial" w:hAnsi="Arial" w:cs="Arial"/>
                <w:b/>
                <w:bCs/>
                <w:lang w:val="en-GB"/>
              </w:rPr>
              <w:t>Group</w:t>
            </w:r>
          </w:p>
        </w:tc>
      </w:tr>
      <w:tr w:rsidR="002E327A" w:rsidRPr="006D3921" w14:paraId="7A1835DC" w14:textId="77777777" w:rsidTr="000808E7">
        <w:tc>
          <w:tcPr>
            <w:tcW w:w="3415" w:type="dxa"/>
            <w:vMerge/>
          </w:tcPr>
          <w:p w14:paraId="3BC87B71" w14:textId="77777777" w:rsidR="00411ACF" w:rsidRPr="006D3921" w:rsidRDefault="00411ACF" w:rsidP="00E3249C">
            <w:pPr>
              <w:spacing w:line="276" w:lineRule="auto"/>
              <w:rPr>
                <w:rFonts w:ascii="Arial" w:hAnsi="Arial" w:cs="Arial"/>
                <w:lang w:val="en-GB"/>
              </w:rPr>
            </w:pPr>
          </w:p>
        </w:tc>
        <w:tc>
          <w:tcPr>
            <w:tcW w:w="810" w:type="dxa"/>
          </w:tcPr>
          <w:p w14:paraId="15346F5A" w14:textId="77777777" w:rsidR="00411ACF" w:rsidRPr="006D3921" w:rsidRDefault="00411ACF" w:rsidP="00E3249C">
            <w:pPr>
              <w:spacing w:line="276" w:lineRule="auto"/>
              <w:jc w:val="center"/>
              <w:rPr>
                <w:rFonts w:ascii="Arial" w:hAnsi="Arial" w:cs="Arial"/>
                <w:b/>
                <w:bCs/>
                <w:lang w:val="en-GB"/>
              </w:rPr>
            </w:pPr>
            <w:r w:rsidRPr="006D3921">
              <w:rPr>
                <w:rFonts w:ascii="Arial" w:hAnsi="Arial" w:cs="Arial"/>
                <w:b/>
                <w:bCs/>
                <w:lang w:val="en-GB"/>
              </w:rPr>
              <w:t>2019</w:t>
            </w:r>
          </w:p>
        </w:tc>
        <w:tc>
          <w:tcPr>
            <w:tcW w:w="720" w:type="dxa"/>
          </w:tcPr>
          <w:p w14:paraId="17A0863F" w14:textId="77777777" w:rsidR="00411ACF" w:rsidRPr="006D3921" w:rsidRDefault="00411ACF" w:rsidP="00E3249C">
            <w:pPr>
              <w:spacing w:line="276" w:lineRule="auto"/>
              <w:jc w:val="center"/>
              <w:rPr>
                <w:rFonts w:ascii="Arial" w:hAnsi="Arial" w:cs="Arial"/>
                <w:b/>
                <w:bCs/>
                <w:lang w:val="en-GB"/>
              </w:rPr>
            </w:pPr>
            <w:r w:rsidRPr="006D3921">
              <w:rPr>
                <w:rFonts w:ascii="Arial" w:hAnsi="Arial" w:cs="Arial"/>
                <w:b/>
                <w:bCs/>
                <w:lang w:val="en-GB"/>
              </w:rPr>
              <w:t>2018</w:t>
            </w:r>
          </w:p>
        </w:tc>
        <w:tc>
          <w:tcPr>
            <w:tcW w:w="720" w:type="dxa"/>
          </w:tcPr>
          <w:p w14:paraId="044ADB5C" w14:textId="77777777" w:rsidR="00411ACF" w:rsidRPr="006D3921" w:rsidRDefault="00411ACF" w:rsidP="00E3249C">
            <w:pPr>
              <w:spacing w:line="276" w:lineRule="auto"/>
              <w:jc w:val="center"/>
              <w:rPr>
                <w:rFonts w:ascii="Arial" w:hAnsi="Arial" w:cs="Arial"/>
                <w:b/>
                <w:bCs/>
                <w:lang w:val="en-GB"/>
              </w:rPr>
            </w:pPr>
            <w:r w:rsidRPr="006D3921">
              <w:rPr>
                <w:rFonts w:ascii="Arial" w:hAnsi="Arial" w:cs="Arial"/>
                <w:b/>
                <w:bCs/>
                <w:lang w:val="en-GB"/>
              </w:rPr>
              <w:t>2019</w:t>
            </w:r>
          </w:p>
        </w:tc>
        <w:tc>
          <w:tcPr>
            <w:tcW w:w="720" w:type="dxa"/>
          </w:tcPr>
          <w:p w14:paraId="46CDFBF0" w14:textId="77777777" w:rsidR="00411ACF" w:rsidRPr="006D3921" w:rsidRDefault="00411ACF" w:rsidP="00E3249C">
            <w:pPr>
              <w:spacing w:line="276" w:lineRule="auto"/>
              <w:jc w:val="center"/>
              <w:rPr>
                <w:rFonts w:ascii="Arial" w:hAnsi="Arial" w:cs="Arial"/>
                <w:b/>
                <w:bCs/>
                <w:lang w:val="en-GB"/>
              </w:rPr>
            </w:pPr>
            <w:r w:rsidRPr="006D3921">
              <w:rPr>
                <w:rFonts w:ascii="Arial" w:hAnsi="Arial" w:cs="Arial"/>
                <w:b/>
                <w:bCs/>
                <w:lang w:val="en-GB"/>
              </w:rPr>
              <w:t>2018</w:t>
            </w:r>
          </w:p>
        </w:tc>
        <w:tc>
          <w:tcPr>
            <w:tcW w:w="720" w:type="dxa"/>
          </w:tcPr>
          <w:p w14:paraId="674703C5" w14:textId="77777777" w:rsidR="00411ACF" w:rsidRPr="006D3921" w:rsidRDefault="00411ACF" w:rsidP="00E3249C">
            <w:pPr>
              <w:spacing w:line="276" w:lineRule="auto"/>
              <w:jc w:val="center"/>
              <w:rPr>
                <w:rFonts w:ascii="Arial" w:hAnsi="Arial" w:cs="Arial"/>
                <w:b/>
                <w:bCs/>
                <w:lang w:val="en-GB"/>
              </w:rPr>
            </w:pPr>
            <w:r w:rsidRPr="006D3921">
              <w:rPr>
                <w:rFonts w:ascii="Arial" w:hAnsi="Arial" w:cs="Arial"/>
                <w:b/>
                <w:bCs/>
                <w:lang w:val="en-GB"/>
              </w:rPr>
              <w:t>2019</w:t>
            </w:r>
          </w:p>
        </w:tc>
        <w:tc>
          <w:tcPr>
            <w:tcW w:w="720" w:type="dxa"/>
          </w:tcPr>
          <w:p w14:paraId="2A6897C0" w14:textId="77777777" w:rsidR="00411ACF" w:rsidRPr="006D3921" w:rsidRDefault="00411ACF" w:rsidP="00E3249C">
            <w:pPr>
              <w:spacing w:line="276" w:lineRule="auto"/>
              <w:jc w:val="center"/>
              <w:rPr>
                <w:rFonts w:ascii="Arial" w:hAnsi="Arial" w:cs="Arial"/>
                <w:b/>
                <w:bCs/>
                <w:lang w:val="en-GB"/>
              </w:rPr>
            </w:pPr>
            <w:r w:rsidRPr="006D3921">
              <w:rPr>
                <w:rFonts w:ascii="Arial" w:hAnsi="Arial" w:cs="Arial"/>
                <w:b/>
                <w:bCs/>
                <w:lang w:val="en-GB"/>
              </w:rPr>
              <w:t>2018</w:t>
            </w:r>
          </w:p>
        </w:tc>
        <w:tc>
          <w:tcPr>
            <w:tcW w:w="720" w:type="dxa"/>
          </w:tcPr>
          <w:p w14:paraId="09926BE8" w14:textId="77777777" w:rsidR="00411ACF" w:rsidRPr="006D3921" w:rsidRDefault="00411ACF" w:rsidP="00E3249C">
            <w:pPr>
              <w:spacing w:line="276" w:lineRule="auto"/>
              <w:jc w:val="center"/>
              <w:rPr>
                <w:rFonts w:ascii="Arial" w:hAnsi="Arial" w:cs="Arial"/>
                <w:b/>
                <w:bCs/>
                <w:lang w:val="en-GB"/>
              </w:rPr>
            </w:pPr>
            <w:r w:rsidRPr="006D3921">
              <w:rPr>
                <w:rFonts w:ascii="Arial" w:hAnsi="Arial" w:cs="Arial"/>
                <w:b/>
                <w:bCs/>
                <w:lang w:val="en-GB"/>
              </w:rPr>
              <w:t>2019</w:t>
            </w:r>
          </w:p>
        </w:tc>
        <w:tc>
          <w:tcPr>
            <w:tcW w:w="742" w:type="dxa"/>
          </w:tcPr>
          <w:p w14:paraId="51425DE0" w14:textId="77777777" w:rsidR="00411ACF" w:rsidRPr="006D3921" w:rsidRDefault="00411ACF" w:rsidP="00E3249C">
            <w:pPr>
              <w:spacing w:line="276" w:lineRule="auto"/>
              <w:jc w:val="center"/>
              <w:rPr>
                <w:rFonts w:ascii="Arial" w:hAnsi="Arial" w:cs="Arial"/>
                <w:b/>
                <w:bCs/>
                <w:lang w:val="en-GB"/>
              </w:rPr>
            </w:pPr>
            <w:r w:rsidRPr="006D3921">
              <w:rPr>
                <w:rFonts w:ascii="Arial" w:hAnsi="Arial" w:cs="Arial"/>
                <w:b/>
                <w:bCs/>
                <w:lang w:val="en-GB"/>
              </w:rPr>
              <w:t>2018</w:t>
            </w:r>
          </w:p>
        </w:tc>
      </w:tr>
      <w:tr w:rsidR="002E327A" w:rsidRPr="006D3921" w14:paraId="65AB720E" w14:textId="77777777" w:rsidTr="000808E7">
        <w:trPr>
          <w:trHeight w:val="240"/>
        </w:trPr>
        <w:tc>
          <w:tcPr>
            <w:tcW w:w="3415" w:type="dxa"/>
          </w:tcPr>
          <w:p w14:paraId="0DD730CF" w14:textId="00825CA7" w:rsidR="00411ACF" w:rsidRPr="006D3921" w:rsidRDefault="00E3249C" w:rsidP="00E3249C">
            <w:pPr>
              <w:spacing w:line="276" w:lineRule="auto"/>
              <w:rPr>
                <w:rFonts w:ascii="Arial" w:hAnsi="Arial" w:cs="Arial"/>
                <w:lang w:val="en-GB"/>
              </w:rPr>
            </w:pPr>
            <w:r w:rsidRPr="006D3921">
              <w:rPr>
                <w:rFonts w:ascii="Arial" w:hAnsi="Arial" w:cs="Arial"/>
                <w:lang w:val="en-GB"/>
              </w:rPr>
              <w:t xml:space="preserve">Revenue </w:t>
            </w:r>
            <w:r w:rsidR="00411ACF" w:rsidRPr="006D3921">
              <w:rPr>
                <w:rFonts w:ascii="Arial" w:hAnsi="Arial" w:cs="Arial"/>
                <w:lang w:val="en-GB"/>
              </w:rPr>
              <w:t>(€ million)</w:t>
            </w:r>
          </w:p>
        </w:tc>
        <w:tc>
          <w:tcPr>
            <w:tcW w:w="810" w:type="dxa"/>
          </w:tcPr>
          <w:p w14:paraId="137840A8"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 xml:space="preserve">21,868 </w:t>
            </w:r>
          </w:p>
        </w:tc>
        <w:tc>
          <w:tcPr>
            <w:tcW w:w="720" w:type="dxa"/>
          </w:tcPr>
          <w:p w14:paraId="07551D24"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 xml:space="preserve">20,624 </w:t>
            </w:r>
          </w:p>
        </w:tc>
        <w:tc>
          <w:tcPr>
            <w:tcW w:w="720" w:type="dxa"/>
          </w:tcPr>
          <w:p w14:paraId="59486FDD" w14:textId="24292805"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19,287</w:t>
            </w:r>
          </w:p>
        </w:tc>
        <w:tc>
          <w:tcPr>
            <w:tcW w:w="720" w:type="dxa"/>
          </w:tcPr>
          <w:p w14:paraId="33E24B3A" w14:textId="59F107E1"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20,227</w:t>
            </w:r>
          </w:p>
        </w:tc>
        <w:tc>
          <w:tcPr>
            <w:tcW w:w="720" w:type="dxa"/>
          </w:tcPr>
          <w:p w14:paraId="66710DFD" w14:textId="0EC833B2"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10,825</w:t>
            </w:r>
          </w:p>
        </w:tc>
        <w:tc>
          <w:tcPr>
            <w:tcW w:w="720" w:type="dxa"/>
          </w:tcPr>
          <w:p w14:paraId="1A329088"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 xml:space="preserve">10,131 </w:t>
            </w:r>
          </w:p>
        </w:tc>
        <w:tc>
          <w:tcPr>
            <w:tcW w:w="720" w:type="dxa"/>
          </w:tcPr>
          <w:p w14:paraId="396F72C2" w14:textId="3173F381"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51,980</w:t>
            </w:r>
          </w:p>
        </w:tc>
        <w:tc>
          <w:tcPr>
            <w:tcW w:w="742" w:type="dxa"/>
          </w:tcPr>
          <w:p w14:paraId="219B80DD" w14:textId="48516C69"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50,982</w:t>
            </w:r>
          </w:p>
        </w:tc>
      </w:tr>
      <w:tr w:rsidR="002E327A" w:rsidRPr="006D3921" w14:paraId="1EBEC68B" w14:textId="77777777" w:rsidTr="000808E7">
        <w:tc>
          <w:tcPr>
            <w:tcW w:w="3415" w:type="dxa"/>
          </w:tcPr>
          <w:p w14:paraId="7D435FC5" w14:textId="77777777" w:rsidR="00411ACF" w:rsidRPr="006D3921" w:rsidRDefault="00411ACF" w:rsidP="00E3249C">
            <w:pPr>
              <w:spacing w:line="276" w:lineRule="auto"/>
              <w:rPr>
                <w:rFonts w:ascii="Arial" w:hAnsi="Arial" w:cs="Arial"/>
                <w:lang w:val="en-GB"/>
              </w:rPr>
            </w:pPr>
            <w:r w:rsidRPr="006D3921">
              <w:rPr>
                <w:rFonts w:ascii="Arial" w:hAnsi="Arial" w:cs="Arial"/>
                <w:lang w:val="en-GB"/>
              </w:rPr>
              <w:t>Underlying sales growth (%)</w:t>
            </w:r>
          </w:p>
        </w:tc>
        <w:tc>
          <w:tcPr>
            <w:tcW w:w="810" w:type="dxa"/>
          </w:tcPr>
          <w:p w14:paraId="1CBDFCDC"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2.6</w:t>
            </w:r>
          </w:p>
        </w:tc>
        <w:tc>
          <w:tcPr>
            <w:tcW w:w="720" w:type="dxa"/>
          </w:tcPr>
          <w:p w14:paraId="3F9A33CD"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3.4</w:t>
            </w:r>
          </w:p>
        </w:tc>
        <w:tc>
          <w:tcPr>
            <w:tcW w:w="720" w:type="dxa"/>
          </w:tcPr>
          <w:p w14:paraId="19C21BF0"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1.5</w:t>
            </w:r>
          </w:p>
        </w:tc>
        <w:tc>
          <w:tcPr>
            <w:tcW w:w="720" w:type="dxa"/>
          </w:tcPr>
          <w:p w14:paraId="46B67F35"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2.2</w:t>
            </w:r>
          </w:p>
        </w:tc>
        <w:tc>
          <w:tcPr>
            <w:tcW w:w="720" w:type="dxa"/>
          </w:tcPr>
          <w:p w14:paraId="623AF6DC"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6.1</w:t>
            </w:r>
          </w:p>
        </w:tc>
        <w:tc>
          <w:tcPr>
            <w:tcW w:w="720" w:type="dxa"/>
          </w:tcPr>
          <w:p w14:paraId="0B1D3143"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4.7</w:t>
            </w:r>
          </w:p>
        </w:tc>
        <w:tc>
          <w:tcPr>
            <w:tcW w:w="720" w:type="dxa"/>
          </w:tcPr>
          <w:p w14:paraId="79F79AEC"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2.9</w:t>
            </w:r>
          </w:p>
        </w:tc>
        <w:tc>
          <w:tcPr>
            <w:tcW w:w="742" w:type="dxa"/>
          </w:tcPr>
          <w:p w14:paraId="2AFF49CB"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3.2</w:t>
            </w:r>
          </w:p>
        </w:tc>
      </w:tr>
      <w:tr w:rsidR="002E327A" w:rsidRPr="006D3921" w14:paraId="582AC687" w14:textId="77777777" w:rsidTr="000808E7">
        <w:tc>
          <w:tcPr>
            <w:tcW w:w="3415" w:type="dxa"/>
          </w:tcPr>
          <w:p w14:paraId="17D37527" w14:textId="77777777" w:rsidR="00411ACF" w:rsidRPr="006D3921" w:rsidRDefault="00411ACF" w:rsidP="00E3249C">
            <w:pPr>
              <w:pStyle w:val="NormalWeb"/>
              <w:spacing w:after="0" w:afterAutospacing="0"/>
              <w:rPr>
                <w:rFonts w:ascii="Arial" w:hAnsi="Arial" w:cs="Arial"/>
                <w:color w:val="000000" w:themeColor="text1"/>
                <w:sz w:val="20"/>
                <w:szCs w:val="20"/>
                <w:lang w:val="en-GB"/>
              </w:rPr>
            </w:pPr>
            <w:r w:rsidRPr="006D3921">
              <w:rPr>
                <w:rFonts w:ascii="Arial" w:hAnsi="Arial" w:cs="Arial"/>
                <w:color w:val="000000" w:themeColor="text1"/>
                <w:sz w:val="20"/>
                <w:szCs w:val="20"/>
                <w:lang w:val="en-GB"/>
              </w:rPr>
              <w:t xml:space="preserve">Underlying volume growth (%) </w:t>
            </w:r>
          </w:p>
        </w:tc>
        <w:tc>
          <w:tcPr>
            <w:tcW w:w="810" w:type="dxa"/>
          </w:tcPr>
          <w:p w14:paraId="2642048E"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1.7</w:t>
            </w:r>
          </w:p>
        </w:tc>
        <w:tc>
          <w:tcPr>
            <w:tcW w:w="720" w:type="dxa"/>
          </w:tcPr>
          <w:p w14:paraId="4DB57594"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2.5</w:t>
            </w:r>
          </w:p>
        </w:tc>
        <w:tc>
          <w:tcPr>
            <w:tcW w:w="720" w:type="dxa"/>
          </w:tcPr>
          <w:p w14:paraId="456C9F3C" w14:textId="2CE090C3" w:rsidR="00411ACF" w:rsidRPr="006D3921" w:rsidRDefault="00C5755E" w:rsidP="00E3249C">
            <w:pPr>
              <w:spacing w:line="276" w:lineRule="auto"/>
              <w:jc w:val="right"/>
              <w:rPr>
                <w:rFonts w:ascii="Arial" w:hAnsi="Arial" w:cs="Arial"/>
                <w:lang w:val="en-GB"/>
              </w:rPr>
            </w:pPr>
            <w:r w:rsidRPr="006D3921">
              <w:rPr>
                <w:rFonts w:ascii="Arial" w:hAnsi="Arial" w:cs="Arial"/>
                <w:lang w:val="en-GB"/>
              </w:rPr>
              <w:t>–</w:t>
            </w:r>
            <w:r w:rsidR="00411ACF" w:rsidRPr="006D3921">
              <w:rPr>
                <w:rFonts w:ascii="Arial" w:hAnsi="Arial" w:cs="Arial"/>
                <w:lang w:val="en-GB"/>
              </w:rPr>
              <w:t>0.2</w:t>
            </w:r>
          </w:p>
        </w:tc>
        <w:tc>
          <w:tcPr>
            <w:tcW w:w="720" w:type="dxa"/>
          </w:tcPr>
          <w:p w14:paraId="73258CEC"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1.3</w:t>
            </w:r>
          </w:p>
        </w:tc>
        <w:tc>
          <w:tcPr>
            <w:tcW w:w="720" w:type="dxa"/>
          </w:tcPr>
          <w:p w14:paraId="029C288F"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2.9</w:t>
            </w:r>
          </w:p>
        </w:tc>
        <w:tc>
          <w:tcPr>
            <w:tcW w:w="720" w:type="dxa"/>
          </w:tcPr>
          <w:p w14:paraId="3BCC9BF0"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2.3</w:t>
            </w:r>
          </w:p>
        </w:tc>
        <w:tc>
          <w:tcPr>
            <w:tcW w:w="720" w:type="dxa"/>
          </w:tcPr>
          <w:p w14:paraId="3387238D"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1.2</w:t>
            </w:r>
          </w:p>
        </w:tc>
        <w:tc>
          <w:tcPr>
            <w:tcW w:w="742" w:type="dxa"/>
          </w:tcPr>
          <w:p w14:paraId="626BAF23"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1.9</w:t>
            </w:r>
          </w:p>
        </w:tc>
      </w:tr>
      <w:tr w:rsidR="002E327A" w:rsidRPr="006D3921" w14:paraId="50904936" w14:textId="77777777" w:rsidTr="000808E7">
        <w:tc>
          <w:tcPr>
            <w:tcW w:w="3415" w:type="dxa"/>
          </w:tcPr>
          <w:p w14:paraId="7C0F09B2" w14:textId="77777777" w:rsidR="00411ACF" w:rsidRPr="006D3921" w:rsidRDefault="00411ACF" w:rsidP="00E3249C">
            <w:pPr>
              <w:spacing w:line="276" w:lineRule="auto"/>
              <w:rPr>
                <w:rFonts w:ascii="Arial" w:hAnsi="Arial" w:cs="Arial"/>
                <w:lang w:val="en-GB"/>
              </w:rPr>
            </w:pPr>
            <w:r w:rsidRPr="006D3921">
              <w:rPr>
                <w:rFonts w:ascii="Arial" w:hAnsi="Arial" w:cs="Arial"/>
                <w:lang w:val="en-GB"/>
              </w:rPr>
              <w:t xml:space="preserve">Underlying price growth (%) </w:t>
            </w:r>
          </w:p>
        </w:tc>
        <w:tc>
          <w:tcPr>
            <w:tcW w:w="810" w:type="dxa"/>
          </w:tcPr>
          <w:p w14:paraId="67F3FE01"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0.9</w:t>
            </w:r>
          </w:p>
        </w:tc>
        <w:tc>
          <w:tcPr>
            <w:tcW w:w="720" w:type="dxa"/>
          </w:tcPr>
          <w:p w14:paraId="16644E73"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0.9</w:t>
            </w:r>
          </w:p>
        </w:tc>
        <w:tc>
          <w:tcPr>
            <w:tcW w:w="720" w:type="dxa"/>
          </w:tcPr>
          <w:p w14:paraId="21223C57"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1.7</w:t>
            </w:r>
          </w:p>
        </w:tc>
        <w:tc>
          <w:tcPr>
            <w:tcW w:w="720" w:type="dxa"/>
          </w:tcPr>
          <w:p w14:paraId="39718FAD"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0.9</w:t>
            </w:r>
          </w:p>
        </w:tc>
        <w:tc>
          <w:tcPr>
            <w:tcW w:w="720" w:type="dxa"/>
          </w:tcPr>
          <w:p w14:paraId="54A1B0EB"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3.1</w:t>
            </w:r>
          </w:p>
        </w:tc>
        <w:tc>
          <w:tcPr>
            <w:tcW w:w="720" w:type="dxa"/>
          </w:tcPr>
          <w:p w14:paraId="5A0D15BD"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2.4</w:t>
            </w:r>
          </w:p>
        </w:tc>
        <w:tc>
          <w:tcPr>
            <w:tcW w:w="720" w:type="dxa"/>
          </w:tcPr>
          <w:p w14:paraId="4307E2DB"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1.6</w:t>
            </w:r>
          </w:p>
        </w:tc>
        <w:tc>
          <w:tcPr>
            <w:tcW w:w="742" w:type="dxa"/>
          </w:tcPr>
          <w:p w14:paraId="2096B451"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1.2</w:t>
            </w:r>
          </w:p>
        </w:tc>
      </w:tr>
      <w:tr w:rsidR="002E327A" w:rsidRPr="006D3921" w14:paraId="39F8A6A5" w14:textId="77777777" w:rsidTr="000808E7">
        <w:tc>
          <w:tcPr>
            <w:tcW w:w="3415" w:type="dxa"/>
          </w:tcPr>
          <w:p w14:paraId="4A5588E3" w14:textId="77777777" w:rsidR="00411ACF" w:rsidRPr="006D3921" w:rsidRDefault="00411ACF" w:rsidP="00E3249C">
            <w:pPr>
              <w:spacing w:line="276" w:lineRule="auto"/>
              <w:rPr>
                <w:rFonts w:ascii="Arial" w:hAnsi="Arial" w:cs="Arial"/>
                <w:lang w:val="en-GB"/>
              </w:rPr>
            </w:pPr>
            <w:r w:rsidRPr="006D3921">
              <w:rPr>
                <w:rFonts w:ascii="Arial" w:hAnsi="Arial" w:cs="Arial"/>
                <w:lang w:val="en-GB"/>
              </w:rPr>
              <w:t xml:space="preserve">Operating profit (€ million) </w:t>
            </w:r>
          </w:p>
        </w:tc>
        <w:tc>
          <w:tcPr>
            <w:tcW w:w="810" w:type="dxa"/>
          </w:tcPr>
          <w:p w14:paraId="4E71585C" w14:textId="619266F9"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4</w:t>
            </w:r>
            <w:r w:rsidR="00C5755E" w:rsidRPr="006D3921">
              <w:rPr>
                <w:rFonts w:ascii="Arial" w:hAnsi="Arial" w:cs="Arial"/>
                <w:lang w:val="en-GB"/>
              </w:rPr>
              <w:t>,</w:t>
            </w:r>
            <w:r w:rsidRPr="006D3921">
              <w:rPr>
                <w:rFonts w:ascii="Arial" w:hAnsi="Arial" w:cs="Arial"/>
                <w:lang w:val="en-GB"/>
              </w:rPr>
              <w:t>520</w:t>
            </w:r>
          </w:p>
        </w:tc>
        <w:tc>
          <w:tcPr>
            <w:tcW w:w="720" w:type="dxa"/>
          </w:tcPr>
          <w:p w14:paraId="6D57B0D6" w14:textId="57EF0A70"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4</w:t>
            </w:r>
            <w:r w:rsidR="00C5755E" w:rsidRPr="006D3921">
              <w:rPr>
                <w:rFonts w:ascii="Arial" w:hAnsi="Arial" w:cs="Arial"/>
                <w:lang w:val="en-GB"/>
              </w:rPr>
              <w:t>,</w:t>
            </w:r>
            <w:r w:rsidRPr="006D3921">
              <w:rPr>
                <w:rFonts w:ascii="Arial" w:hAnsi="Arial" w:cs="Arial"/>
                <w:lang w:val="en-GB"/>
              </w:rPr>
              <w:t>165</w:t>
            </w:r>
          </w:p>
        </w:tc>
        <w:tc>
          <w:tcPr>
            <w:tcW w:w="720" w:type="dxa"/>
          </w:tcPr>
          <w:p w14:paraId="582805C4" w14:textId="6BF95998"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2</w:t>
            </w:r>
            <w:r w:rsidR="00C5755E" w:rsidRPr="006D3921">
              <w:rPr>
                <w:rFonts w:ascii="Arial" w:hAnsi="Arial" w:cs="Arial"/>
                <w:lang w:val="en-GB"/>
              </w:rPr>
              <w:t>,</w:t>
            </w:r>
            <w:r w:rsidRPr="006D3921">
              <w:rPr>
                <w:rFonts w:ascii="Arial" w:hAnsi="Arial" w:cs="Arial"/>
                <w:lang w:val="en-GB"/>
              </w:rPr>
              <w:t>811</w:t>
            </w:r>
          </w:p>
        </w:tc>
        <w:tc>
          <w:tcPr>
            <w:tcW w:w="720" w:type="dxa"/>
          </w:tcPr>
          <w:p w14:paraId="12720C25" w14:textId="4DAC7460"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7</w:t>
            </w:r>
            <w:r w:rsidR="00C5755E" w:rsidRPr="006D3921">
              <w:rPr>
                <w:rFonts w:ascii="Arial" w:hAnsi="Arial" w:cs="Arial"/>
                <w:lang w:val="en-GB"/>
              </w:rPr>
              <w:t>,</w:t>
            </w:r>
            <w:r w:rsidRPr="006D3921">
              <w:rPr>
                <w:rFonts w:ascii="Arial" w:hAnsi="Arial" w:cs="Arial"/>
                <w:lang w:val="en-GB"/>
              </w:rPr>
              <w:t>287</w:t>
            </w:r>
          </w:p>
        </w:tc>
        <w:tc>
          <w:tcPr>
            <w:tcW w:w="720" w:type="dxa"/>
          </w:tcPr>
          <w:p w14:paraId="3C48960C" w14:textId="64DB572E"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w:t>
            </w:r>
            <w:r w:rsidR="00C5755E" w:rsidRPr="006D3921">
              <w:rPr>
                <w:rFonts w:ascii="Arial" w:hAnsi="Arial" w:cs="Arial"/>
                <w:lang w:val="en-GB"/>
              </w:rPr>
              <w:t>,</w:t>
            </w:r>
            <w:r w:rsidRPr="006D3921">
              <w:rPr>
                <w:rFonts w:ascii="Arial" w:hAnsi="Arial" w:cs="Arial"/>
                <w:lang w:val="en-GB"/>
              </w:rPr>
              <w:t>377</w:t>
            </w:r>
          </w:p>
        </w:tc>
        <w:tc>
          <w:tcPr>
            <w:tcW w:w="720" w:type="dxa"/>
          </w:tcPr>
          <w:p w14:paraId="47B12373" w14:textId="68CB9335"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w:t>
            </w:r>
            <w:r w:rsidR="00C5755E" w:rsidRPr="006D3921">
              <w:rPr>
                <w:rFonts w:ascii="Arial" w:hAnsi="Arial" w:cs="Arial"/>
                <w:lang w:val="en-GB"/>
              </w:rPr>
              <w:t>,</w:t>
            </w:r>
            <w:r w:rsidRPr="006D3921">
              <w:rPr>
                <w:rFonts w:ascii="Arial" w:hAnsi="Arial" w:cs="Arial"/>
                <w:lang w:val="en-GB"/>
              </w:rPr>
              <w:t>187</w:t>
            </w:r>
          </w:p>
        </w:tc>
        <w:tc>
          <w:tcPr>
            <w:tcW w:w="720" w:type="dxa"/>
          </w:tcPr>
          <w:p w14:paraId="71A9CB7D" w14:textId="6A2000CC"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8</w:t>
            </w:r>
            <w:r w:rsidR="00C5755E" w:rsidRPr="006D3921">
              <w:rPr>
                <w:rFonts w:ascii="Arial" w:hAnsi="Arial" w:cs="Arial"/>
                <w:lang w:val="en-GB"/>
              </w:rPr>
              <w:t>,</w:t>
            </w:r>
            <w:r w:rsidRPr="006D3921">
              <w:rPr>
                <w:rFonts w:ascii="Arial" w:hAnsi="Arial" w:cs="Arial"/>
                <w:lang w:val="en-GB"/>
              </w:rPr>
              <w:t>708</w:t>
            </w:r>
          </w:p>
        </w:tc>
        <w:tc>
          <w:tcPr>
            <w:tcW w:w="742" w:type="dxa"/>
          </w:tcPr>
          <w:p w14:paraId="19F07D03" w14:textId="54FF8862"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12</w:t>
            </w:r>
            <w:r w:rsidR="00C5755E" w:rsidRPr="006D3921">
              <w:rPr>
                <w:rFonts w:ascii="Arial" w:hAnsi="Arial" w:cs="Arial"/>
                <w:lang w:val="en-GB"/>
              </w:rPr>
              <w:t>,</w:t>
            </w:r>
            <w:r w:rsidRPr="006D3921">
              <w:rPr>
                <w:rFonts w:ascii="Arial" w:hAnsi="Arial" w:cs="Arial"/>
                <w:lang w:val="en-GB"/>
              </w:rPr>
              <w:t>639</w:t>
            </w:r>
          </w:p>
        </w:tc>
      </w:tr>
      <w:tr w:rsidR="002E327A" w:rsidRPr="006D3921" w14:paraId="24752250" w14:textId="77777777" w:rsidTr="000808E7">
        <w:tc>
          <w:tcPr>
            <w:tcW w:w="3415" w:type="dxa"/>
          </w:tcPr>
          <w:p w14:paraId="131DD785" w14:textId="3E1E4F0C" w:rsidR="00411ACF" w:rsidRPr="006D3921" w:rsidRDefault="00411ACF" w:rsidP="00E3249C">
            <w:pPr>
              <w:spacing w:line="276" w:lineRule="auto"/>
              <w:rPr>
                <w:rFonts w:ascii="Arial" w:hAnsi="Arial" w:cs="Arial"/>
                <w:lang w:val="en-GB"/>
              </w:rPr>
            </w:pPr>
            <w:r w:rsidRPr="006D3921">
              <w:rPr>
                <w:rFonts w:ascii="Arial" w:hAnsi="Arial" w:cs="Arial"/>
                <w:lang w:val="en-GB"/>
              </w:rPr>
              <w:t>Underlying operating profit</w:t>
            </w:r>
            <w:r w:rsidR="002E327A" w:rsidRPr="006D3921">
              <w:rPr>
                <w:rFonts w:ascii="Arial" w:hAnsi="Arial" w:cs="Arial"/>
                <w:lang w:val="en-GB"/>
              </w:rPr>
              <w:t xml:space="preserve"> </w:t>
            </w:r>
            <w:r w:rsidRPr="006D3921">
              <w:rPr>
                <w:rFonts w:ascii="Arial" w:hAnsi="Arial" w:cs="Arial"/>
                <w:lang w:val="en-GB"/>
              </w:rPr>
              <w:t xml:space="preserve">(€ million) </w:t>
            </w:r>
          </w:p>
        </w:tc>
        <w:tc>
          <w:tcPr>
            <w:tcW w:w="810" w:type="dxa"/>
          </w:tcPr>
          <w:p w14:paraId="7AE1B90B" w14:textId="48854615"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4</w:t>
            </w:r>
            <w:r w:rsidR="00C5755E" w:rsidRPr="006D3921">
              <w:rPr>
                <w:rFonts w:ascii="Arial" w:hAnsi="Arial" w:cs="Arial"/>
                <w:lang w:val="en-GB"/>
              </w:rPr>
              <w:t>,</w:t>
            </w:r>
            <w:r w:rsidRPr="006D3921">
              <w:rPr>
                <w:rFonts w:ascii="Arial" w:hAnsi="Arial" w:cs="Arial"/>
                <w:lang w:val="en-GB"/>
              </w:rPr>
              <w:t>960</w:t>
            </w:r>
          </w:p>
        </w:tc>
        <w:tc>
          <w:tcPr>
            <w:tcW w:w="720" w:type="dxa"/>
          </w:tcPr>
          <w:p w14:paraId="4084CFE2" w14:textId="0BC2E806"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4</w:t>
            </w:r>
            <w:r w:rsidR="00C5755E" w:rsidRPr="006D3921">
              <w:rPr>
                <w:rFonts w:ascii="Arial" w:hAnsi="Arial" w:cs="Arial"/>
                <w:lang w:val="en-GB"/>
              </w:rPr>
              <w:t>,</w:t>
            </w:r>
            <w:r w:rsidRPr="006D3921">
              <w:rPr>
                <w:rFonts w:ascii="Arial" w:hAnsi="Arial" w:cs="Arial"/>
                <w:lang w:val="en-GB"/>
              </w:rPr>
              <w:t>543</w:t>
            </w:r>
          </w:p>
        </w:tc>
        <w:tc>
          <w:tcPr>
            <w:tcW w:w="720" w:type="dxa"/>
          </w:tcPr>
          <w:p w14:paraId="4227F8BA" w14:textId="4F4BDD29"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3</w:t>
            </w:r>
            <w:r w:rsidR="00C5755E" w:rsidRPr="006D3921">
              <w:rPr>
                <w:rFonts w:ascii="Arial" w:hAnsi="Arial" w:cs="Arial"/>
                <w:lang w:val="en-GB"/>
              </w:rPr>
              <w:t>,</w:t>
            </w:r>
            <w:r w:rsidRPr="006D3921">
              <w:rPr>
                <w:rFonts w:ascii="Arial" w:hAnsi="Arial" w:cs="Arial"/>
                <w:lang w:val="en-GB"/>
              </w:rPr>
              <w:t>382</w:t>
            </w:r>
          </w:p>
        </w:tc>
        <w:tc>
          <w:tcPr>
            <w:tcW w:w="720" w:type="dxa"/>
          </w:tcPr>
          <w:p w14:paraId="127DD96E" w14:textId="2C7043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3</w:t>
            </w:r>
            <w:r w:rsidR="00C5755E" w:rsidRPr="006D3921">
              <w:rPr>
                <w:rFonts w:ascii="Arial" w:hAnsi="Arial" w:cs="Arial"/>
                <w:lang w:val="en-GB"/>
              </w:rPr>
              <w:t>,</w:t>
            </w:r>
            <w:r w:rsidRPr="006D3921">
              <w:rPr>
                <w:rFonts w:ascii="Arial" w:hAnsi="Arial" w:cs="Arial"/>
                <w:lang w:val="en-GB"/>
              </w:rPr>
              <w:t>576</w:t>
            </w:r>
          </w:p>
        </w:tc>
        <w:tc>
          <w:tcPr>
            <w:tcW w:w="720" w:type="dxa"/>
          </w:tcPr>
          <w:p w14:paraId="010B0CFC" w14:textId="69D8F05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w:t>
            </w:r>
            <w:r w:rsidR="00C5755E" w:rsidRPr="006D3921">
              <w:rPr>
                <w:rFonts w:ascii="Arial" w:hAnsi="Arial" w:cs="Arial"/>
                <w:lang w:val="en-GB"/>
              </w:rPr>
              <w:t>,</w:t>
            </w:r>
            <w:r w:rsidRPr="006D3921">
              <w:rPr>
                <w:rFonts w:ascii="Arial" w:hAnsi="Arial" w:cs="Arial"/>
                <w:lang w:val="en-GB"/>
              </w:rPr>
              <w:t>605</w:t>
            </w:r>
          </w:p>
        </w:tc>
        <w:tc>
          <w:tcPr>
            <w:tcW w:w="720" w:type="dxa"/>
          </w:tcPr>
          <w:p w14:paraId="1FFDBF9E" w14:textId="428917B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w:t>
            </w:r>
            <w:r w:rsidR="00C5755E" w:rsidRPr="006D3921">
              <w:rPr>
                <w:rFonts w:ascii="Arial" w:hAnsi="Arial" w:cs="Arial"/>
                <w:lang w:val="en-GB"/>
              </w:rPr>
              <w:t>,</w:t>
            </w:r>
            <w:r w:rsidRPr="006D3921">
              <w:rPr>
                <w:rFonts w:ascii="Arial" w:hAnsi="Arial" w:cs="Arial"/>
                <w:lang w:val="en-GB"/>
              </w:rPr>
              <w:t>344</w:t>
            </w:r>
          </w:p>
        </w:tc>
        <w:tc>
          <w:tcPr>
            <w:tcW w:w="720" w:type="dxa"/>
          </w:tcPr>
          <w:p w14:paraId="64ACE059" w14:textId="205FA6B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9</w:t>
            </w:r>
            <w:r w:rsidR="00C5755E" w:rsidRPr="006D3921">
              <w:rPr>
                <w:rFonts w:ascii="Arial" w:hAnsi="Arial" w:cs="Arial"/>
                <w:lang w:val="en-GB"/>
              </w:rPr>
              <w:t>,</w:t>
            </w:r>
            <w:r w:rsidRPr="006D3921">
              <w:rPr>
                <w:rFonts w:ascii="Arial" w:hAnsi="Arial" w:cs="Arial"/>
                <w:lang w:val="en-GB"/>
              </w:rPr>
              <w:t>947</w:t>
            </w:r>
          </w:p>
        </w:tc>
        <w:tc>
          <w:tcPr>
            <w:tcW w:w="742" w:type="dxa"/>
          </w:tcPr>
          <w:p w14:paraId="57279467" w14:textId="108B8F2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9</w:t>
            </w:r>
            <w:r w:rsidR="00C5755E" w:rsidRPr="006D3921">
              <w:rPr>
                <w:rFonts w:ascii="Arial" w:hAnsi="Arial" w:cs="Arial"/>
                <w:lang w:val="en-GB"/>
              </w:rPr>
              <w:t>,</w:t>
            </w:r>
            <w:r w:rsidRPr="006D3921">
              <w:rPr>
                <w:rFonts w:ascii="Arial" w:hAnsi="Arial" w:cs="Arial"/>
                <w:lang w:val="en-GB"/>
              </w:rPr>
              <w:t>463</w:t>
            </w:r>
          </w:p>
        </w:tc>
      </w:tr>
      <w:tr w:rsidR="002E327A" w:rsidRPr="006D3921" w14:paraId="6F0E7D85" w14:textId="77777777" w:rsidTr="000808E7">
        <w:tc>
          <w:tcPr>
            <w:tcW w:w="3415" w:type="dxa"/>
          </w:tcPr>
          <w:p w14:paraId="3CB22A4F" w14:textId="77777777" w:rsidR="00411ACF" w:rsidRPr="006D3921" w:rsidRDefault="00411ACF" w:rsidP="00E3249C">
            <w:pPr>
              <w:spacing w:line="276" w:lineRule="auto"/>
              <w:rPr>
                <w:rFonts w:ascii="Arial" w:hAnsi="Arial" w:cs="Arial"/>
                <w:lang w:val="en-GB"/>
              </w:rPr>
            </w:pPr>
            <w:r w:rsidRPr="006D3921">
              <w:rPr>
                <w:rFonts w:ascii="Arial" w:hAnsi="Arial" w:cs="Arial"/>
                <w:lang w:val="en-GB"/>
              </w:rPr>
              <w:t>Operating margin (%)</w:t>
            </w:r>
          </w:p>
        </w:tc>
        <w:tc>
          <w:tcPr>
            <w:tcW w:w="810" w:type="dxa"/>
          </w:tcPr>
          <w:p w14:paraId="1A0DEAF9"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20.7</w:t>
            </w:r>
          </w:p>
        </w:tc>
        <w:tc>
          <w:tcPr>
            <w:tcW w:w="720" w:type="dxa"/>
          </w:tcPr>
          <w:p w14:paraId="22FC16DE"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20.2</w:t>
            </w:r>
          </w:p>
        </w:tc>
        <w:tc>
          <w:tcPr>
            <w:tcW w:w="720" w:type="dxa"/>
          </w:tcPr>
          <w:p w14:paraId="3C061645"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14.6</w:t>
            </w:r>
          </w:p>
        </w:tc>
        <w:tc>
          <w:tcPr>
            <w:tcW w:w="720" w:type="dxa"/>
          </w:tcPr>
          <w:p w14:paraId="509123D1" w14:textId="23EE65C4"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36</w:t>
            </w:r>
            <w:r w:rsidR="00C5755E" w:rsidRPr="006D3921">
              <w:rPr>
                <w:rFonts w:ascii="Arial" w:hAnsi="Arial" w:cs="Arial"/>
                <w:lang w:val="en-GB"/>
              </w:rPr>
              <w:t>.0</w:t>
            </w:r>
          </w:p>
        </w:tc>
        <w:tc>
          <w:tcPr>
            <w:tcW w:w="720" w:type="dxa"/>
          </w:tcPr>
          <w:p w14:paraId="6B17DF17"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12.7</w:t>
            </w:r>
          </w:p>
        </w:tc>
        <w:tc>
          <w:tcPr>
            <w:tcW w:w="720" w:type="dxa"/>
          </w:tcPr>
          <w:p w14:paraId="0DD67137"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11.7</w:t>
            </w:r>
          </w:p>
        </w:tc>
        <w:tc>
          <w:tcPr>
            <w:tcW w:w="720" w:type="dxa"/>
          </w:tcPr>
          <w:p w14:paraId="76C20832"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16.8</w:t>
            </w:r>
          </w:p>
        </w:tc>
        <w:tc>
          <w:tcPr>
            <w:tcW w:w="742" w:type="dxa"/>
          </w:tcPr>
          <w:p w14:paraId="0CC14F5E"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24.8</w:t>
            </w:r>
          </w:p>
        </w:tc>
      </w:tr>
      <w:tr w:rsidR="002E327A" w:rsidRPr="006D3921" w14:paraId="42302953" w14:textId="77777777" w:rsidTr="000808E7">
        <w:tc>
          <w:tcPr>
            <w:tcW w:w="3415" w:type="dxa"/>
          </w:tcPr>
          <w:p w14:paraId="19F2563F" w14:textId="77777777" w:rsidR="00411ACF" w:rsidRPr="006D3921" w:rsidRDefault="00411ACF" w:rsidP="00E3249C">
            <w:pPr>
              <w:spacing w:line="276" w:lineRule="auto"/>
              <w:rPr>
                <w:rFonts w:ascii="Arial" w:hAnsi="Arial" w:cs="Arial"/>
                <w:lang w:val="en-GB"/>
              </w:rPr>
            </w:pPr>
            <w:r w:rsidRPr="006D3921">
              <w:rPr>
                <w:rFonts w:ascii="Arial" w:hAnsi="Arial" w:cs="Arial"/>
                <w:lang w:val="en-GB"/>
              </w:rPr>
              <w:t xml:space="preserve">Underlying operating margin (%) </w:t>
            </w:r>
          </w:p>
        </w:tc>
        <w:tc>
          <w:tcPr>
            <w:tcW w:w="810" w:type="dxa"/>
          </w:tcPr>
          <w:p w14:paraId="00E37D57"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22.7</w:t>
            </w:r>
          </w:p>
        </w:tc>
        <w:tc>
          <w:tcPr>
            <w:tcW w:w="720" w:type="dxa"/>
          </w:tcPr>
          <w:p w14:paraId="324C2CE7" w14:textId="4B62AF5D"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22</w:t>
            </w:r>
            <w:r w:rsidR="00C5755E" w:rsidRPr="006D3921">
              <w:rPr>
                <w:rFonts w:ascii="Arial" w:hAnsi="Arial" w:cs="Arial"/>
                <w:lang w:val="en-GB"/>
              </w:rPr>
              <w:t>.0</w:t>
            </w:r>
          </w:p>
        </w:tc>
        <w:tc>
          <w:tcPr>
            <w:tcW w:w="720" w:type="dxa"/>
          </w:tcPr>
          <w:p w14:paraId="2F635989"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17.5</w:t>
            </w:r>
          </w:p>
        </w:tc>
        <w:tc>
          <w:tcPr>
            <w:tcW w:w="720" w:type="dxa"/>
          </w:tcPr>
          <w:p w14:paraId="116EA3EB"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17.7</w:t>
            </w:r>
          </w:p>
        </w:tc>
        <w:tc>
          <w:tcPr>
            <w:tcW w:w="720" w:type="dxa"/>
          </w:tcPr>
          <w:p w14:paraId="5C93209C"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14.8</w:t>
            </w:r>
          </w:p>
        </w:tc>
        <w:tc>
          <w:tcPr>
            <w:tcW w:w="720" w:type="dxa"/>
          </w:tcPr>
          <w:p w14:paraId="1356E5A4"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13.3</w:t>
            </w:r>
          </w:p>
        </w:tc>
        <w:tc>
          <w:tcPr>
            <w:tcW w:w="720" w:type="dxa"/>
          </w:tcPr>
          <w:p w14:paraId="07B48206"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19.1</w:t>
            </w:r>
          </w:p>
        </w:tc>
        <w:tc>
          <w:tcPr>
            <w:tcW w:w="742" w:type="dxa"/>
          </w:tcPr>
          <w:p w14:paraId="32ECD18F" w14:textId="77777777"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18.6</w:t>
            </w:r>
          </w:p>
        </w:tc>
      </w:tr>
      <w:tr w:rsidR="002E327A" w:rsidRPr="006D3921" w14:paraId="14C47DD4" w14:textId="77777777" w:rsidTr="000808E7">
        <w:tc>
          <w:tcPr>
            <w:tcW w:w="3415" w:type="dxa"/>
          </w:tcPr>
          <w:p w14:paraId="4CAE2ED7" w14:textId="77777777" w:rsidR="00411ACF" w:rsidRPr="006D3921" w:rsidRDefault="00411ACF" w:rsidP="00E3249C">
            <w:pPr>
              <w:spacing w:line="276" w:lineRule="auto"/>
              <w:rPr>
                <w:rFonts w:ascii="Arial" w:hAnsi="Arial" w:cs="Arial"/>
                <w:lang w:val="en-GB"/>
              </w:rPr>
            </w:pPr>
            <w:r w:rsidRPr="006D3921">
              <w:rPr>
                <w:rFonts w:ascii="Arial" w:hAnsi="Arial" w:cs="Arial"/>
                <w:lang w:val="en-GB"/>
              </w:rPr>
              <w:t>Return on assets (%)</w:t>
            </w:r>
          </w:p>
        </w:tc>
        <w:tc>
          <w:tcPr>
            <w:tcW w:w="810" w:type="dxa"/>
          </w:tcPr>
          <w:p w14:paraId="5147D834" w14:textId="4C955F68"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124</w:t>
            </w:r>
            <w:r w:rsidR="00C5755E" w:rsidRPr="006D3921">
              <w:rPr>
                <w:rFonts w:ascii="Arial" w:hAnsi="Arial" w:cs="Arial"/>
                <w:lang w:val="en-GB"/>
              </w:rPr>
              <w:t>.0</w:t>
            </w:r>
          </w:p>
        </w:tc>
        <w:tc>
          <w:tcPr>
            <w:tcW w:w="720" w:type="dxa"/>
          </w:tcPr>
          <w:p w14:paraId="4C3E2486" w14:textId="501AEBBD"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117</w:t>
            </w:r>
            <w:r w:rsidR="00C5755E" w:rsidRPr="006D3921">
              <w:rPr>
                <w:rFonts w:ascii="Arial" w:hAnsi="Arial" w:cs="Arial"/>
                <w:lang w:val="en-GB"/>
              </w:rPr>
              <w:t>.0</w:t>
            </w:r>
          </w:p>
        </w:tc>
        <w:tc>
          <w:tcPr>
            <w:tcW w:w="720" w:type="dxa"/>
          </w:tcPr>
          <w:p w14:paraId="070BF629" w14:textId="33D28F52"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61</w:t>
            </w:r>
            <w:r w:rsidR="00C5755E" w:rsidRPr="006D3921">
              <w:rPr>
                <w:rFonts w:ascii="Arial" w:hAnsi="Arial" w:cs="Arial"/>
                <w:lang w:val="en-GB"/>
              </w:rPr>
              <w:t>.0</w:t>
            </w:r>
          </w:p>
        </w:tc>
        <w:tc>
          <w:tcPr>
            <w:tcW w:w="720" w:type="dxa"/>
          </w:tcPr>
          <w:p w14:paraId="70EF2F53" w14:textId="2FD11894"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58</w:t>
            </w:r>
            <w:r w:rsidR="00C5755E" w:rsidRPr="006D3921">
              <w:rPr>
                <w:rFonts w:ascii="Arial" w:hAnsi="Arial" w:cs="Arial"/>
                <w:lang w:val="en-GB"/>
              </w:rPr>
              <w:t>.0</w:t>
            </w:r>
          </w:p>
        </w:tc>
        <w:tc>
          <w:tcPr>
            <w:tcW w:w="720" w:type="dxa"/>
          </w:tcPr>
          <w:p w14:paraId="22F77858" w14:textId="03A8ACCD"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99</w:t>
            </w:r>
            <w:r w:rsidR="00C5755E" w:rsidRPr="006D3921">
              <w:rPr>
                <w:rFonts w:ascii="Arial" w:hAnsi="Arial" w:cs="Arial"/>
                <w:lang w:val="en-GB"/>
              </w:rPr>
              <w:t>.0</w:t>
            </w:r>
          </w:p>
        </w:tc>
        <w:tc>
          <w:tcPr>
            <w:tcW w:w="720" w:type="dxa"/>
          </w:tcPr>
          <w:p w14:paraId="0AD07EBF" w14:textId="78F9EF70"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86</w:t>
            </w:r>
            <w:r w:rsidR="00C5755E" w:rsidRPr="006D3921">
              <w:rPr>
                <w:rFonts w:ascii="Arial" w:hAnsi="Arial" w:cs="Arial"/>
                <w:lang w:val="en-GB"/>
              </w:rPr>
              <w:t>.0</w:t>
            </w:r>
          </w:p>
        </w:tc>
        <w:tc>
          <w:tcPr>
            <w:tcW w:w="720" w:type="dxa"/>
          </w:tcPr>
          <w:p w14:paraId="7B9B1064" w14:textId="27639A05"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89</w:t>
            </w:r>
            <w:r w:rsidR="00C5755E" w:rsidRPr="006D3921">
              <w:rPr>
                <w:rFonts w:ascii="Arial" w:hAnsi="Arial" w:cs="Arial"/>
                <w:lang w:val="en-GB"/>
              </w:rPr>
              <w:t>.0</w:t>
            </w:r>
          </w:p>
        </w:tc>
        <w:tc>
          <w:tcPr>
            <w:tcW w:w="742" w:type="dxa"/>
          </w:tcPr>
          <w:p w14:paraId="06D0D693" w14:textId="33186EE2" w:rsidR="00411ACF" w:rsidRPr="006D3921" w:rsidRDefault="00411ACF" w:rsidP="00E3249C">
            <w:pPr>
              <w:spacing w:line="276" w:lineRule="auto"/>
              <w:jc w:val="right"/>
              <w:rPr>
                <w:rFonts w:ascii="Arial" w:hAnsi="Arial" w:cs="Arial"/>
                <w:lang w:val="en-GB"/>
              </w:rPr>
            </w:pPr>
            <w:r w:rsidRPr="006D3921">
              <w:rPr>
                <w:rFonts w:ascii="Arial" w:hAnsi="Arial" w:cs="Arial"/>
                <w:lang w:val="en-GB"/>
              </w:rPr>
              <w:t>92</w:t>
            </w:r>
            <w:r w:rsidR="00C5755E" w:rsidRPr="006D3921">
              <w:rPr>
                <w:rFonts w:ascii="Arial" w:hAnsi="Arial" w:cs="Arial"/>
                <w:lang w:val="en-GB"/>
              </w:rPr>
              <w:t>.0</w:t>
            </w:r>
          </w:p>
        </w:tc>
      </w:tr>
    </w:tbl>
    <w:p w14:paraId="0414B981" w14:textId="77777777" w:rsidR="002E327A" w:rsidRPr="006D3921" w:rsidRDefault="002E327A" w:rsidP="00E3249C">
      <w:pPr>
        <w:pStyle w:val="Footnote"/>
        <w:rPr>
          <w:rFonts w:ascii="Arial" w:hAnsi="Arial" w:cs="Arial"/>
          <w:sz w:val="17"/>
          <w:szCs w:val="17"/>
          <w:lang w:val="en-GB"/>
        </w:rPr>
      </w:pPr>
    </w:p>
    <w:p w14:paraId="511BD8E0" w14:textId="35D6FDD4" w:rsidR="00411ACF" w:rsidRPr="006D3921" w:rsidRDefault="00411ACF" w:rsidP="000808E7">
      <w:pPr>
        <w:pStyle w:val="Footnote"/>
        <w:rPr>
          <w:rFonts w:ascii="Arial" w:hAnsi="Arial" w:cs="Arial"/>
          <w:b/>
          <w:caps/>
          <w:sz w:val="17"/>
          <w:szCs w:val="17"/>
          <w:lang w:val="en-GB"/>
        </w:rPr>
      </w:pPr>
      <w:r w:rsidRPr="006D3921">
        <w:rPr>
          <w:rFonts w:ascii="Arial" w:hAnsi="Arial" w:cs="Arial"/>
          <w:sz w:val="17"/>
          <w:szCs w:val="17"/>
          <w:lang w:val="en-GB"/>
        </w:rPr>
        <w:t xml:space="preserve">Source: </w:t>
      </w:r>
      <w:bookmarkStart w:id="18" w:name="_Hlk56354151"/>
      <w:r w:rsidRPr="006D3921">
        <w:rPr>
          <w:rFonts w:ascii="Arial" w:hAnsi="Arial" w:cs="Arial"/>
          <w:sz w:val="17"/>
          <w:szCs w:val="17"/>
          <w:lang w:val="en-GB"/>
        </w:rPr>
        <w:t>Unilever</w:t>
      </w:r>
      <w:r w:rsidR="005278B4" w:rsidRPr="006D3921">
        <w:rPr>
          <w:rFonts w:ascii="Arial" w:hAnsi="Arial" w:cs="Arial"/>
          <w:sz w:val="17"/>
          <w:szCs w:val="17"/>
          <w:lang w:val="en-GB"/>
        </w:rPr>
        <w:t xml:space="preserve"> plc, </w:t>
      </w:r>
      <w:r w:rsidR="005278B4" w:rsidRPr="006D3921">
        <w:rPr>
          <w:rFonts w:ascii="Arial" w:hAnsi="Arial" w:cs="Arial"/>
          <w:i/>
          <w:sz w:val="17"/>
          <w:szCs w:val="17"/>
          <w:lang w:val="en-GB"/>
        </w:rPr>
        <w:t>Purpose-Led, Future-Fit: Unilever Annual Report and Accounts 2019</w:t>
      </w:r>
      <w:r w:rsidR="005278B4" w:rsidRPr="006D3921">
        <w:rPr>
          <w:rFonts w:ascii="Arial" w:hAnsi="Arial" w:cs="Arial"/>
          <w:sz w:val="17"/>
          <w:szCs w:val="17"/>
          <w:lang w:val="en-GB"/>
        </w:rPr>
        <w:t>, 24, accessed July 10, 2020, www.unilever.com/Images/unilever-annual-report-and-accounts-2019_tcm244-547893_en.pdf</w:t>
      </w:r>
      <w:bookmarkEnd w:id="18"/>
      <w:r w:rsidRPr="006D3921">
        <w:rPr>
          <w:rFonts w:ascii="Arial" w:hAnsi="Arial" w:cs="Arial"/>
          <w:sz w:val="17"/>
          <w:szCs w:val="17"/>
          <w:lang w:val="en-GB"/>
        </w:rPr>
        <w:t>.</w:t>
      </w:r>
      <w:r w:rsidRPr="006D3921">
        <w:rPr>
          <w:rFonts w:ascii="Arial" w:hAnsi="Arial" w:cs="Arial"/>
          <w:sz w:val="17"/>
          <w:szCs w:val="17"/>
          <w:lang w:val="en-GB"/>
        </w:rPr>
        <w:br w:type="page"/>
      </w:r>
    </w:p>
    <w:p w14:paraId="345BDF52" w14:textId="77777777" w:rsidR="00411ACF" w:rsidRPr="006D3921" w:rsidRDefault="00411ACF" w:rsidP="00411ACF">
      <w:pPr>
        <w:pStyle w:val="Casehead1"/>
        <w:rPr>
          <w:lang w:val="en-GB"/>
        </w:rPr>
      </w:pPr>
      <w:r w:rsidRPr="006D3921">
        <w:rPr>
          <w:lang w:val="en-GB"/>
        </w:rPr>
        <w:lastRenderedPageBreak/>
        <w:t>Endnotes</w:t>
      </w:r>
    </w:p>
    <w:sectPr w:rsidR="00411ACF" w:rsidRPr="006D3921" w:rsidSect="00AB6C99">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7C10A" w16cex:dateUtc="2021-01-12T01:02:00Z"/>
  <w16cex:commentExtensible w16cex:durableId="23AA64CD" w16cex:dateUtc="2021-01-14T01:05:00Z"/>
  <w16cex:commentExtensible w16cex:durableId="23A7C1E5" w16cex:dateUtc="2021-01-12T01:06:00Z"/>
  <w16cex:commentExtensible w16cex:durableId="23AA6537" w16cex:dateUtc="2021-01-14T01:07:00Z"/>
  <w16cex:commentExtensible w16cex:durableId="23A7C671" w16cex:dateUtc="2021-01-12T01:25:00Z"/>
  <w16cex:commentExtensible w16cex:durableId="23AA6553" w16cex:dateUtc="2021-01-14T01: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557FA" w14:textId="77777777" w:rsidR="00333AA8" w:rsidRDefault="00333AA8" w:rsidP="00411ACF">
      <w:r>
        <w:separator/>
      </w:r>
    </w:p>
  </w:endnote>
  <w:endnote w:type="continuationSeparator" w:id="0">
    <w:p w14:paraId="6F96BF26" w14:textId="77777777" w:rsidR="00333AA8" w:rsidRDefault="00333AA8" w:rsidP="00411ACF">
      <w:r>
        <w:continuationSeparator/>
      </w:r>
    </w:p>
  </w:endnote>
  <w:endnote w:id="1">
    <w:p w14:paraId="43930D61" w14:textId="13D474D3"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This case has been written on the basis of published sources only. Consequently, the interpretation and perspectives presented in this case are not necessarily those of Unilever plc, its subsidiary Hindustan Unilever L</w:t>
      </w:r>
      <w:r>
        <w:rPr>
          <w:rFonts w:ascii="Arial" w:hAnsi="Arial" w:cs="Arial"/>
          <w:sz w:val="17"/>
          <w:szCs w:val="17"/>
        </w:rPr>
        <w:t>imited</w:t>
      </w:r>
      <w:r w:rsidRPr="0012478D">
        <w:rPr>
          <w:rFonts w:ascii="Arial" w:hAnsi="Arial" w:cs="Arial"/>
          <w:sz w:val="17"/>
          <w:szCs w:val="17"/>
        </w:rPr>
        <w:t>, or any of its employees.</w:t>
      </w:r>
    </w:p>
  </w:endnote>
  <w:endnote w:id="2">
    <w:p w14:paraId="7B750BBD" w14:textId="69462C83"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Lora Jones, “</w:t>
      </w:r>
      <w:r w:rsidRPr="0012478D">
        <w:rPr>
          <w:rFonts w:ascii="Arial" w:hAnsi="Arial" w:cs="Arial"/>
          <w:sz w:val="17"/>
          <w:szCs w:val="17"/>
          <w:lang w:val="en-IN"/>
        </w:rPr>
        <w:t>Unilever Renames Fair &amp; Lovely Skin Cream after Backlash,” BBC News, June 25, 2020, accessed October 28, 2020, www.bbc.com/news/business-53178088.</w:t>
      </w:r>
    </w:p>
  </w:endnote>
  <w:endnote w:id="3">
    <w:p w14:paraId="54505921" w14:textId="79EFFB7F"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Unilever plc, “About Unilever,” Unilever plc, accessed July 14, 2020, www.unilever.com/about/who-we-are/about-Unilever.</w:t>
      </w:r>
    </w:p>
  </w:endnote>
  <w:endnote w:id="4">
    <w:p w14:paraId="2978306A" w14:textId="74615FFC" w:rsidR="00005E17" w:rsidRPr="0012478D" w:rsidRDefault="00005E17" w:rsidP="00213191">
      <w:pPr>
        <w:pStyle w:val="Footnote"/>
        <w:jc w:val="both"/>
        <w:rPr>
          <w:rFonts w:ascii="Arial" w:hAnsi="Arial" w:cs="Arial"/>
          <w:b/>
          <w:bCs/>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ET Bureau, “It’s Not Only Fair That’s Lovely: HUL to Rename Skincare Label,” </w:t>
      </w:r>
      <w:r w:rsidRPr="0012478D">
        <w:rPr>
          <w:rFonts w:ascii="Arial" w:hAnsi="Arial" w:cs="Arial"/>
          <w:i/>
          <w:sz w:val="17"/>
          <w:szCs w:val="17"/>
        </w:rPr>
        <w:t>Economic Times</w:t>
      </w:r>
      <w:r w:rsidRPr="0012478D">
        <w:rPr>
          <w:rFonts w:ascii="Arial" w:hAnsi="Arial" w:cs="Arial"/>
          <w:sz w:val="17"/>
          <w:szCs w:val="17"/>
        </w:rPr>
        <w:t xml:space="preserve">, June 26, 2020, </w:t>
      </w:r>
      <w:r w:rsidRPr="0012478D">
        <w:rPr>
          <w:rStyle w:val="Hyperlink"/>
          <w:rFonts w:ascii="Arial" w:hAnsi="Arial" w:cs="Arial"/>
          <w:color w:val="auto"/>
          <w:sz w:val="17"/>
          <w:szCs w:val="17"/>
          <w:u w:val="none"/>
        </w:rPr>
        <w:t>https://economictimes.indiatimes.com/industry/cons-products/fashion-/-cosmetics-/-jewellery/hul-in-a-spot-as-johnson-johnson-exits-fairness-line/articleshow/76617873.cms?from=mdr</w:t>
      </w:r>
      <w:r w:rsidRPr="0012478D">
        <w:rPr>
          <w:rFonts w:ascii="Arial" w:hAnsi="Arial" w:cs="Arial"/>
          <w:sz w:val="17"/>
          <w:szCs w:val="17"/>
        </w:rPr>
        <w:t xml:space="preserve">; Himadri Buch, “Why HUL Might Not Withdraw Fair &amp; Lovely—Nearly Rs 4,100 Crore Annual Revenue from India Alone,” </w:t>
      </w:r>
      <w:r w:rsidRPr="0012478D">
        <w:rPr>
          <w:rFonts w:ascii="Arial" w:hAnsi="Arial" w:cs="Arial"/>
          <w:i/>
          <w:iCs/>
          <w:sz w:val="17"/>
          <w:szCs w:val="17"/>
        </w:rPr>
        <w:t>Money Control</w:t>
      </w:r>
      <w:r w:rsidRPr="0012478D">
        <w:rPr>
          <w:rFonts w:ascii="Arial" w:hAnsi="Arial" w:cs="Arial"/>
          <w:sz w:val="17"/>
          <w:szCs w:val="17"/>
        </w:rPr>
        <w:t>, June 26, 2020, accessed July 10, 2020, www.moneycontrol.com/news/business/huls-flagship-brand-fair-lovely-derives-550-million-annual-revenue-from-india-alone-5458131.html.</w:t>
      </w:r>
    </w:p>
  </w:endnote>
  <w:endnote w:id="5">
    <w:p w14:paraId="02E61BCB" w14:textId="57199C78"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World Health Organization, “Mercury in Skin-Lightening Products,” World Health Organization, 2019, accessed July 10, 2020, www.who.int/publications/i/item/mercury-in-skin-lightening-products; all currency amounts are in US$ unless otherwise specified.</w:t>
      </w:r>
    </w:p>
  </w:endnote>
  <w:endnote w:id="6">
    <w:p w14:paraId="50C4E096" w14:textId="3955EC98"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Shrabonti Bagchi, “The Dark Politics of Fairness Products in India,” </w:t>
      </w:r>
      <w:r w:rsidRPr="0035640A">
        <w:rPr>
          <w:rFonts w:ascii="Arial" w:hAnsi="Arial" w:cs="Arial"/>
          <w:iCs/>
          <w:sz w:val="17"/>
          <w:szCs w:val="17"/>
        </w:rPr>
        <w:t>Mint</w:t>
      </w:r>
      <w:r w:rsidRPr="0012478D">
        <w:rPr>
          <w:rFonts w:ascii="Arial" w:hAnsi="Arial" w:cs="Arial"/>
          <w:sz w:val="17"/>
          <w:szCs w:val="17"/>
        </w:rPr>
        <w:t>, June 25, 2020, accessed November 12, 2020, www.livemint.com/mint-lounge/features/the-complicated-politics-of-fairness-products-in-india-11593065657252.html.</w:t>
      </w:r>
    </w:p>
  </w:endnote>
  <w:endnote w:id="7">
    <w:p w14:paraId="2BE8A9EC" w14:textId="15396375"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Saif Khalid, “Fighting India’s Ugly Fancy for Fair Skin,” </w:t>
      </w:r>
      <w:r w:rsidRPr="000808E7">
        <w:rPr>
          <w:rFonts w:ascii="Arial" w:hAnsi="Arial" w:cs="Arial"/>
          <w:iCs/>
          <w:sz w:val="17"/>
          <w:szCs w:val="17"/>
        </w:rPr>
        <w:t>Al Jazeera</w:t>
      </w:r>
      <w:r w:rsidRPr="0012478D">
        <w:rPr>
          <w:rFonts w:ascii="Arial" w:hAnsi="Arial" w:cs="Arial"/>
          <w:sz w:val="17"/>
          <w:szCs w:val="17"/>
        </w:rPr>
        <w:t xml:space="preserve">, October 2, 2013, accessed September 24, 2020, </w:t>
      </w:r>
      <w:r w:rsidRPr="0012478D">
        <w:rPr>
          <w:rStyle w:val="Hyperlink"/>
          <w:rFonts w:ascii="Arial" w:hAnsi="Arial" w:cs="Arial"/>
          <w:color w:val="auto"/>
          <w:sz w:val="17"/>
          <w:szCs w:val="17"/>
          <w:u w:val="none"/>
        </w:rPr>
        <w:t>www.aljazeera.com/features/2013/10/02/fighting-indias-ugly-fancy-for-fair-skin/?gb=true</w:t>
      </w:r>
      <w:r w:rsidRPr="0012478D">
        <w:rPr>
          <w:rFonts w:ascii="Arial" w:hAnsi="Arial" w:cs="Arial"/>
          <w:sz w:val="17"/>
          <w:szCs w:val="17"/>
        </w:rPr>
        <w:t xml:space="preserve">; Mahita Gajanan, “Unilever Will Drop the Word </w:t>
      </w:r>
      <w:r>
        <w:rPr>
          <w:rFonts w:ascii="Arial" w:hAnsi="Arial" w:cs="Arial"/>
          <w:sz w:val="17"/>
          <w:szCs w:val="17"/>
        </w:rPr>
        <w:t>‘</w:t>
      </w:r>
      <w:r w:rsidRPr="0012478D">
        <w:rPr>
          <w:rFonts w:ascii="Arial" w:hAnsi="Arial" w:cs="Arial"/>
          <w:sz w:val="17"/>
          <w:szCs w:val="17"/>
        </w:rPr>
        <w:t>Fair</w:t>
      </w:r>
      <w:r>
        <w:rPr>
          <w:rFonts w:ascii="Arial" w:hAnsi="Arial" w:cs="Arial"/>
          <w:sz w:val="17"/>
          <w:szCs w:val="17"/>
        </w:rPr>
        <w:t>’</w:t>
      </w:r>
      <w:r w:rsidRPr="0012478D">
        <w:rPr>
          <w:rFonts w:ascii="Arial" w:hAnsi="Arial" w:cs="Arial"/>
          <w:sz w:val="17"/>
          <w:szCs w:val="17"/>
        </w:rPr>
        <w:t xml:space="preserve"> </w:t>
      </w:r>
      <w:r>
        <w:rPr>
          <w:rFonts w:ascii="Arial" w:hAnsi="Arial" w:cs="Arial"/>
          <w:sz w:val="17"/>
          <w:szCs w:val="17"/>
        </w:rPr>
        <w:t>f</w:t>
      </w:r>
      <w:r w:rsidRPr="0012478D">
        <w:rPr>
          <w:rFonts w:ascii="Arial" w:hAnsi="Arial" w:cs="Arial"/>
          <w:sz w:val="17"/>
          <w:szCs w:val="17"/>
        </w:rPr>
        <w:t xml:space="preserve">rom Its Skin-Lightening Creams. Experts Say It Does Not Combat Colorism,” </w:t>
      </w:r>
      <w:r w:rsidRPr="0012478D">
        <w:rPr>
          <w:rFonts w:ascii="Arial" w:hAnsi="Arial" w:cs="Arial"/>
          <w:i/>
          <w:iCs/>
          <w:sz w:val="17"/>
          <w:szCs w:val="17"/>
        </w:rPr>
        <w:t>Time</w:t>
      </w:r>
      <w:r w:rsidRPr="0012478D">
        <w:rPr>
          <w:rFonts w:ascii="Arial" w:hAnsi="Arial" w:cs="Arial"/>
          <w:sz w:val="17"/>
          <w:szCs w:val="17"/>
        </w:rPr>
        <w:t xml:space="preserve">, June 26, 2020, accessed November 12, 2020, https://time.com/5860313/unilever-fair-and-lovely-name-change-colorism. </w:t>
      </w:r>
    </w:p>
  </w:endnote>
  <w:endnote w:id="8">
    <w:p w14:paraId="17CB7B88" w14:textId="0E338E7B"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Unilever plc, “Unilever, Sustainable Living. Our Strategy,” Unilever plc, accessed July 15, 2020, www.unilever.com/sustainable-living/our-strategy/about-our-strategy</w:t>
      </w:r>
      <w:r w:rsidRPr="0012478D">
        <w:rPr>
          <w:rStyle w:val="Hyperlink"/>
          <w:rFonts w:ascii="Arial" w:hAnsi="Arial" w:cs="Arial"/>
          <w:color w:val="auto"/>
          <w:sz w:val="17"/>
          <w:szCs w:val="17"/>
          <w:u w:val="none"/>
        </w:rPr>
        <w:t>.</w:t>
      </w:r>
    </w:p>
  </w:endnote>
  <w:endnote w:id="9">
    <w:p w14:paraId="744EDE1B" w14:textId="2D90F07C" w:rsidR="00005E17" w:rsidRPr="0012478D" w:rsidRDefault="00005E17" w:rsidP="00213191">
      <w:pPr>
        <w:pStyle w:val="EndnoteText"/>
        <w:jc w:val="both"/>
        <w:rPr>
          <w:rFonts w:ascii="Arial" w:hAnsi="Arial" w:cs="Arial"/>
          <w:sz w:val="17"/>
          <w:szCs w:val="17"/>
          <w:lang w:val="en-CA"/>
        </w:rPr>
      </w:pPr>
      <w:r w:rsidRPr="0012478D">
        <w:rPr>
          <w:rStyle w:val="EndnoteReference"/>
          <w:rFonts w:ascii="Arial" w:hAnsi="Arial" w:cs="Arial"/>
          <w:sz w:val="17"/>
          <w:szCs w:val="17"/>
        </w:rPr>
        <w:endnoteRef/>
      </w:r>
      <w:r w:rsidRPr="0012478D">
        <w:rPr>
          <w:rFonts w:ascii="Arial" w:hAnsi="Arial" w:cs="Arial"/>
          <w:sz w:val="17"/>
          <w:szCs w:val="17"/>
        </w:rPr>
        <w:t xml:space="preserve"> </w:t>
      </w:r>
      <w:bookmarkStart w:id="0" w:name="_Hlk56354679"/>
      <w:r w:rsidRPr="0012478D">
        <w:rPr>
          <w:rFonts w:ascii="Arial" w:hAnsi="Arial" w:cs="Arial"/>
          <w:sz w:val="17"/>
          <w:szCs w:val="17"/>
        </w:rPr>
        <w:t xml:space="preserve">Unilever plc, </w:t>
      </w:r>
      <w:r w:rsidRPr="0012478D">
        <w:rPr>
          <w:rFonts w:ascii="Arial" w:hAnsi="Arial" w:cs="Arial"/>
          <w:i/>
          <w:sz w:val="17"/>
          <w:szCs w:val="17"/>
        </w:rPr>
        <w:t xml:space="preserve">Opportunities for Women: Challenging Harmful Social Norms </w:t>
      </w:r>
      <w:r w:rsidRPr="0012478D">
        <w:rPr>
          <w:rFonts w:ascii="Arial" w:hAnsi="Arial" w:cs="Arial"/>
          <w:i/>
          <w:sz w:val="17"/>
          <w:szCs w:val="17"/>
          <w:lang w:val="en-CA"/>
        </w:rPr>
        <w:t>a</w:t>
      </w:r>
      <w:r w:rsidRPr="0012478D">
        <w:rPr>
          <w:rFonts w:ascii="Arial" w:hAnsi="Arial" w:cs="Arial"/>
          <w:i/>
          <w:sz w:val="17"/>
          <w:szCs w:val="17"/>
        </w:rPr>
        <w:t xml:space="preserve">nd Gender Stereotypes </w:t>
      </w:r>
      <w:r w:rsidRPr="0012478D">
        <w:rPr>
          <w:rFonts w:ascii="Arial" w:hAnsi="Arial" w:cs="Arial"/>
          <w:i/>
          <w:sz w:val="17"/>
          <w:szCs w:val="17"/>
          <w:lang w:val="en-CA"/>
        </w:rPr>
        <w:t>t</w:t>
      </w:r>
      <w:r w:rsidRPr="0012478D">
        <w:rPr>
          <w:rFonts w:ascii="Arial" w:hAnsi="Arial" w:cs="Arial"/>
          <w:i/>
          <w:sz w:val="17"/>
          <w:szCs w:val="17"/>
        </w:rPr>
        <w:t>o Unlock Women’s Potential</w:t>
      </w:r>
      <w:r w:rsidRPr="0012478D">
        <w:rPr>
          <w:rFonts w:ascii="Arial" w:hAnsi="Arial" w:cs="Arial"/>
          <w:sz w:val="17"/>
          <w:szCs w:val="17"/>
          <w:lang w:val="en-CA"/>
        </w:rPr>
        <w:t xml:space="preserve">, March 2017, </w:t>
      </w:r>
      <w:r w:rsidRPr="0012478D">
        <w:rPr>
          <w:rFonts w:ascii="Arial" w:hAnsi="Arial" w:cs="Arial"/>
          <w:sz w:val="17"/>
          <w:szCs w:val="17"/>
        </w:rPr>
        <w:t>accessed July 15, 2020,</w:t>
      </w:r>
      <w:r w:rsidRPr="0012478D">
        <w:rPr>
          <w:rFonts w:ascii="Arial" w:hAnsi="Arial" w:cs="Arial"/>
          <w:sz w:val="17"/>
          <w:szCs w:val="17"/>
          <w:lang w:val="en-CA"/>
        </w:rPr>
        <w:t xml:space="preserve"> </w:t>
      </w:r>
      <w:bookmarkEnd w:id="0"/>
      <w:r w:rsidRPr="0012478D">
        <w:rPr>
          <w:rFonts w:ascii="Arial" w:hAnsi="Arial" w:cs="Arial"/>
          <w:sz w:val="17"/>
          <w:szCs w:val="17"/>
        </w:rPr>
        <w:t>www.unilever.com/Images/unilever-opportunities-for-women_tcm244-500987_en.pdf</w:t>
      </w:r>
      <w:r w:rsidRPr="0012478D">
        <w:rPr>
          <w:rFonts w:ascii="Arial" w:hAnsi="Arial" w:cs="Arial"/>
          <w:sz w:val="17"/>
          <w:szCs w:val="17"/>
          <w:lang w:val="en-CA"/>
        </w:rPr>
        <w:t>.</w:t>
      </w:r>
    </w:p>
  </w:endnote>
  <w:endnote w:id="10">
    <w:p w14:paraId="10AB9983" w14:textId="657A51E3" w:rsidR="00005E17" w:rsidRPr="0012478D" w:rsidRDefault="00005E17" w:rsidP="00DC51C4">
      <w:pPr>
        <w:pStyle w:val="EndnoteText"/>
        <w:jc w:val="both"/>
        <w:rPr>
          <w:rFonts w:ascii="Arial" w:hAnsi="Arial" w:cs="Arial"/>
          <w:sz w:val="17"/>
          <w:szCs w:val="17"/>
          <w:lang w:val="en-US"/>
        </w:rPr>
      </w:pPr>
      <w:r w:rsidRPr="0012478D">
        <w:rPr>
          <w:rStyle w:val="EndnoteReference"/>
          <w:rFonts w:ascii="Arial" w:hAnsi="Arial" w:cs="Arial"/>
          <w:sz w:val="17"/>
          <w:szCs w:val="17"/>
        </w:rPr>
        <w:endnoteRef/>
      </w:r>
      <w:r w:rsidRPr="0012478D">
        <w:rPr>
          <w:rFonts w:ascii="Arial" w:hAnsi="Arial" w:cs="Arial"/>
          <w:sz w:val="17"/>
          <w:szCs w:val="17"/>
        </w:rPr>
        <w:t xml:space="preserve"> </w:t>
      </w:r>
      <w:r w:rsidRPr="0012478D">
        <w:rPr>
          <w:rFonts w:ascii="Arial" w:hAnsi="Arial" w:cs="Arial"/>
          <w:sz w:val="17"/>
          <w:szCs w:val="17"/>
          <w:lang w:val="en-US"/>
        </w:rPr>
        <w:t>Aparna Banerjea, “</w:t>
      </w:r>
      <w:r w:rsidRPr="0012478D">
        <w:rPr>
          <w:rFonts w:ascii="Arial" w:hAnsi="Arial" w:cs="Arial"/>
          <w:sz w:val="17"/>
          <w:szCs w:val="17"/>
          <w:lang w:val="en-IN"/>
        </w:rPr>
        <w:t>HUL</w:t>
      </w:r>
      <w:r>
        <w:rPr>
          <w:rFonts w:ascii="Arial" w:hAnsi="Arial" w:cs="Arial"/>
          <w:sz w:val="17"/>
          <w:szCs w:val="17"/>
          <w:lang w:val="en-IN"/>
        </w:rPr>
        <w:t>’</w:t>
      </w:r>
      <w:r w:rsidRPr="0012478D">
        <w:rPr>
          <w:rFonts w:ascii="Arial" w:hAnsi="Arial" w:cs="Arial"/>
          <w:sz w:val="17"/>
          <w:szCs w:val="17"/>
          <w:lang w:val="en-IN"/>
        </w:rPr>
        <w:t xml:space="preserve">s Fair &amp; Lovely Renamed as </w:t>
      </w:r>
      <w:r>
        <w:rPr>
          <w:rFonts w:ascii="Arial" w:hAnsi="Arial" w:cs="Arial"/>
          <w:sz w:val="17"/>
          <w:szCs w:val="17"/>
          <w:lang w:val="en-IN"/>
        </w:rPr>
        <w:t>‘</w:t>
      </w:r>
      <w:r w:rsidRPr="0012478D">
        <w:rPr>
          <w:rFonts w:ascii="Arial" w:hAnsi="Arial" w:cs="Arial"/>
          <w:sz w:val="17"/>
          <w:szCs w:val="17"/>
          <w:lang w:val="en-IN"/>
        </w:rPr>
        <w:t xml:space="preserve">Glow &amp; Lovely,’” </w:t>
      </w:r>
      <w:r w:rsidRPr="000808E7">
        <w:rPr>
          <w:rFonts w:ascii="Arial" w:hAnsi="Arial" w:cs="Arial"/>
          <w:iCs/>
          <w:sz w:val="17"/>
          <w:szCs w:val="17"/>
          <w:lang w:val="en-IN"/>
        </w:rPr>
        <w:t>Mint</w:t>
      </w:r>
      <w:r w:rsidRPr="0012478D">
        <w:rPr>
          <w:rFonts w:ascii="Arial" w:hAnsi="Arial" w:cs="Arial"/>
          <w:sz w:val="17"/>
          <w:szCs w:val="17"/>
          <w:lang w:val="en-IN"/>
        </w:rPr>
        <w:t>, July 2, 2020, accessed July 12, 2020, www.livemint.com/companies/news/hul-s-fair-lovely-renamed-as-glow-lovely-11593690657927.html.</w:t>
      </w:r>
    </w:p>
  </w:endnote>
  <w:endnote w:id="11">
    <w:p w14:paraId="222CF90E" w14:textId="38AD71C6"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Nupur Acharya, “Unilever’s Fair &amp; Lovely Rebrand in India Will Be Costly: Jefferies,” </w:t>
      </w:r>
      <w:r w:rsidRPr="000808E7">
        <w:rPr>
          <w:rFonts w:ascii="Arial" w:hAnsi="Arial" w:cs="Arial"/>
          <w:iCs/>
          <w:sz w:val="17"/>
          <w:szCs w:val="17"/>
        </w:rPr>
        <w:t>Bloomberg Quint</w:t>
      </w:r>
      <w:r w:rsidRPr="0012478D">
        <w:rPr>
          <w:rFonts w:ascii="Arial" w:hAnsi="Arial" w:cs="Arial"/>
          <w:sz w:val="17"/>
          <w:szCs w:val="17"/>
        </w:rPr>
        <w:t>, June 26, 2020, accessed July 14, 2020, www.bloombergquint.com/business/unilever-india-unit-will-need-to-spend-big-to-rebrand-jefferies.</w:t>
      </w:r>
    </w:p>
  </w:endnote>
  <w:endnote w:id="12">
    <w:p w14:paraId="325B45FC" w14:textId="610AB058"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Unilever plc, “Our History,” Unilever plc, accessed July 14, 2020, www.unilever.com/about/who-we-are/our-history.</w:t>
      </w:r>
    </w:p>
  </w:endnote>
  <w:endnote w:id="13">
    <w:p w14:paraId="42F7A9B3" w14:textId="7E7BAFC1" w:rsidR="00005E17" w:rsidRPr="0012478D" w:rsidRDefault="00005E17" w:rsidP="00213191">
      <w:pPr>
        <w:pStyle w:val="EndnoteText"/>
        <w:jc w:val="both"/>
        <w:rPr>
          <w:rFonts w:ascii="Arial" w:hAnsi="Arial" w:cs="Arial"/>
          <w:sz w:val="17"/>
          <w:szCs w:val="17"/>
          <w:lang w:val="en-CA"/>
        </w:rPr>
      </w:pPr>
      <w:r w:rsidRPr="0012478D">
        <w:rPr>
          <w:rStyle w:val="EndnoteReference"/>
          <w:rFonts w:ascii="Arial" w:hAnsi="Arial" w:cs="Arial"/>
          <w:sz w:val="17"/>
          <w:szCs w:val="17"/>
        </w:rPr>
        <w:endnoteRef/>
      </w:r>
      <w:r w:rsidRPr="0012478D">
        <w:rPr>
          <w:rFonts w:ascii="Arial" w:hAnsi="Arial" w:cs="Arial"/>
          <w:sz w:val="17"/>
          <w:szCs w:val="17"/>
        </w:rPr>
        <w:t xml:space="preserve"> €</w:t>
      </w:r>
      <w:r w:rsidRPr="0012478D">
        <w:rPr>
          <w:rFonts w:ascii="Arial" w:hAnsi="Arial" w:cs="Arial"/>
          <w:sz w:val="17"/>
          <w:szCs w:val="17"/>
          <w:lang w:val="en-CA"/>
        </w:rPr>
        <w:t xml:space="preserve"> = European euro; </w:t>
      </w:r>
      <w:r w:rsidRPr="0012478D">
        <w:rPr>
          <w:rFonts w:ascii="Arial" w:hAnsi="Arial" w:cs="Arial"/>
          <w:sz w:val="17"/>
          <w:szCs w:val="17"/>
        </w:rPr>
        <w:t>€</w:t>
      </w:r>
      <w:r>
        <w:rPr>
          <w:rFonts w:ascii="Arial" w:hAnsi="Arial" w:cs="Arial"/>
          <w:sz w:val="17"/>
          <w:szCs w:val="17"/>
          <w:lang w:val="en-CA"/>
        </w:rPr>
        <w:t xml:space="preserve">1 = US$1.12 </w:t>
      </w:r>
      <w:r w:rsidRPr="0012478D">
        <w:rPr>
          <w:rFonts w:ascii="Arial" w:hAnsi="Arial" w:cs="Arial"/>
          <w:sz w:val="17"/>
          <w:szCs w:val="17"/>
          <w:lang w:val="en-CA"/>
        </w:rPr>
        <w:t>on July 2, 2020.</w:t>
      </w:r>
    </w:p>
  </w:endnote>
  <w:endnote w:id="14">
    <w:p w14:paraId="72989B5A" w14:textId="3AA79B8F"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Hindustan Unilever L</w:t>
      </w:r>
      <w:r>
        <w:rPr>
          <w:rFonts w:ascii="Arial" w:hAnsi="Arial" w:cs="Arial"/>
          <w:sz w:val="17"/>
          <w:szCs w:val="17"/>
        </w:rPr>
        <w:t>imited</w:t>
      </w:r>
      <w:r w:rsidRPr="0012478D">
        <w:rPr>
          <w:rFonts w:ascii="Arial" w:hAnsi="Arial" w:cs="Arial"/>
          <w:sz w:val="17"/>
          <w:szCs w:val="17"/>
        </w:rPr>
        <w:t>,</w:t>
      </w:r>
      <w:bookmarkStart w:id="1" w:name="_Hlk56356819"/>
      <w:r w:rsidRPr="0012478D">
        <w:rPr>
          <w:rFonts w:ascii="Arial" w:hAnsi="Arial" w:cs="Arial"/>
          <w:sz w:val="17"/>
          <w:szCs w:val="17"/>
        </w:rPr>
        <w:t xml:space="preserve"> </w:t>
      </w:r>
      <w:r w:rsidRPr="000808E7">
        <w:rPr>
          <w:rFonts w:ascii="Arial" w:hAnsi="Arial" w:cs="Arial"/>
          <w:i/>
          <w:sz w:val="17"/>
          <w:szCs w:val="17"/>
        </w:rPr>
        <w:t>Purpose-Led, Future-fit: Integrated Annual Report 2019–20</w:t>
      </w:r>
      <w:r w:rsidRPr="0012478D">
        <w:rPr>
          <w:rFonts w:ascii="Arial" w:hAnsi="Arial" w:cs="Arial"/>
          <w:sz w:val="17"/>
          <w:szCs w:val="17"/>
        </w:rPr>
        <w:t xml:space="preserve">, accessed July 10, 2020, </w:t>
      </w:r>
      <w:bookmarkEnd w:id="1"/>
      <w:r w:rsidRPr="0012478D">
        <w:rPr>
          <w:rStyle w:val="Hyperlink"/>
          <w:rFonts w:ascii="Arial" w:hAnsi="Arial" w:cs="Arial"/>
          <w:color w:val="auto"/>
          <w:sz w:val="17"/>
          <w:szCs w:val="17"/>
          <w:u w:val="none"/>
        </w:rPr>
        <w:t>www.hul.co.in/Images/annual-report-2019-20_tcm1255-552013_1_en.pdf.</w:t>
      </w:r>
    </w:p>
  </w:endnote>
  <w:endnote w:id="15">
    <w:p w14:paraId="638CBE7C" w14:textId="4B07913E" w:rsidR="00005E17" w:rsidRPr="0012478D" w:rsidRDefault="00005E17" w:rsidP="00DC51C4">
      <w:pPr>
        <w:pStyle w:val="EndnoteText"/>
        <w:jc w:val="both"/>
        <w:rPr>
          <w:rFonts w:ascii="Arial" w:hAnsi="Arial" w:cs="Arial"/>
          <w:sz w:val="17"/>
          <w:szCs w:val="17"/>
          <w:lang w:val="en-CA"/>
        </w:rPr>
      </w:pPr>
      <w:r w:rsidRPr="0012478D">
        <w:rPr>
          <w:rStyle w:val="EndnoteReference"/>
          <w:rFonts w:ascii="Arial" w:hAnsi="Arial" w:cs="Arial"/>
          <w:sz w:val="17"/>
          <w:szCs w:val="17"/>
        </w:rPr>
        <w:endnoteRef/>
      </w:r>
      <w:r w:rsidRPr="0012478D">
        <w:rPr>
          <w:rFonts w:ascii="Arial" w:hAnsi="Arial" w:cs="Arial"/>
          <w:sz w:val="17"/>
          <w:szCs w:val="17"/>
        </w:rPr>
        <w:t xml:space="preserve"> Unilever </w:t>
      </w:r>
      <w:r w:rsidRPr="0012478D">
        <w:rPr>
          <w:rFonts w:ascii="Arial" w:hAnsi="Arial" w:cs="Arial"/>
          <w:sz w:val="17"/>
          <w:szCs w:val="17"/>
          <w:lang w:val="en-CA"/>
        </w:rPr>
        <w:t>plc</w:t>
      </w:r>
      <w:r w:rsidRPr="0012478D">
        <w:rPr>
          <w:rFonts w:ascii="Arial" w:hAnsi="Arial" w:cs="Arial"/>
          <w:sz w:val="17"/>
          <w:szCs w:val="17"/>
        </w:rPr>
        <w:t xml:space="preserve">, </w:t>
      </w:r>
      <w:r w:rsidRPr="0012478D">
        <w:rPr>
          <w:rFonts w:ascii="Arial" w:hAnsi="Arial" w:cs="Arial"/>
          <w:i/>
          <w:sz w:val="17"/>
          <w:szCs w:val="17"/>
        </w:rPr>
        <w:t>Purpose-</w:t>
      </w:r>
      <w:r w:rsidRPr="0012478D">
        <w:rPr>
          <w:rFonts w:ascii="Arial" w:hAnsi="Arial" w:cs="Arial"/>
          <w:i/>
          <w:sz w:val="17"/>
          <w:szCs w:val="17"/>
          <w:lang w:val="en-CA"/>
        </w:rPr>
        <w:t>L</w:t>
      </w:r>
      <w:r w:rsidRPr="0012478D">
        <w:rPr>
          <w:rFonts w:ascii="Arial" w:hAnsi="Arial" w:cs="Arial"/>
          <w:i/>
          <w:sz w:val="17"/>
          <w:szCs w:val="17"/>
        </w:rPr>
        <w:t>ed,</w:t>
      </w:r>
      <w:r w:rsidRPr="0012478D">
        <w:rPr>
          <w:rFonts w:ascii="Arial" w:hAnsi="Arial" w:cs="Arial"/>
          <w:i/>
          <w:sz w:val="17"/>
          <w:szCs w:val="17"/>
          <w:lang w:val="en-CA"/>
        </w:rPr>
        <w:t xml:space="preserve"> F</w:t>
      </w:r>
      <w:r w:rsidRPr="0012478D">
        <w:rPr>
          <w:rFonts w:ascii="Arial" w:hAnsi="Arial" w:cs="Arial"/>
          <w:i/>
          <w:sz w:val="17"/>
          <w:szCs w:val="17"/>
        </w:rPr>
        <w:t>uture-</w:t>
      </w:r>
      <w:r w:rsidRPr="0012478D">
        <w:rPr>
          <w:rFonts w:ascii="Arial" w:hAnsi="Arial" w:cs="Arial"/>
          <w:i/>
          <w:sz w:val="17"/>
          <w:szCs w:val="17"/>
          <w:lang w:val="en-CA"/>
        </w:rPr>
        <w:t>F</w:t>
      </w:r>
      <w:r w:rsidRPr="0012478D">
        <w:rPr>
          <w:rFonts w:ascii="Arial" w:hAnsi="Arial" w:cs="Arial"/>
          <w:i/>
          <w:sz w:val="17"/>
          <w:szCs w:val="17"/>
        </w:rPr>
        <w:t>it: Unilever Annual Report and Accounts 2019</w:t>
      </w:r>
      <w:r w:rsidRPr="0012478D">
        <w:rPr>
          <w:rFonts w:ascii="Arial" w:hAnsi="Arial" w:cs="Arial"/>
          <w:sz w:val="17"/>
          <w:szCs w:val="17"/>
        </w:rPr>
        <w:t>, accessed July 10, 2020,</w:t>
      </w:r>
      <w:r w:rsidRPr="0012478D">
        <w:rPr>
          <w:rFonts w:ascii="Arial" w:hAnsi="Arial" w:cs="Arial"/>
          <w:sz w:val="17"/>
          <w:szCs w:val="17"/>
          <w:lang w:val="en-CA"/>
        </w:rPr>
        <w:t xml:space="preserve"> </w:t>
      </w:r>
      <w:r w:rsidRPr="0012478D">
        <w:rPr>
          <w:rFonts w:ascii="Arial" w:hAnsi="Arial" w:cs="Arial"/>
          <w:sz w:val="17"/>
          <w:szCs w:val="17"/>
        </w:rPr>
        <w:t>www.unilever.com/Images/unilever-annual-report-and-accounts-2019_tcm244-547893_en.pdf</w:t>
      </w:r>
      <w:r w:rsidRPr="0012478D">
        <w:rPr>
          <w:rFonts w:ascii="Arial" w:hAnsi="Arial" w:cs="Arial"/>
          <w:sz w:val="17"/>
          <w:szCs w:val="17"/>
          <w:lang w:val="en-CA"/>
        </w:rPr>
        <w:t>.</w:t>
      </w:r>
    </w:p>
  </w:endnote>
  <w:endnote w:id="16">
    <w:p w14:paraId="29747F61" w14:textId="6A128994"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Unilever plc, “About Unilever,” </w:t>
      </w:r>
      <w:r>
        <w:rPr>
          <w:rFonts w:ascii="Arial" w:hAnsi="Arial" w:cs="Arial"/>
          <w:sz w:val="17"/>
          <w:szCs w:val="17"/>
        </w:rPr>
        <w:t xml:space="preserve">op. cit. </w:t>
      </w:r>
    </w:p>
  </w:endnote>
  <w:endnote w:id="17">
    <w:p w14:paraId="75476807" w14:textId="6434E661"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Unilever plc, “Our History,” op. cit. </w:t>
      </w:r>
    </w:p>
  </w:endnote>
  <w:endnote w:id="18">
    <w:p w14:paraId="4F6ED2CC" w14:textId="3621742F"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Will Novosedlik, “Unilever Keeps Doing Good,” </w:t>
      </w:r>
      <w:r w:rsidRPr="0012478D">
        <w:rPr>
          <w:rFonts w:ascii="Arial" w:hAnsi="Arial" w:cs="Arial"/>
          <w:i/>
          <w:iCs/>
          <w:sz w:val="17"/>
          <w:szCs w:val="17"/>
        </w:rPr>
        <w:t>Strategy</w:t>
      </w:r>
      <w:r w:rsidRPr="0012478D">
        <w:rPr>
          <w:rFonts w:ascii="Arial" w:hAnsi="Arial" w:cs="Arial"/>
          <w:sz w:val="17"/>
          <w:szCs w:val="17"/>
        </w:rPr>
        <w:t>, May 29, 2020, accessed September 25, 2020, https://strategyonline.ca/2020/05/29/unilever-keeps-doing-good.</w:t>
      </w:r>
    </w:p>
  </w:endnote>
  <w:endnote w:id="19">
    <w:p w14:paraId="6999B87E" w14:textId="7EC31D2C"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Ibid. </w:t>
      </w:r>
    </w:p>
  </w:endnote>
  <w:endnote w:id="20">
    <w:p w14:paraId="4947B88D" w14:textId="1E431C52"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Unilever plc, “Our History,” op. cit. </w:t>
      </w:r>
    </w:p>
  </w:endnote>
  <w:endnote w:id="21">
    <w:p w14:paraId="5F7FDFF3" w14:textId="0FA228AB"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Daphné Dupont-Nivet, Anouk Ruhaak, Marije Schuurs, Jaap Tielbeke, and Emiel Woutersen, “Inside Unilever’s Sustainability Myth,” </w:t>
      </w:r>
      <w:r w:rsidRPr="0012478D">
        <w:rPr>
          <w:rFonts w:ascii="Arial" w:hAnsi="Arial" w:cs="Arial"/>
          <w:i/>
          <w:iCs/>
          <w:sz w:val="17"/>
          <w:szCs w:val="17"/>
        </w:rPr>
        <w:t>New Internationalist</w:t>
      </w:r>
      <w:r w:rsidRPr="0012478D">
        <w:rPr>
          <w:rFonts w:ascii="Arial" w:hAnsi="Arial" w:cs="Arial"/>
          <w:sz w:val="17"/>
          <w:szCs w:val="17"/>
        </w:rPr>
        <w:t xml:space="preserve">, April </w:t>
      </w:r>
      <w:r>
        <w:rPr>
          <w:rFonts w:ascii="Arial" w:hAnsi="Arial" w:cs="Arial"/>
          <w:sz w:val="17"/>
          <w:szCs w:val="17"/>
        </w:rPr>
        <w:t xml:space="preserve">13, </w:t>
      </w:r>
      <w:r w:rsidRPr="0012478D">
        <w:rPr>
          <w:rFonts w:ascii="Arial" w:hAnsi="Arial" w:cs="Arial"/>
          <w:sz w:val="17"/>
          <w:szCs w:val="17"/>
        </w:rPr>
        <w:t>2017, accessed July 12, 2020, https://newint.org/features/web-exclusive/2017/04/13/inside-unilever-sustainability-myth.</w:t>
      </w:r>
    </w:p>
  </w:endnote>
  <w:endnote w:id="22">
    <w:p w14:paraId="47BF483D" w14:textId="50933CDE"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Juliet Walker, “Sustaining Future Growth,” </w:t>
      </w:r>
      <w:r w:rsidRPr="0012478D">
        <w:rPr>
          <w:rFonts w:ascii="Arial" w:hAnsi="Arial" w:cs="Arial"/>
          <w:i/>
          <w:sz w:val="17"/>
          <w:szCs w:val="17"/>
        </w:rPr>
        <w:t>Unilever Magazine</w:t>
      </w:r>
      <w:r w:rsidRPr="0012478D">
        <w:rPr>
          <w:rFonts w:ascii="Arial" w:hAnsi="Arial" w:cs="Arial"/>
          <w:sz w:val="17"/>
          <w:szCs w:val="17"/>
        </w:rPr>
        <w:t>, 2001, accessed November 12, 2020, www.unilever.com/Images/2001-cultivating-sustainable-agriculture_tcm244-409699_1_en.pdf.</w:t>
      </w:r>
    </w:p>
  </w:endnote>
  <w:endnote w:id="23">
    <w:p w14:paraId="104339A2" w14:textId="332EEDA8"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Unilever plc, “Transforming the Palm Oil Industry,” Unilever plc, accessed November 12, 2020, www.unilever.com/sustainable-living/reducing-environmental-impact/sustainable-sourcing/transforming-the-palm-oil-industry.</w:t>
      </w:r>
    </w:p>
  </w:endnote>
  <w:endnote w:id="24">
    <w:p w14:paraId="7E06BDC9" w14:textId="4E0AC249"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bookmarkStart w:id="2" w:name="_Hlk56357980"/>
      <w:r w:rsidRPr="0012478D">
        <w:rPr>
          <w:rFonts w:ascii="Arial" w:hAnsi="Arial" w:cs="Arial"/>
          <w:sz w:val="17"/>
          <w:szCs w:val="17"/>
        </w:rPr>
        <w:t xml:space="preserve">Unilever plc, </w:t>
      </w:r>
      <w:r w:rsidRPr="0012478D">
        <w:rPr>
          <w:rFonts w:ascii="Arial" w:hAnsi="Arial" w:cs="Arial"/>
          <w:i/>
          <w:sz w:val="17"/>
          <w:szCs w:val="17"/>
        </w:rPr>
        <w:t>Unilever Sustainable Palm Oil Sourcing Policy—2016</w:t>
      </w:r>
      <w:r w:rsidRPr="0012478D">
        <w:rPr>
          <w:rFonts w:ascii="Arial" w:hAnsi="Arial" w:cs="Arial"/>
          <w:sz w:val="17"/>
          <w:szCs w:val="17"/>
        </w:rPr>
        <w:t>, accessed November 12, 2020,</w:t>
      </w:r>
      <w:bookmarkEnd w:id="2"/>
      <w:r w:rsidRPr="0012478D">
        <w:rPr>
          <w:rFonts w:ascii="Arial" w:hAnsi="Arial" w:cs="Arial"/>
          <w:sz w:val="17"/>
          <w:szCs w:val="17"/>
        </w:rPr>
        <w:t xml:space="preserve"> www.unilever.com/Images/unilever-palm-oil-policy-2016_tcm244-479933_en.pdf.</w:t>
      </w:r>
    </w:p>
  </w:endnote>
  <w:endnote w:id="25">
    <w:p w14:paraId="63ABC23A" w14:textId="6D3EA84E"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bookmarkStart w:id="3" w:name="_Hlk56357825"/>
      <w:r w:rsidRPr="0012478D">
        <w:rPr>
          <w:rFonts w:ascii="Arial" w:hAnsi="Arial" w:cs="Arial"/>
          <w:sz w:val="17"/>
          <w:szCs w:val="17"/>
        </w:rPr>
        <w:t xml:space="preserve">Unilever plc, “Transforming the Palm Oil Industry,” op. cit. </w:t>
      </w:r>
      <w:bookmarkEnd w:id="3"/>
    </w:p>
  </w:endnote>
  <w:endnote w:id="26">
    <w:p w14:paraId="4F470ECD" w14:textId="3F356BF8"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bookmarkStart w:id="4" w:name="_Hlk56357783"/>
      <w:r w:rsidRPr="0012478D">
        <w:rPr>
          <w:rFonts w:ascii="Arial" w:hAnsi="Arial" w:cs="Arial"/>
          <w:sz w:val="17"/>
          <w:szCs w:val="17"/>
        </w:rPr>
        <w:t xml:space="preserve">Walker, op. cit. </w:t>
      </w:r>
      <w:bookmarkEnd w:id="4"/>
    </w:p>
  </w:endnote>
  <w:endnote w:id="27">
    <w:p w14:paraId="1EFAE979" w14:textId="4E8F7206"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Dupont-Nivet, Ruhaak, Schuurs,Tielbeke, and Woutersen, op. cit. </w:t>
      </w:r>
    </w:p>
  </w:endnote>
  <w:endnote w:id="28">
    <w:p w14:paraId="165D0663" w14:textId="1D10DD7F" w:rsidR="00005E17" w:rsidRPr="0012478D" w:rsidRDefault="00005E17" w:rsidP="00213191">
      <w:pPr>
        <w:pStyle w:val="EndnoteText"/>
        <w:jc w:val="both"/>
        <w:rPr>
          <w:rFonts w:ascii="Arial" w:hAnsi="Arial" w:cs="Arial"/>
          <w:sz w:val="17"/>
          <w:szCs w:val="17"/>
          <w:lang w:val="en-US"/>
        </w:rPr>
      </w:pPr>
      <w:r w:rsidRPr="0012478D">
        <w:rPr>
          <w:rStyle w:val="EndnoteReference"/>
          <w:rFonts w:ascii="Arial" w:hAnsi="Arial" w:cs="Arial"/>
          <w:sz w:val="17"/>
          <w:szCs w:val="17"/>
        </w:rPr>
        <w:endnoteRef/>
      </w:r>
      <w:r w:rsidRPr="0012478D">
        <w:rPr>
          <w:rFonts w:ascii="Arial" w:hAnsi="Arial" w:cs="Arial"/>
          <w:sz w:val="17"/>
          <w:szCs w:val="17"/>
        </w:rPr>
        <w:t xml:space="preserve"> </w:t>
      </w:r>
      <w:bookmarkStart w:id="5" w:name="_Hlk56354636"/>
      <w:r>
        <w:rPr>
          <w:rFonts w:ascii="Arial" w:hAnsi="Arial" w:cs="Arial"/>
          <w:sz w:val="17"/>
          <w:szCs w:val="17"/>
          <w:lang w:val="en-CA"/>
        </w:rPr>
        <w:t>Unilever plc, “</w:t>
      </w:r>
      <w:r w:rsidRPr="00294C6B">
        <w:rPr>
          <w:rFonts w:ascii="Arial" w:hAnsi="Arial" w:cs="Arial"/>
          <w:sz w:val="17"/>
          <w:szCs w:val="17"/>
          <w:lang w:val="en-CA"/>
        </w:rPr>
        <w:t xml:space="preserve">Fairness in the </w:t>
      </w:r>
      <w:r>
        <w:rPr>
          <w:rFonts w:ascii="Arial" w:hAnsi="Arial" w:cs="Arial"/>
          <w:sz w:val="17"/>
          <w:szCs w:val="17"/>
          <w:lang w:val="en-CA"/>
        </w:rPr>
        <w:t>W</w:t>
      </w:r>
      <w:r w:rsidRPr="00294C6B">
        <w:rPr>
          <w:rFonts w:ascii="Arial" w:hAnsi="Arial" w:cs="Arial"/>
          <w:sz w:val="17"/>
          <w:szCs w:val="17"/>
          <w:lang w:val="en-CA"/>
        </w:rPr>
        <w:t>orkplace</w:t>
      </w:r>
      <w:r>
        <w:rPr>
          <w:rFonts w:ascii="Arial" w:hAnsi="Arial" w:cs="Arial"/>
          <w:sz w:val="17"/>
          <w:szCs w:val="17"/>
          <w:lang w:val="en-CA"/>
        </w:rPr>
        <w:t xml:space="preserve">,” Unilever plc, accessed November 12, 2020, </w:t>
      </w:r>
      <w:bookmarkEnd w:id="5"/>
      <w:r w:rsidRPr="0012478D">
        <w:rPr>
          <w:rFonts w:ascii="Arial" w:hAnsi="Arial" w:cs="Arial"/>
          <w:sz w:val="17"/>
          <w:szCs w:val="17"/>
        </w:rPr>
        <w:t>www.unilever.com/sustainable-living/enhancing-livelihoods/fairness-in-the-workplace</w:t>
      </w:r>
      <w:r>
        <w:rPr>
          <w:rFonts w:ascii="Arial" w:hAnsi="Arial" w:cs="Arial"/>
          <w:sz w:val="17"/>
          <w:szCs w:val="17"/>
          <w:lang w:val="en-CA"/>
        </w:rPr>
        <w:t>.</w:t>
      </w:r>
    </w:p>
  </w:endnote>
  <w:endnote w:id="29">
    <w:p w14:paraId="09CAB6FF" w14:textId="7016394D"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bookmarkStart w:id="6" w:name="_Hlk56357671"/>
      <w:r>
        <w:rPr>
          <w:rFonts w:ascii="Arial" w:hAnsi="Arial" w:cs="Arial"/>
          <w:sz w:val="17"/>
          <w:szCs w:val="17"/>
          <w:lang w:val="en-CA"/>
        </w:rPr>
        <w:t>Hindustan Unilever Limited, “</w:t>
      </w:r>
      <w:r w:rsidRPr="00294C6B">
        <w:rPr>
          <w:rFonts w:ascii="Arial" w:hAnsi="Arial" w:cs="Arial"/>
          <w:sz w:val="17"/>
          <w:szCs w:val="17"/>
          <w:lang w:val="en-CA"/>
        </w:rPr>
        <w:t>Unilever Sustainable Living Plan Launch</w:t>
      </w:r>
      <w:r>
        <w:rPr>
          <w:rFonts w:ascii="Arial" w:hAnsi="Arial" w:cs="Arial"/>
          <w:sz w:val="17"/>
          <w:szCs w:val="17"/>
          <w:lang w:val="en-CA"/>
        </w:rPr>
        <w:t xml:space="preserve">,” press release, November 15, 2010, accessed November 12, 2020, </w:t>
      </w:r>
      <w:bookmarkEnd w:id="6"/>
      <w:r w:rsidRPr="0012478D">
        <w:rPr>
          <w:rFonts w:ascii="Arial" w:hAnsi="Arial" w:cs="Arial"/>
          <w:sz w:val="17"/>
          <w:szCs w:val="17"/>
        </w:rPr>
        <w:t>www.hul.co.in/news/press-releases/2010/unilever-sustainable-living-plan-launch.html</w:t>
      </w:r>
      <w:r>
        <w:rPr>
          <w:rFonts w:ascii="Arial" w:hAnsi="Arial" w:cs="Arial"/>
          <w:sz w:val="17"/>
          <w:szCs w:val="17"/>
        </w:rPr>
        <w:t>.</w:t>
      </w:r>
    </w:p>
  </w:endnote>
  <w:endnote w:id="30">
    <w:p w14:paraId="40DAFC80" w14:textId="56649ECD"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Unilever, </w:t>
      </w:r>
      <w:r w:rsidRPr="00213191">
        <w:rPr>
          <w:rFonts w:ascii="Arial" w:hAnsi="Arial" w:cs="Arial"/>
          <w:i/>
          <w:sz w:val="17"/>
          <w:szCs w:val="17"/>
        </w:rPr>
        <w:t>Unilever Sustainable Living Plan</w:t>
      </w:r>
      <w:r w:rsidRPr="0012478D">
        <w:rPr>
          <w:rFonts w:ascii="Arial" w:hAnsi="Arial" w:cs="Arial"/>
          <w:sz w:val="17"/>
          <w:szCs w:val="17"/>
        </w:rPr>
        <w:t xml:space="preserve">, </w:t>
      </w:r>
      <w:r>
        <w:rPr>
          <w:rFonts w:ascii="Arial" w:hAnsi="Arial" w:cs="Arial"/>
          <w:sz w:val="17"/>
          <w:szCs w:val="17"/>
        </w:rPr>
        <w:t xml:space="preserve">November </w:t>
      </w:r>
      <w:r w:rsidRPr="0012478D">
        <w:rPr>
          <w:rFonts w:ascii="Arial" w:hAnsi="Arial" w:cs="Arial"/>
          <w:sz w:val="17"/>
          <w:szCs w:val="17"/>
        </w:rPr>
        <w:t xml:space="preserve">2010, accessed July 15, 2020, </w:t>
      </w:r>
      <w:r w:rsidRPr="0012478D">
        <w:rPr>
          <w:rStyle w:val="Hyperlink"/>
          <w:rFonts w:ascii="Arial" w:hAnsi="Arial" w:cs="Arial"/>
          <w:color w:val="auto"/>
          <w:sz w:val="17"/>
          <w:szCs w:val="17"/>
          <w:u w:val="none"/>
        </w:rPr>
        <w:t>www.unilever.com/Images/unilever-sustainable-living-plan_tcm244-409855_en.pdf</w:t>
      </w:r>
      <w:r>
        <w:rPr>
          <w:rStyle w:val="Hyperlink"/>
          <w:rFonts w:ascii="Arial" w:hAnsi="Arial" w:cs="Arial"/>
          <w:color w:val="auto"/>
          <w:sz w:val="17"/>
          <w:szCs w:val="17"/>
          <w:u w:val="none"/>
        </w:rPr>
        <w:t>.</w:t>
      </w:r>
    </w:p>
  </w:endnote>
  <w:endnote w:id="31">
    <w:p w14:paraId="2C158641" w14:textId="39799F4E"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bookmarkStart w:id="7" w:name="_Hlk56355005"/>
      <w:r>
        <w:rPr>
          <w:rFonts w:ascii="Arial" w:hAnsi="Arial" w:cs="Arial"/>
          <w:sz w:val="17"/>
          <w:szCs w:val="17"/>
        </w:rPr>
        <w:t xml:space="preserve">Unilever plc, </w:t>
      </w:r>
      <w:r w:rsidRPr="00294C6B">
        <w:rPr>
          <w:rFonts w:ascii="Arial" w:hAnsi="Arial" w:cs="Arial"/>
          <w:i/>
          <w:sz w:val="17"/>
          <w:szCs w:val="17"/>
        </w:rPr>
        <w:t>Annual Report and Accounts 2012: Making Sustainable Living Commonplace</w:t>
      </w:r>
      <w:r>
        <w:rPr>
          <w:rFonts w:ascii="Arial" w:hAnsi="Arial" w:cs="Arial"/>
          <w:sz w:val="17"/>
          <w:szCs w:val="17"/>
        </w:rPr>
        <w:t xml:space="preserve">, </w:t>
      </w:r>
      <w:r>
        <w:rPr>
          <w:rFonts w:ascii="Arial" w:hAnsi="Arial" w:cs="Arial"/>
          <w:sz w:val="17"/>
          <w:szCs w:val="17"/>
          <w:lang w:val="en-CA"/>
        </w:rPr>
        <w:t xml:space="preserve">accessed November 12, 2020, </w:t>
      </w:r>
      <w:bookmarkEnd w:id="7"/>
      <w:r w:rsidRPr="0012478D">
        <w:rPr>
          <w:rStyle w:val="Hyperlink"/>
          <w:rFonts w:ascii="Arial" w:hAnsi="Arial" w:cs="Arial"/>
          <w:color w:val="auto"/>
          <w:sz w:val="17"/>
          <w:szCs w:val="17"/>
          <w:u w:val="none"/>
        </w:rPr>
        <w:t>www.unilever.com/Images/ir-unilever-ar12_tcm244-421760_en.pdf</w:t>
      </w:r>
      <w:r w:rsidRPr="0012478D">
        <w:rPr>
          <w:rFonts w:ascii="Arial" w:hAnsi="Arial" w:cs="Arial"/>
          <w:sz w:val="17"/>
          <w:szCs w:val="17"/>
        </w:rPr>
        <w:t>.</w:t>
      </w:r>
    </w:p>
  </w:endnote>
  <w:endnote w:id="32">
    <w:p w14:paraId="5BED190A" w14:textId="77777777" w:rsidR="00F774DC" w:rsidRPr="0012478D" w:rsidRDefault="00F774DC" w:rsidP="00F774DC">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Unilever plc, “Unilever, Sustainable Living. Our Strategy,” op. cit. </w:t>
      </w:r>
    </w:p>
  </w:endnote>
  <w:endnote w:id="33">
    <w:p w14:paraId="457D7CBD" w14:textId="78F89456"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Pr>
          <w:rFonts w:ascii="Arial" w:hAnsi="Arial" w:cs="Arial"/>
          <w:sz w:val="17"/>
          <w:szCs w:val="17"/>
        </w:rPr>
        <w:t>I</w:t>
      </w:r>
      <w:r w:rsidRPr="0012478D">
        <w:rPr>
          <w:rFonts w:ascii="Arial" w:hAnsi="Arial" w:cs="Arial"/>
          <w:sz w:val="17"/>
          <w:szCs w:val="17"/>
        </w:rPr>
        <w:t>bid.</w:t>
      </w:r>
      <w:r>
        <w:rPr>
          <w:rFonts w:ascii="Arial" w:hAnsi="Arial" w:cs="Arial"/>
          <w:sz w:val="17"/>
          <w:szCs w:val="17"/>
        </w:rPr>
        <w:t xml:space="preserve"> </w:t>
      </w:r>
    </w:p>
  </w:endnote>
  <w:endnote w:id="34">
    <w:p w14:paraId="7A27332D" w14:textId="735F947C" w:rsidR="00005E17" w:rsidRPr="0012478D" w:rsidRDefault="00005E17" w:rsidP="00213191">
      <w:pPr>
        <w:pStyle w:val="EndnoteText"/>
        <w:jc w:val="both"/>
        <w:rPr>
          <w:rFonts w:ascii="Arial" w:hAnsi="Arial" w:cs="Arial"/>
          <w:sz w:val="17"/>
          <w:szCs w:val="17"/>
          <w:lang w:val="en-US"/>
        </w:rPr>
      </w:pPr>
      <w:r w:rsidRPr="0012478D">
        <w:rPr>
          <w:rStyle w:val="EndnoteReference"/>
          <w:rFonts w:ascii="Arial" w:hAnsi="Arial" w:cs="Arial"/>
          <w:sz w:val="17"/>
          <w:szCs w:val="17"/>
        </w:rPr>
        <w:endnoteRef/>
      </w:r>
      <w:r w:rsidRPr="0012478D">
        <w:rPr>
          <w:rFonts w:ascii="Arial" w:hAnsi="Arial" w:cs="Arial"/>
          <w:sz w:val="17"/>
          <w:szCs w:val="17"/>
        </w:rPr>
        <w:t xml:space="preserve"> </w:t>
      </w:r>
      <w:bookmarkStart w:id="8" w:name="_Hlk56355270"/>
      <w:r>
        <w:rPr>
          <w:rStyle w:val="Hyperlink"/>
          <w:rFonts w:ascii="Arial" w:hAnsi="Arial" w:cs="Arial"/>
          <w:color w:val="auto"/>
          <w:sz w:val="17"/>
          <w:szCs w:val="17"/>
          <w:u w:val="none"/>
          <w:lang w:val="en-CA"/>
        </w:rPr>
        <w:t>Unilever plc, “</w:t>
      </w:r>
      <w:r w:rsidRPr="00672717">
        <w:rPr>
          <w:rStyle w:val="Hyperlink"/>
          <w:rFonts w:ascii="Arial" w:hAnsi="Arial" w:cs="Arial"/>
          <w:color w:val="auto"/>
          <w:sz w:val="17"/>
          <w:szCs w:val="17"/>
          <w:u w:val="none"/>
          <w:lang w:val="en-CA"/>
        </w:rPr>
        <w:t>Our Sustainable Living Report Hub</w:t>
      </w:r>
      <w:r>
        <w:rPr>
          <w:rStyle w:val="Hyperlink"/>
          <w:rFonts w:ascii="Arial" w:hAnsi="Arial" w:cs="Arial"/>
          <w:color w:val="auto"/>
          <w:sz w:val="17"/>
          <w:szCs w:val="17"/>
          <w:u w:val="none"/>
          <w:lang w:val="en-CA"/>
        </w:rPr>
        <w:t xml:space="preserve">,” Unilever plc, accessed November 12, 2020, </w:t>
      </w:r>
      <w:bookmarkEnd w:id="8"/>
      <w:r w:rsidRPr="0012478D">
        <w:rPr>
          <w:rStyle w:val="Hyperlink"/>
          <w:rFonts w:ascii="Arial" w:hAnsi="Arial" w:cs="Arial"/>
          <w:color w:val="auto"/>
          <w:sz w:val="17"/>
          <w:szCs w:val="17"/>
          <w:u w:val="none"/>
        </w:rPr>
        <w:t>www.unilever.com/sustainable-living/our-sustainable-living-report-hub</w:t>
      </w:r>
      <w:r>
        <w:rPr>
          <w:rFonts w:ascii="Arial" w:hAnsi="Arial" w:cs="Arial"/>
          <w:sz w:val="17"/>
          <w:szCs w:val="17"/>
          <w:lang w:val="en-US"/>
        </w:rPr>
        <w:t>.</w:t>
      </w:r>
    </w:p>
  </w:endnote>
  <w:endnote w:id="35">
    <w:p w14:paraId="4CE3415B" w14:textId="258F408C" w:rsidR="00005E17" w:rsidRPr="0012478D" w:rsidRDefault="00005E17" w:rsidP="00DC51C4">
      <w:pPr>
        <w:pStyle w:val="EndnoteText"/>
        <w:jc w:val="both"/>
        <w:rPr>
          <w:rFonts w:ascii="Arial" w:hAnsi="Arial" w:cs="Arial"/>
          <w:sz w:val="17"/>
          <w:szCs w:val="17"/>
          <w:lang w:val="en-US"/>
        </w:rPr>
      </w:pPr>
      <w:r w:rsidRPr="0012478D">
        <w:rPr>
          <w:rStyle w:val="EndnoteReference"/>
          <w:rFonts w:ascii="Arial" w:hAnsi="Arial" w:cs="Arial"/>
          <w:sz w:val="17"/>
          <w:szCs w:val="17"/>
        </w:rPr>
        <w:endnoteRef/>
      </w:r>
      <w:r w:rsidRPr="0012478D">
        <w:rPr>
          <w:rFonts w:ascii="Arial" w:hAnsi="Arial" w:cs="Arial"/>
          <w:sz w:val="17"/>
          <w:szCs w:val="17"/>
        </w:rPr>
        <w:t xml:space="preserve"> </w:t>
      </w:r>
      <w:bookmarkStart w:id="9" w:name="_Hlk56355323"/>
      <w:r>
        <w:rPr>
          <w:rStyle w:val="Hyperlink"/>
          <w:rFonts w:ascii="Arial" w:hAnsi="Arial" w:cs="Arial"/>
          <w:color w:val="auto"/>
          <w:sz w:val="17"/>
          <w:szCs w:val="17"/>
          <w:u w:val="none"/>
          <w:lang w:val="en-CA"/>
        </w:rPr>
        <w:t xml:space="preserve">Unilever plc, </w:t>
      </w:r>
      <w:r>
        <w:rPr>
          <w:rFonts w:ascii="Arial" w:hAnsi="Arial" w:cs="Arial"/>
          <w:sz w:val="17"/>
          <w:szCs w:val="17"/>
          <w:lang w:val="en-CA"/>
        </w:rPr>
        <w:t>“</w:t>
      </w:r>
      <w:r w:rsidRPr="00672717">
        <w:rPr>
          <w:rFonts w:ascii="Arial" w:hAnsi="Arial" w:cs="Arial"/>
          <w:sz w:val="17"/>
          <w:szCs w:val="17"/>
        </w:rPr>
        <w:t xml:space="preserve">Opportunities for </w:t>
      </w:r>
      <w:r>
        <w:rPr>
          <w:rFonts w:ascii="Arial" w:hAnsi="Arial" w:cs="Arial"/>
          <w:sz w:val="17"/>
          <w:szCs w:val="17"/>
          <w:lang w:val="en-CA"/>
        </w:rPr>
        <w:t>W</w:t>
      </w:r>
      <w:r w:rsidRPr="00672717">
        <w:rPr>
          <w:rFonts w:ascii="Arial" w:hAnsi="Arial" w:cs="Arial"/>
          <w:sz w:val="17"/>
          <w:szCs w:val="17"/>
        </w:rPr>
        <w:t>omen</w:t>
      </w:r>
      <w:r>
        <w:rPr>
          <w:rFonts w:ascii="Arial" w:hAnsi="Arial" w:cs="Arial"/>
          <w:sz w:val="17"/>
          <w:szCs w:val="17"/>
          <w:lang w:val="en-CA"/>
        </w:rPr>
        <w:t>,”</w:t>
      </w:r>
      <w:r>
        <w:rPr>
          <w:rStyle w:val="Hyperlink"/>
          <w:rFonts w:ascii="Arial" w:hAnsi="Arial" w:cs="Arial"/>
          <w:color w:val="auto"/>
          <w:sz w:val="17"/>
          <w:szCs w:val="17"/>
          <w:u w:val="none"/>
          <w:lang w:val="en-CA"/>
        </w:rPr>
        <w:t xml:space="preserve"> Unilever plc, accessed November 12, 2020, </w:t>
      </w:r>
      <w:r w:rsidRPr="0012478D">
        <w:rPr>
          <w:rFonts w:ascii="Arial" w:hAnsi="Arial" w:cs="Arial"/>
          <w:sz w:val="17"/>
          <w:szCs w:val="17"/>
        </w:rPr>
        <w:t>www.unilever.com/sustainable-living/enhancing-livelihoods/opportunities-for-women</w:t>
      </w:r>
      <w:r>
        <w:rPr>
          <w:rFonts w:ascii="Arial" w:hAnsi="Arial" w:cs="Arial"/>
          <w:sz w:val="17"/>
          <w:szCs w:val="17"/>
          <w:lang w:val="en-CA"/>
        </w:rPr>
        <w:t>.</w:t>
      </w:r>
      <w:bookmarkEnd w:id="9"/>
    </w:p>
  </w:endnote>
  <w:endnote w:id="36">
    <w:p w14:paraId="454F0B36" w14:textId="5CE4D2B1" w:rsidR="00005E17" w:rsidRPr="000808E7" w:rsidRDefault="00005E17" w:rsidP="00213191">
      <w:pPr>
        <w:pStyle w:val="EndnoteText"/>
        <w:jc w:val="both"/>
        <w:rPr>
          <w:rFonts w:ascii="Arial" w:hAnsi="Arial" w:cs="Arial"/>
          <w:sz w:val="17"/>
          <w:szCs w:val="17"/>
          <w:lang w:val="en-CA"/>
        </w:rPr>
      </w:pPr>
      <w:r w:rsidRPr="0012478D">
        <w:rPr>
          <w:rStyle w:val="EndnoteReference"/>
          <w:rFonts w:ascii="Arial" w:hAnsi="Arial" w:cs="Arial"/>
          <w:sz w:val="17"/>
          <w:szCs w:val="17"/>
        </w:rPr>
        <w:endnoteRef/>
      </w:r>
      <w:r w:rsidRPr="0012478D">
        <w:rPr>
          <w:rFonts w:ascii="Arial" w:hAnsi="Arial" w:cs="Arial"/>
          <w:sz w:val="17"/>
          <w:szCs w:val="17"/>
        </w:rPr>
        <w:t xml:space="preserve"> Unilever plc, </w:t>
      </w:r>
      <w:r w:rsidRPr="0012478D">
        <w:rPr>
          <w:rFonts w:ascii="Arial" w:hAnsi="Arial" w:cs="Arial"/>
          <w:i/>
          <w:sz w:val="17"/>
          <w:szCs w:val="17"/>
        </w:rPr>
        <w:t xml:space="preserve">Opportunities for Women: Challenging Harmful Social Norms </w:t>
      </w:r>
      <w:r w:rsidRPr="0012478D">
        <w:rPr>
          <w:rFonts w:ascii="Arial" w:hAnsi="Arial" w:cs="Arial"/>
          <w:i/>
          <w:sz w:val="17"/>
          <w:szCs w:val="17"/>
          <w:lang w:val="en-CA"/>
        </w:rPr>
        <w:t>a</w:t>
      </w:r>
      <w:r w:rsidRPr="0012478D">
        <w:rPr>
          <w:rFonts w:ascii="Arial" w:hAnsi="Arial" w:cs="Arial"/>
          <w:i/>
          <w:sz w:val="17"/>
          <w:szCs w:val="17"/>
        </w:rPr>
        <w:t xml:space="preserve">nd Gender Stereotypes </w:t>
      </w:r>
      <w:r w:rsidRPr="0012478D">
        <w:rPr>
          <w:rFonts w:ascii="Arial" w:hAnsi="Arial" w:cs="Arial"/>
          <w:i/>
          <w:sz w:val="17"/>
          <w:szCs w:val="17"/>
          <w:lang w:val="en-CA"/>
        </w:rPr>
        <w:t>t</w:t>
      </w:r>
      <w:r w:rsidRPr="0012478D">
        <w:rPr>
          <w:rFonts w:ascii="Arial" w:hAnsi="Arial" w:cs="Arial"/>
          <w:i/>
          <w:sz w:val="17"/>
          <w:szCs w:val="17"/>
        </w:rPr>
        <w:t>o Unlock Women’s Potential</w:t>
      </w:r>
      <w:r>
        <w:rPr>
          <w:rFonts w:ascii="Arial" w:hAnsi="Arial" w:cs="Arial"/>
          <w:i/>
          <w:sz w:val="17"/>
          <w:szCs w:val="17"/>
          <w:lang w:val="en-CA"/>
        </w:rPr>
        <w:t>,</w:t>
      </w:r>
      <w:r w:rsidRPr="0012478D">
        <w:rPr>
          <w:rFonts w:ascii="Arial" w:hAnsi="Arial" w:cs="Arial"/>
          <w:i/>
          <w:sz w:val="17"/>
          <w:szCs w:val="17"/>
        </w:rPr>
        <w:t xml:space="preserve"> </w:t>
      </w:r>
      <w:r w:rsidRPr="0012478D">
        <w:rPr>
          <w:rFonts w:ascii="Arial" w:hAnsi="Arial" w:cs="Arial"/>
          <w:sz w:val="17"/>
          <w:szCs w:val="17"/>
          <w:lang w:val="en-US"/>
        </w:rPr>
        <w:t>op. cit.</w:t>
      </w:r>
      <w:r w:rsidRPr="0012478D">
        <w:rPr>
          <w:rStyle w:val="EndnoteReference"/>
          <w:rFonts w:ascii="Arial" w:hAnsi="Arial" w:cs="Arial"/>
          <w:sz w:val="17"/>
          <w:szCs w:val="17"/>
        </w:rPr>
        <w:t xml:space="preserve"> </w:t>
      </w:r>
    </w:p>
  </w:endnote>
  <w:endnote w:id="37">
    <w:p w14:paraId="046DF794" w14:textId="7A755FAE" w:rsidR="00005E17" w:rsidRPr="0012478D" w:rsidRDefault="00005E17" w:rsidP="00213191">
      <w:pPr>
        <w:pStyle w:val="EndnoteText"/>
        <w:jc w:val="both"/>
        <w:rPr>
          <w:rFonts w:ascii="Arial" w:hAnsi="Arial" w:cs="Arial"/>
          <w:sz w:val="17"/>
          <w:szCs w:val="17"/>
          <w:lang w:val="en-US"/>
        </w:rPr>
      </w:pPr>
      <w:r w:rsidRPr="0012478D">
        <w:rPr>
          <w:rStyle w:val="EndnoteReference"/>
          <w:rFonts w:ascii="Arial" w:hAnsi="Arial" w:cs="Arial"/>
          <w:sz w:val="17"/>
          <w:szCs w:val="17"/>
        </w:rPr>
        <w:endnoteRef/>
      </w:r>
      <w:r w:rsidRPr="0012478D">
        <w:rPr>
          <w:rFonts w:ascii="Arial" w:hAnsi="Arial" w:cs="Arial"/>
          <w:sz w:val="17"/>
          <w:szCs w:val="17"/>
        </w:rPr>
        <w:t xml:space="preserve"> </w:t>
      </w:r>
      <w:r>
        <w:rPr>
          <w:rStyle w:val="Hyperlink"/>
          <w:rFonts w:ascii="Arial" w:hAnsi="Arial" w:cs="Arial"/>
          <w:color w:val="auto"/>
          <w:sz w:val="17"/>
          <w:szCs w:val="17"/>
          <w:u w:val="none"/>
          <w:lang w:val="en-CA"/>
        </w:rPr>
        <w:t xml:space="preserve">Unilever plc, </w:t>
      </w:r>
      <w:r>
        <w:rPr>
          <w:rFonts w:ascii="Arial" w:hAnsi="Arial" w:cs="Arial"/>
          <w:sz w:val="17"/>
          <w:szCs w:val="17"/>
          <w:lang w:val="en-CA"/>
        </w:rPr>
        <w:t>“</w:t>
      </w:r>
      <w:r w:rsidRPr="00672717">
        <w:rPr>
          <w:rFonts w:ascii="Arial" w:hAnsi="Arial" w:cs="Arial"/>
          <w:sz w:val="17"/>
          <w:szCs w:val="17"/>
        </w:rPr>
        <w:t>Opportunities for women</w:t>
      </w:r>
      <w:r>
        <w:rPr>
          <w:rFonts w:ascii="Arial" w:hAnsi="Arial" w:cs="Arial"/>
          <w:sz w:val="17"/>
          <w:szCs w:val="17"/>
          <w:lang w:val="en-CA"/>
        </w:rPr>
        <w:t>,”</w:t>
      </w:r>
      <w:r>
        <w:rPr>
          <w:rStyle w:val="Hyperlink"/>
          <w:rFonts w:ascii="Arial" w:hAnsi="Arial" w:cs="Arial"/>
          <w:color w:val="auto"/>
          <w:sz w:val="17"/>
          <w:szCs w:val="17"/>
          <w:u w:val="none"/>
          <w:lang w:val="en-CA"/>
        </w:rPr>
        <w:t xml:space="preserve"> </w:t>
      </w:r>
      <w:r w:rsidRPr="0012478D">
        <w:rPr>
          <w:rFonts w:ascii="Arial" w:hAnsi="Arial" w:cs="Arial"/>
          <w:sz w:val="17"/>
          <w:szCs w:val="17"/>
          <w:lang w:val="en-US"/>
        </w:rPr>
        <w:t>op. cit.</w:t>
      </w:r>
      <w:r w:rsidRPr="0012478D">
        <w:rPr>
          <w:rStyle w:val="EndnoteReference"/>
          <w:rFonts w:ascii="Arial" w:hAnsi="Arial" w:cs="Arial"/>
          <w:sz w:val="17"/>
          <w:szCs w:val="17"/>
        </w:rPr>
        <w:t xml:space="preserve"> </w:t>
      </w:r>
    </w:p>
  </w:endnote>
  <w:endnote w:id="38">
    <w:p w14:paraId="09BF9DE5" w14:textId="3CB9A785" w:rsidR="00005E17" w:rsidRPr="0012478D" w:rsidRDefault="00005E17" w:rsidP="00213191">
      <w:pPr>
        <w:pStyle w:val="EndnoteText"/>
        <w:jc w:val="both"/>
        <w:rPr>
          <w:rFonts w:ascii="Arial" w:hAnsi="Arial" w:cs="Arial"/>
          <w:sz w:val="17"/>
          <w:szCs w:val="17"/>
          <w:lang w:val="en-US"/>
        </w:rPr>
      </w:pPr>
      <w:r w:rsidRPr="0012478D">
        <w:rPr>
          <w:rStyle w:val="EndnoteReference"/>
          <w:rFonts w:ascii="Arial" w:hAnsi="Arial" w:cs="Arial"/>
          <w:sz w:val="17"/>
          <w:szCs w:val="17"/>
        </w:rPr>
        <w:endnoteRef/>
      </w:r>
      <w:r w:rsidRPr="0012478D">
        <w:rPr>
          <w:rFonts w:ascii="Arial" w:hAnsi="Arial" w:cs="Arial"/>
          <w:sz w:val="17"/>
          <w:szCs w:val="17"/>
        </w:rPr>
        <w:t xml:space="preserve"> </w:t>
      </w:r>
      <w:r>
        <w:rPr>
          <w:rFonts w:ascii="Arial" w:hAnsi="Arial" w:cs="Arial"/>
          <w:sz w:val="17"/>
          <w:szCs w:val="17"/>
          <w:lang w:val="en-CA"/>
        </w:rPr>
        <w:t>Ibid</w:t>
      </w:r>
      <w:r w:rsidRPr="0012478D">
        <w:rPr>
          <w:rFonts w:ascii="Arial" w:hAnsi="Arial" w:cs="Arial"/>
          <w:sz w:val="17"/>
          <w:szCs w:val="17"/>
          <w:lang w:val="en-US"/>
        </w:rPr>
        <w:t>.</w:t>
      </w:r>
      <w:r w:rsidRPr="0012478D">
        <w:rPr>
          <w:rStyle w:val="EndnoteReference"/>
          <w:rFonts w:ascii="Arial" w:hAnsi="Arial" w:cs="Arial"/>
          <w:sz w:val="17"/>
          <w:szCs w:val="17"/>
        </w:rPr>
        <w:t xml:space="preserve"> </w:t>
      </w:r>
    </w:p>
  </w:endnote>
  <w:endnote w:id="39">
    <w:p w14:paraId="1719055A" w14:textId="59C22CC9" w:rsidR="00005E17" w:rsidRPr="000808E7" w:rsidRDefault="00005E17" w:rsidP="00213191">
      <w:pPr>
        <w:pStyle w:val="EndnoteText"/>
        <w:jc w:val="both"/>
        <w:rPr>
          <w:rFonts w:ascii="Arial" w:hAnsi="Arial" w:cs="Arial"/>
          <w:sz w:val="17"/>
          <w:szCs w:val="17"/>
          <w:lang w:val="en-CA"/>
        </w:rPr>
      </w:pPr>
      <w:r w:rsidRPr="0012478D">
        <w:rPr>
          <w:rStyle w:val="EndnoteReference"/>
          <w:rFonts w:ascii="Arial" w:hAnsi="Arial" w:cs="Arial"/>
          <w:sz w:val="17"/>
          <w:szCs w:val="17"/>
        </w:rPr>
        <w:endnoteRef/>
      </w:r>
      <w:r w:rsidRPr="0012478D">
        <w:rPr>
          <w:rFonts w:ascii="Arial" w:hAnsi="Arial" w:cs="Arial"/>
          <w:sz w:val="17"/>
          <w:szCs w:val="17"/>
        </w:rPr>
        <w:t xml:space="preserve"> Unilever plc, </w:t>
      </w:r>
      <w:r w:rsidRPr="0012478D">
        <w:rPr>
          <w:rFonts w:ascii="Arial" w:hAnsi="Arial" w:cs="Arial"/>
          <w:i/>
          <w:sz w:val="17"/>
          <w:szCs w:val="17"/>
        </w:rPr>
        <w:t xml:space="preserve">Opportunities for Women: Challenging Harmful Social Norms </w:t>
      </w:r>
      <w:r w:rsidRPr="0012478D">
        <w:rPr>
          <w:rFonts w:ascii="Arial" w:hAnsi="Arial" w:cs="Arial"/>
          <w:i/>
          <w:sz w:val="17"/>
          <w:szCs w:val="17"/>
          <w:lang w:val="en-CA"/>
        </w:rPr>
        <w:t>a</w:t>
      </w:r>
      <w:r w:rsidRPr="0012478D">
        <w:rPr>
          <w:rFonts w:ascii="Arial" w:hAnsi="Arial" w:cs="Arial"/>
          <w:i/>
          <w:sz w:val="17"/>
          <w:szCs w:val="17"/>
        </w:rPr>
        <w:t xml:space="preserve">nd Gender Stereotypes </w:t>
      </w:r>
      <w:r w:rsidRPr="0012478D">
        <w:rPr>
          <w:rFonts w:ascii="Arial" w:hAnsi="Arial" w:cs="Arial"/>
          <w:i/>
          <w:sz w:val="17"/>
          <w:szCs w:val="17"/>
          <w:lang w:val="en-CA"/>
        </w:rPr>
        <w:t>t</w:t>
      </w:r>
      <w:r w:rsidRPr="0012478D">
        <w:rPr>
          <w:rFonts w:ascii="Arial" w:hAnsi="Arial" w:cs="Arial"/>
          <w:i/>
          <w:sz w:val="17"/>
          <w:szCs w:val="17"/>
        </w:rPr>
        <w:t>o Unlock Women’s Potential</w:t>
      </w:r>
      <w:r>
        <w:rPr>
          <w:rFonts w:ascii="Arial" w:hAnsi="Arial" w:cs="Arial"/>
          <w:i/>
          <w:sz w:val="17"/>
          <w:szCs w:val="17"/>
          <w:lang w:val="en-CA"/>
        </w:rPr>
        <w:t>,</w:t>
      </w:r>
      <w:r w:rsidRPr="0012478D">
        <w:rPr>
          <w:rFonts w:ascii="Arial" w:hAnsi="Arial" w:cs="Arial"/>
          <w:i/>
          <w:sz w:val="17"/>
          <w:szCs w:val="17"/>
        </w:rPr>
        <w:t xml:space="preserve"> </w:t>
      </w:r>
      <w:r w:rsidRPr="0012478D">
        <w:rPr>
          <w:rFonts w:ascii="Arial" w:hAnsi="Arial" w:cs="Arial"/>
          <w:sz w:val="17"/>
          <w:szCs w:val="17"/>
          <w:lang w:val="en-US"/>
        </w:rPr>
        <w:t>op. cit.</w:t>
      </w:r>
      <w:r w:rsidRPr="0012478D">
        <w:rPr>
          <w:rStyle w:val="EndnoteReference"/>
          <w:rFonts w:ascii="Arial" w:hAnsi="Arial" w:cs="Arial"/>
          <w:sz w:val="17"/>
          <w:szCs w:val="17"/>
        </w:rPr>
        <w:t xml:space="preserve"> </w:t>
      </w:r>
    </w:p>
  </w:endnote>
  <w:endnote w:id="40">
    <w:p w14:paraId="35EF1926" w14:textId="64D4337B"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Pr>
          <w:rStyle w:val="Hyperlink"/>
          <w:rFonts w:ascii="Arial" w:hAnsi="Arial" w:cs="Arial"/>
          <w:color w:val="auto"/>
          <w:sz w:val="17"/>
          <w:szCs w:val="17"/>
          <w:u w:val="none"/>
          <w:lang w:val="en-CA"/>
        </w:rPr>
        <w:t xml:space="preserve">Unilever plc, </w:t>
      </w:r>
      <w:r>
        <w:rPr>
          <w:rFonts w:ascii="Arial" w:hAnsi="Arial" w:cs="Arial"/>
          <w:sz w:val="17"/>
          <w:szCs w:val="17"/>
        </w:rPr>
        <w:t>“</w:t>
      </w:r>
      <w:r w:rsidRPr="004C53D8">
        <w:rPr>
          <w:rFonts w:ascii="Arial" w:hAnsi="Arial" w:cs="Arial"/>
          <w:sz w:val="17"/>
          <w:szCs w:val="17"/>
        </w:rPr>
        <w:t>Business Integrity</w:t>
      </w:r>
      <w:r>
        <w:rPr>
          <w:rFonts w:ascii="Arial" w:hAnsi="Arial" w:cs="Arial"/>
          <w:sz w:val="17"/>
          <w:szCs w:val="17"/>
          <w:lang w:val="en-CA"/>
        </w:rPr>
        <w:t>,”</w:t>
      </w:r>
      <w:r>
        <w:rPr>
          <w:rStyle w:val="Hyperlink"/>
          <w:rFonts w:ascii="Arial" w:hAnsi="Arial" w:cs="Arial"/>
          <w:color w:val="auto"/>
          <w:sz w:val="17"/>
          <w:szCs w:val="17"/>
          <w:u w:val="none"/>
          <w:lang w:val="en-CA"/>
        </w:rPr>
        <w:t xml:space="preserve"> Unilever plc, accessed November 12, 2020, </w:t>
      </w:r>
      <w:r w:rsidRPr="0012478D">
        <w:rPr>
          <w:rFonts w:ascii="Arial" w:hAnsi="Arial" w:cs="Arial"/>
          <w:sz w:val="17"/>
          <w:szCs w:val="17"/>
        </w:rPr>
        <w:t>www.unilever.com/about/who-we-are/our-values-and-principles/business-integrity</w:t>
      </w:r>
      <w:r>
        <w:rPr>
          <w:rFonts w:ascii="Arial" w:hAnsi="Arial" w:cs="Arial"/>
          <w:sz w:val="17"/>
          <w:szCs w:val="17"/>
        </w:rPr>
        <w:t>.</w:t>
      </w:r>
    </w:p>
  </w:endnote>
  <w:endnote w:id="41">
    <w:p w14:paraId="30A49D46" w14:textId="093CF889"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Pr>
          <w:rFonts w:ascii="Arial" w:hAnsi="Arial" w:cs="Arial"/>
          <w:sz w:val="17"/>
          <w:szCs w:val="17"/>
        </w:rPr>
        <w:t>Unilever plc, “</w:t>
      </w:r>
      <w:r w:rsidRPr="004C53D8">
        <w:rPr>
          <w:rFonts w:ascii="Arial" w:hAnsi="Arial" w:cs="Arial"/>
          <w:sz w:val="17"/>
          <w:szCs w:val="17"/>
        </w:rPr>
        <w:t xml:space="preserve">Unilever </w:t>
      </w:r>
      <w:r>
        <w:rPr>
          <w:rFonts w:ascii="Arial" w:hAnsi="Arial" w:cs="Arial"/>
          <w:sz w:val="17"/>
          <w:szCs w:val="17"/>
        </w:rPr>
        <w:t>C</w:t>
      </w:r>
      <w:r w:rsidRPr="004C53D8">
        <w:rPr>
          <w:rFonts w:ascii="Arial" w:hAnsi="Arial" w:cs="Arial"/>
          <w:sz w:val="17"/>
          <w:szCs w:val="17"/>
        </w:rPr>
        <w:t xml:space="preserve">elebrates 10 </w:t>
      </w:r>
      <w:r>
        <w:rPr>
          <w:rFonts w:ascii="Arial" w:hAnsi="Arial" w:cs="Arial"/>
          <w:sz w:val="17"/>
          <w:szCs w:val="17"/>
        </w:rPr>
        <w:t>Y</w:t>
      </w:r>
      <w:r w:rsidRPr="004C53D8">
        <w:rPr>
          <w:rFonts w:ascii="Arial" w:hAnsi="Arial" w:cs="Arial"/>
          <w:sz w:val="17"/>
          <w:szCs w:val="17"/>
        </w:rPr>
        <w:t>ears of the Sustainable Living Plan</w:t>
      </w:r>
      <w:r>
        <w:rPr>
          <w:rFonts w:ascii="Arial" w:hAnsi="Arial" w:cs="Arial"/>
          <w:sz w:val="17"/>
          <w:szCs w:val="17"/>
        </w:rPr>
        <w:t xml:space="preserve">,” press release, May 6, 2020, accessed November 12, 2020, </w:t>
      </w:r>
      <w:r w:rsidRPr="0012478D">
        <w:rPr>
          <w:rStyle w:val="Hyperlink"/>
          <w:rFonts w:ascii="Arial" w:hAnsi="Arial" w:cs="Arial"/>
          <w:color w:val="auto"/>
          <w:sz w:val="17"/>
          <w:szCs w:val="17"/>
          <w:u w:val="none"/>
        </w:rPr>
        <w:t>www.unilever.com/news/press-releases/2020/unilever-celebrates-10-years-of-the-sustainable-living-plan.html</w:t>
      </w:r>
      <w:r w:rsidRPr="0012478D">
        <w:rPr>
          <w:rFonts w:ascii="Arial" w:hAnsi="Arial" w:cs="Arial"/>
          <w:sz w:val="17"/>
          <w:szCs w:val="17"/>
        </w:rPr>
        <w:t xml:space="preserve">. </w:t>
      </w:r>
    </w:p>
  </w:endnote>
  <w:endnote w:id="42">
    <w:p w14:paraId="3632516F" w14:textId="3FBBE21D"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Pr>
          <w:rFonts w:ascii="Arial" w:hAnsi="Arial" w:cs="Arial"/>
          <w:sz w:val="17"/>
          <w:szCs w:val="17"/>
        </w:rPr>
        <w:t>Ibid.</w:t>
      </w:r>
      <w:r w:rsidRPr="0012478D">
        <w:rPr>
          <w:rStyle w:val="EndnoteReference"/>
          <w:rFonts w:ascii="Arial" w:hAnsi="Arial" w:cs="Arial"/>
          <w:sz w:val="17"/>
          <w:szCs w:val="17"/>
        </w:rPr>
        <w:t xml:space="preserve"> </w:t>
      </w:r>
    </w:p>
  </w:endnote>
  <w:endnote w:id="43">
    <w:p w14:paraId="3A612F6F" w14:textId="59B212C4" w:rsidR="00005E17" w:rsidRPr="000808E7" w:rsidRDefault="00005E17" w:rsidP="00213191">
      <w:pPr>
        <w:pStyle w:val="EndnoteText"/>
        <w:jc w:val="both"/>
        <w:rPr>
          <w:lang w:val="en-CA"/>
        </w:rPr>
      </w:pPr>
      <w:r>
        <w:rPr>
          <w:rStyle w:val="EndnoteReference"/>
        </w:rPr>
        <w:endnoteRef/>
      </w:r>
      <w:r>
        <w:rPr>
          <w:rFonts w:ascii="Arial" w:hAnsi="Arial" w:cs="Arial"/>
          <w:sz w:val="17"/>
          <w:szCs w:val="17"/>
        </w:rPr>
        <w:t xml:space="preserve"> </w:t>
      </w:r>
      <w:r>
        <w:rPr>
          <w:rFonts w:ascii="Arial" w:hAnsi="Arial" w:cs="Arial"/>
          <w:sz w:val="17"/>
          <w:szCs w:val="17"/>
          <w:lang w:val="en-CA"/>
        </w:rPr>
        <w:t>Unilever plc, “</w:t>
      </w:r>
      <w:r w:rsidRPr="00721ADA">
        <w:rPr>
          <w:rFonts w:ascii="Arial" w:hAnsi="Arial" w:cs="Arial"/>
          <w:sz w:val="17"/>
          <w:szCs w:val="17"/>
          <w:lang w:val="en-CA"/>
        </w:rPr>
        <w:t xml:space="preserve">Profit through </w:t>
      </w:r>
      <w:r>
        <w:rPr>
          <w:rFonts w:ascii="Arial" w:hAnsi="Arial" w:cs="Arial"/>
          <w:sz w:val="17"/>
          <w:szCs w:val="17"/>
          <w:lang w:val="en-CA"/>
        </w:rPr>
        <w:t>P</w:t>
      </w:r>
      <w:r w:rsidRPr="00721ADA">
        <w:rPr>
          <w:rFonts w:ascii="Arial" w:hAnsi="Arial" w:cs="Arial"/>
          <w:sz w:val="17"/>
          <w:szCs w:val="17"/>
          <w:lang w:val="en-CA"/>
        </w:rPr>
        <w:t xml:space="preserve">urpose: </w:t>
      </w:r>
      <w:r>
        <w:rPr>
          <w:rFonts w:ascii="Arial" w:hAnsi="Arial" w:cs="Arial"/>
          <w:sz w:val="17"/>
          <w:szCs w:val="17"/>
          <w:lang w:val="en-CA"/>
        </w:rPr>
        <w:t>E</w:t>
      </w:r>
      <w:r w:rsidRPr="00721ADA">
        <w:rPr>
          <w:rFonts w:ascii="Arial" w:hAnsi="Arial" w:cs="Arial"/>
          <w:sz w:val="17"/>
          <w:szCs w:val="17"/>
          <w:lang w:val="en-CA"/>
        </w:rPr>
        <w:t xml:space="preserve">ight </w:t>
      </w:r>
      <w:r>
        <w:rPr>
          <w:rFonts w:ascii="Arial" w:hAnsi="Arial" w:cs="Arial"/>
          <w:sz w:val="17"/>
          <w:szCs w:val="17"/>
          <w:lang w:val="en-CA"/>
        </w:rPr>
        <w:t>Y</w:t>
      </w:r>
      <w:r w:rsidRPr="00721ADA">
        <w:rPr>
          <w:rFonts w:ascii="Arial" w:hAnsi="Arial" w:cs="Arial"/>
          <w:sz w:val="17"/>
          <w:szCs w:val="17"/>
          <w:lang w:val="en-CA"/>
        </w:rPr>
        <w:t xml:space="preserve">ears of </w:t>
      </w:r>
      <w:r>
        <w:rPr>
          <w:rFonts w:ascii="Arial" w:hAnsi="Arial" w:cs="Arial"/>
          <w:sz w:val="17"/>
          <w:szCs w:val="17"/>
          <w:lang w:val="en-CA"/>
        </w:rPr>
        <w:t>P</w:t>
      </w:r>
      <w:r w:rsidRPr="00721ADA">
        <w:rPr>
          <w:rFonts w:ascii="Arial" w:hAnsi="Arial" w:cs="Arial"/>
          <w:sz w:val="17"/>
          <w:szCs w:val="17"/>
          <w:lang w:val="en-CA"/>
        </w:rPr>
        <w:t xml:space="preserve">ioneering and </w:t>
      </w:r>
      <w:r>
        <w:rPr>
          <w:rFonts w:ascii="Arial" w:hAnsi="Arial" w:cs="Arial"/>
          <w:sz w:val="17"/>
          <w:szCs w:val="17"/>
          <w:lang w:val="en-CA"/>
        </w:rPr>
        <w:t>L</w:t>
      </w:r>
      <w:r w:rsidRPr="00721ADA">
        <w:rPr>
          <w:rFonts w:ascii="Arial" w:hAnsi="Arial" w:cs="Arial"/>
          <w:sz w:val="17"/>
          <w:szCs w:val="17"/>
          <w:lang w:val="en-CA"/>
        </w:rPr>
        <w:t>earning</w:t>
      </w:r>
      <w:r>
        <w:rPr>
          <w:rFonts w:ascii="Arial" w:hAnsi="Arial" w:cs="Arial"/>
          <w:sz w:val="17"/>
          <w:szCs w:val="17"/>
          <w:lang w:val="en-CA"/>
        </w:rPr>
        <w:t xml:space="preserve">,” Unilever plc, April 19, 2019, </w:t>
      </w:r>
      <w:r w:rsidRPr="0012478D">
        <w:rPr>
          <w:rFonts w:ascii="Arial" w:hAnsi="Arial" w:cs="Arial"/>
          <w:sz w:val="17"/>
          <w:szCs w:val="17"/>
        </w:rPr>
        <w:t>accessed July 13, 2020</w:t>
      </w:r>
      <w:r>
        <w:rPr>
          <w:rFonts w:ascii="Arial" w:hAnsi="Arial" w:cs="Arial"/>
          <w:sz w:val="17"/>
          <w:szCs w:val="17"/>
        </w:rPr>
        <w:t xml:space="preserve">, </w:t>
      </w:r>
      <w:r>
        <w:rPr>
          <w:rFonts w:ascii="Arial" w:hAnsi="Arial" w:cs="Arial"/>
          <w:sz w:val="17"/>
          <w:szCs w:val="17"/>
          <w:lang w:val="en-CA"/>
        </w:rPr>
        <w:t xml:space="preserve">accessed </w:t>
      </w:r>
      <w:r w:rsidRPr="0012478D">
        <w:rPr>
          <w:rStyle w:val="Hyperlink"/>
          <w:rFonts w:ascii="Arial" w:hAnsi="Arial" w:cs="Arial"/>
          <w:color w:val="auto"/>
          <w:sz w:val="17"/>
          <w:szCs w:val="17"/>
          <w:u w:val="none"/>
        </w:rPr>
        <w:t>www.unileverusa.com/news/news-and-features/2019/profit-through-purpose-eight-years-of-pioneering-and-learning.html</w:t>
      </w:r>
      <w:r>
        <w:rPr>
          <w:lang w:val="en-CA"/>
        </w:rPr>
        <w:t>.</w:t>
      </w:r>
    </w:p>
  </w:endnote>
  <w:endnote w:id="44">
    <w:p w14:paraId="767A2DB2" w14:textId="3E1345B6"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Kantar Group and Affiliates, “Brand Footprint: A Ranking of the World’s Most Popular FMCG Brands,” Kantar Group and Affiliates, accessed November 12, 2020, www.kantar.com/campaigns/brand-footprint.</w:t>
      </w:r>
    </w:p>
  </w:endnote>
  <w:endnote w:id="45">
    <w:p w14:paraId="4837FCCD" w14:textId="0798A740"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Hindustan Unilever L</w:t>
      </w:r>
      <w:r>
        <w:rPr>
          <w:rFonts w:ascii="Arial" w:hAnsi="Arial" w:cs="Arial"/>
          <w:sz w:val="17"/>
          <w:szCs w:val="17"/>
        </w:rPr>
        <w:t>imited</w:t>
      </w:r>
      <w:r w:rsidRPr="0012478D">
        <w:rPr>
          <w:rFonts w:ascii="Arial" w:hAnsi="Arial" w:cs="Arial"/>
          <w:sz w:val="17"/>
          <w:szCs w:val="17"/>
        </w:rPr>
        <w:t xml:space="preserve">, </w:t>
      </w:r>
      <w:r w:rsidRPr="009B4E78">
        <w:rPr>
          <w:rFonts w:ascii="Arial" w:hAnsi="Arial" w:cs="Arial"/>
          <w:i/>
          <w:sz w:val="17"/>
          <w:szCs w:val="17"/>
        </w:rPr>
        <w:t>Purpose-Led, Future-fit: Integrated Annual Report 2019-20</w:t>
      </w:r>
      <w:r w:rsidRPr="0012478D">
        <w:rPr>
          <w:rFonts w:ascii="Arial" w:hAnsi="Arial" w:cs="Arial"/>
          <w:sz w:val="17"/>
          <w:szCs w:val="17"/>
        </w:rPr>
        <w:t xml:space="preserve">, </w:t>
      </w:r>
      <w:r>
        <w:rPr>
          <w:rFonts w:ascii="Arial" w:hAnsi="Arial" w:cs="Arial"/>
          <w:sz w:val="17"/>
          <w:szCs w:val="17"/>
        </w:rPr>
        <w:t>op. cit.</w:t>
      </w:r>
      <w:r w:rsidRPr="0012478D">
        <w:rPr>
          <w:rFonts w:ascii="Arial" w:hAnsi="Arial" w:cs="Arial"/>
          <w:sz w:val="17"/>
          <w:szCs w:val="17"/>
        </w:rPr>
        <w:t xml:space="preserve"> </w:t>
      </w:r>
    </w:p>
  </w:endnote>
  <w:endnote w:id="46">
    <w:p w14:paraId="26EA171F" w14:textId="0418F59C"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United Nations, </w:t>
      </w:r>
      <w:r w:rsidRPr="00213191">
        <w:rPr>
          <w:rFonts w:ascii="Arial" w:hAnsi="Arial" w:cs="Arial"/>
          <w:i/>
          <w:sz w:val="17"/>
          <w:szCs w:val="17"/>
        </w:rPr>
        <w:t>Report of the World Commission on Environment and Development: Our Common Future</w:t>
      </w:r>
      <w:r w:rsidRPr="0012478D">
        <w:rPr>
          <w:rFonts w:ascii="Arial" w:hAnsi="Arial" w:cs="Arial"/>
          <w:sz w:val="17"/>
          <w:szCs w:val="17"/>
        </w:rPr>
        <w:t>,</w:t>
      </w:r>
      <w:r>
        <w:rPr>
          <w:rFonts w:ascii="Arial" w:hAnsi="Arial" w:cs="Arial"/>
          <w:sz w:val="17"/>
          <w:szCs w:val="17"/>
        </w:rPr>
        <w:t xml:space="preserve"> United Nationa, </w:t>
      </w:r>
      <w:r w:rsidRPr="0012478D">
        <w:rPr>
          <w:rFonts w:ascii="Arial" w:hAnsi="Arial" w:cs="Arial"/>
          <w:sz w:val="17"/>
          <w:szCs w:val="17"/>
        </w:rPr>
        <w:t>1987, accessed July 15, 2020, www.un-documents.net/our-common-future.pdf</w:t>
      </w:r>
      <w:r>
        <w:rPr>
          <w:rFonts w:ascii="Arial" w:hAnsi="Arial" w:cs="Arial"/>
          <w:sz w:val="17"/>
          <w:szCs w:val="17"/>
        </w:rPr>
        <w:t>.</w:t>
      </w:r>
    </w:p>
  </w:endnote>
  <w:endnote w:id="47">
    <w:p w14:paraId="7D85C125" w14:textId="728BBE03"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Christos N. Pitelis, “Towards a More ‘Ethically Correct’ Governance for Economic Sustainability,” </w:t>
      </w:r>
      <w:r w:rsidRPr="0012478D">
        <w:rPr>
          <w:rFonts w:ascii="Arial" w:hAnsi="Arial" w:cs="Arial"/>
          <w:i/>
          <w:iCs/>
          <w:sz w:val="17"/>
          <w:szCs w:val="17"/>
        </w:rPr>
        <w:t>Journal of Business Ethics</w:t>
      </w:r>
      <w:r w:rsidRPr="0012478D">
        <w:rPr>
          <w:rFonts w:ascii="Arial" w:hAnsi="Arial" w:cs="Arial"/>
          <w:sz w:val="17"/>
          <w:szCs w:val="17"/>
        </w:rPr>
        <w:t xml:space="preserve"> 118, </w:t>
      </w:r>
      <w:r>
        <w:rPr>
          <w:rFonts w:ascii="Arial" w:hAnsi="Arial" w:cs="Arial"/>
          <w:sz w:val="17"/>
          <w:szCs w:val="17"/>
        </w:rPr>
        <w:t>n</w:t>
      </w:r>
      <w:r w:rsidRPr="0012478D">
        <w:rPr>
          <w:rFonts w:ascii="Arial" w:hAnsi="Arial" w:cs="Arial"/>
          <w:sz w:val="17"/>
          <w:szCs w:val="17"/>
        </w:rPr>
        <w:t xml:space="preserve">o. 3 </w:t>
      </w:r>
      <w:r>
        <w:rPr>
          <w:rFonts w:ascii="Arial" w:hAnsi="Arial" w:cs="Arial"/>
          <w:sz w:val="17"/>
          <w:szCs w:val="17"/>
        </w:rPr>
        <w:t>(</w:t>
      </w:r>
      <w:r w:rsidRPr="0012478D">
        <w:rPr>
          <w:rFonts w:ascii="Arial" w:hAnsi="Arial" w:cs="Arial"/>
          <w:sz w:val="17"/>
          <w:szCs w:val="17"/>
        </w:rPr>
        <w:t>2013</w:t>
      </w:r>
      <w:r>
        <w:rPr>
          <w:rFonts w:ascii="Arial" w:hAnsi="Arial" w:cs="Arial"/>
          <w:sz w:val="17"/>
          <w:szCs w:val="17"/>
        </w:rPr>
        <w:t>):</w:t>
      </w:r>
      <w:r w:rsidRPr="0012478D">
        <w:rPr>
          <w:rFonts w:ascii="Arial" w:hAnsi="Arial" w:cs="Arial"/>
          <w:sz w:val="17"/>
          <w:szCs w:val="17"/>
        </w:rPr>
        <w:t xml:space="preserve"> 655</w:t>
      </w:r>
      <w:r>
        <w:rPr>
          <w:rFonts w:ascii="Arial" w:hAnsi="Arial" w:cs="Arial"/>
          <w:sz w:val="17"/>
          <w:szCs w:val="17"/>
        </w:rPr>
        <w:t>–</w:t>
      </w:r>
      <w:r w:rsidRPr="0012478D">
        <w:rPr>
          <w:rFonts w:ascii="Arial" w:hAnsi="Arial" w:cs="Arial"/>
          <w:sz w:val="17"/>
          <w:szCs w:val="17"/>
        </w:rPr>
        <w:t xml:space="preserve">665; </w:t>
      </w:r>
      <w:r>
        <w:rPr>
          <w:rFonts w:ascii="Arial" w:hAnsi="Arial" w:cs="Arial"/>
          <w:sz w:val="17"/>
          <w:szCs w:val="17"/>
        </w:rPr>
        <w:t xml:space="preserve">John </w:t>
      </w:r>
      <w:r w:rsidRPr="0012478D">
        <w:rPr>
          <w:rFonts w:ascii="Arial" w:hAnsi="Arial" w:cs="Arial"/>
          <w:sz w:val="17"/>
          <w:szCs w:val="17"/>
        </w:rPr>
        <w:t xml:space="preserve">Elkington, </w:t>
      </w:r>
      <w:r w:rsidRPr="0012478D">
        <w:rPr>
          <w:rFonts w:ascii="Arial" w:hAnsi="Arial" w:cs="Arial"/>
          <w:i/>
          <w:iCs/>
          <w:sz w:val="17"/>
          <w:szCs w:val="17"/>
        </w:rPr>
        <w:t xml:space="preserve">Cannibals with </w:t>
      </w:r>
      <w:r>
        <w:rPr>
          <w:rFonts w:ascii="Arial" w:hAnsi="Arial" w:cs="Arial"/>
          <w:i/>
          <w:iCs/>
          <w:sz w:val="17"/>
          <w:szCs w:val="17"/>
        </w:rPr>
        <w:t>F</w:t>
      </w:r>
      <w:r w:rsidRPr="0012478D">
        <w:rPr>
          <w:rFonts w:ascii="Arial" w:hAnsi="Arial" w:cs="Arial"/>
          <w:i/>
          <w:iCs/>
          <w:sz w:val="17"/>
          <w:szCs w:val="17"/>
        </w:rPr>
        <w:t xml:space="preserve">orks: The </w:t>
      </w:r>
      <w:r>
        <w:rPr>
          <w:rFonts w:ascii="Arial" w:hAnsi="Arial" w:cs="Arial"/>
          <w:i/>
          <w:iCs/>
          <w:sz w:val="17"/>
          <w:szCs w:val="17"/>
        </w:rPr>
        <w:t>T</w:t>
      </w:r>
      <w:r w:rsidRPr="0012478D">
        <w:rPr>
          <w:rFonts w:ascii="Arial" w:hAnsi="Arial" w:cs="Arial"/>
          <w:i/>
          <w:iCs/>
          <w:sz w:val="17"/>
          <w:szCs w:val="17"/>
        </w:rPr>
        <w:t xml:space="preserve">riple </w:t>
      </w:r>
      <w:r>
        <w:rPr>
          <w:rFonts w:ascii="Arial" w:hAnsi="Arial" w:cs="Arial"/>
          <w:i/>
          <w:iCs/>
          <w:sz w:val="17"/>
          <w:szCs w:val="17"/>
        </w:rPr>
        <w:t>B</w:t>
      </w:r>
      <w:r w:rsidRPr="0012478D">
        <w:rPr>
          <w:rFonts w:ascii="Arial" w:hAnsi="Arial" w:cs="Arial"/>
          <w:i/>
          <w:iCs/>
          <w:sz w:val="17"/>
          <w:szCs w:val="17"/>
        </w:rPr>
        <w:t xml:space="preserve">ottom </w:t>
      </w:r>
      <w:r>
        <w:rPr>
          <w:rFonts w:ascii="Arial" w:hAnsi="Arial" w:cs="Arial"/>
          <w:i/>
          <w:iCs/>
          <w:sz w:val="17"/>
          <w:szCs w:val="17"/>
        </w:rPr>
        <w:t>L</w:t>
      </w:r>
      <w:r w:rsidRPr="0012478D">
        <w:rPr>
          <w:rFonts w:ascii="Arial" w:hAnsi="Arial" w:cs="Arial"/>
          <w:i/>
          <w:iCs/>
          <w:sz w:val="17"/>
          <w:szCs w:val="17"/>
        </w:rPr>
        <w:t xml:space="preserve">ine of 21st </w:t>
      </w:r>
      <w:r>
        <w:rPr>
          <w:rFonts w:ascii="Arial" w:hAnsi="Arial" w:cs="Arial"/>
          <w:i/>
          <w:iCs/>
          <w:sz w:val="17"/>
          <w:szCs w:val="17"/>
        </w:rPr>
        <w:t>C</w:t>
      </w:r>
      <w:r w:rsidRPr="0012478D">
        <w:rPr>
          <w:rFonts w:ascii="Arial" w:hAnsi="Arial" w:cs="Arial"/>
          <w:i/>
          <w:iCs/>
          <w:sz w:val="17"/>
          <w:szCs w:val="17"/>
        </w:rPr>
        <w:t xml:space="preserve">entury </w:t>
      </w:r>
      <w:r>
        <w:rPr>
          <w:rFonts w:ascii="Arial" w:hAnsi="Arial" w:cs="Arial"/>
          <w:i/>
          <w:iCs/>
          <w:sz w:val="17"/>
          <w:szCs w:val="17"/>
        </w:rPr>
        <w:t>B</w:t>
      </w:r>
      <w:r w:rsidRPr="0012478D">
        <w:rPr>
          <w:rFonts w:ascii="Arial" w:hAnsi="Arial" w:cs="Arial"/>
          <w:i/>
          <w:iCs/>
          <w:sz w:val="17"/>
          <w:szCs w:val="17"/>
        </w:rPr>
        <w:t>usiness</w:t>
      </w:r>
      <w:r w:rsidRPr="0012478D">
        <w:rPr>
          <w:rFonts w:ascii="Arial" w:hAnsi="Arial" w:cs="Arial"/>
          <w:sz w:val="17"/>
          <w:szCs w:val="17"/>
        </w:rPr>
        <w:t xml:space="preserve"> </w:t>
      </w:r>
      <w:r>
        <w:rPr>
          <w:rFonts w:ascii="Arial" w:hAnsi="Arial" w:cs="Arial"/>
          <w:sz w:val="17"/>
          <w:szCs w:val="17"/>
        </w:rPr>
        <w:t>(</w:t>
      </w:r>
      <w:r w:rsidRPr="0012478D">
        <w:rPr>
          <w:rFonts w:ascii="Arial" w:hAnsi="Arial" w:cs="Arial"/>
          <w:sz w:val="17"/>
          <w:szCs w:val="17"/>
        </w:rPr>
        <w:t>Gabriola Island, BC: New Society Publishers</w:t>
      </w:r>
      <w:r>
        <w:rPr>
          <w:rFonts w:ascii="Arial" w:hAnsi="Arial" w:cs="Arial"/>
          <w:sz w:val="17"/>
          <w:szCs w:val="17"/>
        </w:rPr>
        <w:t>, 1998)</w:t>
      </w:r>
      <w:r w:rsidRPr="0012478D">
        <w:rPr>
          <w:rFonts w:ascii="Arial" w:hAnsi="Arial" w:cs="Arial"/>
          <w:sz w:val="17"/>
          <w:szCs w:val="17"/>
        </w:rPr>
        <w:t>.</w:t>
      </w:r>
    </w:p>
  </w:endnote>
  <w:endnote w:id="48">
    <w:p w14:paraId="0F4FB430" w14:textId="4C930CC1"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Nardia Haigh and Andrew J. Hoffman, “The New Heretics: Hybrid Organizations and the Challenges They Present to Corporate Sustainability,” </w:t>
      </w:r>
      <w:r w:rsidRPr="0012478D">
        <w:rPr>
          <w:rFonts w:ascii="Arial" w:hAnsi="Arial" w:cs="Arial"/>
          <w:i/>
          <w:iCs/>
          <w:sz w:val="17"/>
          <w:szCs w:val="17"/>
        </w:rPr>
        <w:t>Organization and Environmen</w:t>
      </w:r>
      <w:r w:rsidRPr="0012478D">
        <w:rPr>
          <w:rFonts w:ascii="Arial" w:hAnsi="Arial" w:cs="Arial"/>
          <w:sz w:val="17"/>
          <w:szCs w:val="17"/>
        </w:rPr>
        <w:t>t 27</w:t>
      </w:r>
      <w:r>
        <w:rPr>
          <w:rFonts w:ascii="Arial" w:hAnsi="Arial" w:cs="Arial"/>
          <w:sz w:val="17"/>
          <w:szCs w:val="17"/>
        </w:rPr>
        <w:t>,</w:t>
      </w:r>
      <w:r w:rsidRPr="0012478D">
        <w:rPr>
          <w:rFonts w:ascii="Arial" w:hAnsi="Arial" w:cs="Arial"/>
          <w:sz w:val="17"/>
          <w:szCs w:val="17"/>
        </w:rPr>
        <w:t xml:space="preserve"> </w:t>
      </w:r>
      <w:r>
        <w:rPr>
          <w:rFonts w:ascii="Arial" w:hAnsi="Arial" w:cs="Arial"/>
          <w:sz w:val="17"/>
          <w:szCs w:val="17"/>
        </w:rPr>
        <w:t>n</w:t>
      </w:r>
      <w:r w:rsidRPr="0012478D">
        <w:rPr>
          <w:rFonts w:ascii="Arial" w:hAnsi="Arial" w:cs="Arial"/>
          <w:sz w:val="17"/>
          <w:szCs w:val="17"/>
        </w:rPr>
        <w:t>o. 3</w:t>
      </w:r>
      <w:r>
        <w:rPr>
          <w:rFonts w:ascii="Arial" w:hAnsi="Arial" w:cs="Arial"/>
          <w:sz w:val="17"/>
          <w:szCs w:val="17"/>
        </w:rPr>
        <w:t xml:space="preserve"> (</w:t>
      </w:r>
      <w:r w:rsidRPr="0012478D">
        <w:rPr>
          <w:rFonts w:ascii="Arial" w:hAnsi="Arial" w:cs="Arial"/>
          <w:sz w:val="17"/>
          <w:szCs w:val="17"/>
        </w:rPr>
        <w:t>2014</w:t>
      </w:r>
      <w:r>
        <w:rPr>
          <w:rFonts w:ascii="Arial" w:hAnsi="Arial" w:cs="Arial"/>
          <w:sz w:val="17"/>
          <w:szCs w:val="17"/>
        </w:rPr>
        <w:t>):</w:t>
      </w:r>
      <w:r w:rsidRPr="0012478D">
        <w:rPr>
          <w:rFonts w:ascii="Arial" w:hAnsi="Arial" w:cs="Arial"/>
          <w:sz w:val="17"/>
          <w:szCs w:val="17"/>
        </w:rPr>
        <w:t xml:space="preserve"> 223</w:t>
      </w:r>
      <w:r>
        <w:rPr>
          <w:rFonts w:ascii="Arial" w:hAnsi="Arial" w:cs="Arial"/>
          <w:sz w:val="17"/>
          <w:szCs w:val="17"/>
        </w:rPr>
        <w:t>–</w:t>
      </w:r>
      <w:r w:rsidRPr="0012478D">
        <w:rPr>
          <w:rFonts w:ascii="Arial" w:hAnsi="Arial" w:cs="Arial"/>
          <w:sz w:val="17"/>
          <w:szCs w:val="17"/>
        </w:rPr>
        <w:t xml:space="preserve">241. </w:t>
      </w:r>
    </w:p>
  </w:endnote>
  <w:endnote w:id="49">
    <w:p w14:paraId="7FC03FC5" w14:textId="23F9F419"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Ibid. </w:t>
      </w:r>
    </w:p>
  </w:endnote>
  <w:endnote w:id="50">
    <w:p w14:paraId="1B3E74B9" w14:textId="77777777" w:rsidR="00F774DC" w:rsidRPr="00213191" w:rsidRDefault="00F774DC" w:rsidP="00F774DC">
      <w:pPr>
        <w:pStyle w:val="Footnote"/>
        <w:jc w:val="both"/>
        <w:rPr>
          <w:rFonts w:ascii="Arial" w:hAnsi="Arial" w:cs="Arial"/>
          <w:bCs/>
          <w:sz w:val="17"/>
          <w:szCs w:val="17"/>
          <w:vertAlign w:val="superscript"/>
        </w:rPr>
      </w:pPr>
      <w:r w:rsidRPr="00213191">
        <w:rPr>
          <w:rFonts w:ascii="Arial" w:hAnsi="Arial" w:cs="Arial"/>
          <w:bCs/>
          <w:sz w:val="17"/>
          <w:szCs w:val="17"/>
          <w:vertAlign w:val="superscript"/>
        </w:rPr>
        <w:endnoteRef/>
      </w:r>
      <w:r w:rsidRPr="00213191">
        <w:rPr>
          <w:rFonts w:ascii="Arial" w:hAnsi="Arial" w:cs="Arial"/>
          <w:bCs/>
          <w:sz w:val="17"/>
          <w:szCs w:val="17"/>
        </w:rPr>
        <w:t xml:space="preserve"> </w:t>
      </w:r>
      <w:r w:rsidRPr="0012478D">
        <w:rPr>
          <w:rFonts w:ascii="Arial" w:hAnsi="Arial" w:cs="Arial"/>
          <w:bCs/>
          <w:sz w:val="17"/>
          <w:szCs w:val="17"/>
        </w:rPr>
        <w:t>Suzanne Benn, Dexter Dunphy</w:t>
      </w:r>
      <w:r>
        <w:rPr>
          <w:rFonts w:ascii="Arial" w:hAnsi="Arial" w:cs="Arial"/>
          <w:bCs/>
          <w:sz w:val="17"/>
          <w:szCs w:val="17"/>
        </w:rPr>
        <w:t>,</w:t>
      </w:r>
      <w:r w:rsidRPr="0012478D">
        <w:rPr>
          <w:rFonts w:ascii="Arial" w:hAnsi="Arial" w:cs="Arial"/>
          <w:bCs/>
          <w:sz w:val="17"/>
          <w:szCs w:val="17"/>
        </w:rPr>
        <w:t xml:space="preserve"> and Andrew Griffiths, </w:t>
      </w:r>
      <w:r w:rsidRPr="0012478D">
        <w:rPr>
          <w:rFonts w:ascii="Arial" w:hAnsi="Arial" w:cs="Arial"/>
          <w:bCs/>
          <w:i/>
          <w:iCs/>
          <w:sz w:val="17"/>
          <w:szCs w:val="17"/>
        </w:rPr>
        <w:t>Organizational Change for Corporate Sustainability</w:t>
      </w:r>
      <w:r w:rsidRPr="0012478D">
        <w:rPr>
          <w:rFonts w:ascii="Arial" w:hAnsi="Arial" w:cs="Arial"/>
          <w:bCs/>
          <w:sz w:val="17"/>
          <w:szCs w:val="17"/>
        </w:rPr>
        <w:t>, 3rd ed. (London, UK: Routledge, 2014), 3–33</w:t>
      </w:r>
      <w:r w:rsidRPr="0012478D">
        <w:rPr>
          <w:rFonts w:ascii="Arial" w:hAnsi="Arial" w:cs="Arial"/>
          <w:sz w:val="17"/>
          <w:szCs w:val="17"/>
        </w:rPr>
        <w:t>.</w:t>
      </w:r>
    </w:p>
  </w:endnote>
  <w:endnote w:id="51">
    <w:p w14:paraId="0D5B5A76" w14:textId="061D373C"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Pr>
          <w:rFonts w:ascii="Arial" w:hAnsi="Arial" w:cs="Arial"/>
          <w:sz w:val="17"/>
          <w:szCs w:val="17"/>
        </w:rPr>
        <w:t>Ibid.</w:t>
      </w:r>
    </w:p>
  </w:endnote>
  <w:endnote w:id="52">
    <w:p w14:paraId="051DAB32" w14:textId="77777777" w:rsidR="00005E17" w:rsidRPr="0012478D" w:rsidRDefault="00005E17" w:rsidP="00067652">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Style w:val="Hyperlink"/>
          <w:rFonts w:ascii="Arial" w:hAnsi="Arial" w:cs="Arial"/>
          <w:color w:val="auto"/>
          <w:sz w:val="17"/>
          <w:szCs w:val="17"/>
          <w:u w:val="none"/>
        </w:rPr>
        <w:t xml:space="preserve"> </w:t>
      </w:r>
      <w:r>
        <w:rPr>
          <w:rStyle w:val="Hyperlink"/>
          <w:rFonts w:ascii="Arial" w:hAnsi="Arial" w:cs="Arial"/>
          <w:color w:val="auto"/>
          <w:sz w:val="17"/>
          <w:szCs w:val="17"/>
          <w:u w:val="none"/>
        </w:rPr>
        <w:t>Petals Bath &amp; Body</w:t>
      </w:r>
      <w:r w:rsidRPr="0012478D">
        <w:rPr>
          <w:rFonts w:ascii="Arial" w:hAnsi="Arial" w:cs="Arial"/>
          <w:sz w:val="17"/>
          <w:szCs w:val="17"/>
        </w:rPr>
        <w:t xml:space="preserve">, </w:t>
      </w:r>
      <w:r>
        <w:rPr>
          <w:rStyle w:val="Hyperlink"/>
          <w:rFonts w:ascii="Arial" w:hAnsi="Arial" w:cs="Arial"/>
          <w:color w:val="auto"/>
          <w:sz w:val="17"/>
          <w:szCs w:val="17"/>
          <w:u w:val="none"/>
        </w:rPr>
        <w:t>“</w:t>
      </w:r>
      <w:r w:rsidRPr="003E6BBB">
        <w:rPr>
          <w:rStyle w:val="Hyperlink"/>
          <w:rFonts w:ascii="Arial" w:hAnsi="Arial" w:cs="Arial"/>
          <w:color w:val="auto"/>
          <w:sz w:val="17"/>
          <w:szCs w:val="17"/>
          <w:u w:val="none"/>
        </w:rPr>
        <w:t>Our Heritage</w:t>
      </w:r>
      <w:r>
        <w:rPr>
          <w:rStyle w:val="Hyperlink"/>
          <w:rFonts w:ascii="Arial" w:hAnsi="Arial" w:cs="Arial"/>
          <w:color w:val="auto"/>
          <w:sz w:val="17"/>
          <w:szCs w:val="17"/>
          <w:u w:val="none"/>
        </w:rPr>
        <w:t xml:space="preserve">: </w:t>
      </w:r>
      <w:r w:rsidRPr="003E6BBB">
        <w:rPr>
          <w:rStyle w:val="Hyperlink"/>
          <w:rFonts w:ascii="Arial" w:hAnsi="Arial" w:cs="Arial"/>
          <w:color w:val="auto"/>
          <w:sz w:val="17"/>
          <w:szCs w:val="17"/>
          <w:u w:val="none"/>
        </w:rPr>
        <w:t>E.S.</w:t>
      </w:r>
      <w:r>
        <w:rPr>
          <w:rStyle w:val="Hyperlink"/>
          <w:rFonts w:ascii="Arial" w:hAnsi="Arial" w:cs="Arial"/>
          <w:color w:val="auto"/>
          <w:sz w:val="17"/>
          <w:szCs w:val="17"/>
          <w:u w:val="none"/>
        </w:rPr>
        <w:t xml:space="preserve"> </w:t>
      </w:r>
      <w:r w:rsidRPr="003E6BBB">
        <w:rPr>
          <w:rStyle w:val="Hyperlink"/>
          <w:rFonts w:ascii="Arial" w:hAnsi="Arial" w:cs="Arial"/>
          <w:color w:val="auto"/>
          <w:sz w:val="17"/>
          <w:szCs w:val="17"/>
          <w:u w:val="none"/>
        </w:rPr>
        <w:t xml:space="preserve">Patanwala </w:t>
      </w:r>
      <w:r>
        <w:rPr>
          <w:rStyle w:val="Hyperlink"/>
          <w:rFonts w:ascii="Arial" w:hAnsi="Arial" w:cs="Arial"/>
          <w:color w:val="auto"/>
          <w:sz w:val="17"/>
          <w:szCs w:val="17"/>
          <w:u w:val="none"/>
        </w:rPr>
        <w:t>I</w:t>
      </w:r>
      <w:r w:rsidRPr="003E6BBB">
        <w:rPr>
          <w:rStyle w:val="Hyperlink"/>
          <w:rFonts w:ascii="Arial" w:hAnsi="Arial" w:cs="Arial"/>
          <w:color w:val="auto"/>
          <w:sz w:val="17"/>
          <w:szCs w:val="17"/>
          <w:u w:val="none"/>
        </w:rPr>
        <w:t xml:space="preserve">s a </w:t>
      </w:r>
      <w:r>
        <w:rPr>
          <w:rStyle w:val="Hyperlink"/>
          <w:rFonts w:ascii="Arial" w:hAnsi="Arial" w:cs="Arial"/>
          <w:color w:val="auto"/>
          <w:sz w:val="17"/>
          <w:szCs w:val="17"/>
          <w:u w:val="none"/>
        </w:rPr>
        <w:t>P</w:t>
      </w:r>
      <w:r w:rsidRPr="003E6BBB">
        <w:rPr>
          <w:rStyle w:val="Hyperlink"/>
          <w:rFonts w:ascii="Arial" w:hAnsi="Arial" w:cs="Arial"/>
          <w:color w:val="auto"/>
          <w:sz w:val="17"/>
          <w:szCs w:val="17"/>
          <w:u w:val="none"/>
        </w:rPr>
        <w:t xml:space="preserve">ioneering </w:t>
      </w:r>
      <w:r>
        <w:rPr>
          <w:rStyle w:val="Hyperlink"/>
          <w:rFonts w:ascii="Arial" w:hAnsi="Arial" w:cs="Arial"/>
          <w:color w:val="auto"/>
          <w:sz w:val="17"/>
          <w:szCs w:val="17"/>
          <w:u w:val="none"/>
        </w:rPr>
        <w:t>N</w:t>
      </w:r>
      <w:r w:rsidRPr="003E6BBB">
        <w:rPr>
          <w:rStyle w:val="Hyperlink"/>
          <w:rFonts w:ascii="Arial" w:hAnsi="Arial" w:cs="Arial"/>
          <w:color w:val="auto"/>
          <w:sz w:val="17"/>
          <w:szCs w:val="17"/>
          <w:u w:val="none"/>
        </w:rPr>
        <w:t xml:space="preserve">ame in </w:t>
      </w:r>
      <w:r>
        <w:rPr>
          <w:rStyle w:val="Hyperlink"/>
          <w:rFonts w:ascii="Arial" w:hAnsi="Arial" w:cs="Arial"/>
          <w:color w:val="auto"/>
          <w:sz w:val="17"/>
          <w:szCs w:val="17"/>
          <w:u w:val="none"/>
        </w:rPr>
        <w:t>S</w:t>
      </w:r>
      <w:r w:rsidRPr="003E6BBB">
        <w:rPr>
          <w:rStyle w:val="Hyperlink"/>
          <w:rFonts w:ascii="Arial" w:hAnsi="Arial" w:cs="Arial"/>
          <w:color w:val="auto"/>
          <w:sz w:val="17"/>
          <w:szCs w:val="17"/>
          <w:u w:val="none"/>
        </w:rPr>
        <w:t xml:space="preserve">kin </w:t>
      </w:r>
      <w:r>
        <w:rPr>
          <w:rStyle w:val="Hyperlink"/>
          <w:rFonts w:ascii="Arial" w:hAnsi="Arial" w:cs="Arial"/>
          <w:color w:val="auto"/>
          <w:sz w:val="17"/>
          <w:szCs w:val="17"/>
          <w:u w:val="none"/>
        </w:rPr>
        <w:t>C</w:t>
      </w:r>
      <w:r w:rsidRPr="003E6BBB">
        <w:rPr>
          <w:rStyle w:val="Hyperlink"/>
          <w:rFonts w:ascii="Arial" w:hAnsi="Arial" w:cs="Arial"/>
          <w:color w:val="auto"/>
          <w:sz w:val="17"/>
          <w:szCs w:val="17"/>
          <w:u w:val="none"/>
        </w:rPr>
        <w:t xml:space="preserve">are </w:t>
      </w:r>
      <w:r>
        <w:rPr>
          <w:rStyle w:val="Hyperlink"/>
          <w:rFonts w:ascii="Arial" w:hAnsi="Arial" w:cs="Arial"/>
          <w:color w:val="auto"/>
          <w:sz w:val="17"/>
          <w:szCs w:val="17"/>
          <w:u w:val="none"/>
        </w:rPr>
        <w:t>P</w:t>
      </w:r>
      <w:r w:rsidRPr="003E6BBB">
        <w:rPr>
          <w:rStyle w:val="Hyperlink"/>
          <w:rFonts w:ascii="Arial" w:hAnsi="Arial" w:cs="Arial"/>
          <w:color w:val="auto"/>
          <w:sz w:val="17"/>
          <w:szCs w:val="17"/>
          <w:u w:val="none"/>
        </w:rPr>
        <w:t xml:space="preserve">roducts </w:t>
      </w:r>
      <w:r>
        <w:rPr>
          <w:rStyle w:val="Hyperlink"/>
          <w:rFonts w:ascii="Arial" w:hAnsi="Arial" w:cs="Arial"/>
          <w:color w:val="auto"/>
          <w:sz w:val="17"/>
          <w:szCs w:val="17"/>
          <w:u w:val="none"/>
        </w:rPr>
        <w:t>S</w:t>
      </w:r>
      <w:r w:rsidRPr="003E6BBB">
        <w:rPr>
          <w:rStyle w:val="Hyperlink"/>
          <w:rFonts w:ascii="Arial" w:hAnsi="Arial" w:cs="Arial"/>
          <w:color w:val="auto"/>
          <w:sz w:val="17"/>
          <w:szCs w:val="17"/>
          <w:u w:val="none"/>
        </w:rPr>
        <w:t xml:space="preserve">ince 1909 and </w:t>
      </w:r>
      <w:r>
        <w:rPr>
          <w:rStyle w:val="Hyperlink"/>
          <w:rFonts w:ascii="Arial" w:hAnsi="Arial" w:cs="Arial"/>
          <w:color w:val="auto"/>
          <w:sz w:val="17"/>
          <w:szCs w:val="17"/>
          <w:u w:val="none"/>
        </w:rPr>
        <w:t>I</w:t>
      </w:r>
      <w:r w:rsidRPr="003E6BBB">
        <w:rPr>
          <w:rStyle w:val="Hyperlink"/>
          <w:rFonts w:ascii="Arial" w:hAnsi="Arial" w:cs="Arial"/>
          <w:color w:val="auto"/>
          <w:sz w:val="17"/>
          <w:szCs w:val="17"/>
          <w:u w:val="none"/>
        </w:rPr>
        <w:t xml:space="preserve">s a </w:t>
      </w:r>
      <w:r>
        <w:rPr>
          <w:rStyle w:val="Hyperlink"/>
          <w:rFonts w:ascii="Arial" w:hAnsi="Arial" w:cs="Arial"/>
          <w:color w:val="auto"/>
          <w:sz w:val="17"/>
          <w:szCs w:val="17"/>
          <w:u w:val="none"/>
        </w:rPr>
        <w:t>M</w:t>
      </w:r>
      <w:r w:rsidRPr="003E6BBB">
        <w:rPr>
          <w:rStyle w:val="Hyperlink"/>
          <w:rFonts w:ascii="Arial" w:hAnsi="Arial" w:cs="Arial"/>
          <w:color w:val="auto"/>
          <w:sz w:val="17"/>
          <w:szCs w:val="17"/>
          <w:u w:val="none"/>
        </w:rPr>
        <w:t xml:space="preserve">ark of </w:t>
      </w:r>
      <w:r>
        <w:rPr>
          <w:rStyle w:val="Hyperlink"/>
          <w:rFonts w:ascii="Arial" w:hAnsi="Arial" w:cs="Arial"/>
          <w:color w:val="auto"/>
          <w:sz w:val="17"/>
          <w:szCs w:val="17"/>
          <w:u w:val="none"/>
        </w:rPr>
        <w:t>E</w:t>
      </w:r>
      <w:r w:rsidRPr="003E6BBB">
        <w:rPr>
          <w:rStyle w:val="Hyperlink"/>
          <w:rFonts w:ascii="Arial" w:hAnsi="Arial" w:cs="Arial"/>
          <w:color w:val="auto"/>
          <w:sz w:val="17"/>
          <w:szCs w:val="17"/>
          <w:u w:val="none"/>
        </w:rPr>
        <w:t>xcellence</w:t>
      </w:r>
      <w:r>
        <w:rPr>
          <w:rStyle w:val="Hyperlink"/>
          <w:rFonts w:ascii="Arial" w:hAnsi="Arial" w:cs="Arial"/>
          <w:color w:val="auto"/>
          <w:sz w:val="17"/>
          <w:szCs w:val="17"/>
          <w:u w:val="none"/>
        </w:rPr>
        <w:t>,” Petals Bath &amp; Body</w:t>
      </w:r>
      <w:r w:rsidRPr="0012478D">
        <w:rPr>
          <w:rFonts w:ascii="Arial" w:hAnsi="Arial" w:cs="Arial"/>
          <w:sz w:val="17"/>
          <w:szCs w:val="17"/>
        </w:rPr>
        <w:t>, accessed July 14, 2020</w:t>
      </w:r>
      <w:r>
        <w:rPr>
          <w:rFonts w:ascii="Arial" w:hAnsi="Arial" w:cs="Arial"/>
          <w:sz w:val="17"/>
          <w:szCs w:val="17"/>
        </w:rPr>
        <w:t xml:space="preserve">, </w:t>
      </w:r>
      <w:r w:rsidRPr="0012478D">
        <w:rPr>
          <w:rStyle w:val="Hyperlink"/>
          <w:rFonts w:ascii="Arial" w:hAnsi="Arial" w:cs="Arial"/>
          <w:color w:val="auto"/>
          <w:sz w:val="17"/>
          <w:szCs w:val="17"/>
          <w:u w:val="none"/>
        </w:rPr>
        <w:t>www.petalsesp.com/about/heritage.aspx</w:t>
      </w:r>
      <w:r w:rsidRPr="0012478D">
        <w:rPr>
          <w:rFonts w:ascii="Arial" w:hAnsi="Arial" w:cs="Arial"/>
          <w:sz w:val="17"/>
          <w:szCs w:val="17"/>
        </w:rPr>
        <w:t>.</w:t>
      </w:r>
    </w:p>
  </w:endnote>
  <w:endnote w:id="53">
    <w:p w14:paraId="0C653F70" w14:textId="29DCB51E"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bookmarkStart w:id="10" w:name="_Hlk56357521"/>
      <w:r>
        <w:rPr>
          <w:rFonts w:ascii="Arial" w:hAnsi="Arial" w:cs="Arial"/>
          <w:sz w:val="17"/>
          <w:szCs w:val="17"/>
        </w:rPr>
        <w:t>ANI, “</w:t>
      </w:r>
      <w:r w:rsidRPr="003E6BBB">
        <w:rPr>
          <w:rFonts w:ascii="Arial" w:hAnsi="Arial" w:cs="Arial"/>
          <w:sz w:val="17"/>
          <w:szCs w:val="17"/>
        </w:rPr>
        <w:t xml:space="preserve">Herbal </w:t>
      </w:r>
      <w:r>
        <w:rPr>
          <w:rFonts w:ascii="Arial" w:hAnsi="Arial" w:cs="Arial"/>
          <w:sz w:val="17"/>
          <w:szCs w:val="17"/>
        </w:rPr>
        <w:t>H</w:t>
      </w:r>
      <w:r w:rsidRPr="003E6BBB">
        <w:rPr>
          <w:rFonts w:ascii="Arial" w:hAnsi="Arial" w:cs="Arial"/>
          <w:sz w:val="17"/>
          <w:szCs w:val="17"/>
        </w:rPr>
        <w:t xml:space="preserve">air </w:t>
      </w:r>
      <w:r>
        <w:rPr>
          <w:rFonts w:ascii="Arial" w:hAnsi="Arial" w:cs="Arial"/>
          <w:sz w:val="17"/>
          <w:szCs w:val="17"/>
        </w:rPr>
        <w:t>D</w:t>
      </w:r>
      <w:r w:rsidRPr="003E6BBB">
        <w:rPr>
          <w:rFonts w:ascii="Arial" w:hAnsi="Arial" w:cs="Arial"/>
          <w:sz w:val="17"/>
          <w:szCs w:val="17"/>
        </w:rPr>
        <w:t xml:space="preserve">yes, </w:t>
      </w:r>
      <w:r>
        <w:rPr>
          <w:rFonts w:ascii="Arial" w:hAnsi="Arial" w:cs="Arial"/>
          <w:sz w:val="17"/>
          <w:szCs w:val="17"/>
        </w:rPr>
        <w:t>C</w:t>
      </w:r>
      <w:r w:rsidRPr="003E6BBB">
        <w:rPr>
          <w:rFonts w:ascii="Arial" w:hAnsi="Arial" w:cs="Arial"/>
          <w:sz w:val="17"/>
          <w:szCs w:val="17"/>
        </w:rPr>
        <w:t xml:space="preserve">osmetic </w:t>
      </w:r>
      <w:r>
        <w:rPr>
          <w:rFonts w:ascii="Arial" w:hAnsi="Arial" w:cs="Arial"/>
          <w:sz w:val="17"/>
          <w:szCs w:val="17"/>
        </w:rPr>
        <w:t>P</w:t>
      </w:r>
      <w:r w:rsidRPr="003E6BBB">
        <w:rPr>
          <w:rFonts w:ascii="Arial" w:hAnsi="Arial" w:cs="Arial"/>
          <w:sz w:val="17"/>
          <w:szCs w:val="17"/>
        </w:rPr>
        <w:t xml:space="preserve">roducts </w:t>
      </w:r>
      <w:r>
        <w:rPr>
          <w:rFonts w:ascii="Arial" w:hAnsi="Arial" w:cs="Arial"/>
          <w:sz w:val="17"/>
          <w:szCs w:val="17"/>
        </w:rPr>
        <w:t>H</w:t>
      </w:r>
      <w:r w:rsidRPr="003E6BBB">
        <w:rPr>
          <w:rFonts w:ascii="Arial" w:hAnsi="Arial" w:cs="Arial"/>
          <w:sz w:val="17"/>
          <w:szCs w:val="17"/>
        </w:rPr>
        <w:t xml:space="preserve">armful to </w:t>
      </w:r>
      <w:r>
        <w:rPr>
          <w:rFonts w:ascii="Arial" w:hAnsi="Arial" w:cs="Arial"/>
          <w:sz w:val="17"/>
          <w:szCs w:val="17"/>
        </w:rPr>
        <w:t>S</w:t>
      </w:r>
      <w:r w:rsidRPr="003E6BBB">
        <w:rPr>
          <w:rFonts w:ascii="Arial" w:hAnsi="Arial" w:cs="Arial"/>
          <w:sz w:val="17"/>
          <w:szCs w:val="17"/>
        </w:rPr>
        <w:t>kin: AIIMS Delhi</w:t>
      </w:r>
      <w:r>
        <w:rPr>
          <w:rFonts w:ascii="Arial" w:hAnsi="Arial" w:cs="Arial"/>
          <w:sz w:val="17"/>
          <w:szCs w:val="17"/>
        </w:rPr>
        <w:t xml:space="preserve">,” </w:t>
      </w:r>
      <w:r w:rsidRPr="003E6BBB">
        <w:rPr>
          <w:rFonts w:ascii="Arial" w:hAnsi="Arial" w:cs="Arial"/>
          <w:i/>
          <w:sz w:val="17"/>
          <w:szCs w:val="17"/>
        </w:rPr>
        <w:t>Economic Times</w:t>
      </w:r>
      <w:r>
        <w:rPr>
          <w:rFonts w:ascii="Arial" w:hAnsi="Arial" w:cs="Arial"/>
          <w:sz w:val="17"/>
          <w:szCs w:val="17"/>
        </w:rPr>
        <w:t xml:space="preserve">, September 1, 2019, </w:t>
      </w:r>
      <w:bookmarkEnd w:id="10"/>
      <w:r w:rsidRPr="0012478D">
        <w:rPr>
          <w:rStyle w:val="Hyperlink"/>
          <w:rFonts w:ascii="Arial" w:hAnsi="Arial" w:cs="Arial"/>
          <w:color w:val="auto"/>
          <w:sz w:val="17"/>
          <w:szCs w:val="17"/>
          <w:u w:val="none"/>
        </w:rPr>
        <w:t>https://health.economictimes.indiatimes.com/news/diagnostics/herbal-hair-dyes-cosmetic-products-harmful-to-skin-aiims-delhi/70932113</w:t>
      </w:r>
      <w:r w:rsidRPr="0012478D">
        <w:rPr>
          <w:rFonts w:ascii="Arial" w:hAnsi="Arial" w:cs="Arial"/>
          <w:sz w:val="17"/>
          <w:szCs w:val="17"/>
        </w:rPr>
        <w:t xml:space="preserve">; Ashish Roy, “Fairness </w:t>
      </w:r>
      <w:r>
        <w:rPr>
          <w:rFonts w:ascii="Arial" w:hAnsi="Arial" w:cs="Arial"/>
          <w:sz w:val="17"/>
          <w:szCs w:val="17"/>
        </w:rPr>
        <w:t>C</w:t>
      </w:r>
      <w:r w:rsidRPr="0012478D">
        <w:rPr>
          <w:rFonts w:ascii="Arial" w:hAnsi="Arial" w:cs="Arial"/>
          <w:sz w:val="17"/>
          <w:szCs w:val="17"/>
        </w:rPr>
        <w:t xml:space="preserve">reams: Risks of </w:t>
      </w:r>
      <w:r>
        <w:rPr>
          <w:rFonts w:ascii="Arial" w:hAnsi="Arial" w:cs="Arial"/>
          <w:sz w:val="17"/>
          <w:szCs w:val="17"/>
        </w:rPr>
        <w:t>S</w:t>
      </w:r>
      <w:r w:rsidRPr="0012478D">
        <w:rPr>
          <w:rFonts w:ascii="Arial" w:hAnsi="Arial" w:cs="Arial"/>
          <w:sz w:val="17"/>
          <w:szCs w:val="17"/>
        </w:rPr>
        <w:t xml:space="preserve">kin </w:t>
      </w:r>
      <w:r>
        <w:rPr>
          <w:rFonts w:ascii="Arial" w:hAnsi="Arial" w:cs="Arial"/>
          <w:sz w:val="17"/>
          <w:szCs w:val="17"/>
        </w:rPr>
        <w:t>W</w:t>
      </w:r>
      <w:r w:rsidRPr="0012478D">
        <w:rPr>
          <w:rFonts w:ascii="Arial" w:hAnsi="Arial" w:cs="Arial"/>
          <w:sz w:val="17"/>
          <w:szCs w:val="17"/>
        </w:rPr>
        <w:t xml:space="preserve">hitening and </w:t>
      </w:r>
      <w:r>
        <w:rPr>
          <w:rFonts w:ascii="Arial" w:hAnsi="Arial" w:cs="Arial"/>
          <w:sz w:val="17"/>
          <w:szCs w:val="17"/>
        </w:rPr>
        <w:t>I</w:t>
      </w:r>
      <w:r w:rsidRPr="0012478D">
        <w:rPr>
          <w:rFonts w:ascii="Arial" w:hAnsi="Arial" w:cs="Arial"/>
          <w:sz w:val="17"/>
          <w:szCs w:val="17"/>
        </w:rPr>
        <w:t xml:space="preserve">ts </w:t>
      </w:r>
      <w:r>
        <w:rPr>
          <w:rFonts w:ascii="Arial" w:hAnsi="Arial" w:cs="Arial"/>
          <w:sz w:val="17"/>
          <w:szCs w:val="17"/>
        </w:rPr>
        <w:t>P</w:t>
      </w:r>
      <w:r w:rsidRPr="0012478D">
        <w:rPr>
          <w:rFonts w:ascii="Arial" w:hAnsi="Arial" w:cs="Arial"/>
          <w:sz w:val="17"/>
          <w:szCs w:val="17"/>
        </w:rPr>
        <w:t xml:space="preserve">ropaganda,” </w:t>
      </w:r>
      <w:r w:rsidRPr="000808E7">
        <w:rPr>
          <w:rFonts w:ascii="Arial" w:hAnsi="Arial" w:cs="Arial"/>
          <w:iCs/>
          <w:sz w:val="17"/>
          <w:szCs w:val="17"/>
        </w:rPr>
        <w:t>Medlife</w:t>
      </w:r>
      <w:r w:rsidRPr="0012478D">
        <w:rPr>
          <w:rFonts w:ascii="Arial" w:hAnsi="Arial" w:cs="Arial"/>
          <w:sz w:val="17"/>
          <w:szCs w:val="17"/>
        </w:rPr>
        <w:t>, October 22, 2018, accessed July 15, 2020, www.medlife.com/blog/fairness-creams-risk-skin-whitening-propaganda.</w:t>
      </w:r>
    </w:p>
  </w:endnote>
  <w:endnote w:id="54">
    <w:p w14:paraId="233F58B9" w14:textId="58F240E4"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World Health Organization, “Mercury in Skin-Lightening Products,” op</w:t>
      </w:r>
      <w:r>
        <w:rPr>
          <w:rFonts w:ascii="Arial" w:hAnsi="Arial" w:cs="Arial"/>
          <w:sz w:val="17"/>
          <w:szCs w:val="17"/>
        </w:rPr>
        <w:t>.</w:t>
      </w:r>
      <w:r w:rsidRPr="0012478D">
        <w:rPr>
          <w:rFonts w:ascii="Arial" w:hAnsi="Arial" w:cs="Arial"/>
          <w:sz w:val="17"/>
          <w:szCs w:val="17"/>
        </w:rPr>
        <w:t xml:space="preserve"> cit. </w:t>
      </w:r>
    </w:p>
  </w:endnote>
  <w:endnote w:id="55">
    <w:p w14:paraId="503B6B0D" w14:textId="68F3B49D"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bookmarkStart w:id="11" w:name="_Hlk56356687"/>
      <w:r w:rsidRPr="0012478D">
        <w:rPr>
          <w:rFonts w:ascii="Arial" w:hAnsi="Arial" w:cs="Arial"/>
          <w:sz w:val="17"/>
          <w:szCs w:val="17"/>
        </w:rPr>
        <w:t>W</w:t>
      </w:r>
      <w:r w:rsidRPr="0012478D">
        <w:rPr>
          <w:rStyle w:val="Hyperlink"/>
          <w:rFonts w:ascii="Arial" w:hAnsi="Arial" w:cs="Arial"/>
          <w:color w:val="auto"/>
          <w:sz w:val="17"/>
          <w:szCs w:val="17"/>
          <w:u w:val="none"/>
        </w:rPr>
        <w:t>alkThroughIndia</w:t>
      </w:r>
      <w:r w:rsidRPr="0012478D">
        <w:rPr>
          <w:rFonts w:ascii="Arial" w:hAnsi="Arial" w:cs="Arial"/>
          <w:sz w:val="17"/>
          <w:szCs w:val="17"/>
        </w:rPr>
        <w:t>, “Top 12 Brands of Fairness Cream for Indian Women,” W</w:t>
      </w:r>
      <w:r w:rsidRPr="0012478D">
        <w:rPr>
          <w:rStyle w:val="Hyperlink"/>
          <w:rFonts w:ascii="Arial" w:hAnsi="Arial" w:cs="Arial"/>
          <w:color w:val="auto"/>
          <w:sz w:val="17"/>
          <w:szCs w:val="17"/>
          <w:u w:val="none"/>
        </w:rPr>
        <w:t>alkThroughIndia</w:t>
      </w:r>
      <w:r w:rsidRPr="0012478D">
        <w:rPr>
          <w:rFonts w:ascii="Arial" w:hAnsi="Arial" w:cs="Arial"/>
          <w:sz w:val="17"/>
          <w:szCs w:val="17"/>
        </w:rPr>
        <w:t xml:space="preserve">, </w:t>
      </w:r>
      <w:bookmarkEnd w:id="11"/>
      <w:r w:rsidRPr="0012478D">
        <w:rPr>
          <w:rFonts w:ascii="Arial" w:hAnsi="Arial" w:cs="Arial"/>
          <w:sz w:val="17"/>
          <w:szCs w:val="17"/>
        </w:rPr>
        <w:t xml:space="preserve">accessed July 14, 2020, </w:t>
      </w:r>
      <w:r w:rsidRPr="0012478D">
        <w:rPr>
          <w:rStyle w:val="Hyperlink"/>
          <w:rFonts w:ascii="Arial" w:hAnsi="Arial" w:cs="Arial"/>
          <w:color w:val="auto"/>
          <w:sz w:val="17"/>
          <w:szCs w:val="17"/>
          <w:u w:val="none"/>
        </w:rPr>
        <w:t>www.walkthroughindia.com/shecorner/top-12-brands-of-fairness-cream-for-indian-women</w:t>
      </w:r>
      <w:r w:rsidRPr="0012478D">
        <w:rPr>
          <w:rFonts w:ascii="Arial" w:hAnsi="Arial" w:cs="Arial"/>
          <w:sz w:val="17"/>
          <w:szCs w:val="17"/>
        </w:rPr>
        <w:t>.</w:t>
      </w:r>
    </w:p>
  </w:endnote>
  <w:endnote w:id="56">
    <w:p w14:paraId="1286B442" w14:textId="53249943"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Shuchi Bansal and Suneera Tandon, “The </w:t>
      </w:r>
      <w:r>
        <w:rPr>
          <w:rFonts w:ascii="Arial" w:hAnsi="Arial" w:cs="Arial"/>
          <w:sz w:val="17"/>
          <w:szCs w:val="17"/>
        </w:rPr>
        <w:t>B</w:t>
      </w:r>
      <w:r w:rsidRPr="0012478D">
        <w:rPr>
          <w:rFonts w:ascii="Arial" w:hAnsi="Arial" w:cs="Arial"/>
          <w:sz w:val="17"/>
          <w:szCs w:val="17"/>
        </w:rPr>
        <w:t xml:space="preserve">ig </w:t>
      </w:r>
      <w:r>
        <w:rPr>
          <w:rFonts w:ascii="Arial" w:hAnsi="Arial" w:cs="Arial"/>
          <w:sz w:val="17"/>
          <w:szCs w:val="17"/>
        </w:rPr>
        <w:t>D</w:t>
      </w:r>
      <w:r w:rsidRPr="0012478D">
        <w:rPr>
          <w:rFonts w:ascii="Arial" w:hAnsi="Arial" w:cs="Arial"/>
          <w:sz w:val="17"/>
          <w:szCs w:val="17"/>
        </w:rPr>
        <w:t xml:space="preserve">isruption for the </w:t>
      </w:r>
      <w:r>
        <w:rPr>
          <w:rFonts w:ascii="Arial" w:hAnsi="Arial" w:cs="Arial"/>
          <w:sz w:val="17"/>
          <w:szCs w:val="17"/>
        </w:rPr>
        <w:t>C</w:t>
      </w:r>
      <w:r w:rsidRPr="0012478D">
        <w:rPr>
          <w:rFonts w:ascii="Arial" w:hAnsi="Arial" w:cs="Arial"/>
          <w:sz w:val="17"/>
          <w:szCs w:val="17"/>
        </w:rPr>
        <w:t xml:space="preserve">ream of </w:t>
      </w:r>
      <w:r>
        <w:rPr>
          <w:rFonts w:ascii="Arial" w:hAnsi="Arial" w:cs="Arial"/>
          <w:sz w:val="17"/>
          <w:szCs w:val="17"/>
        </w:rPr>
        <w:t>C</w:t>
      </w:r>
      <w:r w:rsidRPr="0012478D">
        <w:rPr>
          <w:rFonts w:ascii="Arial" w:hAnsi="Arial" w:cs="Arial"/>
          <w:sz w:val="17"/>
          <w:szCs w:val="17"/>
        </w:rPr>
        <w:t xml:space="preserve">reams,” </w:t>
      </w:r>
      <w:r>
        <w:rPr>
          <w:rFonts w:ascii="Arial" w:hAnsi="Arial" w:cs="Arial"/>
          <w:iCs/>
          <w:sz w:val="17"/>
          <w:szCs w:val="17"/>
        </w:rPr>
        <w:t>M</w:t>
      </w:r>
      <w:r w:rsidRPr="000808E7">
        <w:rPr>
          <w:rFonts w:ascii="Arial" w:hAnsi="Arial" w:cs="Arial"/>
          <w:iCs/>
          <w:sz w:val="17"/>
          <w:szCs w:val="17"/>
        </w:rPr>
        <w:t>int</w:t>
      </w:r>
      <w:r w:rsidRPr="0012478D">
        <w:rPr>
          <w:rFonts w:ascii="Arial" w:hAnsi="Arial" w:cs="Arial"/>
          <w:sz w:val="17"/>
          <w:szCs w:val="17"/>
        </w:rPr>
        <w:t>, July 5, 2020</w:t>
      </w:r>
      <w:bookmarkStart w:id="12" w:name="_Hlk56355457"/>
      <w:r>
        <w:rPr>
          <w:rFonts w:ascii="Arial" w:hAnsi="Arial" w:cs="Arial"/>
          <w:sz w:val="17"/>
          <w:szCs w:val="17"/>
        </w:rPr>
        <w:t xml:space="preserve">, accessed November 12, 2020, </w:t>
      </w:r>
      <w:r w:rsidRPr="003E6BBB">
        <w:rPr>
          <w:rFonts w:ascii="Arial" w:hAnsi="Arial" w:cs="Arial"/>
          <w:sz w:val="17"/>
          <w:szCs w:val="17"/>
        </w:rPr>
        <w:t>www.livemint.com/industry/advertising/the-big-disruption-for-the-cream-of-creams-11593950683076.html</w:t>
      </w:r>
      <w:bookmarkEnd w:id="12"/>
      <w:r w:rsidRPr="0012478D">
        <w:rPr>
          <w:rFonts w:ascii="Arial" w:hAnsi="Arial" w:cs="Arial"/>
          <w:sz w:val="17"/>
          <w:szCs w:val="17"/>
        </w:rPr>
        <w:t>.</w:t>
      </w:r>
    </w:p>
  </w:endnote>
  <w:endnote w:id="57">
    <w:p w14:paraId="54BDF5FB" w14:textId="7B73D057"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Shuchi Sinha, “Skin Care: Booming Sales, Multiplying Brands, Market for Fairness Products Changes Colour,” </w:t>
      </w:r>
      <w:r w:rsidRPr="0012478D">
        <w:rPr>
          <w:rFonts w:ascii="Arial" w:hAnsi="Arial" w:cs="Arial"/>
          <w:i/>
          <w:iCs/>
          <w:sz w:val="17"/>
          <w:szCs w:val="17"/>
        </w:rPr>
        <w:t>India Today</w:t>
      </w:r>
      <w:r w:rsidRPr="0012478D">
        <w:rPr>
          <w:rFonts w:ascii="Arial" w:hAnsi="Arial" w:cs="Arial"/>
          <w:sz w:val="17"/>
          <w:szCs w:val="17"/>
        </w:rPr>
        <w:t>, December 4, 2000, accessed November 12, 2020, www.indiatoday.in/magazine/economy/story/20001204-skin-care-booming-sales-multiplying-brands-market-for-fairness-products-changes-colour-778754-2000-12-04.</w:t>
      </w:r>
    </w:p>
  </w:endnote>
  <w:endnote w:id="58">
    <w:p w14:paraId="16928C42" w14:textId="5DFA42F4"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w:t>
      </w:r>
      <w:r w:rsidRPr="0012478D">
        <w:rPr>
          <w:rStyle w:val="Hyperlink"/>
          <w:rFonts w:ascii="Arial" w:hAnsi="Arial" w:cs="Arial"/>
          <w:color w:val="auto"/>
          <w:sz w:val="17"/>
          <w:szCs w:val="17"/>
          <w:u w:val="none"/>
        </w:rPr>
        <w:t>alkThroughIndia</w:t>
      </w:r>
      <w:r w:rsidRPr="0012478D">
        <w:rPr>
          <w:rFonts w:ascii="Arial" w:hAnsi="Arial" w:cs="Arial"/>
          <w:sz w:val="17"/>
          <w:szCs w:val="17"/>
        </w:rPr>
        <w:t xml:space="preserve">, op. cit. </w:t>
      </w:r>
    </w:p>
  </w:endnote>
  <w:endnote w:id="59">
    <w:p w14:paraId="791FF0CC" w14:textId="4FC24CA1"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Bonafide Research, </w:t>
      </w:r>
      <w:r w:rsidRPr="0012478D">
        <w:rPr>
          <w:rFonts w:ascii="Arial" w:hAnsi="Arial" w:cs="Arial"/>
          <w:i/>
          <w:sz w:val="17"/>
          <w:szCs w:val="17"/>
        </w:rPr>
        <w:t>Indian Fairness Cream &amp; Bleach Market Overview, 2018–2023</w:t>
      </w:r>
      <w:r w:rsidRPr="0012478D">
        <w:rPr>
          <w:rFonts w:ascii="Arial" w:hAnsi="Arial" w:cs="Arial"/>
          <w:sz w:val="17"/>
          <w:szCs w:val="17"/>
        </w:rPr>
        <w:t>, March 2018, accessed November 12, 2020, www.researchandmarkets.com/reports/4480827/india-fairness-cream-and-bleach-market-overview.</w:t>
      </w:r>
    </w:p>
  </w:endnote>
  <w:endnote w:id="60">
    <w:p w14:paraId="0F1B6CF0" w14:textId="0193DF18"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Ibid. </w:t>
      </w:r>
    </w:p>
  </w:endnote>
  <w:endnote w:id="61">
    <w:p w14:paraId="2A2EE611" w14:textId="0C50A909"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Hindustan Unilever L</w:t>
      </w:r>
      <w:r>
        <w:rPr>
          <w:rFonts w:ascii="Arial" w:hAnsi="Arial" w:cs="Arial"/>
          <w:sz w:val="17"/>
          <w:szCs w:val="17"/>
        </w:rPr>
        <w:t>imited</w:t>
      </w:r>
      <w:r w:rsidRPr="0012478D">
        <w:rPr>
          <w:rFonts w:ascii="Arial" w:hAnsi="Arial" w:cs="Arial"/>
          <w:sz w:val="17"/>
          <w:szCs w:val="17"/>
        </w:rPr>
        <w:t xml:space="preserve">, </w:t>
      </w:r>
      <w:r w:rsidRPr="009B4E78">
        <w:rPr>
          <w:rFonts w:ascii="Arial" w:hAnsi="Arial" w:cs="Arial"/>
          <w:i/>
          <w:sz w:val="17"/>
          <w:szCs w:val="17"/>
        </w:rPr>
        <w:t>Purpose-Led, Future-fit: Integrated Annual Report 2019</w:t>
      </w:r>
      <w:r>
        <w:rPr>
          <w:rFonts w:ascii="Arial" w:hAnsi="Arial" w:cs="Arial"/>
          <w:i/>
          <w:sz w:val="17"/>
          <w:szCs w:val="17"/>
        </w:rPr>
        <w:t>–</w:t>
      </w:r>
      <w:r w:rsidRPr="009B4E78">
        <w:rPr>
          <w:rFonts w:ascii="Arial" w:hAnsi="Arial" w:cs="Arial"/>
          <w:i/>
          <w:sz w:val="17"/>
          <w:szCs w:val="17"/>
        </w:rPr>
        <w:t>20</w:t>
      </w:r>
      <w:r w:rsidRPr="0012478D">
        <w:rPr>
          <w:rFonts w:ascii="Arial" w:hAnsi="Arial" w:cs="Arial"/>
          <w:sz w:val="17"/>
          <w:szCs w:val="17"/>
        </w:rPr>
        <w:t xml:space="preserve">, </w:t>
      </w:r>
      <w:r>
        <w:rPr>
          <w:rFonts w:ascii="Arial" w:hAnsi="Arial" w:cs="Arial"/>
          <w:sz w:val="17"/>
          <w:szCs w:val="17"/>
        </w:rPr>
        <w:t xml:space="preserve">op. cit. </w:t>
      </w:r>
    </w:p>
  </w:endnote>
  <w:endnote w:id="62">
    <w:p w14:paraId="643CDA76" w14:textId="0973794E"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I</w:t>
      </w:r>
      <w:r>
        <w:rPr>
          <w:rFonts w:ascii="Arial" w:hAnsi="Arial" w:cs="Arial"/>
          <w:sz w:val="17"/>
          <w:szCs w:val="17"/>
        </w:rPr>
        <w:t xml:space="preserve">ndia </w:t>
      </w:r>
      <w:r w:rsidRPr="0012478D">
        <w:rPr>
          <w:rFonts w:ascii="Arial" w:hAnsi="Arial" w:cs="Arial"/>
          <w:sz w:val="17"/>
          <w:szCs w:val="17"/>
        </w:rPr>
        <w:t>B</w:t>
      </w:r>
      <w:r>
        <w:rPr>
          <w:rFonts w:ascii="Arial" w:hAnsi="Arial" w:cs="Arial"/>
          <w:sz w:val="17"/>
          <w:szCs w:val="17"/>
        </w:rPr>
        <w:t xml:space="preserve">rand </w:t>
      </w:r>
      <w:r w:rsidRPr="0012478D">
        <w:rPr>
          <w:rFonts w:ascii="Arial" w:hAnsi="Arial" w:cs="Arial"/>
          <w:sz w:val="17"/>
          <w:szCs w:val="17"/>
        </w:rPr>
        <w:t>E</w:t>
      </w:r>
      <w:r>
        <w:rPr>
          <w:rFonts w:ascii="Arial" w:hAnsi="Arial" w:cs="Arial"/>
          <w:sz w:val="17"/>
          <w:szCs w:val="17"/>
        </w:rPr>
        <w:t xml:space="preserve">quity </w:t>
      </w:r>
      <w:r w:rsidRPr="0012478D">
        <w:rPr>
          <w:rFonts w:ascii="Arial" w:hAnsi="Arial" w:cs="Arial"/>
          <w:sz w:val="17"/>
          <w:szCs w:val="17"/>
        </w:rPr>
        <w:t>F</w:t>
      </w:r>
      <w:r>
        <w:rPr>
          <w:rFonts w:ascii="Arial" w:hAnsi="Arial" w:cs="Arial"/>
          <w:sz w:val="17"/>
          <w:szCs w:val="17"/>
        </w:rPr>
        <w:t>oundation</w:t>
      </w:r>
      <w:r w:rsidRPr="0012478D">
        <w:rPr>
          <w:rFonts w:ascii="Arial" w:hAnsi="Arial" w:cs="Arial"/>
          <w:sz w:val="17"/>
          <w:szCs w:val="17"/>
        </w:rPr>
        <w:t xml:space="preserve">, </w:t>
      </w:r>
      <w:r w:rsidRPr="000808E7">
        <w:rPr>
          <w:rFonts w:ascii="Arial" w:hAnsi="Arial" w:cs="Arial"/>
          <w:i/>
          <w:sz w:val="17"/>
          <w:szCs w:val="17"/>
        </w:rPr>
        <w:t>Fast Moving Consumer Goods (FMCG)</w:t>
      </w:r>
      <w:r w:rsidRPr="0012478D">
        <w:rPr>
          <w:rFonts w:ascii="Arial" w:hAnsi="Arial" w:cs="Arial"/>
          <w:sz w:val="17"/>
          <w:szCs w:val="17"/>
        </w:rPr>
        <w:t xml:space="preserve">, December 2019, accessed July 10, 2020, </w:t>
      </w:r>
      <w:r w:rsidRPr="0012478D">
        <w:rPr>
          <w:rStyle w:val="Hyperlink"/>
          <w:rFonts w:ascii="Arial" w:hAnsi="Arial" w:cs="Arial"/>
          <w:color w:val="auto"/>
          <w:sz w:val="17"/>
          <w:szCs w:val="17"/>
          <w:u w:val="none"/>
        </w:rPr>
        <w:t>www.ibef.org/download/FMCG-December-2019.pdf</w:t>
      </w:r>
      <w:r>
        <w:rPr>
          <w:rStyle w:val="Hyperlink"/>
          <w:rFonts w:ascii="Arial" w:hAnsi="Arial" w:cs="Arial"/>
          <w:color w:val="auto"/>
          <w:sz w:val="17"/>
          <w:szCs w:val="17"/>
          <w:u w:val="none"/>
        </w:rPr>
        <w:t>.</w:t>
      </w:r>
    </w:p>
  </w:endnote>
  <w:endnote w:id="63">
    <w:p w14:paraId="0D95DB3A" w14:textId="26DC7D26"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Pr>
          <w:rFonts w:ascii="Arial" w:hAnsi="Arial" w:cs="Arial"/>
          <w:sz w:val="17"/>
          <w:szCs w:val="17"/>
        </w:rPr>
        <w:t>Trendlyne,</w:t>
      </w:r>
      <w:r w:rsidRPr="0012478D">
        <w:rPr>
          <w:rFonts w:ascii="Arial" w:hAnsi="Arial" w:cs="Arial"/>
          <w:sz w:val="17"/>
          <w:szCs w:val="17"/>
        </w:rPr>
        <w:t xml:space="preserve"> “Latest </w:t>
      </w:r>
      <w:r>
        <w:rPr>
          <w:rFonts w:ascii="Arial" w:hAnsi="Arial" w:cs="Arial"/>
          <w:sz w:val="17"/>
          <w:szCs w:val="17"/>
        </w:rPr>
        <w:t>S</w:t>
      </w:r>
      <w:r w:rsidRPr="0012478D">
        <w:rPr>
          <w:rFonts w:ascii="Arial" w:hAnsi="Arial" w:cs="Arial"/>
          <w:sz w:val="17"/>
          <w:szCs w:val="17"/>
        </w:rPr>
        <w:t xml:space="preserve">hareholding </w:t>
      </w:r>
      <w:r>
        <w:rPr>
          <w:rFonts w:ascii="Arial" w:hAnsi="Arial" w:cs="Arial"/>
          <w:sz w:val="17"/>
          <w:szCs w:val="17"/>
        </w:rPr>
        <w:t>P</w:t>
      </w:r>
      <w:r w:rsidRPr="0012478D">
        <w:rPr>
          <w:rFonts w:ascii="Arial" w:hAnsi="Arial" w:cs="Arial"/>
          <w:sz w:val="17"/>
          <w:szCs w:val="17"/>
        </w:rPr>
        <w:t xml:space="preserve">attern and </w:t>
      </w:r>
      <w:r>
        <w:rPr>
          <w:rFonts w:ascii="Arial" w:hAnsi="Arial" w:cs="Arial"/>
          <w:sz w:val="17"/>
          <w:szCs w:val="17"/>
        </w:rPr>
        <w:t>D</w:t>
      </w:r>
      <w:r w:rsidRPr="0012478D">
        <w:rPr>
          <w:rFonts w:ascii="Arial" w:hAnsi="Arial" w:cs="Arial"/>
          <w:sz w:val="17"/>
          <w:szCs w:val="17"/>
        </w:rPr>
        <w:t xml:space="preserve">etails for Hindustan Unilever Ltd.,” </w:t>
      </w:r>
      <w:r>
        <w:rPr>
          <w:rFonts w:ascii="Arial" w:hAnsi="Arial" w:cs="Arial"/>
          <w:sz w:val="17"/>
          <w:szCs w:val="17"/>
        </w:rPr>
        <w:t xml:space="preserve">Trendlyne, </w:t>
      </w:r>
      <w:r w:rsidRPr="0012478D">
        <w:rPr>
          <w:rFonts w:ascii="Arial" w:hAnsi="Arial" w:cs="Arial"/>
          <w:sz w:val="17"/>
          <w:szCs w:val="17"/>
        </w:rPr>
        <w:t>2020, accessed July 9, 2020, https://trendlyne.com/equity/share-holding/560/HINDUNILVR/latest/hindustan-unilever-ltd.</w:t>
      </w:r>
    </w:p>
  </w:endnote>
  <w:endnote w:id="64">
    <w:p w14:paraId="49080B4C" w14:textId="4F9EC5F8" w:rsidR="00005E17" w:rsidRPr="0012478D" w:rsidRDefault="00005E17" w:rsidP="00DC51C4">
      <w:pPr>
        <w:jc w:val="both"/>
        <w:rPr>
          <w:rFonts w:ascii="Arial" w:hAnsi="Arial" w:cs="Arial"/>
          <w:sz w:val="17"/>
          <w:szCs w:val="17"/>
          <w:lang w:val="en-IN"/>
        </w:rPr>
      </w:pPr>
      <w:r w:rsidRPr="000808E7">
        <w:rPr>
          <w:rFonts w:ascii="Arial" w:hAnsi="Arial" w:cs="Arial"/>
          <w:sz w:val="17"/>
          <w:szCs w:val="17"/>
          <w:vertAlign w:val="superscript"/>
        </w:rPr>
        <w:endnoteRef/>
      </w:r>
      <w:r w:rsidRPr="0012478D">
        <w:rPr>
          <w:rFonts w:ascii="Arial" w:hAnsi="Arial" w:cs="Arial"/>
          <w:sz w:val="17"/>
          <w:szCs w:val="17"/>
        </w:rPr>
        <w:t xml:space="preserve"> Viveat Susan Pinto, “</w:t>
      </w:r>
      <w:r w:rsidRPr="0012478D">
        <w:rPr>
          <w:rFonts w:ascii="Arial" w:eastAsiaTheme="minorEastAsia" w:hAnsi="Arial" w:cs="Arial"/>
          <w:sz w:val="17"/>
          <w:szCs w:val="17"/>
          <w:lang w:val="en-IN" w:eastAsia="en-IN"/>
        </w:rPr>
        <w:t xml:space="preserve">India </w:t>
      </w:r>
      <w:r>
        <w:rPr>
          <w:rFonts w:ascii="Arial" w:eastAsiaTheme="minorEastAsia" w:hAnsi="Arial" w:cs="Arial"/>
          <w:sz w:val="17"/>
          <w:szCs w:val="17"/>
          <w:lang w:val="en-IN" w:eastAsia="en-IN"/>
        </w:rPr>
        <w:t>S</w:t>
      </w:r>
      <w:r w:rsidRPr="0012478D">
        <w:rPr>
          <w:rFonts w:ascii="Arial" w:eastAsiaTheme="minorEastAsia" w:hAnsi="Arial" w:cs="Arial"/>
          <w:sz w:val="17"/>
          <w:szCs w:val="17"/>
          <w:lang w:val="en-IN" w:eastAsia="en-IN"/>
        </w:rPr>
        <w:t xml:space="preserve">et to </w:t>
      </w:r>
      <w:r>
        <w:rPr>
          <w:rFonts w:ascii="Arial" w:eastAsiaTheme="minorEastAsia" w:hAnsi="Arial" w:cs="Arial"/>
          <w:sz w:val="17"/>
          <w:szCs w:val="17"/>
          <w:lang w:val="en-IN" w:eastAsia="en-IN"/>
        </w:rPr>
        <w:t>B</w:t>
      </w:r>
      <w:r w:rsidRPr="0012478D">
        <w:rPr>
          <w:rFonts w:ascii="Arial" w:eastAsiaTheme="minorEastAsia" w:hAnsi="Arial" w:cs="Arial"/>
          <w:sz w:val="17"/>
          <w:szCs w:val="17"/>
          <w:lang w:val="en-IN" w:eastAsia="en-IN"/>
        </w:rPr>
        <w:t>e Unilever</w:t>
      </w:r>
      <w:r>
        <w:rPr>
          <w:rFonts w:ascii="Arial" w:eastAsiaTheme="minorEastAsia" w:hAnsi="Arial" w:cs="Arial"/>
          <w:sz w:val="17"/>
          <w:szCs w:val="17"/>
          <w:lang w:val="en-IN" w:eastAsia="en-IN"/>
        </w:rPr>
        <w:t>’</w:t>
      </w:r>
      <w:r w:rsidRPr="0012478D">
        <w:rPr>
          <w:rFonts w:ascii="Arial" w:eastAsiaTheme="minorEastAsia" w:hAnsi="Arial" w:cs="Arial"/>
          <w:sz w:val="17"/>
          <w:szCs w:val="17"/>
          <w:lang w:val="en-IN" w:eastAsia="en-IN"/>
        </w:rPr>
        <w:t xml:space="preserve">s </w:t>
      </w:r>
      <w:r>
        <w:rPr>
          <w:rFonts w:ascii="Arial" w:eastAsiaTheme="minorEastAsia" w:hAnsi="Arial" w:cs="Arial"/>
          <w:sz w:val="17"/>
          <w:szCs w:val="17"/>
          <w:lang w:val="en-IN" w:eastAsia="en-IN"/>
        </w:rPr>
        <w:t>L</w:t>
      </w:r>
      <w:r w:rsidRPr="0012478D">
        <w:rPr>
          <w:rFonts w:ascii="Arial" w:eastAsiaTheme="minorEastAsia" w:hAnsi="Arial" w:cs="Arial"/>
          <w:sz w:val="17"/>
          <w:szCs w:val="17"/>
          <w:lang w:val="en-IN" w:eastAsia="en-IN"/>
        </w:rPr>
        <w:t xml:space="preserve">argest </w:t>
      </w:r>
      <w:r>
        <w:rPr>
          <w:rFonts w:ascii="Arial" w:eastAsiaTheme="minorEastAsia" w:hAnsi="Arial" w:cs="Arial"/>
          <w:sz w:val="17"/>
          <w:szCs w:val="17"/>
          <w:lang w:val="en-IN" w:eastAsia="en-IN"/>
        </w:rPr>
        <w:t>M</w:t>
      </w:r>
      <w:r w:rsidRPr="0012478D">
        <w:rPr>
          <w:rFonts w:ascii="Arial" w:eastAsiaTheme="minorEastAsia" w:hAnsi="Arial" w:cs="Arial"/>
          <w:sz w:val="17"/>
          <w:szCs w:val="17"/>
          <w:lang w:val="en-IN" w:eastAsia="en-IN"/>
        </w:rPr>
        <w:t xml:space="preserve">arket by FY27, </w:t>
      </w:r>
      <w:r>
        <w:rPr>
          <w:rFonts w:ascii="Arial" w:eastAsiaTheme="minorEastAsia" w:hAnsi="Arial" w:cs="Arial"/>
          <w:sz w:val="17"/>
          <w:szCs w:val="17"/>
          <w:lang w:val="en-IN" w:eastAsia="en-IN"/>
        </w:rPr>
        <w:t>S</w:t>
      </w:r>
      <w:r w:rsidRPr="0012478D">
        <w:rPr>
          <w:rFonts w:ascii="Arial" w:eastAsiaTheme="minorEastAsia" w:hAnsi="Arial" w:cs="Arial"/>
          <w:sz w:val="17"/>
          <w:szCs w:val="17"/>
          <w:lang w:val="en-IN" w:eastAsia="en-IN"/>
        </w:rPr>
        <w:t>ays Edelweiss</w:t>
      </w:r>
      <w:r w:rsidRPr="0012478D">
        <w:rPr>
          <w:rFonts w:ascii="Arial" w:hAnsi="Arial" w:cs="Arial"/>
          <w:sz w:val="17"/>
          <w:szCs w:val="17"/>
          <w:lang w:val="en-IN"/>
        </w:rPr>
        <w:t xml:space="preserve">,” </w:t>
      </w:r>
      <w:r w:rsidRPr="0012478D">
        <w:rPr>
          <w:rFonts w:ascii="Arial" w:hAnsi="Arial" w:cs="Arial"/>
          <w:i/>
          <w:iCs/>
          <w:sz w:val="17"/>
          <w:szCs w:val="17"/>
          <w:lang w:val="en-IN"/>
        </w:rPr>
        <w:t>Business Standard</w:t>
      </w:r>
      <w:r w:rsidRPr="0012478D">
        <w:rPr>
          <w:rFonts w:ascii="Arial" w:hAnsi="Arial" w:cs="Arial"/>
          <w:sz w:val="17"/>
          <w:szCs w:val="17"/>
          <w:lang w:val="en-IN"/>
        </w:rPr>
        <w:t>, December 5, 2019, accessed October 28, 2020, www.business-standard.com/article/companies/india-set-to-be-unilever-s-largest-market-by-fy27-says-edelweiss-119120501538_1.html</w:t>
      </w:r>
      <w:r>
        <w:rPr>
          <w:rFonts w:ascii="Arial" w:hAnsi="Arial" w:cs="Arial"/>
          <w:sz w:val="17"/>
          <w:szCs w:val="17"/>
          <w:lang w:val="en-IN"/>
        </w:rPr>
        <w:t>.</w:t>
      </w:r>
    </w:p>
  </w:endnote>
  <w:endnote w:id="65">
    <w:p w14:paraId="054A83C4" w14:textId="0D7177E5" w:rsidR="00005E17" w:rsidRPr="000808E7" w:rsidRDefault="00005E17" w:rsidP="00213191">
      <w:pPr>
        <w:pStyle w:val="EndnoteText"/>
        <w:jc w:val="both"/>
        <w:rPr>
          <w:rFonts w:ascii="Arial" w:hAnsi="Arial" w:cs="Arial"/>
          <w:sz w:val="17"/>
          <w:szCs w:val="17"/>
          <w:lang w:val="en-CA"/>
        </w:rPr>
      </w:pPr>
      <w:r w:rsidRPr="0012478D">
        <w:rPr>
          <w:rStyle w:val="EndnoteReference"/>
          <w:rFonts w:ascii="Arial" w:hAnsi="Arial" w:cs="Arial"/>
          <w:sz w:val="17"/>
          <w:szCs w:val="17"/>
        </w:rPr>
        <w:endnoteRef/>
      </w:r>
      <w:r w:rsidRPr="0012478D">
        <w:rPr>
          <w:rFonts w:ascii="Arial" w:hAnsi="Arial" w:cs="Arial"/>
          <w:sz w:val="17"/>
          <w:szCs w:val="17"/>
        </w:rPr>
        <w:t xml:space="preserve"> </w:t>
      </w:r>
      <w:r w:rsidRPr="0012478D">
        <w:rPr>
          <w:rFonts w:ascii="Arial" w:hAnsi="Arial" w:cs="Arial"/>
          <w:sz w:val="17"/>
          <w:szCs w:val="17"/>
          <w:lang w:val="en-CA"/>
        </w:rPr>
        <w:t>₹ = INR = Indian rupee; ₹</w:t>
      </w:r>
      <w:r>
        <w:rPr>
          <w:rFonts w:ascii="Arial" w:hAnsi="Arial" w:cs="Arial"/>
          <w:sz w:val="17"/>
          <w:szCs w:val="17"/>
          <w:lang w:val="en-CA"/>
        </w:rPr>
        <w:t xml:space="preserve">1 = US$0.013 </w:t>
      </w:r>
      <w:r w:rsidRPr="0012478D">
        <w:rPr>
          <w:rFonts w:ascii="Arial" w:hAnsi="Arial" w:cs="Arial"/>
          <w:sz w:val="17"/>
          <w:szCs w:val="17"/>
          <w:lang w:val="en-CA"/>
        </w:rPr>
        <w:t>on July 2, 2020.</w:t>
      </w:r>
    </w:p>
  </w:endnote>
  <w:endnote w:id="66">
    <w:p w14:paraId="54A64A89" w14:textId="3010CD21"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Hindustan Unilever Ltd., </w:t>
      </w:r>
      <w:r w:rsidRPr="009B4E78">
        <w:rPr>
          <w:rFonts w:ascii="Arial" w:hAnsi="Arial" w:cs="Arial"/>
          <w:i/>
          <w:sz w:val="17"/>
          <w:szCs w:val="17"/>
        </w:rPr>
        <w:t>Purpose-Led, Future-fit: Integrated Annual Report 2019</w:t>
      </w:r>
      <w:r>
        <w:rPr>
          <w:rFonts w:ascii="Arial" w:hAnsi="Arial" w:cs="Arial"/>
          <w:i/>
          <w:sz w:val="17"/>
          <w:szCs w:val="17"/>
        </w:rPr>
        <w:t>–</w:t>
      </w:r>
      <w:r w:rsidRPr="009B4E78">
        <w:rPr>
          <w:rFonts w:ascii="Arial" w:hAnsi="Arial" w:cs="Arial"/>
          <w:i/>
          <w:sz w:val="17"/>
          <w:szCs w:val="17"/>
        </w:rPr>
        <w:t>20</w:t>
      </w:r>
      <w:r w:rsidRPr="0012478D">
        <w:rPr>
          <w:rFonts w:ascii="Arial" w:hAnsi="Arial" w:cs="Arial"/>
          <w:sz w:val="17"/>
          <w:szCs w:val="17"/>
        </w:rPr>
        <w:t xml:space="preserve">, </w:t>
      </w:r>
      <w:r>
        <w:rPr>
          <w:rFonts w:ascii="Arial" w:hAnsi="Arial" w:cs="Arial"/>
          <w:sz w:val="17"/>
          <w:szCs w:val="17"/>
        </w:rPr>
        <w:t xml:space="preserve">op. cit. </w:t>
      </w:r>
    </w:p>
  </w:endnote>
  <w:endnote w:id="67">
    <w:p w14:paraId="0A864124" w14:textId="0DB8072C"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Ibid.</w:t>
      </w:r>
      <w:r>
        <w:rPr>
          <w:rStyle w:val="Hyperlink"/>
          <w:rFonts w:ascii="Arial" w:hAnsi="Arial" w:cs="Arial"/>
          <w:color w:val="auto"/>
          <w:sz w:val="17"/>
          <w:szCs w:val="17"/>
          <w:u w:val="none"/>
        </w:rPr>
        <w:t>;</w:t>
      </w:r>
      <w:r w:rsidRPr="0012478D">
        <w:rPr>
          <w:rFonts w:ascii="Arial" w:hAnsi="Arial" w:cs="Arial"/>
          <w:sz w:val="17"/>
          <w:szCs w:val="17"/>
        </w:rPr>
        <w:t xml:space="preserve"> The 2011 census placed the number of households in India at 248.4 million</w:t>
      </w:r>
      <w:r>
        <w:rPr>
          <w:rFonts w:ascii="Arial" w:hAnsi="Arial" w:cs="Arial"/>
          <w:sz w:val="17"/>
          <w:szCs w:val="17"/>
        </w:rPr>
        <w:t>;</w:t>
      </w:r>
      <w:r w:rsidRPr="0012478D">
        <w:rPr>
          <w:rFonts w:ascii="Arial" w:hAnsi="Arial" w:cs="Arial"/>
          <w:sz w:val="17"/>
          <w:szCs w:val="17"/>
        </w:rPr>
        <w:t xml:space="preserve"> Government of India, “Normal </w:t>
      </w:r>
      <w:r>
        <w:rPr>
          <w:rFonts w:ascii="Arial" w:hAnsi="Arial" w:cs="Arial"/>
          <w:sz w:val="17"/>
          <w:szCs w:val="17"/>
        </w:rPr>
        <w:t>H</w:t>
      </w:r>
      <w:r w:rsidRPr="0012478D">
        <w:rPr>
          <w:rFonts w:ascii="Arial" w:hAnsi="Arial" w:cs="Arial"/>
          <w:sz w:val="17"/>
          <w:szCs w:val="17"/>
        </w:rPr>
        <w:t xml:space="preserve">ouseholds by </w:t>
      </w:r>
      <w:r>
        <w:rPr>
          <w:rFonts w:ascii="Arial" w:hAnsi="Arial" w:cs="Arial"/>
          <w:sz w:val="17"/>
          <w:szCs w:val="17"/>
        </w:rPr>
        <w:t>H</w:t>
      </w:r>
      <w:r w:rsidRPr="0012478D">
        <w:rPr>
          <w:rFonts w:ascii="Arial" w:hAnsi="Arial" w:cs="Arial"/>
          <w:sz w:val="17"/>
          <w:szCs w:val="17"/>
        </w:rPr>
        <w:t xml:space="preserve">ousehold </w:t>
      </w:r>
      <w:r>
        <w:rPr>
          <w:rFonts w:ascii="Arial" w:hAnsi="Arial" w:cs="Arial"/>
          <w:sz w:val="17"/>
          <w:szCs w:val="17"/>
        </w:rPr>
        <w:t>S</w:t>
      </w:r>
      <w:r w:rsidRPr="0012478D">
        <w:rPr>
          <w:rFonts w:ascii="Arial" w:hAnsi="Arial" w:cs="Arial"/>
          <w:sz w:val="17"/>
          <w:szCs w:val="17"/>
        </w:rPr>
        <w:t>ize,”</w:t>
      </w:r>
      <w:r>
        <w:rPr>
          <w:rFonts w:ascii="Arial" w:hAnsi="Arial" w:cs="Arial"/>
          <w:sz w:val="17"/>
          <w:szCs w:val="17"/>
        </w:rPr>
        <w:t xml:space="preserve"> </w:t>
      </w:r>
      <w:r w:rsidRPr="0012478D">
        <w:rPr>
          <w:rFonts w:ascii="Arial" w:hAnsi="Arial" w:cs="Arial"/>
          <w:sz w:val="17"/>
          <w:szCs w:val="17"/>
        </w:rPr>
        <w:t>Census of India 2011, accessed July 12, 2020, https://censusindia.gov.in/2011census/hh-series/hh01.html</w:t>
      </w:r>
      <w:r>
        <w:rPr>
          <w:rFonts w:ascii="Arial" w:hAnsi="Arial" w:cs="Arial"/>
          <w:sz w:val="17"/>
          <w:szCs w:val="17"/>
        </w:rPr>
        <w:t>.</w:t>
      </w:r>
    </w:p>
  </w:endnote>
  <w:endnote w:id="68">
    <w:p w14:paraId="5B7DAD9C" w14:textId="34BDED02"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bookmarkStart w:id="13" w:name="_Hlk56356895"/>
      <w:r w:rsidRPr="0089458B">
        <w:rPr>
          <w:rFonts w:ascii="Arial" w:hAnsi="Arial" w:cs="Arial"/>
          <w:sz w:val="17"/>
          <w:szCs w:val="17"/>
        </w:rPr>
        <w:t>Hindustan Unilever L</w:t>
      </w:r>
      <w:r>
        <w:rPr>
          <w:rFonts w:ascii="Arial" w:hAnsi="Arial" w:cs="Arial"/>
          <w:sz w:val="17"/>
          <w:szCs w:val="17"/>
        </w:rPr>
        <w:t>imited</w:t>
      </w:r>
      <w:r w:rsidRPr="0089458B">
        <w:rPr>
          <w:rFonts w:ascii="Arial" w:hAnsi="Arial" w:cs="Arial"/>
          <w:sz w:val="17"/>
          <w:szCs w:val="17"/>
        </w:rPr>
        <w:t xml:space="preserve">, </w:t>
      </w:r>
      <w:r w:rsidRPr="0089458B">
        <w:rPr>
          <w:rFonts w:ascii="Arial" w:hAnsi="Arial" w:cs="Arial"/>
          <w:i/>
          <w:sz w:val="17"/>
          <w:szCs w:val="17"/>
        </w:rPr>
        <w:t>Unilever Sustainable Living Plan: India Progress 2017</w:t>
      </w:r>
      <w:r>
        <w:rPr>
          <w:rFonts w:ascii="Arial" w:hAnsi="Arial" w:cs="Arial"/>
          <w:sz w:val="17"/>
          <w:szCs w:val="17"/>
        </w:rPr>
        <w:t xml:space="preserve">, </w:t>
      </w:r>
      <w:bookmarkEnd w:id="13"/>
      <w:r w:rsidRPr="0012478D">
        <w:rPr>
          <w:rFonts w:ascii="Arial" w:hAnsi="Arial" w:cs="Arial"/>
          <w:sz w:val="17"/>
          <w:szCs w:val="17"/>
        </w:rPr>
        <w:t>accessed July 14, 2020,</w:t>
      </w:r>
      <w:r>
        <w:rPr>
          <w:rFonts w:ascii="Arial" w:hAnsi="Arial" w:cs="Arial"/>
          <w:sz w:val="17"/>
          <w:szCs w:val="17"/>
        </w:rPr>
        <w:t xml:space="preserve"> </w:t>
      </w:r>
      <w:r w:rsidRPr="0012478D">
        <w:rPr>
          <w:rFonts w:ascii="Arial" w:hAnsi="Arial" w:cs="Arial"/>
          <w:sz w:val="17"/>
          <w:szCs w:val="17"/>
        </w:rPr>
        <w:t>www.hul.co.in/Images/uslp-india-progress-report-2017-21may2018_tcm1255-522773_en.pdf</w:t>
      </w:r>
      <w:r>
        <w:rPr>
          <w:rFonts w:ascii="Arial" w:hAnsi="Arial" w:cs="Arial"/>
          <w:sz w:val="17"/>
          <w:szCs w:val="17"/>
        </w:rPr>
        <w:t>.</w:t>
      </w:r>
    </w:p>
  </w:endnote>
  <w:endnote w:id="69">
    <w:p w14:paraId="7F7A27F6" w14:textId="3D0D9C4F"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Hindustan Unilever Ltd., </w:t>
      </w:r>
      <w:r w:rsidRPr="009B4E78">
        <w:rPr>
          <w:rFonts w:ascii="Arial" w:hAnsi="Arial" w:cs="Arial"/>
          <w:i/>
          <w:sz w:val="17"/>
          <w:szCs w:val="17"/>
        </w:rPr>
        <w:t>Purpose-Led, Future-fit: Integrated Annual Report 2019</w:t>
      </w:r>
      <w:r>
        <w:rPr>
          <w:rFonts w:ascii="Arial" w:hAnsi="Arial" w:cs="Arial"/>
          <w:i/>
          <w:sz w:val="17"/>
          <w:szCs w:val="17"/>
        </w:rPr>
        <w:t>–</w:t>
      </w:r>
      <w:r w:rsidRPr="009B4E78">
        <w:rPr>
          <w:rFonts w:ascii="Arial" w:hAnsi="Arial" w:cs="Arial"/>
          <w:i/>
          <w:sz w:val="17"/>
          <w:szCs w:val="17"/>
        </w:rPr>
        <w:t>20</w:t>
      </w:r>
      <w:r w:rsidRPr="0012478D">
        <w:rPr>
          <w:rFonts w:ascii="Arial" w:hAnsi="Arial" w:cs="Arial"/>
          <w:sz w:val="17"/>
          <w:szCs w:val="17"/>
        </w:rPr>
        <w:t xml:space="preserve">, </w:t>
      </w:r>
      <w:r>
        <w:rPr>
          <w:rFonts w:ascii="Arial" w:hAnsi="Arial" w:cs="Arial"/>
          <w:sz w:val="17"/>
          <w:szCs w:val="17"/>
        </w:rPr>
        <w:t xml:space="preserve">op. cit. </w:t>
      </w:r>
    </w:p>
  </w:endnote>
  <w:endnote w:id="70">
    <w:p w14:paraId="0C5C16F6" w14:textId="5B1823FB"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Ibid.</w:t>
      </w:r>
      <w:r>
        <w:rPr>
          <w:rFonts w:ascii="Arial" w:hAnsi="Arial" w:cs="Arial"/>
          <w:sz w:val="17"/>
          <w:szCs w:val="17"/>
        </w:rPr>
        <w:t xml:space="preserve"> </w:t>
      </w:r>
    </w:p>
  </w:endnote>
  <w:endnote w:id="71">
    <w:p w14:paraId="43E981F5" w14:textId="6CD1C22F" w:rsidR="00005E17" w:rsidRPr="00213191" w:rsidRDefault="00005E17" w:rsidP="00213191">
      <w:pPr>
        <w:pStyle w:val="Footnote"/>
        <w:jc w:val="both"/>
        <w:rPr>
          <w:rFonts w:ascii="Arial" w:hAnsi="Arial" w:cs="Arial"/>
          <w:b/>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Pr>
          <w:rFonts w:ascii="Arial" w:hAnsi="Arial" w:cs="Arial"/>
          <w:sz w:val="17"/>
          <w:szCs w:val="17"/>
        </w:rPr>
        <w:t>F&amp;L</w:t>
      </w:r>
      <w:r w:rsidRPr="0012478D">
        <w:rPr>
          <w:rFonts w:ascii="Arial" w:hAnsi="Arial" w:cs="Arial"/>
          <w:sz w:val="17"/>
          <w:szCs w:val="17"/>
        </w:rPr>
        <w:t xml:space="preserve"> was launched in India in 1975</w:t>
      </w:r>
      <w:r>
        <w:rPr>
          <w:rFonts w:ascii="Arial" w:hAnsi="Arial" w:cs="Arial"/>
          <w:sz w:val="17"/>
          <w:szCs w:val="17"/>
        </w:rPr>
        <w:t>,</w:t>
      </w:r>
      <w:r w:rsidRPr="0012478D">
        <w:rPr>
          <w:rFonts w:ascii="Arial" w:hAnsi="Arial" w:cs="Arial"/>
          <w:sz w:val="17"/>
          <w:szCs w:val="17"/>
        </w:rPr>
        <w:t xml:space="preserve"> </w:t>
      </w:r>
      <w:r>
        <w:rPr>
          <w:rFonts w:ascii="Arial" w:hAnsi="Arial" w:cs="Arial"/>
          <w:sz w:val="17"/>
          <w:szCs w:val="17"/>
        </w:rPr>
        <w:t>and</w:t>
      </w:r>
      <w:r w:rsidRPr="0012478D">
        <w:rPr>
          <w:rFonts w:ascii="Arial" w:hAnsi="Arial" w:cs="Arial"/>
          <w:sz w:val="17"/>
          <w:szCs w:val="17"/>
        </w:rPr>
        <w:t xml:space="preserve"> was </w:t>
      </w:r>
      <w:r>
        <w:rPr>
          <w:rFonts w:ascii="Arial" w:hAnsi="Arial" w:cs="Arial"/>
          <w:sz w:val="17"/>
          <w:szCs w:val="17"/>
        </w:rPr>
        <w:t xml:space="preserve">subsequently </w:t>
      </w:r>
      <w:r w:rsidRPr="0012478D">
        <w:rPr>
          <w:rFonts w:ascii="Arial" w:hAnsi="Arial" w:cs="Arial"/>
          <w:sz w:val="17"/>
          <w:szCs w:val="17"/>
        </w:rPr>
        <w:t>sold in other markets in Asia and Africa, including Sri Lanka, Indonesia, Thailand, Bangladesh</w:t>
      </w:r>
      <w:r>
        <w:rPr>
          <w:rFonts w:ascii="Arial" w:hAnsi="Arial" w:cs="Arial"/>
          <w:sz w:val="17"/>
          <w:szCs w:val="17"/>
        </w:rPr>
        <w:t>,</w:t>
      </w:r>
      <w:r w:rsidRPr="0012478D">
        <w:rPr>
          <w:rFonts w:ascii="Arial" w:hAnsi="Arial" w:cs="Arial"/>
          <w:sz w:val="17"/>
          <w:szCs w:val="17"/>
        </w:rPr>
        <w:t xml:space="preserve"> and Pakistan</w:t>
      </w:r>
      <w:r>
        <w:rPr>
          <w:rFonts w:ascii="Arial" w:hAnsi="Arial" w:cs="Arial"/>
          <w:sz w:val="17"/>
          <w:szCs w:val="17"/>
        </w:rPr>
        <w:t>;</w:t>
      </w:r>
      <w:r w:rsidRPr="0012478D">
        <w:rPr>
          <w:rFonts w:ascii="Arial" w:hAnsi="Arial" w:cs="Arial"/>
          <w:sz w:val="17"/>
          <w:szCs w:val="17"/>
        </w:rPr>
        <w:t xml:space="preserve"> Gajanan, op. cit.</w:t>
      </w:r>
      <w:r w:rsidDel="00967DD0">
        <w:rPr>
          <w:rFonts w:ascii="Arial" w:hAnsi="Arial" w:cs="Arial"/>
          <w:sz w:val="17"/>
          <w:szCs w:val="17"/>
        </w:rPr>
        <w:t xml:space="preserve"> </w:t>
      </w:r>
    </w:p>
  </w:endnote>
  <w:endnote w:id="72">
    <w:p w14:paraId="702B5C62" w14:textId="2BD0B768"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Bansal and Tandon</w:t>
      </w:r>
      <w:r>
        <w:rPr>
          <w:rFonts w:ascii="Arial" w:hAnsi="Arial" w:cs="Arial"/>
          <w:sz w:val="17"/>
          <w:szCs w:val="17"/>
        </w:rPr>
        <w:t>,</w:t>
      </w:r>
      <w:r w:rsidRPr="0012478D">
        <w:rPr>
          <w:rFonts w:ascii="Arial" w:hAnsi="Arial" w:cs="Arial"/>
          <w:sz w:val="17"/>
          <w:szCs w:val="17"/>
        </w:rPr>
        <w:t xml:space="preserve"> op</w:t>
      </w:r>
      <w:r>
        <w:rPr>
          <w:rFonts w:ascii="Arial" w:hAnsi="Arial" w:cs="Arial"/>
          <w:sz w:val="17"/>
          <w:szCs w:val="17"/>
        </w:rPr>
        <w:t>.</w:t>
      </w:r>
      <w:r w:rsidRPr="0012478D">
        <w:rPr>
          <w:rFonts w:ascii="Arial" w:hAnsi="Arial" w:cs="Arial"/>
          <w:sz w:val="17"/>
          <w:szCs w:val="17"/>
        </w:rPr>
        <w:t xml:space="preserve"> cit.</w:t>
      </w:r>
    </w:p>
  </w:endnote>
  <w:endnote w:id="73">
    <w:p w14:paraId="0E75072C" w14:textId="10822BD7"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Pr>
          <w:rFonts w:ascii="Arial" w:hAnsi="Arial" w:cs="Arial"/>
          <w:sz w:val="17"/>
          <w:szCs w:val="17"/>
        </w:rPr>
        <w:t xml:space="preserve">Ibid. </w:t>
      </w:r>
    </w:p>
  </w:endnote>
  <w:endnote w:id="74">
    <w:p w14:paraId="4617E305" w14:textId="30AEA9E0"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Pr>
          <w:rFonts w:ascii="Arial" w:hAnsi="Arial" w:cs="Arial"/>
          <w:sz w:val="17"/>
          <w:szCs w:val="17"/>
        </w:rPr>
        <w:t>Ibid.</w:t>
      </w:r>
    </w:p>
  </w:endnote>
  <w:endnote w:id="75">
    <w:p w14:paraId="2CB15BD6" w14:textId="3809AABF"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Pr>
          <w:rFonts w:ascii="Arial" w:hAnsi="Arial" w:cs="Arial"/>
          <w:sz w:val="17"/>
          <w:szCs w:val="17"/>
        </w:rPr>
        <w:t>“</w:t>
      </w:r>
      <w:r w:rsidRPr="00960293">
        <w:rPr>
          <w:rFonts w:ascii="Arial" w:hAnsi="Arial" w:cs="Arial"/>
          <w:sz w:val="17"/>
          <w:szCs w:val="17"/>
        </w:rPr>
        <w:t xml:space="preserve">Fair &amp; Lovely: Advertising </w:t>
      </w:r>
      <w:r>
        <w:rPr>
          <w:rFonts w:ascii="Arial" w:hAnsi="Arial" w:cs="Arial"/>
          <w:sz w:val="17"/>
          <w:szCs w:val="17"/>
        </w:rPr>
        <w:t>i</w:t>
      </w:r>
      <w:r w:rsidRPr="00960293">
        <w:rPr>
          <w:rFonts w:ascii="Arial" w:hAnsi="Arial" w:cs="Arial"/>
          <w:sz w:val="17"/>
          <w:szCs w:val="17"/>
        </w:rPr>
        <w:t>n India,</w:t>
      </w:r>
      <w:r>
        <w:rPr>
          <w:rFonts w:ascii="Arial" w:hAnsi="Arial" w:cs="Arial"/>
          <w:sz w:val="17"/>
          <w:szCs w:val="17"/>
        </w:rPr>
        <w:t>”</w:t>
      </w:r>
      <w:r w:rsidRPr="00960293">
        <w:rPr>
          <w:rFonts w:ascii="Arial" w:hAnsi="Arial" w:cs="Arial"/>
          <w:sz w:val="17"/>
          <w:szCs w:val="17"/>
        </w:rPr>
        <w:t xml:space="preserve"> Global Marketing Today, November 9, 2015, </w:t>
      </w:r>
      <w:r>
        <w:rPr>
          <w:rFonts w:ascii="Arial" w:hAnsi="Arial" w:cs="Arial"/>
          <w:sz w:val="17"/>
          <w:szCs w:val="17"/>
        </w:rPr>
        <w:t xml:space="preserve">accessed </w:t>
      </w:r>
      <w:r w:rsidRPr="00960293">
        <w:rPr>
          <w:rFonts w:ascii="Arial" w:hAnsi="Arial" w:cs="Arial"/>
          <w:sz w:val="17"/>
          <w:szCs w:val="17"/>
        </w:rPr>
        <w:t xml:space="preserve">November </w:t>
      </w:r>
      <w:r>
        <w:rPr>
          <w:rFonts w:ascii="Arial" w:hAnsi="Arial" w:cs="Arial"/>
          <w:sz w:val="17"/>
          <w:szCs w:val="17"/>
        </w:rPr>
        <w:t>12</w:t>
      </w:r>
      <w:r w:rsidRPr="00960293">
        <w:rPr>
          <w:rFonts w:ascii="Arial" w:hAnsi="Arial" w:cs="Arial"/>
          <w:sz w:val="17"/>
          <w:szCs w:val="17"/>
        </w:rPr>
        <w:t>, 20</w:t>
      </w:r>
      <w:r>
        <w:rPr>
          <w:rFonts w:ascii="Arial" w:hAnsi="Arial" w:cs="Arial"/>
          <w:sz w:val="17"/>
          <w:szCs w:val="17"/>
        </w:rPr>
        <w:t>20</w:t>
      </w:r>
      <w:r w:rsidRPr="00960293">
        <w:rPr>
          <w:rFonts w:ascii="Arial" w:hAnsi="Arial" w:cs="Arial"/>
          <w:sz w:val="17"/>
          <w:szCs w:val="17"/>
        </w:rPr>
        <w:t>,</w:t>
      </w:r>
      <w:r>
        <w:rPr>
          <w:rFonts w:ascii="Arial" w:hAnsi="Arial" w:cs="Arial"/>
          <w:sz w:val="17"/>
          <w:szCs w:val="17"/>
        </w:rPr>
        <w:t xml:space="preserve"> </w:t>
      </w:r>
      <w:r w:rsidRPr="0012478D">
        <w:rPr>
          <w:rFonts w:ascii="Arial" w:hAnsi="Arial" w:cs="Arial"/>
          <w:sz w:val="17"/>
          <w:szCs w:val="17"/>
        </w:rPr>
        <w:t>https://globalmarketingtoday.wordpress.com/the-real-world/fair-lovely-advertising-in-india</w:t>
      </w:r>
      <w:r>
        <w:rPr>
          <w:rFonts w:ascii="Arial" w:hAnsi="Arial" w:cs="Arial"/>
          <w:sz w:val="17"/>
          <w:szCs w:val="17"/>
        </w:rPr>
        <w:t>.</w:t>
      </w:r>
    </w:p>
  </w:endnote>
  <w:endnote w:id="76">
    <w:p w14:paraId="1D6D0173" w14:textId="65891E57"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Pr>
          <w:rFonts w:ascii="Arial" w:hAnsi="Arial" w:cs="Arial"/>
          <w:sz w:val="17"/>
          <w:szCs w:val="17"/>
        </w:rPr>
        <w:t xml:space="preserve">Ibid. </w:t>
      </w:r>
    </w:p>
  </w:endnote>
  <w:endnote w:id="77">
    <w:p w14:paraId="79DD48F4" w14:textId="304C869B"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sidRPr="000C45B6">
        <w:rPr>
          <w:rFonts w:ascii="Arial" w:hAnsi="Arial" w:cs="Arial"/>
          <w:sz w:val="17"/>
          <w:szCs w:val="17"/>
        </w:rPr>
        <w:t xml:space="preserve">Preiti Sharma Shahane, “Women Power Gets Full Play in CavinKare’s Brand Strategy,” </w:t>
      </w:r>
      <w:r w:rsidRPr="00213191">
        <w:rPr>
          <w:rFonts w:ascii="Arial" w:hAnsi="Arial" w:cs="Arial"/>
          <w:i/>
          <w:sz w:val="17"/>
          <w:szCs w:val="17"/>
        </w:rPr>
        <w:t>Economic Times</w:t>
      </w:r>
      <w:r w:rsidRPr="000C45B6">
        <w:rPr>
          <w:rFonts w:ascii="Arial" w:hAnsi="Arial" w:cs="Arial"/>
          <w:sz w:val="17"/>
          <w:szCs w:val="17"/>
        </w:rPr>
        <w:t>, December 8, 2006, accessed November 12, 2020, https://economictimes.indiatimes.com/industry/cons-products/fashion-/-cosmetics-/-jewellery/women-power-gets-full-play-in-cavinkares-brand-strategy/articleshow/739103.cms?from=mdr.</w:t>
      </w:r>
      <w:r w:rsidRPr="0012478D">
        <w:rPr>
          <w:rFonts w:ascii="Arial" w:hAnsi="Arial" w:cs="Arial"/>
          <w:sz w:val="17"/>
          <w:szCs w:val="17"/>
        </w:rPr>
        <w:t xml:space="preserve"> </w:t>
      </w:r>
    </w:p>
  </w:endnote>
  <w:endnote w:id="78">
    <w:p w14:paraId="020152EE" w14:textId="6611EB2E" w:rsidR="00005E17" w:rsidRPr="00005E17" w:rsidRDefault="00005E17" w:rsidP="00005E17">
      <w:pPr>
        <w:pStyle w:val="EndnoteText"/>
        <w:jc w:val="both"/>
        <w:rPr>
          <w:rFonts w:ascii="Arial" w:hAnsi="Arial" w:cs="Arial"/>
          <w:sz w:val="17"/>
          <w:szCs w:val="17"/>
          <w:lang w:val="en-US"/>
        </w:rPr>
      </w:pPr>
      <w:r w:rsidRPr="00005E17">
        <w:rPr>
          <w:rStyle w:val="EndnoteReference"/>
          <w:rFonts w:ascii="Arial" w:hAnsi="Arial" w:cs="Arial"/>
          <w:sz w:val="17"/>
          <w:szCs w:val="17"/>
        </w:rPr>
        <w:endnoteRef/>
      </w:r>
      <w:r w:rsidRPr="00005E17">
        <w:rPr>
          <w:rFonts w:ascii="Arial" w:hAnsi="Arial" w:cs="Arial"/>
          <w:sz w:val="17"/>
          <w:szCs w:val="17"/>
        </w:rPr>
        <w:t xml:space="preserve"> </w:t>
      </w:r>
      <w:r w:rsidRPr="00005E17">
        <w:rPr>
          <w:rFonts w:ascii="Arial" w:hAnsi="Arial" w:cs="Arial"/>
          <w:sz w:val="17"/>
          <w:szCs w:val="17"/>
          <w:lang w:val="en-US"/>
        </w:rPr>
        <w:t xml:space="preserve">Shephali Bhatt, “Journey of Fairness Creams’ Advertising in India,” </w:t>
      </w:r>
      <w:r w:rsidRPr="00005E17">
        <w:rPr>
          <w:rFonts w:ascii="Arial" w:hAnsi="Arial" w:cs="Arial"/>
          <w:i/>
          <w:sz w:val="17"/>
          <w:szCs w:val="17"/>
          <w:lang w:val="en-US"/>
        </w:rPr>
        <w:t>Economic Times</w:t>
      </w:r>
      <w:r w:rsidRPr="00005E17">
        <w:rPr>
          <w:rFonts w:ascii="Arial" w:hAnsi="Arial" w:cs="Arial"/>
          <w:sz w:val="17"/>
          <w:szCs w:val="17"/>
          <w:lang w:val="en-US"/>
        </w:rPr>
        <w:t>, February 26, 2014, accessed November 12, 2020, https://economictimes.indiatimes.com/journey-of-fairness-creams-advertising-in-india/articleshow/30997189.cms?from=mdr</w:t>
      </w:r>
      <w:r>
        <w:rPr>
          <w:rFonts w:ascii="Arial" w:hAnsi="Arial" w:cs="Arial"/>
          <w:sz w:val="17"/>
          <w:szCs w:val="17"/>
          <w:lang w:val="en-US"/>
        </w:rPr>
        <w:t>.</w:t>
      </w:r>
    </w:p>
  </w:endnote>
  <w:endnote w:id="79">
    <w:p w14:paraId="3944B0FA" w14:textId="0F161E5A"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bookmarkStart w:id="14" w:name="_Hlk56357112"/>
      <w:r w:rsidRPr="00350A4A">
        <w:rPr>
          <w:rFonts w:ascii="Arial" w:hAnsi="Arial" w:cs="Arial"/>
          <w:sz w:val="17"/>
          <w:szCs w:val="17"/>
        </w:rPr>
        <w:t>Team BmmGuru</w:t>
      </w:r>
      <w:r>
        <w:rPr>
          <w:rFonts w:ascii="Arial" w:hAnsi="Arial" w:cs="Arial"/>
          <w:sz w:val="17"/>
          <w:szCs w:val="17"/>
        </w:rPr>
        <w:t>,</w:t>
      </w:r>
      <w:r w:rsidRPr="00350A4A">
        <w:rPr>
          <w:rFonts w:ascii="Arial" w:hAnsi="Arial" w:cs="Arial"/>
          <w:sz w:val="17"/>
          <w:szCs w:val="17"/>
        </w:rPr>
        <w:t xml:space="preserve"> </w:t>
      </w:r>
      <w:r>
        <w:rPr>
          <w:rFonts w:ascii="Arial" w:hAnsi="Arial" w:cs="Arial"/>
          <w:sz w:val="17"/>
          <w:szCs w:val="17"/>
        </w:rPr>
        <w:t>“</w:t>
      </w:r>
      <w:r w:rsidRPr="00350A4A">
        <w:rPr>
          <w:rFonts w:ascii="Arial" w:hAnsi="Arial" w:cs="Arial"/>
          <w:sz w:val="17"/>
          <w:szCs w:val="17"/>
        </w:rPr>
        <w:t xml:space="preserve">Fair and Lovely </w:t>
      </w:r>
      <w:r>
        <w:rPr>
          <w:rFonts w:ascii="Arial" w:hAnsi="Arial" w:cs="Arial"/>
          <w:sz w:val="17"/>
          <w:szCs w:val="17"/>
        </w:rPr>
        <w:t>A</w:t>
      </w:r>
      <w:r w:rsidRPr="00350A4A">
        <w:rPr>
          <w:rFonts w:ascii="Arial" w:hAnsi="Arial" w:cs="Arial"/>
          <w:sz w:val="17"/>
          <w:szCs w:val="17"/>
        </w:rPr>
        <w:t xml:space="preserve">dvertisements </w:t>
      </w:r>
      <w:r>
        <w:rPr>
          <w:rFonts w:ascii="Arial" w:hAnsi="Arial" w:cs="Arial"/>
          <w:sz w:val="17"/>
          <w:szCs w:val="17"/>
        </w:rPr>
        <w:t>C</w:t>
      </w:r>
      <w:r w:rsidRPr="00350A4A">
        <w:rPr>
          <w:rFonts w:ascii="Arial" w:hAnsi="Arial" w:cs="Arial"/>
          <w:sz w:val="17"/>
          <w:szCs w:val="17"/>
        </w:rPr>
        <w:t xml:space="preserve">ontroversies and </w:t>
      </w:r>
      <w:r>
        <w:rPr>
          <w:rFonts w:ascii="Arial" w:hAnsi="Arial" w:cs="Arial"/>
          <w:sz w:val="17"/>
          <w:szCs w:val="17"/>
        </w:rPr>
        <w:t>H</w:t>
      </w:r>
      <w:r w:rsidRPr="00350A4A">
        <w:rPr>
          <w:rFonts w:ascii="Arial" w:hAnsi="Arial" w:cs="Arial"/>
          <w:sz w:val="17"/>
          <w:szCs w:val="17"/>
        </w:rPr>
        <w:t xml:space="preserve">ow </w:t>
      </w:r>
      <w:r>
        <w:rPr>
          <w:rFonts w:ascii="Arial" w:hAnsi="Arial" w:cs="Arial"/>
          <w:sz w:val="17"/>
          <w:szCs w:val="17"/>
        </w:rPr>
        <w:t>T</w:t>
      </w:r>
      <w:r w:rsidRPr="00350A4A">
        <w:rPr>
          <w:rFonts w:ascii="Arial" w:hAnsi="Arial" w:cs="Arial"/>
          <w:sz w:val="17"/>
          <w:szCs w:val="17"/>
        </w:rPr>
        <w:t xml:space="preserve">hey </w:t>
      </w:r>
      <w:r>
        <w:rPr>
          <w:rFonts w:ascii="Arial" w:hAnsi="Arial" w:cs="Arial"/>
          <w:sz w:val="17"/>
          <w:szCs w:val="17"/>
        </w:rPr>
        <w:t>G</w:t>
      </w:r>
      <w:r w:rsidRPr="00350A4A">
        <w:rPr>
          <w:rFonts w:ascii="Arial" w:hAnsi="Arial" w:cs="Arial"/>
          <w:sz w:val="17"/>
          <w:szCs w:val="17"/>
        </w:rPr>
        <w:t xml:space="preserve">ot </w:t>
      </w:r>
      <w:r>
        <w:rPr>
          <w:rFonts w:ascii="Arial" w:hAnsi="Arial" w:cs="Arial"/>
          <w:sz w:val="17"/>
          <w:szCs w:val="17"/>
        </w:rPr>
        <w:t>O</w:t>
      </w:r>
      <w:r w:rsidRPr="00350A4A">
        <w:rPr>
          <w:rFonts w:ascii="Arial" w:hAnsi="Arial" w:cs="Arial"/>
          <w:sz w:val="17"/>
          <w:szCs w:val="17"/>
        </w:rPr>
        <w:t xml:space="preserve">ut of </w:t>
      </w:r>
      <w:r>
        <w:rPr>
          <w:rFonts w:ascii="Arial" w:hAnsi="Arial" w:cs="Arial"/>
          <w:sz w:val="17"/>
          <w:szCs w:val="17"/>
        </w:rPr>
        <w:t>T</w:t>
      </w:r>
      <w:r w:rsidRPr="00350A4A">
        <w:rPr>
          <w:rFonts w:ascii="Arial" w:hAnsi="Arial" w:cs="Arial"/>
          <w:sz w:val="17"/>
          <w:szCs w:val="17"/>
        </w:rPr>
        <w:t>hem,</w:t>
      </w:r>
      <w:r>
        <w:rPr>
          <w:rFonts w:ascii="Arial" w:hAnsi="Arial" w:cs="Arial"/>
          <w:sz w:val="17"/>
          <w:szCs w:val="17"/>
        </w:rPr>
        <w:t>”</w:t>
      </w:r>
      <w:r w:rsidRPr="00350A4A">
        <w:rPr>
          <w:rFonts w:ascii="Arial" w:hAnsi="Arial" w:cs="Arial"/>
          <w:sz w:val="17"/>
          <w:szCs w:val="17"/>
        </w:rPr>
        <w:t xml:space="preserve"> BMM Guru, September 25, 2018</w:t>
      </w:r>
      <w:r>
        <w:rPr>
          <w:rFonts w:ascii="Arial" w:hAnsi="Arial" w:cs="Arial"/>
          <w:sz w:val="17"/>
          <w:szCs w:val="17"/>
        </w:rPr>
        <w:t xml:space="preserve">, accessed November 12, 2020, </w:t>
      </w:r>
      <w:bookmarkEnd w:id="14"/>
      <w:r w:rsidRPr="0012478D">
        <w:rPr>
          <w:rStyle w:val="Hyperlink"/>
          <w:rFonts w:ascii="Arial" w:hAnsi="Arial" w:cs="Arial"/>
          <w:color w:val="auto"/>
          <w:sz w:val="17"/>
          <w:szCs w:val="17"/>
          <w:u w:val="none"/>
        </w:rPr>
        <w:t>www.bmmguru.in/fair-and-lovely-advertisements-controversies-and-how-they-got-out-of-them</w:t>
      </w:r>
      <w:r w:rsidRPr="0012478D">
        <w:rPr>
          <w:rFonts w:ascii="Arial" w:hAnsi="Arial" w:cs="Arial"/>
          <w:sz w:val="17"/>
          <w:szCs w:val="17"/>
        </w:rPr>
        <w:t xml:space="preserve">; </w:t>
      </w:r>
      <w:bookmarkStart w:id="15" w:name="_Hlk56357205"/>
      <w:r w:rsidRPr="00960293">
        <w:rPr>
          <w:rFonts w:ascii="Arial" w:hAnsi="Arial" w:cs="Arial"/>
          <w:sz w:val="17"/>
          <w:szCs w:val="17"/>
        </w:rPr>
        <w:t xml:space="preserve">“Fair &amp; Lovely: Advertising in India,” </w:t>
      </w:r>
      <w:r>
        <w:rPr>
          <w:rFonts w:ascii="Arial" w:hAnsi="Arial" w:cs="Arial"/>
          <w:sz w:val="17"/>
          <w:szCs w:val="17"/>
        </w:rPr>
        <w:t xml:space="preserve">op. cit. </w:t>
      </w:r>
      <w:bookmarkEnd w:id="15"/>
    </w:p>
  </w:endnote>
  <w:endnote w:id="80">
    <w:p w14:paraId="1B4635DF" w14:textId="5E9715DF"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sidRPr="00350A4A">
        <w:rPr>
          <w:rFonts w:ascii="Arial" w:hAnsi="Arial" w:cs="Arial"/>
          <w:sz w:val="17"/>
          <w:szCs w:val="17"/>
        </w:rPr>
        <w:t>M.</w:t>
      </w:r>
      <w:r>
        <w:rPr>
          <w:rFonts w:ascii="Arial" w:hAnsi="Arial" w:cs="Arial"/>
          <w:sz w:val="17"/>
          <w:szCs w:val="17"/>
        </w:rPr>
        <w:t xml:space="preserve"> </w:t>
      </w:r>
      <w:r w:rsidRPr="00350A4A">
        <w:rPr>
          <w:rFonts w:ascii="Arial" w:hAnsi="Arial" w:cs="Arial"/>
          <w:sz w:val="17"/>
          <w:szCs w:val="17"/>
        </w:rPr>
        <w:t xml:space="preserve">S. Banga, </w:t>
      </w:r>
      <w:r w:rsidRPr="000808E7">
        <w:rPr>
          <w:rFonts w:ascii="Arial" w:hAnsi="Arial" w:cs="Arial"/>
          <w:i/>
          <w:sz w:val="17"/>
          <w:szCs w:val="17"/>
        </w:rPr>
        <w:t>Bringing FMCG Back to Growth</w:t>
      </w:r>
      <w:r w:rsidRPr="00350A4A">
        <w:rPr>
          <w:rFonts w:ascii="Arial" w:hAnsi="Arial" w:cs="Arial"/>
          <w:sz w:val="17"/>
          <w:szCs w:val="17"/>
        </w:rPr>
        <w:t>, speech, delivered by M.</w:t>
      </w:r>
      <w:r>
        <w:rPr>
          <w:rFonts w:ascii="Arial" w:hAnsi="Arial" w:cs="Arial"/>
          <w:sz w:val="17"/>
          <w:szCs w:val="17"/>
        </w:rPr>
        <w:t xml:space="preserve"> </w:t>
      </w:r>
      <w:r w:rsidRPr="00350A4A">
        <w:rPr>
          <w:rFonts w:ascii="Arial" w:hAnsi="Arial" w:cs="Arial"/>
          <w:sz w:val="17"/>
          <w:szCs w:val="17"/>
        </w:rPr>
        <w:t xml:space="preserve">S. Banga, </w:t>
      </w:r>
      <w:r>
        <w:rPr>
          <w:rFonts w:ascii="Arial" w:hAnsi="Arial" w:cs="Arial"/>
          <w:sz w:val="17"/>
          <w:szCs w:val="17"/>
        </w:rPr>
        <w:t>c</w:t>
      </w:r>
      <w:r w:rsidRPr="00350A4A">
        <w:rPr>
          <w:rFonts w:ascii="Arial" w:hAnsi="Arial" w:cs="Arial"/>
          <w:sz w:val="17"/>
          <w:szCs w:val="17"/>
        </w:rPr>
        <w:t>hairman, Hindustan Lever Limited, at the Annual General Meeting, June 24, 200</w:t>
      </w:r>
      <w:r>
        <w:rPr>
          <w:rFonts w:ascii="Arial" w:hAnsi="Arial" w:cs="Arial"/>
          <w:sz w:val="17"/>
          <w:szCs w:val="17"/>
        </w:rPr>
        <w:t>5</w:t>
      </w:r>
      <w:r w:rsidRPr="00350A4A">
        <w:rPr>
          <w:rFonts w:ascii="Arial" w:hAnsi="Arial" w:cs="Arial"/>
          <w:sz w:val="17"/>
          <w:szCs w:val="17"/>
        </w:rPr>
        <w:t xml:space="preserve">, </w:t>
      </w:r>
      <w:r w:rsidRPr="0012478D">
        <w:rPr>
          <w:rFonts w:ascii="Arial" w:hAnsi="Arial" w:cs="Arial"/>
          <w:sz w:val="17"/>
          <w:szCs w:val="17"/>
        </w:rPr>
        <w:t>accessed July 16, 2020</w:t>
      </w:r>
      <w:r>
        <w:rPr>
          <w:rFonts w:ascii="Arial" w:hAnsi="Arial" w:cs="Arial"/>
          <w:sz w:val="17"/>
          <w:szCs w:val="17"/>
        </w:rPr>
        <w:t xml:space="preserve">, </w:t>
      </w:r>
      <w:r w:rsidRPr="0012478D">
        <w:rPr>
          <w:rStyle w:val="Hyperlink"/>
          <w:rFonts w:ascii="Arial" w:hAnsi="Arial" w:cs="Arial"/>
          <w:color w:val="auto"/>
          <w:sz w:val="17"/>
          <w:szCs w:val="17"/>
          <w:u w:val="none"/>
        </w:rPr>
        <w:t>www.hul.co.in/Images/agm_speech_2005_bringing-fmcg-back-to-growth_tcm1255-434444_en.pdf</w:t>
      </w:r>
      <w:r>
        <w:rPr>
          <w:rStyle w:val="Hyperlink"/>
          <w:rFonts w:ascii="Arial" w:hAnsi="Arial" w:cs="Arial"/>
          <w:color w:val="auto"/>
          <w:sz w:val="17"/>
          <w:szCs w:val="17"/>
          <w:u w:val="none"/>
        </w:rPr>
        <w:t>.</w:t>
      </w:r>
    </w:p>
  </w:endnote>
  <w:endnote w:id="81">
    <w:p w14:paraId="6F8D77B0" w14:textId="16DB040A"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Financial Express, “Fairness Products: Big Players Step Up Brand-building Exercise,” </w:t>
      </w:r>
      <w:r w:rsidRPr="00213191">
        <w:rPr>
          <w:rFonts w:ascii="Arial" w:hAnsi="Arial" w:cs="Arial"/>
          <w:sz w:val="17"/>
          <w:szCs w:val="17"/>
        </w:rPr>
        <w:t>Indian</w:t>
      </w:r>
      <w:r>
        <w:rPr>
          <w:rFonts w:ascii="Arial" w:hAnsi="Arial" w:cs="Arial"/>
          <w:i/>
          <w:sz w:val="17"/>
          <w:szCs w:val="17"/>
        </w:rPr>
        <w:t xml:space="preserve"> </w:t>
      </w:r>
      <w:r w:rsidRPr="00213191">
        <w:rPr>
          <w:rFonts w:ascii="Arial" w:hAnsi="Arial" w:cs="Arial"/>
          <w:sz w:val="17"/>
          <w:szCs w:val="17"/>
        </w:rPr>
        <w:t>Express</w:t>
      </w:r>
      <w:r>
        <w:rPr>
          <w:rFonts w:ascii="Arial" w:hAnsi="Arial" w:cs="Arial"/>
          <w:sz w:val="17"/>
          <w:szCs w:val="17"/>
        </w:rPr>
        <w:t xml:space="preserve">, </w:t>
      </w:r>
      <w:r w:rsidRPr="00BC56A5">
        <w:rPr>
          <w:rFonts w:ascii="Arial" w:hAnsi="Arial" w:cs="Arial"/>
          <w:sz w:val="17"/>
          <w:szCs w:val="17"/>
        </w:rPr>
        <w:t>May</w:t>
      </w:r>
      <w:r w:rsidRPr="0012478D">
        <w:rPr>
          <w:rFonts w:ascii="Arial" w:hAnsi="Arial" w:cs="Arial"/>
          <w:sz w:val="17"/>
          <w:szCs w:val="17"/>
        </w:rPr>
        <w:t xml:space="preserve"> 7, 2002, accessed July 1, 2020, </w:t>
      </w:r>
      <w:r w:rsidRPr="0012478D">
        <w:rPr>
          <w:rStyle w:val="Hyperlink"/>
          <w:rFonts w:ascii="Arial" w:hAnsi="Arial" w:cs="Arial"/>
          <w:color w:val="auto"/>
          <w:sz w:val="17"/>
          <w:szCs w:val="17"/>
          <w:u w:val="none"/>
        </w:rPr>
        <w:t>www.financialexpress.com/archive/fairness-products-big-players-step-up-brand-building-exercise/45684/</w:t>
      </w:r>
      <w:r w:rsidRPr="0012478D">
        <w:rPr>
          <w:rFonts w:ascii="Arial" w:hAnsi="Arial" w:cs="Arial"/>
          <w:sz w:val="17"/>
          <w:szCs w:val="17"/>
        </w:rPr>
        <w:t>; Bansal and Tandon</w:t>
      </w:r>
      <w:r>
        <w:rPr>
          <w:rFonts w:ascii="Arial" w:hAnsi="Arial" w:cs="Arial"/>
          <w:sz w:val="17"/>
          <w:szCs w:val="17"/>
        </w:rPr>
        <w:t>,</w:t>
      </w:r>
      <w:r w:rsidRPr="0012478D">
        <w:rPr>
          <w:rFonts w:ascii="Arial" w:hAnsi="Arial" w:cs="Arial"/>
          <w:sz w:val="17"/>
          <w:szCs w:val="17"/>
        </w:rPr>
        <w:t xml:space="preserve"> op</w:t>
      </w:r>
      <w:r>
        <w:rPr>
          <w:rFonts w:ascii="Arial" w:hAnsi="Arial" w:cs="Arial"/>
          <w:sz w:val="17"/>
          <w:szCs w:val="17"/>
        </w:rPr>
        <w:t>.</w:t>
      </w:r>
      <w:r w:rsidRPr="0012478D">
        <w:rPr>
          <w:rFonts w:ascii="Arial" w:hAnsi="Arial" w:cs="Arial"/>
          <w:sz w:val="17"/>
          <w:szCs w:val="17"/>
        </w:rPr>
        <w:t xml:space="preserve"> cit. </w:t>
      </w:r>
    </w:p>
  </w:endnote>
  <w:endnote w:id="82">
    <w:p w14:paraId="21358650" w14:textId="6B36BA23"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Ashish Sinha, “HLL </w:t>
      </w:r>
      <w:r>
        <w:rPr>
          <w:rFonts w:ascii="Arial" w:hAnsi="Arial" w:cs="Arial"/>
          <w:sz w:val="17"/>
          <w:szCs w:val="17"/>
        </w:rPr>
        <w:t>P</w:t>
      </w:r>
      <w:r w:rsidRPr="0012478D">
        <w:rPr>
          <w:rFonts w:ascii="Arial" w:hAnsi="Arial" w:cs="Arial"/>
          <w:sz w:val="17"/>
          <w:szCs w:val="17"/>
        </w:rPr>
        <w:t xml:space="preserve">lans Rs.7-10-cr </w:t>
      </w:r>
      <w:r>
        <w:rPr>
          <w:rFonts w:ascii="Arial" w:hAnsi="Arial" w:cs="Arial"/>
          <w:sz w:val="17"/>
          <w:szCs w:val="17"/>
        </w:rPr>
        <w:t>C</w:t>
      </w:r>
      <w:r w:rsidRPr="0012478D">
        <w:rPr>
          <w:rFonts w:ascii="Arial" w:hAnsi="Arial" w:cs="Arial"/>
          <w:sz w:val="17"/>
          <w:szCs w:val="17"/>
        </w:rPr>
        <w:t xml:space="preserve">ampaign for Fairness Gel,” </w:t>
      </w:r>
      <w:r w:rsidRPr="0012478D">
        <w:rPr>
          <w:rFonts w:ascii="Arial" w:hAnsi="Arial" w:cs="Arial"/>
          <w:i/>
          <w:iCs/>
          <w:sz w:val="17"/>
          <w:szCs w:val="17"/>
        </w:rPr>
        <w:t>Economic Times</w:t>
      </w:r>
      <w:r w:rsidRPr="0012478D">
        <w:rPr>
          <w:rFonts w:ascii="Arial" w:hAnsi="Arial" w:cs="Arial"/>
          <w:sz w:val="17"/>
          <w:szCs w:val="17"/>
        </w:rPr>
        <w:t>, May 11, 2004</w:t>
      </w:r>
      <w:r>
        <w:rPr>
          <w:rFonts w:ascii="Arial" w:hAnsi="Arial" w:cs="Arial"/>
          <w:sz w:val="17"/>
          <w:szCs w:val="17"/>
        </w:rPr>
        <w:t xml:space="preserve">, accessed November 12, 2020, </w:t>
      </w:r>
      <w:r w:rsidRPr="003122C4">
        <w:rPr>
          <w:rFonts w:ascii="Arial" w:hAnsi="Arial" w:cs="Arial"/>
          <w:sz w:val="17"/>
          <w:szCs w:val="17"/>
        </w:rPr>
        <w:t>https://economictimes.indiatimes.com/brand-equity/advertising/hll-plans-rs-7-10-cr-campaign-for-fairness-gel/articleshow/670155.cms</w:t>
      </w:r>
      <w:r w:rsidRPr="0012478D">
        <w:rPr>
          <w:rFonts w:ascii="Arial" w:hAnsi="Arial" w:cs="Arial"/>
          <w:sz w:val="17"/>
          <w:szCs w:val="17"/>
        </w:rPr>
        <w:t>.</w:t>
      </w:r>
    </w:p>
  </w:endnote>
  <w:endnote w:id="83">
    <w:p w14:paraId="1D6E69C8" w14:textId="6CB22E5D"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sidRPr="00350A4A">
        <w:rPr>
          <w:rFonts w:ascii="Arial" w:hAnsi="Arial" w:cs="Arial"/>
          <w:sz w:val="17"/>
          <w:szCs w:val="17"/>
        </w:rPr>
        <w:t>Team BmmGuru</w:t>
      </w:r>
      <w:r>
        <w:rPr>
          <w:rFonts w:ascii="Arial" w:hAnsi="Arial" w:cs="Arial"/>
          <w:sz w:val="17"/>
          <w:szCs w:val="17"/>
        </w:rPr>
        <w:t>,</w:t>
      </w:r>
      <w:r w:rsidRPr="0012478D">
        <w:rPr>
          <w:rFonts w:ascii="Arial" w:hAnsi="Arial" w:cs="Arial"/>
          <w:sz w:val="17"/>
          <w:szCs w:val="17"/>
        </w:rPr>
        <w:t xml:space="preserve"> op</w:t>
      </w:r>
      <w:r>
        <w:rPr>
          <w:rFonts w:ascii="Arial" w:hAnsi="Arial" w:cs="Arial"/>
          <w:sz w:val="17"/>
          <w:szCs w:val="17"/>
        </w:rPr>
        <w:t>.</w:t>
      </w:r>
      <w:r w:rsidRPr="0012478D">
        <w:rPr>
          <w:rFonts w:ascii="Arial" w:hAnsi="Arial" w:cs="Arial"/>
          <w:sz w:val="17"/>
          <w:szCs w:val="17"/>
        </w:rPr>
        <w:t xml:space="preserve"> cit. </w:t>
      </w:r>
    </w:p>
  </w:endnote>
  <w:endnote w:id="84">
    <w:p w14:paraId="2FDCD268" w14:textId="33EF557C"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Bansal and Tandon, op. cit. </w:t>
      </w:r>
    </w:p>
  </w:endnote>
  <w:endnote w:id="85">
    <w:p w14:paraId="4580B4D3" w14:textId="44881EE5"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sidRPr="00350A4A">
        <w:rPr>
          <w:rFonts w:ascii="Arial" w:hAnsi="Arial" w:cs="Arial"/>
          <w:sz w:val="17"/>
          <w:szCs w:val="17"/>
        </w:rPr>
        <w:t xml:space="preserve">Banga, </w:t>
      </w:r>
      <w:r>
        <w:rPr>
          <w:rFonts w:ascii="Arial" w:hAnsi="Arial" w:cs="Arial"/>
          <w:sz w:val="17"/>
          <w:szCs w:val="17"/>
        </w:rPr>
        <w:t xml:space="preserve">op. cit. </w:t>
      </w:r>
    </w:p>
  </w:endnote>
  <w:endnote w:id="86">
    <w:p w14:paraId="75A5E2B5" w14:textId="69967FDF"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Hindustan Unilever L</w:t>
      </w:r>
      <w:r>
        <w:rPr>
          <w:rFonts w:ascii="Arial" w:hAnsi="Arial" w:cs="Arial"/>
          <w:sz w:val="17"/>
          <w:szCs w:val="17"/>
        </w:rPr>
        <w:t>imited</w:t>
      </w:r>
      <w:r w:rsidRPr="0012478D">
        <w:rPr>
          <w:rFonts w:ascii="Arial" w:hAnsi="Arial" w:cs="Arial"/>
          <w:sz w:val="17"/>
          <w:szCs w:val="17"/>
        </w:rPr>
        <w:t xml:space="preserve">, </w:t>
      </w:r>
      <w:r w:rsidRPr="000808E7">
        <w:rPr>
          <w:rFonts w:ascii="Arial" w:hAnsi="Arial" w:cs="Arial"/>
          <w:i/>
          <w:sz w:val="17"/>
          <w:szCs w:val="17"/>
        </w:rPr>
        <w:t>Annual Report 2013–14: Making Sustainable Living Commonplace</w:t>
      </w:r>
      <w:r w:rsidRPr="0012478D">
        <w:rPr>
          <w:rFonts w:ascii="Arial" w:hAnsi="Arial" w:cs="Arial"/>
          <w:sz w:val="17"/>
          <w:szCs w:val="17"/>
        </w:rPr>
        <w:t xml:space="preserve">, accessed July 14, 2020, </w:t>
      </w:r>
      <w:r w:rsidRPr="0012478D">
        <w:rPr>
          <w:rStyle w:val="Hyperlink"/>
          <w:rFonts w:ascii="Arial" w:hAnsi="Arial" w:cs="Arial"/>
          <w:color w:val="auto"/>
          <w:sz w:val="17"/>
          <w:szCs w:val="17"/>
          <w:u w:val="none"/>
        </w:rPr>
        <w:t>www.hul.co.in/Images/hul-annual-report-2013-14_tcm1255-551251_en.pdf</w:t>
      </w:r>
      <w:r w:rsidRPr="0012478D">
        <w:rPr>
          <w:rFonts w:ascii="Arial" w:hAnsi="Arial" w:cs="Arial"/>
          <w:sz w:val="17"/>
          <w:szCs w:val="17"/>
        </w:rPr>
        <w:t>; https://www.hul.co.in/Images/hul-annual-report-2017-18_tcm1255-523195_en.pdf.</w:t>
      </w:r>
    </w:p>
  </w:endnote>
  <w:endnote w:id="87">
    <w:p w14:paraId="77F734B5" w14:textId="35160591"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Priyanka Pani, “Yami Gautam’s </w:t>
      </w:r>
      <w:r>
        <w:rPr>
          <w:rFonts w:ascii="Arial" w:hAnsi="Arial" w:cs="Arial"/>
          <w:sz w:val="17"/>
          <w:szCs w:val="17"/>
        </w:rPr>
        <w:t>F</w:t>
      </w:r>
      <w:r w:rsidRPr="0012478D">
        <w:rPr>
          <w:rFonts w:ascii="Arial" w:hAnsi="Arial" w:cs="Arial"/>
          <w:sz w:val="17"/>
          <w:szCs w:val="17"/>
        </w:rPr>
        <w:t xml:space="preserve">airness </w:t>
      </w:r>
      <w:r>
        <w:rPr>
          <w:rFonts w:ascii="Arial" w:hAnsi="Arial" w:cs="Arial"/>
          <w:sz w:val="17"/>
          <w:szCs w:val="17"/>
        </w:rPr>
        <w:t>W</w:t>
      </w:r>
      <w:r w:rsidRPr="0012478D">
        <w:rPr>
          <w:rFonts w:ascii="Arial" w:hAnsi="Arial" w:cs="Arial"/>
          <w:sz w:val="17"/>
          <w:szCs w:val="17"/>
        </w:rPr>
        <w:t xml:space="preserve">oes </w:t>
      </w:r>
      <w:r>
        <w:rPr>
          <w:rFonts w:ascii="Arial" w:hAnsi="Arial" w:cs="Arial"/>
          <w:sz w:val="17"/>
          <w:szCs w:val="17"/>
        </w:rPr>
        <w:t>C</w:t>
      </w:r>
      <w:r w:rsidRPr="0012478D">
        <w:rPr>
          <w:rFonts w:ascii="Arial" w:hAnsi="Arial" w:cs="Arial"/>
          <w:sz w:val="17"/>
          <w:szCs w:val="17"/>
        </w:rPr>
        <w:t xml:space="preserve">ontinue,” </w:t>
      </w:r>
      <w:r w:rsidRPr="0012478D">
        <w:rPr>
          <w:rFonts w:ascii="Arial" w:hAnsi="Arial" w:cs="Arial"/>
          <w:i/>
          <w:iCs/>
          <w:sz w:val="17"/>
          <w:szCs w:val="17"/>
        </w:rPr>
        <w:t>Hindu Business Line</w:t>
      </w:r>
      <w:r w:rsidRPr="0012478D">
        <w:rPr>
          <w:rFonts w:ascii="Arial" w:hAnsi="Arial" w:cs="Arial"/>
          <w:sz w:val="17"/>
          <w:szCs w:val="17"/>
        </w:rPr>
        <w:t xml:space="preserve">, April 1, 2014, accessed July 13, 2020, </w:t>
      </w:r>
      <w:r w:rsidRPr="0012478D">
        <w:rPr>
          <w:rStyle w:val="Hyperlink"/>
          <w:rFonts w:ascii="Arial" w:hAnsi="Arial" w:cs="Arial"/>
          <w:color w:val="auto"/>
          <w:sz w:val="17"/>
          <w:szCs w:val="17"/>
          <w:u w:val="none"/>
        </w:rPr>
        <w:t>www.thehindubusinessline.com/news/Yami-Gautams-fairness-woes-continue/article20746990.ece#</w:t>
      </w:r>
      <w:r>
        <w:rPr>
          <w:rStyle w:val="Hyperlink"/>
          <w:rFonts w:ascii="Arial" w:hAnsi="Arial" w:cs="Arial"/>
          <w:color w:val="auto"/>
          <w:sz w:val="17"/>
          <w:szCs w:val="17"/>
          <w:u w:val="none"/>
        </w:rPr>
        <w:t>.</w:t>
      </w:r>
    </w:p>
  </w:endnote>
  <w:endnote w:id="88">
    <w:p w14:paraId="61AE06CD" w14:textId="28E0655E"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Ramnath Subbu, “New </w:t>
      </w:r>
      <w:r>
        <w:rPr>
          <w:rFonts w:ascii="Arial" w:hAnsi="Arial" w:cs="Arial"/>
          <w:sz w:val="17"/>
          <w:szCs w:val="17"/>
        </w:rPr>
        <w:t>A</w:t>
      </w:r>
      <w:r w:rsidRPr="0012478D">
        <w:rPr>
          <w:rFonts w:ascii="Arial" w:hAnsi="Arial" w:cs="Arial"/>
          <w:sz w:val="17"/>
          <w:szCs w:val="17"/>
        </w:rPr>
        <w:t xml:space="preserve">d </w:t>
      </w:r>
      <w:r>
        <w:rPr>
          <w:rFonts w:ascii="Arial" w:hAnsi="Arial" w:cs="Arial"/>
          <w:sz w:val="17"/>
          <w:szCs w:val="17"/>
        </w:rPr>
        <w:t>N</w:t>
      </w:r>
      <w:r w:rsidRPr="0012478D">
        <w:rPr>
          <w:rFonts w:ascii="Arial" w:hAnsi="Arial" w:cs="Arial"/>
          <w:sz w:val="17"/>
          <w:szCs w:val="17"/>
        </w:rPr>
        <w:t xml:space="preserve">orms for </w:t>
      </w:r>
      <w:r>
        <w:rPr>
          <w:rFonts w:ascii="Arial" w:hAnsi="Arial" w:cs="Arial"/>
          <w:sz w:val="17"/>
          <w:szCs w:val="17"/>
        </w:rPr>
        <w:t>S</w:t>
      </w:r>
      <w:r w:rsidRPr="0012478D">
        <w:rPr>
          <w:rFonts w:ascii="Arial" w:hAnsi="Arial" w:cs="Arial"/>
          <w:sz w:val="17"/>
          <w:szCs w:val="17"/>
        </w:rPr>
        <w:t xml:space="preserve">kin </w:t>
      </w:r>
      <w:r>
        <w:rPr>
          <w:rFonts w:ascii="Arial" w:hAnsi="Arial" w:cs="Arial"/>
          <w:sz w:val="17"/>
          <w:szCs w:val="17"/>
        </w:rPr>
        <w:t>L</w:t>
      </w:r>
      <w:r w:rsidRPr="0012478D">
        <w:rPr>
          <w:rFonts w:ascii="Arial" w:hAnsi="Arial" w:cs="Arial"/>
          <w:sz w:val="17"/>
          <w:szCs w:val="17"/>
        </w:rPr>
        <w:t xml:space="preserve">ightening </w:t>
      </w:r>
      <w:r>
        <w:rPr>
          <w:rFonts w:ascii="Arial" w:hAnsi="Arial" w:cs="Arial"/>
          <w:sz w:val="17"/>
          <w:szCs w:val="17"/>
        </w:rPr>
        <w:t>P</w:t>
      </w:r>
      <w:r w:rsidRPr="0012478D">
        <w:rPr>
          <w:rFonts w:ascii="Arial" w:hAnsi="Arial" w:cs="Arial"/>
          <w:sz w:val="17"/>
          <w:szCs w:val="17"/>
        </w:rPr>
        <w:t xml:space="preserve">roducts,” </w:t>
      </w:r>
      <w:r w:rsidRPr="0012478D">
        <w:rPr>
          <w:rFonts w:ascii="Arial" w:hAnsi="Arial" w:cs="Arial"/>
          <w:i/>
          <w:iCs/>
          <w:sz w:val="17"/>
          <w:szCs w:val="17"/>
        </w:rPr>
        <w:t>Hindu</w:t>
      </w:r>
      <w:r w:rsidRPr="0012478D">
        <w:rPr>
          <w:rFonts w:ascii="Arial" w:hAnsi="Arial" w:cs="Arial"/>
          <w:sz w:val="17"/>
          <w:szCs w:val="17"/>
        </w:rPr>
        <w:t>, August 19, 2014, accessed July 3, 2020, www.thehindu.com/business/Industry/new-ad-norms-for-skin-lightening-products/article6332397.ece</w:t>
      </w:r>
      <w:r>
        <w:rPr>
          <w:rFonts w:ascii="Arial" w:hAnsi="Arial" w:cs="Arial"/>
          <w:sz w:val="17"/>
          <w:szCs w:val="17"/>
        </w:rPr>
        <w:t>.</w:t>
      </w:r>
    </w:p>
  </w:endnote>
  <w:endnote w:id="89">
    <w:p w14:paraId="6C47DAD5" w14:textId="439D8AE2"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Pr>
          <w:rFonts w:ascii="Arial" w:hAnsi="Arial" w:cs="Arial"/>
          <w:sz w:val="17"/>
          <w:szCs w:val="17"/>
        </w:rPr>
        <w:t>PTI, “</w:t>
      </w:r>
      <w:r w:rsidRPr="003122C4">
        <w:rPr>
          <w:rFonts w:ascii="Arial" w:hAnsi="Arial" w:cs="Arial"/>
          <w:sz w:val="17"/>
          <w:szCs w:val="17"/>
        </w:rPr>
        <w:t xml:space="preserve">Demand to </w:t>
      </w:r>
      <w:r>
        <w:rPr>
          <w:rFonts w:ascii="Arial" w:hAnsi="Arial" w:cs="Arial"/>
          <w:sz w:val="17"/>
          <w:szCs w:val="17"/>
        </w:rPr>
        <w:t>B</w:t>
      </w:r>
      <w:r w:rsidRPr="003122C4">
        <w:rPr>
          <w:rFonts w:ascii="Arial" w:hAnsi="Arial" w:cs="Arial"/>
          <w:sz w:val="17"/>
          <w:szCs w:val="17"/>
        </w:rPr>
        <w:t xml:space="preserve">an </w:t>
      </w:r>
      <w:r>
        <w:rPr>
          <w:rFonts w:ascii="Arial" w:hAnsi="Arial" w:cs="Arial"/>
          <w:sz w:val="17"/>
          <w:szCs w:val="17"/>
        </w:rPr>
        <w:t>A</w:t>
      </w:r>
      <w:r w:rsidRPr="003122C4">
        <w:rPr>
          <w:rFonts w:ascii="Arial" w:hAnsi="Arial" w:cs="Arial"/>
          <w:sz w:val="17"/>
          <w:szCs w:val="17"/>
        </w:rPr>
        <w:t xml:space="preserve">dvertisements on </w:t>
      </w:r>
      <w:r>
        <w:rPr>
          <w:rFonts w:ascii="Arial" w:hAnsi="Arial" w:cs="Arial"/>
          <w:sz w:val="17"/>
          <w:szCs w:val="17"/>
        </w:rPr>
        <w:t>F</w:t>
      </w:r>
      <w:r w:rsidRPr="003122C4">
        <w:rPr>
          <w:rFonts w:ascii="Arial" w:hAnsi="Arial" w:cs="Arial"/>
          <w:sz w:val="17"/>
          <w:szCs w:val="17"/>
        </w:rPr>
        <w:t xml:space="preserve">airness </w:t>
      </w:r>
      <w:r>
        <w:rPr>
          <w:rFonts w:ascii="Arial" w:hAnsi="Arial" w:cs="Arial"/>
          <w:sz w:val="17"/>
          <w:szCs w:val="17"/>
        </w:rPr>
        <w:t>C</w:t>
      </w:r>
      <w:r w:rsidRPr="003122C4">
        <w:rPr>
          <w:rFonts w:ascii="Arial" w:hAnsi="Arial" w:cs="Arial"/>
          <w:sz w:val="17"/>
          <w:szCs w:val="17"/>
        </w:rPr>
        <w:t>reams in Rajya Sabha,</w:t>
      </w:r>
      <w:r>
        <w:rPr>
          <w:rFonts w:ascii="Arial" w:hAnsi="Arial" w:cs="Arial"/>
          <w:sz w:val="17"/>
          <w:szCs w:val="17"/>
        </w:rPr>
        <w:t>”</w:t>
      </w:r>
      <w:r w:rsidRPr="003122C4">
        <w:rPr>
          <w:rFonts w:ascii="Arial" w:hAnsi="Arial" w:cs="Arial"/>
          <w:sz w:val="17"/>
          <w:szCs w:val="17"/>
        </w:rPr>
        <w:t xml:space="preserve"> </w:t>
      </w:r>
      <w:r w:rsidRPr="003122C4">
        <w:rPr>
          <w:rFonts w:ascii="Arial" w:hAnsi="Arial" w:cs="Arial"/>
          <w:i/>
          <w:sz w:val="17"/>
          <w:szCs w:val="17"/>
        </w:rPr>
        <w:t>Economic Times</w:t>
      </w:r>
      <w:r w:rsidRPr="003122C4">
        <w:rPr>
          <w:rFonts w:ascii="Arial" w:hAnsi="Arial" w:cs="Arial"/>
          <w:sz w:val="17"/>
          <w:szCs w:val="17"/>
        </w:rPr>
        <w:t>, Jul</w:t>
      </w:r>
      <w:r>
        <w:rPr>
          <w:rFonts w:ascii="Arial" w:hAnsi="Arial" w:cs="Arial"/>
          <w:sz w:val="17"/>
          <w:szCs w:val="17"/>
        </w:rPr>
        <w:t>y</w:t>
      </w:r>
      <w:r w:rsidRPr="003122C4">
        <w:rPr>
          <w:rFonts w:ascii="Arial" w:hAnsi="Arial" w:cs="Arial"/>
          <w:sz w:val="17"/>
          <w:szCs w:val="17"/>
        </w:rPr>
        <w:t xml:space="preserve"> 26, 2016</w:t>
      </w:r>
      <w:r>
        <w:rPr>
          <w:rFonts w:ascii="Arial" w:hAnsi="Arial" w:cs="Arial"/>
          <w:sz w:val="17"/>
          <w:szCs w:val="17"/>
        </w:rPr>
        <w:t xml:space="preserve">, accessed November 12, 2020, </w:t>
      </w:r>
      <w:r w:rsidRPr="0012478D">
        <w:rPr>
          <w:rFonts w:ascii="Arial" w:hAnsi="Arial" w:cs="Arial"/>
          <w:sz w:val="17"/>
          <w:szCs w:val="17"/>
        </w:rPr>
        <w:t>https://economictimes.indiatimes.com/news/politics-and-nation/demand-to-ban-advertisements-on-fairness-creams-in-rajya-sabha/articleshow/53395126.cms?from=mdr</w:t>
      </w:r>
      <w:r>
        <w:rPr>
          <w:rFonts w:ascii="Arial" w:hAnsi="Arial" w:cs="Arial"/>
          <w:sz w:val="17"/>
          <w:szCs w:val="17"/>
        </w:rPr>
        <w:t>.</w:t>
      </w:r>
    </w:p>
  </w:endnote>
  <w:endnote w:id="90">
    <w:p w14:paraId="1BA320F5" w14:textId="7EA08B9C"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Hindustan Unilever L</w:t>
      </w:r>
      <w:r>
        <w:rPr>
          <w:rFonts w:ascii="Arial" w:hAnsi="Arial" w:cs="Arial"/>
          <w:sz w:val="17"/>
          <w:szCs w:val="17"/>
        </w:rPr>
        <w:t>imited</w:t>
      </w:r>
      <w:r w:rsidRPr="0012478D">
        <w:rPr>
          <w:rFonts w:ascii="Arial" w:hAnsi="Arial" w:cs="Arial"/>
          <w:sz w:val="17"/>
          <w:szCs w:val="17"/>
        </w:rPr>
        <w:t xml:space="preserve">, </w:t>
      </w:r>
      <w:r w:rsidRPr="000808E7">
        <w:rPr>
          <w:rFonts w:ascii="Arial" w:hAnsi="Arial" w:cs="Arial"/>
          <w:i/>
          <w:sz w:val="17"/>
          <w:szCs w:val="17"/>
        </w:rPr>
        <w:t>Annual Report 2015</w:t>
      </w:r>
      <w:r>
        <w:rPr>
          <w:rFonts w:ascii="Arial" w:hAnsi="Arial" w:cs="Arial"/>
          <w:i/>
          <w:sz w:val="17"/>
          <w:szCs w:val="17"/>
        </w:rPr>
        <w:t>–</w:t>
      </w:r>
      <w:r w:rsidRPr="000808E7">
        <w:rPr>
          <w:rFonts w:ascii="Arial" w:hAnsi="Arial" w:cs="Arial"/>
          <w:i/>
          <w:sz w:val="17"/>
          <w:szCs w:val="17"/>
        </w:rPr>
        <w:t>16: Making Sustainable Living Commonplace</w:t>
      </w:r>
      <w:r w:rsidRPr="0012478D">
        <w:rPr>
          <w:rFonts w:ascii="Arial" w:hAnsi="Arial" w:cs="Arial"/>
          <w:sz w:val="17"/>
          <w:szCs w:val="17"/>
        </w:rPr>
        <w:t xml:space="preserve">, </w:t>
      </w:r>
      <w:bookmarkStart w:id="16" w:name="_Hlk56357010"/>
      <w:r w:rsidRPr="0012478D">
        <w:rPr>
          <w:rFonts w:ascii="Arial" w:hAnsi="Arial" w:cs="Arial"/>
          <w:sz w:val="17"/>
          <w:szCs w:val="17"/>
        </w:rPr>
        <w:t>accessed July 14, 2020,</w:t>
      </w:r>
      <w:bookmarkEnd w:id="16"/>
      <w:r w:rsidRPr="0012478D">
        <w:rPr>
          <w:rFonts w:ascii="Arial" w:hAnsi="Arial" w:cs="Arial"/>
          <w:sz w:val="17"/>
          <w:szCs w:val="17"/>
        </w:rPr>
        <w:t xml:space="preserve"> www.hul.co.in/Images/annual-report-2015-16_tcm1255-482421_en.pdf</w:t>
      </w:r>
      <w:r>
        <w:rPr>
          <w:rFonts w:ascii="Arial" w:hAnsi="Arial" w:cs="Arial"/>
          <w:sz w:val="17"/>
          <w:szCs w:val="17"/>
        </w:rPr>
        <w:t>.</w:t>
      </w:r>
    </w:p>
  </w:endnote>
  <w:endnote w:id="91">
    <w:p w14:paraId="5C3408FB" w14:textId="0DE5E1BD"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Hindustan Unilever L</w:t>
      </w:r>
      <w:r>
        <w:rPr>
          <w:rFonts w:ascii="Arial" w:hAnsi="Arial" w:cs="Arial"/>
          <w:sz w:val="17"/>
          <w:szCs w:val="17"/>
        </w:rPr>
        <w:t>imited</w:t>
      </w:r>
      <w:r w:rsidRPr="0012478D">
        <w:rPr>
          <w:rFonts w:ascii="Arial" w:hAnsi="Arial" w:cs="Arial"/>
          <w:sz w:val="17"/>
          <w:szCs w:val="17"/>
        </w:rPr>
        <w:t xml:space="preserve">, </w:t>
      </w:r>
      <w:r w:rsidRPr="000808E7">
        <w:rPr>
          <w:rFonts w:ascii="Arial" w:hAnsi="Arial" w:cs="Arial"/>
          <w:i/>
          <w:sz w:val="17"/>
          <w:szCs w:val="17"/>
        </w:rPr>
        <w:t xml:space="preserve">Annual Report 2014–15: Making Sustainable </w:t>
      </w:r>
      <w:r>
        <w:rPr>
          <w:rFonts w:ascii="Arial" w:hAnsi="Arial" w:cs="Arial"/>
          <w:i/>
          <w:sz w:val="17"/>
          <w:szCs w:val="17"/>
        </w:rPr>
        <w:t>L</w:t>
      </w:r>
      <w:r w:rsidRPr="000808E7">
        <w:rPr>
          <w:rFonts w:ascii="Arial" w:hAnsi="Arial" w:cs="Arial"/>
          <w:i/>
          <w:sz w:val="17"/>
          <w:szCs w:val="17"/>
        </w:rPr>
        <w:t>iving Commonplace</w:t>
      </w:r>
      <w:r w:rsidRPr="0012478D">
        <w:rPr>
          <w:rFonts w:ascii="Arial" w:hAnsi="Arial" w:cs="Arial"/>
          <w:sz w:val="17"/>
          <w:szCs w:val="17"/>
        </w:rPr>
        <w:t xml:space="preserve">, accessed July 14, 2020, </w:t>
      </w:r>
      <w:r w:rsidRPr="00213191">
        <w:rPr>
          <w:rStyle w:val="Hyperlink"/>
          <w:rFonts w:ascii="Arial" w:hAnsi="Arial" w:cs="Arial"/>
          <w:color w:val="auto"/>
          <w:sz w:val="17"/>
          <w:szCs w:val="17"/>
          <w:u w:val="none"/>
        </w:rPr>
        <w:t>www.hul.co.in/Images/hul-annual-report-2014-15_tcm1255-436328_en.pdf</w:t>
      </w:r>
      <w:r>
        <w:rPr>
          <w:rStyle w:val="Hyperlink"/>
          <w:rFonts w:ascii="Arial" w:hAnsi="Arial" w:cs="Arial"/>
          <w:color w:val="auto"/>
          <w:sz w:val="17"/>
          <w:szCs w:val="17"/>
          <w:u w:val="none"/>
        </w:rPr>
        <w:t>, 51</w:t>
      </w:r>
      <w:r w:rsidRPr="0012478D">
        <w:rPr>
          <w:rFonts w:ascii="Arial" w:hAnsi="Arial" w:cs="Arial"/>
          <w:sz w:val="17"/>
          <w:szCs w:val="17"/>
        </w:rPr>
        <w:t>.</w:t>
      </w:r>
    </w:p>
  </w:endnote>
  <w:endnote w:id="92">
    <w:p w14:paraId="534964F1" w14:textId="6695420E"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sidRPr="0089458B">
        <w:rPr>
          <w:rFonts w:ascii="Arial" w:hAnsi="Arial" w:cs="Arial"/>
          <w:sz w:val="17"/>
          <w:szCs w:val="17"/>
        </w:rPr>
        <w:t>Hindustan Unilever L</w:t>
      </w:r>
      <w:r>
        <w:rPr>
          <w:rFonts w:ascii="Arial" w:hAnsi="Arial" w:cs="Arial"/>
          <w:sz w:val="17"/>
          <w:szCs w:val="17"/>
        </w:rPr>
        <w:t>imited</w:t>
      </w:r>
      <w:r w:rsidRPr="0089458B">
        <w:rPr>
          <w:rFonts w:ascii="Arial" w:hAnsi="Arial" w:cs="Arial"/>
          <w:sz w:val="17"/>
          <w:szCs w:val="17"/>
        </w:rPr>
        <w:t xml:space="preserve">, </w:t>
      </w:r>
      <w:r w:rsidRPr="0089458B">
        <w:rPr>
          <w:rFonts w:ascii="Arial" w:hAnsi="Arial" w:cs="Arial"/>
          <w:i/>
          <w:sz w:val="17"/>
          <w:szCs w:val="17"/>
        </w:rPr>
        <w:t>Unilever Sustainable Living Plan: India Progress 2017</w:t>
      </w:r>
      <w:r>
        <w:rPr>
          <w:rFonts w:ascii="Arial" w:hAnsi="Arial" w:cs="Arial"/>
          <w:sz w:val="17"/>
          <w:szCs w:val="17"/>
        </w:rPr>
        <w:t xml:space="preserve">, op. cit. </w:t>
      </w:r>
    </w:p>
  </w:endnote>
  <w:endnote w:id="93">
    <w:p w14:paraId="41B250A3" w14:textId="0714105F"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In 2017, </w:t>
      </w:r>
      <w:r>
        <w:rPr>
          <w:rFonts w:ascii="Arial" w:hAnsi="Arial" w:cs="Arial"/>
          <w:sz w:val="17"/>
          <w:szCs w:val="17"/>
        </w:rPr>
        <w:t>F&amp;L</w:t>
      </w:r>
      <w:r w:rsidRPr="0012478D">
        <w:rPr>
          <w:rFonts w:ascii="Arial" w:hAnsi="Arial" w:cs="Arial"/>
          <w:sz w:val="17"/>
          <w:szCs w:val="17"/>
        </w:rPr>
        <w:t xml:space="preserve"> </w:t>
      </w:r>
      <w:r>
        <w:rPr>
          <w:rFonts w:ascii="Arial" w:hAnsi="Arial" w:cs="Arial"/>
          <w:sz w:val="17"/>
          <w:szCs w:val="17"/>
        </w:rPr>
        <w:t>made</w:t>
      </w:r>
      <w:r w:rsidRPr="0012478D">
        <w:rPr>
          <w:rFonts w:ascii="Arial" w:hAnsi="Arial" w:cs="Arial"/>
          <w:sz w:val="17"/>
          <w:szCs w:val="17"/>
        </w:rPr>
        <w:t xml:space="preserve"> </w:t>
      </w:r>
      <w:r w:rsidRPr="000808E7">
        <w:rPr>
          <w:rFonts w:ascii="Arial" w:hAnsi="Arial" w:cs="Arial"/>
          <w:i/>
          <w:sz w:val="17"/>
          <w:szCs w:val="17"/>
        </w:rPr>
        <w:t>The Economic Times</w:t>
      </w:r>
      <w:r w:rsidRPr="0012478D">
        <w:rPr>
          <w:rFonts w:ascii="Arial" w:hAnsi="Arial" w:cs="Arial"/>
          <w:sz w:val="17"/>
          <w:szCs w:val="17"/>
        </w:rPr>
        <w:t xml:space="preserve"> </w:t>
      </w:r>
      <w:r>
        <w:rPr>
          <w:rFonts w:ascii="Arial" w:hAnsi="Arial" w:cs="Arial"/>
          <w:sz w:val="17"/>
          <w:szCs w:val="17"/>
        </w:rPr>
        <w:t>b</w:t>
      </w:r>
      <w:r w:rsidRPr="0012478D">
        <w:rPr>
          <w:rFonts w:ascii="Arial" w:hAnsi="Arial" w:cs="Arial"/>
          <w:sz w:val="17"/>
          <w:szCs w:val="17"/>
        </w:rPr>
        <w:t xml:space="preserve">rand </w:t>
      </w:r>
      <w:r>
        <w:rPr>
          <w:rFonts w:ascii="Arial" w:hAnsi="Arial" w:cs="Arial"/>
          <w:sz w:val="17"/>
          <w:szCs w:val="17"/>
        </w:rPr>
        <w:t>e</w:t>
      </w:r>
      <w:r w:rsidRPr="0012478D">
        <w:rPr>
          <w:rFonts w:ascii="Arial" w:hAnsi="Arial" w:cs="Arial"/>
          <w:sz w:val="17"/>
          <w:szCs w:val="17"/>
        </w:rPr>
        <w:t>quity’s list of India’s Most Trusted brands</w:t>
      </w:r>
      <w:r>
        <w:rPr>
          <w:rFonts w:ascii="Arial" w:hAnsi="Arial" w:cs="Arial"/>
          <w:sz w:val="17"/>
          <w:szCs w:val="17"/>
        </w:rPr>
        <w:t>;</w:t>
      </w:r>
      <w:r w:rsidRPr="0012478D">
        <w:rPr>
          <w:rFonts w:ascii="Arial" w:hAnsi="Arial" w:cs="Arial"/>
          <w:sz w:val="17"/>
          <w:szCs w:val="17"/>
        </w:rPr>
        <w:t xml:space="preserve"> Hindustan Unilever L</w:t>
      </w:r>
      <w:r>
        <w:rPr>
          <w:rFonts w:ascii="Arial" w:hAnsi="Arial" w:cs="Arial"/>
          <w:sz w:val="17"/>
          <w:szCs w:val="17"/>
        </w:rPr>
        <w:t>imited</w:t>
      </w:r>
      <w:r w:rsidRPr="0012478D">
        <w:rPr>
          <w:rFonts w:ascii="Arial" w:hAnsi="Arial" w:cs="Arial"/>
          <w:sz w:val="17"/>
          <w:szCs w:val="17"/>
        </w:rPr>
        <w:t xml:space="preserve">, </w:t>
      </w:r>
      <w:r w:rsidRPr="000808E7">
        <w:rPr>
          <w:rFonts w:ascii="Arial" w:hAnsi="Arial" w:cs="Arial"/>
          <w:i/>
          <w:sz w:val="17"/>
          <w:szCs w:val="17"/>
        </w:rPr>
        <w:t>Annual Report,</w:t>
      </w:r>
      <w:r>
        <w:rPr>
          <w:rFonts w:ascii="Arial" w:hAnsi="Arial" w:cs="Arial"/>
          <w:i/>
          <w:sz w:val="17"/>
          <w:szCs w:val="17"/>
        </w:rPr>
        <w:t xml:space="preserve"> </w:t>
      </w:r>
      <w:r w:rsidRPr="000808E7">
        <w:rPr>
          <w:rFonts w:ascii="Arial" w:hAnsi="Arial" w:cs="Arial"/>
          <w:i/>
          <w:sz w:val="17"/>
          <w:szCs w:val="17"/>
        </w:rPr>
        <w:t>2017–18</w:t>
      </w:r>
      <w:r w:rsidRPr="00845010">
        <w:rPr>
          <w:rFonts w:ascii="Arial" w:hAnsi="Arial" w:cs="Arial"/>
          <w:i/>
          <w:sz w:val="17"/>
          <w:szCs w:val="17"/>
        </w:rPr>
        <w:t xml:space="preserve">: </w:t>
      </w:r>
      <w:r w:rsidRPr="009B4E78">
        <w:rPr>
          <w:rFonts w:ascii="Arial" w:hAnsi="Arial" w:cs="Arial"/>
          <w:i/>
          <w:sz w:val="17"/>
          <w:szCs w:val="17"/>
        </w:rPr>
        <w:t>Making Sustainable living Commonplace</w:t>
      </w:r>
      <w:r w:rsidRPr="0012478D">
        <w:rPr>
          <w:rFonts w:ascii="Arial" w:hAnsi="Arial" w:cs="Arial"/>
          <w:sz w:val="17"/>
          <w:szCs w:val="17"/>
        </w:rPr>
        <w:t>, accessed July 12, 2020, www.hul.co.in/Images/hul-annual-report-2017-18_tcm1255-523195_en.pdf.</w:t>
      </w:r>
    </w:p>
  </w:endnote>
  <w:endnote w:id="94">
    <w:p w14:paraId="70CC43F2" w14:textId="0AE9C9AA"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Bansal and Tandon, op. cit. </w:t>
      </w:r>
    </w:p>
  </w:endnote>
  <w:endnote w:id="95">
    <w:p w14:paraId="675786BC" w14:textId="143377D1"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Pr>
          <w:rFonts w:ascii="Arial" w:hAnsi="Arial" w:cs="Arial"/>
          <w:sz w:val="17"/>
          <w:szCs w:val="17"/>
        </w:rPr>
        <w:t xml:space="preserve">“Fair &amp; Lovely,” </w:t>
      </w:r>
      <w:r w:rsidRPr="0089458B">
        <w:rPr>
          <w:rFonts w:ascii="Arial" w:hAnsi="Arial" w:cs="Arial"/>
          <w:sz w:val="17"/>
          <w:szCs w:val="17"/>
        </w:rPr>
        <w:t>Hindustan Unilever L</w:t>
      </w:r>
      <w:r>
        <w:rPr>
          <w:rFonts w:ascii="Arial" w:hAnsi="Arial" w:cs="Arial"/>
          <w:sz w:val="17"/>
          <w:szCs w:val="17"/>
        </w:rPr>
        <w:t>imited</w:t>
      </w:r>
      <w:r w:rsidRPr="0089458B">
        <w:rPr>
          <w:rFonts w:ascii="Arial" w:hAnsi="Arial" w:cs="Arial"/>
          <w:sz w:val="17"/>
          <w:szCs w:val="17"/>
        </w:rPr>
        <w:t xml:space="preserve">, </w:t>
      </w:r>
      <w:r>
        <w:rPr>
          <w:rFonts w:ascii="Arial" w:hAnsi="Arial" w:cs="Arial"/>
          <w:sz w:val="17"/>
          <w:szCs w:val="17"/>
        </w:rPr>
        <w:t xml:space="preserve">accessed November 12, 2020, </w:t>
      </w:r>
      <w:r w:rsidRPr="0012478D">
        <w:rPr>
          <w:rFonts w:ascii="Arial" w:hAnsi="Arial" w:cs="Arial"/>
          <w:sz w:val="17"/>
          <w:szCs w:val="17"/>
        </w:rPr>
        <w:t>www.hul.co.in/brands/personal-care/fair-and-lovely.html</w:t>
      </w:r>
      <w:r>
        <w:rPr>
          <w:rFonts w:ascii="Arial" w:hAnsi="Arial" w:cs="Arial"/>
          <w:sz w:val="17"/>
          <w:szCs w:val="17"/>
        </w:rPr>
        <w:t>.</w:t>
      </w:r>
    </w:p>
  </w:endnote>
  <w:endnote w:id="96">
    <w:p w14:paraId="23D8C2D3" w14:textId="0DC828A8"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w:t>
      </w:r>
      <w:r w:rsidRPr="00845010">
        <w:rPr>
          <w:rFonts w:ascii="Arial" w:hAnsi="Arial" w:cs="Arial"/>
          <w:sz w:val="17"/>
          <w:szCs w:val="17"/>
        </w:rPr>
        <w:t xml:space="preserve">Kritika Vaid, </w:t>
      </w:r>
      <w:r>
        <w:rPr>
          <w:rFonts w:ascii="Arial" w:hAnsi="Arial" w:cs="Arial"/>
          <w:sz w:val="17"/>
          <w:szCs w:val="17"/>
        </w:rPr>
        <w:t>“</w:t>
      </w:r>
      <w:r w:rsidRPr="00845010">
        <w:rPr>
          <w:rFonts w:ascii="Arial" w:hAnsi="Arial" w:cs="Arial"/>
          <w:sz w:val="17"/>
          <w:szCs w:val="17"/>
        </w:rPr>
        <w:t xml:space="preserve">Fair &amp; Lovely: Abhay Deol, Richa Chadha, Bipasha Basu, Suhana Khan </w:t>
      </w:r>
      <w:r>
        <w:rPr>
          <w:rFonts w:ascii="Arial" w:hAnsi="Arial" w:cs="Arial"/>
          <w:sz w:val="17"/>
          <w:szCs w:val="17"/>
        </w:rPr>
        <w:t>a</w:t>
      </w:r>
      <w:r w:rsidRPr="00845010">
        <w:rPr>
          <w:rFonts w:ascii="Arial" w:hAnsi="Arial" w:cs="Arial"/>
          <w:sz w:val="17"/>
          <w:szCs w:val="17"/>
        </w:rPr>
        <w:t xml:space="preserve">nd Others Hail HUL’s Decision to Remove ‘Fair’ </w:t>
      </w:r>
      <w:r>
        <w:rPr>
          <w:rFonts w:ascii="Arial" w:hAnsi="Arial" w:cs="Arial"/>
          <w:sz w:val="17"/>
          <w:szCs w:val="17"/>
        </w:rPr>
        <w:t>f</w:t>
      </w:r>
      <w:r w:rsidRPr="00845010">
        <w:rPr>
          <w:rFonts w:ascii="Arial" w:hAnsi="Arial" w:cs="Arial"/>
          <w:sz w:val="17"/>
          <w:szCs w:val="17"/>
        </w:rPr>
        <w:t xml:space="preserve">rom </w:t>
      </w:r>
      <w:r>
        <w:rPr>
          <w:rFonts w:ascii="Arial" w:hAnsi="Arial" w:cs="Arial"/>
          <w:sz w:val="17"/>
          <w:szCs w:val="17"/>
        </w:rPr>
        <w:t>t</w:t>
      </w:r>
      <w:r w:rsidRPr="00845010">
        <w:rPr>
          <w:rFonts w:ascii="Arial" w:hAnsi="Arial" w:cs="Arial"/>
          <w:sz w:val="17"/>
          <w:szCs w:val="17"/>
        </w:rPr>
        <w:t>he Name,</w:t>
      </w:r>
      <w:r>
        <w:rPr>
          <w:rFonts w:ascii="Arial" w:hAnsi="Arial" w:cs="Arial"/>
          <w:sz w:val="17"/>
          <w:szCs w:val="17"/>
        </w:rPr>
        <w:t>”</w:t>
      </w:r>
      <w:r w:rsidRPr="00845010">
        <w:rPr>
          <w:rFonts w:ascii="Arial" w:hAnsi="Arial" w:cs="Arial"/>
          <w:sz w:val="17"/>
          <w:szCs w:val="17"/>
        </w:rPr>
        <w:t xml:space="preserve"> India.com, June 26, 2020</w:t>
      </w:r>
      <w:r>
        <w:rPr>
          <w:rFonts w:ascii="Arial" w:hAnsi="Arial" w:cs="Arial"/>
          <w:sz w:val="17"/>
          <w:szCs w:val="17"/>
        </w:rPr>
        <w:t xml:space="preserve">, accessed November 12, 2020, </w:t>
      </w:r>
      <w:r w:rsidRPr="0012478D">
        <w:rPr>
          <w:rStyle w:val="Hyperlink"/>
          <w:rFonts w:ascii="Arial" w:hAnsi="Arial" w:cs="Arial"/>
          <w:color w:val="auto"/>
          <w:sz w:val="17"/>
          <w:szCs w:val="17"/>
          <w:u w:val="none"/>
        </w:rPr>
        <w:t>www.india.com/entertainment/fair-lovely-abhay-deol-richa-chadha-bipasha-basu-suhana-khan-and-others-hail-huls-decision-to-remove-fair-from-the-name-4068401</w:t>
      </w:r>
      <w:r>
        <w:rPr>
          <w:rStyle w:val="Hyperlink"/>
          <w:rFonts w:ascii="Arial" w:hAnsi="Arial" w:cs="Arial"/>
          <w:color w:val="auto"/>
          <w:sz w:val="17"/>
          <w:szCs w:val="17"/>
          <w:u w:val="none"/>
        </w:rPr>
        <w:t>.</w:t>
      </w:r>
    </w:p>
  </w:endnote>
  <w:endnote w:id="97">
    <w:p w14:paraId="4DB6DB0A" w14:textId="062F7D33"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Hindustan Unilever L</w:t>
      </w:r>
      <w:r>
        <w:rPr>
          <w:rFonts w:ascii="Arial" w:hAnsi="Arial" w:cs="Arial"/>
          <w:sz w:val="17"/>
          <w:szCs w:val="17"/>
        </w:rPr>
        <w:t>imited</w:t>
      </w:r>
      <w:r w:rsidRPr="0012478D">
        <w:rPr>
          <w:rFonts w:ascii="Arial" w:hAnsi="Arial" w:cs="Arial"/>
          <w:sz w:val="17"/>
          <w:szCs w:val="17"/>
        </w:rPr>
        <w:t xml:space="preserve">, </w:t>
      </w:r>
      <w:r w:rsidRPr="009B4E78">
        <w:rPr>
          <w:rFonts w:ascii="Arial" w:hAnsi="Arial" w:cs="Arial"/>
          <w:i/>
          <w:sz w:val="17"/>
          <w:szCs w:val="17"/>
        </w:rPr>
        <w:t>Purpose-Led, Future-fit: Integrated Annual Report 2019</w:t>
      </w:r>
      <w:r>
        <w:rPr>
          <w:rFonts w:ascii="Arial" w:hAnsi="Arial" w:cs="Arial"/>
          <w:i/>
          <w:sz w:val="17"/>
          <w:szCs w:val="17"/>
        </w:rPr>
        <w:t>–</w:t>
      </w:r>
      <w:r w:rsidRPr="009B4E78">
        <w:rPr>
          <w:rFonts w:ascii="Arial" w:hAnsi="Arial" w:cs="Arial"/>
          <w:i/>
          <w:sz w:val="17"/>
          <w:szCs w:val="17"/>
        </w:rPr>
        <w:t>20</w:t>
      </w:r>
      <w:r w:rsidRPr="0012478D">
        <w:rPr>
          <w:rFonts w:ascii="Arial" w:hAnsi="Arial" w:cs="Arial"/>
          <w:sz w:val="17"/>
          <w:szCs w:val="17"/>
        </w:rPr>
        <w:t xml:space="preserve">, </w:t>
      </w:r>
      <w:r>
        <w:rPr>
          <w:rFonts w:ascii="Arial" w:hAnsi="Arial" w:cs="Arial"/>
          <w:sz w:val="17"/>
          <w:szCs w:val="17"/>
        </w:rPr>
        <w:t xml:space="preserve">op. cit. </w:t>
      </w:r>
    </w:p>
  </w:endnote>
  <w:endnote w:id="98">
    <w:p w14:paraId="7AFDE5EC" w14:textId="73FE64E7"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Suneera Tandon, “HUL’s ‘Fair and Lovely’ </w:t>
      </w:r>
      <w:r>
        <w:rPr>
          <w:rFonts w:ascii="Arial" w:hAnsi="Arial" w:cs="Arial"/>
          <w:sz w:val="17"/>
          <w:szCs w:val="17"/>
        </w:rPr>
        <w:t>I</w:t>
      </w:r>
      <w:r w:rsidRPr="0012478D">
        <w:rPr>
          <w:rFonts w:ascii="Arial" w:hAnsi="Arial" w:cs="Arial"/>
          <w:sz w:val="17"/>
          <w:szCs w:val="17"/>
        </w:rPr>
        <w:t xml:space="preserve">s </w:t>
      </w:r>
      <w:r>
        <w:rPr>
          <w:rFonts w:ascii="Arial" w:hAnsi="Arial" w:cs="Arial"/>
          <w:sz w:val="17"/>
          <w:szCs w:val="17"/>
        </w:rPr>
        <w:t>N</w:t>
      </w:r>
      <w:r w:rsidRPr="0012478D">
        <w:rPr>
          <w:rFonts w:ascii="Arial" w:hAnsi="Arial" w:cs="Arial"/>
          <w:sz w:val="17"/>
          <w:szCs w:val="17"/>
        </w:rPr>
        <w:t>ow ‘Glow and Lovely,</w:t>
      </w:r>
      <w:r>
        <w:rPr>
          <w:rFonts w:ascii="Arial" w:hAnsi="Arial" w:cs="Arial"/>
          <w:sz w:val="17"/>
          <w:szCs w:val="17"/>
        </w:rPr>
        <w:t>’</w:t>
      </w:r>
      <w:r w:rsidRPr="0012478D">
        <w:rPr>
          <w:rFonts w:ascii="Arial" w:hAnsi="Arial" w:cs="Arial"/>
          <w:sz w:val="17"/>
          <w:szCs w:val="17"/>
        </w:rPr>
        <w:t xml:space="preserve">” </w:t>
      </w:r>
      <w:r>
        <w:rPr>
          <w:rFonts w:ascii="Arial" w:hAnsi="Arial" w:cs="Arial"/>
          <w:sz w:val="17"/>
          <w:szCs w:val="17"/>
        </w:rPr>
        <w:t>Mint</w:t>
      </w:r>
      <w:r w:rsidRPr="000808E7">
        <w:rPr>
          <w:rFonts w:ascii="Arial" w:hAnsi="Arial" w:cs="Arial"/>
          <w:iCs/>
          <w:sz w:val="17"/>
          <w:szCs w:val="17"/>
        </w:rPr>
        <w:t>,</w:t>
      </w:r>
      <w:r w:rsidRPr="00845010">
        <w:rPr>
          <w:rFonts w:ascii="Arial" w:hAnsi="Arial" w:cs="Arial"/>
          <w:sz w:val="17"/>
          <w:szCs w:val="17"/>
        </w:rPr>
        <w:t xml:space="preserve"> </w:t>
      </w:r>
      <w:r w:rsidRPr="0012478D">
        <w:rPr>
          <w:rFonts w:ascii="Arial" w:hAnsi="Arial" w:cs="Arial"/>
          <w:sz w:val="17"/>
          <w:szCs w:val="17"/>
        </w:rPr>
        <w:t>July 3, 2020</w:t>
      </w:r>
      <w:r>
        <w:rPr>
          <w:rFonts w:ascii="Arial" w:hAnsi="Arial" w:cs="Arial"/>
          <w:sz w:val="17"/>
          <w:szCs w:val="17"/>
        </w:rPr>
        <w:t xml:space="preserve">, accessed November 12, 2020, </w:t>
      </w:r>
      <w:r w:rsidRPr="00AA7F63">
        <w:rPr>
          <w:rFonts w:ascii="Arial" w:hAnsi="Arial" w:cs="Arial"/>
          <w:sz w:val="17"/>
          <w:szCs w:val="17"/>
        </w:rPr>
        <w:t>www.livemint.com/industry/retail/hul-s-fair-lovely-is-now-glow-lovely-11593735336828.html</w:t>
      </w:r>
      <w:r w:rsidRPr="0012478D">
        <w:rPr>
          <w:rFonts w:ascii="Arial" w:hAnsi="Arial" w:cs="Arial"/>
          <w:sz w:val="17"/>
          <w:szCs w:val="17"/>
        </w:rPr>
        <w:t>.</w:t>
      </w:r>
    </w:p>
  </w:endnote>
  <w:endnote w:id="99">
    <w:p w14:paraId="796A8006" w14:textId="34A00364" w:rsidR="00005E17" w:rsidRPr="0012478D" w:rsidRDefault="00005E17" w:rsidP="00DC51C4">
      <w:pPr>
        <w:pStyle w:val="EndnoteText"/>
        <w:jc w:val="both"/>
        <w:rPr>
          <w:rFonts w:ascii="Arial" w:hAnsi="Arial" w:cs="Arial"/>
          <w:sz w:val="17"/>
          <w:szCs w:val="17"/>
          <w:lang w:val="en-US"/>
        </w:rPr>
      </w:pPr>
      <w:r w:rsidRPr="0012478D">
        <w:rPr>
          <w:rStyle w:val="EndnoteReference"/>
          <w:rFonts w:ascii="Arial" w:hAnsi="Arial" w:cs="Arial"/>
          <w:sz w:val="17"/>
          <w:szCs w:val="17"/>
        </w:rPr>
        <w:endnoteRef/>
      </w:r>
      <w:r w:rsidRPr="0012478D">
        <w:rPr>
          <w:rFonts w:ascii="Arial" w:hAnsi="Arial" w:cs="Arial"/>
          <w:sz w:val="17"/>
          <w:szCs w:val="17"/>
        </w:rPr>
        <w:t xml:space="preserve"> </w:t>
      </w:r>
      <w:r w:rsidRPr="0012478D">
        <w:rPr>
          <w:rFonts w:ascii="Arial" w:hAnsi="Arial" w:cs="Arial"/>
          <w:sz w:val="17"/>
          <w:szCs w:val="17"/>
          <w:lang w:val="en-US"/>
        </w:rPr>
        <w:t xml:space="preserve">“In </w:t>
      </w:r>
      <w:r>
        <w:rPr>
          <w:rFonts w:ascii="Arial" w:hAnsi="Arial" w:cs="Arial"/>
          <w:sz w:val="17"/>
          <w:szCs w:val="17"/>
          <w:lang w:val="en-US"/>
        </w:rPr>
        <w:t>A</w:t>
      </w:r>
      <w:r w:rsidRPr="0012478D">
        <w:rPr>
          <w:rFonts w:ascii="Arial" w:hAnsi="Arial" w:cs="Arial"/>
          <w:sz w:val="17"/>
          <w:szCs w:val="17"/>
          <w:lang w:val="en-US"/>
        </w:rPr>
        <w:t xml:space="preserve">ll </w:t>
      </w:r>
      <w:r>
        <w:rPr>
          <w:rFonts w:ascii="Arial" w:hAnsi="Arial" w:cs="Arial"/>
          <w:sz w:val="17"/>
          <w:szCs w:val="17"/>
          <w:lang w:val="en-US"/>
        </w:rPr>
        <w:t>F</w:t>
      </w:r>
      <w:r w:rsidRPr="0012478D">
        <w:rPr>
          <w:rFonts w:ascii="Arial" w:hAnsi="Arial" w:cs="Arial"/>
          <w:sz w:val="17"/>
          <w:szCs w:val="17"/>
          <w:lang w:val="en-US"/>
        </w:rPr>
        <w:t xml:space="preserve">airness,” </w:t>
      </w:r>
      <w:r w:rsidRPr="00213191">
        <w:rPr>
          <w:rFonts w:ascii="Arial" w:hAnsi="Arial" w:cs="Arial"/>
          <w:i/>
          <w:sz w:val="17"/>
          <w:szCs w:val="17"/>
          <w:lang w:val="en-US"/>
        </w:rPr>
        <w:t>Indian Express</w:t>
      </w:r>
      <w:r w:rsidRPr="0012478D">
        <w:rPr>
          <w:rFonts w:ascii="Arial" w:hAnsi="Arial" w:cs="Arial"/>
          <w:sz w:val="17"/>
          <w:szCs w:val="17"/>
          <w:lang w:val="en-US"/>
        </w:rPr>
        <w:t xml:space="preserve">, </w:t>
      </w:r>
      <w:r>
        <w:rPr>
          <w:rFonts w:ascii="Arial" w:hAnsi="Arial" w:cs="Arial"/>
          <w:sz w:val="17"/>
          <w:szCs w:val="17"/>
          <w:lang w:val="en-US"/>
        </w:rPr>
        <w:t xml:space="preserve">editorial, </w:t>
      </w:r>
      <w:r w:rsidRPr="0012478D">
        <w:rPr>
          <w:rFonts w:ascii="Arial" w:hAnsi="Arial" w:cs="Arial"/>
          <w:sz w:val="17"/>
          <w:szCs w:val="17"/>
          <w:lang w:val="en-US"/>
        </w:rPr>
        <w:t>June 23, 2020, accessed October 21, 2020, https://indianexpress.com/article/opinion/editorials/george-floyd-killing-black-lives-matter-racism-in-india-fairness-products-6471434</w:t>
      </w:r>
      <w:r>
        <w:rPr>
          <w:rFonts w:ascii="Arial" w:hAnsi="Arial" w:cs="Arial"/>
          <w:sz w:val="17"/>
          <w:szCs w:val="17"/>
          <w:lang w:val="en-US"/>
        </w:rPr>
        <w:t>.</w:t>
      </w:r>
    </w:p>
  </w:endnote>
  <w:endnote w:id="100">
    <w:p w14:paraId="05BE5899" w14:textId="45D067AC" w:rsidR="00005E17" w:rsidRPr="0012478D" w:rsidRDefault="00005E17" w:rsidP="00DC51C4">
      <w:pPr>
        <w:pStyle w:val="EndnoteText"/>
        <w:jc w:val="both"/>
        <w:rPr>
          <w:rFonts w:ascii="Arial" w:hAnsi="Arial" w:cs="Arial"/>
          <w:sz w:val="17"/>
          <w:szCs w:val="17"/>
          <w:lang w:val="en-US"/>
        </w:rPr>
      </w:pPr>
      <w:r w:rsidRPr="0012478D">
        <w:rPr>
          <w:rStyle w:val="EndnoteReference"/>
          <w:rFonts w:ascii="Arial" w:hAnsi="Arial" w:cs="Arial"/>
          <w:sz w:val="17"/>
          <w:szCs w:val="17"/>
        </w:rPr>
        <w:endnoteRef/>
      </w:r>
      <w:r w:rsidRPr="0012478D">
        <w:rPr>
          <w:rFonts w:ascii="Arial" w:hAnsi="Arial" w:cs="Arial"/>
          <w:sz w:val="17"/>
          <w:szCs w:val="17"/>
        </w:rPr>
        <w:t xml:space="preserve"> </w:t>
      </w:r>
      <w:r w:rsidRPr="0012478D">
        <w:rPr>
          <w:rFonts w:ascii="Arial" w:hAnsi="Arial" w:cs="Arial"/>
          <w:sz w:val="17"/>
          <w:szCs w:val="17"/>
          <w:lang w:val="en-US"/>
        </w:rPr>
        <w:t xml:space="preserve">Maria Cramer, “Johnson and Johnson </w:t>
      </w:r>
      <w:r>
        <w:rPr>
          <w:rFonts w:ascii="Arial" w:hAnsi="Arial" w:cs="Arial"/>
          <w:sz w:val="17"/>
          <w:szCs w:val="17"/>
          <w:lang w:val="en-US"/>
        </w:rPr>
        <w:t>W</w:t>
      </w:r>
      <w:r w:rsidRPr="0012478D">
        <w:rPr>
          <w:rFonts w:ascii="Arial" w:hAnsi="Arial" w:cs="Arial"/>
          <w:sz w:val="17"/>
          <w:szCs w:val="17"/>
          <w:lang w:val="en-US"/>
        </w:rPr>
        <w:t xml:space="preserve">ill </w:t>
      </w:r>
      <w:r>
        <w:rPr>
          <w:rFonts w:ascii="Arial" w:hAnsi="Arial" w:cs="Arial"/>
          <w:sz w:val="17"/>
          <w:szCs w:val="17"/>
          <w:lang w:val="en-US"/>
        </w:rPr>
        <w:t>S</w:t>
      </w:r>
      <w:r w:rsidRPr="0012478D">
        <w:rPr>
          <w:rFonts w:ascii="Arial" w:hAnsi="Arial" w:cs="Arial"/>
          <w:sz w:val="17"/>
          <w:szCs w:val="17"/>
          <w:lang w:val="en-US"/>
        </w:rPr>
        <w:t xml:space="preserve">top </w:t>
      </w:r>
      <w:r>
        <w:rPr>
          <w:rFonts w:ascii="Arial" w:hAnsi="Arial" w:cs="Arial"/>
          <w:sz w:val="17"/>
          <w:szCs w:val="17"/>
          <w:lang w:val="en-US"/>
        </w:rPr>
        <w:t>S</w:t>
      </w:r>
      <w:r w:rsidRPr="0012478D">
        <w:rPr>
          <w:rFonts w:ascii="Arial" w:hAnsi="Arial" w:cs="Arial"/>
          <w:sz w:val="17"/>
          <w:szCs w:val="17"/>
          <w:lang w:val="en-US"/>
        </w:rPr>
        <w:t xml:space="preserve">elling </w:t>
      </w:r>
      <w:r>
        <w:rPr>
          <w:rFonts w:ascii="Arial" w:hAnsi="Arial" w:cs="Arial"/>
          <w:sz w:val="17"/>
          <w:szCs w:val="17"/>
          <w:lang w:val="en-US"/>
        </w:rPr>
        <w:t>S</w:t>
      </w:r>
      <w:r w:rsidRPr="0012478D">
        <w:rPr>
          <w:rFonts w:ascii="Arial" w:hAnsi="Arial" w:cs="Arial"/>
          <w:sz w:val="17"/>
          <w:szCs w:val="17"/>
          <w:lang w:val="en-US"/>
        </w:rPr>
        <w:t xml:space="preserve">kin </w:t>
      </w:r>
      <w:r>
        <w:rPr>
          <w:rFonts w:ascii="Arial" w:hAnsi="Arial" w:cs="Arial"/>
          <w:sz w:val="17"/>
          <w:szCs w:val="17"/>
          <w:lang w:val="en-US"/>
        </w:rPr>
        <w:t>W</w:t>
      </w:r>
      <w:r w:rsidRPr="0012478D">
        <w:rPr>
          <w:rFonts w:ascii="Arial" w:hAnsi="Arial" w:cs="Arial"/>
          <w:sz w:val="17"/>
          <w:szCs w:val="17"/>
          <w:lang w:val="en-US"/>
        </w:rPr>
        <w:t xml:space="preserve">hitening </w:t>
      </w:r>
      <w:r>
        <w:rPr>
          <w:rFonts w:ascii="Arial" w:hAnsi="Arial" w:cs="Arial"/>
          <w:sz w:val="17"/>
          <w:szCs w:val="17"/>
          <w:lang w:val="en-US"/>
        </w:rPr>
        <w:t>L</w:t>
      </w:r>
      <w:r w:rsidRPr="0012478D">
        <w:rPr>
          <w:rFonts w:ascii="Arial" w:hAnsi="Arial" w:cs="Arial"/>
          <w:sz w:val="17"/>
          <w:szCs w:val="17"/>
          <w:lang w:val="en-US"/>
        </w:rPr>
        <w:t xml:space="preserve">otions,” </w:t>
      </w:r>
      <w:r w:rsidRPr="000808E7">
        <w:rPr>
          <w:rFonts w:ascii="Arial" w:hAnsi="Arial" w:cs="Arial"/>
          <w:i/>
          <w:sz w:val="17"/>
          <w:szCs w:val="17"/>
          <w:lang w:val="en-US"/>
        </w:rPr>
        <w:t>New York Times</w:t>
      </w:r>
      <w:r w:rsidRPr="0012478D">
        <w:rPr>
          <w:rFonts w:ascii="Arial" w:hAnsi="Arial" w:cs="Arial"/>
          <w:sz w:val="17"/>
          <w:szCs w:val="17"/>
          <w:lang w:val="en-US"/>
        </w:rPr>
        <w:t xml:space="preserve">, June 19, 2020, accessed July 19, 2020, </w:t>
      </w:r>
      <w:r w:rsidRPr="0012478D">
        <w:rPr>
          <w:rStyle w:val="Hyperlink"/>
          <w:rFonts w:ascii="Arial" w:hAnsi="Arial" w:cs="Arial"/>
          <w:color w:val="auto"/>
          <w:sz w:val="17"/>
          <w:szCs w:val="17"/>
          <w:u w:val="none"/>
          <w:lang w:val="en-US"/>
        </w:rPr>
        <w:t>www.nytimes.com/2020/06/19/business/johnson-and-johnson-skin-whitening-cream.html</w:t>
      </w:r>
      <w:r>
        <w:rPr>
          <w:rStyle w:val="Hyperlink"/>
          <w:rFonts w:ascii="Arial" w:hAnsi="Arial" w:cs="Arial"/>
          <w:color w:val="auto"/>
          <w:sz w:val="17"/>
          <w:szCs w:val="17"/>
          <w:u w:val="none"/>
          <w:lang w:val="en-US"/>
        </w:rPr>
        <w:t>.</w:t>
      </w:r>
      <w:r w:rsidRPr="0012478D">
        <w:rPr>
          <w:rFonts w:ascii="Arial" w:hAnsi="Arial" w:cs="Arial"/>
          <w:sz w:val="17"/>
          <w:szCs w:val="17"/>
          <w:lang w:val="en-US"/>
        </w:rPr>
        <w:t xml:space="preserve"> Johnson </w:t>
      </w:r>
      <w:r>
        <w:rPr>
          <w:rFonts w:ascii="Arial" w:hAnsi="Arial" w:cs="Arial"/>
          <w:sz w:val="17"/>
          <w:szCs w:val="17"/>
          <w:lang w:val="en-US"/>
        </w:rPr>
        <w:t>&amp;</w:t>
      </w:r>
      <w:r w:rsidRPr="0012478D">
        <w:rPr>
          <w:rFonts w:ascii="Arial" w:hAnsi="Arial" w:cs="Arial"/>
          <w:sz w:val="17"/>
          <w:szCs w:val="17"/>
          <w:lang w:val="en-US"/>
        </w:rPr>
        <w:t xml:space="preserve"> Johnson</w:t>
      </w:r>
      <w:r w:rsidRPr="0012478D">
        <w:rPr>
          <w:rFonts w:ascii="Arial" w:hAnsi="Arial" w:cs="Arial"/>
          <w:sz w:val="17"/>
          <w:szCs w:val="17"/>
          <w:lang w:eastAsia="en-GB"/>
        </w:rPr>
        <w:t xml:space="preserve"> had been going through legal and perception battles worldwide</w:t>
      </w:r>
      <w:r>
        <w:rPr>
          <w:rFonts w:ascii="Arial" w:hAnsi="Arial" w:cs="Arial"/>
          <w:sz w:val="17"/>
          <w:szCs w:val="17"/>
          <w:lang w:val="en-CA" w:eastAsia="en-GB"/>
        </w:rPr>
        <w:t>,</w:t>
      </w:r>
      <w:r w:rsidRPr="0012478D">
        <w:rPr>
          <w:rFonts w:ascii="Arial" w:hAnsi="Arial" w:cs="Arial"/>
          <w:sz w:val="17"/>
          <w:szCs w:val="17"/>
          <w:lang w:eastAsia="en-GB"/>
        </w:rPr>
        <w:t xml:space="preserve"> and analysts saw the move out of the segment as one based on </w:t>
      </w:r>
      <w:r>
        <w:rPr>
          <w:rFonts w:ascii="Arial" w:hAnsi="Arial" w:cs="Arial"/>
          <w:sz w:val="17"/>
          <w:szCs w:val="17"/>
          <w:lang w:val="en-CA" w:eastAsia="en-GB"/>
        </w:rPr>
        <w:t>“</w:t>
      </w:r>
      <w:r w:rsidRPr="0012478D">
        <w:rPr>
          <w:rFonts w:ascii="Arial" w:hAnsi="Arial" w:cs="Arial"/>
          <w:sz w:val="17"/>
          <w:szCs w:val="17"/>
          <w:lang w:eastAsia="en-GB"/>
        </w:rPr>
        <w:t>substantial introspection.</w:t>
      </w:r>
      <w:r>
        <w:rPr>
          <w:rFonts w:ascii="Arial" w:hAnsi="Arial" w:cs="Arial"/>
          <w:sz w:val="17"/>
          <w:szCs w:val="17"/>
          <w:lang w:val="en-CA" w:eastAsia="en-GB"/>
        </w:rPr>
        <w:t>”</w:t>
      </w:r>
      <w:r w:rsidRPr="0012478D">
        <w:rPr>
          <w:rFonts w:ascii="Arial" w:hAnsi="Arial" w:cs="Arial"/>
          <w:sz w:val="17"/>
          <w:szCs w:val="17"/>
          <w:lang w:eastAsia="en-GB"/>
        </w:rPr>
        <w:t xml:space="preserve"> The company was not likely to be majorly affected by such an exit, since as admitted by a company spokesperson, the company’s share in the fairness cream market was </w:t>
      </w:r>
      <w:r>
        <w:rPr>
          <w:rFonts w:ascii="Arial" w:hAnsi="Arial" w:cs="Arial"/>
          <w:sz w:val="17"/>
          <w:szCs w:val="17"/>
          <w:lang w:val="en-CA" w:eastAsia="en-GB"/>
        </w:rPr>
        <w:t>“</w:t>
      </w:r>
      <w:r w:rsidRPr="0012478D">
        <w:rPr>
          <w:rFonts w:ascii="Arial" w:hAnsi="Arial" w:cs="Arial"/>
          <w:sz w:val="17"/>
          <w:szCs w:val="17"/>
          <w:lang w:eastAsia="en-GB"/>
        </w:rPr>
        <w:t>negligible.</w:t>
      </w:r>
      <w:r>
        <w:rPr>
          <w:rFonts w:ascii="Arial" w:hAnsi="Arial" w:cs="Arial"/>
          <w:sz w:val="17"/>
          <w:szCs w:val="17"/>
          <w:lang w:val="en-CA" w:eastAsia="en-GB"/>
        </w:rPr>
        <w:t>”</w:t>
      </w:r>
      <w:r w:rsidRPr="0012478D">
        <w:rPr>
          <w:rFonts w:ascii="Arial" w:hAnsi="Arial" w:cs="Arial"/>
          <w:sz w:val="17"/>
          <w:szCs w:val="17"/>
          <w:lang w:eastAsia="en-GB"/>
        </w:rPr>
        <w:t xml:space="preserve"> </w:t>
      </w:r>
      <w:r w:rsidRPr="0012478D">
        <w:rPr>
          <w:rFonts w:ascii="Arial" w:hAnsi="Arial" w:cs="Arial"/>
          <w:sz w:val="17"/>
          <w:szCs w:val="17"/>
          <w:lang w:val="en-US"/>
        </w:rPr>
        <w:t>Himadri Buch and Viswanath Pilla, “</w:t>
      </w:r>
      <w:r w:rsidRPr="0012478D">
        <w:rPr>
          <w:rFonts w:ascii="Arial" w:hAnsi="Arial" w:cs="Arial"/>
          <w:sz w:val="17"/>
          <w:szCs w:val="17"/>
        </w:rPr>
        <w:t xml:space="preserve">Johnson &amp; Johnson </w:t>
      </w:r>
      <w:r>
        <w:rPr>
          <w:rFonts w:ascii="Arial" w:hAnsi="Arial" w:cs="Arial"/>
          <w:sz w:val="17"/>
          <w:szCs w:val="17"/>
          <w:lang w:val="en-CA"/>
        </w:rPr>
        <w:t>E</w:t>
      </w:r>
      <w:r w:rsidRPr="0012478D">
        <w:rPr>
          <w:rFonts w:ascii="Arial" w:hAnsi="Arial" w:cs="Arial"/>
          <w:sz w:val="17"/>
          <w:szCs w:val="17"/>
        </w:rPr>
        <w:t xml:space="preserve">xits </w:t>
      </w:r>
      <w:r>
        <w:rPr>
          <w:rFonts w:ascii="Arial" w:hAnsi="Arial" w:cs="Arial"/>
          <w:sz w:val="17"/>
          <w:szCs w:val="17"/>
          <w:lang w:val="en-CA"/>
        </w:rPr>
        <w:t>F</w:t>
      </w:r>
      <w:r w:rsidRPr="0012478D">
        <w:rPr>
          <w:rFonts w:ascii="Arial" w:hAnsi="Arial" w:cs="Arial"/>
          <w:sz w:val="17"/>
          <w:szCs w:val="17"/>
        </w:rPr>
        <w:t xml:space="preserve">airness </w:t>
      </w:r>
      <w:r>
        <w:rPr>
          <w:rFonts w:ascii="Arial" w:hAnsi="Arial" w:cs="Arial"/>
          <w:sz w:val="17"/>
          <w:szCs w:val="17"/>
          <w:lang w:val="en-CA"/>
        </w:rPr>
        <w:t>C</w:t>
      </w:r>
      <w:r w:rsidRPr="0012478D">
        <w:rPr>
          <w:rFonts w:ascii="Arial" w:hAnsi="Arial" w:cs="Arial"/>
          <w:sz w:val="17"/>
          <w:szCs w:val="17"/>
        </w:rPr>
        <w:t xml:space="preserve">ream </w:t>
      </w:r>
      <w:r>
        <w:rPr>
          <w:rFonts w:ascii="Arial" w:hAnsi="Arial" w:cs="Arial"/>
          <w:sz w:val="17"/>
          <w:szCs w:val="17"/>
          <w:lang w:val="en-CA"/>
        </w:rPr>
        <w:t>M</w:t>
      </w:r>
      <w:r w:rsidRPr="0012478D">
        <w:rPr>
          <w:rFonts w:ascii="Arial" w:hAnsi="Arial" w:cs="Arial"/>
          <w:sz w:val="17"/>
          <w:szCs w:val="17"/>
        </w:rPr>
        <w:t xml:space="preserve">arket, but </w:t>
      </w:r>
      <w:r>
        <w:rPr>
          <w:rFonts w:ascii="Arial" w:hAnsi="Arial" w:cs="Arial"/>
          <w:sz w:val="17"/>
          <w:szCs w:val="17"/>
          <w:lang w:val="en-CA"/>
        </w:rPr>
        <w:t>W</w:t>
      </w:r>
      <w:r w:rsidRPr="0012478D">
        <w:rPr>
          <w:rFonts w:ascii="Arial" w:hAnsi="Arial" w:cs="Arial"/>
          <w:sz w:val="17"/>
          <w:szCs w:val="17"/>
        </w:rPr>
        <w:t xml:space="preserve">hat </w:t>
      </w:r>
      <w:r>
        <w:rPr>
          <w:rFonts w:ascii="Arial" w:hAnsi="Arial" w:cs="Arial"/>
          <w:sz w:val="17"/>
          <w:szCs w:val="17"/>
          <w:lang w:val="en-CA"/>
        </w:rPr>
        <w:t>a</w:t>
      </w:r>
      <w:r w:rsidRPr="0012478D">
        <w:rPr>
          <w:rFonts w:ascii="Arial" w:hAnsi="Arial" w:cs="Arial"/>
          <w:sz w:val="17"/>
          <w:szCs w:val="17"/>
        </w:rPr>
        <w:t xml:space="preserve">bout </w:t>
      </w:r>
      <w:r>
        <w:rPr>
          <w:rFonts w:ascii="Arial" w:hAnsi="Arial" w:cs="Arial"/>
          <w:sz w:val="17"/>
          <w:szCs w:val="17"/>
          <w:lang w:val="en-CA"/>
        </w:rPr>
        <w:t>C</w:t>
      </w:r>
      <w:r w:rsidRPr="0012478D">
        <w:rPr>
          <w:rFonts w:ascii="Arial" w:hAnsi="Arial" w:cs="Arial"/>
          <w:sz w:val="17"/>
          <w:szCs w:val="17"/>
        </w:rPr>
        <w:t>ompetitors?</w:t>
      </w:r>
      <w:r>
        <w:rPr>
          <w:rFonts w:ascii="Arial" w:hAnsi="Arial" w:cs="Arial"/>
          <w:sz w:val="17"/>
          <w:szCs w:val="17"/>
          <w:lang w:val="en-CA"/>
        </w:rPr>
        <w:t>,</w:t>
      </w:r>
      <w:r w:rsidRPr="0012478D">
        <w:rPr>
          <w:rFonts w:ascii="Arial" w:hAnsi="Arial" w:cs="Arial"/>
          <w:sz w:val="17"/>
          <w:szCs w:val="17"/>
        </w:rPr>
        <w:t xml:space="preserve">” </w:t>
      </w:r>
      <w:r w:rsidRPr="0012478D">
        <w:rPr>
          <w:rFonts w:ascii="Arial" w:hAnsi="Arial" w:cs="Arial"/>
          <w:i/>
          <w:iCs/>
          <w:sz w:val="17"/>
          <w:szCs w:val="17"/>
        </w:rPr>
        <w:t>Money Control</w:t>
      </w:r>
      <w:r w:rsidRPr="0012478D">
        <w:rPr>
          <w:rFonts w:ascii="Arial" w:hAnsi="Arial" w:cs="Arial"/>
          <w:sz w:val="17"/>
          <w:szCs w:val="17"/>
        </w:rPr>
        <w:t>, June 25, 2020, accessed July 17, 2020, www.moneycontrol.com/news/business/companies/johnson-johnson-exits-fairness-cream-market-but-what-about-competitors-5443411.html</w:t>
      </w:r>
      <w:r w:rsidRPr="0012478D">
        <w:rPr>
          <w:rFonts w:ascii="Arial" w:hAnsi="Arial" w:cs="Arial"/>
          <w:sz w:val="17"/>
          <w:szCs w:val="17"/>
          <w:lang w:val="en-US"/>
        </w:rPr>
        <w:t>.</w:t>
      </w:r>
    </w:p>
  </w:endnote>
  <w:endnote w:id="101">
    <w:p w14:paraId="7259A724" w14:textId="54BAAFB7"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Buch and Pilla, op. cit.</w:t>
      </w:r>
      <w:r>
        <w:rPr>
          <w:rFonts w:ascii="Arial" w:hAnsi="Arial" w:cs="Arial"/>
          <w:sz w:val="17"/>
          <w:szCs w:val="17"/>
        </w:rPr>
        <w:t xml:space="preserve"> </w:t>
      </w:r>
    </w:p>
  </w:endnote>
  <w:endnote w:id="102">
    <w:p w14:paraId="746E0DCE" w14:textId="65278582" w:rsidR="00005E17" w:rsidRPr="0012478D" w:rsidRDefault="00005E17" w:rsidP="00DC51C4">
      <w:pPr>
        <w:pStyle w:val="EndnoteText"/>
        <w:jc w:val="both"/>
        <w:rPr>
          <w:rFonts w:ascii="Arial" w:hAnsi="Arial" w:cs="Arial"/>
          <w:sz w:val="17"/>
          <w:szCs w:val="17"/>
          <w:lang w:val="en-IN"/>
        </w:rPr>
      </w:pPr>
      <w:r w:rsidRPr="0012478D">
        <w:rPr>
          <w:rStyle w:val="EndnoteReference"/>
          <w:rFonts w:ascii="Arial" w:hAnsi="Arial" w:cs="Arial"/>
          <w:sz w:val="17"/>
          <w:szCs w:val="17"/>
        </w:rPr>
        <w:endnoteRef/>
      </w:r>
      <w:r w:rsidRPr="0012478D">
        <w:rPr>
          <w:rFonts w:ascii="Arial" w:hAnsi="Arial" w:cs="Arial"/>
          <w:sz w:val="17"/>
          <w:szCs w:val="17"/>
        </w:rPr>
        <w:t xml:space="preserve"> </w:t>
      </w:r>
      <w:r w:rsidRPr="0012478D">
        <w:rPr>
          <w:rFonts w:ascii="Arial" w:hAnsi="Arial" w:cs="Arial"/>
          <w:sz w:val="17"/>
          <w:szCs w:val="17"/>
          <w:lang w:val="en-US"/>
        </w:rPr>
        <w:t>Aparna Banerjea, “</w:t>
      </w:r>
      <w:r w:rsidRPr="0012478D">
        <w:rPr>
          <w:rFonts w:ascii="Arial" w:hAnsi="Arial" w:cs="Arial"/>
          <w:sz w:val="17"/>
          <w:szCs w:val="17"/>
          <w:lang w:val="en-IN"/>
        </w:rPr>
        <w:t>HUL</w:t>
      </w:r>
      <w:r>
        <w:rPr>
          <w:rFonts w:ascii="Arial" w:hAnsi="Arial" w:cs="Arial"/>
          <w:sz w:val="17"/>
          <w:szCs w:val="17"/>
          <w:lang w:val="en-IN"/>
        </w:rPr>
        <w:t>’</w:t>
      </w:r>
      <w:r w:rsidRPr="0012478D">
        <w:rPr>
          <w:rFonts w:ascii="Arial" w:hAnsi="Arial" w:cs="Arial"/>
          <w:sz w:val="17"/>
          <w:szCs w:val="17"/>
          <w:lang w:val="en-IN"/>
        </w:rPr>
        <w:t xml:space="preserve">s Fair &amp; Lovely </w:t>
      </w:r>
      <w:r>
        <w:rPr>
          <w:rFonts w:ascii="Arial" w:hAnsi="Arial" w:cs="Arial"/>
          <w:sz w:val="17"/>
          <w:szCs w:val="17"/>
          <w:lang w:val="en-IN"/>
        </w:rPr>
        <w:t>R</w:t>
      </w:r>
      <w:r w:rsidRPr="0012478D">
        <w:rPr>
          <w:rFonts w:ascii="Arial" w:hAnsi="Arial" w:cs="Arial"/>
          <w:sz w:val="17"/>
          <w:szCs w:val="17"/>
          <w:lang w:val="en-IN"/>
        </w:rPr>
        <w:t xml:space="preserve">enamed as </w:t>
      </w:r>
      <w:r>
        <w:rPr>
          <w:rFonts w:ascii="Arial" w:hAnsi="Arial" w:cs="Arial"/>
          <w:sz w:val="17"/>
          <w:szCs w:val="17"/>
          <w:lang w:val="en-IN"/>
        </w:rPr>
        <w:t>‘</w:t>
      </w:r>
      <w:r w:rsidRPr="0012478D">
        <w:rPr>
          <w:rFonts w:ascii="Arial" w:hAnsi="Arial" w:cs="Arial"/>
          <w:sz w:val="17"/>
          <w:szCs w:val="17"/>
          <w:lang w:val="en-IN"/>
        </w:rPr>
        <w:t>Glow &amp; Lovely,</w:t>
      </w:r>
      <w:r>
        <w:rPr>
          <w:rFonts w:ascii="Arial" w:hAnsi="Arial" w:cs="Arial"/>
          <w:sz w:val="17"/>
          <w:szCs w:val="17"/>
          <w:lang w:val="en-IN"/>
        </w:rPr>
        <w:t>’</w:t>
      </w:r>
      <w:r w:rsidRPr="0012478D">
        <w:rPr>
          <w:rFonts w:ascii="Arial" w:hAnsi="Arial" w:cs="Arial"/>
          <w:sz w:val="17"/>
          <w:szCs w:val="17"/>
          <w:lang w:val="en-IN"/>
        </w:rPr>
        <w:t>” Mint, July 2, 2020, accessed July 12, 2020, www.livemint.com/companies/news/hul-s-fair-lovely-renamed-as-glow-lovely-11593690657927.html</w:t>
      </w:r>
      <w:r>
        <w:rPr>
          <w:rFonts w:ascii="Arial" w:hAnsi="Arial" w:cs="Arial"/>
          <w:sz w:val="17"/>
          <w:szCs w:val="17"/>
          <w:lang w:val="en-IN"/>
        </w:rPr>
        <w:t>.</w:t>
      </w:r>
    </w:p>
  </w:endnote>
  <w:endnote w:id="103">
    <w:p w14:paraId="3D14903F" w14:textId="2480B35E" w:rsidR="00005E17" w:rsidRPr="0012478D" w:rsidRDefault="00005E17" w:rsidP="00DC51C4">
      <w:pPr>
        <w:pStyle w:val="EndnoteText"/>
        <w:jc w:val="both"/>
        <w:rPr>
          <w:rFonts w:ascii="Arial" w:hAnsi="Arial" w:cs="Arial"/>
          <w:sz w:val="17"/>
          <w:szCs w:val="17"/>
          <w:lang w:val="en-US"/>
        </w:rPr>
      </w:pPr>
      <w:r w:rsidRPr="0012478D">
        <w:rPr>
          <w:rStyle w:val="EndnoteReference"/>
          <w:rFonts w:ascii="Arial" w:hAnsi="Arial" w:cs="Arial"/>
          <w:sz w:val="17"/>
          <w:szCs w:val="17"/>
        </w:rPr>
        <w:endnoteRef/>
      </w:r>
      <w:r w:rsidRPr="0012478D">
        <w:rPr>
          <w:rFonts w:ascii="Arial" w:hAnsi="Arial" w:cs="Arial"/>
          <w:sz w:val="17"/>
          <w:szCs w:val="17"/>
        </w:rPr>
        <w:t xml:space="preserve"> </w:t>
      </w:r>
      <w:r w:rsidRPr="0012478D">
        <w:rPr>
          <w:rFonts w:ascii="Arial" w:hAnsi="Arial" w:cs="Arial"/>
          <w:sz w:val="17"/>
          <w:szCs w:val="17"/>
          <w:lang w:val="en-US"/>
        </w:rPr>
        <w:t>Tandon</w:t>
      </w:r>
      <w:r w:rsidRPr="0012478D">
        <w:rPr>
          <w:rFonts w:ascii="Arial" w:hAnsi="Arial" w:cs="Arial"/>
          <w:sz w:val="17"/>
          <w:szCs w:val="17"/>
        </w:rPr>
        <w:t>, op. cit.</w:t>
      </w:r>
    </w:p>
  </w:endnote>
  <w:endnote w:id="104">
    <w:p w14:paraId="58EE96D4" w14:textId="2C629ADF" w:rsidR="00005E17" w:rsidRPr="0012478D" w:rsidRDefault="00005E17" w:rsidP="00DC51C4">
      <w:pPr>
        <w:pStyle w:val="EndnoteText"/>
        <w:jc w:val="both"/>
        <w:rPr>
          <w:rFonts w:ascii="Arial" w:hAnsi="Arial" w:cs="Arial"/>
          <w:sz w:val="17"/>
          <w:szCs w:val="17"/>
          <w:lang w:val="en-IN"/>
        </w:rPr>
      </w:pPr>
      <w:r w:rsidRPr="0012478D">
        <w:rPr>
          <w:rStyle w:val="EndnoteReference"/>
          <w:rFonts w:ascii="Arial" w:hAnsi="Arial" w:cs="Arial"/>
          <w:sz w:val="17"/>
          <w:szCs w:val="17"/>
        </w:rPr>
        <w:endnoteRef/>
      </w:r>
      <w:r w:rsidRPr="0012478D">
        <w:rPr>
          <w:rFonts w:ascii="Arial" w:hAnsi="Arial" w:cs="Arial"/>
          <w:sz w:val="17"/>
          <w:szCs w:val="17"/>
        </w:rPr>
        <w:t xml:space="preserve"> </w:t>
      </w:r>
      <w:r w:rsidRPr="0012478D">
        <w:rPr>
          <w:rFonts w:ascii="Arial" w:hAnsi="Arial" w:cs="Arial"/>
          <w:sz w:val="17"/>
          <w:szCs w:val="17"/>
          <w:lang w:val="en-US"/>
        </w:rPr>
        <w:t>Banerjea</w:t>
      </w:r>
      <w:r w:rsidRPr="0012478D">
        <w:rPr>
          <w:rFonts w:ascii="Arial" w:hAnsi="Arial" w:cs="Arial"/>
          <w:sz w:val="17"/>
          <w:szCs w:val="17"/>
        </w:rPr>
        <w:t>, op. cit.</w:t>
      </w:r>
      <w:r>
        <w:rPr>
          <w:rFonts w:ascii="Arial" w:hAnsi="Arial" w:cs="Arial"/>
          <w:sz w:val="17"/>
          <w:szCs w:val="17"/>
        </w:rPr>
        <w:t xml:space="preserve"> </w:t>
      </w:r>
    </w:p>
  </w:endnote>
  <w:endnote w:id="105">
    <w:p w14:paraId="541D29F7" w14:textId="298833B8" w:rsidR="00005E17" w:rsidRPr="0012478D" w:rsidRDefault="00005E17" w:rsidP="00213191">
      <w:pPr>
        <w:pStyle w:val="Footnote"/>
        <w:jc w:val="both"/>
        <w:rPr>
          <w:rFonts w:ascii="Arial" w:hAnsi="Arial" w:cs="Arial"/>
          <w:sz w:val="17"/>
          <w:szCs w:val="17"/>
        </w:rPr>
      </w:pPr>
      <w:r w:rsidRPr="0012478D">
        <w:rPr>
          <w:rStyle w:val="EndnoteReference"/>
          <w:rFonts w:ascii="Arial" w:hAnsi="Arial" w:cs="Arial"/>
          <w:sz w:val="17"/>
          <w:szCs w:val="17"/>
        </w:rPr>
        <w:endnoteRef/>
      </w:r>
      <w:r w:rsidRPr="0012478D">
        <w:rPr>
          <w:rFonts w:ascii="Arial" w:hAnsi="Arial" w:cs="Arial"/>
          <w:sz w:val="17"/>
          <w:szCs w:val="17"/>
        </w:rPr>
        <w:t xml:space="preserve"> Nupur Acharya, “Unilever’s Fair &amp; Lovely Rebrand in India Will Be Costly: Jefferies,” </w:t>
      </w:r>
      <w:r w:rsidRPr="000808E7">
        <w:rPr>
          <w:rFonts w:ascii="Arial" w:hAnsi="Arial" w:cs="Arial"/>
          <w:iCs/>
          <w:sz w:val="17"/>
          <w:szCs w:val="17"/>
        </w:rPr>
        <w:t>Bloomberg Quint</w:t>
      </w:r>
      <w:r w:rsidRPr="00AA7F63">
        <w:rPr>
          <w:rFonts w:ascii="Arial" w:hAnsi="Arial" w:cs="Arial"/>
          <w:sz w:val="17"/>
          <w:szCs w:val="17"/>
        </w:rPr>
        <w:t>,</w:t>
      </w:r>
      <w:r w:rsidRPr="0012478D">
        <w:rPr>
          <w:rFonts w:ascii="Arial" w:hAnsi="Arial" w:cs="Arial"/>
          <w:sz w:val="17"/>
          <w:szCs w:val="17"/>
        </w:rPr>
        <w:t xml:space="preserve"> June 26, 2020, accessed July 14, 2020, www.bloombergquint.com/business/unilever-india-unit-will-need-to-spend-big-to-rebrand-jefferies.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82F75" w14:textId="77777777" w:rsidR="00333AA8" w:rsidRDefault="00333AA8" w:rsidP="00411ACF">
      <w:r>
        <w:separator/>
      </w:r>
    </w:p>
  </w:footnote>
  <w:footnote w:type="continuationSeparator" w:id="0">
    <w:p w14:paraId="076D9D6E" w14:textId="77777777" w:rsidR="00333AA8" w:rsidRDefault="00333AA8" w:rsidP="00411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FD898" w14:textId="488F53F6" w:rsidR="00DC51C4" w:rsidRPr="00C92CC4" w:rsidRDefault="00DC51C4" w:rsidP="00AB6C99">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8134E">
      <w:rPr>
        <w:rFonts w:ascii="Arial" w:hAnsi="Arial"/>
        <w:b/>
        <w:noProof/>
      </w:rPr>
      <w:t>11</w:t>
    </w:r>
    <w:r>
      <w:rPr>
        <w:rFonts w:ascii="Arial" w:hAnsi="Arial"/>
        <w:b/>
      </w:rPr>
      <w:fldChar w:fldCharType="end"/>
    </w:r>
    <w:r>
      <w:rPr>
        <w:rFonts w:ascii="Arial" w:hAnsi="Arial"/>
        <w:b/>
      </w:rPr>
      <w:tab/>
    </w:r>
    <w:r w:rsidR="003B3D73">
      <w:rPr>
        <w:rFonts w:ascii="Arial" w:hAnsi="Arial"/>
        <w:b/>
      </w:rPr>
      <w:t>9B21M001</w:t>
    </w:r>
  </w:p>
  <w:p w14:paraId="0F8546B1" w14:textId="77777777" w:rsidR="00DC51C4" w:rsidRDefault="00DC51C4" w:rsidP="00AB6C99">
    <w:pPr>
      <w:pStyle w:val="Header"/>
      <w:tabs>
        <w:tab w:val="clear" w:pos="4680"/>
      </w:tabs>
      <w:rPr>
        <w:sz w:val="18"/>
        <w:szCs w:val="18"/>
      </w:rPr>
    </w:pPr>
  </w:p>
  <w:p w14:paraId="06F5B75E" w14:textId="77777777" w:rsidR="00DC51C4" w:rsidRPr="00C92CC4" w:rsidRDefault="00DC51C4" w:rsidP="00AB6C99">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0725"/>
    <w:multiLevelType w:val="hybridMultilevel"/>
    <w:tmpl w:val="3F981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ACF"/>
    <w:rsid w:val="00005E17"/>
    <w:rsid w:val="00016093"/>
    <w:rsid w:val="00022FB6"/>
    <w:rsid w:val="000351AF"/>
    <w:rsid w:val="00053F99"/>
    <w:rsid w:val="000565F5"/>
    <w:rsid w:val="00067652"/>
    <w:rsid w:val="000710D6"/>
    <w:rsid w:val="00072574"/>
    <w:rsid w:val="000808E7"/>
    <w:rsid w:val="00082B3C"/>
    <w:rsid w:val="00095A8D"/>
    <w:rsid w:val="000A739F"/>
    <w:rsid w:val="000C45B6"/>
    <w:rsid w:val="000D73B8"/>
    <w:rsid w:val="00102B42"/>
    <w:rsid w:val="001112BF"/>
    <w:rsid w:val="0012478D"/>
    <w:rsid w:val="0015508C"/>
    <w:rsid w:val="00180B5E"/>
    <w:rsid w:val="001B2EEC"/>
    <w:rsid w:val="001D2113"/>
    <w:rsid w:val="001E40F8"/>
    <w:rsid w:val="001F783F"/>
    <w:rsid w:val="0021089E"/>
    <w:rsid w:val="00213191"/>
    <w:rsid w:val="00223A0F"/>
    <w:rsid w:val="00231ABD"/>
    <w:rsid w:val="00266CFF"/>
    <w:rsid w:val="00294C6B"/>
    <w:rsid w:val="002B1634"/>
    <w:rsid w:val="002B23F2"/>
    <w:rsid w:val="002E327A"/>
    <w:rsid w:val="00303192"/>
    <w:rsid w:val="003108BE"/>
    <w:rsid w:val="003122C4"/>
    <w:rsid w:val="00333AA8"/>
    <w:rsid w:val="00344C1B"/>
    <w:rsid w:val="00350A4A"/>
    <w:rsid w:val="003545E1"/>
    <w:rsid w:val="0035640A"/>
    <w:rsid w:val="00362035"/>
    <w:rsid w:val="00364750"/>
    <w:rsid w:val="00391A01"/>
    <w:rsid w:val="003B3D73"/>
    <w:rsid w:val="003D36CC"/>
    <w:rsid w:val="003E035F"/>
    <w:rsid w:val="003E6BBB"/>
    <w:rsid w:val="003E7EBD"/>
    <w:rsid w:val="003F26F1"/>
    <w:rsid w:val="00400B6C"/>
    <w:rsid w:val="00411ACF"/>
    <w:rsid w:val="0043529C"/>
    <w:rsid w:val="004765D7"/>
    <w:rsid w:val="00496436"/>
    <w:rsid w:val="004B63B7"/>
    <w:rsid w:val="004C53D8"/>
    <w:rsid w:val="004F3765"/>
    <w:rsid w:val="005278B4"/>
    <w:rsid w:val="00535119"/>
    <w:rsid w:val="00547183"/>
    <w:rsid w:val="0059004C"/>
    <w:rsid w:val="005A628F"/>
    <w:rsid w:val="005C51AA"/>
    <w:rsid w:val="005D0A28"/>
    <w:rsid w:val="005F3E84"/>
    <w:rsid w:val="00602160"/>
    <w:rsid w:val="0060577B"/>
    <w:rsid w:val="006135D5"/>
    <w:rsid w:val="00613A1C"/>
    <w:rsid w:val="00627CFC"/>
    <w:rsid w:val="00642077"/>
    <w:rsid w:val="0066497E"/>
    <w:rsid w:val="00672717"/>
    <w:rsid w:val="00675501"/>
    <w:rsid w:val="00695605"/>
    <w:rsid w:val="006B589D"/>
    <w:rsid w:val="006B61AA"/>
    <w:rsid w:val="006D2B80"/>
    <w:rsid w:val="006D3921"/>
    <w:rsid w:val="006E110E"/>
    <w:rsid w:val="006E2A9F"/>
    <w:rsid w:val="006F4602"/>
    <w:rsid w:val="006F77B2"/>
    <w:rsid w:val="00703340"/>
    <w:rsid w:val="007116B3"/>
    <w:rsid w:val="00721ADA"/>
    <w:rsid w:val="0074589F"/>
    <w:rsid w:val="0079214D"/>
    <w:rsid w:val="007B4EFE"/>
    <w:rsid w:val="007C3AD4"/>
    <w:rsid w:val="007F3261"/>
    <w:rsid w:val="007F615A"/>
    <w:rsid w:val="008048DA"/>
    <w:rsid w:val="00833C13"/>
    <w:rsid w:val="00837CEF"/>
    <w:rsid w:val="008446BF"/>
    <w:rsid w:val="00845010"/>
    <w:rsid w:val="0089122C"/>
    <w:rsid w:val="0089458B"/>
    <w:rsid w:val="008C0092"/>
    <w:rsid w:val="009129C5"/>
    <w:rsid w:val="00914A1B"/>
    <w:rsid w:val="009206A4"/>
    <w:rsid w:val="00921470"/>
    <w:rsid w:val="0093278C"/>
    <w:rsid w:val="00937C5A"/>
    <w:rsid w:val="00960293"/>
    <w:rsid w:val="00967DD0"/>
    <w:rsid w:val="00971632"/>
    <w:rsid w:val="0099710E"/>
    <w:rsid w:val="009B13E7"/>
    <w:rsid w:val="009B4F0E"/>
    <w:rsid w:val="009D1A79"/>
    <w:rsid w:val="00A20693"/>
    <w:rsid w:val="00A33AE8"/>
    <w:rsid w:val="00A379A2"/>
    <w:rsid w:val="00A50991"/>
    <w:rsid w:val="00A8538A"/>
    <w:rsid w:val="00AA7F63"/>
    <w:rsid w:val="00AB6C99"/>
    <w:rsid w:val="00AC7B66"/>
    <w:rsid w:val="00AD6D53"/>
    <w:rsid w:val="00AD7986"/>
    <w:rsid w:val="00B02E88"/>
    <w:rsid w:val="00B040DB"/>
    <w:rsid w:val="00B33980"/>
    <w:rsid w:val="00B44E48"/>
    <w:rsid w:val="00B5304D"/>
    <w:rsid w:val="00B54538"/>
    <w:rsid w:val="00B707A1"/>
    <w:rsid w:val="00B73C95"/>
    <w:rsid w:val="00BA2B51"/>
    <w:rsid w:val="00BB49BB"/>
    <w:rsid w:val="00BC56A5"/>
    <w:rsid w:val="00BC629E"/>
    <w:rsid w:val="00BD1F85"/>
    <w:rsid w:val="00BD23C3"/>
    <w:rsid w:val="00BE7470"/>
    <w:rsid w:val="00BF6661"/>
    <w:rsid w:val="00C0308E"/>
    <w:rsid w:val="00C20429"/>
    <w:rsid w:val="00C31B92"/>
    <w:rsid w:val="00C4028B"/>
    <w:rsid w:val="00C54CD3"/>
    <w:rsid w:val="00C5755E"/>
    <w:rsid w:val="00C623B0"/>
    <w:rsid w:val="00C663C3"/>
    <w:rsid w:val="00D049AB"/>
    <w:rsid w:val="00D06B41"/>
    <w:rsid w:val="00D242B3"/>
    <w:rsid w:val="00D4049F"/>
    <w:rsid w:val="00D83943"/>
    <w:rsid w:val="00D96393"/>
    <w:rsid w:val="00DA5C0D"/>
    <w:rsid w:val="00DC51C4"/>
    <w:rsid w:val="00DF2CB4"/>
    <w:rsid w:val="00DF73EC"/>
    <w:rsid w:val="00E048C4"/>
    <w:rsid w:val="00E11047"/>
    <w:rsid w:val="00E15BDD"/>
    <w:rsid w:val="00E16733"/>
    <w:rsid w:val="00E3249C"/>
    <w:rsid w:val="00E41629"/>
    <w:rsid w:val="00E63416"/>
    <w:rsid w:val="00E8134E"/>
    <w:rsid w:val="00E8352F"/>
    <w:rsid w:val="00E938F3"/>
    <w:rsid w:val="00EA64DE"/>
    <w:rsid w:val="00EC178C"/>
    <w:rsid w:val="00ED1E37"/>
    <w:rsid w:val="00EF7B40"/>
    <w:rsid w:val="00F1421C"/>
    <w:rsid w:val="00F73743"/>
    <w:rsid w:val="00F774DC"/>
    <w:rsid w:val="00F97F0E"/>
    <w:rsid w:val="00FB044B"/>
    <w:rsid w:val="00FB2AC8"/>
    <w:rsid w:val="00FC4F83"/>
    <w:rsid w:val="00FC5509"/>
    <w:rsid w:val="00FD57A1"/>
    <w:rsid w:val="00FD6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E0EF44"/>
  <w15:chartTrackingRefBased/>
  <w15:docId w15:val="{6413220E-B9E8-A14D-9E2D-40281020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11ACF"/>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Main">
    <w:name w:val="Body Text Main"/>
    <w:basedOn w:val="Normal"/>
    <w:link w:val="BodyTextMainChar"/>
    <w:qFormat/>
    <w:rsid w:val="00411ACF"/>
    <w:pPr>
      <w:jc w:val="both"/>
    </w:pPr>
    <w:rPr>
      <w:sz w:val="22"/>
      <w:szCs w:val="22"/>
    </w:rPr>
  </w:style>
  <w:style w:type="character" w:customStyle="1" w:styleId="BodyTextMainChar">
    <w:name w:val="Body Text Main Char"/>
    <w:basedOn w:val="DefaultParagraphFont"/>
    <w:link w:val="BodyTextMain"/>
    <w:rsid w:val="00411ACF"/>
    <w:rPr>
      <w:rFonts w:ascii="Times New Roman" w:eastAsia="Times New Roman" w:hAnsi="Times New Roman" w:cs="Times New Roman"/>
      <w:sz w:val="22"/>
      <w:szCs w:val="22"/>
      <w:lang w:val="en-US"/>
    </w:rPr>
  </w:style>
  <w:style w:type="paragraph" w:customStyle="1" w:styleId="Casehead1">
    <w:name w:val="Casehead 1"/>
    <w:basedOn w:val="BodyTextMain"/>
    <w:link w:val="Casehead1Char"/>
    <w:qFormat/>
    <w:rsid w:val="00411ACF"/>
    <w:rPr>
      <w:rFonts w:ascii="Arial" w:hAnsi="Arial" w:cs="Arial"/>
      <w:b/>
      <w:caps/>
      <w:sz w:val="20"/>
      <w:szCs w:val="20"/>
    </w:rPr>
  </w:style>
  <w:style w:type="character" w:customStyle="1" w:styleId="Casehead1Char">
    <w:name w:val="Casehead 1 Char"/>
    <w:basedOn w:val="BodyTextMainChar"/>
    <w:link w:val="Casehead1"/>
    <w:rsid w:val="00411ACF"/>
    <w:rPr>
      <w:rFonts w:ascii="Arial" w:eastAsia="Times New Roman" w:hAnsi="Arial" w:cs="Arial"/>
      <w:b/>
      <w:caps/>
      <w:sz w:val="20"/>
      <w:szCs w:val="20"/>
      <w:lang w:val="en-US"/>
    </w:rPr>
  </w:style>
  <w:style w:type="paragraph" w:customStyle="1" w:styleId="Casehead2">
    <w:name w:val="Casehead 2"/>
    <w:basedOn w:val="Casehead1"/>
    <w:link w:val="Casehead2Char"/>
    <w:qFormat/>
    <w:rsid w:val="00411ACF"/>
    <w:rPr>
      <w:caps w:val="0"/>
    </w:rPr>
  </w:style>
  <w:style w:type="character" w:customStyle="1" w:styleId="Casehead2Char">
    <w:name w:val="Casehead 2 Char"/>
    <w:basedOn w:val="Casehead1Char"/>
    <w:link w:val="Casehead2"/>
    <w:rsid w:val="00411ACF"/>
    <w:rPr>
      <w:rFonts w:ascii="Arial" w:eastAsia="Times New Roman" w:hAnsi="Arial" w:cs="Arial"/>
      <w:b/>
      <w:caps w:val="0"/>
      <w:sz w:val="20"/>
      <w:szCs w:val="20"/>
      <w:lang w:val="en-US"/>
    </w:rPr>
  </w:style>
  <w:style w:type="paragraph" w:customStyle="1" w:styleId="Footnote">
    <w:name w:val="Footnote"/>
    <w:basedOn w:val="FootnoteText"/>
    <w:link w:val="FootnoteChar"/>
    <w:qFormat/>
    <w:rsid w:val="00411ACF"/>
  </w:style>
  <w:style w:type="character" w:customStyle="1" w:styleId="FootnoteChar">
    <w:name w:val="Footnote Char"/>
    <w:basedOn w:val="FootnoteTextChar"/>
    <w:link w:val="Footnote"/>
    <w:rsid w:val="00411ACF"/>
    <w:rPr>
      <w:rFonts w:ascii="Times New Roman" w:eastAsia="Times New Roman" w:hAnsi="Times New Roman" w:cs="Times New Roman"/>
      <w:sz w:val="20"/>
      <w:szCs w:val="20"/>
      <w:lang w:val="en-US"/>
    </w:rPr>
  </w:style>
  <w:style w:type="paragraph" w:customStyle="1" w:styleId="CaseTitle">
    <w:name w:val="Case Title"/>
    <w:basedOn w:val="Normal"/>
    <w:link w:val="CaseTitleChar"/>
    <w:qFormat/>
    <w:rsid w:val="00411ACF"/>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CaseTitleChar">
    <w:name w:val="Case Title Char"/>
    <w:basedOn w:val="DefaultParagraphFont"/>
    <w:link w:val="CaseTitle"/>
    <w:rsid w:val="00411ACF"/>
    <w:rPr>
      <w:rFonts w:ascii="Arial" w:hAnsi="Arial" w:cs="Arial"/>
      <w:b/>
      <w:bCs/>
      <w:caps/>
      <w:color w:val="000000"/>
      <w:sz w:val="28"/>
      <w:szCs w:val="28"/>
      <w:lang w:val="en-US"/>
    </w:rPr>
  </w:style>
  <w:style w:type="paragraph" w:customStyle="1" w:styleId="ProductNumber">
    <w:name w:val="Product Number"/>
    <w:basedOn w:val="Normal"/>
    <w:link w:val="ProductNumberChar"/>
    <w:qFormat/>
    <w:rsid w:val="00411ACF"/>
    <w:pPr>
      <w:jc w:val="right"/>
    </w:pPr>
    <w:rPr>
      <w:rFonts w:ascii="Arial" w:hAnsi="Arial"/>
      <w:b/>
      <w:caps/>
      <w:sz w:val="24"/>
    </w:rPr>
  </w:style>
  <w:style w:type="character" w:customStyle="1" w:styleId="ProductNumberChar">
    <w:name w:val="Product Number Char"/>
    <w:basedOn w:val="DefaultParagraphFont"/>
    <w:link w:val="ProductNumber"/>
    <w:rsid w:val="00411ACF"/>
    <w:rPr>
      <w:rFonts w:ascii="Arial" w:eastAsia="Times New Roman" w:hAnsi="Arial" w:cs="Times New Roman"/>
      <w:b/>
      <w:caps/>
      <w:szCs w:val="20"/>
      <w:lang w:val="en-US"/>
    </w:rPr>
  </w:style>
  <w:style w:type="paragraph" w:styleId="Header">
    <w:name w:val="header"/>
    <w:basedOn w:val="Normal"/>
    <w:link w:val="HeaderChar"/>
    <w:unhideWhenUsed/>
    <w:rsid w:val="00411ACF"/>
    <w:pPr>
      <w:tabs>
        <w:tab w:val="center" w:pos="4680"/>
        <w:tab w:val="right" w:pos="9360"/>
      </w:tabs>
    </w:pPr>
  </w:style>
  <w:style w:type="character" w:customStyle="1" w:styleId="HeaderChar">
    <w:name w:val="Header Char"/>
    <w:basedOn w:val="DefaultParagraphFont"/>
    <w:link w:val="Header"/>
    <w:rsid w:val="00411ACF"/>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411ACF"/>
    <w:rPr>
      <w:color w:val="0563C1" w:themeColor="hyperlink"/>
      <w:u w:val="single"/>
    </w:rPr>
  </w:style>
  <w:style w:type="paragraph" w:customStyle="1" w:styleId="StyleCopyrightStatementAfter0ptBottomSinglesolidline1">
    <w:name w:val="Style CopyrightStatement + After:  0 pt Bottom: (Single solid line...1"/>
    <w:basedOn w:val="Normal"/>
    <w:rsid w:val="00411ACF"/>
    <w:pPr>
      <w:pBdr>
        <w:top w:val="single" w:sz="8" w:space="4" w:color="auto"/>
      </w:pBdr>
      <w:tabs>
        <w:tab w:val="right" w:pos="9360"/>
      </w:tabs>
      <w:autoSpaceDE w:val="0"/>
      <w:autoSpaceDN w:val="0"/>
      <w:adjustRightInd w:val="0"/>
      <w:jc w:val="both"/>
      <w:textAlignment w:val="center"/>
    </w:pPr>
    <w:rPr>
      <w:rFonts w:ascii="Arial" w:hAnsi="Arial"/>
      <w:i/>
      <w:iCs/>
      <w:color w:val="000000"/>
      <w:sz w:val="16"/>
    </w:rPr>
  </w:style>
  <w:style w:type="paragraph" w:customStyle="1" w:styleId="StyleStyleCopyrightStatementAfter0ptBottomSinglesolid">
    <w:name w:val="Style Style CopyrightStatement + After:  0 pt Bottom: (Single solid..."/>
    <w:basedOn w:val="StyleCopyrightStatementAfter0ptBottomSinglesolidline1"/>
    <w:rsid w:val="00411ACF"/>
    <w:pPr>
      <w:pBdr>
        <w:top w:val="none" w:sz="0" w:space="0" w:color="auto"/>
      </w:pBdr>
    </w:pPr>
  </w:style>
  <w:style w:type="paragraph" w:styleId="NormalWeb">
    <w:name w:val="Normal (Web)"/>
    <w:basedOn w:val="Normal"/>
    <w:uiPriority w:val="99"/>
    <w:unhideWhenUsed/>
    <w:rsid w:val="00411ACF"/>
    <w:pPr>
      <w:spacing w:before="100" w:beforeAutospacing="1" w:after="100" w:afterAutospacing="1"/>
    </w:pPr>
    <w:rPr>
      <w:sz w:val="24"/>
      <w:szCs w:val="24"/>
      <w:lang w:val="en-IN" w:eastAsia="en-IN"/>
    </w:rPr>
  </w:style>
  <w:style w:type="paragraph" w:styleId="EndnoteText">
    <w:name w:val="endnote text"/>
    <w:basedOn w:val="Normal"/>
    <w:link w:val="EndnoteTextChar"/>
    <w:uiPriority w:val="99"/>
    <w:unhideWhenUsed/>
    <w:rsid w:val="00411ACF"/>
    <w:rPr>
      <w:rFonts w:ascii="Calibri" w:eastAsia="Calibri" w:hAnsi="Calibri"/>
      <w:lang w:val="x-none" w:eastAsia="x-none"/>
    </w:rPr>
  </w:style>
  <w:style w:type="character" w:customStyle="1" w:styleId="EndnoteTextChar">
    <w:name w:val="Endnote Text Char"/>
    <w:basedOn w:val="DefaultParagraphFont"/>
    <w:link w:val="EndnoteText"/>
    <w:uiPriority w:val="99"/>
    <w:rsid w:val="00411ACF"/>
    <w:rPr>
      <w:rFonts w:ascii="Calibri" w:eastAsia="Calibri" w:hAnsi="Calibri" w:cs="Times New Roman"/>
      <w:sz w:val="20"/>
      <w:szCs w:val="20"/>
      <w:lang w:val="x-none" w:eastAsia="x-none"/>
    </w:rPr>
  </w:style>
  <w:style w:type="character" w:styleId="EndnoteReference">
    <w:name w:val="endnote reference"/>
    <w:uiPriority w:val="99"/>
    <w:unhideWhenUsed/>
    <w:qFormat/>
    <w:rsid w:val="00411ACF"/>
    <w:rPr>
      <w:vertAlign w:val="superscript"/>
    </w:rPr>
  </w:style>
  <w:style w:type="table" w:styleId="TableGrid">
    <w:name w:val="Table Grid"/>
    <w:basedOn w:val="TableNormal"/>
    <w:uiPriority w:val="39"/>
    <w:rsid w:val="00411ACF"/>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11ACF"/>
  </w:style>
  <w:style w:type="character" w:customStyle="1" w:styleId="FootnoteTextChar">
    <w:name w:val="Footnote Text Char"/>
    <w:basedOn w:val="DefaultParagraphFont"/>
    <w:link w:val="FootnoteText"/>
    <w:uiPriority w:val="99"/>
    <w:semiHidden/>
    <w:rsid w:val="00411ACF"/>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496436"/>
    <w:rPr>
      <w:sz w:val="18"/>
      <w:szCs w:val="18"/>
    </w:rPr>
  </w:style>
  <w:style w:type="character" w:customStyle="1" w:styleId="BalloonTextChar">
    <w:name w:val="Balloon Text Char"/>
    <w:basedOn w:val="DefaultParagraphFont"/>
    <w:link w:val="BalloonText"/>
    <w:uiPriority w:val="99"/>
    <w:semiHidden/>
    <w:rsid w:val="00496436"/>
    <w:rPr>
      <w:rFonts w:ascii="Times New Roman" w:eastAsia="Times New Roman" w:hAnsi="Times New Roman" w:cs="Times New Roman"/>
      <w:sz w:val="18"/>
      <w:szCs w:val="18"/>
      <w:lang w:val="en-US"/>
    </w:rPr>
  </w:style>
  <w:style w:type="character" w:styleId="CommentReference">
    <w:name w:val="annotation reference"/>
    <w:basedOn w:val="DefaultParagraphFont"/>
    <w:uiPriority w:val="99"/>
    <w:semiHidden/>
    <w:unhideWhenUsed/>
    <w:rsid w:val="005A628F"/>
    <w:rPr>
      <w:sz w:val="16"/>
      <w:szCs w:val="16"/>
    </w:rPr>
  </w:style>
  <w:style w:type="paragraph" w:styleId="CommentText">
    <w:name w:val="annotation text"/>
    <w:basedOn w:val="Normal"/>
    <w:link w:val="CommentTextChar"/>
    <w:uiPriority w:val="99"/>
    <w:unhideWhenUsed/>
    <w:rsid w:val="005A628F"/>
  </w:style>
  <w:style w:type="character" w:customStyle="1" w:styleId="CommentTextChar">
    <w:name w:val="Comment Text Char"/>
    <w:basedOn w:val="DefaultParagraphFont"/>
    <w:link w:val="CommentText"/>
    <w:uiPriority w:val="99"/>
    <w:rsid w:val="005A628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A628F"/>
    <w:rPr>
      <w:b/>
      <w:bCs/>
    </w:rPr>
  </w:style>
  <w:style w:type="character" w:customStyle="1" w:styleId="CommentSubjectChar">
    <w:name w:val="Comment Subject Char"/>
    <w:basedOn w:val="CommentTextChar"/>
    <w:link w:val="CommentSubject"/>
    <w:uiPriority w:val="99"/>
    <w:semiHidden/>
    <w:rsid w:val="005A628F"/>
    <w:rPr>
      <w:rFonts w:ascii="Times New Roman" w:eastAsia="Times New Roman" w:hAnsi="Times New Roman" w:cs="Times New Roman"/>
      <w:b/>
      <w:bCs/>
      <w:sz w:val="20"/>
      <w:szCs w:val="20"/>
      <w:lang w:val="en-US"/>
    </w:rPr>
  </w:style>
  <w:style w:type="paragraph" w:styleId="Revision">
    <w:name w:val="Revision"/>
    <w:hidden/>
    <w:uiPriority w:val="99"/>
    <w:semiHidden/>
    <w:rsid w:val="00DC51C4"/>
    <w:rPr>
      <w:rFonts w:ascii="Times New Roman" w:eastAsia="Times New Roman" w:hAnsi="Times New Roman" w:cs="Times New Roman"/>
      <w:sz w:val="20"/>
      <w:szCs w:val="20"/>
      <w:lang w:val="en-US"/>
    </w:rPr>
  </w:style>
  <w:style w:type="character" w:customStyle="1" w:styleId="UnresolvedMention1">
    <w:name w:val="Unresolved Mention1"/>
    <w:basedOn w:val="DefaultParagraphFont"/>
    <w:uiPriority w:val="99"/>
    <w:semiHidden/>
    <w:unhideWhenUsed/>
    <w:rsid w:val="0099710E"/>
    <w:rPr>
      <w:color w:val="605E5C"/>
      <w:shd w:val="clear" w:color="auto" w:fill="E1DFDD"/>
    </w:rPr>
  </w:style>
  <w:style w:type="character" w:styleId="FootnoteReference">
    <w:name w:val="footnote reference"/>
    <w:basedOn w:val="DefaultParagraphFont"/>
    <w:uiPriority w:val="99"/>
    <w:semiHidden/>
    <w:unhideWhenUsed/>
    <w:rsid w:val="005C51AA"/>
    <w:rPr>
      <w:vertAlign w:val="superscript"/>
    </w:rPr>
  </w:style>
  <w:style w:type="paragraph" w:styleId="Footer">
    <w:name w:val="footer"/>
    <w:basedOn w:val="Normal"/>
    <w:link w:val="FooterChar"/>
    <w:uiPriority w:val="99"/>
    <w:unhideWhenUsed/>
    <w:rsid w:val="003B3D73"/>
    <w:pPr>
      <w:tabs>
        <w:tab w:val="center" w:pos="4680"/>
        <w:tab w:val="right" w:pos="9360"/>
      </w:tabs>
    </w:pPr>
  </w:style>
  <w:style w:type="character" w:customStyle="1" w:styleId="FooterChar">
    <w:name w:val="Footer Char"/>
    <w:basedOn w:val="DefaultParagraphFont"/>
    <w:link w:val="Footer"/>
    <w:uiPriority w:val="99"/>
    <w:rsid w:val="003B3D73"/>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93723">
      <w:bodyDiv w:val="1"/>
      <w:marLeft w:val="0"/>
      <w:marRight w:val="0"/>
      <w:marTop w:val="0"/>
      <w:marBottom w:val="0"/>
      <w:divBdr>
        <w:top w:val="none" w:sz="0" w:space="0" w:color="auto"/>
        <w:left w:val="none" w:sz="0" w:space="0" w:color="auto"/>
        <w:bottom w:val="none" w:sz="0" w:space="0" w:color="auto"/>
        <w:right w:val="none" w:sz="0" w:space="0" w:color="auto"/>
      </w:divBdr>
    </w:div>
    <w:div w:id="204420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E00E8-2100-40B4-8A57-B4F8A68CD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4740</Words>
  <Characters>27018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McCutcheon, Amber</cp:lastModifiedBy>
  <cp:revision>2</cp:revision>
  <dcterms:created xsi:type="dcterms:W3CDTF">2021-01-14T22:00:00Z</dcterms:created>
  <dcterms:modified xsi:type="dcterms:W3CDTF">2021-01-14T22:00:00Z</dcterms:modified>
</cp:coreProperties>
</file>