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9B936" w14:textId="77777777" w:rsidR="00625008" w:rsidRDefault="00625008" w:rsidP="00625008">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7B0536A8" wp14:editId="120ECBFC">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43E31E10" w14:textId="0A11A365" w:rsidR="00625008" w:rsidRDefault="00A50DF5" w:rsidP="00625008">
      <w:pPr>
        <w:pStyle w:val="ProductNumber"/>
      </w:pPr>
      <w:r>
        <w:t>9B21M008</w:t>
      </w:r>
    </w:p>
    <w:p w14:paraId="4E057522" w14:textId="7A113CB1" w:rsidR="00D75295" w:rsidRPr="007B3AB8" w:rsidRDefault="00D75295" w:rsidP="00D75295">
      <w:pPr>
        <w:jc w:val="right"/>
        <w:rPr>
          <w:rFonts w:ascii="Arial" w:hAnsi="Arial"/>
          <w:b/>
          <w:lang w:val="en-GB"/>
        </w:rPr>
      </w:pPr>
    </w:p>
    <w:p w14:paraId="02524312" w14:textId="77777777" w:rsidR="001901C0" w:rsidRPr="007B3AB8" w:rsidRDefault="001901C0" w:rsidP="00D75295">
      <w:pPr>
        <w:jc w:val="right"/>
        <w:rPr>
          <w:rFonts w:ascii="Arial" w:hAnsi="Arial"/>
          <w:b/>
          <w:lang w:val="en-GB"/>
        </w:rPr>
      </w:pPr>
    </w:p>
    <w:p w14:paraId="2F03D26A" w14:textId="2B8E39EE" w:rsidR="00013360" w:rsidRPr="007B3AB8" w:rsidRDefault="00047CA5" w:rsidP="00013360">
      <w:pPr>
        <w:pStyle w:val="CaseTitle"/>
        <w:spacing w:after="0" w:line="240" w:lineRule="auto"/>
        <w:rPr>
          <w:sz w:val="20"/>
          <w:szCs w:val="20"/>
          <w:lang w:val="en-GB"/>
        </w:rPr>
      </w:pPr>
      <w:r w:rsidRPr="007B3AB8">
        <w:rPr>
          <w:lang w:val="en-GB"/>
        </w:rPr>
        <w:t xml:space="preserve">EXTRAORDINARY JOURNEYS: </w:t>
      </w:r>
      <w:r w:rsidR="000F6B43">
        <w:rPr>
          <w:lang w:val="en-GB"/>
        </w:rPr>
        <w:t>A</w:t>
      </w:r>
      <w:r w:rsidR="000F6B43">
        <w:t xml:space="preserve">n </w:t>
      </w:r>
      <w:r w:rsidR="005676E3" w:rsidRPr="005676E3">
        <w:t>Acquisition</w:t>
      </w:r>
      <w:r w:rsidR="005676E3" w:rsidRPr="005676E3" w:rsidDel="005676E3">
        <w:rPr>
          <w:lang w:val="en-GB"/>
        </w:rPr>
        <w:t xml:space="preserve"> </w:t>
      </w:r>
      <w:r w:rsidRPr="007B3AB8">
        <w:rPr>
          <w:lang w:val="en-GB"/>
        </w:rPr>
        <w:t>EXPEDITION</w:t>
      </w:r>
    </w:p>
    <w:p w14:paraId="40ABF6FD" w14:textId="77777777" w:rsidR="00CA3976" w:rsidRPr="007B3AB8" w:rsidRDefault="00CA3976" w:rsidP="00013360">
      <w:pPr>
        <w:pStyle w:val="CaseTitle"/>
        <w:spacing w:after="0" w:line="240" w:lineRule="auto"/>
        <w:rPr>
          <w:sz w:val="20"/>
          <w:szCs w:val="20"/>
          <w:lang w:val="en-GB"/>
        </w:rPr>
      </w:pPr>
    </w:p>
    <w:p w14:paraId="202F1085" w14:textId="77777777" w:rsidR="00013360" w:rsidRPr="007B3AB8" w:rsidRDefault="00013360" w:rsidP="00013360">
      <w:pPr>
        <w:pStyle w:val="CaseTitle"/>
        <w:spacing w:after="0" w:line="240" w:lineRule="auto"/>
        <w:rPr>
          <w:sz w:val="20"/>
          <w:szCs w:val="20"/>
          <w:lang w:val="en-GB"/>
        </w:rPr>
      </w:pPr>
    </w:p>
    <w:p w14:paraId="10D89D5F" w14:textId="777E943D" w:rsidR="00086B26" w:rsidRPr="007B3AB8" w:rsidRDefault="00047CA5" w:rsidP="00086B26">
      <w:pPr>
        <w:pStyle w:val="StyleCopyrightStatementAfter0ptBottomSinglesolidline1"/>
        <w:rPr>
          <w:lang w:val="en-GB"/>
        </w:rPr>
      </w:pPr>
      <w:r w:rsidRPr="007B3AB8">
        <w:rPr>
          <w:lang w:val="en-GB"/>
        </w:rPr>
        <w:t>David Halliday</w:t>
      </w:r>
      <w:r w:rsidR="00ED7922" w:rsidRPr="007B3AB8">
        <w:rPr>
          <w:rFonts w:cs="Arial"/>
          <w:szCs w:val="16"/>
          <w:lang w:val="en-GB"/>
        </w:rPr>
        <w:t xml:space="preserve"> </w:t>
      </w:r>
      <w:r w:rsidR="00086B26" w:rsidRPr="007B3AB8">
        <w:rPr>
          <w:lang w:val="en-GB"/>
        </w:rPr>
        <w:t xml:space="preserve">wrote this case solely to provide material for class discussion. The </w:t>
      </w:r>
      <w:r w:rsidR="00034919">
        <w:rPr>
          <w:lang w:val="en-GB"/>
        </w:rPr>
        <w:t xml:space="preserve">author does </w:t>
      </w:r>
      <w:r w:rsidR="00086B26" w:rsidRPr="007B3AB8">
        <w:rPr>
          <w:lang w:val="en-GB"/>
        </w:rPr>
        <w:t xml:space="preserve">not intend to illustrate either effective or ineffective handling of a managerial situation. The </w:t>
      </w:r>
      <w:r w:rsidR="00034919">
        <w:rPr>
          <w:lang w:val="en-GB"/>
        </w:rPr>
        <w:t>author</w:t>
      </w:r>
      <w:r w:rsidR="00034919" w:rsidRPr="007B3AB8">
        <w:rPr>
          <w:lang w:val="en-GB"/>
        </w:rPr>
        <w:t xml:space="preserve"> </w:t>
      </w:r>
      <w:r w:rsidR="00086B26" w:rsidRPr="007B3AB8">
        <w:rPr>
          <w:lang w:val="en-GB"/>
        </w:rPr>
        <w:t xml:space="preserve">may have disguised certain names and other identifying information to </w:t>
      </w:r>
      <w:r w:rsidR="005676E3" w:rsidRPr="00287D6F">
        <w:rPr>
          <w:lang w:val="en-GB"/>
        </w:rPr>
        <w:t>protect confidentiality.</w:t>
      </w:r>
    </w:p>
    <w:p w14:paraId="20E8B116" w14:textId="77777777" w:rsidR="00047CA5" w:rsidRPr="007B3AB8" w:rsidRDefault="00047CA5" w:rsidP="00A323B0">
      <w:pPr>
        <w:pStyle w:val="StyleStyleCopyrightStatementAfter0ptBottomSinglesolid"/>
        <w:rPr>
          <w:rFonts w:cs="Arial"/>
          <w:iCs w:val="0"/>
          <w:color w:val="auto"/>
          <w:szCs w:val="16"/>
          <w:lang w:val="en-GB"/>
        </w:rPr>
      </w:pPr>
    </w:p>
    <w:p w14:paraId="69EB608C" w14:textId="77777777" w:rsidR="00625008" w:rsidRPr="00625008" w:rsidRDefault="00625008" w:rsidP="00625008">
      <w:pPr>
        <w:pStyle w:val="StyleStyleCopyrightStatementAfter0ptBottomSinglesolid"/>
        <w:rPr>
          <w:rFonts w:cs="Arial"/>
          <w:iCs w:val="0"/>
          <w:color w:val="FFFFFF" w:themeColor="background1"/>
          <w:szCs w:val="16"/>
          <w:lang w:val="en-GB"/>
        </w:rPr>
      </w:pPr>
      <w:r w:rsidRPr="00625008">
        <w:rPr>
          <w:rFonts w:cs="Arial"/>
          <w:iCs w:val="0"/>
          <w:color w:val="auto"/>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625008">
        <w:rPr>
          <w:rFonts w:cs="Arial"/>
          <w:iCs w:val="0"/>
          <w:color w:val="FFFFFF" w:themeColor="background1"/>
          <w:szCs w:val="16"/>
          <w:lang w:val="en-GB"/>
        </w:rPr>
        <w:t>i1v2e5y5pubs</w:t>
      </w:r>
    </w:p>
    <w:p w14:paraId="05E3C5B6" w14:textId="77777777" w:rsidR="00625008" w:rsidRPr="00625008" w:rsidRDefault="00625008" w:rsidP="00625008">
      <w:pPr>
        <w:pStyle w:val="StyleStyleCopyrightStatementAfter0ptBottomSinglesolid"/>
        <w:rPr>
          <w:rFonts w:cs="Arial"/>
          <w:iCs w:val="0"/>
          <w:color w:val="auto"/>
          <w:szCs w:val="16"/>
          <w:lang w:val="en-GB"/>
        </w:rPr>
      </w:pPr>
    </w:p>
    <w:p w14:paraId="3922E14F" w14:textId="1F904034" w:rsidR="00751E0B" w:rsidRPr="007B3AB8" w:rsidRDefault="00625008" w:rsidP="00625008">
      <w:pPr>
        <w:pStyle w:val="StyleStyleCopyrightStatementAfter0ptBottomSinglesolid"/>
        <w:rPr>
          <w:rFonts w:cs="Arial"/>
          <w:szCs w:val="16"/>
          <w:lang w:val="en-GB"/>
        </w:rPr>
      </w:pPr>
      <w:r w:rsidRPr="00625008">
        <w:rPr>
          <w:rFonts w:cs="Arial"/>
          <w:iCs w:val="0"/>
          <w:color w:val="auto"/>
          <w:szCs w:val="16"/>
          <w:lang w:val="en-GB"/>
        </w:rPr>
        <w:t>Copyright © 20</w:t>
      </w:r>
      <w:r>
        <w:rPr>
          <w:rFonts w:cs="Arial"/>
          <w:iCs w:val="0"/>
          <w:color w:val="auto"/>
          <w:szCs w:val="16"/>
          <w:lang w:val="en-GB"/>
        </w:rPr>
        <w:t>21</w:t>
      </w:r>
      <w:r w:rsidRPr="00625008">
        <w:rPr>
          <w:rFonts w:cs="Arial"/>
          <w:iCs w:val="0"/>
          <w:color w:val="auto"/>
          <w:szCs w:val="16"/>
          <w:lang w:val="en-GB"/>
        </w:rPr>
        <w:t>, Ivey Business School Foundation</w:t>
      </w:r>
      <w:r w:rsidRPr="00625008">
        <w:rPr>
          <w:rFonts w:cs="Arial"/>
          <w:iCs w:val="0"/>
          <w:color w:val="auto"/>
          <w:szCs w:val="16"/>
          <w:lang w:val="en-GB"/>
        </w:rPr>
        <w:tab/>
        <w:t xml:space="preserve">Version: </w:t>
      </w:r>
      <w:r>
        <w:rPr>
          <w:rFonts w:cs="Arial"/>
          <w:iCs w:val="0"/>
          <w:color w:val="auto"/>
          <w:szCs w:val="16"/>
          <w:lang w:val="en-GB"/>
        </w:rPr>
        <w:t>2021-02-</w:t>
      </w:r>
      <w:r w:rsidR="00A50DF5">
        <w:rPr>
          <w:rFonts w:cs="Arial"/>
          <w:iCs w:val="0"/>
          <w:color w:val="auto"/>
          <w:szCs w:val="16"/>
          <w:lang w:val="en-GB"/>
        </w:rPr>
        <w:t>18</w:t>
      </w:r>
    </w:p>
    <w:p w14:paraId="0A2A54E4" w14:textId="77777777" w:rsidR="00751E0B" w:rsidRPr="007B3AB8" w:rsidRDefault="00751E0B" w:rsidP="00751E0B">
      <w:pPr>
        <w:pStyle w:val="StyleCopyrightStatementAfter0ptBottomSinglesolidline1"/>
        <w:rPr>
          <w:rFonts w:ascii="Times New Roman" w:hAnsi="Times New Roman"/>
          <w:sz w:val="20"/>
          <w:lang w:val="en-GB"/>
        </w:rPr>
      </w:pPr>
    </w:p>
    <w:p w14:paraId="2C183161" w14:textId="6D0F902F" w:rsidR="00B87DC0" w:rsidRPr="007B3AB8" w:rsidRDefault="00B87DC0" w:rsidP="002B40FF">
      <w:pPr>
        <w:pStyle w:val="Casehead1"/>
        <w:rPr>
          <w:lang w:val="en-GB"/>
        </w:rPr>
      </w:pPr>
    </w:p>
    <w:p w14:paraId="23F0F542" w14:textId="19D7D415" w:rsidR="00047CA5" w:rsidRPr="007B3AB8" w:rsidRDefault="00047CA5" w:rsidP="00047CA5">
      <w:pPr>
        <w:pStyle w:val="BodyTextMain"/>
        <w:rPr>
          <w:lang w:val="en-GB"/>
        </w:rPr>
      </w:pPr>
      <w:r w:rsidRPr="007B3AB8">
        <w:rPr>
          <w:lang w:val="en-GB"/>
        </w:rPr>
        <w:t>It was late October</w:t>
      </w:r>
      <w:r w:rsidR="00C14900">
        <w:rPr>
          <w:lang w:val="en-GB"/>
        </w:rPr>
        <w:t xml:space="preserve"> </w:t>
      </w:r>
      <w:r w:rsidRPr="007B3AB8">
        <w:rPr>
          <w:lang w:val="en-GB"/>
        </w:rPr>
        <w:t>2015, and Elizabeth Gordon</w:t>
      </w:r>
      <w:r w:rsidR="0034648B">
        <w:rPr>
          <w:lang w:val="en-GB"/>
        </w:rPr>
        <w:t>,</w:t>
      </w:r>
      <w:r w:rsidRPr="007B3AB8">
        <w:rPr>
          <w:lang w:val="en-GB"/>
        </w:rPr>
        <w:t xml:space="preserve"> </w:t>
      </w:r>
      <w:r w:rsidR="0034648B" w:rsidRPr="007B3AB8">
        <w:rPr>
          <w:lang w:val="en-GB"/>
        </w:rPr>
        <w:t xml:space="preserve">the </w:t>
      </w:r>
      <w:r w:rsidR="0034648B">
        <w:rPr>
          <w:lang w:val="en-GB"/>
        </w:rPr>
        <w:t>chief executive officer</w:t>
      </w:r>
      <w:r w:rsidR="0034648B" w:rsidRPr="007B3AB8">
        <w:rPr>
          <w:lang w:val="en-GB"/>
        </w:rPr>
        <w:t xml:space="preserve"> of Extraordinary Journeys (EJ), a travel company that specialized in luxury African safaris</w:t>
      </w:r>
      <w:r w:rsidR="0034648B">
        <w:rPr>
          <w:lang w:val="en-GB"/>
        </w:rPr>
        <w:t>,</w:t>
      </w:r>
      <w:r w:rsidR="0034648B" w:rsidRPr="007B3AB8">
        <w:rPr>
          <w:lang w:val="en-GB"/>
        </w:rPr>
        <w:t xml:space="preserve"> </w:t>
      </w:r>
      <w:r w:rsidRPr="007B3AB8">
        <w:rPr>
          <w:lang w:val="en-GB"/>
        </w:rPr>
        <w:t xml:space="preserve">had cleared her schedule for the day. She knew </w:t>
      </w:r>
      <w:r w:rsidR="00052B41">
        <w:rPr>
          <w:lang w:val="en-GB"/>
        </w:rPr>
        <w:t xml:space="preserve">that </w:t>
      </w:r>
      <w:r w:rsidRPr="007B3AB8">
        <w:rPr>
          <w:lang w:val="en-GB"/>
        </w:rPr>
        <w:t>she needed to make a final decision about whether to acquire a smaller competitor called Safari Specialists Inc. (SSI), and she planned to use her day to double-check her financial and strategic analyses before making the final call.</w:t>
      </w:r>
    </w:p>
    <w:p w14:paraId="6DFDBC1E" w14:textId="77777777" w:rsidR="00047CA5" w:rsidRPr="007B3AB8" w:rsidRDefault="00047CA5" w:rsidP="00047CA5">
      <w:pPr>
        <w:pStyle w:val="BodyTextMain"/>
        <w:rPr>
          <w:lang w:val="en-GB"/>
        </w:rPr>
      </w:pPr>
    </w:p>
    <w:p w14:paraId="3A26AE41" w14:textId="3E801267" w:rsidR="00047CA5" w:rsidRPr="007B3AB8" w:rsidRDefault="00047CA5" w:rsidP="00047CA5">
      <w:pPr>
        <w:pStyle w:val="BodyTextMain"/>
        <w:rPr>
          <w:lang w:val="en-GB"/>
        </w:rPr>
      </w:pPr>
      <w:r w:rsidRPr="007B3AB8">
        <w:rPr>
          <w:lang w:val="en-GB"/>
        </w:rPr>
        <w:t xml:space="preserve">Earlier in 2015, </w:t>
      </w:r>
      <w:r w:rsidR="00794A46">
        <w:rPr>
          <w:lang w:val="en-GB"/>
        </w:rPr>
        <w:t>Gordon’s</w:t>
      </w:r>
      <w:r w:rsidR="00794A46" w:rsidRPr="007B3AB8">
        <w:rPr>
          <w:lang w:val="en-GB"/>
        </w:rPr>
        <w:t xml:space="preserve"> </w:t>
      </w:r>
      <w:r w:rsidRPr="007B3AB8">
        <w:rPr>
          <w:lang w:val="en-GB"/>
        </w:rPr>
        <w:t>analyst had come to her with an interesting acquisition opportunity</w:t>
      </w:r>
      <w:r w:rsidR="002A5372">
        <w:rPr>
          <w:lang w:val="en-GB"/>
        </w:rPr>
        <w:t>:</w:t>
      </w:r>
      <w:r w:rsidRPr="007B3AB8">
        <w:rPr>
          <w:lang w:val="en-GB"/>
        </w:rPr>
        <w:t xml:space="preserve"> SSI, a small </w:t>
      </w:r>
      <w:r w:rsidR="00181584">
        <w:rPr>
          <w:lang w:val="en-GB"/>
        </w:rPr>
        <w:t xml:space="preserve">safari company based in </w:t>
      </w:r>
      <w:r w:rsidRPr="007B3AB8">
        <w:rPr>
          <w:lang w:val="en-GB"/>
        </w:rPr>
        <w:t xml:space="preserve">Savannah, Georgia, was looking for a buyer. </w:t>
      </w:r>
      <w:r w:rsidR="003269BF">
        <w:rPr>
          <w:lang w:val="en-GB"/>
        </w:rPr>
        <w:t>The</w:t>
      </w:r>
      <w:r w:rsidRPr="007B3AB8">
        <w:rPr>
          <w:lang w:val="en-GB"/>
        </w:rPr>
        <w:t xml:space="preserve"> buying opportunity </w:t>
      </w:r>
      <w:r w:rsidR="003269BF">
        <w:rPr>
          <w:lang w:val="en-GB"/>
        </w:rPr>
        <w:t xml:space="preserve">appeared more compelling </w:t>
      </w:r>
      <w:r w:rsidRPr="007B3AB8">
        <w:rPr>
          <w:lang w:val="en-GB"/>
        </w:rPr>
        <w:t xml:space="preserve">than </w:t>
      </w:r>
      <w:r w:rsidR="00335A82">
        <w:rPr>
          <w:lang w:val="en-GB"/>
        </w:rPr>
        <w:t>most</w:t>
      </w:r>
      <w:r w:rsidR="003269BF">
        <w:rPr>
          <w:lang w:val="en-GB"/>
        </w:rPr>
        <w:t xml:space="preserve"> that Gordon encountered </w:t>
      </w:r>
      <w:r w:rsidRPr="007B3AB8">
        <w:rPr>
          <w:lang w:val="en-GB"/>
        </w:rPr>
        <w:t xml:space="preserve">within her segment of the travel industry. Over the past three years, SSI had been on a growth trajectory, with 2014 revenues of </w:t>
      </w:r>
      <w:r w:rsidR="00CD147C">
        <w:rPr>
          <w:lang w:val="en-GB"/>
        </w:rPr>
        <w:t>US</w:t>
      </w:r>
      <w:r w:rsidRPr="007B3AB8">
        <w:rPr>
          <w:lang w:val="en-GB"/>
        </w:rPr>
        <w:t>$1.7 million,</w:t>
      </w:r>
      <w:r w:rsidR="00CD147C">
        <w:rPr>
          <w:rStyle w:val="FootnoteReference"/>
          <w:lang w:val="en-GB"/>
        </w:rPr>
        <w:footnoteReference w:id="1"/>
      </w:r>
      <w:r w:rsidRPr="007B3AB8">
        <w:rPr>
          <w:lang w:val="en-GB"/>
        </w:rPr>
        <w:t xml:space="preserve"> up from $900,000 in 2012. </w:t>
      </w:r>
      <w:r w:rsidR="008F5593">
        <w:rPr>
          <w:lang w:val="en-GB"/>
        </w:rPr>
        <w:t>Full-year</w:t>
      </w:r>
      <w:r w:rsidRPr="007B3AB8">
        <w:rPr>
          <w:lang w:val="en-GB"/>
        </w:rPr>
        <w:t xml:space="preserve"> 2015 sales, as of October 30, were projected to </w:t>
      </w:r>
      <w:r w:rsidR="00D65288">
        <w:rPr>
          <w:lang w:val="en-GB"/>
        </w:rPr>
        <w:t>reach</w:t>
      </w:r>
      <w:r w:rsidR="00D65288" w:rsidRPr="007B3AB8">
        <w:rPr>
          <w:lang w:val="en-GB"/>
        </w:rPr>
        <w:t xml:space="preserve"> </w:t>
      </w:r>
      <w:r w:rsidRPr="007B3AB8">
        <w:rPr>
          <w:lang w:val="en-GB"/>
        </w:rPr>
        <w:t xml:space="preserve">$1.6 million </w:t>
      </w:r>
      <w:r w:rsidR="008F5593">
        <w:rPr>
          <w:lang w:val="en-GB"/>
        </w:rPr>
        <w:t xml:space="preserve">(see </w:t>
      </w:r>
      <w:r w:rsidRPr="007B3AB8">
        <w:rPr>
          <w:lang w:val="en-GB"/>
        </w:rPr>
        <w:t>Exhibit 1</w:t>
      </w:r>
      <w:r w:rsidR="008F5593">
        <w:rPr>
          <w:lang w:val="en-GB"/>
        </w:rPr>
        <w:t>)</w:t>
      </w:r>
      <w:r w:rsidRPr="007B3AB8">
        <w:rPr>
          <w:lang w:val="en-GB"/>
        </w:rPr>
        <w:t>. This</w:t>
      </w:r>
      <w:r w:rsidR="000F6B43">
        <w:rPr>
          <w:lang w:val="en-GB"/>
        </w:rPr>
        <w:t xml:space="preserve"> three-year</w:t>
      </w:r>
      <w:r w:rsidRPr="007B3AB8">
        <w:rPr>
          <w:lang w:val="en-GB"/>
        </w:rPr>
        <w:t xml:space="preserve"> growth rate</w:t>
      </w:r>
      <w:r w:rsidR="000F6B43">
        <w:rPr>
          <w:lang w:val="en-GB"/>
        </w:rPr>
        <w:t xml:space="preserve"> of 23 per cent, compounded annually,</w:t>
      </w:r>
      <w:r w:rsidRPr="007B3AB8">
        <w:rPr>
          <w:lang w:val="en-GB"/>
        </w:rPr>
        <w:t xml:space="preserve"> was higher than the growth</w:t>
      </w:r>
      <w:r w:rsidR="008F5593">
        <w:rPr>
          <w:lang w:val="en-GB"/>
        </w:rPr>
        <w:t xml:space="preserve"> rate</w:t>
      </w:r>
      <w:r w:rsidRPr="007B3AB8">
        <w:rPr>
          <w:lang w:val="en-GB"/>
        </w:rPr>
        <w:t xml:space="preserve"> </w:t>
      </w:r>
      <w:r w:rsidR="00D65288">
        <w:rPr>
          <w:lang w:val="en-GB"/>
        </w:rPr>
        <w:t>of</w:t>
      </w:r>
      <w:r w:rsidR="00D65288" w:rsidRPr="007B3AB8">
        <w:rPr>
          <w:lang w:val="en-GB"/>
        </w:rPr>
        <w:t xml:space="preserve"> </w:t>
      </w:r>
      <w:r w:rsidRPr="007B3AB8">
        <w:rPr>
          <w:lang w:val="en-GB"/>
        </w:rPr>
        <w:t xml:space="preserve">the safari industry overall, which </w:t>
      </w:r>
      <w:r w:rsidR="00D65288">
        <w:rPr>
          <w:lang w:val="en-GB"/>
        </w:rPr>
        <w:t>was</w:t>
      </w:r>
      <w:r w:rsidRPr="007B3AB8">
        <w:rPr>
          <w:lang w:val="en-GB"/>
        </w:rPr>
        <w:t xml:space="preserve"> approximately 10</w:t>
      </w:r>
      <w:r w:rsidR="006E46E7">
        <w:rPr>
          <w:lang w:val="en-GB"/>
        </w:rPr>
        <w:t xml:space="preserve"> per cent</w:t>
      </w:r>
      <w:r w:rsidRPr="007B3AB8">
        <w:rPr>
          <w:lang w:val="en-GB"/>
        </w:rPr>
        <w:t xml:space="preserve"> per year </w:t>
      </w:r>
      <w:r w:rsidR="000F6B43">
        <w:rPr>
          <w:lang w:val="en-GB"/>
        </w:rPr>
        <w:t>from 2012 to 2015</w:t>
      </w:r>
      <w:r w:rsidRPr="007B3AB8">
        <w:rPr>
          <w:lang w:val="en-GB"/>
        </w:rPr>
        <w:t>.</w:t>
      </w:r>
      <w:r w:rsidRPr="007B3AB8">
        <w:rPr>
          <w:rStyle w:val="FootnoteReference"/>
          <w:lang w:val="en-GB"/>
        </w:rPr>
        <w:footnoteReference w:id="2"/>
      </w:r>
    </w:p>
    <w:p w14:paraId="78F7C80E" w14:textId="77777777" w:rsidR="00047CA5" w:rsidRPr="007B3AB8" w:rsidRDefault="00047CA5" w:rsidP="00047CA5">
      <w:pPr>
        <w:pStyle w:val="BodyTextMain"/>
        <w:rPr>
          <w:lang w:val="en-GB"/>
        </w:rPr>
      </w:pPr>
    </w:p>
    <w:p w14:paraId="54C2B61F" w14:textId="769D4BC8" w:rsidR="00047CA5" w:rsidRPr="00AB17A4" w:rsidRDefault="00047CA5" w:rsidP="00047CA5">
      <w:pPr>
        <w:pStyle w:val="BodyTextMain"/>
        <w:rPr>
          <w:spacing w:val="-2"/>
          <w:lang w:val="en-GB"/>
        </w:rPr>
      </w:pPr>
      <w:r w:rsidRPr="00AB17A4">
        <w:rPr>
          <w:spacing w:val="-2"/>
          <w:lang w:val="en-GB"/>
        </w:rPr>
        <w:t xml:space="preserve">Further, Gordon found SSI’s philosophy compatible with her own philosophy for </w:t>
      </w:r>
      <w:r w:rsidR="00872E55" w:rsidRPr="00AB17A4">
        <w:rPr>
          <w:spacing w:val="-2"/>
          <w:lang w:val="en-GB"/>
        </w:rPr>
        <w:t>EJ</w:t>
      </w:r>
      <w:r w:rsidRPr="00AB17A4">
        <w:rPr>
          <w:spacing w:val="-2"/>
          <w:lang w:val="en-GB"/>
        </w:rPr>
        <w:t xml:space="preserve">. Like </w:t>
      </w:r>
      <w:r w:rsidR="00F3399B" w:rsidRPr="00AB17A4">
        <w:rPr>
          <w:spacing w:val="-2"/>
          <w:lang w:val="en-GB"/>
        </w:rPr>
        <w:t xml:space="preserve">Gordon’s </w:t>
      </w:r>
      <w:r w:rsidRPr="00AB17A4">
        <w:rPr>
          <w:spacing w:val="-2"/>
          <w:lang w:val="en-GB"/>
        </w:rPr>
        <w:t xml:space="preserve">firm, SSI had a strong commitment to providing excellent customer service and developing creative, fully customized “trips of a lifetime” for </w:t>
      </w:r>
      <w:r w:rsidR="009F4A2F" w:rsidRPr="00AB17A4">
        <w:rPr>
          <w:spacing w:val="-2"/>
          <w:lang w:val="en-GB"/>
        </w:rPr>
        <w:t xml:space="preserve">its </w:t>
      </w:r>
      <w:r w:rsidRPr="00AB17A4">
        <w:rPr>
          <w:spacing w:val="-2"/>
          <w:lang w:val="en-GB"/>
        </w:rPr>
        <w:t xml:space="preserve">clients. SSI’s founder, Deborah Jacobs, literally stayed up nights </w:t>
      </w:r>
      <w:r w:rsidR="003F23F7" w:rsidRPr="00AB17A4">
        <w:rPr>
          <w:spacing w:val="-2"/>
          <w:lang w:val="en-GB"/>
        </w:rPr>
        <w:t xml:space="preserve">to make </w:t>
      </w:r>
      <w:r w:rsidRPr="00AB17A4">
        <w:rPr>
          <w:spacing w:val="-2"/>
          <w:lang w:val="en-GB"/>
        </w:rPr>
        <w:t xml:space="preserve">sure her trip details were perfect and </w:t>
      </w:r>
      <w:r w:rsidR="003F23F7" w:rsidRPr="00AB17A4">
        <w:rPr>
          <w:spacing w:val="-2"/>
          <w:lang w:val="en-GB"/>
        </w:rPr>
        <w:t xml:space="preserve">to help </w:t>
      </w:r>
      <w:r w:rsidRPr="00AB17A4">
        <w:rPr>
          <w:spacing w:val="-2"/>
          <w:lang w:val="en-GB"/>
        </w:rPr>
        <w:t>clients when they were in Africa</w:t>
      </w:r>
      <w:r w:rsidR="003F23F7" w:rsidRPr="00AB17A4">
        <w:rPr>
          <w:spacing w:val="-2"/>
          <w:lang w:val="en-GB"/>
        </w:rPr>
        <w:t xml:space="preserve">, </w:t>
      </w:r>
      <w:r w:rsidR="007E51E1" w:rsidRPr="00AB17A4">
        <w:rPr>
          <w:spacing w:val="-2"/>
          <w:lang w:val="en-GB"/>
        </w:rPr>
        <w:t xml:space="preserve">which was </w:t>
      </w:r>
      <w:r w:rsidRPr="00AB17A4">
        <w:rPr>
          <w:spacing w:val="-2"/>
          <w:lang w:val="en-GB"/>
        </w:rPr>
        <w:t xml:space="preserve">many time zones ahead of </w:t>
      </w:r>
      <w:r w:rsidR="00FD41A2" w:rsidRPr="00AB17A4">
        <w:rPr>
          <w:spacing w:val="-2"/>
          <w:lang w:val="en-GB"/>
        </w:rPr>
        <w:t xml:space="preserve">EJ’s </w:t>
      </w:r>
      <w:r w:rsidRPr="00AB17A4">
        <w:rPr>
          <w:spacing w:val="-2"/>
          <w:lang w:val="en-GB"/>
        </w:rPr>
        <w:t>Savannah office. Based on the available client testimonials, SSI’s trips were very good. In fact, it seemed that all of Jacobs’</w:t>
      </w:r>
      <w:r w:rsidR="001535FE" w:rsidRPr="00AB17A4">
        <w:rPr>
          <w:spacing w:val="-2"/>
          <w:lang w:val="en-GB"/>
        </w:rPr>
        <w:t>s</w:t>
      </w:r>
      <w:r w:rsidRPr="00AB17A4">
        <w:rPr>
          <w:spacing w:val="-2"/>
          <w:lang w:val="en-GB"/>
        </w:rPr>
        <w:t xml:space="preserve"> extra </w:t>
      </w:r>
      <w:r w:rsidR="001535FE" w:rsidRPr="00AB17A4">
        <w:rPr>
          <w:spacing w:val="-2"/>
          <w:lang w:val="en-GB"/>
        </w:rPr>
        <w:t>efforts</w:t>
      </w:r>
      <w:r w:rsidRPr="00AB17A4">
        <w:rPr>
          <w:spacing w:val="-2"/>
          <w:lang w:val="en-GB"/>
        </w:rPr>
        <w:t xml:space="preserve"> had worn her out</w:t>
      </w:r>
      <w:r w:rsidR="002A5259" w:rsidRPr="00AB17A4">
        <w:rPr>
          <w:spacing w:val="-2"/>
          <w:lang w:val="en-GB"/>
        </w:rPr>
        <w:t>;</w:t>
      </w:r>
      <w:r w:rsidRPr="00AB17A4">
        <w:rPr>
          <w:spacing w:val="-2"/>
          <w:lang w:val="en-GB"/>
        </w:rPr>
        <w:t xml:space="preserve"> </w:t>
      </w:r>
      <w:r w:rsidR="002A5259" w:rsidRPr="00AB17A4">
        <w:rPr>
          <w:spacing w:val="-2"/>
          <w:lang w:val="en-GB"/>
        </w:rPr>
        <w:t>perhaps</w:t>
      </w:r>
      <w:r w:rsidRPr="00AB17A4">
        <w:rPr>
          <w:spacing w:val="-2"/>
          <w:lang w:val="en-GB"/>
        </w:rPr>
        <w:t xml:space="preserve"> this was why she had put SSI up for sale.</w:t>
      </w:r>
    </w:p>
    <w:p w14:paraId="4CD1B8F9" w14:textId="77777777" w:rsidR="00047CA5" w:rsidRPr="007B3AB8" w:rsidRDefault="00047CA5" w:rsidP="00047CA5">
      <w:pPr>
        <w:pStyle w:val="BodyTextMain"/>
        <w:rPr>
          <w:lang w:val="en-GB"/>
        </w:rPr>
      </w:pPr>
    </w:p>
    <w:p w14:paraId="24B21003" w14:textId="3BA2F49D" w:rsidR="00047CA5" w:rsidRDefault="002A5259" w:rsidP="00047CA5">
      <w:pPr>
        <w:pStyle w:val="BodyTextMain"/>
        <w:rPr>
          <w:lang w:val="en-GB"/>
        </w:rPr>
      </w:pPr>
      <w:r>
        <w:rPr>
          <w:lang w:val="en-GB"/>
        </w:rPr>
        <w:t xml:space="preserve">Gordon </w:t>
      </w:r>
      <w:r w:rsidR="00047CA5" w:rsidRPr="007B3AB8">
        <w:rPr>
          <w:lang w:val="en-GB"/>
        </w:rPr>
        <w:t xml:space="preserve">knew that EJ could easily deal with the extra stresses </w:t>
      </w:r>
      <w:r>
        <w:rPr>
          <w:lang w:val="en-GB"/>
        </w:rPr>
        <w:t xml:space="preserve">that </w:t>
      </w:r>
      <w:r w:rsidR="00047CA5" w:rsidRPr="007B3AB8">
        <w:rPr>
          <w:lang w:val="en-GB"/>
        </w:rPr>
        <w:t>Jacobs had been facing. With four sales agents</w:t>
      </w:r>
      <w:r>
        <w:rPr>
          <w:lang w:val="en-GB"/>
        </w:rPr>
        <w:t>,</w:t>
      </w:r>
      <w:r w:rsidR="00047CA5" w:rsidRPr="007B3AB8">
        <w:rPr>
          <w:lang w:val="en-GB"/>
        </w:rPr>
        <w:t xml:space="preserve"> </w:t>
      </w:r>
      <w:r>
        <w:rPr>
          <w:lang w:val="en-GB"/>
        </w:rPr>
        <w:t>the</w:t>
      </w:r>
      <w:r w:rsidR="00047CA5" w:rsidRPr="007B3AB8">
        <w:rPr>
          <w:lang w:val="en-GB"/>
        </w:rPr>
        <w:t xml:space="preserve"> EJ sales team could absorb SSI’s clients during </w:t>
      </w:r>
      <w:r>
        <w:rPr>
          <w:lang w:val="en-GB"/>
        </w:rPr>
        <w:t>EJ’s</w:t>
      </w:r>
      <w:r w:rsidRPr="007B3AB8">
        <w:rPr>
          <w:lang w:val="en-GB"/>
        </w:rPr>
        <w:t xml:space="preserve"> </w:t>
      </w:r>
      <w:r w:rsidR="00047CA5" w:rsidRPr="007B3AB8">
        <w:rPr>
          <w:lang w:val="en-GB"/>
        </w:rPr>
        <w:t xml:space="preserve">evening </w:t>
      </w:r>
      <w:r>
        <w:rPr>
          <w:lang w:val="en-GB"/>
        </w:rPr>
        <w:t>and</w:t>
      </w:r>
      <w:r w:rsidR="00047CA5" w:rsidRPr="007B3AB8">
        <w:rPr>
          <w:lang w:val="en-GB"/>
        </w:rPr>
        <w:t xml:space="preserve"> weekend on</w:t>
      </w:r>
      <w:r w:rsidR="007E51E1">
        <w:rPr>
          <w:lang w:val="en-GB"/>
        </w:rPr>
        <w:t>-</w:t>
      </w:r>
      <w:r w:rsidR="00047CA5" w:rsidRPr="007B3AB8">
        <w:rPr>
          <w:lang w:val="en-GB"/>
        </w:rPr>
        <w:t xml:space="preserve">call staff rotation. Knowing that EJ could fill one of SSI’s largest weaknesses, </w:t>
      </w:r>
      <w:r>
        <w:rPr>
          <w:lang w:val="en-GB"/>
        </w:rPr>
        <w:t>Gordon</w:t>
      </w:r>
      <w:r w:rsidRPr="007B3AB8">
        <w:rPr>
          <w:lang w:val="en-GB"/>
        </w:rPr>
        <w:t xml:space="preserve"> </w:t>
      </w:r>
      <w:r w:rsidR="00047CA5" w:rsidRPr="007B3AB8">
        <w:rPr>
          <w:lang w:val="en-GB"/>
        </w:rPr>
        <w:t xml:space="preserve">was taking a serious look at the opportunity. She knew that small travel industry acquisitions were very risky. Would this acquisition be worth the uncertainty? She grabbed another cup of coffee and looked out the window of her Manhattan office. She </w:t>
      </w:r>
      <w:r w:rsidR="00B31363">
        <w:rPr>
          <w:lang w:val="en-GB"/>
        </w:rPr>
        <w:t>opened</w:t>
      </w:r>
      <w:r w:rsidR="00047CA5" w:rsidRPr="007B3AB8">
        <w:rPr>
          <w:lang w:val="en-GB"/>
        </w:rPr>
        <w:t xml:space="preserve"> her SSI financial summary spreadsheet and began to check the figures one last time.</w:t>
      </w:r>
    </w:p>
    <w:p w14:paraId="5E459B1B" w14:textId="77777777" w:rsidR="00962C7B" w:rsidRDefault="00962C7B" w:rsidP="00962C7B">
      <w:pPr>
        <w:pStyle w:val="Casehead1"/>
        <w:rPr>
          <w:lang w:val="en-GB"/>
        </w:rPr>
      </w:pPr>
    </w:p>
    <w:p w14:paraId="2627C321" w14:textId="2F5C3D31" w:rsidR="00962C7B" w:rsidRPr="007B3AB8" w:rsidRDefault="00962C7B" w:rsidP="003836CC">
      <w:pPr>
        <w:pStyle w:val="Casehead1"/>
        <w:keepNext/>
        <w:rPr>
          <w:lang w:val="en-GB"/>
        </w:rPr>
      </w:pPr>
      <w:r w:rsidRPr="007B3AB8">
        <w:rPr>
          <w:lang w:val="en-GB"/>
        </w:rPr>
        <w:lastRenderedPageBreak/>
        <w:t>AN INTRODUCTION TO SAFARIS</w:t>
      </w:r>
    </w:p>
    <w:p w14:paraId="2E0D7FC9" w14:textId="56EC0E12" w:rsidR="00B31363" w:rsidRDefault="00B31363" w:rsidP="003836CC">
      <w:pPr>
        <w:pStyle w:val="BodyTextMain"/>
        <w:keepNext/>
        <w:rPr>
          <w:lang w:val="en-GB"/>
        </w:rPr>
      </w:pPr>
    </w:p>
    <w:p w14:paraId="6FA3FC30" w14:textId="67C0CD58" w:rsidR="00047CA5" w:rsidRPr="007B3AB8" w:rsidRDefault="00047CA5" w:rsidP="003836CC">
      <w:pPr>
        <w:pStyle w:val="Casehead2"/>
        <w:keepNext/>
        <w:rPr>
          <w:lang w:val="en-GB"/>
        </w:rPr>
      </w:pPr>
      <w:r w:rsidRPr="007B3AB8">
        <w:rPr>
          <w:lang w:val="en-GB"/>
        </w:rPr>
        <w:t>Going on Safari</w:t>
      </w:r>
    </w:p>
    <w:p w14:paraId="1138F4E7" w14:textId="77777777" w:rsidR="00047CA5" w:rsidRPr="007B3AB8" w:rsidRDefault="00047CA5" w:rsidP="003836CC">
      <w:pPr>
        <w:pStyle w:val="BodyTextMain"/>
        <w:keepNext/>
        <w:rPr>
          <w:lang w:val="en-GB"/>
        </w:rPr>
      </w:pPr>
    </w:p>
    <w:p w14:paraId="010EB746" w14:textId="2A3CD079" w:rsidR="00047CA5" w:rsidRPr="007B3AB8" w:rsidRDefault="00047CA5" w:rsidP="00047CA5">
      <w:pPr>
        <w:pStyle w:val="BodyTextMain"/>
        <w:rPr>
          <w:lang w:val="en-GB"/>
        </w:rPr>
      </w:pPr>
      <w:r w:rsidRPr="007B3AB8">
        <w:rPr>
          <w:lang w:val="en-GB"/>
        </w:rPr>
        <w:t xml:space="preserve">EJ and SSI were both luxury safari tour operators. Tour operators acted </w:t>
      </w:r>
      <w:r w:rsidR="00B872C4">
        <w:rPr>
          <w:lang w:val="en-GB"/>
        </w:rPr>
        <w:t>as</w:t>
      </w:r>
      <w:r w:rsidR="00B872C4" w:rsidRPr="007B3AB8">
        <w:rPr>
          <w:lang w:val="en-GB"/>
        </w:rPr>
        <w:t xml:space="preserve"> </w:t>
      </w:r>
      <w:r w:rsidRPr="007B3AB8">
        <w:rPr>
          <w:lang w:val="en-GB"/>
        </w:rPr>
        <w:t>travel agents that had a specialty and true expertise in the regions in which they operated. The industry segment that both EJ and SSI competed in was luxury wildlife safaris to Africa. Both companies worked almost exclusively with an American clientele</w:t>
      </w:r>
      <w:r w:rsidR="00C30BB1">
        <w:rPr>
          <w:lang w:val="en-GB"/>
        </w:rPr>
        <w:t>,</w:t>
      </w:r>
      <w:r w:rsidRPr="007B3AB8">
        <w:rPr>
          <w:lang w:val="en-GB"/>
        </w:rPr>
        <w:t xml:space="preserve"> booking vacation travel. All trips were customized for the clients and cost anywhere from $6,000 to $60,000 per person, with an average cost per client of about $10,000 for </w:t>
      </w:r>
      <w:r w:rsidR="00C30BB1">
        <w:rPr>
          <w:lang w:val="en-GB"/>
        </w:rPr>
        <w:t xml:space="preserve">a </w:t>
      </w:r>
      <w:r w:rsidRPr="007B3AB8">
        <w:rPr>
          <w:lang w:val="en-GB"/>
        </w:rPr>
        <w:t>10</w:t>
      </w:r>
      <w:r w:rsidR="00C30BB1">
        <w:rPr>
          <w:lang w:val="en-GB"/>
        </w:rPr>
        <w:t>-to</w:t>
      </w:r>
      <w:r w:rsidR="007B6B72">
        <w:rPr>
          <w:lang w:val="en-GB"/>
        </w:rPr>
        <w:t>-</w:t>
      </w:r>
      <w:r w:rsidRPr="007B3AB8">
        <w:rPr>
          <w:lang w:val="en-GB"/>
        </w:rPr>
        <w:t xml:space="preserve">14-day </w:t>
      </w:r>
      <w:r w:rsidR="00DB66B3">
        <w:rPr>
          <w:lang w:val="en-GB"/>
        </w:rPr>
        <w:t>vacation</w:t>
      </w:r>
      <w:r w:rsidRPr="007B3AB8">
        <w:rPr>
          <w:lang w:val="en-GB"/>
        </w:rPr>
        <w:t>. Safari itineraries often included stops at well-known destinations such as Serengeti National Park</w:t>
      </w:r>
      <w:r w:rsidR="00BC79AC">
        <w:rPr>
          <w:lang w:val="en-GB"/>
        </w:rPr>
        <w:t xml:space="preserve">, </w:t>
      </w:r>
      <w:r w:rsidRPr="007B3AB8">
        <w:rPr>
          <w:lang w:val="en-GB"/>
        </w:rPr>
        <w:t>Tanzania</w:t>
      </w:r>
      <w:r w:rsidR="00BC79AC">
        <w:rPr>
          <w:lang w:val="en-GB"/>
        </w:rPr>
        <w:t>;</w:t>
      </w:r>
      <w:r w:rsidRPr="007B3AB8">
        <w:rPr>
          <w:lang w:val="en-GB"/>
        </w:rPr>
        <w:t xml:space="preserve"> the Okavango Delta</w:t>
      </w:r>
      <w:r w:rsidR="00BC79AC">
        <w:rPr>
          <w:lang w:val="en-GB"/>
        </w:rPr>
        <w:t xml:space="preserve">, </w:t>
      </w:r>
      <w:r w:rsidRPr="007B3AB8">
        <w:rPr>
          <w:lang w:val="en-GB"/>
        </w:rPr>
        <w:t>Botswana</w:t>
      </w:r>
      <w:r w:rsidR="00BC79AC">
        <w:rPr>
          <w:lang w:val="en-GB"/>
        </w:rPr>
        <w:t>;</w:t>
      </w:r>
      <w:r w:rsidRPr="007B3AB8">
        <w:rPr>
          <w:lang w:val="en-GB"/>
        </w:rPr>
        <w:t xml:space="preserve"> or Kruger National Park</w:t>
      </w:r>
      <w:r w:rsidR="00BC79AC">
        <w:rPr>
          <w:lang w:val="en-GB"/>
        </w:rPr>
        <w:t xml:space="preserve">, </w:t>
      </w:r>
      <w:r w:rsidRPr="007B3AB8">
        <w:rPr>
          <w:lang w:val="en-GB"/>
        </w:rPr>
        <w:t>South Africa. Safari-goers typically went with guides on iconic game drives</w:t>
      </w:r>
      <w:r w:rsidR="00F90CD4">
        <w:rPr>
          <w:lang w:val="en-GB"/>
        </w:rPr>
        <w:t>,</w:t>
      </w:r>
      <w:r w:rsidRPr="007B3AB8">
        <w:rPr>
          <w:lang w:val="en-GB"/>
        </w:rPr>
        <w:t xml:space="preserve"> using customized </w:t>
      </w:r>
      <w:r w:rsidR="00A117D2">
        <w:rPr>
          <w:lang w:val="en-GB"/>
        </w:rPr>
        <w:t>Land Rover vehicles</w:t>
      </w:r>
      <w:r w:rsidRPr="007B3AB8">
        <w:rPr>
          <w:lang w:val="en-GB"/>
        </w:rPr>
        <w:t xml:space="preserve"> to search for game. </w:t>
      </w:r>
      <w:r w:rsidR="00C15749">
        <w:rPr>
          <w:lang w:val="en-GB"/>
        </w:rPr>
        <w:t>Travellers</w:t>
      </w:r>
      <w:r w:rsidRPr="007B3AB8">
        <w:rPr>
          <w:lang w:val="en-GB"/>
        </w:rPr>
        <w:t xml:space="preserve"> stayed in luxury lodges or tented camps</w:t>
      </w:r>
      <w:r w:rsidR="00C15749">
        <w:rPr>
          <w:lang w:val="en-GB"/>
        </w:rPr>
        <w:t>,</w:t>
      </w:r>
      <w:r w:rsidRPr="007B3AB8">
        <w:rPr>
          <w:lang w:val="en-GB"/>
        </w:rPr>
        <w:t xml:space="preserve"> depending on their preferences. All client trips created by EJ or SSI were created for touristic and photographic purposes, not for hunting.</w:t>
      </w:r>
    </w:p>
    <w:p w14:paraId="2C99B965" w14:textId="77777777" w:rsidR="00047CA5" w:rsidRPr="007B3AB8" w:rsidRDefault="00047CA5" w:rsidP="00047CA5">
      <w:pPr>
        <w:pStyle w:val="BodyTextMain"/>
        <w:rPr>
          <w:lang w:val="en-GB"/>
        </w:rPr>
      </w:pPr>
    </w:p>
    <w:p w14:paraId="206A1DAE" w14:textId="049C94B5" w:rsidR="00047CA5" w:rsidRPr="007B3AB8" w:rsidRDefault="00047CA5" w:rsidP="00047CA5">
      <w:pPr>
        <w:pStyle w:val="BodyTextMain"/>
        <w:rPr>
          <w:lang w:val="en-GB"/>
        </w:rPr>
      </w:pPr>
      <w:r w:rsidRPr="007B3AB8">
        <w:rPr>
          <w:lang w:val="en-GB"/>
        </w:rPr>
        <w:t>Firms that competed in this segment were known as safari tour operators. Tour operators typically did not directly manage client trips once the clients were in Africa</w:t>
      </w:r>
      <w:r w:rsidR="00E07CE5">
        <w:rPr>
          <w:lang w:val="en-GB"/>
        </w:rPr>
        <w:t>;</w:t>
      </w:r>
      <w:r w:rsidRPr="007B3AB8">
        <w:rPr>
          <w:lang w:val="en-GB"/>
        </w:rPr>
        <w:t xml:space="preserve"> </w:t>
      </w:r>
      <w:r w:rsidR="00E07CE5">
        <w:rPr>
          <w:lang w:val="en-GB"/>
        </w:rPr>
        <w:t>instead</w:t>
      </w:r>
      <w:r w:rsidRPr="007B3AB8">
        <w:rPr>
          <w:lang w:val="en-GB"/>
        </w:rPr>
        <w:t xml:space="preserve">, they hired destination management companies and safari camps to implement details such as coordinating non-commercial “bush” flights, </w:t>
      </w:r>
      <w:r w:rsidR="00E40F44">
        <w:rPr>
          <w:lang w:val="en-GB"/>
        </w:rPr>
        <w:t xml:space="preserve">addressing </w:t>
      </w:r>
      <w:r w:rsidRPr="007B3AB8">
        <w:rPr>
          <w:lang w:val="en-GB"/>
        </w:rPr>
        <w:t>complex foreign exchange issues, and transporting clients from one safari lodge to another. Tour operators oversaw and directly managed this process from abroad.</w:t>
      </w:r>
    </w:p>
    <w:p w14:paraId="22014DDA" w14:textId="496CC26B" w:rsidR="00047CA5" w:rsidRPr="007B3AB8" w:rsidRDefault="00047CA5" w:rsidP="00047CA5">
      <w:pPr>
        <w:pStyle w:val="BodyTextMain"/>
        <w:rPr>
          <w:lang w:val="en-GB"/>
        </w:rPr>
      </w:pPr>
    </w:p>
    <w:p w14:paraId="6C6B5690" w14:textId="77777777" w:rsidR="00047CA5" w:rsidRPr="007B3AB8" w:rsidRDefault="00047CA5" w:rsidP="00047CA5">
      <w:pPr>
        <w:pStyle w:val="BodyTextMain"/>
        <w:rPr>
          <w:lang w:val="en-GB"/>
        </w:rPr>
      </w:pPr>
    </w:p>
    <w:p w14:paraId="271477C8" w14:textId="77777777" w:rsidR="00047CA5" w:rsidRPr="007B3AB8" w:rsidRDefault="00047CA5" w:rsidP="00047CA5">
      <w:pPr>
        <w:pStyle w:val="Casehead2"/>
        <w:rPr>
          <w:lang w:val="en-GB"/>
        </w:rPr>
      </w:pPr>
      <w:r w:rsidRPr="007B3AB8">
        <w:rPr>
          <w:lang w:val="en-GB"/>
        </w:rPr>
        <w:t>The State of the Safari Industry</w:t>
      </w:r>
    </w:p>
    <w:p w14:paraId="20CECABD" w14:textId="77777777" w:rsidR="00047CA5" w:rsidRPr="007B3AB8" w:rsidRDefault="00047CA5" w:rsidP="00047CA5">
      <w:pPr>
        <w:pStyle w:val="BodyTextMain"/>
        <w:rPr>
          <w:lang w:val="en-GB"/>
        </w:rPr>
      </w:pPr>
    </w:p>
    <w:p w14:paraId="5743EBBD" w14:textId="49A2933C" w:rsidR="00047CA5" w:rsidRPr="007B3AB8" w:rsidRDefault="00047CA5" w:rsidP="00047CA5">
      <w:pPr>
        <w:pStyle w:val="BodyTextMain"/>
        <w:rPr>
          <w:lang w:val="en-GB"/>
        </w:rPr>
      </w:pPr>
      <w:r w:rsidRPr="007B3AB8">
        <w:rPr>
          <w:lang w:val="en-GB"/>
        </w:rPr>
        <w:t xml:space="preserve">In 2015, the African safari market was large and competitive. </w:t>
      </w:r>
      <w:r w:rsidR="00387A75">
        <w:rPr>
          <w:lang w:val="en-GB"/>
        </w:rPr>
        <w:t>Worldwide, over</w:t>
      </w:r>
      <w:r w:rsidRPr="007B3AB8">
        <w:rPr>
          <w:lang w:val="en-GB"/>
        </w:rPr>
        <w:t xml:space="preserve"> 1,000 tour operators</w:t>
      </w:r>
      <w:r w:rsidR="00387A75">
        <w:rPr>
          <w:lang w:val="en-GB"/>
        </w:rPr>
        <w:t xml:space="preserve"> </w:t>
      </w:r>
      <w:r w:rsidRPr="007B3AB8">
        <w:rPr>
          <w:lang w:val="en-GB"/>
        </w:rPr>
        <w:t>offered safari vacations,</w:t>
      </w:r>
      <w:r w:rsidRPr="007B3AB8">
        <w:rPr>
          <w:vertAlign w:val="superscript"/>
          <w:lang w:val="en-GB"/>
        </w:rPr>
        <w:footnoteReference w:id="3"/>
      </w:r>
      <w:r w:rsidRPr="007B3AB8">
        <w:rPr>
          <w:lang w:val="en-GB"/>
        </w:rPr>
        <w:t xml:space="preserve"> and an estimated 4.5 million tourists came to Africa purely for tourism, though not all went on safari.</w:t>
      </w:r>
      <w:r w:rsidRPr="007B3AB8">
        <w:rPr>
          <w:vertAlign w:val="superscript"/>
          <w:lang w:val="en-GB"/>
        </w:rPr>
        <w:footnoteReference w:id="4"/>
      </w:r>
      <w:r w:rsidR="007B3AB8">
        <w:rPr>
          <w:vertAlign w:val="superscript"/>
          <w:lang w:val="en-GB"/>
        </w:rPr>
        <w:t xml:space="preserve"> </w:t>
      </w:r>
      <w:r w:rsidRPr="007B3AB8">
        <w:rPr>
          <w:lang w:val="en-GB"/>
        </w:rPr>
        <w:t>The leading luxury safari camp provider, Wilderness Safaris, generated over $100 million in sales</w:t>
      </w:r>
      <w:r w:rsidR="000F6B43">
        <w:rPr>
          <w:lang w:val="en-GB"/>
        </w:rPr>
        <w:t xml:space="preserve"> per year</w:t>
      </w:r>
      <w:r w:rsidR="00471895">
        <w:rPr>
          <w:lang w:val="en-GB"/>
        </w:rPr>
        <w:t>,</w:t>
      </w:r>
      <w:r w:rsidRPr="007B3AB8">
        <w:rPr>
          <w:vertAlign w:val="superscript"/>
          <w:lang w:val="en-GB"/>
        </w:rPr>
        <w:footnoteReference w:id="5"/>
      </w:r>
      <w:r w:rsidRPr="007B3AB8">
        <w:rPr>
          <w:lang w:val="en-GB"/>
        </w:rPr>
        <w:t xml:space="preserve"> and they were estimated to hold a relatively small percentage of the luxury market.</w:t>
      </w:r>
      <w:r w:rsidRPr="005676E3">
        <w:rPr>
          <w:vertAlign w:val="superscript"/>
          <w:lang w:val="en-GB"/>
        </w:rPr>
        <w:footnoteReference w:id="6"/>
      </w:r>
    </w:p>
    <w:p w14:paraId="63B79D11" w14:textId="77777777" w:rsidR="00047CA5" w:rsidRPr="007B3AB8" w:rsidRDefault="00047CA5" w:rsidP="00047CA5">
      <w:pPr>
        <w:pStyle w:val="BodyTextMain"/>
        <w:rPr>
          <w:lang w:val="en-GB"/>
        </w:rPr>
      </w:pPr>
    </w:p>
    <w:p w14:paraId="161190CF" w14:textId="43290494" w:rsidR="00047CA5" w:rsidRPr="007B3AB8" w:rsidRDefault="00047CA5" w:rsidP="00047CA5">
      <w:pPr>
        <w:pStyle w:val="BodyTextMain"/>
        <w:rPr>
          <w:lang w:val="en-GB"/>
        </w:rPr>
      </w:pPr>
      <w:r w:rsidRPr="007B3AB8">
        <w:rPr>
          <w:lang w:val="en-GB"/>
        </w:rPr>
        <w:t>Since 2010, the luxury safari industry had grown rapidly</w:t>
      </w:r>
      <w:r w:rsidR="0039406C">
        <w:rPr>
          <w:lang w:val="en-GB"/>
        </w:rPr>
        <w:t>,</w:t>
      </w:r>
      <w:r w:rsidRPr="007B3AB8">
        <w:rPr>
          <w:lang w:val="en-GB"/>
        </w:rPr>
        <w:t xml:space="preserve"> based on two primary factors. The first was the overall state of the US economy, </w:t>
      </w:r>
      <w:r w:rsidR="00511915">
        <w:rPr>
          <w:lang w:val="en-GB"/>
        </w:rPr>
        <w:t>which included</w:t>
      </w:r>
      <w:r w:rsidRPr="007B3AB8">
        <w:rPr>
          <w:lang w:val="en-GB"/>
        </w:rPr>
        <w:t xml:space="preserve"> strong stock market performance. Mirroring the financial cycle, the safari industry had declined precipitously following the </w:t>
      </w:r>
      <w:r w:rsidR="008130DD" w:rsidRPr="007B3AB8">
        <w:rPr>
          <w:lang w:val="en-GB"/>
        </w:rPr>
        <w:t xml:space="preserve">stock market crash </w:t>
      </w:r>
      <w:r w:rsidR="008130DD">
        <w:rPr>
          <w:lang w:val="en-GB"/>
        </w:rPr>
        <w:t xml:space="preserve">of </w:t>
      </w:r>
      <w:r w:rsidRPr="007B3AB8">
        <w:rPr>
          <w:lang w:val="en-GB"/>
        </w:rPr>
        <w:t>2008</w:t>
      </w:r>
      <w:r w:rsidR="008130DD">
        <w:rPr>
          <w:lang w:val="en-GB"/>
        </w:rPr>
        <w:t>–</w:t>
      </w:r>
      <w:r w:rsidRPr="007B3AB8">
        <w:rPr>
          <w:lang w:val="en-GB"/>
        </w:rPr>
        <w:t xml:space="preserve">09. However, as the US economy began to grow, the stock market increased rapidly. With extra disposable income, </w:t>
      </w:r>
      <w:r w:rsidR="004B7FFC" w:rsidRPr="007B3AB8">
        <w:rPr>
          <w:lang w:val="en-GB"/>
        </w:rPr>
        <w:t>travellers</w:t>
      </w:r>
      <w:r w:rsidRPr="007B3AB8">
        <w:rPr>
          <w:lang w:val="en-GB"/>
        </w:rPr>
        <w:t xml:space="preserve"> took an increasing number of luxury trips.</w:t>
      </w:r>
      <w:r w:rsidRPr="007B3AB8">
        <w:rPr>
          <w:vertAlign w:val="superscript"/>
          <w:lang w:val="en-GB"/>
        </w:rPr>
        <w:footnoteReference w:id="7"/>
      </w:r>
    </w:p>
    <w:p w14:paraId="3AED23CD" w14:textId="77777777" w:rsidR="00047CA5" w:rsidRPr="007B3AB8" w:rsidRDefault="00047CA5" w:rsidP="00047CA5">
      <w:pPr>
        <w:pStyle w:val="BodyTextMain"/>
        <w:rPr>
          <w:lang w:val="en-GB"/>
        </w:rPr>
      </w:pPr>
    </w:p>
    <w:p w14:paraId="368337B4" w14:textId="6FF18C38" w:rsidR="00047CA5" w:rsidRPr="007B3AB8" w:rsidRDefault="00047CA5" w:rsidP="00047CA5">
      <w:pPr>
        <w:pStyle w:val="BodyTextMain"/>
        <w:rPr>
          <w:lang w:val="en-GB"/>
        </w:rPr>
      </w:pPr>
      <w:r w:rsidRPr="007B3AB8">
        <w:rPr>
          <w:lang w:val="en-GB"/>
        </w:rPr>
        <w:t xml:space="preserve">The second factor that led to increased </w:t>
      </w:r>
      <w:r w:rsidR="002E6BAF">
        <w:rPr>
          <w:lang w:val="en-GB"/>
        </w:rPr>
        <w:t xml:space="preserve">growth in the </w:t>
      </w:r>
      <w:r w:rsidRPr="007B3AB8">
        <w:rPr>
          <w:lang w:val="en-GB"/>
        </w:rPr>
        <w:t xml:space="preserve">tour operator industry was an increase in media attention toward African safaris. For example, from 2000 </w:t>
      </w:r>
      <w:r w:rsidR="00CA698B">
        <w:rPr>
          <w:lang w:val="en-GB"/>
        </w:rPr>
        <w:t>to</w:t>
      </w:r>
      <w:r w:rsidRPr="007B3AB8">
        <w:rPr>
          <w:lang w:val="en-GB"/>
        </w:rPr>
        <w:t xml:space="preserve"> 2009, lodgings in Africa won only a few of the annual </w:t>
      </w:r>
      <w:r w:rsidR="00CA698B">
        <w:rPr>
          <w:lang w:val="en-GB"/>
        </w:rPr>
        <w:t xml:space="preserve">best-of </w:t>
      </w:r>
      <w:r w:rsidRPr="007B3AB8">
        <w:rPr>
          <w:lang w:val="en-GB"/>
        </w:rPr>
        <w:t>awards in the top luxury travel magazines</w:t>
      </w:r>
      <w:r w:rsidR="008E4227">
        <w:rPr>
          <w:lang w:val="en-GB"/>
        </w:rPr>
        <w:t>,</w:t>
      </w:r>
      <w:r w:rsidRPr="007B3AB8">
        <w:rPr>
          <w:lang w:val="en-GB"/>
        </w:rPr>
        <w:t xml:space="preserve"> such as </w:t>
      </w:r>
      <w:r w:rsidR="0095375F" w:rsidRPr="005676E3">
        <w:rPr>
          <w:i/>
          <w:iCs/>
          <w:lang w:val="en-GB"/>
        </w:rPr>
        <w:t xml:space="preserve">Condé Nast </w:t>
      </w:r>
      <w:proofErr w:type="spellStart"/>
      <w:r w:rsidR="0095375F" w:rsidRPr="005676E3">
        <w:rPr>
          <w:i/>
          <w:iCs/>
          <w:lang w:val="en-GB"/>
        </w:rPr>
        <w:t>Traveler</w:t>
      </w:r>
      <w:proofErr w:type="spellEnd"/>
      <w:r w:rsidR="0095375F" w:rsidRPr="0095375F" w:rsidDel="0095375F">
        <w:rPr>
          <w:lang w:val="en-GB"/>
        </w:rPr>
        <w:t xml:space="preserve"> </w:t>
      </w:r>
      <w:r w:rsidRPr="007B3AB8">
        <w:rPr>
          <w:lang w:val="en-GB"/>
        </w:rPr>
        <w:t xml:space="preserve">or </w:t>
      </w:r>
      <w:r w:rsidRPr="005676E3">
        <w:rPr>
          <w:i/>
          <w:iCs/>
          <w:lang w:val="en-GB"/>
        </w:rPr>
        <w:t>Travel + Leisure</w:t>
      </w:r>
      <w:r w:rsidRPr="007B3AB8">
        <w:rPr>
          <w:lang w:val="en-GB"/>
        </w:rPr>
        <w:t>. However</w:t>
      </w:r>
      <w:r w:rsidR="006477F7">
        <w:rPr>
          <w:lang w:val="en-GB"/>
        </w:rPr>
        <w:t>,</w:t>
      </w:r>
      <w:r w:rsidRPr="007B3AB8">
        <w:rPr>
          <w:lang w:val="en-GB"/>
        </w:rPr>
        <w:t xml:space="preserve"> in the years following the financial crisis, African safari lodgings dominated </w:t>
      </w:r>
      <w:r w:rsidRPr="005676E3">
        <w:rPr>
          <w:i/>
          <w:iCs/>
          <w:lang w:val="en-GB"/>
        </w:rPr>
        <w:t>Travel + Leisure</w:t>
      </w:r>
      <w:r w:rsidRPr="007B3AB8">
        <w:rPr>
          <w:lang w:val="en-GB"/>
        </w:rPr>
        <w:t>’s annual list of the 25 best hotels in the world.</w:t>
      </w:r>
      <w:hyperlink r:id="rId9">
        <w:r w:rsidRPr="007B3AB8">
          <w:rPr>
            <w:lang w:val="en-GB"/>
          </w:rPr>
          <w:t xml:space="preserve"> </w:t>
        </w:r>
      </w:hyperlink>
      <w:r w:rsidRPr="007B3AB8">
        <w:rPr>
          <w:lang w:val="en-GB"/>
        </w:rPr>
        <w:t xml:space="preserve">For example, in 2011, safari properties in Tanzania and Kenya </w:t>
      </w:r>
      <w:r w:rsidRPr="007B3AB8">
        <w:rPr>
          <w:lang w:val="en-GB"/>
        </w:rPr>
        <w:lastRenderedPageBreak/>
        <w:t xml:space="preserve">were ranked as the </w:t>
      </w:r>
      <w:r w:rsidR="002959F3">
        <w:rPr>
          <w:lang w:val="en-GB"/>
        </w:rPr>
        <w:t>number-one</w:t>
      </w:r>
      <w:r w:rsidRPr="007B3AB8">
        <w:rPr>
          <w:lang w:val="en-GB"/>
        </w:rPr>
        <w:t xml:space="preserve"> and </w:t>
      </w:r>
      <w:r w:rsidR="002959F3">
        <w:rPr>
          <w:lang w:val="en-GB"/>
        </w:rPr>
        <w:t>number-two</w:t>
      </w:r>
      <w:r w:rsidRPr="007B3AB8">
        <w:rPr>
          <w:lang w:val="en-GB"/>
        </w:rPr>
        <w:t xml:space="preserve"> hotels in the world, respectively</w:t>
      </w:r>
      <w:r w:rsidR="00175678">
        <w:rPr>
          <w:lang w:val="en-GB"/>
        </w:rPr>
        <w:t>.</w:t>
      </w:r>
      <w:r w:rsidRPr="007B3AB8">
        <w:rPr>
          <w:vertAlign w:val="superscript"/>
          <w:lang w:val="en-GB"/>
        </w:rPr>
        <w:footnoteReference w:id="8"/>
      </w:r>
      <w:r w:rsidRPr="007B3AB8">
        <w:rPr>
          <w:lang w:val="en-GB"/>
        </w:rPr>
        <w:t xml:space="preserve"> In 2012, the </w:t>
      </w:r>
      <w:r w:rsidR="006920C8">
        <w:rPr>
          <w:lang w:val="en-GB"/>
        </w:rPr>
        <w:t>number-one</w:t>
      </w:r>
      <w:r w:rsidRPr="007B3AB8">
        <w:rPr>
          <w:lang w:val="en-GB"/>
        </w:rPr>
        <w:t xml:space="preserve"> and </w:t>
      </w:r>
      <w:r w:rsidR="006920C8">
        <w:rPr>
          <w:lang w:val="en-GB"/>
        </w:rPr>
        <w:t>seventh-best</w:t>
      </w:r>
      <w:r w:rsidRPr="007B3AB8">
        <w:rPr>
          <w:lang w:val="en-GB"/>
        </w:rPr>
        <w:t xml:space="preserve"> </w:t>
      </w:r>
      <w:r w:rsidR="008E4227">
        <w:rPr>
          <w:lang w:val="en-GB"/>
        </w:rPr>
        <w:t>hotels</w:t>
      </w:r>
      <w:r w:rsidRPr="007B3AB8">
        <w:rPr>
          <w:lang w:val="en-GB"/>
        </w:rPr>
        <w:t xml:space="preserve"> </w:t>
      </w:r>
      <w:r w:rsidR="006920C8">
        <w:rPr>
          <w:lang w:val="en-GB"/>
        </w:rPr>
        <w:t>were</w:t>
      </w:r>
      <w:r w:rsidRPr="007B3AB8">
        <w:rPr>
          <w:lang w:val="en-GB"/>
        </w:rPr>
        <w:t xml:space="preserve"> two separate Singita properties in Tanzania and South Africa</w:t>
      </w:r>
      <w:r w:rsidR="008E4227">
        <w:rPr>
          <w:lang w:val="en-GB"/>
        </w:rPr>
        <w:t>, respectively</w:t>
      </w:r>
      <w:r w:rsidR="006920C8">
        <w:rPr>
          <w:lang w:val="en-GB"/>
        </w:rPr>
        <w:t>.</w:t>
      </w:r>
      <w:r w:rsidRPr="007B3AB8">
        <w:rPr>
          <w:rStyle w:val="FootnoteReference"/>
          <w:lang w:val="en-GB"/>
        </w:rPr>
        <w:footnoteReference w:id="9"/>
      </w:r>
      <w:r w:rsidRPr="007B3AB8">
        <w:rPr>
          <w:lang w:val="en-GB"/>
        </w:rPr>
        <w:t xml:space="preserve"> In 2013, a safari camp in Botswana and a safari camp in South Africa took first and third places, respectively, despite stiff competition worldwide from destination resorts, specialty lodgings, and glitzy urban hotels</w:t>
      </w:r>
      <w:r w:rsidR="006920C8">
        <w:rPr>
          <w:lang w:val="en-GB"/>
        </w:rPr>
        <w:t>.</w:t>
      </w:r>
      <w:r w:rsidRPr="007B3AB8">
        <w:rPr>
          <w:rStyle w:val="FootnoteReference"/>
          <w:lang w:val="en-GB"/>
        </w:rPr>
        <w:footnoteReference w:id="10"/>
      </w:r>
      <w:r w:rsidRPr="007B3AB8">
        <w:rPr>
          <w:lang w:val="en-GB"/>
        </w:rPr>
        <w:t xml:space="preserve"> In addition, well-known personalities</w:t>
      </w:r>
      <w:r w:rsidR="006920C8">
        <w:rPr>
          <w:lang w:val="en-GB"/>
        </w:rPr>
        <w:t xml:space="preserve">, </w:t>
      </w:r>
      <w:r w:rsidR="006920C8" w:rsidRPr="007B3AB8">
        <w:rPr>
          <w:lang w:val="en-GB"/>
        </w:rPr>
        <w:t>including Oprah Winfrey, Justin Timberlake, Jessica Biel, and Michelle Obama</w:t>
      </w:r>
      <w:r w:rsidR="006920C8">
        <w:rPr>
          <w:lang w:val="en-GB"/>
        </w:rPr>
        <w:t>,</w:t>
      </w:r>
      <w:r w:rsidRPr="007B3AB8">
        <w:rPr>
          <w:lang w:val="en-GB"/>
        </w:rPr>
        <w:t xml:space="preserve"> went on safari during this time period.</w:t>
      </w:r>
      <w:r w:rsidRPr="007B3AB8">
        <w:rPr>
          <w:rStyle w:val="FootnoteReference"/>
          <w:lang w:val="en-GB"/>
        </w:rPr>
        <w:footnoteReference w:id="11"/>
      </w:r>
    </w:p>
    <w:p w14:paraId="62FCD220" w14:textId="77777777" w:rsidR="00047CA5" w:rsidRPr="007B3AB8" w:rsidRDefault="00047CA5" w:rsidP="00047CA5">
      <w:pPr>
        <w:pStyle w:val="BodyTextMain"/>
        <w:rPr>
          <w:lang w:val="en-GB"/>
        </w:rPr>
      </w:pPr>
    </w:p>
    <w:p w14:paraId="1815F862" w14:textId="09241627" w:rsidR="00047CA5" w:rsidRPr="007B3AB8" w:rsidRDefault="00047CA5" w:rsidP="00047CA5">
      <w:pPr>
        <w:pStyle w:val="BodyTextMain"/>
        <w:rPr>
          <w:spacing w:val="-2"/>
          <w:lang w:val="en-GB"/>
        </w:rPr>
      </w:pPr>
      <w:r w:rsidRPr="007B3AB8">
        <w:rPr>
          <w:spacing w:val="-2"/>
          <w:lang w:val="en-GB"/>
        </w:rPr>
        <w:t xml:space="preserve">As a general guideline, safari tour operators earned profits as a commission of the total trip costs. Commissions reflected the wholesale cost of goods sold (COGS) to the customer and ranged from 10 </w:t>
      </w:r>
      <w:r w:rsidR="00FA71C0">
        <w:rPr>
          <w:spacing w:val="-2"/>
          <w:lang w:val="en-GB"/>
        </w:rPr>
        <w:t xml:space="preserve">per cent </w:t>
      </w:r>
      <w:r w:rsidRPr="007B3AB8">
        <w:rPr>
          <w:spacing w:val="-2"/>
          <w:lang w:val="en-GB"/>
        </w:rPr>
        <w:t>to 30</w:t>
      </w:r>
      <w:r w:rsidR="003D1315">
        <w:rPr>
          <w:spacing w:val="-2"/>
          <w:lang w:val="en-GB"/>
        </w:rPr>
        <w:t xml:space="preserve"> per cent</w:t>
      </w:r>
      <w:r w:rsidRPr="007B3AB8">
        <w:rPr>
          <w:spacing w:val="-2"/>
          <w:lang w:val="en-GB"/>
        </w:rPr>
        <w:t>. In other words, a 20</w:t>
      </w:r>
      <w:r w:rsidR="0091664A">
        <w:rPr>
          <w:spacing w:val="-2"/>
          <w:lang w:val="en-GB"/>
        </w:rPr>
        <w:t xml:space="preserve"> per cent</w:t>
      </w:r>
      <w:r w:rsidRPr="007B3AB8">
        <w:rPr>
          <w:spacing w:val="-2"/>
          <w:lang w:val="en-GB"/>
        </w:rPr>
        <w:t xml:space="preserve"> commission indicated $80 in COGS for every $100 sold.</w:t>
      </w:r>
      <w:r w:rsidRPr="007B3AB8">
        <w:rPr>
          <w:rStyle w:val="FootnoteReference"/>
          <w:spacing w:val="-2"/>
          <w:lang w:val="en-GB"/>
        </w:rPr>
        <w:footnoteReference w:id="12"/>
      </w:r>
      <w:r w:rsidRPr="007B3AB8">
        <w:rPr>
          <w:spacing w:val="-2"/>
          <w:lang w:val="en-GB"/>
        </w:rPr>
        <w:t xml:space="preserve"> The tour operator industry was quite competitive, and</w:t>
      </w:r>
      <w:r w:rsidR="003E10B9">
        <w:rPr>
          <w:spacing w:val="-2"/>
          <w:lang w:val="en-GB"/>
        </w:rPr>
        <w:t>,</w:t>
      </w:r>
      <w:r w:rsidRPr="007B3AB8">
        <w:rPr>
          <w:spacing w:val="-2"/>
          <w:lang w:val="en-GB"/>
        </w:rPr>
        <w:t xml:space="preserve"> in 2015</w:t>
      </w:r>
      <w:r w:rsidR="003E10B9">
        <w:rPr>
          <w:spacing w:val="-2"/>
          <w:lang w:val="en-GB"/>
        </w:rPr>
        <w:t>,</w:t>
      </w:r>
      <w:r w:rsidRPr="007B3AB8">
        <w:rPr>
          <w:spacing w:val="-2"/>
          <w:lang w:val="en-GB"/>
        </w:rPr>
        <w:t xml:space="preserve"> at least 100 tour operators competed in the </w:t>
      </w:r>
      <w:r w:rsidR="00A7322D">
        <w:rPr>
          <w:spacing w:val="-2"/>
          <w:lang w:val="en-GB"/>
        </w:rPr>
        <w:t>US</w:t>
      </w:r>
      <w:r w:rsidR="00A7322D" w:rsidRPr="007B3AB8">
        <w:rPr>
          <w:spacing w:val="-2"/>
          <w:lang w:val="en-GB"/>
        </w:rPr>
        <w:t xml:space="preserve"> </w:t>
      </w:r>
      <w:r w:rsidRPr="007B3AB8">
        <w:rPr>
          <w:spacing w:val="-2"/>
          <w:lang w:val="en-GB"/>
        </w:rPr>
        <w:t>market.</w:t>
      </w:r>
      <w:r w:rsidRPr="007B3AB8">
        <w:rPr>
          <w:rStyle w:val="FootnoteReference"/>
          <w:spacing w:val="-2"/>
          <w:lang w:val="en-GB"/>
        </w:rPr>
        <w:footnoteReference w:id="13"/>
      </w:r>
      <w:r w:rsidRPr="007B3AB8">
        <w:rPr>
          <w:spacing w:val="-2"/>
          <w:lang w:val="en-GB"/>
        </w:rPr>
        <w:t xml:space="preserve"> The market was not concentrated</w:t>
      </w:r>
      <w:r w:rsidR="006B03DA">
        <w:rPr>
          <w:spacing w:val="-2"/>
          <w:lang w:val="en-GB"/>
        </w:rPr>
        <w:t>,</w:t>
      </w:r>
      <w:r w:rsidRPr="007B3AB8">
        <w:rPr>
          <w:spacing w:val="-2"/>
          <w:lang w:val="en-GB"/>
        </w:rPr>
        <w:t xml:space="preserve"> and no one firm or group of firms dominated the industry. However, firms with larger market shares often held some competitive advantages over rivals. The primary competitive advantage held by top firms was </w:t>
      </w:r>
      <w:r w:rsidR="008E4227">
        <w:rPr>
          <w:spacing w:val="-2"/>
          <w:lang w:val="en-GB"/>
        </w:rPr>
        <w:t xml:space="preserve">a </w:t>
      </w:r>
      <w:r w:rsidRPr="007B3AB8">
        <w:rPr>
          <w:spacing w:val="-2"/>
          <w:lang w:val="en-GB"/>
        </w:rPr>
        <w:t>brand reputation that had</w:t>
      </w:r>
      <w:r w:rsidR="006B03DA">
        <w:rPr>
          <w:spacing w:val="-2"/>
          <w:lang w:val="en-GB"/>
        </w:rPr>
        <w:t xml:space="preserve"> been</w:t>
      </w:r>
      <w:r w:rsidRPr="007B3AB8">
        <w:rPr>
          <w:spacing w:val="-2"/>
          <w:lang w:val="en-GB"/>
        </w:rPr>
        <w:t xml:space="preserve"> developed through exposure in national media outlets </w:t>
      </w:r>
      <w:r w:rsidR="00AC7A2C">
        <w:rPr>
          <w:spacing w:val="-2"/>
          <w:lang w:val="en-GB"/>
        </w:rPr>
        <w:t>such as</w:t>
      </w:r>
      <w:r w:rsidRPr="007B3AB8">
        <w:rPr>
          <w:spacing w:val="-2"/>
          <w:lang w:val="en-GB"/>
        </w:rPr>
        <w:t xml:space="preserve"> </w:t>
      </w:r>
      <w:r w:rsidR="00AC7A2C">
        <w:rPr>
          <w:spacing w:val="-2"/>
          <w:lang w:val="en-GB"/>
        </w:rPr>
        <w:t xml:space="preserve">the </w:t>
      </w:r>
      <w:r w:rsidRPr="005676E3">
        <w:rPr>
          <w:i/>
          <w:iCs/>
          <w:spacing w:val="-2"/>
          <w:lang w:val="en-GB"/>
        </w:rPr>
        <w:t>Wall Street Journal</w:t>
      </w:r>
      <w:r w:rsidRPr="007B3AB8">
        <w:rPr>
          <w:spacing w:val="-2"/>
          <w:lang w:val="en-GB"/>
        </w:rPr>
        <w:t xml:space="preserve">, </w:t>
      </w:r>
      <w:r w:rsidR="00AC7A2C" w:rsidRPr="000B253D">
        <w:rPr>
          <w:i/>
          <w:iCs/>
          <w:lang w:val="en-GB"/>
        </w:rPr>
        <w:t xml:space="preserve">Condé Nast </w:t>
      </w:r>
      <w:proofErr w:type="spellStart"/>
      <w:r w:rsidR="00AC7A2C" w:rsidRPr="000B253D">
        <w:rPr>
          <w:i/>
          <w:iCs/>
          <w:lang w:val="en-GB"/>
        </w:rPr>
        <w:t>Traveler</w:t>
      </w:r>
      <w:proofErr w:type="spellEnd"/>
      <w:r w:rsidRPr="007B3AB8">
        <w:rPr>
          <w:spacing w:val="-2"/>
          <w:lang w:val="en-GB"/>
        </w:rPr>
        <w:t xml:space="preserve">, and </w:t>
      </w:r>
      <w:r w:rsidRPr="005676E3">
        <w:rPr>
          <w:i/>
          <w:iCs/>
          <w:spacing w:val="-2"/>
          <w:lang w:val="en-GB"/>
        </w:rPr>
        <w:t>Travel + Leisure</w:t>
      </w:r>
      <w:r w:rsidRPr="007B3AB8">
        <w:rPr>
          <w:spacing w:val="-2"/>
          <w:lang w:val="en-GB"/>
        </w:rPr>
        <w:t>. These larger safari companies gained a small measure of market power. This allowed tour operators to negotiate slightly higher commissions (anywhere from 1</w:t>
      </w:r>
      <w:r w:rsidR="00AC7A2C">
        <w:rPr>
          <w:spacing w:val="-2"/>
          <w:lang w:val="en-GB"/>
        </w:rPr>
        <w:t xml:space="preserve"> per cent</w:t>
      </w:r>
      <w:r w:rsidRPr="007B3AB8">
        <w:rPr>
          <w:spacing w:val="-2"/>
          <w:lang w:val="en-GB"/>
        </w:rPr>
        <w:t xml:space="preserve"> to 10</w:t>
      </w:r>
      <w:r w:rsidR="00AC7A2C">
        <w:rPr>
          <w:spacing w:val="-2"/>
          <w:lang w:val="en-GB"/>
        </w:rPr>
        <w:t xml:space="preserve"> per cent</w:t>
      </w:r>
      <w:r w:rsidRPr="007B3AB8">
        <w:rPr>
          <w:spacing w:val="-2"/>
          <w:lang w:val="en-GB"/>
        </w:rPr>
        <w:t xml:space="preserve">) from suppliers. At the same time, economies of scale were relatively minor because </w:t>
      </w:r>
      <w:r w:rsidR="0063113B" w:rsidRPr="007B3AB8">
        <w:rPr>
          <w:spacing w:val="-2"/>
          <w:lang w:val="en-GB"/>
        </w:rPr>
        <w:t>labour</w:t>
      </w:r>
      <w:r w:rsidRPr="007B3AB8">
        <w:rPr>
          <w:spacing w:val="-2"/>
          <w:lang w:val="en-GB"/>
        </w:rPr>
        <w:t xml:space="preserve"> costs made up the largest expense, and </w:t>
      </w:r>
      <w:r w:rsidR="0063113B" w:rsidRPr="007B3AB8">
        <w:rPr>
          <w:spacing w:val="-2"/>
          <w:lang w:val="en-GB"/>
        </w:rPr>
        <w:t>labour</w:t>
      </w:r>
      <w:r w:rsidRPr="007B3AB8">
        <w:rPr>
          <w:spacing w:val="-2"/>
          <w:lang w:val="en-GB"/>
        </w:rPr>
        <w:t xml:space="preserve"> costs were typically similar at any scale.</w:t>
      </w:r>
    </w:p>
    <w:p w14:paraId="1DE68A84" w14:textId="38448A9B" w:rsidR="00047CA5" w:rsidRPr="007B3AB8" w:rsidRDefault="00047CA5" w:rsidP="00047CA5">
      <w:pPr>
        <w:pStyle w:val="BodyTextMain"/>
        <w:rPr>
          <w:lang w:val="en-GB"/>
        </w:rPr>
      </w:pPr>
    </w:p>
    <w:p w14:paraId="38861CE6" w14:textId="77777777" w:rsidR="00047CA5" w:rsidRPr="007B3AB8" w:rsidRDefault="00047CA5" w:rsidP="00047CA5">
      <w:pPr>
        <w:pStyle w:val="BodyTextMain"/>
        <w:rPr>
          <w:lang w:val="en-GB"/>
        </w:rPr>
      </w:pPr>
    </w:p>
    <w:p w14:paraId="305CA54C" w14:textId="77777777" w:rsidR="00047CA5" w:rsidRPr="007B3AB8" w:rsidRDefault="00047CA5" w:rsidP="00047CA5">
      <w:pPr>
        <w:pStyle w:val="Casehead1"/>
        <w:rPr>
          <w:lang w:val="en-GB"/>
        </w:rPr>
      </w:pPr>
      <w:r w:rsidRPr="007B3AB8">
        <w:rPr>
          <w:lang w:val="en-GB"/>
        </w:rPr>
        <w:t>EXTRAORDINARY JOURNEYS</w:t>
      </w:r>
    </w:p>
    <w:p w14:paraId="46D7B98E" w14:textId="77777777" w:rsidR="00047CA5" w:rsidRPr="007B3AB8" w:rsidRDefault="00047CA5" w:rsidP="00047CA5">
      <w:pPr>
        <w:pStyle w:val="BodyTextMain"/>
        <w:rPr>
          <w:lang w:val="en-GB"/>
        </w:rPr>
      </w:pPr>
    </w:p>
    <w:p w14:paraId="6D3E290D" w14:textId="734AF1D1" w:rsidR="00047CA5" w:rsidRPr="007B3AB8" w:rsidRDefault="00047CA5" w:rsidP="00047CA5">
      <w:pPr>
        <w:pStyle w:val="BodyTextMain"/>
        <w:rPr>
          <w:lang w:val="en-GB"/>
        </w:rPr>
      </w:pPr>
      <w:r w:rsidRPr="007B3AB8">
        <w:rPr>
          <w:lang w:val="en-GB"/>
        </w:rPr>
        <w:t>Gordon was born in Nairobi, Kenya</w:t>
      </w:r>
      <w:r w:rsidR="007D1627">
        <w:rPr>
          <w:lang w:val="en-GB"/>
        </w:rPr>
        <w:t>,</w:t>
      </w:r>
      <w:r w:rsidRPr="007B3AB8">
        <w:rPr>
          <w:lang w:val="en-GB"/>
        </w:rPr>
        <w:t xml:space="preserve"> to American parents who were in the safari industry. In 2009</w:t>
      </w:r>
      <w:r w:rsidR="000036B9">
        <w:rPr>
          <w:lang w:val="en-GB"/>
        </w:rPr>
        <w:t>,</w:t>
      </w:r>
      <w:r w:rsidRPr="007B3AB8">
        <w:rPr>
          <w:lang w:val="en-GB"/>
        </w:rPr>
        <w:t xml:space="preserve"> Gordon co-founded </w:t>
      </w:r>
      <w:r w:rsidR="003909E2">
        <w:rPr>
          <w:lang w:val="en-GB"/>
        </w:rPr>
        <w:t>EJ</w:t>
      </w:r>
      <w:r w:rsidRPr="007B3AB8">
        <w:rPr>
          <w:lang w:val="en-GB"/>
        </w:rPr>
        <w:t xml:space="preserve"> as part of the new trend of selling customized safaris instead of having </w:t>
      </w:r>
      <w:r w:rsidR="000036B9" w:rsidRPr="007B3AB8">
        <w:rPr>
          <w:lang w:val="en-GB"/>
        </w:rPr>
        <w:t>travellers</w:t>
      </w:r>
      <w:r w:rsidRPr="007B3AB8">
        <w:rPr>
          <w:lang w:val="en-GB"/>
        </w:rPr>
        <w:t xml:space="preserve"> join a larger group as part of a </w:t>
      </w:r>
      <w:r w:rsidR="000036B9">
        <w:rPr>
          <w:lang w:val="en-GB"/>
        </w:rPr>
        <w:t>preplanned</w:t>
      </w:r>
      <w:r w:rsidRPr="007B3AB8">
        <w:rPr>
          <w:lang w:val="en-GB"/>
        </w:rPr>
        <w:t xml:space="preserve"> departure. From the beginning, her company grew rapidly, far outpacing overall industry growth. EJ grew from $200,000 in revenue in 2009 to $4.5 million in 2014, indicating a compound annual growth rate of 65</w:t>
      </w:r>
      <w:r w:rsidR="003909E2">
        <w:rPr>
          <w:lang w:val="en-GB"/>
        </w:rPr>
        <w:t xml:space="preserve"> per cent</w:t>
      </w:r>
      <w:r w:rsidRPr="007B3AB8">
        <w:rPr>
          <w:lang w:val="en-GB"/>
        </w:rPr>
        <w:t xml:space="preserve">. EJ’s safaris were well regarded and had received </w:t>
      </w:r>
      <w:r w:rsidR="008511F1" w:rsidRPr="007B3AB8">
        <w:rPr>
          <w:lang w:val="en-GB"/>
        </w:rPr>
        <w:t>favourable</w:t>
      </w:r>
      <w:r w:rsidRPr="007B3AB8">
        <w:rPr>
          <w:lang w:val="en-GB"/>
        </w:rPr>
        <w:t xml:space="preserve"> coverage in the </w:t>
      </w:r>
      <w:r w:rsidRPr="005676E3">
        <w:rPr>
          <w:i/>
          <w:iCs/>
          <w:lang w:val="en-GB"/>
        </w:rPr>
        <w:t>Wall Street Journal</w:t>
      </w:r>
      <w:r w:rsidR="008511F1">
        <w:rPr>
          <w:lang w:val="en-GB"/>
        </w:rPr>
        <w:t>,</w:t>
      </w:r>
      <w:r w:rsidRPr="007B3AB8">
        <w:rPr>
          <w:vertAlign w:val="superscript"/>
          <w:lang w:val="en-GB"/>
        </w:rPr>
        <w:footnoteReference w:id="14"/>
      </w:r>
      <w:r w:rsidRPr="007B3AB8">
        <w:rPr>
          <w:lang w:val="en-GB"/>
        </w:rPr>
        <w:t xml:space="preserve"> </w:t>
      </w:r>
      <w:r w:rsidRPr="005676E3">
        <w:rPr>
          <w:i/>
          <w:iCs/>
          <w:lang w:val="en-GB"/>
        </w:rPr>
        <w:t>Departures</w:t>
      </w:r>
      <w:r w:rsidR="008511F1">
        <w:rPr>
          <w:lang w:val="en-GB"/>
        </w:rPr>
        <w:t xml:space="preserve"> magazine,</w:t>
      </w:r>
      <w:r w:rsidRPr="007B3AB8">
        <w:rPr>
          <w:rStyle w:val="FootnoteReference"/>
          <w:lang w:val="en-GB"/>
        </w:rPr>
        <w:footnoteReference w:id="15"/>
      </w:r>
      <w:r w:rsidR="008511F1">
        <w:rPr>
          <w:lang w:val="en-GB"/>
        </w:rPr>
        <w:t xml:space="preserve"> </w:t>
      </w:r>
      <w:r w:rsidRPr="007B3AB8">
        <w:rPr>
          <w:lang w:val="en-GB"/>
        </w:rPr>
        <w:t xml:space="preserve">and </w:t>
      </w:r>
      <w:r w:rsidRPr="005676E3">
        <w:rPr>
          <w:i/>
          <w:iCs/>
          <w:lang w:val="en-GB"/>
        </w:rPr>
        <w:t>Travel + Leisure</w:t>
      </w:r>
      <w:r w:rsidRPr="007B3AB8">
        <w:rPr>
          <w:lang w:val="en-GB"/>
        </w:rPr>
        <w:t xml:space="preserve">’s </w:t>
      </w:r>
      <w:r w:rsidR="008511F1">
        <w:rPr>
          <w:lang w:val="en-GB"/>
        </w:rPr>
        <w:t>A-list.</w:t>
      </w:r>
      <w:r w:rsidRPr="007B3AB8">
        <w:rPr>
          <w:rStyle w:val="FootnoteReference"/>
          <w:lang w:val="en-GB"/>
        </w:rPr>
        <w:footnoteReference w:id="16"/>
      </w:r>
    </w:p>
    <w:p w14:paraId="04B9CCC4" w14:textId="5CF66602" w:rsidR="00047CA5" w:rsidRPr="007B3AB8" w:rsidRDefault="00047CA5" w:rsidP="00047CA5">
      <w:pPr>
        <w:pStyle w:val="BodyTextMain"/>
        <w:rPr>
          <w:lang w:val="en-GB"/>
        </w:rPr>
      </w:pPr>
    </w:p>
    <w:p w14:paraId="73B44A5E" w14:textId="77777777" w:rsidR="00047CA5" w:rsidRPr="007B3AB8" w:rsidRDefault="00047CA5" w:rsidP="00047CA5">
      <w:pPr>
        <w:pStyle w:val="BodyTextMain"/>
        <w:rPr>
          <w:lang w:val="en-GB"/>
        </w:rPr>
      </w:pPr>
    </w:p>
    <w:p w14:paraId="66F12430" w14:textId="77777777" w:rsidR="00047CA5" w:rsidRPr="007B3AB8" w:rsidRDefault="00047CA5" w:rsidP="00047CA5">
      <w:pPr>
        <w:pStyle w:val="Casehead2"/>
        <w:keepNext/>
        <w:rPr>
          <w:lang w:val="en-GB"/>
        </w:rPr>
      </w:pPr>
      <w:r w:rsidRPr="007B3AB8">
        <w:rPr>
          <w:lang w:val="en-GB"/>
        </w:rPr>
        <w:t>Safari Specialists</w:t>
      </w:r>
    </w:p>
    <w:p w14:paraId="205A3DFB" w14:textId="77777777" w:rsidR="00047CA5" w:rsidRPr="007B3AB8" w:rsidRDefault="00047CA5" w:rsidP="00047CA5">
      <w:pPr>
        <w:pStyle w:val="BodyTextMain"/>
        <w:keepNext/>
        <w:rPr>
          <w:lang w:val="en-GB"/>
        </w:rPr>
      </w:pPr>
    </w:p>
    <w:p w14:paraId="4C062CFD" w14:textId="36864D76" w:rsidR="00047CA5" w:rsidRPr="007B3AB8" w:rsidRDefault="00047CA5" w:rsidP="00047CA5">
      <w:pPr>
        <w:pStyle w:val="BodyTextMain"/>
        <w:keepNext/>
        <w:rPr>
          <w:lang w:val="en-GB"/>
        </w:rPr>
      </w:pPr>
      <w:r w:rsidRPr="007B3AB8">
        <w:rPr>
          <w:lang w:val="en-GB"/>
        </w:rPr>
        <w:t>Gordon’s business model was to generate sales leads through a broad range of sources including advertising, public relations, customer word</w:t>
      </w:r>
      <w:r w:rsidR="00C44167">
        <w:rPr>
          <w:lang w:val="en-GB"/>
        </w:rPr>
        <w:t xml:space="preserve"> </w:t>
      </w:r>
      <w:r w:rsidRPr="007B3AB8">
        <w:rPr>
          <w:lang w:val="en-GB"/>
        </w:rPr>
        <w:t>of</w:t>
      </w:r>
      <w:r w:rsidR="00C44167">
        <w:rPr>
          <w:lang w:val="en-GB"/>
        </w:rPr>
        <w:t xml:space="preserve"> </w:t>
      </w:r>
      <w:r w:rsidRPr="007B3AB8">
        <w:rPr>
          <w:lang w:val="en-GB"/>
        </w:rPr>
        <w:t xml:space="preserve">mouth, and repeat bookings from past clients. Regardless of the source, when EJ received a new sales lead, the sales manager allocated it to one of the four safari </w:t>
      </w:r>
      <w:r w:rsidRPr="007B3AB8">
        <w:rPr>
          <w:lang w:val="en-GB"/>
        </w:rPr>
        <w:lastRenderedPageBreak/>
        <w:t>specialists. The specialists were effectively sales agents with specialized focuses on African safaris. They worked with the potential customer to develop a custom safari itinerary that matched client interests to safari destinations that would meet those interests.</w:t>
      </w:r>
    </w:p>
    <w:p w14:paraId="23F8C0CD" w14:textId="77777777" w:rsidR="00047CA5" w:rsidRPr="007B3AB8" w:rsidRDefault="00047CA5" w:rsidP="00047CA5">
      <w:pPr>
        <w:pStyle w:val="BodyTextMain"/>
        <w:rPr>
          <w:lang w:val="en-GB"/>
        </w:rPr>
      </w:pPr>
    </w:p>
    <w:p w14:paraId="1909389D" w14:textId="3495AF5B" w:rsidR="00047CA5" w:rsidRPr="003836CC" w:rsidRDefault="00047CA5" w:rsidP="003836CC">
      <w:pPr>
        <w:pStyle w:val="BodyTextMain"/>
        <w:keepNext/>
        <w:rPr>
          <w:spacing w:val="-4"/>
          <w:lang w:val="en-GB"/>
        </w:rPr>
      </w:pPr>
      <w:r w:rsidRPr="003836CC">
        <w:rPr>
          <w:spacing w:val="-4"/>
          <w:lang w:val="en-GB"/>
        </w:rPr>
        <w:t xml:space="preserve">A core principle of Gordon’s was that this process of matching clients to appropriate safari properties was the most important part of a safari specialist’s job. In other words, the sales team did not direct clients </w:t>
      </w:r>
      <w:r w:rsidR="002A404B" w:rsidRPr="003836CC">
        <w:rPr>
          <w:spacing w:val="-4"/>
          <w:lang w:val="en-GB"/>
        </w:rPr>
        <w:t>toward higher-priced</w:t>
      </w:r>
      <w:r w:rsidRPr="003836CC">
        <w:rPr>
          <w:spacing w:val="-4"/>
          <w:lang w:val="en-GB"/>
        </w:rPr>
        <w:t xml:space="preserve"> accommodations simply to receive a higher commission. The goal was to always match </w:t>
      </w:r>
      <w:r w:rsidR="005A6E81" w:rsidRPr="003836CC">
        <w:rPr>
          <w:spacing w:val="-4"/>
          <w:lang w:val="en-GB"/>
        </w:rPr>
        <w:t xml:space="preserve">the </w:t>
      </w:r>
      <w:r w:rsidRPr="003836CC">
        <w:rPr>
          <w:spacing w:val="-4"/>
          <w:lang w:val="en-GB"/>
        </w:rPr>
        <w:t>client</w:t>
      </w:r>
      <w:r w:rsidR="005A6E81" w:rsidRPr="003836CC">
        <w:rPr>
          <w:spacing w:val="-4"/>
          <w:lang w:val="en-GB"/>
        </w:rPr>
        <w:t>’s</w:t>
      </w:r>
      <w:r w:rsidRPr="003836CC">
        <w:rPr>
          <w:spacing w:val="-4"/>
          <w:lang w:val="en-GB"/>
        </w:rPr>
        <w:t xml:space="preserve"> interests, budget, and tastes to the best customized trip that matched these criteria. Getting this coupling correct ensured that customers have the highest level of satisfaction. “The sales team is as empowered as possible to use their deep industry knowledge,” </w:t>
      </w:r>
      <w:r w:rsidR="00CF31B1" w:rsidRPr="003836CC">
        <w:rPr>
          <w:spacing w:val="-4"/>
          <w:lang w:val="en-GB"/>
        </w:rPr>
        <w:t xml:space="preserve">Gordon </w:t>
      </w:r>
      <w:r w:rsidRPr="003836CC">
        <w:rPr>
          <w:spacing w:val="-4"/>
          <w:lang w:val="en-GB"/>
        </w:rPr>
        <w:t>said. “I don’t require them to follow any set itineraries or choose properties with which we have higher gross margins. We do a lot of training to ensure the sales team is up to date, but I hire my team because they are smart, and I make sure they think for themselves.”</w:t>
      </w:r>
    </w:p>
    <w:p w14:paraId="11CDA519" w14:textId="77777777" w:rsidR="00047CA5" w:rsidRPr="007B3AB8" w:rsidRDefault="00047CA5" w:rsidP="00047CA5">
      <w:pPr>
        <w:pStyle w:val="BodyTextMain"/>
        <w:rPr>
          <w:b/>
          <w:lang w:val="en-GB"/>
        </w:rPr>
      </w:pPr>
    </w:p>
    <w:p w14:paraId="19435D31" w14:textId="7B6360BA" w:rsidR="00047CA5" w:rsidRPr="007B3AB8" w:rsidRDefault="00047CA5" w:rsidP="00047CA5">
      <w:pPr>
        <w:pStyle w:val="BodyTextMain"/>
        <w:rPr>
          <w:lang w:val="en-GB"/>
        </w:rPr>
      </w:pPr>
      <w:r w:rsidRPr="007B3AB8">
        <w:rPr>
          <w:lang w:val="en-GB"/>
        </w:rPr>
        <w:t>Gordon’s client-</w:t>
      </w:r>
      <w:r w:rsidR="00AC1613">
        <w:rPr>
          <w:lang w:val="en-GB"/>
        </w:rPr>
        <w:t xml:space="preserve">centred </w:t>
      </w:r>
      <w:r w:rsidRPr="007B3AB8">
        <w:rPr>
          <w:lang w:val="en-GB"/>
        </w:rPr>
        <w:t>model also included using a strong operations team to help the safari specialists with the difficult job of keeping up with the thousands of complex details</w:t>
      </w:r>
      <w:r w:rsidR="00CA57BA">
        <w:rPr>
          <w:lang w:val="en-GB"/>
        </w:rPr>
        <w:t xml:space="preserve"> (such as </w:t>
      </w:r>
      <w:r w:rsidR="005E7994">
        <w:rPr>
          <w:lang w:val="en-GB"/>
        </w:rPr>
        <w:t xml:space="preserve">the requirements pertaining to visas or when </w:t>
      </w:r>
      <w:r w:rsidR="00F94942" w:rsidRPr="007B3AB8">
        <w:rPr>
          <w:lang w:val="en-GB"/>
        </w:rPr>
        <w:t>birth certificates</w:t>
      </w:r>
      <w:r w:rsidR="005E7994">
        <w:rPr>
          <w:lang w:val="en-GB"/>
        </w:rPr>
        <w:t xml:space="preserve"> are necessary for children traveling with their parents</w:t>
      </w:r>
      <w:r w:rsidR="00F94942" w:rsidRPr="007B3AB8">
        <w:rPr>
          <w:vertAlign w:val="superscript"/>
          <w:lang w:val="en-GB"/>
        </w:rPr>
        <w:footnoteReference w:id="17"/>
      </w:r>
      <w:r w:rsidR="00CA57BA">
        <w:rPr>
          <w:lang w:val="en-GB"/>
        </w:rPr>
        <w:t xml:space="preserve">) </w:t>
      </w:r>
      <w:r w:rsidRPr="007B3AB8">
        <w:rPr>
          <w:lang w:val="en-GB"/>
        </w:rPr>
        <w:t>that went into every trip</w:t>
      </w:r>
      <w:r w:rsidR="00F94942">
        <w:rPr>
          <w:lang w:val="en-GB"/>
        </w:rPr>
        <w:t xml:space="preserve">. </w:t>
      </w:r>
      <w:r w:rsidRPr="007B3AB8">
        <w:rPr>
          <w:lang w:val="en-GB"/>
        </w:rPr>
        <w:t xml:space="preserve">According to Gordon, this </w:t>
      </w:r>
      <w:r w:rsidR="005E7994">
        <w:rPr>
          <w:lang w:val="en-GB"/>
        </w:rPr>
        <w:t xml:space="preserve">attention to detail on the part of the operations team </w:t>
      </w:r>
      <w:r w:rsidRPr="007B3AB8">
        <w:rPr>
          <w:lang w:val="en-GB"/>
        </w:rPr>
        <w:t>allowed the sales team to focus on trip planning creativity and quality instead of endless paperwork.</w:t>
      </w:r>
    </w:p>
    <w:p w14:paraId="485AE19D" w14:textId="77777777" w:rsidR="00047CA5" w:rsidRPr="007B3AB8" w:rsidRDefault="00047CA5" w:rsidP="00047CA5">
      <w:pPr>
        <w:pStyle w:val="BodyTextMain"/>
        <w:rPr>
          <w:lang w:val="en-GB"/>
        </w:rPr>
      </w:pPr>
    </w:p>
    <w:p w14:paraId="618E2271" w14:textId="08347C60" w:rsidR="00047CA5" w:rsidRPr="007B3AB8" w:rsidRDefault="00047CA5" w:rsidP="00047CA5">
      <w:pPr>
        <w:pStyle w:val="BodyTextMain"/>
        <w:rPr>
          <w:lang w:val="en-GB"/>
        </w:rPr>
      </w:pPr>
      <w:r w:rsidRPr="007B3AB8">
        <w:rPr>
          <w:lang w:val="en-GB"/>
        </w:rPr>
        <w:t xml:space="preserve">Unlike </w:t>
      </w:r>
      <w:r w:rsidR="00AC1613">
        <w:rPr>
          <w:lang w:val="en-GB"/>
        </w:rPr>
        <w:t xml:space="preserve">at </w:t>
      </w:r>
      <w:r w:rsidRPr="007B3AB8">
        <w:rPr>
          <w:lang w:val="en-GB"/>
        </w:rPr>
        <w:t>most travel firms, the sales team at EJ was not paid on commission</w:t>
      </w:r>
      <w:r w:rsidR="009325D8">
        <w:rPr>
          <w:lang w:val="en-GB"/>
        </w:rPr>
        <w:t>;</w:t>
      </w:r>
      <w:r w:rsidRPr="007B3AB8">
        <w:rPr>
          <w:lang w:val="en-GB"/>
        </w:rPr>
        <w:t xml:space="preserve"> </w:t>
      </w:r>
      <w:r w:rsidR="009325D8">
        <w:rPr>
          <w:lang w:val="en-GB"/>
        </w:rPr>
        <w:t>rather</w:t>
      </w:r>
      <w:r w:rsidRPr="007B3AB8">
        <w:rPr>
          <w:lang w:val="en-GB"/>
        </w:rPr>
        <w:t>, they were given set salaries that came with performance and quality expectations for both individual specialists and the specialists as a team. The teamwork element was mission-critical to the EJ strategy</w:t>
      </w:r>
      <w:r w:rsidR="002E22E6">
        <w:rPr>
          <w:lang w:val="en-GB"/>
        </w:rPr>
        <w:t>,</w:t>
      </w:r>
      <w:r w:rsidRPr="007B3AB8">
        <w:rPr>
          <w:lang w:val="en-GB"/>
        </w:rPr>
        <w:t xml:space="preserve"> as it ensured that salespeople helped each other with customer support when </w:t>
      </w:r>
      <w:r w:rsidR="002E22E6">
        <w:rPr>
          <w:lang w:val="en-GB"/>
        </w:rPr>
        <w:t>team members</w:t>
      </w:r>
      <w:r w:rsidRPr="007B3AB8">
        <w:rPr>
          <w:lang w:val="en-GB"/>
        </w:rPr>
        <w:t xml:space="preserve"> were </w:t>
      </w:r>
      <w:r w:rsidR="00264230">
        <w:rPr>
          <w:lang w:val="en-GB"/>
        </w:rPr>
        <w:t>travelling</w:t>
      </w:r>
      <w:r w:rsidRPr="007B3AB8">
        <w:rPr>
          <w:lang w:val="en-GB"/>
        </w:rPr>
        <w:t xml:space="preserve">. </w:t>
      </w:r>
      <w:r w:rsidR="0007306B">
        <w:rPr>
          <w:lang w:val="en-GB"/>
        </w:rPr>
        <w:t>This</w:t>
      </w:r>
      <w:r w:rsidR="0007306B" w:rsidRPr="007B3AB8">
        <w:rPr>
          <w:lang w:val="en-GB"/>
        </w:rPr>
        <w:t xml:space="preserve"> </w:t>
      </w:r>
      <w:r w:rsidRPr="007B3AB8">
        <w:rPr>
          <w:lang w:val="en-GB"/>
        </w:rPr>
        <w:t xml:space="preserve">happened frequently because Gordon offered all employees four weeks of vacation as well as two weeks of paid familiarization or inspection travel to Africa. Inspections were a chance for the sales team to travel to a new safari destination in order to learn about new camps and lodges, meet with new guides, network with industry members, and keep an eye on competitors. Needless to say, with six weeks out of the office each year, the sales team </w:t>
      </w:r>
      <w:r w:rsidR="00856DDA">
        <w:rPr>
          <w:lang w:val="en-GB"/>
        </w:rPr>
        <w:t>was</w:t>
      </w:r>
      <w:r w:rsidRPr="007B3AB8">
        <w:rPr>
          <w:lang w:val="en-GB"/>
        </w:rPr>
        <w:t xml:space="preserve"> </w:t>
      </w:r>
      <w:r w:rsidR="005E7994">
        <w:rPr>
          <w:lang w:val="en-GB"/>
        </w:rPr>
        <w:t xml:space="preserve">exactly that, </w:t>
      </w:r>
      <w:r w:rsidRPr="007B3AB8">
        <w:rPr>
          <w:lang w:val="en-GB"/>
        </w:rPr>
        <w:t xml:space="preserve">a team of </w:t>
      </w:r>
      <w:r w:rsidR="005E7994">
        <w:rPr>
          <w:lang w:val="en-GB"/>
        </w:rPr>
        <w:t xml:space="preserve">sales </w:t>
      </w:r>
      <w:r w:rsidRPr="007B3AB8">
        <w:rPr>
          <w:lang w:val="en-GB"/>
        </w:rPr>
        <w:t xml:space="preserve">professionals </w:t>
      </w:r>
      <w:r w:rsidR="00856DDA">
        <w:rPr>
          <w:lang w:val="en-GB"/>
        </w:rPr>
        <w:t>who helped</w:t>
      </w:r>
      <w:r w:rsidR="00856DDA" w:rsidRPr="007B3AB8">
        <w:rPr>
          <w:lang w:val="en-GB"/>
        </w:rPr>
        <w:t xml:space="preserve"> </w:t>
      </w:r>
      <w:r w:rsidR="005E7994">
        <w:rPr>
          <w:lang w:val="en-GB"/>
        </w:rPr>
        <w:t xml:space="preserve">each other while ensuring </w:t>
      </w:r>
      <w:r w:rsidRPr="007B3AB8">
        <w:rPr>
          <w:lang w:val="en-GB"/>
        </w:rPr>
        <w:t>clients g</w:t>
      </w:r>
      <w:r w:rsidR="005E7994">
        <w:rPr>
          <w:lang w:val="en-GB"/>
        </w:rPr>
        <w:t>ot</w:t>
      </w:r>
      <w:r w:rsidRPr="007B3AB8">
        <w:rPr>
          <w:lang w:val="en-GB"/>
        </w:rPr>
        <w:t xml:space="preserve"> the best possible trip.</w:t>
      </w:r>
    </w:p>
    <w:p w14:paraId="24CC4429" w14:textId="516EB0F6" w:rsidR="00047CA5" w:rsidRPr="007B3AB8" w:rsidRDefault="00047CA5" w:rsidP="00047CA5">
      <w:pPr>
        <w:pStyle w:val="BodyTextMain"/>
        <w:rPr>
          <w:lang w:val="en-GB"/>
        </w:rPr>
      </w:pPr>
    </w:p>
    <w:p w14:paraId="1E87A6FC" w14:textId="77777777" w:rsidR="00047CA5" w:rsidRPr="007B3AB8" w:rsidRDefault="00047CA5" w:rsidP="00047CA5">
      <w:pPr>
        <w:pStyle w:val="BodyTextMain"/>
        <w:rPr>
          <w:lang w:val="en-GB"/>
        </w:rPr>
      </w:pPr>
    </w:p>
    <w:p w14:paraId="4B5F9D14" w14:textId="77777777" w:rsidR="00047CA5" w:rsidRPr="007B3AB8" w:rsidRDefault="00047CA5" w:rsidP="00047CA5">
      <w:pPr>
        <w:pStyle w:val="Casehead1"/>
        <w:rPr>
          <w:lang w:val="en-GB"/>
        </w:rPr>
      </w:pPr>
      <w:r w:rsidRPr="007B3AB8">
        <w:rPr>
          <w:lang w:val="en-GB"/>
        </w:rPr>
        <w:t>SAFARI SPECIALISTS INC.</w:t>
      </w:r>
    </w:p>
    <w:p w14:paraId="7380B8D0" w14:textId="77777777" w:rsidR="00047CA5" w:rsidRPr="007B3AB8" w:rsidRDefault="00047CA5" w:rsidP="00047CA5">
      <w:pPr>
        <w:pStyle w:val="BodyTextMain"/>
        <w:rPr>
          <w:lang w:val="en-GB"/>
        </w:rPr>
      </w:pPr>
    </w:p>
    <w:p w14:paraId="2E19ED58" w14:textId="2DC11018" w:rsidR="00047CA5" w:rsidRPr="003836CC" w:rsidRDefault="00047CA5" w:rsidP="00047CA5">
      <w:pPr>
        <w:pStyle w:val="BodyTextMain"/>
        <w:rPr>
          <w:spacing w:val="-2"/>
          <w:lang w:val="en-GB"/>
        </w:rPr>
      </w:pPr>
      <w:r w:rsidRPr="003836CC">
        <w:rPr>
          <w:spacing w:val="-2"/>
          <w:lang w:val="en-GB"/>
        </w:rPr>
        <w:t>Jacobs was born in South Africa and grew up in and around the safari industry. During the first two decades of her career, she held a number of different functional roles within the industry</w:t>
      </w:r>
      <w:r w:rsidR="00AE3048" w:rsidRPr="003836CC">
        <w:rPr>
          <w:spacing w:val="-2"/>
          <w:lang w:val="en-GB"/>
        </w:rPr>
        <w:t>,</w:t>
      </w:r>
      <w:r w:rsidRPr="003836CC">
        <w:rPr>
          <w:spacing w:val="-2"/>
          <w:lang w:val="en-GB"/>
        </w:rPr>
        <w:t xml:space="preserve"> such as safari guide, marketing representative, and salesperson. One of these roles brought her to the </w:t>
      </w:r>
      <w:r w:rsidR="00785358" w:rsidRPr="003836CC">
        <w:rPr>
          <w:spacing w:val="-2"/>
          <w:lang w:val="en-GB"/>
        </w:rPr>
        <w:t xml:space="preserve">United States, </w:t>
      </w:r>
      <w:r w:rsidR="009871CF" w:rsidRPr="003836CC">
        <w:rPr>
          <w:spacing w:val="-2"/>
          <w:lang w:val="en-GB"/>
        </w:rPr>
        <w:t xml:space="preserve">where </w:t>
      </w:r>
      <w:r w:rsidRPr="003836CC">
        <w:rPr>
          <w:spacing w:val="-2"/>
          <w:lang w:val="en-GB"/>
        </w:rPr>
        <w:t>she and her husband decided to stay. Soon thereafter, she founded SSI</w:t>
      </w:r>
      <w:r w:rsidR="006C39A1" w:rsidRPr="003836CC">
        <w:rPr>
          <w:spacing w:val="-2"/>
          <w:lang w:val="en-GB"/>
        </w:rPr>
        <w:t>,</w:t>
      </w:r>
      <w:r w:rsidRPr="003836CC">
        <w:rPr>
          <w:spacing w:val="-2"/>
          <w:lang w:val="en-GB"/>
        </w:rPr>
        <w:t xml:space="preserve"> in 1999</w:t>
      </w:r>
      <w:r w:rsidR="006C39A1" w:rsidRPr="003836CC">
        <w:rPr>
          <w:spacing w:val="-2"/>
          <w:lang w:val="en-GB"/>
        </w:rPr>
        <w:t>,</w:t>
      </w:r>
      <w:r w:rsidRPr="003836CC">
        <w:rPr>
          <w:spacing w:val="-2"/>
          <w:lang w:val="en-GB"/>
        </w:rPr>
        <w:t xml:space="preserve"> in Savannah, Georgia. In the following years, she slowly grew the company so that</w:t>
      </w:r>
      <w:r w:rsidR="007C2D9B" w:rsidRPr="003836CC">
        <w:rPr>
          <w:spacing w:val="-2"/>
          <w:lang w:val="en-GB"/>
        </w:rPr>
        <w:t>,</w:t>
      </w:r>
      <w:r w:rsidRPr="003836CC">
        <w:rPr>
          <w:spacing w:val="-2"/>
          <w:lang w:val="en-GB"/>
        </w:rPr>
        <w:t xml:space="preserve"> by 2015, she was working full-time </w:t>
      </w:r>
      <w:r w:rsidR="00CD3181" w:rsidRPr="003836CC">
        <w:rPr>
          <w:spacing w:val="-2"/>
          <w:lang w:val="en-GB"/>
        </w:rPr>
        <w:t>and employed</w:t>
      </w:r>
      <w:r w:rsidRPr="003836CC">
        <w:rPr>
          <w:spacing w:val="-2"/>
          <w:lang w:val="en-GB"/>
        </w:rPr>
        <w:t xml:space="preserve"> one full- and one part-time employee. In addition, she worked full-time with one outside sales agent and</w:t>
      </w:r>
      <w:r w:rsidR="00712D4F" w:rsidRPr="003836CC">
        <w:rPr>
          <w:spacing w:val="-2"/>
          <w:lang w:val="en-GB"/>
        </w:rPr>
        <w:t>,</w:t>
      </w:r>
      <w:r w:rsidRPr="003836CC">
        <w:rPr>
          <w:spacing w:val="-2"/>
          <w:lang w:val="en-GB"/>
        </w:rPr>
        <w:t xml:space="preserve"> </w:t>
      </w:r>
      <w:r w:rsidR="004D6511" w:rsidRPr="003836CC">
        <w:rPr>
          <w:spacing w:val="-2"/>
          <w:lang w:val="en-GB"/>
        </w:rPr>
        <w:t>on occasion</w:t>
      </w:r>
      <w:r w:rsidR="00712D4F" w:rsidRPr="003836CC">
        <w:rPr>
          <w:spacing w:val="-2"/>
          <w:lang w:val="en-GB"/>
        </w:rPr>
        <w:t>,</w:t>
      </w:r>
      <w:r w:rsidRPr="003836CC">
        <w:rPr>
          <w:spacing w:val="-2"/>
          <w:lang w:val="en-GB"/>
        </w:rPr>
        <w:t xml:space="preserve"> with an internationally renowned photographer who guided his own photographic safaris. At each point along the way, Jacobs was the primary salesperson, customer service representative</w:t>
      </w:r>
      <w:r w:rsidR="006C5867" w:rsidRPr="003836CC">
        <w:rPr>
          <w:spacing w:val="-2"/>
          <w:lang w:val="en-GB"/>
        </w:rPr>
        <w:t>,</w:t>
      </w:r>
      <w:r w:rsidRPr="003836CC">
        <w:rPr>
          <w:spacing w:val="-2"/>
          <w:lang w:val="en-GB"/>
        </w:rPr>
        <w:t xml:space="preserve"> and company </w:t>
      </w:r>
      <w:r w:rsidR="006C5867" w:rsidRPr="003836CC">
        <w:rPr>
          <w:spacing w:val="-2"/>
          <w:lang w:val="en-GB"/>
        </w:rPr>
        <w:t>manager</w:t>
      </w:r>
      <w:r w:rsidRPr="003836CC">
        <w:rPr>
          <w:spacing w:val="-2"/>
          <w:lang w:val="en-GB"/>
        </w:rPr>
        <w:t>.</w:t>
      </w:r>
    </w:p>
    <w:p w14:paraId="33B32415" w14:textId="77777777" w:rsidR="00047CA5" w:rsidRPr="007B3AB8" w:rsidRDefault="00047CA5" w:rsidP="00047CA5">
      <w:pPr>
        <w:pStyle w:val="BodyTextMain"/>
        <w:rPr>
          <w:lang w:val="en-GB"/>
        </w:rPr>
      </w:pPr>
    </w:p>
    <w:p w14:paraId="7A7C0EAB" w14:textId="69E9F4DB" w:rsidR="00047CA5" w:rsidRPr="003836CC" w:rsidRDefault="00047CA5" w:rsidP="00047CA5">
      <w:pPr>
        <w:pStyle w:val="BodyTextMain"/>
        <w:rPr>
          <w:spacing w:val="-2"/>
          <w:lang w:val="en-GB"/>
        </w:rPr>
      </w:pPr>
      <w:r w:rsidRPr="003836CC">
        <w:rPr>
          <w:spacing w:val="-2"/>
          <w:lang w:val="en-GB"/>
        </w:rPr>
        <w:t xml:space="preserve">Jacobs was in her early </w:t>
      </w:r>
      <w:r w:rsidR="00A55487" w:rsidRPr="003836CC">
        <w:rPr>
          <w:spacing w:val="-2"/>
          <w:lang w:val="en-GB"/>
        </w:rPr>
        <w:t>60s</w:t>
      </w:r>
      <w:r w:rsidRPr="003836CC">
        <w:rPr>
          <w:spacing w:val="-2"/>
          <w:lang w:val="en-GB"/>
        </w:rPr>
        <w:t xml:space="preserve">. After 16 years of managing SSI, she was fatigued from the long work hours and wanted to use the sale of her company to transition into retirement or semi-retirement. When Gordon asked </w:t>
      </w:r>
      <w:r w:rsidRPr="003836CC">
        <w:rPr>
          <w:spacing w:val="-2"/>
          <w:lang w:val="en-GB"/>
        </w:rPr>
        <w:lastRenderedPageBreak/>
        <w:t xml:space="preserve">about </w:t>
      </w:r>
      <w:r w:rsidR="00F63FD4" w:rsidRPr="003836CC">
        <w:rPr>
          <w:spacing w:val="-2"/>
          <w:lang w:val="en-GB"/>
        </w:rPr>
        <w:t xml:space="preserve">Jacobs’s </w:t>
      </w:r>
      <w:r w:rsidRPr="003836CC">
        <w:rPr>
          <w:spacing w:val="-2"/>
          <w:lang w:val="en-GB"/>
        </w:rPr>
        <w:t xml:space="preserve">availability after the sale, Jacobs offered to be available for some transition and consulting help after the sale but made it clear that this help </w:t>
      </w:r>
      <w:r w:rsidR="00BF3DEF" w:rsidRPr="003836CC">
        <w:rPr>
          <w:spacing w:val="-2"/>
          <w:lang w:val="en-GB"/>
        </w:rPr>
        <w:t>would</w:t>
      </w:r>
      <w:r w:rsidRPr="003836CC">
        <w:rPr>
          <w:spacing w:val="-2"/>
          <w:lang w:val="en-GB"/>
        </w:rPr>
        <w:t xml:space="preserve"> be limited and at her own discretion. Jacobs planned to travel a good deal after the sale and would not be reachable by phone or email during these periods.</w:t>
      </w:r>
    </w:p>
    <w:p w14:paraId="044BBC8C" w14:textId="2C3EF707" w:rsidR="00047CA5" w:rsidRPr="003836CC" w:rsidRDefault="00047CA5" w:rsidP="00047CA5">
      <w:pPr>
        <w:pStyle w:val="BodyTextMain"/>
        <w:rPr>
          <w:spacing w:val="-2"/>
          <w:lang w:val="en-GB"/>
        </w:rPr>
      </w:pPr>
    </w:p>
    <w:p w14:paraId="06979DF0" w14:textId="77777777" w:rsidR="00047CA5" w:rsidRPr="007B3AB8" w:rsidRDefault="00047CA5" w:rsidP="00047CA5">
      <w:pPr>
        <w:pStyle w:val="BodyTextMain"/>
        <w:rPr>
          <w:lang w:val="en-GB"/>
        </w:rPr>
      </w:pPr>
    </w:p>
    <w:p w14:paraId="688CF53D" w14:textId="77777777" w:rsidR="00047CA5" w:rsidRPr="007B3AB8" w:rsidRDefault="00047CA5" w:rsidP="00047CA5">
      <w:pPr>
        <w:pStyle w:val="Casehead2"/>
        <w:rPr>
          <w:lang w:val="en-GB"/>
        </w:rPr>
      </w:pPr>
      <w:r w:rsidRPr="007B3AB8">
        <w:rPr>
          <w:lang w:val="en-GB"/>
        </w:rPr>
        <w:t>Initial SSI Due Diligence</w:t>
      </w:r>
    </w:p>
    <w:p w14:paraId="767E95D8" w14:textId="77777777" w:rsidR="00047CA5" w:rsidRPr="007B3AB8" w:rsidRDefault="00047CA5" w:rsidP="00047CA5">
      <w:pPr>
        <w:pStyle w:val="BodyTextMain"/>
        <w:rPr>
          <w:lang w:val="en-GB"/>
        </w:rPr>
      </w:pPr>
    </w:p>
    <w:p w14:paraId="02A90FB6" w14:textId="4F63589D" w:rsidR="00047CA5" w:rsidRPr="007B3AB8" w:rsidRDefault="00047CA5" w:rsidP="00047CA5">
      <w:pPr>
        <w:pStyle w:val="BodyTextMain"/>
        <w:rPr>
          <w:lang w:val="en-GB"/>
        </w:rPr>
      </w:pPr>
      <w:r w:rsidRPr="007B3AB8">
        <w:rPr>
          <w:lang w:val="en-GB"/>
        </w:rPr>
        <w:t>In agreement with SSI, Gordon had begun conducting further due diligence on SSI in late July 2015. This part of the due diligence involved conducting interviews with Jacobs, SSI’s employees, and SSI’s suppliers.</w:t>
      </w:r>
    </w:p>
    <w:p w14:paraId="2ACC77D5" w14:textId="77777777" w:rsidR="00047CA5" w:rsidRPr="007B3AB8" w:rsidRDefault="00047CA5" w:rsidP="00047CA5">
      <w:pPr>
        <w:pStyle w:val="BodyTextMain"/>
        <w:rPr>
          <w:lang w:val="en-GB"/>
        </w:rPr>
      </w:pPr>
    </w:p>
    <w:p w14:paraId="011E0180" w14:textId="1C1E4051" w:rsidR="00047CA5" w:rsidRPr="007B3AB8" w:rsidRDefault="00047CA5" w:rsidP="00047CA5">
      <w:pPr>
        <w:pStyle w:val="BodyTextMain"/>
        <w:rPr>
          <w:lang w:val="en-GB"/>
        </w:rPr>
      </w:pPr>
      <w:r w:rsidRPr="007B3AB8">
        <w:rPr>
          <w:lang w:val="en-GB"/>
        </w:rPr>
        <w:t xml:space="preserve">The first thing </w:t>
      </w:r>
      <w:r w:rsidR="00C81746">
        <w:rPr>
          <w:lang w:val="en-GB"/>
        </w:rPr>
        <w:t>Gordon</w:t>
      </w:r>
      <w:r w:rsidR="00C81746" w:rsidRPr="007B3AB8">
        <w:rPr>
          <w:lang w:val="en-GB"/>
        </w:rPr>
        <w:t xml:space="preserve"> </w:t>
      </w:r>
      <w:r w:rsidRPr="007B3AB8">
        <w:rPr>
          <w:lang w:val="en-GB"/>
        </w:rPr>
        <w:t xml:space="preserve">noticed was that Jacobs appeared to manage SSI in ways that were similar to Gordon’s own approach at EJ. When Gordon talked with SSI’s suppliers, they indicated that they worked well with Jacobs and had successfully maintained long-standing relationships. Likewise, it appeared that SSI was honest and straightforward with </w:t>
      </w:r>
      <w:r w:rsidR="00F63FD4">
        <w:rPr>
          <w:lang w:val="en-GB"/>
        </w:rPr>
        <w:t xml:space="preserve">its </w:t>
      </w:r>
      <w:r w:rsidRPr="007B3AB8">
        <w:rPr>
          <w:lang w:val="en-GB"/>
        </w:rPr>
        <w:t xml:space="preserve">other stakeholders, including employees and past customers. The quality of </w:t>
      </w:r>
      <w:r w:rsidR="002031C3">
        <w:rPr>
          <w:lang w:val="en-GB"/>
        </w:rPr>
        <w:t>SSI’s</w:t>
      </w:r>
      <w:r w:rsidR="002031C3" w:rsidRPr="007B3AB8">
        <w:rPr>
          <w:lang w:val="en-GB"/>
        </w:rPr>
        <w:t xml:space="preserve"> </w:t>
      </w:r>
      <w:r w:rsidRPr="007B3AB8">
        <w:rPr>
          <w:lang w:val="en-GB"/>
        </w:rPr>
        <w:t>trips looked high</w:t>
      </w:r>
      <w:r w:rsidR="002031C3">
        <w:rPr>
          <w:lang w:val="en-GB"/>
        </w:rPr>
        <w:t>,</w:t>
      </w:r>
      <w:r w:rsidRPr="007B3AB8">
        <w:rPr>
          <w:lang w:val="en-GB"/>
        </w:rPr>
        <w:t xml:space="preserve"> and SSI seemed to take pride in being exacting with the details of </w:t>
      </w:r>
      <w:r w:rsidR="002031C3">
        <w:rPr>
          <w:lang w:val="en-GB"/>
        </w:rPr>
        <w:t>its</w:t>
      </w:r>
      <w:r w:rsidR="002031C3" w:rsidRPr="007B3AB8">
        <w:rPr>
          <w:lang w:val="en-GB"/>
        </w:rPr>
        <w:t xml:space="preserve"> </w:t>
      </w:r>
      <w:r w:rsidRPr="007B3AB8">
        <w:rPr>
          <w:lang w:val="en-GB"/>
        </w:rPr>
        <w:t>clients’ trips. Each of these factors appeared to mirror Gordon’s philosophy about creating a high-quality customer experience</w:t>
      </w:r>
      <w:r w:rsidR="00F63FD4">
        <w:rPr>
          <w:lang w:val="en-GB"/>
        </w:rPr>
        <w:t>—</w:t>
      </w:r>
      <w:r w:rsidRPr="007B3AB8">
        <w:rPr>
          <w:lang w:val="en-GB"/>
        </w:rPr>
        <w:t>from the initial client call to the return flight home from safari</w:t>
      </w:r>
      <w:r w:rsidR="00F63FD4">
        <w:rPr>
          <w:lang w:val="en-GB"/>
        </w:rPr>
        <w:t>.</w:t>
      </w:r>
    </w:p>
    <w:p w14:paraId="772C2AD1" w14:textId="77777777" w:rsidR="00047CA5" w:rsidRPr="007B3AB8" w:rsidRDefault="00047CA5" w:rsidP="00047CA5">
      <w:pPr>
        <w:pStyle w:val="BodyTextMain"/>
        <w:rPr>
          <w:lang w:val="en-GB"/>
        </w:rPr>
      </w:pPr>
    </w:p>
    <w:p w14:paraId="52ACFD76" w14:textId="79DBDAEE" w:rsidR="00047CA5" w:rsidRPr="007B3AB8" w:rsidRDefault="00047CA5" w:rsidP="006C6F4E">
      <w:pPr>
        <w:pStyle w:val="BodyTextMain"/>
        <w:rPr>
          <w:lang w:val="en-GB"/>
        </w:rPr>
      </w:pPr>
      <w:r w:rsidRPr="007B3AB8">
        <w:rPr>
          <w:lang w:val="en-GB"/>
        </w:rPr>
        <w:t xml:space="preserve">However, Gordon also noticed some early concerns with SSI. The first was that SSI was not up to date with current safari industry practices. The website had not been updated in years and still had the graphic design and feel of </w:t>
      </w:r>
      <w:r w:rsidR="00F63FD4">
        <w:rPr>
          <w:lang w:val="en-GB"/>
        </w:rPr>
        <w:t xml:space="preserve">a </w:t>
      </w:r>
      <w:r w:rsidR="004845BD">
        <w:rPr>
          <w:lang w:val="en-GB"/>
        </w:rPr>
        <w:t>website from the</w:t>
      </w:r>
      <w:r w:rsidR="004845BD" w:rsidRPr="007B3AB8">
        <w:rPr>
          <w:lang w:val="en-GB"/>
        </w:rPr>
        <w:t xml:space="preserve"> </w:t>
      </w:r>
      <w:r w:rsidRPr="007B3AB8">
        <w:rPr>
          <w:lang w:val="en-GB"/>
        </w:rPr>
        <w:t xml:space="preserve">early </w:t>
      </w:r>
      <w:r w:rsidR="004845BD">
        <w:rPr>
          <w:lang w:val="en-GB"/>
        </w:rPr>
        <w:t>2000s</w:t>
      </w:r>
      <w:r w:rsidRPr="007B3AB8">
        <w:rPr>
          <w:lang w:val="en-GB"/>
        </w:rPr>
        <w:t>. It had limited graphics, clunky navigation</w:t>
      </w:r>
      <w:r w:rsidR="004F34CD">
        <w:rPr>
          <w:lang w:val="en-GB"/>
        </w:rPr>
        <w:t>,</w:t>
      </w:r>
      <w:r w:rsidRPr="007B3AB8">
        <w:rPr>
          <w:lang w:val="en-GB"/>
        </w:rPr>
        <w:t xml:space="preserve"> and little to no information on </w:t>
      </w:r>
      <w:r w:rsidR="004F34CD">
        <w:rPr>
          <w:lang w:val="en-GB"/>
        </w:rPr>
        <w:t>SSI’s</w:t>
      </w:r>
      <w:r w:rsidR="004F34CD" w:rsidRPr="007B3AB8">
        <w:rPr>
          <w:lang w:val="en-GB"/>
        </w:rPr>
        <w:t xml:space="preserve"> </w:t>
      </w:r>
      <w:r w:rsidRPr="007B3AB8">
        <w:rPr>
          <w:lang w:val="en-GB"/>
        </w:rPr>
        <w:t>trip offerings. In addition, all of SSI’s client contracts and trip itineraries were done on paper and mailed to clients. SSI employees had email addresses and an archived record of client email communication, but this was not exhaustive</w:t>
      </w:r>
      <w:r w:rsidR="00E37EEA">
        <w:rPr>
          <w:lang w:val="en-GB"/>
        </w:rPr>
        <w:t>,</w:t>
      </w:r>
      <w:r w:rsidRPr="007B3AB8">
        <w:rPr>
          <w:lang w:val="en-GB"/>
        </w:rPr>
        <w:t xml:space="preserve"> </w:t>
      </w:r>
      <w:r w:rsidR="00E37EEA">
        <w:rPr>
          <w:lang w:val="en-GB"/>
        </w:rPr>
        <w:t>and</w:t>
      </w:r>
      <w:r w:rsidRPr="007B3AB8">
        <w:rPr>
          <w:lang w:val="en-GB"/>
        </w:rPr>
        <w:t xml:space="preserve"> client data </w:t>
      </w:r>
      <w:r w:rsidR="00E37EEA">
        <w:rPr>
          <w:lang w:val="en-GB"/>
        </w:rPr>
        <w:t>had never</w:t>
      </w:r>
      <w:r w:rsidR="00E37EEA" w:rsidRPr="007B3AB8">
        <w:rPr>
          <w:lang w:val="en-GB"/>
        </w:rPr>
        <w:t xml:space="preserve"> </w:t>
      </w:r>
      <w:r w:rsidRPr="007B3AB8">
        <w:rPr>
          <w:lang w:val="en-GB"/>
        </w:rPr>
        <w:t xml:space="preserve">been put into more than a cursory </w:t>
      </w:r>
      <w:r w:rsidR="00F63FD4">
        <w:rPr>
          <w:lang w:val="en-GB"/>
        </w:rPr>
        <w:t>spreadsheet</w:t>
      </w:r>
      <w:r w:rsidRPr="007B3AB8">
        <w:rPr>
          <w:lang w:val="en-GB"/>
        </w:rPr>
        <w:t xml:space="preserve"> file </w:t>
      </w:r>
      <w:r w:rsidR="00DF3BB1">
        <w:rPr>
          <w:lang w:val="en-GB"/>
        </w:rPr>
        <w:t>containing</w:t>
      </w:r>
      <w:r w:rsidRPr="007B3AB8">
        <w:rPr>
          <w:lang w:val="en-GB"/>
        </w:rPr>
        <w:t xml:space="preserve"> </w:t>
      </w:r>
      <w:r w:rsidR="00DF3BB1">
        <w:rPr>
          <w:lang w:val="en-GB"/>
        </w:rPr>
        <w:t>client names, addresses, and phone numbers</w:t>
      </w:r>
      <w:r w:rsidRPr="007B3AB8">
        <w:rPr>
          <w:lang w:val="en-GB"/>
        </w:rPr>
        <w:t>. This was in sharp contrast to EJ</w:t>
      </w:r>
      <w:r w:rsidR="00DF3BB1">
        <w:rPr>
          <w:lang w:val="en-GB"/>
        </w:rPr>
        <w:t>,</w:t>
      </w:r>
      <w:r w:rsidRPr="007B3AB8">
        <w:rPr>
          <w:lang w:val="en-GB"/>
        </w:rPr>
        <w:t xml:space="preserve"> which had </w:t>
      </w:r>
      <w:r w:rsidR="00DF3BB1">
        <w:rPr>
          <w:lang w:val="en-GB"/>
        </w:rPr>
        <w:t>up-to-date</w:t>
      </w:r>
      <w:r w:rsidRPr="007B3AB8">
        <w:rPr>
          <w:lang w:val="en-GB"/>
        </w:rPr>
        <w:t xml:space="preserve"> </w:t>
      </w:r>
      <w:r w:rsidR="00DF3BB1">
        <w:rPr>
          <w:lang w:val="en-GB"/>
        </w:rPr>
        <w:t>customer relationship management</w:t>
      </w:r>
      <w:r w:rsidRPr="007B3AB8">
        <w:rPr>
          <w:lang w:val="en-GB"/>
        </w:rPr>
        <w:t xml:space="preserve"> (CRM) software that automated many parts of the safari sales process and helped EJ keep detailed client records by salesperson, by travel destination</w:t>
      </w:r>
      <w:r w:rsidR="00F63FD4">
        <w:rPr>
          <w:lang w:val="en-GB"/>
        </w:rPr>
        <w:t>,</w:t>
      </w:r>
      <w:r w:rsidRPr="007B3AB8">
        <w:rPr>
          <w:lang w:val="en-GB"/>
        </w:rPr>
        <w:t xml:space="preserve"> or by a number of other attributes.</w:t>
      </w:r>
    </w:p>
    <w:p w14:paraId="6066D645" w14:textId="699C6806" w:rsidR="00047CA5" w:rsidRPr="007B3AB8" w:rsidRDefault="00047CA5" w:rsidP="00047CA5">
      <w:pPr>
        <w:pStyle w:val="BodyTextMain"/>
        <w:rPr>
          <w:lang w:val="en-GB"/>
        </w:rPr>
      </w:pPr>
    </w:p>
    <w:p w14:paraId="304F9642" w14:textId="77777777" w:rsidR="006C6F4E" w:rsidRPr="007B3AB8" w:rsidRDefault="006C6F4E" w:rsidP="00047CA5">
      <w:pPr>
        <w:pStyle w:val="BodyTextMain"/>
        <w:rPr>
          <w:lang w:val="en-GB"/>
        </w:rPr>
      </w:pPr>
    </w:p>
    <w:p w14:paraId="518485F0" w14:textId="77777777" w:rsidR="00047CA5" w:rsidRPr="007B3AB8" w:rsidRDefault="00047CA5" w:rsidP="00047CA5">
      <w:pPr>
        <w:pStyle w:val="Casehead2"/>
        <w:rPr>
          <w:lang w:val="en-GB"/>
        </w:rPr>
      </w:pPr>
      <w:r w:rsidRPr="007B3AB8">
        <w:rPr>
          <w:lang w:val="en-GB"/>
        </w:rPr>
        <w:t>SSI Employees and Sales Agents</w:t>
      </w:r>
    </w:p>
    <w:p w14:paraId="2C4F76BF" w14:textId="77777777" w:rsidR="00047CA5" w:rsidRPr="007B3AB8" w:rsidRDefault="00047CA5" w:rsidP="00047CA5">
      <w:pPr>
        <w:pStyle w:val="BodyTextMain"/>
        <w:rPr>
          <w:lang w:val="en-GB"/>
        </w:rPr>
      </w:pPr>
    </w:p>
    <w:p w14:paraId="64131B82" w14:textId="0165A17F" w:rsidR="00047CA5" w:rsidRPr="00C51AAA" w:rsidRDefault="00047CA5" w:rsidP="00047CA5">
      <w:pPr>
        <w:pStyle w:val="BodyTextMain"/>
        <w:rPr>
          <w:lang w:val="en-GB"/>
        </w:rPr>
      </w:pPr>
      <w:bookmarkStart w:id="1" w:name="_GoBack"/>
      <w:r w:rsidRPr="00C51AAA">
        <w:rPr>
          <w:lang w:val="en-GB"/>
        </w:rPr>
        <w:t xml:space="preserve">In early August, as the due diligence process continued, Gordon decided to fly to Savannah to meet the SSI employees and create a summary of key employee resources and </w:t>
      </w:r>
      <w:r w:rsidR="00F63FD4" w:rsidRPr="00C51AAA">
        <w:rPr>
          <w:lang w:val="en-GB"/>
        </w:rPr>
        <w:t>SSI’s general approach to</w:t>
      </w:r>
      <w:r w:rsidRPr="00C51AAA">
        <w:rPr>
          <w:lang w:val="en-GB"/>
        </w:rPr>
        <w:t xml:space="preserve"> </w:t>
      </w:r>
      <w:r w:rsidR="00F63FD4" w:rsidRPr="00C51AAA">
        <w:rPr>
          <w:lang w:val="en-GB"/>
        </w:rPr>
        <w:t>its</w:t>
      </w:r>
      <w:r w:rsidRPr="00C51AAA">
        <w:rPr>
          <w:lang w:val="en-GB"/>
        </w:rPr>
        <w:t xml:space="preserve"> work.</w:t>
      </w:r>
      <w:r w:rsidR="00A431F1" w:rsidRPr="00C51AAA">
        <w:rPr>
          <w:lang w:val="en-GB"/>
        </w:rPr>
        <w:t xml:space="preserve"> As the primary salesperson, owner, and marketer,</w:t>
      </w:r>
      <w:r w:rsidRPr="00C51AAA">
        <w:rPr>
          <w:lang w:val="en-GB"/>
        </w:rPr>
        <w:t xml:space="preserve"> Jacobs was the core of SSI</w:t>
      </w:r>
      <w:r w:rsidR="00A431F1" w:rsidRPr="00C51AAA">
        <w:rPr>
          <w:lang w:val="en-GB"/>
        </w:rPr>
        <w:t>; however,</w:t>
      </w:r>
      <w:r w:rsidRPr="00C51AAA">
        <w:rPr>
          <w:lang w:val="en-GB"/>
        </w:rPr>
        <w:t xml:space="preserve"> she had a critical team that supported her.</w:t>
      </w:r>
    </w:p>
    <w:bookmarkEnd w:id="1"/>
    <w:p w14:paraId="4C132377" w14:textId="77777777" w:rsidR="00047CA5" w:rsidRPr="007B3AB8" w:rsidRDefault="00047CA5" w:rsidP="00047CA5">
      <w:pPr>
        <w:pStyle w:val="BodyTextMain"/>
        <w:rPr>
          <w:lang w:val="en-GB"/>
        </w:rPr>
      </w:pPr>
    </w:p>
    <w:p w14:paraId="154472E3" w14:textId="5C54B4A3" w:rsidR="00047CA5" w:rsidRPr="007B3AB8" w:rsidRDefault="00047CA5" w:rsidP="00047CA5">
      <w:pPr>
        <w:pStyle w:val="BodyTextMain"/>
        <w:rPr>
          <w:lang w:val="en-GB"/>
        </w:rPr>
      </w:pPr>
      <w:r w:rsidRPr="005676E3">
        <w:rPr>
          <w:bCs/>
          <w:lang w:val="en-GB"/>
        </w:rPr>
        <w:t>Kim Willoughby</w:t>
      </w:r>
      <w:r w:rsidRPr="00E258A7">
        <w:rPr>
          <w:bCs/>
          <w:lang w:val="en-GB"/>
        </w:rPr>
        <w:t>,</w:t>
      </w:r>
      <w:r w:rsidRPr="007B3AB8">
        <w:rPr>
          <w:lang w:val="en-GB"/>
        </w:rPr>
        <w:t xml:space="preserve"> 55</w:t>
      </w:r>
      <w:r w:rsidR="00FA6FD7">
        <w:rPr>
          <w:lang w:val="en-GB"/>
        </w:rPr>
        <w:t xml:space="preserve"> years of age</w:t>
      </w:r>
      <w:r w:rsidRPr="007B3AB8">
        <w:rPr>
          <w:lang w:val="en-GB"/>
        </w:rPr>
        <w:t xml:space="preserve">, was a former </w:t>
      </w:r>
      <w:r w:rsidR="00FA6FD7">
        <w:rPr>
          <w:lang w:val="en-GB"/>
        </w:rPr>
        <w:t>chartered professional accountant</w:t>
      </w:r>
      <w:r w:rsidR="00FA6FD7" w:rsidRPr="007B3AB8">
        <w:rPr>
          <w:lang w:val="en-GB"/>
        </w:rPr>
        <w:t xml:space="preserve"> </w:t>
      </w:r>
      <w:r w:rsidRPr="007B3AB8">
        <w:rPr>
          <w:lang w:val="en-GB"/>
        </w:rPr>
        <w:t xml:space="preserve">who had become tired of crunching numbers. She now </w:t>
      </w:r>
      <w:r w:rsidR="00E372DD">
        <w:rPr>
          <w:lang w:val="en-GB"/>
        </w:rPr>
        <w:t>had</w:t>
      </w:r>
      <w:r w:rsidR="00E372DD" w:rsidRPr="007B3AB8">
        <w:rPr>
          <w:lang w:val="en-GB"/>
        </w:rPr>
        <w:t xml:space="preserve"> </w:t>
      </w:r>
      <w:r w:rsidRPr="007B3AB8">
        <w:rPr>
          <w:lang w:val="en-GB"/>
        </w:rPr>
        <w:t xml:space="preserve">five years of experience with SSI as a bookkeeper, operations assistant, and administrator. She had recently started training </w:t>
      </w:r>
      <w:r w:rsidR="00713D41">
        <w:rPr>
          <w:lang w:val="en-GB"/>
        </w:rPr>
        <w:t>to become a salesperson</w:t>
      </w:r>
      <w:r w:rsidR="009456F6">
        <w:rPr>
          <w:lang w:val="en-GB"/>
        </w:rPr>
        <w:t>,</w:t>
      </w:r>
      <w:r w:rsidR="00713D41">
        <w:rPr>
          <w:lang w:val="en-GB"/>
        </w:rPr>
        <w:t xml:space="preserve"> </w:t>
      </w:r>
      <w:r w:rsidR="00E372DD">
        <w:rPr>
          <w:lang w:val="en-GB"/>
        </w:rPr>
        <w:t xml:space="preserve">and </w:t>
      </w:r>
      <w:r w:rsidR="009456F6">
        <w:rPr>
          <w:lang w:val="en-GB"/>
        </w:rPr>
        <w:t xml:space="preserve">she </w:t>
      </w:r>
      <w:r w:rsidR="009740F7">
        <w:rPr>
          <w:lang w:val="en-GB"/>
        </w:rPr>
        <w:t>wished</w:t>
      </w:r>
      <w:r w:rsidRPr="007B3AB8">
        <w:rPr>
          <w:lang w:val="en-GB"/>
        </w:rPr>
        <w:t xml:space="preserve"> to continue in this direction. </w:t>
      </w:r>
      <w:r w:rsidR="00BF4BA1">
        <w:rPr>
          <w:lang w:val="en-GB"/>
        </w:rPr>
        <w:t>Although she</w:t>
      </w:r>
      <w:r w:rsidRPr="007B3AB8">
        <w:rPr>
          <w:lang w:val="en-GB"/>
        </w:rPr>
        <w:t xml:space="preserve"> </w:t>
      </w:r>
      <w:r w:rsidR="00BF4BA1">
        <w:rPr>
          <w:lang w:val="en-GB"/>
        </w:rPr>
        <w:t xml:space="preserve">currently </w:t>
      </w:r>
      <w:r w:rsidRPr="007B3AB8">
        <w:rPr>
          <w:lang w:val="en-GB"/>
        </w:rPr>
        <w:t>worked part-time (50</w:t>
      </w:r>
      <w:r w:rsidR="00BF4BA1">
        <w:rPr>
          <w:lang w:val="en-GB"/>
        </w:rPr>
        <w:t xml:space="preserve"> per cent</w:t>
      </w:r>
      <w:r w:rsidRPr="007B3AB8">
        <w:rPr>
          <w:lang w:val="en-GB"/>
        </w:rPr>
        <w:t>)</w:t>
      </w:r>
      <w:r w:rsidR="00BF4BA1">
        <w:rPr>
          <w:lang w:val="en-GB"/>
        </w:rPr>
        <w:t>,</w:t>
      </w:r>
      <w:r w:rsidRPr="007B3AB8">
        <w:rPr>
          <w:lang w:val="en-GB"/>
        </w:rPr>
        <w:t xml:space="preserve"> </w:t>
      </w:r>
      <w:r w:rsidR="00BF4BA1">
        <w:rPr>
          <w:lang w:val="en-GB"/>
        </w:rPr>
        <w:t xml:space="preserve">she </w:t>
      </w:r>
      <w:r w:rsidRPr="007B3AB8">
        <w:rPr>
          <w:lang w:val="en-GB"/>
        </w:rPr>
        <w:t xml:space="preserve">would have liked a more full-time opportunity if she </w:t>
      </w:r>
      <w:r w:rsidR="00F63FD4">
        <w:rPr>
          <w:lang w:val="en-GB"/>
        </w:rPr>
        <w:t>were to</w:t>
      </w:r>
      <w:r w:rsidR="000E12E3" w:rsidRPr="007B3AB8">
        <w:rPr>
          <w:lang w:val="en-GB"/>
        </w:rPr>
        <w:t xml:space="preserve"> </w:t>
      </w:r>
      <w:r w:rsidR="00F63FD4">
        <w:rPr>
          <w:lang w:val="en-GB"/>
        </w:rPr>
        <w:t>continue working</w:t>
      </w:r>
      <w:r w:rsidRPr="007B3AB8">
        <w:rPr>
          <w:lang w:val="en-GB"/>
        </w:rPr>
        <w:t xml:space="preserve"> after the company was sold.</w:t>
      </w:r>
    </w:p>
    <w:p w14:paraId="7DF81C18" w14:textId="77777777" w:rsidR="00047CA5" w:rsidRPr="007B3AB8" w:rsidRDefault="00047CA5" w:rsidP="00047CA5">
      <w:pPr>
        <w:pStyle w:val="BodyTextMain"/>
        <w:rPr>
          <w:lang w:val="en-GB"/>
        </w:rPr>
      </w:pPr>
    </w:p>
    <w:p w14:paraId="325AB650" w14:textId="6B2C8CA6" w:rsidR="00047CA5" w:rsidRPr="007B3AB8" w:rsidRDefault="00047CA5" w:rsidP="00047CA5">
      <w:pPr>
        <w:pStyle w:val="BodyTextMain"/>
        <w:rPr>
          <w:lang w:val="en-GB"/>
        </w:rPr>
      </w:pPr>
      <w:r w:rsidRPr="005676E3">
        <w:rPr>
          <w:bCs/>
          <w:lang w:val="en-GB"/>
        </w:rPr>
        <w:t>Angie Hopkins</w:t>
      </w:r>
      <w:r w:rsidRPr="00E258A7">
        <w:rPr>
          <w:bCs/>
          <w:lang w:val="en-GB"/>
        </w:rPr>
        <w:t xml:space="preserve">, </w:t>
      </w:r>
      <w:r w:rsidRPr="007B3AB8">
        <w:rPr>
          <w:lang w:val="en-GB"/>
        </w:rPr>
        <w:t>though older than the rest of the office</w:t>
      </w:r>
      <w:r w:rsidR="00B24EB5">
        <w:rPr>
          <w:lang w:val="en-GB"/>
        </w:rPr>
        <w:t xml:space="preserve"> members</w:t>
      </w:r>
      <w:r w:rsidRPr="007B3AB8">
        <w:rPr>
          <w:lang w:val="en-GB"/>
        </w:rPr>
        <w:t>, was energetic about her work and considered herself nearly 70</w:t>
      </w:r>
      <w:r w:rsidR="00675D87">
        <w:rPr>
          <w:lang w:val="en-GB"/>
        </w:rPr>
        <w:t xml:space="preserve"> </w:t>
      </w:r>
      <w:r w:rsidRPr="007B3AB8">
        <w:rPr>
          <w:lang w:val="en-GB"/>
        </w:rPr>
        <w:t xml:space="preserve">years </w:t>
      </w:r>
      <w:r w:rsidR="00675D87">
        <w:rPr>
          <w:lang w:val="en-GB"/>
        </w:rPr>
        <w:t>“</w:t>
      </w:r>
      <w:r w:rsidRPr="007B3AB8">
        <w:rPr>
          <w:lang w:val="en-GB"/>
        </w:rPr>
        <w:t>young.</w:t>
      </w:r>
      <w:r w:rsidR="00675D87">
        <w:rPr>
          <w:lang w:val="en-GB"/>
        </w:rPr>
        <w:t>”</w:t>
      </w:r>
      <w:r w:rsidRPr="007B3AB8">
        <w:rPr>
          <w:lang w:val="en-GB"/>
        </w:rPr>
        <w:t xml:space="preserve"> She was an enthusiastic administrator and </w:t>
      </w:r>
      <w:r w:rsidR="00F63FD4">
        <w:rPr>
          <w:lang w:val="en-GB"/>
        </w:rPr>
        <w:t>operations</w:t>
      </w:r>
      <w:r w:rsidR="00F63FD4" w:rsidRPr="007B3AB8">
        <w:rPr>
          <w:lang w:val="en-GB"/>
        </w:rPr>
        <w:t xml:space="preserve"> </w:t>
      </w:r>
      <w:r w:rsidRPr="007B3AB8">
        <w:rPr>
          <w:lang w:val="en-GB"/>
        </w:rPr>
        <w:t>manager, and she loved the work. She worked part-time (50</w:t>
      </w:r>
      <w:r w:rsidR="00675D87">
        <w:rPr>
          <w:lang w:val="en-GB"/>
        </w:rPr>
        <w:t xml:space="preserve"> per cent</w:t>
      </w:r>
      <w:r w:rsidRPr="007B3AB8">
        <w:rPr>
          <w:lang w:val="en-GB"/>
        </w:rPr>
        <w:t xml:space="preserve">) and considered herself partially retired, though she professed no interest whatsoever in being fully retired. She provided </w:t>
      </w:r>
      <w:r w:rsidR="00F63FD4">
        <w:rPr>
          <w:lang w:val="en-GB"/>
        </w:rPr>
        <w:t>operations</w:t>
      </w:r>
      <w:r w:rsidR="00F63FD4" w:rsidRPr="007B3AB8">
        <w:rPr>
          <w:lang w:val="en-GB"/>
        </w:rPr>
        <w:t xml:space="preserve"> </w:t>
      </w:r>
      <w:r w:rsidRPr="007B3AB8">
        <w:rPr>
          <w:lang w:val="en-GB"/>
        </w:rPr>
        <w:t>and administrative assistance to both Jacobs and Tom Andrews</w:t>
      </w:r>
      <w:r w:rsidR="00F63FD4">
        <w:rPr>
          <w:lang w:val="en-GB"/>
        </w:rPr>
        <w:t>, an outside contractor</w:t>
      </w:r>
      <w:r w:rsidRPr="007B3AB8">
        <w:rPr>
          <w:lang w:val="en-GB"/>
        </w:rPr>
        <w:t xml:space="preserve">. She had eight years of experience in her current role and was eager to continue working, especially with providing </w:t>
      </w:r>
      <w:r w:rsidR="00F63FD4">
        <w:rPr>
          <w:lang w:val="en-GB"/>
        </w:rPr>
        <w:t>operations</w:t>
      </w:r>
      <w:r w:rsidR="00F63FD4" w:rsidRPr="007B3AB8">
        <w:rPr>
          <w:lang w:val="en-GB"/>
        </w:rPr>
        <w:t xml:space="preserve"> </w:t>
      </w:r>
      <w:r w:rsidRPr="007B3AB8">
        <w:rPr>
          <w:lang w:val="en-GB"/>
        </w:rPr>
        <w:t>support for Andrews.</w:t>
      </w:r>
    </w:p>
    <w:p w14:paraId="5D10DCA0" w14:textId="77777777" w:rsidR="00047CA5" w:rsidRPr="007B3AB8" w:rsidRDefault="00047CA5" w:rsidP="00047CA5">
      <w:pPr>
        <w:pStyle w:val="BodyTextMain"/>
        <w:rPr>
          <w:lang w:val="en-GB"/>
        </w:rPr>
      </w:pPr>
    </w:p>
    <w:p w14:paraId="6AECBD7D" w14:textId="6F32903F" w:rsidR="00047CA5" w:rsidRPr="007B3AB8" w:rsidRDefault="00047CA5" w:rsidP="00047CA5">
      <w:pPr>
        <w:pStyle w:val="BodyTextMain"/>
        <w:rPr>
          <w:lang w:val="en-GB"/>
        </w:rPr>
      </w:pPr>
      <w:r w:rsidRPr="005676E3">
        <w:rPr>
          <w:bCs/>
          <w:lang w:val="en-GB"/>
        </w:rPr>
        <w:lastRenderedPageBreak/>
        <w:t>Andrews</w:t>
      </w:r>
      <w:r w:rsidRPr="00E258A7">
        <w:rPr>
          <w:bCs/>
          <w:lang w:val="en-GB"/>
        </w:rPr>
        <w:t>,</w:t>
      </w:r>
      <w:r w:rsidRPr="007B3AB8">
        <w:rPr>
          <w:lang w:val="en-GB"/>
        </w:rPr>
        <w:t xml:space="preserve"> 56</w:t>
      </w:r>
      <w:r w:rsidR="00924727">
        <w:rPr>
          <w:lang w:val="en-GB"/>
        </w:rPr>
        <w:t xml:space="preserve"> years of age</w:t>
      </w:r>
      <w:r w:rsidRPr="007B3AB8">
        <w:rPr>
          <w:lang w:val="en-GB"/>
        </w:rPr>
        <w:t xml:space="preserve">, was an outside contractor who worked at his own pace and typically with his own clients. This arrangement was fairly unique in the safari industry. Instead of a salary, Andrews was paid on a </w:t>
      </w:r>
      <w:r w:rsidR="00A716A9">
        <w:rPr>
          <w:lang w:val="en-GB"/>
        </w:rPr>
        <w:t>revenue-share</w:t>
      </w:r>
      <w:r w:rsidRPr="007B3AB8">
        <w:rPr>
          <w:lang w:val="en-GB"/>
        </w:rPr>
        <w:t xml:space="preserve"> basis. He also accepted occasional clients directly from SSI. Andrews was born in Zimbabwe and had nearly 40 years of experience in the safari industry</w:t>
      </w:r>
      <w:r w:rsidR="00C45030">
        <w:rPr>
          <w:lang w:val="en-GB"/>
        </w:rPr>
        <w:t>,</w:t>
      </w:r>
      <w:r w:rsidRPr="007B3AB8">
        <w:rPr>
          <w:lang w:val="en-GB"/>
        </w:rPr>
        <w:t xml:space="preserve"> in a number of different roles.</w:t>
      </w:r>
    </w:p>
    <w:p w14:paraId="172E5CAC" w14:textId="106CA02F" w:rsidR="00047CA5" w:rsidRDefault="00047CA5" w:rsidP="00047CA5">
      <w:pPr>
        <w:pStyle w:val="BodyTextMain"/>
        <w:rPr>
          <w:lang w:val="en-GB"/>
        </w:rPr>
      </w:pPr>
    </w:p>
    <w:p w14:paraId="3249D3C3" w14:textId="77777777" w:rsidR="00521D74" w:rsidRPr="007B3AB8" w:rsidRDefault="00521D74" w:rsidP="00047CA5">
      <w:pPr>
        <w:pStyle w:val="BodyTextMain"/>
        <w:rPr>
          <w:lang w:val="en-GB"/>
        </w:rPr>
      </w:pPr>
    </w:p>
    <w:p w14:paraId="68A5FA7D" w14:textId="57190106" w:rsidR="00047CA5" w:rsidRDefault="00047CA5" w:rsidP="005676E3">
      <w:pPr>
        <w:pStyle w:val="Casehead3"/>
        <w:rPr>
          <w:lang w:val="en-GB"/>
        </w:rPr>
      </w:pPr>
      <w:r w:rsidRPr="007B3AB8">
        <w:rPr>
          <w:lang w:val="en-GB"/>
        </w:rPr>
        <w:t>Sources of SSI Revenues</w:t>
      </w:r>
    </w:p>
    <w:p w14:paraId="754919B8" w14:textId="77777777" w:rsidR="00521D74" w:rsidRPr="007B3AB8" w:rsidRDefault="00521D74" w:rsidP="00047CA5">
      <w:pPr>
        <w:pStyle w:val="BodyTextMain"/>
        <w:rPr>
          <w:b/>
          <w:lang w:val="en-GB"/>
        </w:rPr>
      </w:pPr>
    </w:p>
    <w:p w14:paraId="42877C9B" w14:textId="050A384F" w:rsidR="00047CA5" w:rsidRPr="007B3AB8" w:rsidRDefault="00047CA5" w:rsidP="00047CA5">
      <w:pPr>
        <w:pStyle w:val="BodyTextMain"/>
        <w:rPr>
          <w:lang w:val="en-GB"/>
        </w:rPr>
      </w:pPr>
      <w:r w:rsidRPr="007B3AB8">
        <w:rPr>
          <w:lang w:val="en-GB"/>
        </w:rPr>
        <w:t xml:space="preserve">SSI had grown rapidly since 2012. </w:t>
      </w:r>
      <w:r w:rsidR="00521D74">
        <w:rPr>
          <w:lang w:val="en-GB"/>
        </w:rPr>
        <w:t xml:space="preserve">Revenues from </w:t>
      </w:r>
      <w:r w:rsidRPr="007B3AB8">
        <w:rPr>
          <w:lang w:val="en-GB"/>
        </w:rPr>
        <w:t>2014 were $1.7 million</w:t>
      </w:r>
      <w:r w:rsidR="00521D74">
        <w:rPr>
          <w:lang w:val="en-GB"/>
        </w:rPr>
        <w:t>,</w:t>
      </w:r>
      <w:r w:rsidRPr="007B3AB8">
        <w:rPr>
          <w:lang w:val="en-GB"/>
        </w:rPr>
        <w:t xml:space="preserve"> and </w:t>
      </w:r>
      <w:r w:rsidR="00521D74">
        <w:rPr>
          <w:lang w:val="en-GB"/>
        </w:rPr>
        <w:t xml:space="preserve">expected </w:t>
      </w:r>
      <w:r w:rsidRPr="007B3AB8">
        <w:rPr>
          <w:lang w:val="en-GB"/>
        </w:rPr>
        <w:t xml:space="preserve">full-year 2015 revenues, as of October, were $1.6 million </w:t>
      </w:r>
      <w:r w:rsidR="00521D74">
        <w:rPr>
          <w:lang w:val="en-GB"/>
        </w:rPr>
        <w:t xml:space="preserve">(see </w:t>
      </w:r>
      <w:r w:rsidRPr="007B3AB8">
        <w:rPr>
          <w:lang w:val="en-GB"/>
        </w:rPr>
        <w:t>Exhibit 1</w:t>
      </w:r>
      <w:r w:rsidR="00475C1D">
        <w:rPr>
          <w:lang w:val="en-GB"/>
        </w:rPr>
        <w:t xml:space="preserve"> or the a</w:t>
      </w:r>
      <w:r w:rsidR="009C71B9">
        <w:rPr>
          <w:lang w:val="en-GB"/>
        </w:rPr>
        <w:t>ccompanying</w:t>
      </w:r>
      <w:r w:rsidR="00475C1D">
        <w:rPr>
          <w:lang w:val="en-GB"/>
        </w:rPr>
        <w:t xml:space="preserve"> Student Spreadsheet Excel f</w:t>
      </w:r>
      <w:r w:rsidR="009C71B9">
        <w:rPr>
          <w:lang w:val="en-GB"/>
        </w:rPr>
        <w:t>ile</w:t>
      </w:r>
      <w:r w:rsidR="0084590C">
        <w:rPr>
          <w:lang w:val="en-GB"/>
        </w:rPr>
        <w:t>)</w:t>
      </w:r>
      <w:r w:rsidRPr="007B3AB8">
        <w:rPr>
          <w:lang w:val="en-GB"/>
        </w:rPr>
        <w:t>. These revenue figures were more volatile than average within the safari industry</w:t>
      </w:r>
      <w:r w:rsidR="00E77840">
        <w:rPr>
          <w:lang w:val="en-GB"/>
        </w:rPr>
        <w:t>;</w:t>
      </w:r>
      <w:r w:rsidRPr="007B3AB8">
        <w:rPr>
          <w:lang w:val="en-GB"/>
        </w:rPr>
        <w:t xml:space="preserve"> however, recent SSI growth had been stronger than average. Safari industry economic cycles were particularly variable and unpredictable. While EJ revenues came almost exclusively from direct</w:t>
      </w:r>
      <w:r w:rsidR="00C45030">
        <w:rPr>
          <w:lang w:val="en-GB"/>
        </w:rPr>
        <w:t xml:space="preserve"> and</w:t>
      </w:r>
      <w:r w:rsidRPr="007B3AB8">
        <w:rPr>
          <w:lang w:val="en-GB"/>
        </w:rPr>
        <w:t xml:space="preserve"> custom client bookings, SSI gained clients from four total sources:</w:t>
      </w:r>
      <w:r w:rsidR="003F2EB4">
        <w:rPr>
          <w:lang w:val="en-GB"/>
        </w:rPr>
        <w:t xml:space="preserve"> direct bookings, group trips, Andrews, and Martin Fischer.</w:t>
      </w:r>
    </w:p>
    <w:p w14:paraId="36A828F4" w14:textId="77777777" w:rsidR="007F55A7" w:rsidRPr="007B3AB8" w:rsidRDefault="007F55A7" w:rsidP="00047CA5">
      <w:pPr>
        <w:pStyle w:val="BodyTextMain"/>
        <w:rPr>
          <w:lang w:val="en-GB"/>
        </w:rPr>
      </w:pPr>
    </w:p>
    <w:p w14:paraId="626EC1AD" w14:textId="77777777" w:rsidR="009C71B9" w:rsidRDefault="009C71B9" w:rsidP="00047CA5">
      <w:pPr>
        <w:pStyle w:val="BodyTextMain"/>
        <w:rPr>
          <w:rStyle w:val="Casehead4Char"/>
          <w:sz w:val="22"/>
          <w:szCs w:val="22"/>
          <w:u w:val="none"/>
        </w:rPr>
      </w:pPr>
    </w:p>
    <w:p w14:paraId="2A1A8187" w14:textId="37F00696" w:rsidR="009C71B9" w:rsidRDefault="00047CA5" w:rsidP="00835F0D">
      <w:pPr>
        <w:pStyle w:val="Casehead4"/>
        <w:rPr>
          <w:b/>
          <w:lang w:val="en-GB"/>
        </w:rPr>
      </w:pPr>
      <w:r w:rsidRPr="00835F0D">
        <w:t xml:space="preserve">Direct </w:t>
      </w:r>
      <w:r w:rsidR="009C71B9">
        <w:t>B</w:t>
      </w:r>
      <w:r w:rsidR="00C45030" w:rsidRPr="00835F0D">
        <w:t>ookings</w:t>
      </w:r>
    </w:p>
    <w:p w14:paraId="3999D1ED" w14:textId="77777777" w:rsidR="009C71B9" w:rsidRDefault="009C71B9" w:rsidP="00047CA5">
      <w:pPr>
        <w:pStyle w:val="BodyTextMain"/>
        <w:rPr>
          <w:lang w:val="en-GB"/>
        </w:rPr>
      </w:pPr>
    </w:p>
    <w:p w14:paraId="1682C0F7" w14:textId="55E7D316" w:rsidR="00047CA5" w:rsidRPr="007B3AB8" w:rsidRDefault="00047CA5" w:rsidP="00047CA5">
      <w:pPr>
        <w:pStyle w:val="BodyTextMain"/>
        <w:rPr>
          <w:lang w:val="en-GB"/>
        </w:rPr>
      </w:pPr>
      <w:r w:rsidRPr="00816ABF">
        <w:rPr>
          <w:lang w:val="en-GB"/>
        </w:rPr>
        <w:t>Th</w:t>
      </w:r>
      <w:r w:rsidRPr="00C44167">
        <w:rPr>
          <w:lang w:val="en-GB"/>
        </w:rPr>
        <w:t>e first revenue source was direct customized bookings. This made up approximately 50</w:t>
      </w:r>
      <w:r w:rsidR="000B10F1">
        <w:rPr>
          <w:lang w:val="en-GB"/>
        </w:rPr>
        <w:t xml:space="preserve"> per cent</w:t>
      </w:r>
      <w:r w:rsidRPr="00816ABF">
        <w:rPr>
          <w:lang w:val="en-GB"/>
        </w:rPr>
        <w:t xml:space="preserve"> of revenues</w:t>
      </w:r>
      <w:r w:rsidRPr="007B3AB8">
        <w:rPr>
          <w:lang w:val="en-GB"/>
        </w:rPr>
        <w:t xml:space="preserve"> from sources such as repeat clients, word-of-mouth referrals, and clients generated from SSI</w:t>
      </w:r>
      <w:r w:rsidR="00C45030">
        <w:rPr>
          <w:lang w:val="en-GB"/>
        </w:rPr>
        <w:t>’</w:t>
      </w:r>
      <w:r w:rsidRPr="007B3AB8">
        <w:rPr>
          <w:lang w:val="en-GB"/>
        </w:rPr>
        <w:t>s modest marketing efforts. Direct bookings led to relatively high gross profit margins, with commissions of about 20</w:t>
      </w:r>
      <w:r w:rsidR="00886C5A">
        <w:rPr>
          <w:lang w:val="en-GB"/>
        </w:rPr>
        <w:t xml:space="preserve"> per cent</w:t>
      </w:r>
      <w:r w:rsidRPr="007B3AB8">
        <w:rPr>
          <w:lang w:val="en-GB"/>
        </w:rPr>
        <w:t xml:space="preserve"> of net revenues. In other words, for every $100 sold, $80 </w:t>
      </w:r>
      <w:r w:rsidR="00122999">
        <w:rPr>
          <w:lang w:val="en-GB"/>
        </w:rPr>
        <w:t>represented</w:t>
      </w:r>
      <w:r w:rsidR="00122999" w:rsidRPr="007B3AB8">
        <w:rPr>
          <w:lang w:val="en-GB"/>
        </w:rPr>
        <w:t xml:space="preserve"> </w:t>
      </w:r>
      <w:r w:rsidRPr="007B3AB8">
        <w:rPr>
          <w:lang w:val="en-GB"/>
        </w:rPr>
        <w:t xml:space="preserve">the </w:t>
      </w:r>
      <w:r w:rsidR="0057067D">
        <w:rPr>
          <w:lang w:val="en-GB"/>
        </w:rPr>
        <w:t>COGS</w:t>
      </w:r>
      <w:r w:rsidRPr="007B3AB8">
        <w:rPr>
          <w:lang w:val="en-GB"/>
        </w:rPr>
        <w:t xml:space="preserve">, such as transportation and safari lodges. Sales, general, and administrative costs </w:t>
      </w:r>
      <w:r w:rsidR="00AF42B3" w:rsidRPr="007B3AB8">
        <w:rPr>
          <w:lang w:val="en-GB"/>
        </w:rPr>
        <w:t>totalled</w:t>
      </w:r>
      <w:r w:rsidRPr="007B3AB8">
        <w:rPr>
          <w:lang w:val="en-GB"/>
        </w:rPr>
        <w:t xml:space="preserve"> approximately 13</w:t>
      </w:r>
      <w:r w:rsidR="00AF42B3">
        <w:rPr>
          <w:lang w:val="en-GB"/>
        </w:rPr>
        <w:t xml:space="preserve"> per cent</w:t>
      </w:r>
      <w:r w:rsidRPr="007B3AB8">
        <w:rPr>
          <w:lang w:val="en-GB"/>
        </w:rPr>
        <w:t>. This figure included 3</w:t>
      </w:r>
      <w:r w:rsidR="00DA4CDE">
        <w:rPr>
          <w:lang w:val="en-GB"/>
        </w:rPr>
        <w:t xml:space="preserve"> per cent</w:t>
      </w:r>
      <w:r w:rsidRPr="007B3AB8">
        <w:rPr>
          <w:lang w:val="en-GB"/>
        </w:rPr>
        <w:t xml:space="preserve"> for fixed overhead </w:t>
      </w:r>
      <w:r w:rsidR="002579D9">
        <w:rPr>
          <w:lang w:val="en-GB"/>
        </w:rPr>
        <w:t>costs</w:t>
      </w:r>
      <w:r w:rsidR="002579D9" w:rsidRPr="007B3AB8">
        <w:rPr>
          <w:lang w:val="en-GB"/>
        </w:rPr>
        <w:t xml:space="preserve"> </w:t>
      </w:r>
      <w:r w:rsidRPr="007B3AB8">
        <w:rPr>
          <w:lang w:val="en-GB"/>
        </w:rPr>
        <w:t xml:space="preserve">such as rent, </w:t>
      </w:r>
      <w:r w:rsidR="00DA4CDE">
        <w:rPr>
          <w:lang w:val="en-GB"/>
        </w:rPr>
        <w:t>licences</w:t>
      </w:r>
      <w:r w:rsidRPr="007B3AB8">
        <w:rPr>
          <w:lang w:val="en-GB"/>
        </w:rPr>
        <w:t>, and insurance</w:t>
      </w:r>
      <w:r w:rsidR="00851A39">
        <w:rPr>
          <w:lang w:val="en-GB"/>
        </w:rPr>
        <w:t>,</w:t>
      </w:r>
      <w:r w:rsidRPr="007B3AB8">
        <w:rPr>
          <w:lang w:val="en-GB"/>
        </w:rPr>
        <w:t xml:space="preserve"> as well as 10</w:t>
      </w:r>
      <w:r w:rsidR="00851A39">
        <w:rPr>
          <w:lang w:val="en-GB"/>
        </w:rPr>
        <w:t xml:space="preserve"> per cent</w:t>
      </w:r>
      <w:r w:rsidRPr="007B3AB8">
        <w:rPr>
          <w:lang w:val="en-GB"/>
        </w:rPr>
        <w:t xml:space="preserve"> marginal costs to account for </w:t>
      </w:r>
      <w:r w:rsidR="00851A39" w:rsidRPr="007B3AB8">
        <w:rPr>
          <w:lang w:val="en-GB"/>
        </w:rPr>
        <w:t>labour</w:t>
      </w:r>
      <w:r w:rsidRPr="007B3AB8">
        <w:rPr>
          <w:lang w:val="en-GB"/>
        </w:rPr>
        <w:t xml:space="preserve"> such as sales agents and operations support.</w:t>
      </w:r>
    </w:p>
    <w:p w14:paraId="313189A4" w14:textId="77777777" w:rsidR="00047CA5" w:rsidRPr="007B3AB8" w:rsidRDefault="00047CA5" w:rsidP="00047CA5">
      <w:pPr>
        <w:pStyle w:val="BodyTextMain"/>
        <w:rPr>
          <w:lang w:val="en-GB"/>
        </w:rPr>
      </w:pPr>
    </w:p>
    <w:p w14:paraId="45422D15" w14:textId="77777777" w:rsidR="009C71B9" w:rsidRDefault="009C71B9" w:rsidP="00047CA5">
      <w:pPr>
        <w:pStyle w:val="BodyTextMain"/>
        <w:rPr>
          <w:bCs/>
          <w:i/>
          <w:iCs/>
          <w:lang w:val="en-GB"/>
        </w:rPr>
      </w:pPr>
    </w:p>
    <w:p w14:paraId="1A71238D" w14:textId="4D63FE68" w:rsidR="009C71B9" w:rsidRDefault="00047CA5" w:rsidP="00835F0D">
      <w:pPr>
        <w:pStyle w:val="Casehead4"/>
        <w:rPr>
          <w:lang w:val="en-GB"/>
        </w:rPr>
      </w:pPr>
      <w:r w:rsidRPr="005676E3">
        <w:rPr>
          <w:lang w:val="en-GB"/>
        </w:rPr>
        <w:t xml:space="preserve">Group </w:t>
      </w:r>
      <w:r w:rsidR="00782DB4">
        <w:rPr>
          <w:lang w:val="en-GB"/>
        </w:rPr>
        <w:t>T</w:t>
      </w:r>
      <w:r w:rsidR="00100E21">
        <w:rPr>
          <w:lang w:val="en-GB"/>
        </w:rPr>
        <w:t>rips</w:t>
      </w:r>
    </w:p>
    <w:p w14:paraId="665258A2" w14:textId="77777777" w:rsidR="009C71B9" w:rsidRDefault="009C71B9" w:rsidP="00047CA5">
      <w:pPr>
        <w:pStyle w:val="BodyTextMain"/>
        <w:rPr>
          <w:lang w:val="en-GB"/>
        </w:rPr>
      </w:pPr>
    </w:p>
    <w:p w14:paraId="547A1E1C" w14:textId="016DA4A7" w:rsidR="00047CA5" w:rsidRPr="00AB17A4" w:rsidRDefault="00047CA5" w:rsidP="00047CA5">
      <w:pPr>
        <w:pStyle w:val="BodyTextMain"/>
        <w:rPr>
          <w:spacing w:val="-4"/>
          <w:lang w:val="en-GB"/>
        </w:rPr>
      </w:pPr>
      <w:r w:rsidRPr="00AB17A4">
        <w:rPr>
          <w:spacing w:val="-4"/>
          <w:lang w:val="en-GB"/>
        </w:rPr>
        <w:t>Due to Jacobs’</w:t>
      </w:r>
      <w:r w:rsidR="00C24969" w:rsidRPr="00AB17A4">
        <w:rPr>
          <w:spacing w:val="-4"/>
          <w:lang w:val="en-GB"/>
        </w:rPr>
        <w:t>s</w:t>
      </w:r>
      <w:r w:rsidRPr="00AB17A4">
        <w:rPr>
          <w:spacing w:val="-4"/>
          <w:lang w:val="en-GB"/>
        </w:rPr>
        <w:t xml:space="preserve"> connections in the local Savannah community, she personally sold and </w:t>
      </w:r>
      <w:r w:rsidR="00C24969" w:rsidRPr="00AB17A4">
        <w:rPr>
          <w:spacing w:val="-4"/>
          <w:lang w:val="en-GB"/>
        </w:rPr>
        <w:t xml:space="preserve">led </w:t>
      </w:r>
      <w:r w:rsidRPr="00AB17A4">
        <w:rPr>
          <w:spacing w:val="-4"/>
          <w:lang w:val="en-GB"/>
        </w:rPr>
        <w:t>a small group of approximately 12</w:t>
      </w:r>
      <w:r w:rsidR="00930652" w:rsidRPr="00AB17A4">
        <w:rPr>
          <w:spacing w:val="-4"/>
          <w:lang w:val="en-GB"/>
        </w:rPr>
        <w:t>–</w:t>
      </w:r>
      <w:r w:rsidRPr="00AB17A4">
        <w:rPr>
          <w:spacing w:val="-4"/>
          <w:lang w:val="en-GB"/>
        </w:rPr>
        <w:t>20 people to Africa each year. She sold this trip using local travel clubs and her own personal contacts</w:t>
      </w:r>
      <w:r w:rsidR="00930652" w:rsidRPr="00AB17A4">
        <w:rPr>
          <w:spacing w:val="-4"/>
          <w:lang w:val="en-GB"/>
        </w:rPr>
        <w:t>,</w:t>
      </w:r>
      <w:r w:rsidRPr="00AB17A4">
        <w:rPr>
          <w:spacing w:val="-4"/>
          <w:lang w:val="en-GB"/>
        </w:rPr>
        <w:t xml:space="preserve"> and offered a value-</w:t>
      </w:r>
      <w:r w:rsidR="00903E6D" w:rsidRPr="00AB17A4">
        <w:rPr>
          <w:spacing w:val="-4"/>
          <w:lang w:val="en-GB"/>
        </w:rPr>
        <w:t xml:space="preserve">added </w:t>
      </w:r>
      <w:r w:rsidRPr="00AB17A4">
        <w:rPr>
          <w:spacing w:val="-4"/>
          <w:lang w:val="en-GB"/>
        </w:rPr>
        <w:t>service to these clients by acting as the group tour guide. This trip yielded higher commissions of approximately 25</w:t>
      </w:r>
      <w:r w:rsidR="00A264D4" w:rsidRPr="00AB17A4">
        <w:rPr>
          <w:spacing w:val="-4"/>
          <w:lang w:val="en-GB"/>
        </w:rPr>
        <w:t xml:space="preserve"> per cent</w:t>
      </w:r>
      <w:r w:rsidRPr="00AB17A4">
        <w:rPr>
          <w:spacing w:val="-4"/>
          <w:lang w:val="en-GB"/>
        </w:rPr>
        <w:t xml:space="preserve"> and generated about 10</w:t>
      </w:r>
      <w:r w:rsidR="00A264D4" w:rsidRPr="00AB17A4">
        <w:rPr>
          <w:spacing w:val="-4"/>
          <w:lang w:val="en-GB"/>
        </w:rPr>
        <w:t xml:space="preserve"> per cent</w:t>
      </w:r>
      <w:r w:rsidRPr="00AB17A4">
        <w:rPr>
          <w:spacing w:val="-4"/>
          <w:lang w:val="en-GB"/>
        </w:rPr>
        <w:t xml:space="preserve"> of SSI’s total revenues each year. Gordon had never offered group tours through EJ before due to </w:t>
      </w:r>
      <w:r w:rsidR="006073EB" w:rsidRPr="00AB17A4">
        <w:rPr>
          <w:spacing w:val="-4"/>
          <w:lang w:val="en-GB"/>
        </w:rPr>
        <w:t xml:space="preserve">EJ’s </w:t>
      </w:r>
      <w:r w:rsidRPr="00AB17A4">
        <w:rPr>
          <w:spacing w:val="-4"/>
          <w:lang w:val="en-GB"/>
        </w:rPr>
        <w:t>focus on customized safaris.</w:t>
      </w:r>
    </w:p>
    <w:p w14:paraId="6BE20796" w14:textId="77777777" w:rsidR="00047CA5" w:rsidRPr="007B3AB8" w:rsidRDefault="00047CA5" w:rsidP="00047CA5">
      <w:pPr>
        <w:pStyle w:val="BodyTextMain"/>
        <w:rPr>
          <w:lang w:val="en-GB"/>
        </w:rPr>
      </w:pPr>
    </w:p>
    <w:p w14:paraId="3A702BDF" w14:textId="77777777" w:rsidR="009C71B9" w:rsidRDefault="009C71B9" w:rsidP="00047CA5">
      <w:pPr>
        <w:pStyle w:val="BodyTextMain"/>
        <w:rPr>
          <w:bCs/>
          <w:i/>
          <w:iCs/>
          <w:lang w:val="en-GB"/>
        </w:rPr>
      </w:pPr>
    </w:p>
    <w:p w14:paraId="18DCF1F3" w14:textId="1023BB18" w:rsidR="009C71B9" w:rsidRDefault="00047CA5" w:rsidP="00835F0D">
      <w:pPr>
        <w:pStyle w:val="Casehead4"/>
        <w:rPr>
          <w:lang w:val="en-GB"/>
        </w:rPr>
      </w:pPr>
      <w:r w:rsidRPr="005676E3">
        <w:rPr>
          <w:lang w:val="en-GB"/>
        </w:rPr>
        <w:t>Andrews</w:t>
      </w:r>
    </w:p>
    <w:p w14:paraId="1CB49899" w14:textId="77777777" w:rsidR="009C71B9" w:rsidRDefault="009C71B9" w:rsidP="00047CA5">
      <w:pPr>
        <w:pStyle w:val="BodyTextMain"/>
        <w:rPr>
          <w:lang w:val="en-GB"/>
        </w:rPr>
      </w:pPr>
    </w:p>
    <w:p w14:paraId="594A0984" w14:textId="7C4FCE91" w:rsidR="00047CA5" w:rsidRPr="007B3AB8" w:rsidRDefault="00047CA5" w:rsidP="00047CA5">
      <w:pPr>
        <w:pStyle w:val="BodyTextMain"/>
        <w:rPr>
          <w:lang w:val="en-GB"/>
        </w:rPr>
      </w:pPr>
      <w:r w:rsidRPr="007B3AB8">
        <w:rPr>
          <w:lang w:val="en-GB"/>
        </w:rPr>
        <w:t>As noted previously, Andrews essentially ran his own “company within a company.” Unlike many safari specialists, he did his own client lead generation. He advertised to his own past clients and generated new business through word of mouth and his extensive social network. He even received new clients from his lovingly hand-restored Land Rover Defender</w:t>
      </w:r>
      <w:r w:rsidR="00284ECF">
        <w:rPr>
          <w:lang w:val="en-GB"/>
        </w:rPr>
        <w:t>, on which</w:t>
      </w:r>
      <w:r w:rsidRPr="007B3AB8">
        <w:rPr>
          <w:lang w:val="en-GB"/>
        </w:rPr>
        <w:t xml:space="preserve"> </w:t>
      </w:r>
      <w:r w:rsidR="00284ECF">
        <w:rPr>
          <w:lang w:val="en-GB"/>
        </w:rPr>
        <w:t>he</w:t>
      </w:r>
      <w:r w:rsidRPr="007B3AB8">
        <w:rPr>
          <w:lang w:val="en-GB"/>
        </w:rPr>
        <w:t xml:space="preserve"> put his phone number and logo</w:t>
      </w:r>
      <w:r w:rsidR="00284ECF">
        <w:rPr>
          <w:lang w:val="en-GB"/>
        </w:rPr>
        <w:t xml:space="preserve">; he </w:t>
      </w:r>
      <w:r w:rsidRPr="007B3AB8">
        <w:rPr>
          <w:lang w:val="en-GB"/>
        </w:rPr>
        <w:t xml:space="preserve">received a number </w:t>
      </w:r>
      <w:r w:rsidR="00284ECF">
        <w:rPr>
          <w:lang w:val="en-GB"/>
        </w:rPr>
        <w:t xml:space="preserve">of </w:t>
      </w:r>
      <w:r w:rsidRPr="007B3AB8">
        <w:rPr>
          <w:lang w:val="en-GB"/>
        </w:rPr>
        <w:t>calls each year just from driving around. Based on his arrangement with Jacobs, Andrews kept 10</w:t>
      </w:r>
      <w:r w:rsidR="00665110">
        <w:rPr>
          <w:lang w:val="en-GB"/>
        </w:rPr>
        <w:t xml:space="preserve"> per cent</w:t>
      </w:r>
      <w:r w:rsidRPr="007B3AB8">
        <w:rPr>
          <w:lang w:val="en-GB"/>
        </w:rPr>
        <w:t xml:space="preserve"> of gross revenues as a commission for his sales. This effectively split the (on average) 20</w:t>
      </w:r>
      <w:r w:rsidR="003B30B6">
        <w:rPr>
          <w:lang w:val="en-GB"/>
        </w:rPr>
        <w:t xml:space="preserve"> per cent</w:t>
      </w:r>
      <w:r w:rsidRPr="007B3AB8">
        <w:rPr>
          <w:lang w:val="en-GB"/>
        </w:rPr>
        <w:t xml:space="preserve"> gross commission and left SSI with the other 10</w:t>
      </w:r>
      <w:r w:rsidR="00F75DBE">
        <w:rPr>
          <w:lang w:val="en-GB"/>
        </w:rPr>
        <w:t xml:space="preserve"> per cent</w:t>
      </w:r>
      <w:r w:rsidR="00731661">
        <w:rPr>
          <w:lang w:val="en-GB"/>
        </w:rPr>
        <w:t>,</w:t>
      </w:r>
      <w:r w:rsidRPr="007B3AB8">
        <w:rPr>
          <w:lang w:val="en-GB"/>
        </w:rPr>
        <w:t xml:space="preserve"> in exchange for providing operations and overhead support. </w:t>
      </w:r>
      <w:r w:rsidR="008B2D78">
        <w:rPr>
          <w:lang w:val="en-GB"/>
        </w:rPr>
        <w:t>Gordon</w:t>
      </w:r>
      <w:r w:rsidR="008B2D78" w:rsidRPr="007B3AB8">
        <w:rPr>
          <w:lang w:val="en-GB"/>
        </w:rPr>
        <w:t xml:space="preserve"> </w:t>
      </w:r>
      <w:r w:rsidRPr="007B3AB8">
        <w:rPr>
          <w:lang w:val="en-GB"/>
        </w:rPr>
        <w:t>estimated that SSI spent approximately 5</w:t>
      </w:r>
      <w:r w:rsidR="002D4A7F">
        <w:rPr>
          <w:lang w:val="en-GB"/>
        </w:rPr>
        <w:t xml:space="preserve"> per cent</w:t>
      </w:r>
      <w:r w:rsidRPr="007B3AB8">
        <w:rPr>
          <w:lang w:val="en-GB"/>
        </w:rPr>
        <w:t xml:space="preserve"> on these costs</w:t>
      </w:r>
      <w:r w:rsidR="007C3164">
        <w:rPr>
          <w:lang w:val="en-GB"/>
        </w:rPr>
        <w:t>,</w:t>
      </w:r>
      <w:r w:rsidRPr="007B3AB8">
        <w:rPr>
          <w:lang w:val="en-GB"/>
        </w:rPr>
        <w:t xml:space="preserve"> leaving the other 5</w:t>
      </w:r>
      <w:r w:rsidR="007C3164">
        <w:rPr>
          <w:lang w:val="en-GB"/>
        </w:rPr>
        <w:t xml:space="preserve"> per cent</w:t>
      </w:r>
      <w:r w:rsidRPr="007B3AB8">
        <w:rPr>
          <w:lang w:val="en-GB"/>
        </w:rPr>
        <w:t xml:space="preserve"> as SSI profits.</w:t>
      </w:r>
    </w:p>
    <w:p w14:paraId="085BE8E5" w14:textId="77777777" w:rsidR="00047CA5" w:rsidRPr="007B3AB8" w:rsidRDefault="00047CA5" w:rsidP="00047CA5">
      <w:pPr>
        <w:pStyle w:val="BodyTextMain"/>
        <w:rPr>
          <w:lang w:val="en-GB"/>
        </w:rPr>
      </w:pPr>
    </w:p>
    <w:p w14:paraId="490247CC" w14:textId="2BB4B0AE" w:rsidR="00047CA5" w:rsidRPr="007B3AB8" w:rsidRDefault="00047CA5" w:rsidP="00047CA5">
      <w:pPr>
        <w:pStyle w:val="BodyTextMain"/>
        <w:rPr>
          <w:lang w:val="en-GB"/>
        </w:rPr>
      </w:pPr>
      <w:r w:rsidRPr="007B3AB8">
        <w:rPr>
          <w:lang w:val="en-GB"/>
        </w:rPr>
        <w:lastRenderedPageBreak/>
        <w:t xml:space="preserve">Andrews was eager to continue this arrangement with </w:t>
      </w:r>
      <w:r w:rsidR="00C30DBC">
        <w:rPr>
          <w:lang w:val="en-GB"/>
        </w:rPr>
        <w:t>EJ</w:t>
      </w:r>
      <w:r w:rsidRPr="007B3AB8">
        <w:rPr>
          <w:lang w:val="en-GB"/>
        </w:rPr>
        <w:t xml:space="preserve"> and appeared to have no interest in working for another company. However, he had not had a formal contract with SSI and was likewise not interested in signing a formal contract with EJ</w:t>
      </w:r>
      <w:r w:rsidR="00731661">
        <w:rPr>
          <w:lang w:val="en-GB"/>
        </w:rPr>
        <w:t>;</w:t>
      </w:r>
      <w:r w:rsidRPr="007B3AB8">
        <w:rPr>
          <w:lang w:val="en-GB"/>
        </w:rPr>
        <w:t xml:space="preserve"> </w:t>
      </w:r>
      <w:r w:rsidR="00731661">
        <w:rPr>
          <w:lang w:val="en-GB"/>
        </w:rPr>
        <w:t>he</w:t>
      </w:r>
      <w:r w:rsidRPr="007B3AB8">
        <w:rPr>
          <w:lang w:val="en-GB"/>
        </w:rPr>
        <w:t xml:space="preserve"> preferred a “handshake” method of doing business together. However, in an interesting coincidence, Gordon discovered that Andrews was an acquaintance of her family</w:t>
      </w:r>
      <w:r w:rsidR="008F3417">
        <w:rPr>
          <w:lang w:val="en-GB"/>
        </w:rPr>
        <w:t>;</w:t>
      </w:r>
      <w:r w:rsidRPr="007B3AB8">
        <w:rPr>
          <w:lang w:val="en-GB"/>
        </w:rPr>
        <w:t xml:space="preserve"> Gordon’s parents had known </w:t>
      </w:r>
      <w:r w:rsidR="00526195">
        <w:rPr>
          <w:lang w:val="en-GB"/>
        </w:rPr>
        <w:t>Andrews</w:t>
      </w:r>
      <w:r w:rsidR="00526195" w:rsidRPr="007B3AB8">
        <w:rPr>
          <w:lang w:val="en-GB"/>
        </w:rPr>
        <w:t xml:space="preserve"> </w:t>
      </w:r>
      <w:r w:rsidRPr="007B3AB8">
        <w:rPr>
          <w:lang w:val="en-GB"/>
        </w:rPr>
        <w:t xml:space="preserve">from industry trade shows back in the 1980s and 1990s and had </w:t>
      </w:r>
      <w:r w:rsidR="00A62E4C">
        <w:rPr>
          <w:lang w:val="en-GB"/>
        </w:rPr>
        <w:t>got</w:t>
      </w:r>
      <w:r w:rsidRPr="007B3AB8">
        <w:rPr>
          <w:lang w:val="en-GB"/>
        </w:rPr>
        <w:t xml:space="preserve"> </w:t>
      </w:r>
      <w:r w:rsidR="00C44167">
        <w:rPr>
          <w:lang w:val="en-GB"/>
        </w:rPr>
        <w:t>along</w:t>
      </w:r>
      <w:r w:rsidRPr="007B3AB8">
        <w:rPr>
          <w:lang w:val="en-GB"/>
        </w:rPr>
        <w:t xml:space="preserve"> well with him. Andrews generated about 30</w:t>
      </w:r>
      <w:r w:rsidR="004B129F">
        <w:rPr>
          <w:lang w:val="en-GB"/>
        </w:rPr>
        <w:t xml:space="preserve"> per cent</w:t>
      </w:r>
      <w:r w:rsidRPr="007B3AB8">
        <w:rPr>
          <w:lang w:val="en-GB"/>
        </w:rPr>
        <w:t xml:space="preserve"> of the total SSI revenue.</w:t>
      </w:r>
    </w:p>
    <w:p w14:paraId="77893632" w14:textId="77777777" w:rsidR="00047CA5" w:rsidRPr="007B3AB8" w:rsidRDefault="00047CA5" w:rsidP="00047CA5">
      <w:pPr>
        <w:pStyle w:val="BodyTextMain"/>
        <w:rPr>
          <w:lang w:val="en-GB"/>
        </w:rPr>
      </w:pPr>
    </w:p>
    <w:p w14:paraId="569088F3" w14:textId="77777777" w:rsidR="009C71B9" w:rsidRDefault="009C71B9" w:rsidP="00047CA5">
      <w:pPr>
        <w:pStyle w:val="BodyTextMain"/>
        <w:rPr>
          <w:bCs/>
          <w:i/>
          <w:iCs/>
          <w:lang w:val="en-GB"/>
        </w:rPr>
      </w:pPr>
    </w:p>
    <w:p w14:paraId="0BF864CE" w14:textId="6DA9BBBB" w:rsidR="009C71B9" w:rsidRDefault="00047CA5" w:rsidP="00835F0D">
      <w:pPr>
        <w:pStyle w:val="Casehead4"/>
        <w:rPr>
          <w:b/>
          <w:lang w:val="en-GB"/>
        </w:rPr>
      </w:pPr>
      <w:r w:rsidRPr="005676E3">
        <w:rPr>
          <w:lang w:val="en-GB"/>
        </w:rPr>
        <w:t>Martin Fischer</w:t>
      </w:r>
    </w:p>
    <w:p w14:paraId="5636D3F0" w14:textId="77777777" w:rsidR="009C71B9" w:rsidRDefault="009C71B9" w:rsidP="00047CA5">
      <w:pPr>
        <w:pStyle w:val="BodyTextMain"/>
        <w:rPr>
          <w:lang w:val="en-GB"/>
        </w:rPr>
      </w:pPr>
    </w:p>
    <w:p w14:paraId="65F11B3E" w14:textId="533FEB68" w:rsidR="00047CA5" w:rsidRPr="007B3AB8" w:rsidRDefault="00047CA5" w:rsidP="00047CA5">
      <w:pPr>
        <w:pStyle w:val="BodyTextMain"/>
        <w:rPr>
          <w:lang w:val="en-GB"/>
        </w:rPr>
      </w:pPr>
      <w:r w:rsidRPr="007B3AB8">
        <w:rPr>
          <w:lang w:val="en-GB"/>
        </w:rPr>
        <w:t>SSI had a unique relationship with Fischer, an internationally renowned wildlife photographer who was a regular photographic contributor to popular outdoors</w:t>
      </w:r>
      <w:r w:rsidR="00236E25">
        <w:rPr>
          <w:lang w:val="en-GB"/>
        </w:rPr>
        <w:t>-</w:t>
      </w:r>
      <w:r w:rsidRPr="007B3AB8">
        <w:rPr>
          <w:lang w:val="en-GB"/>
        </w:rPr>
        <w:t xml:space="preserve"> and conservation-oriented magazines. He personally guided high-end photographic training safaris to exotic and photogenic locales such as the Okavango Delta in Botswana and the Namib and Kalahari deserts in Namibia. Fischer sold these trips to his own contact list of amateur and semi-professional photographers. These group trips were exclusive due to an average per-person cost of </w:t>
      </w:r>
      <w:r w:rsidR="0049113C">
        <w:rPr>
          <w:lang w:val="en-GB"/>
        </w:rPr>
        <w:t>about</w:t>
      </w:r>
      <w:r w:rsidR="0049113C" w:rsidRPr="007B3AB8">
        <w:rPr>
          <w:lang w:val="en-GB"/>
        </w:rPr>
        <w:t xml:space="preserve"> </w:t>
      </w:r>
      <w:r w:rsidRPr="007B3AB8">
        <w:rPr>
          <w:lang w:val="en-GB"/>
        </w:rPr>
        <w:t>$30,000.</w:t>
      </w:r>
    </w:p>
    <w:p w14:paraId="6DAEF5C2" w14:textId="77777777" w:rsidR="00047CA5" w:rsidRPr="007B3AB8" w:rsidRDefault="00047CA5" w:rsidP="00047CA5">
      <w:pPr>
        <w:pStyle w:val="BodyTextMain"/>
        <w:rPr>
          <w:lang w:val="en-GB"/>
        </w:rPr>
      </w:pPr>
    </w:p>
    <w:p w14:paraId="6C170451" w14:textId="2ABD6EC4" w:rsidR="00047CA5" w:rsidRPr="007B3AB8" w:rsidRDefault="00047CA5" w:rsidP="00047CA5">
      <w:pPr>
        <w:pStyle w:val="BodyTextMain"/>
        <w:rPr>
          <w:lang w:val="en-GB"/>
        </w:rPr>
      </w:pPr>
      <w:r w:rsidRPr="007B3AB8">
        <w:rPr>
          <w:lang w:val="en-GB"/>
        </w:rPr>
        <w:t xml:space="preserve">While Fischer did the sales and trip guiding, SSI provided trip planning advice and all operational and booking support. </w:t>
      </w:r>
      <w:r w:rsidR="00BB4DE3">
        <w:rPr>
          <w:lang w:val="en-GB"/>
        </w:rPr>
        <w:t>As</w:t>
      </w:r>
      <w:r w:rsidRPr="007B3AB8">
        <w:rPr>
          <w:lang w:val="en-GB"/>
        </w:rPr>
        <w:t xml:space="preserve"> with Andrews, the </w:t>
      </w:r>
      <w:r w:rsidR="00BE7E5F">
        <w:rPr>
          <w:lang w:val="en-GB"/>
        </w:rPr>
        <w:t xml:space="preserve">commissions of </w:t>
      </w:r>
      <w:r w:rsidRPr="007B3AB8">
        <w:rPr>
          <w:lang w:val="en-GB"/>
        </w:rPr>
        <w:t>20</w:t>
      </w:r>
      <w:r w:rsidR="00322292">
        <w:rPr>
          <w:lang w:val="en-GB"/>
        </w:rPr>
        <w:t xml:space="preserve"> per cent </w:t>
      </w:r>
      <w:r w:rsidR="0034401B">
        <w:rPr>
          <w:lang w:val="en-GB"/>
        </w:rPr>
        <w:t xml:space="preserve">or more </w:t>
      </w:r>
      <w:r w:rsidRPr="007B3AB8">
        <w:rPr>
          <w:lang w:val="en-GB"/>
        </w:rPr>
        <w:t>were split evenly between Fischer and SSI, with a similar cost structure. One concern Gordon found was that Fischer led his group tours worldwide and only used SSI when booking destinations in Africa. He led a trip to Africa approximately one out of every three years, though Fischer often referred his contacts to SSI when they were interested in booking an independent safari. Gordon estimated that, even with the annual fluctuations, Fischer generated a long-run average of approximately 10</w:t>
      </w:r>
      <w:r w:rsidR="00D91885">
        <w:rPr>
          <w:lang w:val="en-GB"/>
        </w:rPr>
        <w:t xml:space="preserve"> per cent</w:t>
      </w:r>
      <w:r w:rsidRPr="007B3AB8">
        <w:rPr>
          <w:lang w:val="en-GB"/>
        </w:rPr>
        <w:t xml:space="preserve"> of SSI’s revenues.</w:t>
      </w:r>
    </w:p>
    <w:p w14:paraId="4A0D868B" w14:textId="77777777" w:rsidR="00047CA5" w:rsidRPr="007B3AB8" w:rsidRDefault="00047CA5" w:rsidP="00047CA5">
      <w:pPr>
        <w:pStyle w:val="BodyTextMain"/>
        <w:rPr>
          <w:lang w:val="en-GB"/>
        </w:rPr>
      </w:pPr>
    </w:p>
    <w:p w14:paraId="03EF6ABA" w14:textId="40055A6F" w:rsidR="00047CA5" w:rsidRPr="007B3AB8" w:rsidRDefault="00047CA5" w:rsidP="00047CA5">
      <w:pPr>
        <w:pStyle w:val="BodyTextMain"/>
        <w:rPr>
          <w:lang w:val="en-GB"/>
        </w:rPr>
      </w:pPr>
      <w:r w:rsidRPr="007B3AB8">
        <w:rPr>
          <w:lang w:val="en-GB"/>
        </w:rPr>
        <w:t xml:space="preserve">Like Andrews, Fischer was not tied to SSI contractually. He chose SSI because of the quality of </w:t>
      </w:r>
      <w:r w:rsidR="00731661">
        <w:rPr>
          <w:lang w:val="en-GB"/>
        </w:rPr>
        <w:t xml:space="preserve">SSI’s </w:t>
      </w:r>
      <w:r w:rsidRPr="007B3AB8">
        <w:rPr>
          <w:lang w:val="en-GB"/>
        </w:rPr>
        <w:t xml:space="preserve">service and on the basis of </w:t>
      </w:r>
      <w:r w:rsidR="00E66F98">
        <w:rPr>
          <w:lang w:val="en-GB"/>
        </w:rPr>
        <w:t>his</w:t>
      </w:r>
      <w:r w:rsidR="00E66F98" w:rsidRPr="007B3AB8">
        <w:rPr>
          <w:lang w:val="en-GB"/>
        </w:rPr>
        <w:t xml:space="preserve"> </w:t>
      </w:r>
      <w:r w:rsidRPr="007B3AB8">
        <w:rPr>
          <w:lang w:val="en-GB"/>
        </w:rPr>
        <w:t>personal relationship</w:t>
      </w:r>
      <w:r w:rsidR="00E66F98">
        <w:rPr>
          <w:lang w:val="en-GB"/>
        </w:rPr>
        <w:t xml:space="preserve"> with the company</w:t>
      </w:r>
      <w:r w:rsidRPr="007B3AB8">
        <w:rPr>
          <w:lang w:val="en-GB"/>
        </w:rPr>
        <w:t xml:space="preserve">. He expressed an interest in continuing this relationship with EJ but made it clear that it was contingent on top-notch support and </w:t>
      </w:r>
      <w:r w:rsidR="008A25F7" w:rsidRPr="007B3AB8">
        <w:rPr>
          <w:lang w:val="en-GB"/>
        </w:rPr>
        <w:t>favourable</w:t>
      </w:r>
      <w:r w:rsidRPr="007B3AB8">
        <w:rPr>
          <w:lang w:val="en-GB"/>
        </w:rPr>
        <w:t xml:space="preserve"> commissions for him.</w:t>
      </w:r>
    </w:p>
    <w:p w14:paraId="12DE0816" w14:textId="7F8B3F18" w:rsidR="00047CA5" w:rsidRPr="007B3AB8" w:rsidRDefault="00047CA5" w:rsidP="00047CA5">
      <w:pPr>
        <w:pStyle w:val="BodyTextMain"/>
        <w:rPr>
          <w:lang w:val="en-GB"/>
        </w:rPr>
      </w:pPr>
    </w:p>
    <w:p w14:paraId="1C008763" w14:textId="77777777" w:rsidR="00047CA5" w:rsidRPr="007B3AB8" w:rsidRDefault="00047CA5" w:rsidP="00047CA5">
      <w:pPr>
        <w:pStyle w:val="BodyTextMain"/>
        <w:rPr>
          <w:lang w:val="en-GB"/>
        </w:rPr>
      </w:pPr>
    </w:p>
    <w:p w14:paraId="6AE8F567" w14:textId="2393DE82" w:rsidR="00047CA5" w:rsidRPr="007B3AB8" w:rsidRDefault="00047CA5" w:rsidP="00047CA5">
      <w:pPr>
        <w:pStyle w:val="Casehead1"/>
        <w:rPr>
          <w:lang w:val="en-GB"/>
        </w:rPr>
      </w:pPr>
      <w:r w:rsidRPr="007B3AB8">
        <w:rPr>
          <w:lang w:val="en-GB"/>
        </w:rPr>
        <w:t xml:space="preserve">Relevant </w:t>
      </w:r>
      <w:r w:rsidR="00196D22">
        <w:rPr>
          <w:lang w:val="en-GB"/>
        </w:rPr>
        <w:t>Mergers-and-Acquisitions</w:t>
      </w:r>
      <w:r w:rsidRPr="007B3AB8">
        <w:rPr>
          <w:lang w:val="en-GB"/>
        </w:rPr>
        <w:t xml:space="preserve"> Data </w:t>
      </w:r>
      <w:r w:rsidR="00782DB4">
        <w:rPr>
          <w:lang w:val="en-GB"/>
        </w:rPr>
        <w:t>and</w:t>
      </w:r>
      <w:r w:rsidRPr="007B3AB8">
        <w:rPr>
          <w:lang w:val="en-GB"/>
        </w:rPr>
        <w:t xml:space="preserve"> Strategic Notes</w:t>
      </w:r>
    </w:p>
    <w:p w14:paraId="26DC5E72" w14:textId="77777777" w:rsidR="00047CA5" w:rsidRPr="007B3AB8" w:rsidRDefault="00047CA5" w:rsidP="00047CA5">
      <w:pPr>
        <w:pStyle w:val="BodyTextMain"/>
        <w:rPr>
          <w:lang w:val="en-GB"/>
        </w:rPr>
      </w:pPr>
    </w:p>
    <w:p w14:paraId="061B6037" w14:textId="2EE8211C" w:rsidR="00047CA5" w:rsidRPr="007B3AB8" w:rsidRDefault="00047CA5" w:rsidP="00047CA5">
      <w:pPr>
        <w:pStyle w:val="BodyTextMain"/>
        <w:rPr>
          <w:lang w:val="en-GB"/>
        </w:rPr>
      </w:pPr>
      <w:r w:rsidRPr="007B3AB8">
        <w:rPr>
          <w:lang w:val="en-GB"/>
        </w:rPr>
        <w:t>Gordon’s analyst had done research on similarly sized small private equity deals in the travel industry and found critical information. First, risk-adjusted discount rates for comparable small travel industry acquisitions were quite high, underscoring the riskiness of deals like these. Based on this information, the analyst recommended a discount rate of 20</w:t>
      </w:r>
      <w:r w:rsidR="006160EA">
        <w:rPr>
          <w:lang w:val="en-GB"/>
        </w:rPr>
        <w:t xml:space="preserve"> per cent</w:t>
      </w:r>
      <w:r w:rsidRPr="007B3AB8">
        <w:rPr>
          <w:lang w:val="en-GB"/>
        </w:rPr>
        <w:t xml:space="preserve"> but suggested that 25</w:t>
      </w:r>
      <w:r w:rsidR="006160EA">
        <w:rPr>
          <w:lang w:val="en-GB"/>
        </w:rPr>
        <w:t xml:space="preserve"> per cent</w:t>
      </w:r>
      <w:r w:rsidRPr="007B3AB8">
        <w:rPr>
          <w:lang w:val="en-GB"/>
        </w:rPr>
        <w:t xml:space="preserve"> or higher may be appropriate in circumstances where the firm may not thrive in the absence of its founder. Stated another way, </w:t>
      </w:r>
      <w:r w:rsidR="002720CE">
        <w:rPr>
          <w:lang w:val="en-GB"/>
        </w:rPr>
        <w:t>he</w:t>
      </w:r>
      <w:r w:rsidRPr="007B3AB8">
        <w:rPr>
          <w:lang w:val="en-GB"/>
        </w:rPr>
        <w:t xml:space="preserve"> recommended </w:t>
      </w:r>
      <w:r w:rsidR="0010329A">
        <w:rPr>
          <w:lang w:val="en-GB"/>
        </w:rPr>
        <w:t xml:space="preserve">that the </w:t>
      </w:r>
      <w:r w:rsidRPr="007B3AB8">
        <w:rPr>
          <w:lang w:val="en-GB"/>
        </w:rPr>
        <w:t xml:space="preserve">forward price-to-earnings multiple be no higher than </w:t>
      </w:r>
      <w:r w:rsidR="00615F0D">
        <w:rPr>
          <w:lang w:val="en-GB"/>
        </w:rPr>
        <w:t>four</w:t>
      </w:r>
      <w:r w:rsidRPr="007B3AB8">
        <w:rPr>
          <w:lang w:val="en-GB"/>
        </w:rPr>
        <w:t xml:space="preserve"> or </w:t>
      </w:r>
      <w:r w:rsidR="00615F0D">
        <w:rPr>
          <w:lang w:val="en-GB"/>
        </w:rPr>
        <w:t>five</w:t>
      </w:r>
      <w:r w:rsidRPr="007B3AB8">
        <w:rPr>
          <w:lang w:val="en-GB"/>
        </w:rPr>
        <w:t>.</w:t>
      </w:r>
    </w:p>
    <w:p w14:paraId="6346D1C1" w14:textId="77777777" w:rsidR="00047CA5" w:rsidRPr="007B3AB8" w:rsidRDefault="00047CA5" w:rsidP="00047CA5">
      <w:pPr>
        <w:pStyle w:val="BodyTextMain"/>
        <w:rPr>
          <w:lang w:val="en-GB"/>
        </w:rPr>
      </w:pPr>
    </w:p>
    <w:p w14:paraId="2EE9C6A9" w14:textId="7ACBF884" w:rsidR="00047CA5" w:rsidRPr="007B3AB8" w:rsidRDefault="00047CA5" w:rsidP="00047CA5">
      <w:pPr>
        <w:pStyle w:val="BodyTextMain"/>
        <w:rPr>
          <w:lang w:val="en-GB"/>
        </w:rPr>
      </w:pPr>
      <w:r w:rsidRPr="007B3AB8">
        <w:rPr>
          <w:lang w:val="en-GB"/>
        </w:rPr>
        <w:t>Another difficulty in creating a valuation was projecting future revenues. There were no obvious safari industry trends as of late 2015. The industry had grown rapidly after the financial crisis of 2008</w:t>
      </w:r>
      <w:r w:rsidR="00BF19A3">
        <w:rPr>
          <w:lang w:val="en-GB"/>
        </w:rPr>
        <w:t>–</w:t>
      </w:r>
      <w:r w:rsidRPr="007B3AB8">
        <w:rPr>
          <w:lang w:val="en-GB"/>
        </w:rPr>
        <w:t>09 ended.</w:t>
      </w:r>
      <w:r w:rsidRPr="007B3AB8">
        <w:rPr>
          <w:rStyle w:val="FootnoteReference"/>
          <w:lang w:val="en-GB"/>
        </w:rPr>
        <w:footnoteReference w:id="18"/>
      </w:r>
      <w:r w:rsidRPr="007B3AB8">
        <w:rPr>
          <w:lang w:val="en-GB"/>
        </w:rPr>
        <w:t xml:space="preserve"> </w:t>
      </w:r>
      <w:r w:rsidR="00A773A1">
        <w:rPr>
          <w:lang w:val="en-GB"/>
        </w:rPr>
        <w:t>Judging</w:t>
      </w:r>
      <w:r w:rsidR="00A773A1" w:rsidRPr="007B3AB8">
        <w:rPr>
          <w:lang w:val="en-GB"/>
        </w:rPr>
        <w:t xml:space="preserve"> by safari coverage in magazines such as </w:t>
      </w:r>
      <w:r w:rsidR="00A773A1" w:rsidRPr="005676E3">
        <w:rPr>
          <w:i/>
          <w:iCs/>
          <w:lang w:val="en-GB"/>
        </w:rPr>
        <w:t>Travel + Leisure</w:t>
      </w:r>
      <w:r w:rsidR="00A773A1" w:rsidRPr="007B3AB8">
        <w:rPr>
          <w:lang w:val="en-GB"/>
        </w:rPr>
        <w:t xml:space="preserve"> and </w:t>
      </w:r>
      <w:r w:rsidR="00A773A1" w:rsidRPr="005676E3">
        <w:rPr>
          <w:i/>
          <w:iCs/>
        </w:rPr>
        <w:t>Condé Nast Traveler</w:t>
      </w:r>
      <w:r w:rsidR="004A5935">
        <w:t>,</w:t>
      </w:r>
      <w:r w:rsidR="00A773A1" w:rsidRPr="007B3AB8">
        <w:rPr>
          <w:lang w:val="en-GB"/>
        </w:rPr>
        <w:t xml:space="preserve"> </w:t>
      </w:r>
      <w:r w:rsidR="004A5935">
        <w:rPr>
          <w:lang w:val="en-GB"/>
        </w:rPr>
        <w:t xml:space="preserve">safaris </w:t>
      </w:r>
      <w:r w:rsidRPr="007B3AB8">
        <w:rPr>
          <w:lang w:val="en-GB"/>
        </w:rPr>
        <w:t>were still popular vacation choices</w:t>
      </w:r>
      <w:r w:rsidR="004A5935">
        <w:rPr>
          <w:lang w:val="en-GB"/>
        </w:rPr>
        <w:t>; however,</w:t>
      </w:r>
      <w:r w:rsidRPr="007B3AB8">
        <w:rPr>
          <w:lang w:val="en-GB"/>
        </w:rPr>
        <w:t xml:space="preserve"> no one had a clear picture of whether safaris would remain trendy or fade over time as other vacation options became popular. Therefore, </w:t>
      </w:r>
      <w:r w:rsidR="00961D76">
        <w:rPr>
          <w:lang w:val="en-GB"/>
        </w:rPr>
        <w:t xml:space="preserve">rather than </w:t>
      </w:r>
      <w:r w:rsidR="00961D76" w:rsidRPr="007B3AB8">
        <w:rPr>
          <w:lang w:val="en-GB"/>
        </w:rPr>
        <w:t xml:space="preserve">trying to predict </w:t>
      </w:r>
      <w:r w:rsidR="00961D76">
        <w:rPr>
          <w:lang w:val="en-GB"/>
        </w:rPr>
        <w:t>above-</w:t>
      </w:r>
      <w:r w:rsidR="00961D76">
        <w:rPr>
          <w:lang w:val="en-GB"/>
        </w:rPr>
        <w:lastRenderedPageBreak/>
        <w:t>average</w:t>
      </w:r>
      <w:r w:rsidR="00961D76" w:rsidRPr="007B3AB8">
        <w:rPr>
          <w:lang w:val="en-GB"/>
        </w:rPr>
        <w:t xml:space="preserve"> growth</w:t>
      </w:r>
      <w:r w:rsidR="00961D76">
        <w:rPr>
          <w:lang w:val="en-GB"/>
        </w:rPr>
        <w:t>,</w:t>
      </w:r>
      <w:r w:rsidR="00961D76" w:rsidRPr="007B3AB8">
        <w:rPr>
          <w:lang w:val="en-GB"/>
        </w:rPr>
        <w:t xml:space="preserve"> </w:t>
      </w:r>
      <w:r w:rsidRPr="007B3AB8">
        <w:rPr>
          <w:lang w:val="en-GB"/>
        </w:rPr>
        <w:t>the analyst recommended using no more than a conservative 3</w:t>
      </w:r>
      <w:r w:rsidR="00B67974">
        <w:rPr>
          <w:lang w:val="en-GB"/>
        </w:rPr>
        <w:t xml:space="preserve"> per cent</w:t>
      </w:r>
      <w:r w:rsidRPr="007B3AB8">
        <w:rPr>
          <w:lang w:val="en-GB"/>
        </w:rPr>
        <w:t xml:space="preserve"> annual growth rate to match long-term trends in the travel industry.</w:t>
      </w:r>
    </w:p>
    <w:p w14:paraId="59770A4C" w14:textId="77777777" w:rsidR="00047CA5" w:rsidRPr="007B3AB8" w:rsidRDefault="00047CA5" w:rsidP="00047CA5">
      <w:pPr>
        <w:pStyle w:val="BodyTextMain"/>
        <w:rPr>
          <w:lang w:val="en-GB"/>
        </w:rPr>
      </w:pPr>
    </w:p>
    <w:p w14:paraId="46D2FBB2" w14:textId="632EC41C" w:rsidR="00047CA5" w:rsidRPr="007B3AB8" w:rsidRDefault="00047CA5" w:rsidP="00047CA5">
      <w:pPr>
        <w:pStyle w:val="BodyTextMain"/>
        <w:rPr>
          <w:lang w:val="en-GB"/>
        </w:rPr>
      </w:pPr>
      <w:r w:rsidRPr="007B3AB8">
        <w:rPr>
          <w:lang w:val="en-GB"/>
        </w:rPr>
        <w:t>In discussions with Gordon, the analyst had also identified possible sources of synergies. The first was a reduction in marketing expenses. EJ had more</w:t>
      </w:r>
      <w:r w:rsidR="00782DB4">
        <w:rPr>
          <w:lang w:val="en-GB"/>
        </w:rPr>
        <w:t xml:space="preserve"> </w:t>
      </w:r>
      <w:r w:rsidRPr="007B3AB8">
        <w:rPr>
          <w:lang w:val="en-GB"/>
        </w:rPr>
        <w:t>efficient marketing practices than SSI</w:t>
      </w:r>
      <w:r w:rsidR="00782DB4">
        <w:rPr>
          <w:lang w:val="en-GB"/>
        </w:rPr>
        <w:t>,</w:t>
      </w:r>
      <w:r w:rsidRPr="007B3AB8">
        <w:rPr>
          <w:lang w:val="en-GB"/>
        </w:rPr>
        <w:t xml:space="preserve"> based on </w:t>
      </w:r>
      <w:r w:rsidR="00782DB4">
        <w:rPr>
          <w:lang w:val="en-GB"/>
        </w:rPr>
        <w:t>EJ’s</w:t>
      </w:r>
      <w:r w:rsidRPr="007B3AB8">
        <w:rPr>
          <w:lang w:val="en-GB"/>
        </w:rPr>
        <w:t xml:space="preserve"> CRM software</w:t>
      </w:r>
      <w:r w:rsidR="00782DB4">
        <w:rPr>
          <w:lang w:val="en-GB"/>
        </w:rPr>
        <w:t>;</w:t>
      </w:r>
      <w:r w:rsidRPr="007B3AB8">
        <w:rPr>
          <w:lang w:val="en-GB"/>
        </w:rPr>
        <w:t xml:space="preserve"> therefore</w:t>
      </w:r>
      <w:r w:rsidR="00782DB4">
        <w:rPr>
          <w:lang w:val="en-GB"/>
        </w:rPr>
        <w:t>,</w:t>
      </w:r>
      <w:r w:rsidRPr="007B3AB8">
        <w:rPr>
          <w:lang w:val="en-GB"/>
        </w:rPr>
        <w:t xml:space="preserve"> Gordon expected to save 25</w:t>
      </w:r>
      <w:r w:rsidR="007A3F16">
        <w:rPr>
          <w:lang w:val="en-GB"/>
        </w:rPr>
        <w:t xml:space="preserve"> per cent</w:t>
      </w:r>
      <w:r w:rsidRPr="007B3AB8">
        <w:rPr>
          <w:lang w:val="en-GB"/>
        </w:rPr>
        <w:t xml:space="preserve"> on future marketing costs. The second area of synergies </w:t>
      </w:r>
      <w:r w:rsidR="004D43C1">
        <w:rPr>
          <w:lang w:val="en-GB"/>
        </w:rPr>
        <w:t>was</w:t>
      </w:r>
      <w:r w:rsidR="004D43C1" w:rsidRPr="007B3AB8">
        <w:rPr>
          <w:lang w:val="en-GB"/>
        </w:rPr>
        <w:t xml:space="preserve"> </w:t>
      </w:r>
      <w:r w:rsidRPr="007B3AB8">
        <w:rPr>
          <w:lang w:val="en-GB"/>
        </w:rPr>
        <w:t xml:space="preserve">telephone </w:t>
      </w:r>
      <w:r w:rsidR="004D43C1">
        <w:rPr>
          <w:lang w:val="en-GB"/>
        </w:rPr>
        <w:t>and Internet</w:t>
      </w:r>
      <w:r w:rsidRPr="007B3AB8">
        <w:rPr>
          <w:lang w:val="en-GB"/>
        </w:rPr>
        <w:t xml:space="preserve"> expenses. EJ had a particularly </w:t>
      </w:r>
      <w:r w:rsidR="001206AE" w:rsidRPr="007B3AB8">
        <w:rPr>
          <w:lang w:val="en-GB"/>
        </w:rPr>
        <w:t>favourable</w:t>
      </w:r>
      <w:r w:rsidRPr="007B3AB8">
        <w:rPr>
          <w:lang w:val="en-GB"/>
        </w:rPr>
        <w:t xml:space="preserve"> deal with a national </w:t>
      </w:r>
      <w:r w:rsidR="00206147">
        <w:rPr>
          <w:lang w:val="en-GB"/>
        </w:rPr>
        <w:t>communications service</w:t>
      </w:r>
      <w:r w:rsidR="00206147" w:rsidRPr="007B3AB8">
        <w:rPr>
          <w:lang w:val="en-GB"/>
        </w:rPr>
        <w:t xml:space="preserve"> </w:t>
      </w:r>
      <w:r w:rsidRPr="007B3AB8">
        <w:rPr>
          <w:lang w:val="en-GB"/>
        </w:rPr>
        <w:t xml:space="preserve">provider and estimated </w:t>
      </w:r>
      <w:r w:rsidR="00652D5A">
        <w:rPr>
          <w:lang w:val="en-GB"/>
        </w:rPr>
        <w:t xml:space="preserve">that </w:t>
      </w:r>
      <w:r w:rsidRPr="007B3AB8">
        <w:rPr>
          <w:lang w:val="en-GB"/>
        </w:rPr>
        <w:t>she could pay only $120</w:t>
      </w:r>
      <w:r w:rsidR="00E92ADA">
        <w:rPr>
          <w:lang w:val="en-GB"/>
        </w:rPr>
        <w:t xml:space="preserve"> per </w:t>
      </w:r>
      <w:r w:rsidRPr="007B3AB8">
        <w:rPr>
          <w:lang w:val="en-GB"/>
        </w:rPr>
        <w:t xml:space="preserve">month total for all SSI employees. The final area of synergies was </w:t>
      </w:r>
      <w:r w:rsidR="00784ECB" w:rsidRPr="007B3AB8">
        <w:rPr>
          <w:lang w:val="en-GB"/>
        </w:rPr>
        <w:t>labour</w:t>
      </w:r>
      <w:r w:rsidRPr="007B3AB8">
        <w:rPr>
          <w:lang w:val="en-GB"/>
        </w:rPr>
        <w:t xml:space="preserve">. EJ’s </w:t>
      </w:r>
      <w:r w:rsidR="00784ECB">
        <w:rPr>
          <w:lang w:val="en-GB"/>
        </w:rPr>
        <w:t>more-efficient</w:t>
      </w:r>
      <w:r w:rsidRPr="007B3AB8">
        <w:rPr>
          <w:lang w:val="en-GB"/>
        </w:rPr>
        <w:t xml:space="preserve"> work practices, aided by software, led Gordon to estimate </w:t>
      </w:r>
      <w:r w:rsidR="004D44F8">
        <w:rPr>
          <w:lang w:val="en-GB"/>
        </w:rPr>
        <w:t>a</w:t>
      </w:r>
      <w:r w:rsidRPr="007B3AB8">
        <w:rPr>
          <w:lang w:val="en-GB"/>
        </w:rPr>
        <w:t xml:space="preserve"> long-term reduction in </w:t>
      </w:r>
      <w:r w:rsidR="00967C00" w:rsidRPr="007B3AB8">
        <w:rPr>
          <w:lang w:val="en-GB"/>
        </w:rPr>
        <w:t>labour</w:t>
      </w:r>
      <w:r w:rsidRPr="007B3AB8">
        <w:rPr>
          <w:lang w:val="en-GB"/>
        </w:rPr>
        <w:t xml:space="preserve"> costs for SSI</w:t>
      </w:r>
      <w:r w:rsidR="004D44F8">
        <w:rPr>
          <w:lang w:val="en-GB"/>
        </w:rPr>
        <w:t xml:space="preserve"> </w:t>
      </w:r>
      <w:r w:rsidR="00793E4D">
        <w:rPr>
          <w:lang w:val="en-GB"/>
        </w:rPr>
        <w:t xml:space="preserve">of </w:t>
      </w:r>
      <w:r w:rsidR="004D44F8">
        <w:rPr>
          <w:lang w:val="en-GB"/>
        </w:rPr>
        <w:t>at least 15 per cent</w:t>
      </w:r>
      <w:r w:rsidRPr="007B3AB8">
        <w:rPr>
          <w:lang w:val="en-GB"/>
        </w:rPr>
        <w:t>.</w:t>
      </w:r>
    </w:p>
    <w:p w14:paraId="270EBFB2" w14:textId="77777777" w:rsidR="00047CA5" w:rsidRPr="007B3AB8" w:rsidRDefault="00047CA5" w:rsidP="00047CA5">
      <w:pPr>
        <w:pStyle w:val="BodyTextMain"/>
        <w:rPr>
          <w:lang w:val="en-GB"/>
        </w:rPr>
      </w:pPr>
    </w:p>
    <w:p w14:paraId="7BDCD5F2" w14:textId="4B357B94" w:rsidR="00047CA5" w:rsidRPr="007B3AB8" w:rsidRDefault="00047CA5" w:rsidP="00047CA5">
      <w:pPr>
        <w:pStyle w:val="BodyTextMain"/>
        <w:rPr>
          <w:lang w:val="en-GB"/>
        </w:rPr>
      </w:pPr>
      <w:r w:rsidRPr="007B3AB8">
        <w:rPr>
          <w:lang w:val="en-GB"/>
        </w:rPr>
        <w:t xml:space="preserve">The final </w:t>
      </w:r>
      <w:r w:rsidR="00782DB4">
        <w:rPr>
          <w:lang w:val="en-GB"/>
        </w:rPr>
        <w:t>factor</w:t>
      </w:r>
      <w:r w:rsidR="00EC1DF4" w:rsidRPr="007B3AB8">
        <w:rPr>
          <w:lang w:val="en-GB"/>
        </w:rPr>
        <w:t xml:space="preserve"> </w:t>
      </w:r>
      <w:r w:rsidRPr="007B3AB8">
        <w:rPr>
          <w:lang w:val="en-GB"/>
        </w:rPr>
        <w:t xml:space="preserve">the analyst considered </w:t>
      </w:r>
      <w:r w:rsidR="00EC1DF4">
        <w:rPr>
          <w:lang w:val="en-GB"/>
        </w:rPr>
        <w:t>was</w:t>
      </w:r>
      <w:r w:rsidR="00EC1DF4" w:rsidRPr="007B3AB8">
        <w:rPr>
          <w:lang w:val="en-GB"/>
        </w:rPr>
        <w:t xml:space="preserve"> </w:t>
      </w:r>
      <w:r w:rsidRPr="007B3AB8">
        <w:rPr>
          <w:lang w:val="en-GB"/>
        </w:rPr>
        <w:t xml:space="preserve">the transaction costs to complete the deal. Gordon knew that if she moved forward with the </w:t>
      </w:r>
      <w:r w:rsidR="0035794E">
        <w:rPr>
          <w:lang w:val="en-GB"/>
        </w:rPr>
        <w:t>purchase</w:t>
      </w:r>
      <w:r w:rsidRPr="007B3AB8">
        <w:rPr>
          <w:lang w:val="en-GB"/>
        </w:rPr>
        <w:t xml:space="preserve">, she would add a great deal of work to her plate. </w:t>
      </w:r>
      <w:r w:rsidR="009C71B9">
        <w:rPr>
          <w:lang w:val="en-GB"/>
        </w:rPr>
        <w:t>None of Gordon’s</w:t>
      </w:r>
      <w:r w:rsidRPr="007B3AB8">
        <w:rPr>
          <w:lang w:val="en-GB"/>
        </w:rPr>
        <w:t xml:space="preserve"> over </w:t>
      </w:r>
      <w:r w:rsidR="0074192C">
        <w:rPr>
          <w:lang w:val="en-GB"/>
        </w:rPr>
        <w:t>10</w:t>
      </w:r>
      <w:r w:rsidR="0074192C" w:rsidRPr="007B3AB8">
        <w:rPr>
          <w:lang w:val="en-GB"/>
        </w:rPr>
        <w:t xml:space="preserve"> </w:t>
      </w:r>
      <w:r w:rsidRPr="007B3AB8">
        <w:rPr>
          <w:lang w:val="en-GB"/>
        </w:rPr>
        <w:t xml:space="preserve">employees were </w:t>
      </w:r>
      <w:r w:rsidR="00B47008">
        <w:rPr>
          <w:lang w:val="en-GB"/>
        </w:rPr>
        <w:t xml:space="preserve">sufficiently </w:t>
      </w:r>
      <w:r w:rsidRPr="007B3AB8">
        <w:rPr>
          <w:lang w:val="en-GB"/>
        </w:rPr>
        <w:t>versed in management for her to delegate the hard work of integrating EJ and SSI. As such, she knew that she would be nearly alone in the post-acquisition integration process. At a minimum, she expected the integration to take the equivalent of three months of her full-time work. After that period, she still had to deal with the increased difficulty of managing two or three new employees.</w:t>
      </w:r>
    </w:p>
    <w:p w14:paraId="62088D4A" w14:textId="6A9684FF" w:rsidR="00047CA5" w:rsidRPr="007B3AB8" w:rsidRDefault="00047CA5" w:rsidP="00047CA5">
      <w:pPr>
        <w:pStyle w:val="BodyTextMain"/>
        <w:rPr>
          <w:lang w:val="en-GB"/>
        </w:rPr>
      </w:pPr>
    </w:p>
    <w:p w14:paraId="2B792AEA" w14:textId="77777777" w:rsidR="00047CA5" w:rsidRPr="007B3AB8" w:rsidRDefault="00047CA5" w:rsidP="00047CA5">
      <w:pPr>
        <w:pStyle w:val="BodyTextMain"/>
        <w:rPr>
          <w:lang w:val="en-GB"/>
        </w:rPr>
      </w:pPr>
    </w:p>
    <w:p w14:paraId="7D212AC4" w14:textId="77777777" w:rsidR="00047CA5" w:rsidRPr="007B3AB8" w:rsidRDefault="00047CA5" w:rsidP="00047CA5">
      <w:pPr>
        <w:pStyle w:val="Casehead1"/>
        <w:rPr>
          <w:lang w:val="en-GB"/>
        </w:rPr>
      </w:pPr>
      <w:r w:rsidRPr="007B3AB8">
        <w:rPr>
          <w:lang w:val="en-GB"/>
        </w:rPr>
        <w:t>CLOSING THE DEAL?</w:t>
      </w:r>
    </w:p>
    <w:p w14:paraId="04475494" w14:textId="77777777" w:rsidR="00047CA5" w:rsidRPr="007B3AB8" w:rsidRDefault="00047CA5" w:rsidP="00047CA5">
      <w:pPr>
        <w:pStyle w:val="BodyTextMain"/>
        <w:rPr>
          <w:lang w:val="en-GB"/>
        </w:rPr>
      </w:pPr>
    </w:p>
    <w:p w14:paraId="7C72AE11" w14:textId="6951D1DE" w:rsidR="00047CA5" w:rsidRPr="007B3AB8" w:rsidRDefault="00047CA5" w:rsidP="00047CA5">
      <w:pPr>
        <w:pStyle w:val="BodyTextMain"/>
        <w:rPr>
          <w:lang w:val="en-GB"/>
        </w:rPr>
      </w:pPr>
      <w:r w:rsidRPr="007B3AB8">
        <w:rPr>
          <w:lang w:val="en-GB"/>
        </w:rPr>
        <w:t xml:space="preserve">After extensive </w:t>
      </w:r>
      <w:r w:rsidR="003307AE">
        <w:rPr>
          <w:lang w:val="en-GB"/>
        </w:rPr>
        <w:t>back-and-forth</w:t>
      </w:r>
      <w:r w:rsidRPr="007B3AB8">
        <w:rPr>
          <w:lang w:val="en-GB"/>
        </w:rPr>
        <w:t xml:space="preserve"> negotiations, the price for the deal stood at a firm $250,000. Both parties had walked away from the negotiations multiple times, and Gordon knew that there was at least one potential buyer making an offer close to this price. If she decided to close, the sale would be effective </w:t>
      </w:r>
      <w:r w:rsidR="001A4498">
        <w:rPr>
          <w:lang w:val="en-GB"/>
        </w:rPr>
        <w:t>December 31, 2015</w:t>
      </w:r>
      <w:r w:rsidRPr="007B3AB8">
        <w:rPr>
          <w:lang w:val="en-GB"/>
        </w:rPr>
        <w:t>. EJ had the funds available to make the purchase</w:t>
      </w:r>
      <w:r w:rsidR="00E1000C">
        <w:rPr>
          <w:lang w:val="en-GB"/>
        </w:rPr>
        <w:t>;</w:t>
      </w:r>
      <w:r w:rsidRPr="007B3AB8">
        <w:rPr>
          <w:lang w:val="en-GB"/>
        </w:rPr>
        <w:t xml:space="preserve"> however, spending </w:t>
      </w:r>
      <w:r w:rsidR="00FC09E1">
        <w:rPr>
          <w:lang w:val="en-GB"/>
        </w:rPr>
        <w:t>so</w:t>
      </w:r>
      <w:r w:rsidRPr="007B3AB8">
        <w:rPr>
          <w:lang w:val="en-GB"/>
        </w:rPr>
        <w:t xml:space="preserve"> much of </w:t>
      </w:r>
      <w:r w:rsidR="00B44B3F">
        <w:rPr>
          <w:lang w:val="en-GB"/>
        </w:rPr>
        <w:t>Gordon’s</w:t>
      </w:r>
      <w:r w:rsidRPr="007B3AB8">
        <w:rPr>
          <w:lang w:val="en-GB"/>
        </w:rPr>
        <w:t xml:space="preserve"> cash and time would limit </w:t>
      </w:r>
      <w:r w:rsidR="000E22B7">
        <w:rPr>
          <w:lang w:val="en-GB"/>
        </w:rPr>
        <w:t>her</w:t>
      </w:r>
      <w:r w:rsidR="00592BB0" w:rsidRPr="007B3AB8">
        <w:rPr>
          <w:lang w:val="en-GB"/>
        </w:rPr>
        <w:t xml:space="preserve"> </w:t>
      </w:r>
      <w:r w:rsidRPr="007B3AB8">
        <w:rPr>
          <w:lang w:val="en-GB"/>
        </w:rPr>
        <w:t>ability to make other strategic decisions for the next year or two.</w:t>
      </w:r>
    </w:p>
    <w:p w14:paraId="568CAE99" w14:textId="77777777" w:rsidR="00047CA5" w:rsidRPr="007B3AB8" w:rsidRDefault="00047CA5" w:rsidP="00047CA5">
      <w:pPr>
        <w:pStyle w:val="BodyTextMain"/>
        <w:rPr>
          <w:lang w:val="en-GB"/>
        </w:rPr>
      </w:pPr>
    </w:p>
    <w:p w14:paraId="6E12F720" w14:textId="710BB181" w:rsidR="00047CA5" w:rsidRPr="007B3AB8" w:rsidRDefault="00047CA5" w:rsidP="00047CA5">
      <w:pPr>
        <w:pStyle w:val="BodyTextMain"/>
        <w:rPr>
          <w:lang w:val="en-GB"/>
        </w:rPr>
      </w:pPr>
      <w:r w:rsidRPr="007B3AB8">
        <w:rPr>
          <w:lang w:val="en-GB"/>
        </w:rPr>
        <w:t xml:space="preserve">Other parts of the due diligence process had </w:t>
      </w:r>
      <w:r w:rsidR="00142C22">
        <w:rPr>
          <w:lang w:val="en-GB"/>
        </w:rPr>
        <w:t>gone</w:t>
      </w:r>
      <w:r w:rsidRPr="007B3AB8">
        <w:rPr>
          <w:lang w:val="en-GB"/>
        </w:rPr>
        <w:t xml:space="preserve"> smoothly. SSI’s suppliers—many of whom EJ also used—</w:t>
      </w:r>
      <w:r w:rsidR="009269D6">
        <w:rPr>
          <w:lang w:val="en-GB"/>
        </w:rPr>
        <w:t xml:space="preserve">had </w:t>
      </w:r>
      <w:r w:rsidRPr="007B3AB8">
        <w:rPr>
          <w:lang w:val="en-GB"/>
        </w:rPr>
        <w:t xml:space="preserve">reported that SSI had a spotless reputation for customer service and trip quality. SSI employees appeared to be capable and willing to work within the EJ environment. In addition, SSI’s accounting and </w:t>
      </w:r>
      <w:r w:rsidR="006F5A46">
        <w:rPr>
          <w:lang w:val="en-GB"/>
        </w:rPr>
        <w:t>record-keeping</w:t>
      </w:r>
      <w:r w:rsidRPr="007B3AB8">
        <w:rPr>
          <w:lang w:val="en-GB"/>
        </w:rPr>
        <w:t xml:space="preserve"> </w:t>
      </w:r>
      <w:r w:rsidR="004E3FF4">
        <w:rPr>
          <w:lang w:val="en-GB"/>
        </w:rPr>
        <w:t xml:space="preserve">were </w:t>
      </w:r>
      <w:r w:rsidRPr="007B3AB8">
        <w:rPr>
          <w:lang w:val="en-GB"/>
        </w:rPr>
        <w:t xml:space="preserve">top notch. </w:t>
      </w:r>
      <w:r w:rsidR="00247DA8">
        <w:rPr>
          <w:lang w:val="en-GB"/>
        </w:rPr>
        <w:t>SSI</w:t>
      </w:r>
      <w:r w:rsidR="00247DA8" w:rsidRPr="007B3AB8">
        <w:rPr>
          <w:lang w:val="en-GB"/>
        </w:rPr>
        <w:t xml:space="preserve"> </w:t>
      </w:r>
      <w:r w:rsidRPr="007B3AB8">
        <w:rPr>
          <w:lang w:val="en-GB"/>
        </w:rPr>
        <w:t xml:space="preserve">had been forthright in opening their books for inspection as well as answering questions about their future bookings. Gordon discovered that SSI had secured </w:t>
      </w:r>
      <w:r w:rsidR="00B661AD">
        <w:rPr>
          <w:lang w:val="en-GB"/>
        </w:rPr>
        <w:t>a great deal of</w:t>
      </w:r>
      <w:r w:rsidRPr="007B3AB8">
        <w:rPr>
          <w:lang w:val="en-GB"/>
        </w:rPr>
        <w:t xml:space="preserve"> advance bookings, including deposits. In other words, </w:t>
      </w:r>
      <w:r w:rsidR="00FF20C8">
        <w:rPr>
          <w:lang w:val="en-GB"/>
        </w:rPr>
        <w:t xml:space="preserve">if the business </w:t>
      </w:r>
      <w:r w:rsidR="00DB7E27">
        <w:rPr>
          <w:lang w:val="en-GB"/>
        </w:rPr>
        <w:t xml:space="preserve">was </w:t>
      </w:r>
      <w:r w:rsidR="00FF20C8">
        <w:rPr>
          <w:lang w:val="en-GB"/>
        </w:rPr>
        <w:t>sold</w:t>
      </w:r>
      <w:r w:rsidRPr="007B3AB8">
        <w:rPr>
          <w:lang w:val="en-GB"/>
        </w:rPr>
        <w:t xml:space="preserve">, these bookings would transfer to </w:t>
      </w:r>
      <w:r w:rsidR="00FF20C8">
        <w:rPr>
          <w:lang w:val="en-GB"/>
        </w:rPr>
        <w:t>EJ</w:t>
      </w:r>
      <w:r w:rsidRPr="007B3AB8">
        <w:rPr>
          <w:lang w:val="en-GB"/>
        </w:rPr>
        <w:t xml:space="preserve">, </w:t>
      </w:r>
      <w:r w:rsidR="00855471">
        <w:rPr>
          <w:lang w:val="en-GB"/>
        </w:rPr>
        <w:t>all but guaranteeing</w:t>
      </w:r>
      <w:r w:rsidRPr="007B3AB8">
        <w:rPr>
          <w:lang w:val="en-GB"/>
        </w:rPr>
        <w:t xml:space="preserve"> nearly </w:t>
      </w:r>
      <w:r w:rsidR="00BF073E">
        <w:rPr>
          <w:lang w:val="en-GB"/>
        </w:rPr>
        <w:t xml:space="preserve">$1 million </w:t>
      </w:r>
      <w:r w:rsidRPr="007B3AB8">
        <w:rPr>
          <w:lang w:val="en-GB"/>
        </w:rPr>
        <w:t xml:space="preserve">of future revenues </w:t>
      </w:r>
      <w:r w:rsidR="00CE341A">
        <w:rPr>
          <w:lang w:val="en-GB"/>
        </w:rPr>
        <w:t>(see Exhibit 2).</w:t>
      </w:r>
    </w:p>
    <w:p w14:paraId="689F74C4" w14:textId="77777777" w:rsidR="00047CA5" w:rsidRPr="007B3AB8" w:rsidRDefault="00047CA5" w:rsidP="00047CA5">
      <w:pPr>
        <w:pStyle w:val="BodyTextMain"/>
        <w:rPr>
          <w:lang w:val="en-GB"/>
        </w:rPr>
      </w:pPr>
    </w:p>
    <w:p w14:paraId="484F8401" w14:textId="766476F3" w:rsidR="00047CA5" w:rsidRPr="007B3AB8" w:rsidRDefault="00047CA5" w:rsidP="00047CA5">
      <w:pPr>
        <w:pStyle w:val="BodyTextMain"/>
        <w:rPr>
          <w:lang w:val="en-GB"/>
        </w:rPr>
      </w:pPr>
      <w:r w:rsidRPr="007B3AB8">
        <w:rPr>
          <w:lang w:val="en-GB"/>
        </w:rPr>
        <w:t xml:space="preserve">Based on </w:t>
      </w:r>
      <w:r w:rsidR="007D20F7">
        <w:rPr>
          <w:lang w:val="en-GB"/>
        </w:rPr>
        <w:t>Jacobs’s</w:t>
      </w:r>
      <w:r w:rsidRPr="007B3AB8">
        <w:rPr>
          <w:lang w:val="en-GB"/>
        </w:rPr>
        <w:t xml:space="preserve"> planned travels after the sale and Gordon’s concerns about rapidly integrating the company, Gordon was </w:t>
      </w:r>
      <w:r w:rsidR="00DB2617">
        <w:rPr>
          <w:lang w:val="en-GB"/>
        </w:rPr>
        <w:t>worried</w:t>
      </w:r>
      <w:r w:rsidR="00DB2617" w:rsidRPr="007B3AB8">
        <w:rPr>
          <w:lang w:val="en-GB"/>
        </w:rPr>
        <w:t xml:space="preserve"> </w:t>
      </w:r>
      <w:r w:rsidRPr="007B3AB8">
        <w:rPr>
          <w:lang w:val="en-GB"/>
        </w:rPr>
        <w:t xml:space="preserve">about achieving the relationship that would be necessary to successfully </w:t>
      </w:r>
      <w:r w:rsidR="00200E6E">
        <w:rPr>
          <w:lang w:val="en-GB"/>
        </w:rPr>
        <w:t>integrate</w:t>
      </w:r>
      <w:r w:rsidR="00200E6E" w:rsidRPr="007B3AB8">
        <w:rPr>
          <w:lang w:val="en-GB"/>
        </w:rPr>
        <w:t xml:space="preserve"> </w:t>
      </w:r>
      <w:r w:rsidRPr="007B3AB8">
        <w:rPr>
          <w:lang w:val="en-GB"/>
        </w:rPr>
        <w:t xml:space="preserve">SSI with EJ. However, Jacobs did seem honestly interested in working with Gordon to patch up the communication issues they had </w:t>
      </w:r>
      <w:r w:rsidR="00B01B92">
        <w:rPr>
          <w:lang w:val="en-GB"/>
        </w:rPr>
        <w:t>had</w:t>
      </w:r>
      <w:r w:rsidRPr="007B3AB8">
        <w:rPr>
          <w:lang w:val="en-GB"/>
        </w:rPr>
        <w:t xml:space="preserve"> during the negotiation process.</w:t>
      </w:r>
    </w:p>
    <w:p w14:paraId="2D87FD6C" w14:textId="77777777" w:rsidR="00047CA5" w:rsidRPr="007B3AB8" w:rsidRDefault="00047CA5" w:rsidP="00047CA5">
      <w:pPr>
        <w:pStyle w:val="BodyTextMain"/>
        <w:rPr>
          <w:lang w:val="en-GB"/>
        </w:rPr>
      </w:pPr>
    </w:p>
    <w:p w14:paraId="5511D0A8" w14:textId="762104FD" w:rsidR="00047CA5" w:rsidRPr="007B3AB8" w:rsidRDefault="00047CA5" w:rsidP="00047CA5">
      <w:pPr>
        <w:pStyle w:val="BodyTextMain"/>
        <w:rPr>
          <w:lang w:val="en-GB"/>
        </w:rPr>
      </w:pPr>
      <w:r w:rsidRPr="007B3AB8">
        <w:rPr>
          <w:lang w:val="en-GB"/>
        </w:rPr>
        <w:t xml:space="preserve">The final issue that Gordon addressed was opportunity costs. </w:t>
      </w:r>
      <w:r w:rsidR="004276D7">
        <w:rPr>
          <w:lang w:val="en-GB"/>
        </w:rPr>
        <w:t>EJ</w:t>
      </w:r>
      <w:r w:rsidRPr="007B3AB8">
        <w:rPr>
          <w:lang w:val="en-GB"/>
        </w:rPr>
        <w:t xml:space="preserve"> had been growing at a remarkable rate, and </w:t>
      </w:r>
      <w:r w:rsidR="00555BB6">
        <w:rPr>
          <w:lang w:val="en-GB"/>
        </w:rPr>
        <w:t>Gordon</w:t>
      </w:r>
      <w:r w:rsidR="00555BB6" w:rsidRPr="007B3AB8">
        <w:rPr>
          <w:lang w:val="en-GB"/>
        </w:rPr>
        <w:t xml:space="preserve"> </w:t>
      </w:r>
      <w:r w:rsidRPr="007B3AB8">
        <w:rPr>
          <w:lang w:val="en-GB"/>
        </w:rPr>
        <w:t xml:space="preserve">was worried about letting her attention wander. On the other hand, EJ had the liquidity to pay for the deal in cash. Of course, doing the deal would limit and possibly even eliminate </w:t>
      </w:r>
      <w:r w:rsidR="00411235">
        <w:rPr>
          <w:lang w:val="en-GB"/>
        </w:rPr>
        <w:t>Gordon’s</w:t>
      </w:r>
      <w:r w:rsidR="00411235" w:rsidRPr="007B3AB8">
        <w:rPr>
          <w:lang w:val="en-GB"/>
        </w:rPr>
        <w:t xml:space="preserve"> </w:t>
      </w:r>
      <w:r w:rsidRPr="007B3AB8">
        <w:rPr>
          <w:lang w:val="en-GB"/>
        </w:rPr>
        <w:t>ability to invest in other aspects of her business.</w:t>
      </w:r>
    </w:p>
    <w:p w14:paraId="277E8E41" w14:textId="77777777" w:rsidR="00047CA5" w:rsidRPr="007B3AB8" w:rsidRDefault="00047CA5" w:rsidP="00047CA5">
      <w:pPr>
        <w:pStyle w:val="BodyTextMain"/>
        <w:rPr>
          <w:lang w:val="en-GB"/>
        </w:rPr>
      </w:pPr>
    </w:p>
    <w:p w14:paraId="3D24298E" w14:textId="609424BF" w:rsidR="00047CA5" w:rsidRPr="00AB17A4" w:rsidRDefault="00047CA5" w:rsidP="00047CA5">
      <w:pPr>
        <w:pStyle w:val="BodyTextMain"/>
        <w:rPr>
          <w:spacing w:val="-4"/>
          <w:lang w:val="en-GB"/>
        </w:rPr>
      </w:pPr>
      <w:r w:rsidRPr="00AB17A4">
        <w:rPr>
          <w:spacing w:val="-4"/>
          <w:lang w:val="en-GB"/>
        </w:rPr>
        <w:t>With her</w:t>
      </w:r>
      <w:r w:rsidR="00951227" w:rsidRPr="00AB17A4">
        <w:rPr>
          <w:spacing w:val="-4"/>
          <w:lang w:val="en-GB"/>
        </w:rPr>
        <w:t xml:space="preserve"> current</w:t>
      </w:r>
      <w:r w:rsidRPr="00AB17A4">
        <w:rPr>
          <w:spacing w:val="-4"/>
          <w:lang w:val="en-GB"/>
        </w:rPr>
        <w:t xml:space="preserve"> cup of coffee long gone, Gordon </w:t>
      </w:r>
      <w:r w:rsidR="00951227" w:rsidRPr="00AB17A4">
        <w:rPr>
          <w:spacing w:val="-4"/>
          <w:lang w:val="en-GB"/>
        </w:rPr>
        <w:t>poured herself another and</w:t>
      </w:r>
      <w:r w:rsidRPr="00AB17A4">
        <w:rPr>
          <w:spacing w:val="-4"/>
          <w:lang w:val="en-GB"/>
        </w:rPr>
        <w:t xml:space="preserve"> sat down to make her final decision.</w:t>
      </w:r>
    </w:p>
    <w:p w14:paraId="091B555C" w14:textId="3F845A01" w:rsidR="00047CA5" w:rsidRPr="007B3AB8" w:rsidRDefault="00047CA5">
      <w:pPr>
        <w:spacing w:after="200" w:line="276" w:lineRule="auto"/>
        <w:rPr>
          <w:rFonts w:ascii="Arial" w:hAnsi="Arial" w:cs="Arial"/>
          <w:b/>
          <w:caps/>
          <w:lang w:val="en-GB"/>
        </w:rPr>
      </w:pPr>
      <w:r w:rsidRPr="007B3AB8">
        <w:rPr>
          <w:lang w:val="en-GB"/>
        </w:rPr>
        <w:br w:type="page"/>
      </w:r>
    </w:p>
    <w:p w14:paraId="759FFEF2" w14:textId="5A387AFD" w:rsidR="00047CA5" w:rsidRPr="007B3AB8" w:rsidRDefault="00047CA5" w:rsidP="005676E3">
      <w:pPr>
        <w:pStyle w:val="Casehead1"/>
        <w:jc w:val="center"/>
        <w:rPr>
          <w:lang w:val="en-GB"/>
        </w:rPr>
      </w:pPr>
      <w:r w:rsidRPr="007B3AB8">
        <w:rPr>
          <w:lang w:val="en-GB"/>
        </w:rPr>
        <w:lastRenderedPageBreak/>
        <w:t>Exhibit 1: Safari Specialists Inc. Net Income</w:t>
      </w:r>
      <w:r w:rsidR="00B474D6">
        <w:rPr>
          <w:lang w:val="en-GB"/>
        </w:rPr>
        <w:t>,</w:t>
      </w:r>
      <w:r w:rsidRPr="007B3AB8">
        <w:rPr>
          <w:lang w:val="en-GB"/>
        </w:rPr>
        <w:t xml:space="preserve"> 2012</w:t>
      </w:r>
      <w:r w:rsidR="00B474D6">
        <w:rPr>
          <w:lang w:val="en-GB"/>
        </w:rPr>
        <w:t>–</w:t>
      </w:r>
      <w:r w:rsidRPr="007B3AB8">
        <w:rPr>
          <w:lang w:val="en-GB"/>
        </w:rPr>
        <w:t>2015</w:t>
      </w:r>
      <w:r w:rsidR="00C11565">
        <w:rPr>
          <w:lang w:val="en-GB"/>
        </w:rPr>
        <w:t xml:space="preserve"> (in US$)</w:t>
      </w:r>
    </w:p>
    <w:p w14:paraId="6BD6125F" w14:textId="77777777" w:rsidR="00047CA5" w:rsidRPr="007B3AB8" w:rsidRDefault="00047CA5" w:rsidP="00047CA5">
      <w:pPr>
        <w:rPr>
          <w:b/>
          <w:lang w:val="en-GB"/>
        </w:rPr>
      </w:pPr>
    </w:p>
    <w:tbl>
      <w:tblPr>
        <w:tblStyle w:val="TableGrid"/>
        <w:tblW w:w="7930" w:type="dxa"/>
        <w:jc w:val="center"/>
        <w:tblLayout w:type="fixed"/>
        <w:tblLook w:val="0600" w:firstRow="0" w:lastRow="0" w:firstColumn="0" w:lastColumn="0" w:noHBand="1" w:noVBand="1"/>
      </w:tblPr>
      <w:tblGrid>
        <w:gridCol w:w="3394"/>
        <w:gridCol w:w="1134"/>
        <w:gridCol w:w="1134"/>
        <w:gridCol w:w="1134"/>
        <w:gridCol w:w="1134"/>
      </w:tblGrid>
      <w:tr w:rsidR="00047CA5" w:rsidRPr="007B3AB8" w14:paraId="2C921E9F" w14:textId="77777777" w:rsidTr="000638A8">
        <w:trPr>
          <w:trHeight w:val="70"/>
          <w:jc w:val="center"/>
        </w:trPr>
        <w:tc>
          <w:tcPr>
            <w:tcW w:w="3394" w:type="dxa"/>
          </w:tcPr>
          <w:p w14:paraId="16047F8F" w14:textId="77777777" w:rsidR="00047CA5" w:rsidRPr="007B3AB8" w:rsidRDefault="00047CA5" w:rsidP="00DB66B3">
            <w:pPr>
              <w:widowControl w:val="0"/>
              <w:rPr>
                <w:rFonts w:ascii="Arial" w:hAnsi="Arial" w:cs="Arial"/>
                <w:lang w:val="en-GB"/>
              </w:rPr>
            </w:pPr>
          </w:p>
        </w:tc>
        <w:tc>
          <w:tcPr>
            <w:tcW w:w="1134" w:type="dxa"/>
            <w:vAlign w:val="center"/>
          </w:tcPr>
          <w:p w14:paraId="459E3BE2" w14:textId="77777777" w:rsidR="00047CA5" w:rsidRPr="007B3AB8" w:rsidRDefault="00047CA5" w:rsidP="005676E3">
            <w:pPr>
              <w:widowControl w:val="0"/>
              <w:jc w:val="center"/>
              <w:rPr>
                <w:rFonts w:ascii="Arial" w:hAnsi="Arial" w:cs="Arial"/>
                <w:lang w:val="en-GB"/>
              </w:rPr>
            </w:pPr>
            <w:r w:rsidRPr="007B3AB8">
              <w:rPr>
                <w:rFonts w:ascii="Arial" w:hAnsi="Arial" w:cs="Arial"/>
                <w:b/>
                <w:lang w:val="en-GB"/>
              </w:rPr>
              <w:t>2012</w:t>
            </w:r>
          </w:p>
        </w:tc>
        <w:tc>
          <w:tcPr>
            <w:tcW w:w="1134" w:type="dxa"/>
            <w:vAlign w:val="center"/>
          </w:tcPr>
          <w:p w14:paraId="626C2A03" w14:textId="77777777" w:rsidR="00047CA5" w:rsidRPr="007B3AB8" w:rsidRDefault="00047CA5" w:rsidP="005676E3">
            <w:pPr>
              <w:widowControl w:val="0"/>
              <w:jc w:val="center"/>
              <w:rPr>
                <w:rFonts w:ascii="Arial" w:hAnsi="Arial" w:cs="Arial"/>
                <w:lang w:val="en-GB"/>
              </w:rPr>
            </w:pPr>
            <w:r w:rsidRPr="007B3AB8">
              <w:rPr>
                <w:rFonts w:ascii="Arial" w:hAnsi="Arial" w:cs="Arial"/>
                <w:b/>
                <w:lang w:val="en-GB"/>
              </w:rPr>
              <w:t>2013</w:t>
            </w:r>
          </w:p>
        </w:tc>
        <w:tc>
          <w:tcPr>
            <w:tcW w:w="1134" w:type="dxa"/>
            <w:vAlign w:val="center"/>
          </w:tcPr>
          <w:p w14:paraId="6A9497EB" w14:textId="77777777" w:rsidR="00047CA5" w:rsidRPr="007B3AB8" w:rsidRDefault="00047CA5" w:rsidP="005676E3">
            <w:pPr>
              <w:widowControl w:val="0"/>
              <w:jc w:val="center"/>
              <w:rPr>
                <w:rFonts w:ascii="Arial" w:hAnsi="Arial" w:cs="Arial"/>
                <w:lang w:val="en-GB"/>
              </w:rPr>
            </w:pPr>
            <w:r w:rsidRPr="007B3AB8">
              <w:rPr>
                <w:rFonts w:ascii="Arial" w:hAnsi="Arial" w:cs="Arial"/>
                <w:b/>
                <w:lang w:val="en-GB"/>
              </w:rPr>
              <w:t>2014</w:t>
            </w:r>
          </w:p>
        </w:tc>
        <w:tc>
          <w:tcPr>
            <w:tcW w:w="1134" w:type="dxa"/>
            <w:vAlign w:val="center"/>
          </w:tcPr>
          <w:p w14:paraId="6195029D" w14:textId="337C687F" w:rsidR="00047CA5" w:rsidRPr="007B3AB8" w:rsidRDefault="00047CA5" w:rsidP="005676E3">
            <w:pPr>
              <w:widowControl w:val="0"/>
              <w:jc w:val="center"/>
              <w:rPr>
                <w:rFonts w:ascii="Arial" w:hAnsi="Arial" w:cs="Arial"/>
                <w:lang w:val="en-GB"/>
              </w:rPr>
            </w:pPr>
            <w:r w:rsidRPr="007B3AB8">
              <w:rPr>
                <w:rFonts w:ascii="Arial" w:hAnsi="Arial" w:cs="Arial"/>
                <w:b/>
                <w:lang w:val="en-GB"/>
              </w:rPr>
              <w:t>2015</w:t>
            </w:r>
            <w:r w:rsidR="00C12A39">
              <w:rPr>
                <w:rFonts w:ascii="Arial" w:hAnsi="Arial" w:cs="Arial"/>
                <w:b/>
                <w:lang w:val="en-GB"/>
              </w:rPr>
              <w:t>E</w:t>
            </w:r>
          </w:p>
        </w:tc>
      </w:tr>
      <w:tr w:rsidR="00047CA5" w:rsidRPr="007B3AB8" w14:paraId="3FA7800C" w14:textId="77777777" w:rsidTr="000638A8">
        <w:trPr>
          <w:trHeight w:val="70"/>
          <w:jc w:val="center"/>
        </w:trPr>
        <w:tc>
          <w:tcPr>
            <w:tcW w:w="3394" w:type="dxa"/>
          </w:tcPr>
          <w:p w14:paraId="7CAD8E94" w14:textId="77777777" w:rsidR="00047CA5" w:rsidRPr="007B3AB8" w:rsidRDefault="00047CA5" w:rsidP="00DB66B3">
            <w:pPr>
              <w:widowControl w:val="0"/>
              <w:rPr>
                <w:rFonts w:ascii="Arial" w:hAnsi="Arial" w:cs="Arial"/>
                <w:lang w:val="en-GB"/>
              </w:rPr>
            </w:pPr>
            <w:r w:rsidRPr="007B3AB8">
              <w:rPr>
                <w:rFonts w:ascii="Arial" w:hAnsi="Arial" w:cs="Arial"/>
                <w:b/>
                <w:lang w:val="en-GB"/>
              </w:rPr>
              <w:t>Revenue</w:t>
            </w:r>
          </w:p>
        </w:tc>
        <w:tc>
          <w:tcPr>
            <w:tcW w:w="1134" w:type="dxa"/>
          </w:tcPr>
          <w:p w14:paraId="2943B549"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859,504</w:t>
            </w:r>
          </w:p>
        </w:tc>
        <w:tc>
          <w:tcPr>
            <w:tcW w:w="1134" w:type="dxa"/>
          </w:tcPr>
          <w:p w14:paraId="258E6C31"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1,156,999</w:t>
            </w:r>
          </w:p>
        </w:tc>
        <w:tc>
          <w:tcPr>
            <w:tcW w:w="1134" w:type="dxa"/>
          </w:tcPr>
          <w:p w14:paraId="63D94FE4"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1,726,142</w:t>
            </w:r>
          </w:p>
        </w:tc>
        <w:tc>
          <w:tcPr>
            <w:tcW w:w="1134" w:type="dxa"/>
          </w:tcPr>
          <w:p w14:paraId="22DAD198"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1,600,000</w:t>
            </w:r>
          </w:p>
        </w:tc>
      </w:tr>
      <w:tr w:rsidR="00047CA5" w:rsidRPr="007B3AB8" w14:paraId="603EBAD3" w14:textId="77777777" w:rsidTr="000638A8">
        <w:trPr>
          <w:trHeight w:val="70"/>
          <w:jc w:val="center"/>
        </w:trPr>
        <w:tc>
          <w:tcPr>
            <w:tcW w:w="3394" w:type="dxa"/>
          </w:tcPr>
          <w:p w14:paraId="17E81F4F" w14:textId="77777777" w:rsidR="00047CA5" w:rsidRPr="007B3AB8" w:rsidRDefault="00047CA5" w:rsidP="00DB66B3">
            <w:pPr>
              <w:widowControl w:val="0"/>
              <w:rPr>
                <w:rFonts w:ascii="Arial" w:hAnsi="Arial" w:cs="Arial"/>
                <w:lang w:val="en-GB"/>
              </w:rPr>
            </w:pPr>
            <w:r w:rsidRPr="007B3AB8">
              <w:rPr>
                <w:rFonts w:ascii="Arial" w:hAnsi="Arial" w:cs="Arial"/>
                <w:b/>
                <w:lang w:val="en-GB"/>
              </w:rPr>
              <w:t>COGS</w:t>
            </w:r>
          </w:p>
        </w:tc>
        <w:tc>
          <w:tcPr>
            <w:tcW w:w="1134" w:type="dxa"/>
          </w:tcPr>
          <w:p w14:paraId="3F05D019"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720,998</w:t>
            </w:r>
          </w:p>
        </w:tc>
        <w:tc>
          <w:tcPr>
            <w:tcW w:w="1134" w:type="dxa"/>
          </w:tcPr>
          <w:p w14:paraId="5D0D23F9"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954,669</w:t>
            </w:r>
          </w:p>
        </w:tc>
        <w:tc>
          <w:tcPr>
            <w:tcW w:w="1134" w:type="dxa"/>
          </w:tcPr>
          <w:p w14:paraId="5C29FFF1"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1,460,582</w:t>
            </w:r>
          </w:p>
        </w:tc>
        <w:tc>
          <w:tcPr>
            <w:tcW w:w="1134" w:type="dxa"/>
          </w:tcPr>
          <w:p w14:paraId="524C9D63"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1,350,000</w:t>
            </w:r>
          </w:p>
        </w:tc>
      </w:tr>
      <w:tr w:rsidR="00047CA5" w:rsidRPr="007B3AB8" w14:paraId="2E50B89C" w14:textId="77777777" w:rsidTr="000638A8">
        <w:trPr>
          <w:trHeight w:val="70"/>
          <w:jc w:val="center"/>
        </w:trPr>
        <w:tc>
          <w:tcPr>
            <w:tcW w:w="3394" w:type="dxa"/>
          </w:tcPr>
          <w:p w14:paraId="61922504" w14:textId="77777777" w:rsidR="00047CA5" w:rsidRPr="007B3AB8" w:rsidRDefault="00047CA5" w:rsidP="00DB66B3">
            <w:pPr>
              <w:widowControl w:val="0"/>
              <w:rPr>
                <w:rFonts w:ascii="Arial" w:hAnsi="Arial" w:cs="Arial"/>
                <w:lang w:val="en-GB"/>
              </w:rPr>
            </w:pPr>
            <w:r w:rsidRPr="007B3AB8">
              <w:rPr>
                <w:rFonts w:ascii="Arial" w:hAnsi="Arial" w:cs="Arial"/>
                <w:b/>
                <w:lang w:val="en-GB"/>
              </w:rPr>
              <w:t>Gross Profit</w:t>
            </w:r>
          </w:p>
        </w:tc>
        <w:tc>
          <w:tcPr>
            <w:tcW w:w="1134" w:type="dxa"/>
          </w:tcPr>
          <w:p w14:paraId="3EA2E7AA" w14:textId="741EDB94" w:rsidR="00047CA5" w:rsidRPr="007B3AB8" w:rsidRDefault="00047CA5" w:rsidP="00DB66B3">
            <w:pPr>
              <w:widowControl w:val="0"/>
              <w:jc w:val="right"/>
              <w:rPr>
                <w:rFonts w:ascii="Arial" w:hAnsi="Arial" w:cs="Arial"/>
                <w:lang w:val="en-GB"/>
              </w:rPr>
            </w:pPr>
            <w:r w:rsidRPr="007B3AB8">
              <w:rPr>
                <w:rFonts w:ascii="Arial" w:hAnsi="Arial" w:cs="Arial"/>
                <w:b/>
                <w:lang w:val="en-GB"/>
              </w:rPr>
              <w:t>$138,506</w:t>
            </w:r>
          </w:p>
        </w:tc>
        <w:tc>
          <w:tcPr>
            <w:tcW w:w="1134" w:type="dxa"/>
          </w:tcPr>
          <w:p w14:paraId="0A9E3D1A" w14:textId="5EDAB566" w:rsidR="00047CA5" w:rsidRPr="007B3AB8" w:rsidRDefault="00047CA5" w:rsidP="00DB66B3">
            <w:pPr>
              <w:widowControl w:val="0"/>
              <w:jc w:val="right"/>
              <w:rPr>
                <w:rFonts w:ascii="Arial" w:hAnsi="Arial" w:cs="Arial"/>
                <w:lang w:val="en-GB"/>
              </w:rPr>
            </w:pPr>
            <w:r w:rsidRPr="007B3AB8">
              <w:rPr>
                <w:rFonts w:ascii="Arial" w:hAnsi="Arial" w:cs="Arial"/>
                <w:b/>
                <w:lang w:val="en-GB"/>
              </w:rPr>
              <w:t>$202,329</w:t>
            </w:r>
          </w:p>
        </w:tc>
        <w:tc>
          <w:tcPr>
            <w:tcW w:w="1134" w:type="dxa"/>
          </w:tcPr>
          <w:p w14:paraId="739AC7D6" w14:textId="076DF4FB" w:rsidR="00047CA5" w:rsidRPr="007B3AB8" w:rsidRDefault="00047CA5" w:rsidP="00DB66B3">
            <w:pPr>
              <w:widowControl w:val="0"/>
              <w:jc w:val="right"/>
              <w:rPr>
                <w:rFonts w:ascii="Arial" w:hAnsi="Arial" w:cs="Arial"/>
                <w:lang w:val="en-GB"/>
              </w:rPr>
            </w:pPr>
            <w:r w:rsidRPr="007B3AB8">
              <w:rPr>
                <w:rFonts w:ascii="Arial" w:hAnsi="Arial" w:cs="Arial"/>
                <w:b/>
                <w:lang w:val="en-GB"/>
              </w:rPr>
              <w:t>$265,561</w:t>
            </w:r>
          </w:p>
        </w:tc>
        <w:tc>
          <w:tcPr>
            <w:tcW w:w="1134" w:type="dxa"/>
          </w:tcPr>
          <w:p w14:paraId="13F16231" w14:textId="205BFC61" w:rsidR="00047CA5" w:rsidRPr="007B3AB8" w:rsidRDefault="00047CA5" w:rsidP="00DB66B3">
            <w:pPr>
              <w:widowControl w:val="0"/>
              <w:jc w:val="right"/>
              <w:rPr>
                <w:rFonts w:ascii="Arial" w:hAnsi="Arial" w:cs="Arial"/>
                <w:lang w:val="en-GB"/>
              </w:rPr>
            </w:pPr>
            <w:r w:rsidRPr="007B3AB8">
              <w:rPr>
                <w:rFonts w:ascii="Arial" w:hAnsi="Arial" w:cs="Arial"/>
                <w:b/>
                <w:lang w:val="en-GB"/>
              </w:rPr>
              <w:t>$250,000</w:t>
            </w:r>
          </w:p>
        </w:tc>
      </w:tr>
      <w:tr w:rsidR="00047CA5" w:rsidRPr="007B3AB8" w14:paraId="34C98408" w14:textId="77777777" w:rsidTr="000638A8">
        <w:trPr>
          <w:trHeight w:val="70"/>
          <w:jc w:val="center"/>
        </w:trPr>
        <w:tc>
          <w:tcPr>
            <w:tcW w:w="3394" w:type="dxa"/>
          </w:tcPr>
          <w:p w14:paraId="69C70519" w14:textId="46C1A268" w:rsidR="00047CA5" w:rsidRPr="007B3AB8" w:rsidRDefault="00B1177A" w:rsidP="00DB66B3">
            <w:pPr>
              <w:widowControl w:val="0"/>
              <w:rPr>
                <w:rFonts w:ascii="Arial" w:hAnsi="Arial" w:cs="Arial"/>
                <w:lang w:val="en-GB"/>
              </w:rPr>
            </w:pPr>
            <w:r>
              <w:rPr>
                <w:rFonts w:ascii="Arial" w:hAnsi="Arial" w:cs="Arial"/>
                <w:b/>
                <w:lang w:val="en-GB"/>
              </w:rPr>
              <w:t>Average</w:t>
            </w:r>
            <w:r w:rsidR="00047CA5" w:rsidRPr="007B3AB8">
              <w:rPr>
                <w:rFonts w:ascii="Arial" w:hAnsi="Arial" w:cs="Arial"/>
                <w:b/>
                <w:lang w:val="en-GB"/>
              </w:rPr>
              <w:t xml:space="preserve"> Gross Profit Margin</w:t>
            </w:r>
          </w:p>
        </w:tc>
        <w:tc>
          <w:tcPr>
            <w:tcW w:w="1134" w:type="dxa"/>
          </w:tcPr>
          <w:p w14:paraId="131B746A"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16.1%</w:t>
            </w:r>
          </w:p>
        </w:tc>
        <w:tc>
          <w:tcPr>
            <w:tcW w:w="1134" w:type="dxa"/>
          </w:tcPr>
          <w:p w14:paraId="1F4DC24E"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17.5%</w:t>
            </w:r>
          </w:p>
        </w:tc>
        <w:tc>
          <w:tcPr>
            <w:tcW w:w="1134" w:type="dxa"/>
          </w:tcPr>
          <w:p w14:paraId="0523DBDE"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15.4%</w:t>
            </w:r>
          </w:p>
        </w:tc>
        <w:tc>
          <w:tcPr>
            <w:tcW w:w="1134" w:type="dxa"/>
          </w:tcPr>
          <w:p w14:paraId="4BB68999"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15.6%</w:t>
            </w:r>
          </w:p>
        </w:tc>
      </w:tr>
      <w:tr w:rsidR="00047CA5" w:rsidRPr="007B3AB8" w14:paraId="40A16D7E" w14:textId="77777777" w:rsidTr="000638A8">
        <w:trPr>
          <w:trHeight w:val="70"/>
          <w:jc w:val="center"/>
        </w:trPr>
        <w:tc>
          <w:tcPr>
            <w:tcW w:w="3394" w:type="dxa"/>
          </w:tcPr>
          <w:p w14:paraId="31DAEB64" w14:textId="77777777" w:rsidR="00047CA5" w:rsidRPr="007B3AB8" w:rsidRDefault="00047CA5" w:rsidP="00DB66B3">
            <w:pPr>
              <w:widowControl w:val="0"/>
              <w:rPr>
                <w:rFonts w:ascii="Arial" w:hAnsi="Arial" w:cs="Arial"/>
                <w:lang w:val="en-GB"/>
              </w:rPr>
            </w:pPr>
          </w:p>
        </w:tc>
        <w:tc>
          <w:tcPr>
            <w:tcW w:w="1134" w:type="dxa"/>
          </w:tcPr>
          <w:p w14:paraId="368535EB" w14:textId="77777777" w:rsidR="00047CA5" w:rsidRPr="007B3AB8" w:rsidRDefault="00047CA5" w:rsidP="00DB66B3">
            <w:pPr>
              <w:widowControl w:val="0"/>
              <w:rPr>
                <w:rFonts w:ascii="Arial" w:hAnsi="Arial" w:cs="Arial"/>
                <w:lang w:val="en-GB"/>
              </w:rPr>
            </w:pPr>
          </w:p>
        </w:tc>
        <w:tc>
          <w:tcPr>
            <w:tcW w:w="1134" w:type="dxa"/>
          </w:tcPr>
          <w:p w14:paraId="2F724300" w14:textId="77777777" w:rsidR="00047CA5" w:rsidRPr="007B3AB8" w:rsidRDefault="00047CA5" w:rsidP="00DB66B3">
            <w:pPr>
              <w:widowControl w:val="0"/>
              <w:rPr>
                <w:rFonts w:ascii="Arial" w:hAnsi="Arial" w:cs="Arial"/>
                <w:lang w:val="en-GB"/>
              </w:rPr>
            </w:pPr>
          </w:p>
        </w:tc>
        <w:tc>
          <w:tcPr>
            <w:tcW w:w="1134" w:type="dxa"/>
          </w:tcPr>
          <w:p w14:paraId="4D812D8B" w14:textId="77777777" w:rsidR="00047CA5" w:rsidRPr="007B3AB8" w:rsidRDefault="00047CA5" w:rsidP="00DB66B3">
            <w:pPr>
              <w:widowControl w:val="0"/>
              <w:rPr>
                <w:rFonts w:ascii="Arial" w:hAnsi="Arial" w:cs="Arial"/>
                <w:lang w:val="en-GB"/>
              </w:rPr>
            </w:pPr>
          </w:p>
        </w:tc>
        <w:tc>
          <w:tcPr>
            <w:tcW w:w="1134" w:type="dxa"/>
          </w:tcPr>
          <w:p w14:paraId="6FBCFF77" w14:textId="77777777" w:rsidR="00047CA5" w:rsidRPr="007B3AB8" w:rsidRDefault="00047CA5" w:rsidP="00DB66B3">
            <w:pPr>
              <w:widowControl w:val="0"/>
              <w:rPr>
                <w:rFonts w:ascii="Arial" w:hAnsi="Arial" w:cs="Arial"/>
                <w:lang w:val="en-GB"/>
              </w:rPr>
            </w:pPr>
          </w:p>
        </w:tc>
      </w:tr>
      <w:tr w:rsidR="00047CA5" w:rsidRPr="007B3AB8" w14:paraId="37F41155" w14:textId="77777777" w:rsidTr="000638A8">
        <w:trPr>
          <w:trHeight w:val="70"/>
          <w:jc w:val="center"/>
        </w:trPr>
        <w:tc>
          <w:tcPr>
            <w:tcW w:w="3394" w:type="dxa"/>
          </w:tcPr>
          <w:p w14:paraId="0BF25EF5" w14:textId="70FA6BDC" w:rsidR="00047CA5" w:rsidRPr="007B3AB8" w:rsidRDefault="00047CA5" w:rsidP="00DB66B3">
            <w:pPr>
              <w:widowControl w:val="0"/>
              <w:rPr>
                <w:rFonts w:ascii="Arial" w:hAnsi="Arial" w:cs="Arial"/>
                <w:lang w:val="en-GB"/>
              </w:rPr>
            </w:pPr>
            <w:r w:rsidRPr="007B3AB8">
              <w:rPr>
                <w:rFonts w:ascii="Arial" w:hAnsi="Arial" w:cs="Arial"/>
                <w:b/>
                <w:lang w:val="en-GB"/>
              </w:rPr>
              <w:t>SG&amp;A</w:t>
            </w:r>
            <w:r w:rsidR="00C12A39">
              <w:rPr>
                <w:rFonts w:ascii="Arial" w:hAnsi="Arial" w:cs="Arial"/>
                <w:b/>
                <w:lang w:val="en-GB"/>
              </w:rPr>
              <w:t xml:space="preserve"> Expenses</w:t>
            </w:r>
          </w:p>
        </w:tc>
        <w:tc>
          <w:tcPr>
            <w:tcW w:w="1134" w:type="dxa"/>
          </w:tcPr>
          <w:p w14:paraId="6C318ADC" w14:textId="77777777" w:rsidR="00047CA5" w:rsidRPr="007B3AB8" w:rsidRDefault="00047CA5" w:rsidP="00DB66B3">
            <w:pPr>
              <w:widowControl w:val="0"/>
              <w:rPr>
                <w:rFonts w:ascii="Arial" w:hAnsi="Arial" w:cs="Arial"/>
                <w:lang w:val="en-GB"/>
              </w:rPr>
            </w:pPr>
          </w:p>
        </w:tc>
        <w:tc>
          <w:tcPr>
            <w:tcW w:w="1134" w:type="dxa"/>
          </w:tcPr>
          <w:p w14:paraId="43A8FA0E" w14:textId="77777777" w:rsidR="00047CA5" w:rsidRPr="007B3AB8" w:rsidRDefault="00047CA5" w:rsidP="00DB66B3">
            <w:pPr>
              <w:widowControl w:val="0"/>
              <w:rPr>
                <w:rFonts w:ascii="Arial" w:hAnsi="Arial" w:cs="Arial"/>
                <w:lang w:val="en-GB"/>
              </w:rPr>
            </w:pPr>
          </w:p>
        </w:tc>
        <w:tc>
          <w:tcPr>
            <w:tcW w:w="1134" w:type="dxa"/>
          </w:tcPr>
          <w:p w14:paraId="448DC6B9" w14:textId="77777777" w:rsidR="00047CA5" w:rsidRPr="007B3AB8" w:rsidRDefault="00047CA5" w:rsidP="00DB66B3">
            <w:pPr>
              <w:widowControl w:val="0"/>
              <w:rPr>
                <w:rFonts w:ascii="Arial" w:hAnsi="Arial" w:cs="Arial"/>
                <w:lang w:val="en-GB"/>
              </w:rPr>
            </w:pPr>
          </w:p>
        </w:tc>
        <w:tc>
          <w:tcPr>
            <w:tcW w:w="1134" w:type="dxa"/>
          </w:tcPr>
          <w:p w14:paraId="0E0D86AB" w14:textId="77777777" w:rsidR="00047CA5" w:rsidRPr="007B3AB8" w:rsidRDefault="00047CA5" w:rsidP="00DB66B3">
            <w:pPr>
              <w:widowControl w:val="0"/>
              <w:rPr>
                <w:rFonts w:ascii="Arial" w:hAnsi="Arial" w:cs="Arial"/>
                <w:lang w:val="en-GB"/>
              </w:rPr>
            </w:pPr>
          </w:p>
        </w:tc>
      </w:tr>
      <w:tr w:rsidR="00047CA5" w:rsidRPr="007B3AB8" w14:paraId="1B7620A0" w14:textId="77777777" w:rsidTr="000638A8">
        <w:trPr>
          <w:trHeight w:val="70"/>
          <w:jc w:val="center"/>
        </w:trPr>
        <w:tc>
          <w:tcPr>
            <w:tcW w:w="3394" w:type="dxa"/>
          </w:tcPr>
          <w:p w14:paraId="2949C119" w14:textId="77777777" w:rsidR="00047CA5" w:rsidRPr="007B3AB8" w:rsidRDefault="00047CA5" w:rsidP="00DB66B3">
            <w:pPr>
              <w:widowControl w:val="0"/>
              <w:rPr>
                <w:rFonts w:ascii="Arial" w:hAnsi="Arial" w:cs="Arial"/>
                <w:lang w:val="en-GB"/>
              </w:rPr>
            </w:pPr>
            <w:r w:rsidRPr="007B3AB8">
              <w:rPr>
                <w:rFonts w:ascii="Arial" w:hAnsi="Arial" w:cs="Arial"/>
                <w:lang w:val="en-GB"/>
              </w:rPr>
              <w:t>Marketing Expenses</w:t>
            </w:r>
          </w:p>
        </w:tc>
        <w:tc>
          <w:tcPr>
            <w:tcW w:w="1134" w:type="dxa"/>
          </w:tcPr>
          <w:p w14:paraId="0D81A00C"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8,213</w:t>
            </w:r>
          </w:p>
        </w:tc>
        <w:tc>
          <w:tcPr>
            <w:tcW w:w="1134" w:type="dxa"/>
          </w:tcPr>
          <w:p w14:paraId="40E5962B"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15,706</w:t>
            </w:r>
          </w:p>
        </w:tc>
        <w:tc>
          <w:tcPr>
            <w:tcW w:w="1134" w:type="dxa"/>
          </w:tcPr>
          <w:p w14:paraId="42BED719"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19,960</w:t>
            </w:r>
          </w:p>
        </w:tc>
        <w:tc>
          <w:tcPr>
            <w:tcW w:w="1134" w:type="dxa"/>
          </w:tcPr>
          <w:p w14:paraId="2E4EAE01"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15,155</w:t>
            </w:r>
          </w:p>
        </w:tc>
      </w:tr>
      <w:tr w:rsidR="00047CA5" w:rsidRPr="007B3AB8" w14:paraId="081466D8" w14:textId="77777777" w:rsidTr="000638A8">
        <w:trPr>
          <w:trHeight w:val="70"/>
          <w:jc w:val="center"/>
        </w:trPr>
        <w:tc>
          <w:tcPr>
            <w:tcW w:w="3394" w:type="dxa"/>
          </w:tcPr>
          <w:p w14:paraId="1DCE5FD0" w14:textId="77777777" w:rsidR="00047CA5" w:rsidRPr="007B3AB8" w:rsidRDefault="00047CA5" w:rsidP="00DB66B3">
            <w:pPr>
              <w:widowControl w:val="0"/>
              <w:rPr>
                <w:rFonts w:ascii="Arial" w:hAnsi="Arial" w:cs="Arial"/>
                <w:lang w:val="en-GB"/>
              </w:rPr>
            </w:pPr>
            <w:r w:rsidRPr="007B3AB8">
              <w:rPr>
                <w:rFonts w:ascii="Arial" w:hAnsi="Arial" w:cs="Arial"/>
                <w:lang w:val="en-GB"/>
              </w:rPr>
              <w:t>Telephone + Internet Expenses</w:t>
            </w:r>
          </w:p>
        </w:tc>
        <w:tc>
          <w:tcPr>
            <w:tcW w:w="1134" w:type="dxa"/>
          </w:tcPr>
          <w:p w14:paraId="113E5F32"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5,463</w:t>
            </w:r>
          </w:p>
        </w:tc>
        <w:tc>
          <w:tcPr>
            <w:tcW w:w="1134" w:type="dxa"/>
          </w:tcPr>
          <w:p w14:paraId="20D6B039"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5,164</w:t>
            </w:r>
          </w:p>
        </w:tc>
        <w:tc>
          <w:tcPr>
            <w:tcW w:w="1134" w:type="dxa"/>
          </w:tcPr>
          <w:p w14:paraId="673330E1"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5,524</w:t>
            </w:r>
          </w:p>
        </w:tc>
        <w:tc>
          <w:tcPr>
            <w:tcW w:w="1134" w:type="dxa"/>
          </w:tcPr>
          <w:p w14:paraId="31E70E17"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5,000</w:t>
            </w:r>
          </w:p>
        </w:tc>
      </w:tr>
      <w:tr w:rsidR="00047CA5" w:rsidRPr="007B3AB8" w14:paraId="309CA894" w14:textId="77777777" w:rsidTr="000638A8">
        <w:trPr>
          <w:trHeight w:val="70"/>
          <w:jc w:val="center"/>
        </w:trPr>
        <w:tc>
          <w:tcPr>
            <w:tcW w:w="3394" w:type="dxa"/>
          </w:tcPr>
          <w:p w14:paraId="11BA21D2" w14:textId="2F94C151" w:rsidR="00047CA5" w:rsidRPr="007B3AB8" w:rsidRDefault="00047CA5" w:rsidP="00DB66B3">
            <w:pPr>
              <w:widowControl w:val="0"/>
              <w:rPr>
                <w:rFonts w:ascii="Arial" w:hAnsi="Arial" w:cs="Arial"/>
                <w:lang w:val="en-GB"/>
              </w:rPr>
            </w:pPr>
            <w:r w:rsidRPr="007B3AB8">
              <w:rPr>
                <w:rFonts w:ascii="Arial" w:hAnsi="Arial" w:cs="Arial"/>
                <w:lang w:val="en-GB"/>
              </w:rPr>
              <w:t>Payroll</w:t>
            </w:r>
            <w:r w:rsidR="00885FB7">
              <w:rPr>
                <w:rFonts w:ascii="Arial" w:hAnsi="Arial" w:cs="Arial"/>
                <w:lang w:val="en-GB"/>
              </w:rPr>
              <w:t>*</w:t>
            </w:r>
          </w:p>
        </w:tc>
        <w:tc>
          <w:tcPr>
            <w:tcW w:w="1134" w:type="dxa"/>
          </w:tcPr>
          <w:p w14:paraId="2CB0355B"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129,803</w:t>
            </w:r>
          </w:p>
        </w:tc>
        <w:tc>
          <w:tcPr>
            <w:tcW w:w="1134" w:type="dxa"/>
          </w:tcPr>
          <w:p w14:paraId="7EFBA325"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138,798</w:t>
            </w:r>
          </w:p>
        </w:tc>
        <w:tc>
          <w:tcPr>
            <w:tcW w:w="1134" w:type="dxa"/>
          </w:tcPr>
          <w:p w14:paraId="16AEC066"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160,981</w:t>
            </w:r>
          </w:p>
        </w:tc>
        <w:tc>
          <w:tcPr>
            <w:tcW w:w="1134" w:type="dxa"/>
          </w:tcPr>
          <w:p w14:paraId="4917C991"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150,000</w:t>
            </w:r>
          </w:p>
        </w:tc>
      </w:tr>
      <w:tr w:rsidR="00047CA5" w:rsidRPr="007B3AB8" w14:paraId="3CB8252F" w14:textId="77777777" w:rsidTr="000638A8">
        <w:trPr>
          <w:trHeight w:val="70"/>
          <w:jc w:val="center"/>
        </w:trPr>
        <w:tc>
          <w:tcPr>
            <w:tcW w:w="3394" w:type="dxa"/>
          </w:tcPr>
          <w:p w14:paraId="04FBF4A2" w14:textId="77777777" w:rsidR="00047CA5" w:rsidRPr="007B3AB8" w:rsidRDefault="00047CA5" w:rsidP="00DB66B3">
            <w:pPr>
              <w:widowControl w:val="0"/>
              <w:rPr>
                <w:rFonts w:ascii="Arial" w:hAnsi="Arial" w:cs="Arial"/>
                <w:lang w:val="en-GB"/>
              </w:rPr>
            </w:pPr>
            <w:r w:rsidRPr="007B3AB8">
              <w:rPr>
                <w:rFonts w:ascii="Arial" w:hAnsi="Arial" w:cs="Arial"/>
                <w:b/>
                <w:lang w:val="en-GB"/>
              </w:rPr>
              <w:t>Total Expenses</w:t>
            </w:r>
          </w:p>
        </w:tc>
        <w:tc>
          <w:tcPr>
            <w:tcW w:w="1134" w:type="dxa"/>
          </w:tcPr>
          <w:p w14:paraId="50E4AD89" w14:textId="03EDDBC0" w:rsidR="00047CA5" w:rsidRPr="007B3AB8" w:rsidRDefault="00047CA5" w:rsidP="00DB66B3">
            <w:pPr>
              <w:widowControl w:val="0"/>
              <w:jc w:val="right"/>
              <w:rPr>
                <w:rFonts w:ascii="Arial" w:hAnsi="Arial" w:cs="Arial"/>
                <w:lang w:val="en-GB"/>
              </w:rPr>
            </w:pPr>
            <w:r w:rsidRPr="007B3AB8">
              <w:rPr>
                <w:rFonts w:ascii="Arial" w:hAnsi="Arial" w:cs="Arial"/>
                <w:b/>
                <w:lang w:val="en-GB"/>
              </w:rPr>
              <w:t>$143,479</w:t>
            </w:r>
          </w:p>
        </w:tc>
        <w:tc>
          <w:tcPr>
            <w:tcW w:w="1134" w:type="dxa"/>
          </w:tcPr>
          <w:p w14:paraId="6FE253EF" w14:textId="5714054D" w:rsidR="00047CA5" w:rsidRPr="007B3AB8" w:rsidRDefault="00047CA5" w:rsidP="00DB66B3">
            <w:pPr>
              <w:widowControl w:val="0"/>
              <w:jc w:val="right"/>
              <w:rPr>
                <w:rFonts w:ascii="Arial" w:hAnsi="Arial" w:cs="Arial"/>
                <w:lang w:val="en-GB"/>
              </w:rPr>
            </w:pPr>
            <w:r w:rsidRPr="007B3AB8">
              <w:rPr>
                <w:rFonts w:ascii="Arial" w:hAnsi="Arial" w:cs="Arial"/>
                <w:b/>
                <w:lang w:val="en-GB"/>
              </w:rPr>
              <w:t>$159,668</w:t>
            </w:r>
          </w:p>
        </w:tc>
        <w:tc>
          <w:tcPr>
            <w:tcW w:w="1134" w:type="dxa"/>
          </w:tcPr>
          <w:p w14:paraId="58BAD8A1" w14:textId="77777777" w:rsidR="00047CA5" w:rsidRPr="007B3AB8" w:rsidRDefault="00047CA5" w:rsidP="00DB66B3">
            <w:pPr>
              <w:widowControl w:val="0"/>
              <w:jc w:val="right"/>
              <w:rPr>
                <w:rFonts w:ascii="Arial" w:hAnsi="Arial" w:cs="Arial"/>
                <w:lang w:val="en-GB"/>
              </w:rPr>
            </w:pPr>
            <w:r w:rsidRPr="007B3AB8">
              <w:rPr>
                <w:rFonts w:ascii="Arial" w:hAnsi="Arial" w:cs="Arial"/>
                <w:b/>
                <w:lang w:val="en-GB"/>
              </w:rPr>
              <w:t>$ 186,465</w:t>
            </w:r>
          </w:p>
        </w:tc>
        <w:tc>
          <w:tcPr>
            <w:tcW w:w="1134" w:type="dxa"/>
          </w:tcPr>
          <w:p w14:paraId="13158C68" w14:textId="361C4FC9" w:rsidR="00047CA5" w:rsidRPr="007B3AB8" w:rsidRDefault="00047CA5" w:rsidP="00DB66B3">
            <w:pPr>
              <w:widowControl w:val="0"/>
              <w:jc w:val="right"/>
              <w:rPr>
                <w:rFonts w:ascii="Arial" w:hAnsi="Arial" w:cs="Arial"/>
                <w:lang w:val="en-GB"/>
              </w:rPr>
            </w:pPr>
            <w:r w:rsidRPr="007B3AB8">
              <w:rPr>
                <w:rFonts w:ascii="Arial" w:hAnsi="Arial" w:cs="Arial"/>
                <w:b/>
                <w:lang w:val="en-GB"/>
              </w:rPr>
              <w:t>$170,155</w:t>
            </w:r>
          </w:p>
        </w:tc>
      </w:tr>
      <w:tr w:rsidR="00047CA5" w:rsidRPr="007B3AB8" w14:paraId="30498B8A" w14:textId="77777777" w:rsidTr="000638A8">
        <w:trPr>
          <w:trHeight w:val="70"/>
          <w:jc w:val="center"/>
        </w:trPr>
        <w:tc>
          <w:tcPr>
            <w:tcW w:w="3394" w:type="dxa"/>
          </w:tcPr>
          <w:p w14:paraId="7F7746C6" w14:textId="77777777" w:rsidR="00047CA5" w:rsidRPr="007B3AB8" w:rsidRDefault="00047CA5" w:rsidP="00DB66B3">
            <w:pPr>
              <w:widowControl w:val="0"/>
              <w:rPr>
                <w:rFonts w:ascii="Arial" w:hAnsi="Arial" w:cs="Arial"/>
                <w:lang w:val="en-GB"/>
              </w:rPr>
            </w:pPr>
          </w:p>
        </w:tc>
        <w:tc>
          <w:tcPr>
            <w:tcW w:w="1134" w:type="dxa"/>
          </w:tcPr>
          <w:p w14:paraId="1DE31DCE" w14:textId="77777777" w:rsidR="00047CA5" w:rsidRPr="007B3AB8" w:rsidRDefault="00047CA5" w:rsidP="00DB66B3">
            <w:pPr>
              <w:widowControl w:val="0"/>
              <w:rPr>
                <w:rFonts w:ascii="Arial" w:hAnsi="Arial" w:cs="Arial"/>
                <w:lang w:val="en-GB"/>
              </w:rPr>
            </w:pPr>
          </w:p>
        </w:tc>
        <w:tc>
          <w:tcPr>
            <w:tcW w:w="1134" w:type="dxa"/>
          </w:tcPr>
          <w:p w14:paraId="2CFB35B0" w14:textId="77777777" w:rsidR="00047CA5" w:rsidRPr="007B3AB8" w:rsidRDefault="00047CA5" w:rsidP="00DB66B3">
            <w:pPr>
              <w:widowControl w:val="0"/>
              <w:rPr>
                <w:rFonts w:ascii="Arial" w:hAnsi="Arial" w:cs="Arial"/>
                <w:lang w:val="en-GB"/>
              </w:rPr>
            </w:pPr>
          </w:p>
        </w:tc>
        <w:tc>
          <w:tcPr>
            <w:tcW w:w="1134" w:type="dxa"/>
          </w:tcPr>
          <w:p w14:paraId="3C477036" w14:textId="77777777" w:rsidR="00047CA5" w:rsidRPr="007B3AB8" w:rsidRDefault="00047CA5" w:rsidP="00DB66B3">
            <w:pPr>
              <w:widowControl w:val="0"/>
              <w:rPr>
                <w:rFonts w:ascii="Arial" w:hAnsi="Arial" w:cs="Arial"/>
                <w:lang w:val="en-GB"/>
              </w:rPr>
            </w:pPr>
          </w:p>
        </w:tc>
        <w:tc>
          <w:tcPr>
            <w:tcW w:w="1134" w:type="dxa"/>
          </w:tcPr>
          <w:p w14:paraId="1BA8A834" w14:textId="77777777" w:rsidR="00047CA5" w:rsidRPr="007B3AB8" w:rsidRDefault="00047CA5" w:rsidP="00DB66B3">
            <w:pPr>
              <w:widowControl w:val="0"/>
              <w:rPr>
                <w:rFonts w:ascii="Arial" w:hAnsi="Arial" w:cs="Arial"/>
                <w:lang w:val="en-GB"/>
              </w:rPr>
            </w:pPr>
          </w:p>
        </w:tc>
      </w:tr>
      <w:tr w:rsidR="00047CA5" w:rsidRPr="007B3AB8" w14:paraId="039B5216" w14:textId="77777777" w:rsidTr="000638A8">
        <w:trPr>
          <w:trHeight w:val="70"/>
          <w:jc w:val="center"/>
        </w:trPr>
        <w:tc>
          <w:tcPr>
            <w:tcW w:w="3394" w:type="dxa"/>
          </w:tcPr>
          <w:p w14:paraId="107AECE6" w14:textId="77777777" w:rsidR="00047CA5" w:rsidRPr="007B3AB8" w:rsidRDefault="00047CA5" w:rsidP="00DB66B3">
            <w:pPr>
              <w:widowControl w:val="0"/>
              <w:rPr>
                <w:rFonts w:ascii="Arial" w:hAnsi="Arial" w:cs="Arial"/>
                <w:lang w:val="en-GB"/>
              </w:rPr>
            </w:pPr>
            <w:r w:rsidRPr="007B3AB8">
              <w:rPr>
                <w:rFonts w:ascii="Arial" w:hAnsi="Arial" w:cs="Arial"/>
                <w:b/>
                <w:lang w:val="en-GB"/>
              </w:rPr>
              <w:t>EBIT</w:t>
            </w:r>
          </w:p>
        </w:tc>
        <w:tc>
          <w:tcPr>
            <w:tcW w:w="1134" w:type="dxa"/>
          </w:tcPr>
          <w:p w14:paraId="56DEFD22" w14:textId="772DB2AD" w:rsidR="00047CA5" w:rsidRPr="005676E3" w:rsidRDefault="00047CA5" w:rsidP="00DB66B3">
            <w:pPr>
              <w:widowControl w:val="0"/>
              <w:jc w:val="right"/>
              <w:rPr>
                <w:rFonts w:ascii="Arial" w:hAnsi="Arial" w:cs="Arial"/>
                <w:lang w:val="en-GB"/>
              </w:rPr>
            </w:pPr>
            <w:r w:rsidRPr="005676E3">
              <w:rPr>
                <w:rFonts w:ascii="Arial" w:hAnsi="Arial" w:cs="Arial"/>
                <w:b/>
                <w:lang w:val="en-GB"/>
              </w:rPr>
              <w:t>$(4,973)</w:t>
            </w:r>
          </w:p>
        </w:tc>
        <w:tc>
          <w:tcPr>
            <w:tcW w:w="1134" w:type="dxa"/>
          </w:tcPr>
          <w:p w14:paraId="43A1E96D" w14:textId="2F2C7CD4" w:rsidR="00047CA5" w:rsidRPr="005676E3" w:rsidRDefault="00047CA5" w:rsidP="00DB66B3">
            <w:pPr>
              <w:widowControl w:val="0"/>
              <w:jc w:val="right"/>
              <w:rPr>
                <w:rFonts w:ascii="Arial" w:hAnsi="Arial" w:cs="Arial"/>
                <w:lang w:val="en-GB"/>
              </w:rPr>
            </w:pPr>
            <w:r w:rsidRPr="005676E3">
              <w:rPr>
                <w:rFonts w:ascii="Arial" w:hAnsi="Arial" w:cs="Arial"/>
                <w:b/>
                <w:lang w:val="en-GB"/>
              </w:rPr>
              <w:t>$42,661</w:t>
            </w:r>
          </w:p>
        </w:tc>
        <w:tc>
          <w:tcPr>
            <w:tcW w:w="1134" w:type="dxa"/>
          </w:tcPr>
          <w:p w14:paraId="3584DFE7" w14:textId="58BD8CBB" w:rsidR="00047CA5" w:rsidRPr="007B3AB8" w:rsidRDefault="00047CA5" w:rsidP="00DB66B3">
            <w:pPr>
              <w:widowControl w:val="0"/>
              <w:jc w:val="right"/>
              <w:rPr>
                <w:rFonts w:ascii="Arial" w:hAnsi="Arial" w:cs="Arial"/>
                <w:lang w:val="en-GB"/>
              </w:rPr>
            </w:pPr>
            <w:r w:rsidRPr="007B3AB8">
              <w:rPr>
                <w:rFonts w:ascii="Arial" w:hAnsi="Arial" w:cs="Arial"/>
                <w:b/>
                <w:lang w:val="en-GB"/>
              </w:rPr>
              <w:t>$79,096</w:t>
            </w:r>
          </w:p>
        </w:tc>
        <w:tc>
          <w:tcPr>
            <w:tcW w:w="1134" w:type="dxa"/>
          </w:tcPr>
          <w:p w14:paraId="458E6A93" w14:textId="7ACCD937" w:rsidR="00047CA5" w:rsidRPr="007B3AB8" w:rsidRDefault="00047CA5" w:rsidP="00DB66B3">
            <w:pPr>
              <w:widowControl w:val="0"/>
              <w:jc w:val="right"/>
              <w:rPr>
                <w:rFonts w:ascii="Arial" w:hAnsi="Arial" w:cs="Arial"/>
                <w:lang w:val="en-GB"/>
              </w:rPr>
            </w:pPr>
            <w:r w:rsidRPr="007B3AB8">
              <w:rPr>
                <w:rFonts w:ascii="Arial" w:hAnsi="Arial" w:cs="Arial"/>
                <w:lang w:val="en-GB"/>
              </w:rPr>
              <w:t>$79,845</w:t>
            </w:r>
          </w:p>
        </w:tc>
      </w:tr>
      <w:tr w:rsidR="00047CA5" w:rsidRPr="007B3AB8" w14:paraId="128E9FF9" w14:textId="77777777" w:rsidTr="000638A8">
        <w:trPr>
          <w:trHeight w:val="70"/>
          <w:jc w:val="center"/>
        </w:trPr>
        <w:tc>
          <w:tcPr>
            <w:tcW w:w="3394" w:type="dxa"/>
          </w:tcPr>
          <w:p w14:paraId="78A8D0CF" w14:textId="77777777" w:rsidR="00047CA5" w:rsidRPr="007B3AB8" w:rsidRDefault="00047CA5" w:rsidP="00DB66B3">
            <w:pPr>
              <w:widowControl w:val="0"/>
              <w:rPr>
                <w:rFonts w:ascii="Arial" w:hAnsi="Arial" w:cs="Arial"/>
                <w:lang w:val="en-GB"/>
              </w:rPr>
            </w:pPr>
            <w:r w:rsidRPr="007B3AB8">
              <w:rPr>
                <w:rFonts w:ascii="Arial" w:hAnsi="Arial" w:cs="Arial"/>
                <w:lang w:val="en-GB"/>
              </w:rPr>
              <w:t>Taxes (35%)</w:t>
            </w:r>
          </w:p>
        </w:tc>
        <w:tc>
          <w:tcPr>
            <w:tcW w:w="1134" w:type="dxa"/>
          </w:tcPr>
          <w:p w14:paraId="7F5F8597" w14:textId="0D805A8F" w:rsidR="00047CA5" w:rsidRPr="007B3AB8" w:rsidRDefault="00397F1B" w:rsidP="00DB66B3">
            <w:pPr>
              <w:widowControl w:val="0"/>
              <w:jc w:val="right"/>
              <w:rPr>
                <w:rFonts w:ascii="Arial" w:hAnsi="Arial" w:cs="Arial"/>
                <w:lang w:val="en-GB"/>
              </w:rPr>
            </w:pPr>
            <w:r>
              <w:rPr>
                <w:rFonts w:ascii="Arial" w:hAnsi="Arial" w:cs="Arial"/>
                <w:lang w:val="en-GB"/>
              </w:rPr>
              <w:t>–</w:t>
            </w:r>
            <w:r w:rsidR="00047CA5" w:rsidRPr="007B3AB8">
              <w:rPr>
                <w:rFonts w:ascii="Arial" w:hAnsi="Arial" w:cs="Arial"/>
                <w:lang w:val="en-GB"/>
              </w:rPr>
              <w:t>1,740</w:t>
            </w:r>
          </w:p>
        </w:tc>
        <w:tc>
          <w:tcPr>
            <w:tcW w:w="1134" w:type="dxa"/>
          </w:tcPr>
          <w:p w14:paraId="0E94DD62"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14,931</w:t>
            </w:r>
          </w:p>
        </w:tc>
        <w:tc>
          <w:tcPr>
            <w:tcW w:w="1134" w:type="dxa"/>
          </w:tcPr>
          <w:p w14:paraId="7FFD9EE3"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27,683</w:t>
            </w:r>
          </w:p>
        </w:tc>
        <w:tc>
          <w:tcPr>
            <w:tcW w:w="1134" w:type="dxa"/>
          </w:tcPr>
          <w:p w14:paraId="3FC563B3" w14:textId="77777777" w:rsidR="00047CA5" w:rsidRPr="007B3AB8" w:rsidRDefault="00047CA5" w:rsidP="00DB66B3">
            <w:pPr>
              <w:widowControl w:val="0"/>
              <w:jc w:val="right"/>
              <w:rPr>
                <w:rFonts w:ascii="Arial" w:hAnsi="Arial" w:cs="Arial"/>
                <w:lang w:val="en-GB"/>
              </w:rPr>
            </w:pPr>
            <w:r w:rsidRPr="007B3AB8">
              <w:rPr>
                <w:rFonts w:ascii="Arial" w:hAnsi="Arial" w:cs="Arial"/>
                <w:lang w:val="en-GB"/>
              </w:rPr>
              <w:t>27,946</w:t>
            </w:r>
          </w:p>
        </w:tc>
      </w:tr>
      <w:tr w:rsidR="00047CA5" w:rsidRPr="007B3AB8" w14:paraId="6B0740C3" w14:textId="77777777" w:rsidTr="000638A8">
        <w:trPr>
          <w:trHeight w:val="70"/>
          <w:jc w:val="center"/>
        </w:trPr>
        <w:tc>
          <w:tcPr>
            <w:tcW w:w="3394" w:type="dxa"/>
          </w:tcPr>
          <w:p w14:paraId="049BD40D" w14:textId="77777777" w:rsidR="00047CA5" w:rsidRPr="007B3AB8" w:rsidRDefault="00047CA5" w:rsidP="00DB66B3">
            <w:pPr>
              <w:widowControl w:val="0"/>
              <w:rPr>
                <w:rFonts w:ascii="Arial" w:hAnsi="Arial" w:cs="Arial"/>
                <w:lang w:val="en-GB"/>
              </w:rPr>
            </w:pPr>
            <w:r w:rsidRPr="007B3AB8">
              <w:rPr>
                <w:rFonts w:ascii="Arial" w:hAnsi="Arial" w:cs="Arial"/>
                <w:b/>
                <w:lang w:val="en-GB"/>
              </w:rPr>
              <w:t>Net Income</w:t>
            </w:r>
          </w:p>
        </w:tc>
        <w:tc>
          <w:tcPr>
            <w:tcW w:w="1134" w:type="dxa"/>
          </w:tcPr>
          <w:p w14:paraId="692299DD" w14:textId="1FB619C7" w:rsidR="00047CA5" w:rsidRPr="007B3AB8" w:rsidRDefault="00047CA5" w:rsidP="00DB66B3">
            <w:pPr>
              <w:widowControl w:val="0"/>
              <w:jc w:val="right"/>
              <w:rPr>
                <w:rFonts w:ascii="Arial" w:hAnsi="Arial" w:cs="Arial"/>
                <w:lang w:val="en-GB"/>
              </w:rPr>
            </w:pPr>
            <w:r w:rsidRPr="007B3AB8">
              <w:rPr>
                <w:rFonts w:ascii="Arial" w:hAnsi="Arial" w:cs="Arial"/>
                <w:b/>
                <w:lang w:val="en-GB"/>
              </w:rPr>
              <w:t>$(3,232)</w:t>
            </w:r>
          </w:p>
        </w:tc>
        <w:tc>
          <w:tcPr>
            <w:tcW w:w="1134" w:type="dxa"/>
          </w:tcPr>
          <w:p w14:paraId="6F759464" w14:textId="2807B871" w:rsidR="00047CA5" w:rsidRPr="007B3AB8" w:rsidRDefault="00047CA5" w:rsidP="00DB66B3">
            <w:pPr>
              <w:widowControl w:val="0"/>
              <w:jc w:val="right"/>
              <w:rPr>
                <w:rFonts w:ascii="Arial" w:hAnsi="Arial" w:cs="Arial"/>
                <w:lang w:val="en-GB"/>
              </w:rPr>
            </w:pPr>
            <w:r w:rsidRPr="007B3AB8">
              <w:rPr>
                <w:rFonts w:ascii="Arial" w:hAnsi="Arial" w:cs="Arial"/>
                <w:b/>
                <w:lang w:val="en-GB"/>
              </w:rPr>
              <w:t>$27,730</w:t>
            </w:r>
          </w:p>
        </w:tc>
        <w:tc>
          <w:tcPr>
            <w:tcW w:w="1134" w:type="dxa"/>
          </w:tcPr>
          <w:p w14:paraId="0CCAA9C1" w14:textId="4B3B9606" w:rsidR="00047CA5" w:rsidRPr="007B3AB8" w:rsidRDefault="00047CA5" w:rsidP="00DB66B3">
            <w:pPr>
              <w:widowControl w:val="0"/>
              <w:jc w:val="right"/>
              <w:rPr>
                <w:rFonts w:ascii="Arial" w:hAnsi="Arial" w:cs="Arial"/>
                <w:lang w:val="en-GB"/>
              </w:rPr>
            </w:pPr>
            <w:r w:rsidRPr="007B3AB8">
              <w:rPr>
                <w:rFonts w:ascii="Arial" w:hAnsi="Arial" w:cs="Arial"/>
                <w:b/>
                <w:lang w:val="en-GB"/>
              </w:rPr>
              <w:t>$51,412</w:t>
            </w:r>
          </w:p>
        </w:tc>
        <w:tc>
          <w:tcPr>
            <w:tcW w:w="1134" w:type="dxa"/>
          </w:tcPr>
          <w:p w14:paraId="55DF1A78" w14:textId="47F74F41" w:rsidR="00047CA5" w:rsidRPr="007B3AB8" w:rsidRDefault="00047CA5" w:rsidP="00DB66B3">
            <w:pPr>
              <w:widowControl w:val="0"/>
              <w:jc w:val="right"/>
              <w:rPr>
                <w:rFonts w:ascii="Arial" w:hAnsi="Arial" w:cs="Arial"/>
                <w:lang w:val="en-GB"/>
              </w:rPr>
            </w:pPr>
            <w:r w:rsidRPr="007B3AB8">
              <w:rPr>
                <w:rFonts w:ascii="Arial" w:hAnsi="Arial" w:cs="Arial"/>
                <w:b/>
                <w:lang w:val="en-GB"/>
              </w:rPr>
              <w:t>$51,899</w:t>
            </w:r>
          </w:p>
        </w:tc>
      </w:tr>
    </w:tbl>
    <w:p w14:paraId="1578ABC7" w14:textId="77777777" w:rsidR="00885FB7" w:rsidRDefault="00885FB7" w:rsidP="00047CA5">
      <w:pPr>
        <w:rPr>
          <w:rFonts w:ascii="Arial" w:hAnsi="Arial" w:cs="Arial"/>
          <w:sz w:val="17"/>
          <w:szCs w:val="17"/>
          <w:lang w:val="en-GB"/>
        </w:rPr>
      </w:pPr>
    </w:p>
    <w:p w14:paraId="5E9EC5D5" w14:textId="0AC65286" w:rsidR="00047CA5" w:rsidRDefault="00C12A39" w:rsidP="00047CA5">
      <w:pPr>
        <w:rPr>
          <w:rFonts w:ascii="Arial" w:hAnsi="Arial" w:cs="Arial"/>
          <w:sz w:val="17"/>
          <w:szCs w:val="17"/>
          <w:lang w:val="en-GB"/>
        </w:rPr>
      </w:pPr>
      <w:r w:rsidRPr="005676E3">
        <w:rPr>
          <w:rFonts w:ascii="Arial" w:hAnsi="Arial" w:cs="Arial"/>
          <w:sz w:val="17"/>
          <w:szCs w:val="17"/>
          <w:lang w:val="en-GB"/>
        </w:rPr>
        <w:t xml:space="preserve">Note: </w:t>
      </w:r>
      <w:r w:rsidR="00C11565" w:rsidRPr="005676E3">
        <w:rPr>
          <w:rFonts w:ascii="Arial" w:hAnsi="Arial" w:cs="Arial"/>
          <w:sz w:val="17"/>
          <w:szCs w:val="17"/>
          <w:lang w:val="en-GB"/>
        </w:rPr>
        <w:t xml:space="preserve">* Includes </w:t>
      </w:r>
      <w:r w:rsidR="0035794E">
        <w:rPr>
          <w:rFonts w:ascii="Arial" w:hAnsi="Arial" w:cs="Arial"/>
          <w:sz w:val="17"/>
          <w:szCs w:val="17"/>
          <w:lang w:val="en-GB"/>
        </w:rPr>
        <w:t xml:space="preserve">Kim </w:t>
      </w:r>
      <w:r w:rsidR="00C11565" w:rsidRPr="005676E3">
        <w:rPr>
          <w:rFonts w:ascii="Arial" w:hAnsi="Arial" w:cs="Arial"/>
          <w:sz w:val="17"/>
          <w:szCs w:val="17"/>
          <w:lang w:val="en-GB"/>
        </w:rPr>
        <w:t xml:space="preserve">Willoughby, </w:t>
      </w:r>
      <w:r w:rsidR="0035794E">
        <w:rPr>
          <w:rFonts w:ascii="Arial" w:hAnsi="Arial" w:cs="Arial"/>
          <w:sz w:val="17"/>
          <w:szCs w:val="17"/>
          <w:lang w:val="en-GB"/>
        </w:rPr>
        <w:t xml:space="preserve">Angie </w:t>
      </w:r>
      <w:r w:rsidR="00C11565" w:rsidRPr="005676E3">
        <w:rPr>
          <w:rFonts w:ascii="Arial" w:hAnsi="Arial" w:cs="Arial"/>
          <w:sz w:val="17"/>
          <w:szCs w:val="17"/>
          <w:lang w:val="en-GB"/>
        </w:rPr>
        <w:t xml:space="preserve">Hopkins, </w:t>
      </w:r>
      <w:r w:rsidR="0035794E">
        <w:rPr>
          <w:rFonts w:ascii="Arial" w:hAnsi="Arial" w:cs="Arial"/>
          <w:sz w:val="17"/>
          <w:szCs w:val="17"/>
          <w:lang w:val="en-GB"/>
        </w:rPr>
        <w:t xml:space="preserve">Tom </w:t>
      </w:r>
      <w:r w:rsidR="00C11565" w:rsidRPr="005676E3">
        <w:rPr>
          <w:rFonts w:ascii="Arial" w:hAnsi="Arial" w:cs="Arial"/>
          <w:sz w:val="17"/>
          <w:szCs w:val="17"/>
          <w:lang w:val="en-GB"/>
        </w:rPr>
        <w:t xml:space="preserve">Andrews, and </w:t>
      </w:r>
      <w:r w:rsidR="0035794E">
        <w:rPr>
          <w:rFonts w:ascii="Arial" w:hAnsi="Arial" w:cs="Arial"/>
          <w:sz w:val="17"/>
          <w:szCs w:val="17"/>
          <w:lang w:val="en-GB"/>
        </w:rPr>
        <w:t xml:space="preserve">Martin </w:t>
      </w:r>
      <w:r w:rsidR="00C11565" w:rsidRPr="005676E3">
        <w:rPr>
          <w:rFonts w:ascii="Arial" w:hAnsi="Arial" w:cs="Arial"/>
          <w:sz w:val="17"/>
          <w:szCs w:val="17"/>
          <w:lang w:val="en-GB"/>
        </w:rPr>
        <w:t>Fischer</w:t>
      </w:r>
      <w:r w:rsidR="00C11565">
        <w:rPr>
          <w:rFonts w:ascii="Arial" w:hAnsi="Arial" w:cs="Arial"/>
          <w:sz w:val="17"/>
          <w:szCs w:val="17"/>
          <w:lang w:val="en-GB"/>
        </w:rPr>
        <w:t xml:space="preserve">; </w:t>
      </w:r>
      <w:r w:rsidRPr="005676E3">
        <w:rPr>
          <w:rFonts w:ascii="Arial" w:hAnsi="Arial" w:cs="Arial"/>
          <w:sz w:val="17"/>
          <w:szCs w:val="17"/>
          <w:lang w:val="en-GB"/>
        </w:rPr>
        <w:t>E = estimated; COGS = cost of goods sold; SG&amp;A = selling, general, and administrative</w:t>
      </w:r>
      <w:r w:rsidR="00525300" w:rsidRPr="005676E3">
        <w:rPr>
          <w:rFonts w:ascii="Arial" w:hAnsi="Arial" w:cs="Arial"/>
          <w:sz w:val="17"/>
          <w:szCs w:val="17"/>
          <w:lang w:val="en-GB"/>
        </w:rPr>
        <w:t>; EBIT = earnings before interest and taxes</w:t>
      </w:r>
      <w:r w:rsidR="000638A8">
        <w:rPr>
          <w:rFonts w:ascii="Arial" w:hAnsi="Arial" w:cs="Arial"/>
          <w:sz w:val="17"/>
          <w:szCs w:val="17"/>
          <w:lang w:val="en-GB"/>
        </w:rPr>
        <w:t>.</w:t>
      </w:r>
    </w:p>
    <w:p w14:paraId="27766286" w14:textId="475AFEAA" w:rsidR="00525300" w:rsidRPr="005676E3" w:rsidRDefault="00525300" w:rsidP="00047CA5">
      <w:pPr>
        <w:rPr>
          <w:rFonts w:ascii="Arial" w:hAnsi="Arial" w:cs="Arial"/>
          <w:sz w:val="17"/>
          <w:szCs w:val="17"/>
          <w:lang w:val="en-GB"/>
        </w:rPr>
      </w:pPr>
      <w:r>
        <w:rPr>
          <w:rFonts w:ascii="Arial" w:hAnsi="Arial" w:cs="Arial"/>
          <w:sz w:val="17"/>
          <w:szCs w:val="17"/>
          <w:lang w:val="en-GB"/>
        </w:rPr>
        <w:t xml:space="preserve">Source: </w:t>
      </w:r>
      <w:r w:rsidR="00AC1004">
        <w:rPr>
          <w:rFonts w:ascii="Arial" w:hAnsi="Arial" w:cs="Arial"/>
          <w:sz w:val="17"/>
          <w:szCs w:val="17"/>
          <w:lang w:val="en-GB"/>
        </w:rPr>
        <w:t>Company files.</w:t>
      </w:r>
    </w:p>
    <w:p w14:paraId="73C205A8" w14:textId="755FFA56" w:rsidR="00C12A39" w:rsidRDefault="00C12A39" w:rsidP="00047CA5">
      <w:pPr>
        <w:rPr>
          <w:lang w:val="en-GB"/>
        </w:rPr>
      </w:pPr>
    </w:p>
    <w:p w14:paraId="7E139C44" w14:textId="77777777" w:rsidR="00C12A39" w:rsidRPr="007B3AB8" w:rsidRDefault="00C12A39" w:rsidP="00047CA5">
      <w:pPr>
        <w:rPr>
          <w:lang w:val="en-GB"/>
        </w:rPr>
      </w:pPr>
    </w:p>
    <w:p w14:paraId="0C185699" w14:textId="60059627" w:rsidR="00047CA5" w:rsidRPr="007B3AB8" w:rsidRDefault="00047CA5" w:rsidP="00047CA5">
      <w:pPr>
        <w:pStyle w:val="ExhibitHeading"/>
        <w:rPr>
          <w:lang w:val="en-GB"/>
        </w:rPr>
      </w:pPr>
      <w:r w:rsidRPr="007B3AB8">
        <w:rPr>
          <w:lang w:val="en-GB"/>
        </w:rPr>
        <w:t xml:space="preserve">Exhibit 2: </w:t>
      </w:r>
      <w:r w:rsidR="003F7FD7">
        <w:rPr>
          <w:lang w:val="en-GB"/>
        </w:rPr>
        <w:t xml:space="preserve">Safari Specialists Inc. </w:t>
      </w:r>
      <w:r w:rsidRPr="007B3AB8">
        <w:rPr>
          <w:lang w:val="en-GB"/>
        </w:rPr>
        <w:t>Future Bookings by Year</w:t>
      </w:r>
      <w:r w:rsidR="00C67232">
        <w:rPr>
          <w:lang w:val="en-GB"/>
        </w:rPr>
        <w:t xml:space="preserve"> (</w:t>
      </w:r>
      <w:r w:rsidR="00C11565">
        <w:rPr>
          <w:lang w:val="en-GB"/>
        </w:rPr>
        <w:t xml:space="preserve">in </w:t>
      </w:r>
      <w:r w:rsidR="00C67232">
        <w:rPr>
          <w:lang w:val="en-GB"/>
        </w:rPr>
        <w:t>US$)</w:t>
      </w:r>
    </w:p>
    <w:p w14:paraId="02147068" w14:textId="77777777" w:rsidR="00047CA5" w:rsidRPr="007B3AB8" w:rsidRDefault="00047CA5" w:rsidP="00047CA5">
      <w:pPr>
        <w:rPr>
          <w:b/>
          <w:lang w:val="en-GB"/>
        </w:rPr>
      </w:pPr>
    </w:p>
    <w:tbl>
      <w:tblPr>
        <w:tblStyle w:val="TableGrid"/>
        <w:tblW w:w="4855" w:type="dxa"/>
        <w:jc w:val="center"/>
        <w:tblLayout w:type="fixed"/>
        <w:tblCellMar>
          <w:top w:w="58" w:type="dxa"/>
          <w:left w:w="115" w:type="dxa"/>
          <w:bottom w:w="58" w:type="dxa"/>
          <w:right w:w="115" w:type="dxa"/>
        </w:tblCellMar>
        <w:tblLook w:val="0600" w:firstRow="0" w:lastRow="0" w:firstColumn="0" w:lastColumn="0" w:noHBand="1" w:noVBand="1"/>
      </w:tblPr>
      <w:tblGrid>
        <w:gridCol w:w="1152"/>
        <w:gridCol w:w="1633"/>
        <w:gridCol w:w="2070"/>
      </w:tblGrid>
      <w:tr w:rsidR="00C11565" w:rsidRPr="007B3AB8" w14:paraId="0F076F44" w14:textId="77777777" w:rsidTr="00AB17A4">
        <w:trPr>
          <w:trHeight w:val="54"/>
          <w:jc w:val="center"/>
        </w:trPr>
        <w:tc>
          <w:tcPr>
            <w:tcW w:w="1152" w:type="dxa"/>
          </w:tcPr>
          <w:p w14:paraId="1CBED35F" w14:textId="010750B3" w:rsidR="00047CA5" w:rsidRPr="005676E3" w:rsidRDefault="00C67232" w:rsidP="00E258A7">
            <w:pPr>
              <w:widowControl w:val="0"/>
              <w:pBdr>
                <w:top w:val="nil"/>
                <w:left w:val="nil"/>
                <w:bottom w:val="nil"/>
                <w:right w:val="nil"/>
                <w:between w:val="nil"/>
              </w:pBdr>
              <w:rPr>
                <w:rFonts w:ascii="Arial" w:hAnsi="Arial" w:cs="Arial"/>
                <w:b/>
                <w:bCs/>
                <w:lang w:val="en-GB"/>
              </w:rPr>
            </w:pPr>
            <w:r w:rsidRPr="005676E3">
              <w:rPr>
                <w:rFonts w:ascii="Arial" w:hAnsi="Arial" w:cs="Arial"/>
                <w:b/>
                <w:bCs/>
                <w:lang w:val="en-GB"/>
              </w:rPr>
              <w:t>Year</w:t>
            </w:r>
          </w:p>
        </w:tc>
        <w:tc>
          <w:tcPr>
            <w:tcW w:w="1633" w:type="dxa"/>
          </w:tcPr>
          <w:p w14:paraId="5FBFA84B" w14:textId="77777777" w:rsidR="00047CA5" w:rsidRPr="007B3AB8" w:rsidRDefault="00047CA5" w:rsidP="00DB66B3">
            <w:pPr>
              <w:widowControl w:val="0"/>
              <w:jc w:val="center"/>
              <w:rPr>
                <w:rFonts w:ascii="Arial" w:hAnsi="Arial" w:cs="Arial"/>
                <w:lang w:val="en-GB"/>
              </w:rPr>
            </w:pPr>
            <w:r w:rsidRPr="007B3AB8">
              <w:rPr>
                <w:rFonts w:ascii="Arial" w:hAnsi="Arial" w:cs="Arial"/>
                <w:b/>
                <w:lang w:val="en-GB"/>
              </w:rPr>
              <w:t>Total Revenue</w:t>
            </w:r>
          </w:p>
        </w:tc>
        <w:tc>
          <w:tcPr>
            <w:tcW w:w="2070" w:type="dxa"/>
          </w:tcPr>
          <w:p w14:paraId="56A83BB5" w14:textId="77777777" w:rsidR="00047CA5" w:rsidRPr="007B3AB8" w:rsidRDefault="00047CA5" w:rsidP="00DB66B3">
            <w:pPr>
              <w:widowControl w:val="0"/>
              <w:jc w:val="center"/>
              <w:rPr>
                <w:rFonts w:ascii="Arial" w:hAnsi="Arial" w:cs="Arial"/>
                <w:lang w:val="en-GB"/>
              </w:rPr>
            </w:pPr>
            <w:r w:rsidRPr="007B3AB8">
              <w:rPr>
                <w:rFonts w:ascii="Arial" w:hAnsi="Arial" w:cs="Arial"/>
                <w:b/>
                <w:lang w:val="en-GB"/>
              </w:rPr>
              <w:t>Deposits Received</w:t>
            </w:r>
          </w:p>
        </w:tc>
      </w:tr>
      <w:tr w:rsidR="00C11565" w:rsidRPr="007B3AB8" w14:paraId="4D60BAB5" w14:textId="77777777" w:rsidTr="00AB17A4">
        <w:trPr>
          <w:trHeight w:val="54"/>
          <w:jc w:val="center"/>
        </w:trPr>
        <w:tc>
          <w:tcPr>
            <w:tcW w:w="1152" w:type="dxa"/>
          </w:tcPr>
          <w:p w14:paraId="2B443562" w14:textId="77777777" w:rsidR="00047CA5" w:rsidRPr="007B3AB8" w:rsidRDefault="00047CA5" w:rsidP="005676E3">
            <w:pPr>
              <w:widowControl w:val="0"/>
              <w:rPr>
                <w:rFonts w:ascii="Arial" w:hAnsi="Arial" w:cs="Arial"/>
                <w:lang w:val="en-GB"/>
              </w:rPr>
            </w:pPr>
            <w:r w:rsidRPr="007B3AB8">
              <w:rPr>
                <w:rFonts w:ascii="Arial" w:hAnsi="Arial" w:cs="Arial"/>
                <w:lang w:val="en-GB"/>
              </w:rPr>
              <w:t>2016</w:t>
            </w:r>
          </w:p>
        </w:tc>
        <w:tc>
          <w:tcPr>
            <w:tcW w:w="1633" w:type="dxa"/>
          </w:tcPr>
          <w:p w14:paraId="72C0B47C" w14:textId="77777777" w:rsidR="00047CA5" w:rsidRPr="007B3AB8" w:rsidRDefault="00047CA5" w:rsidP="00E258A7">
            <w:pPr>
              <w:widowControl w:val="0"/>
              <w:jc w:val="right"/>
              <w:rPr>
                <w:rFonts w:ascii="Arial" w:hAnsi="Arial" w:cs="Arial"/>
                <w:lang w:val="en-GB"/>
              </w:rPr>
            </w:pPr>
            <w:r w:rsidRPr="007B3AB8">
              <w:rPr>
                <w:rFonts w:ascii="Arial" w:hAnsi="Arial" w:cs="Arial"/>
                <w:lang w:val="en-GB"/>
              </w:rPr>
              <w:t>$650,000</w:t>
            </w:r>
          </w:p>
        </w:tc>
        <w:tc>
          <w:tcPr>
            <w:tcW w:w="2070" w:type="dxa"/>
          </w:tcPr>
          <w:p w14:paraId="65D8E89D" w14:textId="77777777" w:rsidR="00047CA5" w:rsidRPr="007B3AB8" w:rsidRDefault="00047CA5" w:rsidP="00816ABF">
            <w:pPr>
              <w:widowControl w:val="0"/>
              <w:jc w:val="right"/>
              <w:rPr>
                <w:rFonts w:ascii="Arial" w:hAnsi="Arial" w:cs="Arial"/>
                <w:lang w:val="en-GB"/>
              </w:rPr>
            </w:pPr>
            <w:r w:rsidRPr="007B3AB8">
              <w:rPr>
                <w:rFonts w:ascii="Arial" w:hAnsi="Arial" w:cs="Arial"/>
                <w:lang w:val="en-GB"/>
              </w:rPr>
              <w:t>$130,000</w:t>
            </w:r>
          </w:p>
        </w:tc>
      </w:tr>
      <w:tr w:rsidR="00C11565" w:rsidRPr="007B3AB8" w14:paraId="65B88764" w14:textId="77777777" w:rsidTr="00AB17A4">
        <w:trPr>
          <w:trHeight w:val="54"/>
          <w:jc w:val="center"/>
        </w:trPr>
        <w:tc>
          <w:tcPr>
            <w:tcW w:w="1152" w:type="dxa"/>
          </w:tcPr>
          <w:p w14:paraId="12E78C45" w14:textId="77777777" w:rsidR="00047CA5" w:rsidRPr="007B3AB8" w:rsidRDefault="00047CA5" w:rsidP="005676E3">
            <w:pPr>
              <w:widowControl w:val="0"/>
              <w:rPr>
                <w:rFonts w:ascii="Arial" w:hAnsi="Arial" w:cs="Arial"/>
                <w:lang w:val="en-GB"/>
              </w:rPr>
            </w:pPr>
            <w:r w:rsidRPr="007B3AB8">
              <w:rPr>
                <w:rFonts w:ascii="Arial" w:hAnsi="Arial" w:cs="Arial"/>
                <w:lang w:val="en-GB"/>
              </w:rPr>
              <w:t>2017</w:t>
            </w:r>
          </w:p>
        </w:tc>
        <w:tc>
          <w:tcPr>
            <w:tcW w:w="1633" w:type="dxa"/>
          </w:tcPr>
          <w:p w14:paraId="57FCF6BA" w14:textId="77777777" w:rsidR="00047CA5" w:rsidRPr="007B3AB8" w:rsidRDefault="00047CA5" w:rsidP="00E258A7">
            <w:pPr>
              <w:widowControl w:val="0"/>
              <w:jc w:val="right"/>
              <w:rPr>
                <w:rFonts w:ascii="Arial" w:hAnsi="Arial" w:cs="Arial"/>
                <w:lang w:val="en-GB"/>
              </w:rPr>
            </w:pPr>
            <w:r w:rsidRPr="007B3AB8">
              <w:rPr>
                <w:rFonts w:ascii="Arial" w:hAnsi="Arial" w:cs="Arial"/>
                <w:lang w:val="en-GB"/>
              </w:rPr>
              <w:t>$250,000</w:t>
            </w:r>
          </w:p>
        </w:tc>
        <w:tc>
          <w:tcPr>
            <w:tcW w:w="2070" w:type="dxa"/>
          </w:tcPr>
          <w:p w14:paraId="1E92183C" w14:textId="77777777" w:rsidR="00047CA5" w:rsidRPr="007B3AB8" w:rsidRDefault="00047CA5" w:rsidP="00816ABF">
            <w:pPr>
              <w:widowControl w:val="0"/>
              <w:jc w:val="right"/>
              <w:rPr>
                <w:rFonts w:ascii="Arial" w:hAnsi="Arial" w:cs="Arial"/>
                <w:lang w:val="en-GB"/>
              </w:rPr>
            </w:pPr>
            <w:r w:rsidRPr="007B3AB8">
              <w:rPr>
                <w:rFonts w:ascii="Arial" w:hAnsi="Arial" w:cs="Arial"/>
                <w:lang w:val="en-GB"/>
              </w:rPr>
              <w:t>$50,000</w:t>
            </w:r>
          </w:p>
        </w:tc>
      </w:tr>
      <w:tr w:rsidR="00C11565" w:rsidRPr="007B3AB8" w14:paraId="22927D21" w14:textId="77777777" w:rsidTr="00AB17A4">
        <w:trPr>
          <w:trHeight w:val="54"/>
          <w:jc w:val="center"/>
        </w:trPr>
        <w:tc>
          <w:tcPr>
            <w:tcW w:w="1152" w:type="dxa"/>
          </w:tcPr>
          <w:p w14:paraId="732F001C" w14:textId="77777777" w:rsidR="00047CA5" w:rsidRPr="007B3AB8" w:rsidRDefault="00047CA5" w:rsidP="005676E3">
            <w:pPr>
              <w:widowControl w:val="0"/>
              <w:rPr>
                <w:rFonts w:ascii="Arial" w:hAnsi="Arial" w:cs="Arial"/>
                <w:lang w:val="en-GB"/>
              </w:rPr>
            </w:pPr>
            <w:r w:rsidRPr="007B3AB8">
              <w:rPr>
                <w:rFonts w:ascii="Arial" w:hAnsi="Arial" w:cs="Arial"/>
                <w:lang w:val="en-GB"/>
              </w:rPr>
              <w:t>2018</w:t>
            </w:r>
          </w:p>
        </w:tc>
        <w:tc>
          <w:tcPr>
            <w:tcW w:w="1633" w:type="dxa"/>
          </w:tcPr>
          <w:p w14:paraId="6D242AE1" w14:textId="77777777" w:rsidR="00047CA5" w:rsidRPr="007B3AB8" w:rsidRDefault="00047CA5" w:rsidP="00E258A7">
            <w:pPr>
              <w:widowControl w:val="0"/>
              <w:jc w:val="right"/>
              <w:rPr>
                <w:rFonts w:ascii="Arial" w:hAnsi="Arial" w:cs="Arial"/>
                <w:lang w:val="en-GB"/>
              </w:rPr>
            </w:pPr>
            <w:r w:rsidRPr="007B3AB8">
              <w:rPr>
                <w:rFonts w:ascii="Arial" w:hAnsi="Arial" w:cs="Arial"/>
                <w:lang w:val="en-GB"/>
              </w:rPr>
              <w:t>$150,000</w:t>
            </w:r>
          </w:p>
        </w:tc>
        <w:tc>
          <w:tcPr>
            <w:tcW w:w="2070" w:type="dxa"/>
          </w:tcPr>
          <w:p w14:paraId="1F8DEB8F" w14:textId="77777777" w:rsidR="00047CA5" w:rsidRPr="007B3AB8" w:rsidRDefault="00047CA5" w:rsidP="00816ABF">
            <w:pPr>
              <w:widowControl w:val="0"/>
              <w:jc w:val="right"/>
              <w:rPr>
                <w:rFonts w:ascii="Arial" w:hAnsi="Arial" w:cs="Arial"/>
                <w:lang w:val="en-GB"/>
              </w:rPr>
            </w:pPr>
            <w:r w:rsidRPr="007B3AB8">
              <w:rPr>
                <w:rFonts w:ascii="Arial" w:hAnsi="Arial" w:cs="Arial"/>
                <w:lang w:val="en-GB"/>
              </w:rPr>
              <w:t>$30,000</w:t>
            </w:r>
          </w:p>
        </w:tc>
      </w:tr>
      <w:tr w:rsidR="00C11565" w:rsidRPr="007B3AB8" w14:paraId="2415FE74" w14:textId="77777777" w:rsidTr="00AB17A4">
        <w:trPr>
          <w:trHeight w:val="54"/>
          <w:jc w:val="center"/>
        </w:trPr>
        <w:tc>
          <w:tcPr>
            <w:tcW w:w="1152" w:type="dxa"/>
          </w:tcPr>
          <w:p w14:paraId="68D72CF5" w14:textId="090D83E7" w:rsidR="00047CA5" w:rsidRPr="005676E3" w:rsidRDefault="00C67232" w:rsidP="005676E3">
            <w:pPr>
              <w:widowControl w:val="0"/>
              <w:rPr>
                <w:rFonts w:ascii="Arial" w:hAnsi="Arial" w:cs="Arial"/>
                <w:b/>
                <w:bCs/>
                <w:lang w:val="en-GB"/>
              </w:rPr>
            </w:pPr>
            <w:r w:rsidRPr="005676E3">
              <w:rPr>
                <w:rFonts w:ascii="Arial" w:hAnsi="Arial" w:cs="Arial"/>
                <w:b/>
                <w:bCs/>
                <w:lang w:val="en-GB"/>
              </w:rPr>
              <w:t>Total</w:t>
            </w:r>
          </w:p>
        </w:tc>
        <w:tc>
          <w:tcPr>
            <w:tcW w:w="1633" w:type="dxa"/>
          </w:tcPr>
          <w:p w14:paraId="21E4A845" w14:textId="77777777" w:rsidR="00047CA5" w:rsidRPr="007B3AB8" w:rsidRDefault="00047CA5" w:rsidP="00E258A7">
            <w:pPr>
              <w:widowControl w:val="0"/>
              <w:jc w:val="right"/>
              <w:rPr>
                <w:rFonts w:ascii="Arial" w:hAnsi="Arial" w:cs="Arial"/>
                <w:lang w:val="en-GB"/>
              </w:rPr>
            </w:pPr>
            <w:r w:rsidRPr="007B3AB8">
              <w:rPr>
                <w:rFonts w:ascii="Arial" w:hAnsi="Arial" w:cs="Arial"/>
                <w:lang w:val="en-GB"/>
              </w:rPr>
              <w:t>$1,050,000</w:t>
            </w:r>
          </w:p>
        </w:tc>
        <w:tc>
          <w:tcPr>
            <w:tcW w:w="2070" w:type="dxa"/>
          </w:tcPr>
          <w:p w14:paraId="5C181CCE" w14:textId="77777777" w:rsidR="00047CA5" w:rsidRPr="007B3AB8" w:rsidRDefault="00047CA5" w:rsidP="00816ABF">
            <w:pPr>
              <w:widowControl w:val="0"/>
              <w:jc w:val="right"/>
              <w:rPr>
                <w:rFonts w:ascii="Arial" w:hAnsi="Arial" w:cs="Arial"/>
                <w:lang w:val="en-GB"/>
              </w:rPr>
            </w:pPr>
            <w:r w:rsidRPr="007B3AB8">
              <w:rPr>
                <w:rFonts w:ascii="Arial" w:hAnsi="Arial" w:cs="Arial"/>
                <w:lang w:val="en-GB"/>
              </w:rPr>
              <w:t>$210,000</w:t>
            </w:r>
          </w:p>
        </w:tc>
      </w:tr>
    </w:tbl>
    <w:p w14:paraId="2A64A0CF" w14:textId="77777777" w:rsidR="00047CA5" w:rsidRPr="007B3AB8" w:rsidRDefault="00047CA5" w:rsidP="00047CA5">
      <w:pPr>
        <w:rPr>
          <w:lang w:val="en-GB"/>
        </w:rPr>
      </w:pPr>
    </w:p>
    <w:p w14:paraId="537DA098" w14:textId="61E61A76" w:rsidR="00047CA5" w:rsidRDefault="008C5B97" w:rsidP="008C5B97">
      <w:pPr>
        <w:pStyle w:val="Footnote"/>
        <w:rPr>
          <w:lang w:val="en-GB"/>
        </w:rPr>
      </w:pPr>
      <w:r>
        <w:rPr>
          <w:lang w:val="en-GB"/>
        </w:rPr>
        <w:t xml:space="preserve">Note: </w:t>
      </w:r>
      <w:r w:rsidR="00987929" w:rsidRPr="00987929">
        <w:rPr>
          <w:lang w:val="en-GB"/>
        </w:rPr>
        <w:t xml:space="preserve">Deposits were generally sent directly to safari camps to reserve rooms (and pay for </w:t>
      </w:r>
      <w:r w:rsidR="00987929">
        <w:rPr>
          <w:lang w:val="en-GB"/>
        </w:rPr>
        <w:t>cost of goods sold</w:t>
      </w:r>
      <w:r w:rsidR="00987929" w:rsidRPr="00987929">
        <w:rPr>
          <w:lang w:val="en-GB"/>
        </w:rPr>
        <w:t>) and would therefore not be transferred in cash to Extraordinary Journeys. Clients sent 20 per cent of the cost of bookings to the tour operator as an early deposit. The final 80 per cent of payments were usually sent 60 days before the trip occurred.</w:t>
      </w:r>
    </w:p>
    <w:p w14:paraId="46DD5C79" w14:textId="0D17B3EC" w:rsidR="00374EA2" w:rsidRPr="007B3AB8" w:rsidRDefault="00374EA2" w:rsidP="005676E3">
      <w:pPr>
        <w:pStyle w:val="Footnote"/>
        <w:rPr>
          <w:lang w:val="en-GB"/>
        </w:rPr>
      </w:pPr>
      <w:r>
        <w:rPr>
          <w:lang w:val="en-GB"/>
        </w:rPr>
        <w:t>Source:</w:t>
      </w:r>
      <w:r w:rsidR="00AC1004">
        <w:rPr>
          <w:lang w:val="en-GB"/>
        </w:rPr>
        <w:t xml:space="preserve"> Company files.</w:t>
      </w:r>
    </w:p>
    <w:sectPr w:rsidR="00374EA2" w:rsidRPr="007B3AB8" w:rsidSect="00751E0B">
      <w:headerReference w:type="default" r:id="rId10"/>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F86B2" w16cex:dateUtc="2021-02-11T15:34:00Z"/>
  <w16cex:commentExtensible w16cex:durableId="23CF8728" w16cex:dateUtc="2021-02-11T15:36:00Z"/>
  <w16cex:commentExtensible w16cex:durableId="23CF8930" w16cex:dateUtc="2021-02-11T15:45:00Z"/>
  <w16cex:commentExtensible w16cex:durableId="23CF8945" w16cex:dateUtc="2021-02-11T15:4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BA185" w14:textId="77777777" w:rsidR="0054383C" w:rsidRDefault="0054383C" w:rsidP="00D75295">
      <w:r>
        <w:separator/>
      </w:r>
    </w:p>
  </w:endnote>
  <w:endnote w:type="continuationSeparator" w:id="0">
    <w:p w14:paraId="1B5BB19D" w14:textId="77777777" w:rsidR="0054383C" w:rsidRDefault="0054383C"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5D3EE" w14:textId="77777777" w:rsidR="0054383C" w:rsidRDefault="0054383C" w:rsidP="00D75295">
      <w:r>
        <w:separator/>
      </w:r>
    </w:p>
  </w:footnote>
  <w:footnote w:type="continuationSeparator" w:id="0">
    <w:p w14:paraId="0AC4DE8B" w14:textId="77777777" w:rsidR="0054383C" w:rsidRDefault="0054383C" w:rsidP="00D75295">
      <w:r>
        <w:continuationSeparator/>
      </w:r>
    </w:p>
  </w:footnote>
  <w:footnote w:id="1">
    <w:p w14:paraId="20BCC416" w14:textId="2EE664B9" w:rsidR="005676E3" w:rsidRPr="005676E3" w:rsidRDefault="005676E3" w:rsidP="00CA1C48">
      <w:pPr>
        <w:pStyle w:val="FootnoteText"/>
        <w:jc w:val="both"/>
        <w:rPr>
          <w:rFonts w:ascii="Arial" w:hAnsi="Arial" w:cs="Arial"/>
          <w:sz w:val="17"/>
          <w:szCs w:val="17"/>
          <w:lang w:val="en-CA"/>
        </w:rPr>
      </w:pPr>
      <w:r w:rsidRPr="005676E3">
        <w:rPr>
          <w:rStyle w:val="FootnoteReference"/>
          <w:rFonts w:ascii="Arial" w:hAnsi="Arial" w:cs="Arial"/>
          <w:sz w:val="17"/>
          <w:szCs w:val="17"/>
        </w:rPr>
        <w:footnoteRef/>
      </w:r>
      <w:r w:rsidRPr="005676E3">
        <w:rPr>
          <w:rFonts w:ascii="Arial" w:hAnsi="Arial" w:cs="Arial"/>
          <w:sz w:val="17"/>
          <w:szCs w:val="17"/>
        </w:rPr>
        <w:t xml:space="preserve"> </w:t>
      </w:r>
      <w:r w:rsidRPr="005676E3">
        <w:rPr>
          <w:rFonts w:ascii="Arial" w:hAnsi="Arial" w:cs="Arial"/>
          <w:sz w:val="17"/>
          <w:szCs w:val="17"/>
          <w:lang w:val="en-CA"/>
        </w:rPr>
        <w:t>All dollar amounts are in US dollars.</w:t>
      </w:r>
    </w:p>
  </w:footnote>
  <w:footnote w:id="2">
    <w:p w14:paraId="2F5B138A" w14:textId="1C41F370" w:rsidR="005676E3" w:rsidRPr="00A50DF5" w:rsidRDefault="005676E3" w:rsidP="00CA1C48">
      <w:pPr>
        <w:pStyle w:val="Footnote"/>
        <w:rPr>
          <w:spacing w:val="-4"/>
          <w:lang w:val="en-GB"/>
        </w:rPr>
      </w:pPr>
      <w:r w:rsidRPr="00A50DF5">
        <w:rPr>
          <w:rStyle w:val="FootnoteReference"/>
          <w:spacing w:val="-4"/>
          <w:lang w:val="en-GB"/>
        </w:rPr>
        <w:footnoteRef/>
      </w:r>
      <w:r w:rsidRPr="00A50DF5">
        <w:rPr>
          <w:spacing w:val="-4"/>
          <w:vertAlign w:val="superscript"/>
          <w:lang w:val="en-GB"/>
        </w:rPr>
        <w:t xml:space="preserve"> </w:t>
      </w:r>
      <w:r w:rsidRPr="00A50DF5">
        <w:rPr>
          <w:spacing w:val="-4"/>
          <w:lang w:val="en-GB"/>
        </w:rPr>
        <w:t xml:space="preserve">Author’s estimates after conducting interviews with safari tour operators in New York </w:t>
      </w:r>
      <w:r w:rsidR="00D45686" w:rsidRPr="00A50DF5">
        <w:rPr>
          <w:spacing w:val="-4"/>
          <w:lang w:val="en-GB"/>
        </w:rPr>
        <w:t xml:space="preserve">City </w:t>
      </w:r>
      <w:r w:rsidRPr="00A50DF5">
        <w:rPr>
          <w:spacing w:val="-4"/>
          <w:lang w:val="en-GB"/>
        </w:rPr>
        <w:t xml:space="preserve">and reviewing primary and secondary sources; </w:t>
      </w:r>
      <w:bookmarkStart w:id="0" w:name="_Hlk56601289"/>
      <w:r w:rsidRPr="00A50DF5">
        <w:rPr>
          <w:spacing w:val="-4"/>
          <w:lang w:val="en-GB"/>
        </w:rPr>
        <w:t xml:space="preserve">Richard D’Ambrosio, “Authentic Africa Safari Experiences Can Still Be Found,” Travel Market Report, February 8, 2017, accessed July 10, 2018, </w:t>
      </w:r>
      <w:r w:rsidRPr="00A50DF5">
        <w:rPr>
          <w:rStyle w:val="Hyperlink"/>
          <w:color w:val="auto"/>
          <w:spacing w:val="-4"/>
          <w:u w:val="none"/>
          <w:lang w:val="en-GB"/>
        </w:rPr>
        <w:t>www.travelmarketreport.com/articles/Authentic-Africa-Safari-Experiences-Can-Still-Be-Found</w:t>
      </w:r>
      <w:r w:rsidRPr="00A50DF5">
        <w:rPr>
          <w:spacing w:val="-4"/>
          <w:lang w:val="en-GB"/>
        </w:rPr>
        <w:t xml:space="preserve">. </w:t>
      </w:r>
      <w:bookmarkEnd w:id="0"/>
    </w:p>
  </w:footnote>
  <w:footnote w:id="3">
    <w:p w14:paraId="54095EA3" w14:textId="0C1C27DC" w:rsidR="005676E3" w:rsidRPr="007B3AB8" w:rsidRDefault="005676E3" w:rsidP="00CA1C48">
      <w:pPr>
        <w:pStyle w:val="Footnote"/>
        <w:rPr>
          <w:lang w:val="en-GB"/>
        </w:rPr>
      </w:pPr>
      <w:r w:rsidRPr="007B3AB8">
        <w:rPr>
          <w:vertAlign w:val="superscript"/>
          <w:lang w:val="en-GB"/>
        </w:rPr>
        <w:footnoteRef/>
      </w:r>
      <w:r w:rsidRPr="007B3AB8">
        <w:rPr>
          <w:lang w:val="en-GB"/>
        </w:rPr>
        <w:t xml:space="preserve"> “Safari Tour Operators,” </w:t>
      </w:r>
      <w:r>
        <w:rPr>
          <w:lang w:val="en-GB"/>
        </w:rPr>
        <w:t>SafariBookings</w:t>
      </w:r>
      <w:r w:rsidRPr="007B3AB8">
        <w:rPr>
          <w:lang w:val="en-GB"/>
        </w:rPr>
        <w:t>, accessed July 15, 2020,</w:t>
      </w:r>
      <w:r>
        <w:rPr>
          <w:lang w:val="en-GB"/>
        </w:rPr>
        <w:t xml:space="preserve"> </w:t>
      </w:r>
      <w:r w:rsidRPr="00B57C6B">
        <w:rPr>
          <w:rStyle w:val="Hyperlink"/>
          <w:color w:val="auto"/>
          <w:u w:val="none"/>
          <w:lang w:val="en-GB"/>
        </w:rPr>
        <w:t>www.safaribookings.com/operators</w:t>
      </w:r>
      <w:r w:rsidRPr="007B3AB8">
        <w:rPr>
          <w:lang w:val="en-GB"/>
        </w:rPr>
        <w:t>.</w:t>
      </w:r>
    </w:p>
  </w:footnote>
  <w:footnote w:id="4">
    <w:p w14:paraId="06807453" w14:textId="19D70631" w:rsidR="005676E3" w:rsidRPr="007B3AB8" w:rsidRDefault="005676E3" w:rsidP="00CA1C48">
      <w:pPr>
        <w:pStyle w:val="Footnote"/>
        <w:rPr>
          <w:lang w:val="en-GB"/>
        </w:rPr>
      </w:pPr>
      <w:r w:rsidRPr="007B3AB8">
        <w:rPr>
          <w:vertAlign w:val="superscript"/>
          <w:lang w:val="en-GB"/>
        </w:rPr>
        <w:footnoteRef/>
      </w:r>
      <w:r w:rsidRPr="007B3AB8">
        <w:rPr>
          <w:lang w:val="en-GB"/>
        </w:rPr>
        <w:t xml:space="preserve"> Marco Sholtz, “</w:t>
      </w:r>
      <w:r w:rsidRPr="00E81865">
        <w:rPr>
          <w:lang w:val="en-GB"/>
        </w:rPr>
        <w:t>Why Millions Chose Africa as Their Safari Destination</w:t>
      </w:r>
      <w:r w:rsidRPr="007B3AB8">
        <w:rPr>
          <w:lang w:val="en-GB"/>
        </w:rPr>
        <w:t xml:space="preserve">,” The Conversation, January 11, 2016, accessed July 15, 2020, </w:t>
      </w:r>
      <w:r w:rsidRPr="00B57C6B">
        <w:rPr>
          <w:rStyle w:val="Hyperlink"/>
          <w:color w:val="auto"/>
          <w:u w:val="none"/>
          <w:lang w:val="en-GB"/>
        </w:rPr>
        <w:t>http://theconversation.com/why-millions-chose-africa-as-their-safari-destination-52503</w:t>
      </w:r>
      <w:r w:rsidRPr="007B3AB8">
        <w:rPr>
          <w:lang w:val="en-GB"/>
        </w:rPr>
        <w:t>.</w:t>
      </w:r>
    </w:p>
  </w:footnote>
  <w:footnote w:id="5">
    <w:p w14:paraId="08FB5738" w14:textId="0E3D4BC4" w:rsidR="005676E3" w:rsidRPr="007B3AB8" w:rsidRDefault="005676E3" w:rsidP="00CA1C48">
      <w:pPr>
        <w:pStyle w:val="Footnote"/>
        <w:rPr>
          <w:lang w:val="en-GB"/>
        </w:rPr>
      </w:pPr>
      <w:r w:rsidRPr="007B3AB8">
        <w:rPr>
          <w:vertAlign w:val="superscript"/>
          <w:lang w:val="en-GB"/>
        </w:rPr>
        <w:footnoteRef/>
      </w:r>
      <w:r w:rsidRPr="00AB17A4">
        <w:rPr>
          <w:lang w:val="en-GB"/>
        </w:rPr>
        <w:t xml:space="preserve"> </w:t>
      </w:r>
      <w:r w:rsidRPr="007B3AB8">
        <w:rPr>
          <w:lang w:val="en-GB"/>
        </w:rPr>
        <w:t xml:space="preserve">Wilderness Holdings, </w:t>
      </w:r>
      <w:r w:rsidRPr="00AC1004">
        <w:rPr>
          <w:i/>
          <w:iCs/>
          <w:lang w:val="en-GB"/>
        </w:rPr>
        <w:t>Integrated Annual Report for the Year Ended 29 February 2016</w:t>
      </w:r>
      <w:r w:rsidRPr="007B3AB8">
        <w:rPr>
          <w:lang w:val="en-GB"/>
        </w:rPr>
        <w:t xml:space="preserve">, 120, June 1, 2016, accessed July 15, 2020, </w:t>
      </w:r>
      <w:r w:rsidRPr="00B57C6B">
        <w:rPr>
          <w:rStyle w:val="Hyperlink"/>
          <w:color w:val="auto"/>
          <w:u w:val="none"/>
          <w:lang w:val="en-GB"/>
        </w:rPr>
        <w:t>https://assets.documentcloud.org/documents/4060521/Wilderness-Holdings-Integrated-Annual-Report-2016.pdf</w:t>
      </w:r>
      <w:r w:rsidRPr="007B3AB8">
        <w:rPr>
          <w:lang w:val="en-GB"/>
        </w:rPr>
        <w:t>.</w:t>
      </w:r>
    </w:p>
  </w:footnote>
  <w:footnote w:id="6">
    <w:p w14:paraId="2D4DA243" w14:textId="2F31E4C9" w:rsidR="005676E3" w:rsidRPr="007B3AB8" w:rsidRDefault="005676E3" w:rsidP="00CA1C48">
      <w:pPr>
        <w:pStyle w:val="Footnote"/>
        <w:rPr>
          <w:lang w:val="en-GB"/>
        </w:rPr>
      </w:pPr>
      <w:r w:rsidRPr="007B3AB8">
        <w:rPr>
          <w:vertAlign w:val="superscript"/>
          <w:lang w:val="en-GB"/>
        </w:rPr>
        <w:footnoteRef/>
      </w:r>
      <w:r>
        <w:rPr>
          <w:lang w:val="en-GB"/>
        </w:rPr>
        <w:t xml:space="preserve"> </w:t>
      </w:r>
      <w:r w:rsidRPr="00AC1004">
        <w:rPr>
          <w:lang w:val="en-GB"/>
        </w:rPr>
        <w:t xml:space="preserve">“Our Africa,” </w:t>
      </w:r>
      <w:r w:rsidRPr="007B3AB8">
        <w:rPr>
          <w:lang w:val="en-GB"/>
        </w:rPr>
        <w:t xml:space="preserve">Wilderness </w:t>
      </w:r>
      <w:r>
        <w:rPr>
          <w:lang w:val="en-GB"/>
        </w:rPr>
        <w:t>Safaris,</w:t>
      </w:r>
      <w:r w:rsidRPr="007B3AB8">
        <w:rPr>
          <w:lang w:val="en-GB"/>
        </w:rPr>
        <w:t xml:space="preserve"> </w:t>
      </w:r>
      <w:r>
        <w:rPr>
          <w:lang w:val="en-GB"/>
        </w:rPr>
        <w:t xml:space="preserve">accessed </w:t>
      </w:r>
      <w:r w:rsidR="000F6B43">
        <w:rPr>
          <w:lang w:val="en-GB"/>
        </w:rPr>
        <w:t>July 15, 2020</w:t>
      </w:r>
      <w:r>
        <w:rPr>
          <w:lang w:val="en-GB"/>
        </w:rPr>
        <w:t xml:space="preserve">, </w:t>
      </w:r>
      <w:r w:rsidRPr="007B3AB8">
        <w:rPr>
          <w:lang w:val="en-GB"/>
        </w:rPr>
        <w:t>https://wilderness-safaris.com/our-camps</w:t>
      </w:r>
      <w:r>
        <w:rPr>
          <w:lang w:val="en-GB"/>
        </w:rPr>
        <w:t>; “Accommodations,” Extraordinary Journeys, accessed</w:t>
      </w:r>
      <w:r w:rsidR="000F6B43">
        <w:rPr>
          <w:lang w:val="en-GB"/>
        </w:rPr>
        <w:t xml:space="preserve"> July 15, 2020</w:t>
      </w:r>
      <w:r>
        <w:rPr>
          <w:lang w:val="en-GB"/>
        </w:rPr>
        <w:t xml:space="preserve">, </w:t>
      </w:r>
      <w:r w:rsidRPr="007B3AB8">
        <w:rPr>
          <w:lang w:val="en-GB"/>
        </w:rPr>
        <w:t>www.extraordinaryjourneys.com/explore/accommodations/</w:t>
      </w:r>
      <w:r>
        <w:rPr>
          <w:lang w:val="en-GB"/>
        </w:rPr>
        <w:t xml:space="preserve">. </w:t>
      </w:r>
      <w:r w:rsidRPr="007B3AB8">
        <w:rPr>
          <w:lang w:val="en-GB"/>
        </w:rPr>
        <w:t xml:space="preserve">Wilderness Safaris </w:t>
      </w:r>
      <w:r>
        <w:rPr>
          <w:lang w:val="en-GB"/>
        </w:rPr>
        <w:t>managed</w:t>
      </w:r>
      <w:r w:rsidRPr="007B3AB8">
        <w:rPr>
          <w:lang w:val="en-GB"/>
        </w:rPr>
        <w:t xml:space="preserve"> over 30 safari camps and lodges</w:t>
      </w:r>
      <w:r>
        <w:rPr>
          <w:lang w:val="en-GB"/>
        </w:rPr>
        <w:t>,</w:t>
      </w:r>
      <w:r w:rsidRPr="007B3AB8">
        <w:rPr>
          <w:lang w:val="en-GB"/>
        </w:rPr>
        <w:t xml:space="preserve"> while </w:t>
      </w:r>
      <w:r>
        <w:rPr>
          <w:lang w:val="en-GB"/>
        </w:rPr>
        <w:t>EJ</w:t>
      </w:r>
      <w:r w:rsidRPr="007B3AB8">
        <w:rPr>
          <w:lang w:val="en-GB"/>
        </w:rPr>
        <w:t xml:space="preserve"> consistently </w:t>
      </w:r>
      <w:r>
        <w:rPr>
          <w:lang w:val="en-GB"/>
        </w:rPr>
        <w:t xml:space="preserve">booked </w:t>
      </w:r>
      <w:r w:rsidRPr="007B3AB8">
        <w:rPr>
          <w:lang w:val="en-GB"/>
        </w:rPr>
        <w:t>from over 330 total safari camps and lodges.</w:t>
      </w:r>
    </w:p>
  </w:footnote>
  <w:footnote w:id="7">
    <w:p w14:paraId="1656B08B" w14:textId="6EA73ABA" w:rsidR="005676E3" w:rsidRPr="007B3AB8" w:rsidRDefault="005676E3" w:rsidP="00CA1C48">
      <w:pPr>
        <w:pStyle w:val="Footnote"/>
        <w:rPr>
          <w:lang w:val="en-GB"/>
        </w:rPr>
      </w:pPr>
      <w:r w:rsidRPr="007B3AB8">
        <w:rPr>
          <w:vertAlign w:val="superscript"/>
          <w:lang w:val="en-GB"/>
        </w:rPr>
        <w:footnoteRef/>
      </w:r>
      <w:r w:rsidRPr="007B3AB8">
        <w:rPr>
          <w:lang w:val="en-GB"/>
        </w:rPr>
        <w:t xml:space="preserve"> </w:t>
      </w:r>
      <w:r w:rsidRPr="00DD337C">
        <w:rPr>
          <w:lang w:val="en-GB"/>
        </w:rPr>
        <w:t>Rose Dykins</w:t>
      </w:r>
      <w:r w:rsidRPr="007B3AB8">
        <w:rPr>
          <w:lang w:val="en-GB"/>
        </w:rPr>
        <w:t xml:space="preserve">, </w:t>
      </w:r>
      <w:r w:rsidRPr="005676E3">
        <w:rPr>
          <w:i/>
          <w:iCs/>
          <w:lang w:val="en-GB"/>
        </w:rPr>
        <w:t>Shaping the Future of Luxury Travel: Future Traveller Tribes 2030</w:t>
      </w:r>
      <w:r>
        <w:rPr>
          <w:lang w:val="en-GB"/>
        </w:rPr>
        <w:t>,</w:t>
      </w:r>
      <w:r w:rsidRPr="007B3AB8">
        <w:rPr>
          <w:lang w:val="en-GB"/>
        </w:rPr>
        <w:t xml:space="preserve"> 5</w:t>
      </w:r>
      <w:r>
        <w:rPr>
          <w:lang w:val="en-GB"/>
        </w:rPr>
        <w:t>–</w:t>
      </w:r>
      <w:r w:rsidRPr="007B3AB8">
        <w:rPr>
          <w:lang w:val="en-GB"/>
        </w:rPr>
        <w:t xml:space="preserve">10, </w:t>
      </w:r>
      <w:r>
        <w:rPr>
          <w:lang w:val="en-GB"/>
        </w:rPr>
        <w:t>2016</w:t>
      </w:r>
      <w:r w:rsidRPr="007B3AB8">
        <w:rPr>
          <w:lang w:val="en-GB"/>
        </w:rPr>
        <w:t xml:space="preserve">, </w:t>
      </w:r>
      <w:r>
        <w:rPr>
          <w:lang w:val="en-GB"/>
        </w:rPr>
        <w:t>accessed</w:t>
      </w:r>
      <w:r w:rsidRPr="007B3AB8">
        <w:rPr>
          <w:lang w:val="en-GB"/>
        </w:rPr>
        <w:t xml:space="preserve"> July 15, 2020,</w:t>
      </w:r>
      <w:r>
        <w:rPr>
          <w:lang w:val="en-GB"/>
        </w:rPr>
        <w:t xml:space="preserve"> </w:t>
      </w:r>
      <w:r w:rsidRPr="00B57C6B">
        <w:rPr>
          <w:rStyle w:val="Hyperlink"/>
          <w:color w:val="auto"/>
          <w:u w:val="none"/>
          <w:lang w:val="en-GB"/>
        </w:rPr>
        <w:t>https://amadeus.com/documents/en/travel-industry/report/shaping-the-future-of-luxury-travel-future-traveller-tribes-2030.pdf</w:t>
      </w:r>
      <w:r w:rsidRPr="007B3AB8">
        <w:rPr>
          <w:lang w:val="en-GB"/>
        </w:rPr>
        <w:t>.</w:t>
      </w:r>
    </w:p>
  </w:footnote>
  <w:footnote w:id="8">
    <w:p w14:paraId="4E9A8CE4" w14:textId="58289BF7" w:rsidR="005676E3" w:rsidRPr="007B3AB8" w:rsidRDefault="005676E3" w:rsidP="00CA1C48">
      <w:pPr>
        <w:pStyle w:val="Footnote"/>
        <w:rPr>
          <w:lang w:val="en-GB"/>
        </w:rPr>
      </w:pPr>
      <w:r w:rsidRPr="007B3AB8">
        <w:rPr>
          <w:vertAlign w:val="superscript"/>
          <w:lang w:val="en-GB"/>
        </w:rPr>
        <w:footnoteRef/>
      </w:r>
      <w:r w:rsidRPr="007B3AB8">
        <w:rPr>
          <w:lang w:val="en-GB"/>
        </w:rPr>
        <w:t xml:space="preserve"> “World’s Best Hotels 2011,” </w:t>
      </w:r>
      <w:r w:rsidRPr="005676E3">
        <w:rPr>
          <w:i/>
          <w:iCs/>
          <w:lang w:val="en-GB"/>
        </w:rPr>
        <w:t>Travel + Leisure</w:t>
      </w:r>
      <w:r w:rsidRPr="007B3AB8">
        <w:rPr>
          <w:lang w:val="en-GB"/>
        </w:rPr>
        <w:t>, July 6, 2012, accessed July 15, 2020, www.travelandleisure.com/slideshows/worlds-best-hotels-2011</w:t>
      </w:r>
      <w:r>
        <w:rPr>
          <w:lang w:val="en-GB"/>
        </w:rPr>
        <w:t xml:space="preserve">; “World’s Best Hotels 2013,” </w:t>
      </w:r>
      <w:r w:rsidRPr="000B253D">
        <w:rPr>
          <w:i/>
          <w:iCs/>
          <w:lang w:val="en-GB"/>
        </w:rPr>
        <w:t>Travel + Leisure</w:t>
      </w:r>
      <w:r>
        <w:rPr>
          <w:lang w:val="en-GB"/>
        </w:rPr>
        <w:t xml:space="preserve">, July 1, 2013, accessed </w:t>
      </w:r>
      <w:r w:rsidR="006057D7">
        <w:rPr>
          <w:lang w:val="en-GB"/>
        </w:rPr>
        <w:t>July 15, 2020</w:t>
      </w:r>
      <w:r>
        <w:rPr>
          <w:lang w:val="en-GB"/>
        </w:rPr>
        <w:t xml:space="preserve">, </w:t>
      </w:r>
      <w:r w:rsidRPr="007B3AB8">
        <w:rPr>
          <w:lang w:val="en-GB"/>
        </w:rPr>
        <w:t>www.travelandleisure.com/slideshows/worlds-best-hotels-2013?slide=141537#141537</w:t>
      </w:r>
      <w:r>
        <w:rPr>
          <w:lang w:val="en-GB"/>
        </w:rPr>
        <w:t>.</w:t>
      </w:r>
    </w:p>
  </w:footnote>
  <w:footnote w:id="9">
    <w:p w14:paraId="1A1BDD99" w14:textId="28F44286" w:rsidR="005676E3" w:rsidRPr="007B3AB8" w:rsidRDefault="005676E3" w:rsidP="00CA1C48">
      <w:pPr>
        <w:pStyle w:val="Footnote"/>
        <w:rPr>
          <w:lang w:val="en-GB"/>
        </w:rPr>
      </w:pPr>
      <w:r w:rsidRPr="007B3AB8">
        <w:rPr>
          <w:rStyle w:val="FootnoteReference"/>
          <w:lang w:val="en-GB"/>
        </w:rPr>
        <w:footnoteRef/>
      </w:r>
      <w:r w:rsidRPr="00AB17A4">
        <w:rPr>
          <w:lang w:val="en-GB"/>
        </w:rPr>
        <w:t xml:space="preserve"> </w:t>
      </w:r>
      <w:r w:rsidRPr="007B3AB8">
        <w:rPr>
          <w:lang w:val="en-GB"/>
        </w:rPr>
        <w:t xml:space="preserve">“World’s Best Hotels 2012,” </w:t>
      </w:r>
      <w:r w:rsidRPr="00520D99">
        <w:rPr>
          <w:i/>
          <w:iCs/>
          <w:lang w:val="en-GB"/>
        </w:rPr>
        <w:t>Travel + Leisure</w:t>
      </w:r>
      <w:r w:rsidRPr="00816ABF">
        <w:rPr>
          <w:lang w:val="en-GB"/>
        </w:rPr>
        <w:t xml:space="preserve">, </w:t>
      </w:r>
      <w:r w:rsidRPr="007B3AB8">
        <w:rPr>
          <w:lang w:val="en-GB"/>
        </w:rPr>
        <w:t xml:space="preserve">July 3, 2013, accessed July 15, 2020, </w:t>
      </w:r>
      <w:r w:rsidRPr="00B57C6B">
        <w:rPr>
          <w:rStyle w:val="Hyperlink"/>
          <w:color w:val="auto"/>
          <w:u w:val="none"/>
          <w:lang w:val="en-GB"/>
        </w:rPr>
        <w:t>www.travelandleisure.com/hotels-resorts/worlds-best-hotels-2012</w:t>
      </w:r>
      <w:r w:rsidRPr="007B3AB8">
        <w:rPr>
          <w:lang w:val="en-GB"/>
        </w:rPr>
        <w:t>.</w:t>
      </w:r>
    </w:p>
  </w:footnote>
  <w:footnote w:id="10">
    <w:p w14:paraId="3A10F719" w14:textId="23ACADB9" w:rsidR="005676E3" w:rsidRPr="007B3AB8" w:rsidRDefault="005676E3" w:rsidP="00CA1C48">
      <w:pPr>
        <w:pStyle w:val="Footnote"/>
        <w:rPr>
          <w:lang w:val="en-GB"/>
        </w:rPr>
      </w:pPr>
      <w:r w:rsidRPr="007B3AB8">
        <w:rPr>
          <w:rStyle w:val="FootnoteReference"/>
          <w:lang w:val="en-GB"/>
        </w:rPr>
        <w:footnoteRef/>
      </w:r>
      <w:r w:rsidRPr="007B3AB8">
        <w:rPr>
          <w:lang w:val="en-GB"/>
        </w:rPr>
        <w:t xml:space="preserve"> “World’s Best Hotels 2013,”</w:t>
      </w:r>
      <w:r>
        <w:rPr>
          <w:lang w:val="en-GB"/>
        </w:rPr>
        <w:t xml:space="preserve"> op. cit</w:t>
      </w:r>
      <w:r w:rsidRPr="007B3AB8">
        <w:rPr>
          <w:lang w:val="en-GB"/>
        </w:rPr>
        <w:t>.</w:t>
      </w:r>
    </w:p>
  </w:footnote>
  <w:footnote w:id="11">
    <w:p w14:paraId="37E43C9F" w14:textId="77777777" w:rsidR="005676E3" w:rsidRPr="007B3AB8" w:rsidRDefault="005676E3" w:rsidP="00CA1C48">
      <w:pPr>
        <w:pStyle w:val="Footnote"/>
        <w:rPr>
          <w:lang w:val="en-GB"/>
        </w:rPr>
      </w:pPr>
      <w:r w:rsidRPr="007B3AB8">
        <w:rPr>
          <w:rStyle w:val="FootnoteReference"/>
          <w:lang w:val="en-GB"/>
        </w:rPr>
        <w:footnoteRef/>
      </w:r>
      <w:r w:rsidRPr="007B3AB8">
        <w:rPr>
          <w:lang w:val="en-GB"/>
        </w:rPr>
        <w:t xml:space="preserve"> Dana Schuster, “Swanky Singita Is the Safari Spot to the Stars,” </w:t>
      </w:r>
      <w:r w:rsidRPr="00AC1004">
        <w:rPr>
          <w:i/>
          <w:iCs/>
          <w:lang w:val="en-GB"/>
        </w:rPr>
        <w:t>New York Post</w:t>
      </w:r>
      <w:r w:rsidRPr="00816ABF">
        <w:rPr>
          <w:lang w:val="en-GB"/>
        </w:rPr>
        <w:t xml:space="preserve">, </w:t>
      </w:r>
      <w:r w:rsidRPr="007B3AB8">
        <w:rPr>
          <w:lang w:val="en-GB"/>
        </w:rPr>
        <w:t>February 17, 2016, accessed July 10, 2018, https://nypost.com/2016/02/17/swanky-singita-is-the-safari-spot-to-the-stars/.</w:t>
      </w:r>
    </w:p>
  </w:footnote>
  <w:footnote w:id="12">
    <w:p w14:paraId="49F65EA0" w14:textId="0877E5D3" w:rsidR="005676E3" w:rsidRPr="000638A8" w:rsidRDefault="005676E3" w:rsidP="00CA1C48">
      <w:pPr>
        <w:pStyle w:val="Footnote"/>
        <w:rPr>
          <w:spacing w:val="-4"/>
          <w:lang w:val="en-GB"/>
        </w:rPr>
      </w:pPr>
      <w:r w:rsidRPr="000638A8">
        <w:rPr>
          <w:rStyle w:val="FootnoteReference"/>
          <w:spacing w:val="-4"/>
          <w:lang w:val="en-GB"/>
        </w:rPr>
        <w:footnoteRef/>
      </w:r>
      <w:r w:rsidRPr="000638A8">
        <w:rPr>
          <w:spacing w:val="-4"/>
          <w:lang w:val="en-GB"/>
        </w:rPr>
        <w:t xml:space="preserve"> Author’s estimates after conducting interviews with safari tour operators in New York </w:t>
      </w:r>
      <w:r w:rsidR="003662A3">
        <w:rPr>
          <w:spacing w:val="-4"/>
          <w:lang w:val="en-GB"/>
        </w:rPr>
        <w:t xml:space="preserve">City </w:t>
      </w:r>
      <w:r w:rsidRPr="000638A8">
        <w:rPr>
          <w:spacing w:val="-4"/>
          <w:lang w:val="en-GB"/>
        </w:rPr>
        <w:t>and reviewing primary and secondary sources.</w:t>
      </w:r>
    </w:p>
  </w:footnote>
  <w:footnote w:id="13">
    <w:p w14:paraId="0B99092E" w14:textId="17C2B978" w:rsidR="005676E3" w:rsidRPr="007B3AB8" w:rsidRDefault="005676E3" w:rsidP="00CA1C48">
      <w:pPr>
        <w:pStyle w:val="Footnote"/>
        <w:rPr>
          <w:lang w:val="en-GB"/>
        </w:rPr>
      </w:pPr>
      <w:r w:rsidRPr="007B3AB8">
        <w:rPr>
          <w:rStyle w:val="FootnoteReference"/>
          <w:lang w:val="en-GB"/>
        </w:rPr>
        <w:footnoteRef/>
      </w:r>
      <w:r w:rsidRPr="007B3AB8">
        <w:rPr>
          <w:lang w:val="en-GB"/>
        </w:rPr>
        <w:t xml:space="preserve"> “Safari Tour Operators,” </w:t>
      </w:r>
      <w:r>
        <w:rPr>
          <w:lang w:val="en-GB"/>
        </w:rPr>
        <w:t>op. cit.</w:t>
      </w:r>
    </w:p>
  </w:footnote>
  <w:footnote w:id="14">
    <w:p w14:paraId="0901D027" w14:textId="2451F00F" w:rsidR="005676E3" w:rsidRPr="007B3AB8" w:rsidRDefault="005676E3" w:rsidP="00CA1C48">
      <w:pPr>
        <w:pStyle w:val="Footnote"/>
        <w:rPr>
          <w:lang w:val="en-GB"/>
        </w:rPr>
      </w:pPr>
      <w:r w:rsidRPr="007B3AB8">
        <w:rPr>
          <w:vertAlign w:val="superscript"/>
          <w:lang w:val="en-GB"/>
        </w:rPr>
        <w:footnoteRef/>
      </w:r>
      <w:r w:rsidRPr="00AB17A4">
        <w:rPr>
          <w:lang w:val="en-GB"/>
        </w:rPr>
        <w:t xml:space="preserve"> </w:t>
      </w:r>
      <w:r w:rsidRPr="007B3AB8">
        <w:rPr>
          <w:lang w:val="en-GB"/>
        </w:rPr>
        <w:t xml:space="preserve">Sara Clemence, “Lions, Leopards and Luxury,” </w:t>
      </w:r>
      <w:r w:rsidRPr="00520D99">
        <w:rPr>
          <w:i/>
          <w:iCs/>
          <w:lang w:val="en-GB"/>
        </w:rPr>
        <w:t>Wall Street Journal</w:t>
      </w:r>
      <w:r w:rsidRPr="007B3AB8">
        <w:rPr>
          <w:lang w:val="en-GB"/>
        </w:rPr>
        <w:t xml:space="preserve">, July 2, 2011, accessed July 16, 2020, </w:t>
      </w:r>
      <w:r w:rsidRPr="00B57C6B">
        <w:rPr>
          <w:rStyle w:val="Hyperlink"/>
          <w:color w:val="auto"/>
          <w:u w:val="none"/>
          <w:lang w:val="en-GB"/>
        </w:rPr>
        <w:t>www.wsj.com/articles/SB10001424052702304314404576414044167563626</w:t>
      </w:r>
      <w:r w:rsidRPr="007B3AB8">
        <w:rPr>
          <w:lang w:val="en-GB"/>
        </w:rPr>
        <w:t>.</w:t>
      </w:r>
    </w:p>
  </w:footnote>
  <w:footnote w:id="15">
    <w:p w14:paraId="259B229D" w14:textId="76734384" w:rsidR="005676E3" w:rsidRPr="007B3AB8" w:rsidRDefault="005676E3" w:rsidP="00CA1C48">
      <w:pPr>
        <w:pStyle w:val="Footnote"/>
        <w:rPr>
          <w:lang w:val="en-GB"/>
        </w:rPr>
      </w:pPr>
      <w:r w:rsidRPr="007B3AB8">
        <w:rPr>
          <w:rStyle w:val="FootnoteReference"/>
          <w:lang w:val="en-GB"/>
        </w:rPr>
        <w:footnoteRef/>
      </w:r>
      <w:r w:rsidRPr="00AB17A4">
        <w:rPr>
          <w:lang w:val="en-GB"/>
        </w:rPr>
        <w:t xml:space="preserve"> </w:t>
      </w:r>
      <w:r w:rsidRPr="007B3AB8">
        <w:rPr>
          <w:lang w:val="en-GB"/>
        </w:rPr>
        <w:t>Sophy Roberts, “</w:t>
      </w:r>
      <w:r>
        <w:rPr>
          <w:lang w:val="en-GB"/>
        </w:rPr>
        <w:t>A Guide to Safari Guides</w:t>
      </w:r>
      <w:r w:rsidRPr="007B3AB8">
        <w:rPr>
          <w:lang w:val="en-GB"/>
        </w:rPr>
        <w:t xml:space="preserve">,” </w:t>
      </w:r>
      <w:r w:rsidRPr="00520D99">
        <w:rPr>
          <w:i/>
          <w:iCs/>
          <w:lang w:val="en-GB"/>
        </w:rPr>
        <w:t>Departures</w:t>
      </w:r>
      <w:r w:rsidRPr="007B3AB8">
        <w:rPr>
          <w:lang w:val="en-GB"/>
        </w:rPr>
        <w:t xml:space="preserve">, September 17, 2013, accessed July 16, 2020, </w:t>
      </w:r>
      <w:r w:rsidRPr="00B57C6B">
        <w:rPr>
          <w:rStyle w:val="Hyperlink"/>
          <w:color w:val="auto"/>
          <w:u w:val="none"/>
          <w:lang w:val="en-GB"/>
        </w:rPr>
        <w:t>www.departures.com/travel/travel/guide-safari-guides</w:t>
      </w:r>
      <w:r w:rsidRPr="007B3AB8">
        <w:rPr>
          <w:lang w:val="en-GB"/>
        </w:rPr>
        <w:t>.</w:t>
      </w:r>
    </w:p>
  </w:footnote>
  <w:footnote w:id="16">
    <w:p w14:paraId="4B8BAE96" w14:textId="3EF21783" w:rsidR="005676E3" w:rsidRPr="007B3AB8" w:rsidRDefault="005676E3" w:rsidP="00CA1C48">
      <w:pPr>
        <w:pStyle w:val="Footnote"/>
        <w:rPr>
          <w:lang w:val="en-GB"/>
        </w:rPr>
      </w:pPr>
      <w:r w:rsidRPr="007B3AB8">
        <w:rPr>
          <w:rStyle w:val="FootnoteReference"/>
          <w:lang w:val="en-GB"/>
        </w:rPr>
        <w:footnoteRef/>
      </w:r>
      <w:r w:rsidRPr="007B3AB8">
        <w:rPr>
          <w:lang w:val="en-GB"/>
        </w:rPr>
        <w:t xml:space="preserve"> </w:t>
      </w:r>
      <w:r w:rsidRPr="00842E3C">
        <w:rPr>
          <w:lang w:val="en-GB"/>
        </w:rPr>
        <w:t>Amy Farley and Brooke Porter Katz</w:t>
      </w:r>
      <w:r>
        <w:rPr>
          <w:lang w:val="en-GB"/>
        </w:rPr>
        <w:t>, eds.,</w:t>
      </w:r>
      <w:r w:rsidRPr="00842E3C">
        <w:rPr>
          <w:lang w:val="en-GB"/>
        </w:rPr>
        <w:t xml:space="preserve"> </w:t>
      </w:r>
      <w:r>
        <w:rPr>
          <w:lang w:val="en-GB"/>
        </w:rPr>
        <w:t>“</w:t>
      </w:r>
      <w:r w:rsidRPr="00816ABF">
        <w:rPr>
          <w:lang w:val="en-GB"/>
        </w:rPr>
        <w:t>The A-List: Our 133 Top Travel Specialists</w:t>
      </w:r>
      <w:r>
        <w:rPr>
          <w:lang w:val="en-GB"/>
        </w:rPr>
        <w:t xml:space="preserve">,” </w:t>
      </w:r>
      <w:r w:rsidRPr="00520D99">
        <w:rPr>
          <w:i/>
          <w:iCs/>
          <w:lang w:val="en-GB"/>
        </w:rPr>
        <w:t>Travel + Leisure</w:t>
      </w:r>
      <w:r>
        <w:rPr>
          <w:lang w:val="en-GB"/>
        </w:rPr>
        <w:t xml:space="preserve">, </w:t>
      </w:r>
      <w:r w:rsidRPr="007B3AB8">
        <w:rPr>
          <w:lang w:val="en-GB"/>
        </w:rPr>
        <w:t xml:space="preserve">9, accessed July 16, 2020, </w:t>
      </w:r>
      <w:r w:rsidRPr="00B57C6B">
        <w:rPr>
          <w:rStyle w:val="Hyperlink"/>
          <w:color w:val="auto"/>
          <w:u w:val="none"/>
          <w:lang w:val="en-GB"/>
        </w:rPr>
        <w:t>www.travelandleisure.com/microsites/pdfs/tl-a-list-top-travel-agents-booklet-2014.pdf</w:t>
      </w:r>
      <w:r w:rsidRPr="007B3AB8">
        <w:rPr>
          <w:lang w:val="en-GB"/>
        </w:rPr>
        <w:t>.</w:t>
      </w:r>
    </w:p>
  </w:footnote>
  <w:footnote w:id="17">
    <w:p w14:paraId="5A8F5189" w14:textId="19BC3A4E" w:rsidR="005676E3" w:rsidRPr="007B3AB8" w:rsidRDefault="005676E3" w:rsidP="00CA1C48">
      <w:pPr>
        <w:pStyle w:val="Footnote"/>
        <w:rPr>
          <w:lang w:val="en-GB"/>
        </w:rPr>
      </w:pPr>
      <w:r w:rsidRPr="007B3AB8">
        <w:rPr>
          <w:vertAlign w:val="superscript"/>
          <w:lang w:val="en-GB"/>
        </w:rPr>
        <w:footnoteRef/>
      </w:r>
      <w:r w:rsidRPr="009B1F81">
        <w:rPr>
          <w:lang w:val="en-GB"/>
        </w:rPr>
        <w:t xml:space="preserve"> </w:t>
      </w:r>
      <w:r>
        <w:rPr>
          <w:lang w:val="en-GB"/>
        </w:rPr>
        <w:t>Visas were</w:t>
      </w:r>
      <w:r w:rsidRPr="007B3AB8">
        <w:rPr>
          <w:lang w:val="en-GB"/>
        </w:rPr>
        <w:t xml:space="preserve"> required for Mexican nationals entering South Africa but not</w:t>
      </w:r>
      <w:r>
        <w:rPr>
          <w:lang w:val="en-GB"/>
        </w:rPr>
        <w:t xml:space="preserve"> for</w:t>
      </w:r>
      <w:r w:rsidRPr="007B3AB8">
        <w:rPr>
          <w:lang w:val="en-GB"/>
        </w:rPr>
        <w:t xml:space="preserve"> US nationals. “</w:t>
      </w:r>
      <w:r w:rsidRPr="001C0137">
        <w:rPr>
          <w:lang w:val="en-GB"/>
        </w:rPr>
        <w:t>Passport Holders Who Are Exempt from Visas for South Africa</w:t>
      </w:r>
      <w:r w:rsidRPr="007B3AB8">
        <w:rPr>
          <w:lang w:val="en-GB"/>
        </w:rPr>
        <w:t xml:space="preserve">,” Department of Home Affairs, Republic of South Africa, accessed January 15, 2020, </w:t>
      </w:r>
      <w:r w:rsidRPr="00B57C6B">
        <w:rPr>
          <w:rStyle w:val="Hyperlink"/>
          <w:color w:val="auto"/>
          <w:u w:val="none"/>
          <w:lang w:val="en-GB"/>
        </w:rPr>
        <w:t>www.dha.gov.za/index.php/immigration-services/exempt-countries</w:t>
      </w:r>
      <w:r>
        <w:rPr>
          <w:lang w:val="en-GB"/>
        </w:rPr>
        <w:t>; Birth certificated were</w:t>
      </w:r>
      <w:r w:rsidRPr="007B3AB8">
        <w:rPr>
          <w:lang w:val="en-GB"/>
        </w:rPr>
        <w:t xml:space="preserve"> required for some families going to South Africa</w:t>
      </w:r>
      <w:r>
        <w:rPr>
          <w:lang w:val="en-GB"/>
        </w:rPr>
        <w:t xml:space="preserve">. </w:t>
      </w:r>
      <w:r w:rsidRPr="007B3AB8">
        <w:rPr>
          <w:lang w:val="en-GB"/>
        </w:rPr>
        <w:t>Shannon Correia, “</w:t>
      </w:r>
      <w:r w:rsidRPr="00841E8C">
        <w:rPr>
          <w:lang w:val="en-GB"/>
        </w:rPr>
        <w:t>Birth Certificate Visa Requirements for Entry into South Africa Updated</w:t>
      </w:r>
      <w:r w:rsidRPr="007B3AB8">
        <w:rPr>
          <w:lang w:val="en-GB"/>
        </w:rPr>
        <w:t xml:space="preserve">,” The South African, November 11, 2019, accessed July 16, 2020, </w:t>
      </w:r>
      <w:r w:rsidRPr="00B57C6B">
        <w:rPr>
          <w:rStyle w:val="Hyperlink"/>
          <w:color w:val="auto"/>
          <w:u w:val="none"/>
          <w:lang w:val="en-GB"/>
        </w:rPr>
        <w:t>www.thesouthafrican.com/travel/does-child-need-a-birth-certificate-when-travelling-to-south-africa-answer/</w:t>
      </w:r>
      <w:r w:rsidRPr="007B3AB8">
        <w:rPr>
          <w:lang w:val="en-GB"/>
        </w:rPr>
        <w:t>.</w:t>
      </w:r>
      <w:r>
        <w:rPr>
          <w:lang w:val="en-GB"/>
        </w:rPr>
        <w:t xml:space="preserve"> </w:t>
      </w:r>
    </w:p>
  </w:footnote>
  <w:footnote w:id="18">
    <w:p w14:paraId="63A380B8" w14:textId="534E489B" w:rsidR="005676E3" w:rsidRPr="007B3AB8" w:rsidRDefault="005676E3" w:rsidP="00CA1C48">
      <w:pPr>
        <w:pStyle w:val="Footnote"/>
        <w:rPr>
          <w:lang w:val="en-GB"/>
        </w:rPr>
      </w:pPr>
      <w:r w:rsidRPr="007B3AB8">
        <w:rPr>
          <w:rStyle w:val="FootnoteReference"/>
          <w:lang w:val="en-GB"/>
        </w:rPr>
        <w:footnoteRef/>
      </w:r>
      <w:r w:rsidRPr="007B3AB8">
        <w:rPr>
          <w:vertAlign w:val="superscript"/>
          <w:lang w:val="en-GB"/>
        </w:rPr>
        <w:t xml:space="preserve"> </w:t>
      </w:r>
      <w:r w:rsidRPr="007B3AB8">
        <w:rPr>
          <w:lang w:val="en-GB"/>
        </w:rPr>
        <w:t>Author</w:t>
      </w:r>
      <w:r>
        <w:rPr>
          <w:lang w:val="en-GB"/>
        </w:rPr>
        <w:t>’s</w:t>
      </w:r>
      <w:r w:rsidRPr="007B3AB8">
        <w:rPr>
          <w:lang w:val="en-GB"/>
        </w:rPr>
        <w:t xml:space="preserve"> estimates based on industry interviews and publicly available data;</w:t>
      </w:r>
      <w:r>
        <w:rPr>
          <w:lang w:val="en-GB"/>
        </w:rPr>
        <w:t xml:space="preserve"> </w:t>
      </w:r>
      <w:r w:rsidRPr="007B3AB8">
        <w:rPr>
          <w:lang w:val="en-GB"/>
        </w:rPr>
        <w:t xml:space="preserve">Wilderness Holdings Limited, </w:t>
      </w:r>
      <w:r w:rsidRPr="00AC1004">
        <w:rPr>
          <w:i/>
          <w:iCs/>
          <w:lang w:val="en-GB"/>
        </w:rPr>
        <w:t>Annual Report for the Year Ended February 2011</w:t>
      </w:r>
      <w:r w:rsidRPr="007B3AB8">
        <w:rPr>
          <w:lang w:val="en-GB"/>
        </w:rPr>
        <w:t xml:space="preserve">, 112, June 1, 2011, accessed July 15, 2020, </w:t>
      </w:r>
      <w:r w:rsidR="005E7994" w:rsidRPr="005E7994">
        <w:rPr>
          <w:lang w:val="en-GB"/>
        </w:rPr>
        <w:t>https://africanfinancials.com/document/bw-wild-2011-ar-00/</w:t>
      </w:r>
      <w:r>
        <w:rPr>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1ADA2DCE" w:rsidR="005676E3" w:rsidRPr="00C92CC4" w:rsidRDefault="005676E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8</w:t>
    </w:r>
    <w:r>
      <w:rPr>
        <w:rFonts w:ascii="Arial" w:hAnsi="Arial"/>
        <w:b/>
      </w:rPr>
      <w:fldChar w:fldCharType="end"/>
    </w:r>
    <w:r>
      <w:rPr>
        <w:rFonts w:ascii="Arial" w:hAnsi="Arial"/>
        <w:b/>
      </w:rPr>
      <w:tab/>
    </w:r>
    <w:r w:rsidR="00A50DF5">
      <w:rPr>
        <w:rFonts w:ascii="Arial" w:hAnsi="Arial"/>
        <w:b/>
      </w:rPr>
      <w:t>9B21M008</w:t>
    </w:r>
  </w:p>
  <w:p w14:paraId="2B53C0A0" w14:textId="77777777" w:rsidR="005676E3" w:rsidRDefault="005676E3" w:rsidP="00D13667">
    <w:pPr>
      <w:pStyle w:val="Header"/>
      <w:tabs>
        <w:tab w:val="clear" w:pos="4680"/>
      </w:tabs>
      <w:rPr>
        <w:sz w:val="18"/>
        <w:szCs w:val="18"/>
      </w:rPr>
    </w:pPr>
  </w:p>
  <w:p w14:paraId="47119730" w14:textId="77777777" w:rsidR="005676E3" w:rsidRPr="00C92CC4" w:rsidRDefault="005676E3"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161D"/>
    <w:rsid w:val="00002A98"/>
    <w:rsid w:val="000036B9"/>
    <w:rsid w:val="00011183"/>
    <w:rsid w:val="00013360"/>
    <w:rsid w:val="00013C7B"/>
    <w:rsid w:val="00016759"/>
    <w:rsid w:val="00017F91"/>
    <w:rsid w:val="000216CE"/>
    <w:rsid w:val="00024ED4"/>
    <w:rsid w:val="00025DC7"/>
    <w:rsid w:val="00034919"/>
    <w:rsid w:val="00035F09"/>
    <w:rsid w:val="00044ECC"/>
    <w:rsid w:val="00047CA5"/>
    <w:rsid w:val="00052B41"/>
    <w:rsid w:val="000531D3"/>
    <w:rsid w:val="00055D1C"/>
    <w:rsid w:val="0005646B"/>
    <w:rsid w:val="000615D1"/>
    <w:rsid w:val="00062112"/>
    <w:rsid w:val="000622AE"/>
    <w:rsid w:val="000638A8"/>
    <w:rsid w:val="00071ECB"/>
    <w:rsid w:val="0007306B"/>
    <w:rsid w:val="000760D5"/>
    <w:rsid w:val="00076146"/>
    <w:rsid w:val="0008102D"/>
    <w:rsid w:val="00086B26"/>
    <w:rsid w:val="0009399C"/>
    <w:rsid w:val="00094C0E"/>
    <w:rsid w:val="000A146D"/>
    <w:rsid w:val="000B10F1"/>
    <w:rsid w:val="000C0BA6"/>
    <w:rsid w:val="000C420B"/>
    <w:rsid w:val="000D2A2F"/>
    <w:rsid w:val="000D7091"/>
    <w:rsid w:val="000D7B12"/>
    <w:rsid w:val="000E12E3"/>
    <w:rsid w:val="000E22B7"/>
    <w:rsid w:val="000F0C22"/>
    <w:rsid w:val="000F32AA"/>
    <w:rsid w:val="000F6B09"/>
    <w:rsid w:val="000F6B43"/>
    <w:rsid w:val="000F6FDC"/>
    <w:rsid w:val="00100E21"/>
    <w:rsid w:val="00102BA2"/>
    <w:rsid w:val="0010329A"/>
    <w:rsid w:val="001044C2"/>
    <w:rsid w:val="00104567"/>
    <w:rsid w:val="00104916"/>
    <w:rsid w:val="00104AA7"/>
    <w:rsid w:val="00111433"/>
    <w:rsid w:val="00112940"/>
    <w:rsid w:val="0011405C"/>
    <w:rsid w:val="00114BA8"/>
    <w:rsid w:val="001206AE"/>
    <w:rsid w:val="00122999"/>
    <w:rsid w:val="0012732D"/>
    <w:rsid w:val="001337CA"/>
    <w:rsid w:val="00135441"/>
    <w:rsid w:val="00142C22"/>
    <w:rsid w:val="00143F25"/>
    <w:rsid w:val="00147879"/>
    <w:rsid w:val="001501C3"/>
    <w:rsid w:val="00152682"/>
    <w:rsid w:val="001535FE"/>
    <w:rsid w:val="00154FC9"/>
    <w:rsid w:val="00161175"/>
    <w:rsid w:val="001664C3"/>
    <w:rsid w:val="00175678"/>
    <w:rsid w:val="00181584"/>
    <w:rsid w:val="00182472"/>
    <w:rsid w:val="00184093"/>
    <w:rsid w:val="00186199"/>
    <w:rsid w:val="001901C0"/>
    <w:rsid w:val="0019241A"/>
    <w:rsid w:val="00192A18"/>
    <w:rsid w:val="001947F6"/>
    <w:rsid w:val="00196D22"/>
    <w:rsid w:val="001A0E19"/>
    <w:rsid w:val="001A22D1"/>
    <w:rsid w:val="001A4498"/>
    <w:rsid w:val="001A752D"/>
    <w:rsid w:val="001A757E"/>
    <w:rsid w:val="001B2725"/>
    <w:rsid w:val="001B5032"/>
    <w:rsid w:val="001B60D0"/>
    <w:rsid w:val="001B70E0"/>
    <w:rsid w:val="001C0137"/>
    <w:rsid w:val="001C7777"/>
    <w:rsid w:val="001D344B"/>
    <w:rsid w:val="001D3A09"/>
    <w:rsid w:val="001D661A"/>
    <w:rsid w:val="001E364F"/>
    <w:rsid w:val="001E7A25"/>
    <w:rsid w:val="001F0D91"/>
    <w:rsid w:val="001F4222"/>
    <w:rsid w:val="00200248"/>
    <w:rsid w:val="00200E6E"/>
    <w:rsid w:val="002031C3"/>
    <w:rsid w:val="00203AA1"/>
    <w:rsid w:val="0020507C"/>
    <w:rsid w:val="00206147"/>
    <w:rsid w:val="00206AB0"/>
    <w:rsid w:val="00212445"/>
    <w:rsid w:val="00213E98"/>
    <w:rsid w:val="00230150"/>
    <w:rsid w:val="0023081A"/>
    <w:rsid w:val="00233111"/>
    <w:rsid w:val="00236E25"/>
    <w:rsid w:val="00240807"/>
    <w:rsid w:val="00246246"/>
    <w:rsid w:val="00247DA8"/>
    <w:rsid w:val="00250EC8"/>
    <w:rsid w:val="002579D9"/>
    <w:rsid w:val="00260932"/>
    <w:rsid w:val="00264230"/>
    <w:rsid w:val="00265FA8"/>
    <w:rsid w:val="002720CE"/>
    <w:rsid w:val="002734E0"/>
    <w:rsid w:val="0027483C"/>
    <w:rsid w:val="00280250"/>
    <w:rsid w:val="0028028A"/>
    <w:rsid w:val="00283C74"/>
    <w:rsid w:val="002849CE"/>
    <w:rsid w:val="00284ECF"/>
    <w:rsid w:val="00292F05"/>
    <w:rsid w:val="00294E49"/>
    <w:rsid w:val="002959F3"/>
    <w:rsid w:val="002A404B"/>
    <w:rsid w:val="002A5259"/>
    <w:rsid w:val="002A5372"/>
    <w:rsid w:val="002A766E"/>
    <w:rsid w:val="002B40FF"/>
    <w:rsid w:val="002B7B94"/>
    <w:rsid w:val="002C4E29"/>
    <w:rsid w:val="002D49A8"/>
    <w:rsid w:val="002D4A7F"/>
    <w:rsid w:val="002E1632"/>
    <w:rsid w:val="002E22E6"/>
    <w:rsid w:val="002E60A0"/>
    <w:rsid w:val="002E6BAF"/>
    <w:rsid w:val="002F460C"/>
    <w:rsid w:val="002F48D6"/>
    <w:rsid w:val="002F4FF8"/>
    <w:rsid w:val="002F55A7"/>
    <w:rsid w:val="00304CF9"/>
    <w:rsid w:val="003137AE"/>
    <w:rsid w:val="00317391"/>
    <w:rsid w:val="00317C6E"/>
    <w:rsid w:val="003204D8"/>
    <w:rsid w:val="00322292"/>
    <w:rsid w:val="00323ED0"/>
    <w:rsid w:val="00326216"/>
    <w:rsid w:val="003269BF"/>
    <w:rsid w:val="003307AE"/>
    <w:rsid w:val="00335A82"/>
    <w:rsid w:val="00335C98"/>
    <w:rsid w:val="00336580"/>
    <w:rsid w:val="0034401B"/>
    <w:rsid w:val="00344077"/>
    <w:rsid w:val="003442E8"/>
    <w:rsid w:val="0034648B"/>
    <w:rsid w:val="003509D4"/>
    <w:rsid w:val="00354899"/>
    <w:rsid w:val="00355FD6"/>
    <w:rsid w:val="0035794E"/>
    <w:rsid w:val="00361199"/>
    <w:rsid w:val="00364A5C"/>
    <w:rsid w:val="003662A3"/>
    <w:rsid w:val="00373FB1"/>
    <w:rsid w:val="00374EA2"/>
    <w:rsid w:val="00381B79"/>
    <w:rsid w:val="003836CC"/>
    <w:rsid w:val="00386A4B"/>
    <w:rsid w:val="00387A75"/>
    <w:rsid w:val="00387BFA"/>
    <w:rsid w:val="00390048"/>
    <w:rsid w:val="003909E2"/>
    <w:rsid w:val="0039406C"/>
    <w:rsid w:val="00396C76"/>
    <w:rsid w:val="00397F1B"/>
    <w:rsid w:val="003A721E"/>
    <w:rsid w:val="003B30B6"/>
    <w:rsid w:val="003B30D8"/>
    <w:rsid w:val="003B7EF2"/>
    <w:rsid w:val="003C3FA4"/>
    <w:rsid w:val="003C4680"/>
    <w:rsid w:val="003D0BA1"/>
    <w:rsid w:val="003D1315"/>
    <w:rsid w:val="003E10B9"/>
    <w:rsid w:val="003E2BD8"/>
    <w:rsid w:val="003E34C7"/>
    <w:rsid w:val="003F23F7"/>
    <w:rsid w:val="003F2B0C"/>
    <w:rsid w:val="003F2EB4"/>
    <w:rsid w:val="003F3888"/>
    <w:rsid w:val="003F7FD7"/>
    <w:rsid w:val="004105B2"/>
    <w:rsid w:val="00411235"/>
    <w:rsid w:val="0041145A"/>
    <w:rsid w:val="00412900"/>
    <w:rsid w:val="00421401"/>
    <w:rsid w:val="004221E4"/>
    <w:rsid w:val="004265A9"/>
    <w:rsid w:val="004273F8"/>
    <w:rsid w:val="004276D7"/>
    <w:rsid w:val="00430277"/>
    <w:rsid w:val="00434044"/>
    <w:rsid w:val="00434FEC"/>
    <w:rsid w:val="004355A3"/>
    <w:rsid w:val="00441EA5"/>
    <w:rsid w:val="00446546"/>
    <w:rsid w:val="00452769"/>
    <w:rsid w:val="004541A8"/>
    <w:rsid w:val="00454FA7"/>
    <w:rsid w:val="00455CD8"/>
    <w:rsid w:val="00463F15"/>
    <w:rsid w:val="00465348"/>
    <w:rsid w:val="00465860"/>
    <w:rsid w:val="00471895"/>
    <w:rsid w:val="00475C1D"/>
    <w:rsid w:val="004771B2"/>
    <w:rsid w:val="00480AAC"/>
    <w:rsid w:val="00483105"/>
    <w:rsid w:val="0048388D"/>
    <w:rsid w:val="004845BD"/>
    <w:rsid w:val="0049113C"/>
    <w:rsid w:val="004964D2"/>
    <w:rsid w:val="00497977"/>
    <w:rsid w:val="004979A5"/>
    <w:rsid w:val="004A25E0"/>
    <w:rsid w:val="004A5935"/>
    <w:rsid w:val="004B129F"/>
    <w:rsid w:val="004B1CCB"/>
    <w:rsid w:val="004B2F10"/>
    <w:rsid w:val="004B632F"/>
    <w:rsid w:val="004B7FFC"/>
    <w:rsid w:val="004D3B0B"/>
    <w:rsid w:val="004D3FB1"/>
    <w:rsid w:val="004D43C1"/>
    <w:rsid w:val="004D44F8"/>
    <w:rsid w:val="004D6511"/>
    <w:rsid w:val="004D6F21"/>
    <w:rsid w:val="004D73A5"/>
    <w:rsid w:val="004E3FF4"/>
    <w:rsid w:val="004E68C2"/>
    <w:rsid w:val="004F34CD"/>
    <w:rsid w:val="004F6D9A"/>
    <w:rsid w:val="005014AE"/>
    <w:rsid w:val="00501F65"/>
    <w:rsid w:val="00511915"/>
    <w:rsid w:val="005160F1"/>
    <w:rsid w:val="00520D99"/>
    <w:rsid w:val="00521D74"/>
    <w:rsid w:val="00524F2F"/>
    <w:rsid w:val="00524F98"/>
    <w:rsid w:val="00525300"/>
    <w:rsid w:val="00526195"/>
    <w:rsid w:val="00527E5C"/>
    <w:rsid w:val="00532CF5"/>
    <w:rsid w:val="00537D8B"/>
    <w:rsid w:val="0054383C"/>
    <w:rsid w:val="00551D45"/>
    <w:rsid w:val="00551D5F"/>
    <w:rsid w:val="005528CB"/>
    <w:rsid w:val="00555B14"/>
    <w:rsid w:val="00555BB6"/>
    <w:rsid w:val="0056106C"/>
    <w:rsid w:val="0056594E"/>
    <w:rsid w:val="00566771"/>
    <w:rsid w:val="005673FC"/>
    <w:rsid w:val="005676E3"/>
    <w:rsid w:val="0057067D"/>
    <w:rsid w:val="0057588A"/>
    <w:rsid w:val="00577906"/>
    <w:rsid w:val="00581E2E"/>
    <w:rsid w:val="00583700"/>
    <w:rsid w:val="00584F15"/>
    <w:rsid w:val="00587781"/>
    <w:rsid w:val="00592BB0"/>
    <w:rsid w:val="0059514B"/>
    <w:rsid w:val="00596CB7"/>
    <w:rsid w:val="00597736"/>
    <w:rsid w:val="005A0CB0"/>
    <w:rsid w:val="005A1B0F"/>
    <w:rsid w:val="005A3C37"/>
    <w:rsid w:val="005A5624"/>
    <w:rsid w:val="005A6E81"/>
    <w:rsid w:val="005B4CE6"/>
    <w:rsid w:val="005B5EFE"/>
    <w:rsid w:val="005B5F31"/>
    <w:rsid w:val="005C29F3"/>
    <w:rsid w:val="005C4F06"/>
    <w:rsid w:val="005C5CAD"/>
    <w:rsid w:val="005C69C0"/>
    <w:rsid w:val="005D128F"/>
    <w:rsid w:val="005E2823"/>
    <w:rsid w:val="005E3D30"/>
    <w:rsid w:val="005E4F2F"/>
    <w:rsid w:val="005E6756"/>
    <w:rsid w:val="005E7994"/>
    <w:rsid w:val="005F269D"/>
    <w:rsid w:val="00604883"/>
    <w:rsid w:val="006057D7"/>
    <w:rsid w:val="006073EB"/>
    <w:rsid w:val="00615F0D"/>
    <w:rsid w:val="006160EA"/>
    <w:rsid w:val="006163F7"/>
    <w:rsid w:val="00625008"/>
    <w:rsid w:val="00627C63"/>
    <w:rsid w:val="0063085B"/>
    <w:rsid w:val="0063113B"/>
    <w:rsid w:val="0063350B"/>
    <w:rsid w:val="00636422"/>
    <w:rsid w:val="006373FF"/>
    <w:rsid w:val="00640F21"/>
    <w:rsid w:val="006477F7"/>
    <w:rsid w:val="00652606"/>
    <w:rsid w:val="00652D5A"/>
    <w:rsid w:val="00664A97"/>
    <w:rsid w:val="00665110"/>
    <w:rsid w:val="0066715C"/>
    <w:rsid w:val="00675D87"/>
    <w:rsid w:val="00677596"/>
    <w:rsid w:val="006822C7"/>
    <w:rsid w:val="00683425"/>
    <w:rsid w:val="00691799"/>
    <w:rsid w:val="006920C8"/>
    <w:rsid w:val="006946EE"/>
    <w:rsid w:val="006A11AF"/>
    <w:rsid w:val="006A400B"/>
    <w:rsid w:val="006A45D9"/>
    <w:rsid w:val="006A58A9"/>
    <w:rsid w:val="006A606D"/>
    <w:rsid w:val="006B03DA"/>
    <w:rsid w:val="006B237E"/>
    <w:rsid w:val="006B5ED4"/>
    <w:rsid w:val="006C0371"/>
    <w:rsid w:val="006C08B6"/>
    <w:rsid w:val="006C0B1A"/>
    <w:rsid w:val="006C2B9D"/>
    <w:rsid w:val="006C39A1"/>
    <w:rsid w:val="006C43CC"/>
    <w:rsid w:val="006C5867"/>
    <w:rsid w:val="006C6065"/>
    <w:rsid w:val="006C6F4E"/>
    <w:rsid w:val="006C7F9F"/>
    <w:rsid w:val="006E2F6D"/>
    <w:rsid w:val="006E46E7"/>
    <w:rsid w:val="006E58F6"/>
    <w:rsid w:val="006E77E1"/>
    <w:rsid w:val="006F131D"/>
    <w:rsid w:val="006F5A46"/>
    <w:rsid w:val="0070362B"/>
    <w:rsid w:val="00711642"/>
    <w:rsid w:val="00712D4F"/>
    <w:rsid w:val="00713D41"/>
    <w:rsid w:val="0071790F"/>
    <w:rsid w:val="00717E5C"/>
    <w:rsid w:val="007275F2"/>
    <w:rsid w:val="00731661"/>
    <w:rsid w:val="00732AF0"/>
    <w:rsid w:val="0074192C"/>
    <w:rsid w:val="00747A97"/>
    <w:rsid w:val="007507C6"/>
    <w:rsid w:val="00751E0B"/>
    <w:rsid w:val="00752BCD"/>
    <w:rsid w:val="00754E5B"/>
    <w:rsid w:val="00766DA1"/>
    <w:rsid w:val="00771A4B"/>
    <w:rsid w:val="00780D94"/>
    <w:rsid w:val="00782DB4"/>
    <w:rsid w:val="00784ECB"/>
    <w:rsid w:val="00785358"/>
    <w:rsid w:val="007866A6"/>
    <w:rsid w:val="00793E4D"/>
    <w:rsid w:val="00794A46"/>
    <w:rsid w:val="007A0F52"/>
    <w:rsid w:val="007A130D"/>
    <w:rsid w:val="007A3F16"/>
    <w:rsid w:val="007A46B7"/>
    <w:rsid w:val="007A5315"/>
    <w:rsid w:val="007A57EB"/>
    <w:rsid w:val="007B3AB8"/>
    <w:rsid w:val="007B6B72"/>
    <w:rsid w:val="007B6CDA"/>
    <w:rsid w:val="007C2D9B"/>
    <w:rsid w:val="007C3164"/>
    <w:rsid w:val="007C6AFF"/>
    <w:rsid w:val="007D1627"/>
    <w:rsid w:val="007D1A2D"/>
    <w:rsid w:val="007D20F7"/>
    <w:rsid w:val="007D32E6"/>
    <w:rsid w:val="007D4102"/>
    <w:rsid w:val="007E44A8"/>
    <w:rsid w:val="007E51E1"/>
    <w:rsid w:val="007E54A7"/>
    <w:rsid w:val="007F0AF2"/>
    <w:rsid w:val="007F43B7"/>
    <w:rsid w:val="007F55A7"/>
    <w:rsid w:val="007F76FA"/>
    <w:rsid w:val="00803FD8"/>
    <w:rsid w:val="0080687E"/>
    <w:rsid w:val="00806F14"/>
    <w:rsid w:val="008112FC"/>
    <w:rsid w:val="008130DD"/>
    <w:rsid w:val="00816ABF"/>
    <w:rsid w:val="00821FFC"/>
    <w:rsid w:val="008271CA"/>
    <w:rsid w:val="00835F0D"/>
    <w:rsid w:val="00841E8C"/>
    <w:rsid w:val="00842E3C"/>
    <w:rsid w:val="0084590C"/>
    <w:rsid w:val="008467D5"/>
    <w:rsid w:val="008511F1"/>
    <w:rsid w:val="00851A39"/>
    <w:rsid w:val="00854F0F"/>
    <w:rsid w:val="00855471"/>
    <w:rsid w:val="00856DDA"/>
    <w:rsid w:val="008605BA"/>
    <w:rsid w:val="00865071"/>
    <w:rsid w:val="00872E55"/>
    <w:rsid w:val="008828B0"/>
    <w:rsid w:val="00885FB7"/>
    <w:rsid w:val="00886C5A"/>
    <w:rsid w:val="00892EE3"/>
    <w:rsid w:val="0089720F"/>
    <w:rsid w:val="008A2440"/>
    <w:rsid w:val="008A25F7"/>
    <w:rsid w:val="008A4DC4"/>
    <w:rsid w:val="008A4E12"/>
    <w:rsid w:val="008B2C36"/>
    <w:rsid w:val="008B2D78"/>
    <w:rsid w:val="008B438C"/>
    <w:rsid w:val="008B5CB6"/>
    <w:rsid w:val="008B5F37"/>
    <w:rsid w:val="008C5B97"/>
    <w:rsid w:val="008D06CA"/>
    <w:rsid w:val="008D3A46"/>
    <w:rsid w:val="008E4227"/>
    <w:rsid w:val="008E4B7A"/>
    <w:rsid w:val="008E4BEE"/>
    <w:rsid w:val="008E6D30"/>
    <w:rsid w:val="008F2385"/>
    <w:rsid w:val="008F3417"/>
    <w:rsid w:val="008F5593"/>
    <w:rsid w:val="009037FA"/>
    <w:rsid w:val="00903E6D"/>
    <w:rsid w:val="009067A4"/>
    <w:rsid w:val="0091664A"/>
    <w:rsid w:val="009210D2"/>
    <w:rsid w:val="00924727"/>
    <w:rsid w:val="0092623D"/>
    <w:rsid w:val="009269D6"/>
    <w:rsid w:val="00930652"/>
    <w:rsid w:val="00930885"/>
    <w:rsid w:val="009325D8"/>
    <w:rsid w:val="00933D68"/>
    <w:rsid w:val="009340DB"/>
    <w:rsid w:val="009456F6"/>
    <w:rsid w:val="0094618C"/>
    <w:rsid w:val="00951227"/>
    <w:rsid w:val="0095375F"/>
    <w:rsid w:val="009543DD"/>
    <w:rsid w:val="0095684B"/>
    <w:rsid w:val="00961D76"/>
    <w:rsid w:val="00962C7B"/>
    <w:rsid w:val="00967C00"/>
    <w:rsid w:val="00972498"/>
    <w:rsid w:val="009740F7"/>
    <w:rsid w:val="0097481F"/>
    <w:rsid w:val="00974CC6"/>
    <w:rsid w:val="00976AD4"/>
    <w:rsid w:val="009850C2"/>
    <w:rsid w:val="009871CF"/>
    <w:rsid w:val="00987929"/>
    <w:rsid w:val="00994614"/>
    <w:rsid w:val="00995547"/>
    <w:rsid w:val="009A312F"/>
    <w:rsid w:val="009A5348"/>
    <w:rsid w:val="009A6424"/>
    <w:rsid w:val="009B0AB7"/>
    <w:rsid w:val="009B1F81"/>
    <w:rsid w:val="009C3840"/>
    <w:rsid w:val="009C71B9"/>
    <w:rsid w:val="009C76D5"/>
    <w:rsid w:val="009D605E"/>
    <w:rsid w:val="009E2D35"/>
    <w:rsid w:val="009F21A8"/>
    <w:rsid w:val="009F4A2F"/>
    <w:rsid w:val="009F70DA"/>
    <w:rsid w:val="009F7AA4"/>
    <w:rsid w:val="00A03CAC"/>
    <w:rsid w:val="00A10AD7"/>
    <w:rsid w:val="00A117D2"/>
    <w:rsid w:val="00A22790"/>
    <w:rsid w:val="00A228A0"/>
    <w:rsid w:val="00A264D4"/>
    <w:rsid w:val="00A323B0"/>
    <w:rsid w:val="00A40558"/>
    <w:rsid w:val="00A431F1"/>
    <w:rsid w:val="00A4331F"/>
    <w:rsid w:val="00A500BE"/>
    <w:rsid w:val="00A50DF5"/>
    <w:rsid w:val="00A51584"/>
    <w:rsid w:val="00A55487"/>
    <w:rsid w:val="00A559DB"/>
    <w:rsid w:val="00A569EA"/>
    <w:rsid w:val="00A62E4C"/>
    <w:rsid w:val="00A676A0"/>
    <w:rsid w:val="00A716A9"/>
    <w:rsid w:val="00A7322D"/>
    <w:rsid w:val="00A7545F"/>
    <w:rsid w:val="00A773A1"/>
    <w:rsid w:val="00A86287"/>
    <w:rsid w:val="00A92D64"/>
    <w:rsid w:val="00AA25AE"/>
    <w:rsid w:val="00AB17A4"/>
    <w:rsid w:val="00AB7515"/>
    <w:rsid w:val="00AC1004"/>
    <w:rsid w:val="00AC1613"/>
    <w:rsid w:val="00AC7A2C"/>
    <w:rsid w:val="00AD2CAD"/>
    <w:rsid w:val="00AD50E9"/>
    <w:rsid w:val="00AE3048"/>
    <w:rsid w:val="00AE7789"/>
    <w:rsid w:val="00AF35FC"/>
    <w:rsid w:val="00AF42B3"/>
    <w:rsid w:val="00AF5556"/>
    <w:rsid w:val="00B00F20"/>
    <w:rsid w:val="00B01B92"/>
    <w:rsid w:val="00B01BFD"/>
    <w:rsid w:val="00B03639"/>
    <w:rsid w:val="00B0652A"/>
    <w:rsid w:val="00B06555"/>
    <w:rsid w:val="00B1177A"/>
    <w:rsid w:val="00B24EB5"/>
    <w:rsid w:val="00B24FA5"/>
    <w:rsid w:val="00B274E0"/>
    <w:rsid w:val="00B30A42"/>
    <w:rsid w:val="00B31363"/>
    <w:rsid w:val="00B40937"/>
    <w:rsid w:val="00B423EF"/>
    <w:rsid w:val="00B44B3F"/>
    <w:rsid w:val="00B453DE"/>
    <w:rsid w:val="00B47008"/>
    <w:rsid w:val="00B474D6"/>
    <w:rsid w:val="00B55503"/>
    <w:rsid w:val="00B57C6B"/>
    <w:rsid w:val="00B60738"/>
    <w:rsid w:val="00B62497"/>
    <w:rsid w:val="00B62C73"/>
    <w:rsid w:val="00B661AD"/>
    <w:rsid w:val="00B67974"/>
    <w:rsid w:val="00B67B8C"/>
    <w:rsid w:val="00B72295"/>
    <w:rsid w:val="00B72597"/>
    <w:rsid w:val="00B725AE"/>
    <w:rsid w:val="00B81B8D"/>
    <w:rsid w:val="00B872C4"/>
    <w:rsid w:val="00B87DC0"/>
    <w:rsid w:val="00B901F9"/>
    <w:rsid w:val="00BB3ACF"/>
    <w:rsid w:val="00BB4DE3"/>
    <w:rsid w:val="00BB78CF"/>
    <w:rsid w:val="00BC4D98"/>
    <w:rsid w:val="00BC79AC"/>
    <w:rsid w:val="00BD6EFB"/>
    <w:rsid w:val="00BE102B"/>
    <w:rsid w:val="00BE3DF5"/>
    <w:rsid w:val="00BE66AC"/>
    <w:rsid w:val="00BE7E5F"/>
    <w:rsid w:val="00BF073E"/>
    <w:rsid w:val="00BF19A3"/>
    <w:rsid w:val="00BF3DEF"/>
    <w:rsid w:val="00BF4BA1"/>
    <w:rsid w:val="00BF5EAB"/>
    <w:rsid w:val="00BF7A2A"/>
    <w:rsid w:val="00C01584"/>
    <w:rsid w:val="00C02410"/>
    <w:rsid w:val="00C108D9"/>
    <w:rsid w:val="00C11565"/>
    <w:rsid w:val="00C128D4"/>
    <w:rsid w:val="00C12A39"/>
    <w:rsid w:val="00C14900"/>
    <w:rsid w:val="00C15749"/>
    <w:rsid w:val="00C1584D"/>
    <w:rsid w:val="00C15BE2"/>
    <w:rsid w:val="00C1669D"/>
    <w:rsid w:val="00C204F5"/>
    <w:rsid w:val="00C24969"/>
    <w:rsid w:val="00C30BB1"/>
    <w:rsid w:val="00C30DBC"/>
    <w:rsid w:val="00C32D3F"/>
    <w:rsid w:val="00C3447F"/>
    <w:rsid w:val="00C345B8"/>
    <w:rsid w:val="00C42398"/>
    <w:rsid w:val="00C43323"/>
    <w:rsid w:val="00C43794"/>
    <w:rsid w:val="00C43F6E"/>
    <w:rsid w:val="00C44167"/>
    <w:rsid w:val="00C44714"/>
    <w:rsid w:val="00C45030"/>
    <w:rsid w:val="00C51AAA"/>
    <w:rsid w:val="00C63991"/>
    <w:rsid w:val="00C65C31"/>
    <w:rsid w:val="00C67102"/>
    <w:rsid w:val="00C67232"/>
    <w:rsid w:val="00C74FC6"/>
    <w:rsid w:val="00C81491"/>
    <w:rsid w:val="00C81676"/>
    <w:rsid w:val="00C81746"/>
    <w:rsid w:val="00C85C5D"/>
    <w:rsid w:val="00C86F94"/>
    <w:rsid w:val="00C92CC4"/>
    <w:rsid w:val="00CA0AFB"/>
    <w:rsid w:val="00CA1C48"/>
    <w:rsid w:val="00CA2CE1"/>
    <w:rsid w:val="00CA3976"/>
    <w:rsid w:val="00CA42D6"/>
    <w:rsid w:val="00CA50E3"/>
    <w:rsid w:val="00CA57BA"/>
    <w:rsid w:val="00CA698B"/>
    <w:rsid w:val="00CA6C24"/>
    <w:rsid w:val="00CA757B"/>
    <w:rsid w:val="00CB25C6"/>
    <w:rsid w:val="00CB55BE"/>
    <w:rsid w:val="00CB78F3"/>
    <w:rsid w:val="00CB7F0B"/>
    <w:rsid w:val="00CC1787"/>
    <w:rsid w:val="00CC182C"/>
    <w:rsid w:val="00CC34E8"/>
    <w:rsid w:val="00CC47B3"/>
    <w:rsid w:val="00CD0824"/>
    <w:rsid w:val="00CD147C"/>
    <w:rsid w:val="00CD19F6"/>
    <w:rsid w:val="00CD2908"/>
    <w:rsid w:val="00CD3181"/>
    <w:rsid w:val="00CE2A6F"/>
    <w:rsid w:val="00CE341A"/>
    <w:rsid w:val="00CE4748"/>
    <w:rsid w:val="00CF31B1"/>
    <w:rsid w:val="00CF77EA"/>
    <w:rsid w:val="00D03A82"/>
    <w:rsid w:val="00D107A4"/>
    <w:rsid w:val="00D11576"/>
    <w:rsid w:val="00D13667"/>
    <w:rsid w:val="00D15344"/>
    <w:rsid w:val="00D164F8"/>
    <w:rsid w:val="00D2098A"/>
    <w:rsid w:val="00D23F57"/>
    <w:rsid w:val="00D31BEC"/>
    <w:rsid w:val="00D338A6"/>
    <w:rsid w:val="00D372E1"/>
    <w:rsid w:val="00D45686"/>
    <w:rsid w:val="00D5290F"/>
    <w:rsid w:val="00D55107"/>
    <w:rsid w:val="00D555ED"/>
    <w:rsid w:val="00D63150"/>
    <w:rsid w:val="00D636BA"/>
    <w:rsid w:val="00D64A32"/>
    <w:rsid w:val="00D64EFC"/>
    <w:rsid w:val="00D65288"/>
    <w:rsid w:val="00D67512"/>
    <w:rsid w:val="00D72131"/>
    <w:rsid w:val="00D75295"/>
    <w:rsid w:val="00D75DA2"/>
    <w:rsid w:val="00D76CE9"/>
    <w:rsid w:val="00D77787"/>
    <w:rsid w:val="00D855CC"/>
    <w:rsid w:val="00D859C0"/>
    <w:rsid w:val="00D8605B"/>
    <w:rsid w:val="00D864F7"/>
    <w:rsid w:val="00D86847"/>
    <w:rsid w:val="00D91885"/>
    <w:rsid w:val="00D97F12"/>
    <w:rsid w:val="00DA2BC2"/>
    <w:rsid w:val="00DA3758"/>
    <w:rsid w:val="00DA4CDE"/>
    <w:rsid w:val="00DA6095"/>
    <w:rsid w:val="00DA7CF7"/>
    <w:rsid w:val="00DB030B"/>
    <w:rsid w:val="00DB0475"/>
    <w:rsid w:val="00DB0C35"/>
    <w:rsid w:val="00DB2617"/>
    <w:rsid w:val="00DB42E7"/>
    <w:rsid w:val="00DB66B3"/>
    <w:rsid w:val="00DB7E27"/>
    <w:rsid w:val="00DC09D8"/>
    <w:rsid w:val="00DC44D6"/>
    <w:rsid w:val="00DD2494"/>
    <w:rsid w:val="00DD337C"/>
    <w:rsid w:val="00DE01A6"/>
    <w:rsid w:val="00DE0472"/>
    <w:rsid w:val="00DE07D1"/>
    <w:rsid w:val="00DE7A98"/>
    <w:rsid w:val="00DF32C2"/>
    <w:rsid w:val="00DF3BB1"/>
    <w:rsid w:val="00DF3D7B"/>
    <w:rsid w:val="00E06F00"/>
    <w:rsid w:val="00E07CE5"/>
    <w:rsid w:val="00E1000C"/>
    <w:rsid w:val="00E132C9"/>
    <w:rsid w:val="00E238CA"/>
    <w:rsid w:val="00E23DFA"/>
    <w:rsid w:val="00E258A7"/>
    <w:rsid w:val="00E33C6A"/>
    <w:rsid w:val="00E372DD"/>
    <w:rsid w:val="00E37EEA"/>
    <w:rsid w:val="00E40F44"/>
    <w:rsid w:val="00E444C6"/>
    <w:rsid w:val="00E471A7"/>
    <w:rsid w:val="00E51279"/>
    <w:rsid w:val="00E52678"/>
    <w:rsid w:val="00E560CF"/>
    <w:rsid w:val="00E62422"/>
    <w:rsid w:val="00E635CF"/>
    <w:rsid w:val="00E64B86"/>
    <w:rsid w:val="00E662B7"/>
    <w:rsid w:val="00E66F98"/>
    <w:rsid w:val="00E772E0"/>
    <w:rsid w:val="00E77840"/>
    <w:rsid w:val="00E8084A"/>
    <w:rsid w:val="00E81865"/>
    <w:rsid w:val="00E821D5"/>
    <w:rsid w:val="00E837F1"/>
    <w:rsid w:val="00E86DDC"/>
    <w:rsid w:val="00E92ADA"/>
    <w:rsid w:val="00EA5482"/>
    <w:rsid w:val="00EB1E3B"/>
    <w:rsid w:val="00EB2A9F"/>
    <w:rsid w:val="00EC1DF4"/>
    <w:rsid w:val="00EC3285"/>
    <w:rsid w:val="00EC6E0A"/>
    <w:rsid w:val="00ED4E18"/>
    <w:rsid w:val="00ED548D"/>
    <w:rsid w:val="00ED7922"/>
    <w:rsid w:val="00EE02C4"/>
    <w:rsid w:val="00EE1F37"/>
    <w:rsid w:val="00F0159C"/>
    <w:rsid w:val="00F07B26"/>
    <w:rsid w:val="00F105B7"/>
    <w:rsid w:val="00F11362"/>
    <w:rsid w:val="00F12EA8"/>
    <w:rsid w:val="00F13220"/>
    <w:rsid w:val="00F1668E"/>
    <w:rsid w:val="00F17A21"/>
    <w:rsid w:val="00F22F39"/>
    <w:rsid w:val="00F246B7"/>
    <w:rsid w:val="00F25A11"/>
    <w:rsid w:val="00F26534"/>
    <w:rsid w:val="00F3399B"/>
    <w:rsid w:val="00F36FC2"/>
    <w:rsid w:val="00F37B27"/>
    <w:rsid w:val="00F41CAA"/>
    <w:rsid w:val="00F44AFA"/>
    <w:rsid w:val="00F44F23"/>
    <w:rsid w:val="00F46556"/>
    <w:rsid w:val="00F46A7F"/>
    <w:rsid w:val="00F50E91"/>
    <w:rsid w:val="00F54D78"/>
    <w:rsid w:val="00F558C5"/>
    <w:rsid w:val="00F56799"/>
    <w:rsid w:val="00F57D29"/>
    <w:rsid w:val="00F602E9"/>
    <w:rsid w:val="00F60786"/>
    <w:rsid w:val="00F63FD4"/>
    <w:rsid w:val="00F65B4C"/>
    <w:rsid w:val="00F75DBE"/>
    <w:rsid w:val="00F76225"/>
    <w:rsid w:val="00F852FC"/>
    <w:rsid w:val="00F864E3"/>
    <w:rsid w:val="00F90728"/>
    <w:rsid w:val="00F90CD4"/>
    <w:rsid w:val="00F91BC7"/>
    <w:rsid w:val="00F93B9C"/>
    <w:rsid w:val="00F94942"/>
    <w:rsid w:val="00F96082"/>
    <w:rsid w:val="00F96201"/>
    <w:rsid w:val="00F97652"/>
    <w:rsid w:val="00FA1BBC"/>
    <w:rsid w:val="00FA44F9"/>
    <w:rsid w:val="00FA6FD7"/>
    <w:rsid w:val="00FA71C0"/>
    <w:rsid w:val="00FB3B9D"/>
    <w:rsid w:val="00FC09E1"/>
    <w:rsid w:val="00FC2E8C"/>
    <w:rsid w:val="00FC5E21"/>
    <w:rsid w:val="00FC6675"/>
    <w:rsid w:val="00FC761C"/>
    <w:rsid w:val="00FD0B18"/>
    <w:rsid w:val="00FD2FAD"/>
    <w:rsid w:val="00FD41A2"/>
    <w:rsid w:val="00FD6F30"/>
    <w:rsid w:val="00FE4DD8"/>
    <w:rsid w:val="00FE714F"/>
    <w:rsid w:val="00FF1352"/>
    <w:rsid w:val="00FF20C8"/>
    <w:rsid w:val="00FF4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2730">
      <w:bodyDiv w:val="1"/>
      <w:marLeft w:val="0"/>
      <w:marRight w:val="0"/>
      <w:marTop w:val="0"/>
      <w:marBottom w:val="0"/>
      <w:divBdr>
        <w:top w:val="none" w:sz="0" w:space="0" w:color="auto"/>
        <w:left w:val="none" w:sz="0" w:space="0" w:color="auto"/>
        <w:bottom w:val="none" w:sz="0" w:space="0" w:color="auto"/>
        <w:right w:val="none" w:sz="0" w:space="0" w:color="auto"/>
      </w:divBdr>
      <w:divsChild>
        <w:div w:id="925771184">
          <w:marLeft w:val="0"/>
          <w:marRight w:val="0"/>
          <w:marTop w:val="0"/>
          <w:marBottom w:val="0"/>
          <w:divBdr>
            <w:top w:val="none" w:sz="0" w:space="0" w:color="auto"/>
            <w:left w:val="none" w:sz="0" w:space="0" w:color="auto"/>
            <w:bottom w:val="none" w:sz="0" w:space="0" w:color="auto"/>
            <w:right w:val="none" w:sz="0" w:space="0" w:color="auto"/>
          </w:divBdr>
          <w:divsChild>
            <w:div w:id="1336805455">
              <w:marLeft w:val="0"/>
              <w:marRight w:val="0"/>
              <w:marTop w:val="0"/>
              <w:marBottom w:val="0"/>
              <w:divBdr>
                <w:top w:val="none" w:sz="0" w:space="0" w:color="auto"/>
                <w:left w:val="none" w:sz="0" w:space="0" w:color="auto"/>
                <w:bottom w:val="none" w:sz="0" w:space="0" w:color="auto"/>
                <w:right w:val="none" w:sz="0" w:space="0" w:color="auto"/>
              </w:divBdr>
              <w:divsChild>
                <w:div w:id="17540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ravelandleisure.com/slideshows/worlds-top-25-hot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AA37B-9ECD-40D2-B792-0BB6F04FC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4263</Words>
  <Characters>24304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McCutcheon, Amber</cp:lastModifiedBy>
  <cp:revision>2</cp:revision>
  <cp:lastPrinted>2015-03-04T20:34:00Z</cp:lastPrinted>
  <dcterms:created xsi:type="dcterms:W3CDTF">2021-02-18T18:25:00Z</dcterms:created>
  <dcterms:modified xsi:type="dcterms:W3CDTF">2021-02-18T18:25:00Z</dcterms:modified>
</cp:coreProperties>
</file>