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D0139" w14:textId="39522C4D" w:rsidR="00B546D6" w:rsidRPr="004A5974" w:rsidRDefault="004A5974" w:rsidP="00C02410">
      <w:pPr>
        <w:pBdr>
          <w:bottom w:val="single" w:sz="18" w:space="1" w:color="auto"/>
        </w:pBdr>
        <w:tabs>
          <w:tab w:val="left" w:pos="-1440"/>
          <w:tab w:val="left" w:pos="-720"/>
          <w:tab w:val="left" w:pos="1"/>
        </w:tabs>
        <w:jc w:val="both"/>
        <w:rPr>
          <w:rFonts w:ascii="Arial" w:hAnsi="Arial"/>
          <w:b/>
          <w:noProof/>
          <w:sz w:val="24"/>
          <w:lang w:val="en-CA" w:eastAsia="en-CA"/>
        </w:rPr>
      </w:pPr>
      <w:r w:rsidRPr="004A5974">
        <w:rPr>
          <w:rFonts w:ascii="Arial" w:hAnsi="Arial"/>
          <w:b/>
          <w:noProof/>
          <w:sz w:val="24"/>
          <w:lang w:val="en-CA" w:eastAsia="en-CA"/>
        </w:rPr>
        <w:drawing>
          <wp:inline distT="0" distB="0" distL="0" distR="0" wp14:anchorId="7231F171" wp14:editId="01085FDC">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7C38AA68" w:rsidR="00C02410" w:rsidRPr="004A5974" w:rsidRDefault="004A5974" w:rsidP="00C02410">
      <w:pPr>
        <w:pStyle w:val="ProductNumber"/>
        <w:rPr>
          <w:lang w:val="en-CA"/>
        </w:rPr>
      </w:pPr>
      <w:r w:rsidRPr="004A5974">
        <w:rPr>
          <w:lang w:val="en-CA"/>
        </w:rPr>
        <w:t>9B21M009</w:t>
      </w:r>
    </w:p>
    <w:p w14:paraId="4E057522" w14:textId="7A113CB1" w:rsidR="00D75295" w:rsidRPr="004A5974" w:rsidRDefault="00D75295" w:rsidP="00D75295">
      <w:pPr>
        <w:jc w:val="right"/>
        <w:rPr>
          <w:rFonts w:ascii="Arial" w:hAnsi="Arial"/>
          <w:b/>
          <w:lang w:val="en-CA"/>
        </w:rPr>
      </w:pPr>
    </w:p>
    <w:p w14:paraId="02524312" w14:textId="77777777" w:rsidR="001901C0" w:rsidRPr="004A5974" w:rsidRDefault="001901C0" w:rsidP="00D75295">
      <w:pPr>
        <w:jc w:val="right"/>
        <w:rPr>
          <w:rFonts w:ascii="Arial" w:hAnsi="Arial"/>
          <w:b/>
          <w:lang w:val="en-CA"/>
        </w:rPr>
      </w:pPr>
    </w:p>
    <w:p w14:paraId="2F03D26A" w14:textId="34BD7111" w:rsidR="00013360" w:rsidRPr="004A5974" w:rsidRDefault="00B546D6" w:rsidP="00013360">
      <w:pPr>
        <w:pStyle w:val="CaseTitle"/>
        <w:spacing w:after="0" w:line="240" w:lineRule="auto"/>
        <w:rPr>
          <w:sz w:val="20"/>
          <w:szCs w:val="20"/>
          <w:lang w:val="en-CA"/>
        </w:rPr>
      </w:pPr>
      <w:r w:rsidRPr="004A5974">
        <w:rPr>
          <w:lang w:val="en-CA"/>
        </w:rPr>
        <w:t>BTPN: A TRADITIONAL BANK THAT BECAME A DIGITAL INDONESIAN JENIUS</w:t>
      </w:r>
    </w:p>
    <w:p w14:paraId="40ABF6FD" w14:textId="77777777" w:rsidR="00CA3976" w:rsidRPr="004A5974" w:rsidRDefault="00CA3976" w:rsidP="00013360">
      <w:pPr>
        <w:pStyle w:val="CaseTitle"/>
        <w:spacing w:after="0" w:line="240" w:lineRule="auto"/>
        <w:rPr>
          <w:sz w:val="20"/>
          <w:szCs w:val="20"/>
          <w:lang w:val="en-CA"/>
        </w:rPr>
      </w:pPr>
    </w:p>
    <w:p w14:paraId="202F1085" w14:textId="77777777" w:rsidR="00013360" w:rsidRPr="004A5974" w:rsidRDefault="00013360" w:rsidP="00013360">
      <w:pPr>
        <w:pStyle w:val="CaseTitle"/>
        <w:spacing w:after="0" w:line="240" w:lineRule="auto"/>
        <w:rPr>
          <w:sz w:val="20"/>
          <w:szCs w:val="20"/>
          <w:lang w:val="en-CA"/>
        </w:rPr>
      </w:pPr>
    </w:p>
    <w:p w14:paraId="58B0C73F" w14:textId="6C5F533B" w:rsidR="00086B26" w:rsidRPr="004A5974" w:rsidRDefault="00B546D6" w:rsidP="00086B26">
      <w:pPr>
        <w:pStyle w:val="StyleCopyrightStatementAfter0ptBottomSinglesolidline1"/>
        <w:rPr>
          <w:lang w:val="en-CA"/>
        </w:rPr>
      </w:pPr>
      <w:r w:rsidRPr="004A5974">
        <w:rPr>
          <w:lang w:val="en-CA"/>
        </w:rPr>
        <w:t xml:space="preserve">Marleen Dieleman and Ishtiaq P. Mahmood </w:t>
      </w:r>
      <w:r w:rsidR="00086B26" w:rsidRPr="004A5974">
        <w:rPr>
          <w:lang w:val="en-CA"/>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10B3AC48" w:rsidR="00086B26" w:rsidRPr="004A5974" w:rsidRDefault="00086B26" w:rsidP="00086B26">
      <w:pPr>
        <w:pStyle w:val="StyleCopyrightStatementAfter0ptBottomSinglesolidline1"/>
        <w:rPr>
          <w:lang w:val="en-CA"/>
        </w:rPr>
      </w:pPr>
    </w:p>
    <w:p w14:paraId="47BDC774" w14:textId="77777777" w:rsidR="004A5974" w:rsidRPr="004A5974" w:rsidRDefault="004A5974" w:rsidP="004A5974">
      <w:pPr>
        <w:pStyle w:val="StyleStyleCopyrightStatementAfter0ptBottomSinglesolid"/>
        <w:rPr>
          <w:rFonts w:cs="Arial"/>
          <w:color w:val="FFFFFF" w:themeColor="background1"/>
          <w:szCs w:val="16"/>
          <w:lang w:val="en-CA"/>
        </w:rPr>
      </w:pPr>
      <w:r w:rsidRPr="004A5974">
        <w:rPr>
          <w:rFonts w:cs="Arial"/>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4A5974">
        <w:rPr>
          <w:rFonts w:cs="Arial"/>
          <w:color w:val="FFFFFF" w:themeColor="background1"/>
          <w:szCs w:val="16"/>
          <w:lang w:val="en-CA"/>
        </w:rPr>
        <w:t>i1v2e5y5pubs</w:t>
      </w:r>
    </w:p>
    <w:p w14:paraId="5AAE1EEC" w14:textId="77777777" w:rsidR="004A5974" w:rsidRPr="004A5974" w:rsidRDefault="004A5974" w:rsidP="004A5974">
      <w:pPr>
        <w:pStyle w:val="StyleStyleCopyrightStatementAfter0ptBottomSinglesolid"/>
        <w:rPr>
          <w:rFonts w:cs="Arial"/>
          <w:iCs w:val="0"/>
          <w:color w:val="auto"/>
          <w:szCs w:val="16"/>
          <w:lang w:val="en-CA"/>
        </w:rPr>
      </w:pPr>
    </w:p>
    <w:p w14:paraId="3922E14F" w14:textId="64E538B2" w:rsidR="00751E0B" w:rsidRPr="004A5974" w:rsidRDefault="004A5974" w:rsidP="00A323B0">
      <w:pPr>
        <w:pStyle w:val="StyleStyleCopyrightStatementAfter0ptBottomSinglesolid"/>
        <w:rPr>
          <w:rFonts w:cs="Arial"/>
          <w:color w:val="FFFFFF" w:themeColor="background1"/>
          <w:szCs w:val="16"/>
          <w:lang w:val="en-CA"/>
        </w:rPr>
      </w:pPr>
      <w:r w:rsidRPr="004A5974">
        <w:rPr>
          <w:rFonts w:cs="Arial"/>
          <w:iCs w:val="0"/>
          <w:color w:val="auto"/>
          <w:szCs w:val="16"/>
          <w:lang w:val="en-CA"/>
        </w:rPr>
        <w:t>Copyright © 2021, Ivey Business School Foundation</w:t>
      </w:r>
      <w:r w:rsidR="00A323B0" w:rsidRPr="004A5974">
        <w:rPr>
          <w:rFonts w:cs="Arial"/>
          <w:iCs w:val="0"/>
          <w:color w:val="auto"/>
          <w:szCs w:val="16"/>
          <w:lang w:val="en-CA"/>
        </w:rPr>
        <w:tab/>
      </w:r>
      <w:r w:rsidR="001A4107" w:rsidRPr="004A5974">
        <w:rPr>
          <w:rFonts w:cs="Arial"/>
          <w:iCs w:val="0"/>
          <w:color w:val="auto"/>
          <w:szCs w:val="16"/>
          <w:lang w:val="en-CA"/>
        </w:rPr>
        <w:t>Version: 2021-0</w:t>
      </w:r>
      <w:r w:rsidRPr="004A5974">
        <w:rPr>
          <w:rFonts w:cs="Arial"/>
          <w:iCs w:val="0"/>
          <w:color w:val="auto"/>
          <w:szCs w:val="16"/>
          <w:lang w:val="en-CA"/>
        </w:rPr>
        <w:t>2</w:t>
      </w:r>
      <w:r w:rsidR="001A4107" w:rsidRPr="004A5974">
        <w:rPr>
          <w:rFonts w:cs="Arial"/>
          <w:iCs w:val="0"/>
          <w:color w:val="auto"/>
          <w:szCs w:val="16"/>
          <w:lang w:val="en-CA"/>
        </w:rPr>
        <w:t>-</w:t>
      </w:r>
      <w:r w:rsidRPr="004A5974">
        <w:rPr>
          <w:rFonts w:cs="Arial"/>
          <w:iCs w:val="0"/>
          <w:color w:val="auto"/>
          <w:szCs w:val="16"/>
          <w:lang w:val="en-CA"/>
        </w:rPr>
        <w:t>02</w:t>
      </w:r>
    </w:p>
    <w:p w14:paraId="0A2A54E4" w14:textId="4D48B5FB" w:rsidR="00751E0B" w:rsidRPr="004A5974" w:rsidRDefault="00751E0B" w:rsidP="00751E0B">
      <w:pPr>
        <w:pStyle w:val="StyleCopyrightStatementAfter0ptBottomSinglesolidline1"/>
        <w:rPr>
          <w:rFonts w:ascii="Times New Roman" w:hAnsi="Times New Roman"/>
          <w:sz w:val="20"/>
          <w:lang w:val="en-CA"/>
        </w:rPr>
      </w:pPr>
    </w:p>
    <w:p w14:paraId="797A304D" w14:textId="77777777" w:rsidR="00B546D6" w:rsidRPr="004A5974" w:rsidRDefault="00B546D6" w:rsidP="00751E0B">
      <w:pPr>
        <w:pStyle w:val="StyleCopyrightStatementAfter0ptBottomSinglesolidline1"/>
        <w:rPr>
          <w:rFonts w:ascii="Times New Roman" w:hAnsi="Times New Roman"/>
          <w:sz w:val="20"/>
          <w:lang w:val="en-CA"/>
        </w:rPr>
      </w:pPr>
    </w:p>
    <w:p w14:paraId="1D3F56C8" w14:textId="63BBDF85" w:rsidR="00B546D6" w:rsidRPr="004A5974" w:rsidRDefault="00B546D6" w:rsidP="00B546D6">
      <w:pPr>
        <w:jc w:val="both"/>
        <w:rPr>
          <w:sz w:val="22"/>
          <w:szCs w:val="22"/>
          <w:lang w:val="en-CA"/>
        </w:rPr>
      </w:pPr>
      <w:r w:rsidRPr="004A5974">
        <w:rPr>
          <w:sz w:val="22"/>
          <w:szCs w:val="22"/>
          <w:lang w:val="en-CA"/>
        </w:rPr>
        <w:t xml:space="preserve">In 2020, Ongki </w:t>
      </w:r>
      <w:r w:rsidR="00BC7187" w:rsidRPr="004A5974">
        <w:rPr>
          <w:sz w:val="22"/>
          <w:szCs w:val="22"/>
          <w:lang w:val="en-CA"/>
        </w:rPr>
        <w:t xml:space="preserve">W. </w:t>
      </w:r>
      <w:r w:rsidRPr="004A5974">
        <w:rPr>
          <w:sz w:val="22"/>
          <w:szCs w:val="22"/>
          <w:lang w:val="en-CA"/>
        </w:rPr>
        <w:t xml:space="preserve">Dana needed a strategy to scale the innovative digital banking activities of </w:t>
      </w:r>
      <w:r w:rsidR="002C7DA6" w:rsidRPr="004A5974">
        <w:rPr>
          <w:sz w:val="22"/>
          <w:szCs w:val="22"/>
          <w:lang w:val="en-CA"/>
        </w:rPr>
        <w:t>PT Bank Tabungan Pensiunan Nasional Tbk</w:t>
      </w:r>
      <w:r w:rsidR="002C7DA6" w:rsidRPr="004A5974" w:rsidDel="002C7DA6">
        <w:rPr>
          <w:sz w:val="22"/>
          <w:szCs w:val="22"/>
          <w:lang w:val="en-CA"/>
        </w:rPr>
        <w:t xml:space="preserve"> </w:t>
      </w:r>
      <w:r w:rsidRPr="004A5974">
        <w:rPr>
          <w:sz w:val="22"/>
          <w:szCs w:val="22"/>
          <w:lang w:val="en-CA"/>
        </w:rPr>
        <w:t>(BTPN) in Indonesia. BTPN started as a small bank</w:t>
      </w:r>
      <w:r w:rsidR="00392A27" w:rsidRPr="004A5974">
        <w:rPr>
          <w:sz w:val="22"/>
          <w:szCs w:val="22"/>
          <w:lang w:val="en-CA"/>
        </w:rPr>
        <w:t xml:space="preserve"> that focused</w:t>
      </w:r>
      <w:r w:rsidR="0013159A" w:rsidRPr="004A5974">
        <w:rPr>
          <w:sz w:val="22"/>
          <w:szCs w:val="22"/>
          <w:lang w:val="en-CA"/>
        </w:rPr>
        <w:t xml:space="preserve"> </w:t>
      </w:r>
      <w:r w:rsidRPr="004A5974">
        <w:rPr>
          <w:sz w:val="22"/>
          <w:szCs w:val="22"/>
          <w:lang w:val="en-CA"/>
        </w:rPr>
        <w:t>on serving military and civil servant pensioners</w:t>
      </w:r>
      <w:r w:rsidR="00AC2693" w:rsidRPr="004A5974">
        <w:rPr>
          <w:sz w:val="22"/>
          <w:szCs w:val="22"/>
          <w:lang w:val="en-CA"/>
        </w:rPr>
        <w:t>,</w:t>
      </w:r>
      <w:r w:rsidRPr="004A5974">
        <w:rPr>
          <w:sz w:val="22"/>
          <w:szCs w:val="22"/>
          <w:lang w:val="en-CA"/>
        </w:rPr>
        <w:t xml:space="preserve"> but</w:t>
      </w:r>
      <w:r w:rsidR="00AC2693" w:rsidRPr="004A5974">
        <w:rPr>
          <w:sz w:val="22"/>
          <w:szCs w:val="22"/>
          <w:lang w:val="en-CA"/>
        </w:rPr>
        <w:t xml:space="preserve"> it</w:t>
      </w:r>
      <w:r w:rsidR="00BC02DC" w:rsidRPr="004A5974">
        <w:rPr>
          <w:sz w:val="22"/>
          <w:szCs w:val="22"/>
          <w:lang w:val="en-CA"/>
        </w:rPr>
        <w:t xml:space="preserve"> became known for its innovation after a private equity partner bought a stake in 2008</w:t>
      </w:r>
      <w:r w:rsidRPr="004A5974">
        <w:rPr>
          <w:sz w:val="22"/>
          <w:szCs w:val="22"/>
          <w:lang w:val="en-CA"/>
        </w:rPr>
        <w:t>. After innovating and scaling successfully in microfinance, BTPN decided to go digital</w:t>
      </w:r>
      <w:r w:rsidR="000D4627" w:rsidRPr="004A5974">
        <w:rPr>
          <w:sz w:val="22"/>
          <w:szCs w:val="22"/>
          <w:lang w:val="en-CA"/>
        </w:rPr>
        <w:t>,</w:t>
      </w:r>
      <w:r w:rsidRPr="004A5974">
        <w:rPr>
          <w:sz w:val="22"/>
          <w:szCs w:val="22"/>
          <w:lang w:val="en-CA"/>
        </w:rPr>
        <w:t xml:space="preserve"> and</w:t>
      </w:r>
      <w:r w:rsidR="00270D36" w:rsidRPr="004A5974">
        <w:rPr>
          <w:sz w:val="22"/>
          <w:szCs w:val="22"/>
          <w:lang w:val="en-CA"/>
        </w:rPr>
        <w:t xml:space="preserve"> in 2015</w:t>
      </w:r>
      <w:r w:rsidR="000D4627" w:rsidRPr="004A5974">
        <w:rPr>
          <w:sz w:val="22"/>
          <w:szCs w:val="22"/>
          <w:lang w:val="en-CA"/>
        </w:rPr>
        <w:t xml:space="preserve"> it</w:t>
      </w:r>
      <w:r w:rsidRPr="004A5974">
        <w:rPr>
          <w:sz w:val="22"/>
          <w:szCs w:val="22"/>
          <w:lang w:val="en-CA"/>
        </w:rPr>
        <w:t xml:space="preserve"> created an in-house </w:t>
      </w:r>
      <w:r w:rsidR="00D62BD1" w:rsidRPr="004A5974">
        <w:rPr>
          <w:sz w:val="22"/>
          <w:szCs w:val="22"/>
          <w:lang w:val="en-CA"/>
        </w:rPr>
        <w:t xml:space="preserve">start-up </w:t>
      </w:r>
      <w:r w:rsidRPr="004A5974">
        <w:rPr>
          <w:sz w:val="22"/>
          <w:szCs w:val="22"/>
          <w:lang w:val="en-CA"/>
        </w:rPr>
        <w:t xml:space="preserve">called Jenius. The traditional bank </w:t>
      </w:r>
      <w:r w:rsidR="003C5320" w:rsidRPr="004A5974">
        <w:rPr>
          <w:sz w:val="22"/>
          <w:szCs w:val="22"/>
          <w:lang w:val="en-CA"/>
        </w:rPr>
        <w:t xml:space="preserve">had </w:t>
      </w:r>
      <w:r w:rsidRPr="004A5974">
        <w:rPr>
          <w:sz w:val="22"/>
          <w:szCs w:val="22"/>
          <w:lang w:val="en-CA"/>
        </w:rPr>
        <w:t>leapfrogged to become one of the forerunners in Indonesian digital consumer banking. But the first-mover advantage was fast eroding</w:t>
      </w:r>
      <w:r w:rsidR="00D62BD1" w:rsidRPr="004A5974">
        <w:rPr>
          <w:sz w:val="22"/>
          <w:szCs w:val="22"/>
          <w:lang w:val="en-CA"/>
        </w:rPr>
        <w:t>,</w:t>
      </w:r>
      <w:r w:rsidRPr="004A5974">
        <w:rPr>
          <w:sz w:val="22"/>
          <w:szCs w:val="22"/>
          <w:lang w:val="en-CA"/>
        </w:rPr>
        <w:t xml:space="preserve"> and</w:t>
      </w:r>
      <w:r w:rsidR="00D62BD1" w:rsidRPr="004A5974">
        <w:rPr>
          <w:sz w:val="22"/>
          <w:szCs w:val="22"/>
          <w:lang w:val="en-CA"/>
        </w:rPr>
        <w:t xml:space="preserve"> after a merger with Sumitomo Mitsui Banking Corporation </w:t>
      </w:r>
      <w:r w:rsidR="00BC2B8D" w:rsidRPr="004A5974">
        <w:rPr>
          <w:sz w:val="22"/>
          <w:szCs w:val="22"/>
          <w:lang w:val="en-CA"/>
        </w:rPr>
        <w:t xml:space="preserve">(SMBC) </w:t>
      </w:r>
      <w:r w:rsidR="00D62BD1" w:rsidRPr="004A5974">
        <w:rPr>
          <w:sz w:val="22"/>
          <w:szCs w:val="22"/>
          <w:lang w:val="en-CA"/>
        </w:rPr>
        <w:t>Indonesia in 2019,</w:t>
      </w:r>
      <w:r w:rsidRPr="004A5974">
        <w:rPr>
          <w:sz w:val="22"/>
          <w:szCs w:val="22"/>
          <w:lang w:val="en-CA"/>
        </w:rPr>
        <w:t xml:space="preserve"> BTPN </w:t>
      </w:r>
      <w:r w:rsidR="00BC2B8D" w:rsidRPr="004A5974">
        <w:rPr>
          <w:sz w:val="22"/>
          <w:szCs w:val="22"/>
          <w:lang w:val="en-CA"/>
        </w:rPr>
        <w:t xml:space="preserve">had </w:t>
      </w:r>
      <w:r w:rsidRPr="004A5974">
        <w:rPr>
          <w:sz w:val="22"/>
          <w:szCs w:val="22"/>
          <w:lang w:val="en-CA"/>
        </w:rPr>
        <w:t xml:space="preserve">entered a new phase. </w:t>
      </w:r>
      <w:r w:rsidR="00FD11B8" w:rsidRPr="004A5974">
        <w:rPr>
          <w:sz w:val="22"/>
          <w:szCs w:val="22"/>
          <w:lang w:val="en-CA"/>
        </w:rPr>
        <w:t xml:space="preserve">Now that digital financial services were accelerating due to the </w:t>
      </w:r>
      <w:r w:rsidRPr="004A5974">
        <w:rPr>
          <w:sz w:val="22"/>
          <w:szCs w:val="22"/>
          <w:lang w:val="en-CA"/>
        </w:rPr>
        <w:t>C</w:t>
      </w:r>
      <w:r w:rsidR="00C43C00" w:rsidRPr="004A5974">
        <w:rPr>
          <w:sz w:val="22"/>
          <w:szCs w:val="22"/>
          <w:lang w:val="en-CA"/>
        </w:rPr>
        <w:t>OVID</w:t>
      </w:r>
      <w:r w:rsidRPr="004A5974">
        <w:rPr>
          <w:sz w:val="22"/>
          <w:szCs w:val="22"/>
          <w:lang w:val="en-CA"/>
        </w:rPr>
        <w:t>-19 pandemic</w:t>
      </w:r>
      <w:r w:rsidR="00BB1880" w:rsidRPr="004A5974">
        <w:rPr>
          <w:sz w:val="22"/>
          <w:szCs w:val="22"/>
          <w:lang w:val="en-CA"/>
        </w:rPr>
        <w:t>,</w:t>
      </w:r>
      <w:r w:rsidRPr="004A5974">
        <w:rPr>
          <w:sz w:val="22"/>
          <w:szCs w:val="22"/>
          <w:lang w:val="en-CA"/>
        </w:rPr>
        <w:t xml:space="preserve"> Dana </w:t>
      </w:r>
      <w:r w:rsidR="00A26851" w:rsidRPr="004A5974">
        <w:rPr>
          <w:sz w:val="22"/>
          <w:szCs w:val="22"/>
          <w:lang w:val="en-CA"/>
        </w:rPr>
        <w:t>wished</w:t>
      </w:r>
      <w:r w:rsidR="00BB1880" w:rsidRPr="004A5974">
        <w:rPr>
          <w:sz w:val="22"/>
          <w:szCs w:val="22"/>
          <w:lang w:val="en-CA"/>
        </w:rPr>
        <w:t xml:space="preserve"> to reflect</w:t>
      </w:r>
      <w:r w:rsidRPr="004A5974">
        <w:rPr>
          <w:sz w:val="22"/>
          <w:szCs w:val="22"/>
          <w:lang w:val="en-CA"/>
        </w:rPr>
        <w:t xml:space="preserve"> on how to take Jenius forward. </w:t>
      </w:r>
      <w:r w:rsidR="003915CC" w:rsidRPr="004A5974">
        <w:rPr>
          <w:sz w:val="22"/>
          <w:szCs w:val="22"/>
          <w:lang w:val="en-CA"/>
        </w:rPr>
        <w:t>Was the in-house start-up model the best choice for digital innovation, or would the large incumbent banks digitalize faster?</w:t>
      </w:r>
    </w:p>
    <w:p w14:paraId="21F0E749" w14:textId="77777777" w:rsidR="00B546D6" w:rsidRPr="004A5974" w:rsidRDefault="00B546D6" w:rsidP="00B546D6">
      <w:pPr>
        <w:jc w:val="both"/>
        <w:rPr>
          <w:sz w:val="22"/>
          <w:szCs w:val="22"/>
          <w:lang w:val="en-CA"/>
        </w:rPr>
      </w:pPr>
    </w:p>
    <w:p w14:paraId="31E5B0F0" w14:textId="77777777" w:rsidR="00B546D6" w:rsidRPr="004A5974" w:rsidRDefault="00B546D6" w:rsidP="00B546D6">
      <w:pPr>
        <w:rPr>
          <w:b/>
          <w:bCs/>
          <w:sz w:val="22"/>
          <w:szCs w:val="22"/>
          <w:lang w:val="en-CA"/>
        </w:rPr>
      </w:pPr>
    </w:p>
    <w:p w14:paraId="53C1C3B9" w14:textId="7755ED41" w:rsidR="00B546D6" w:rsidRPr="004A5974" w:rsidRDefault="00B546D6" w:rsidP="00B546D6">
      <w:pPr>
        <w:pStyle w:val="Casehead1"/>
        <w:rPr>
          <w:lang w:val="en-CA"/>
        </w:rPr>
      </w:pPr>
      <w:r w:rsidRPr="004A5974">
        <w:rPr>
          <w:lang w:val="en-CA"/>
        </w:rPr>
        <w:t>Indonesia’s opportunity for digital financial services</w:t>
      </w:r>
    </w:p>
    <w:p w14:paraId="4B7E768F" w14:textId="77777777" w:rsidR="00B546D6" w:rsidRPr="004A5974" w:rsidRDefault="00B546D6" w:rsidP="00B546D6">
      <w:pPr>
        <w:jc w:val="both"/>
        <w:rPr>
          <w:b/>
          <w:bCs/>
          <w:sz w:val="22"/>
          <w:szCs w:val="22"/>
          <w:lang w:val="en-CA"/>
        </w:rPr>
      </w:pPr>
    </w:p>
    <w:p w14:paraId="4D972A6F" w14:textId="22581592" w:rsidR="00BC2FC7" w:rsidRPr="004A5974" w:rsidRDefault="00B546D6" w:rsidP="00B546D6">
      <w:pPr>
        <w:jc w:val="both"/>
        <w:rPr>
          <w:sz w:val="22"/>
          <w:szCs w:val="22"/>
          <w:lang w:val="en-CA"/>
        </w:rPr>
      </w:pPr>
      <w:r w:rsidRPr="004A5974">
        <w:rPr>
          <w:sz w:val="22"/>
          <w:szCs w:val="22"/>
          <w:lang w:val="en-CA"/>
        </w:rPr>
        <w:t xml:space="preserve">With a population of 272 million, Indonesia </w:t>
      </w:r>
      <w:r w:rsidR="001150B9" w:rsidRPr="004A5974">
        <w:rPr>
          <w:sz w:val="22"/>
          <w:szCs w:val="22"/>
          <w:lang w:val="en-CA"/>
        </w:rPr>
        <w:t xml:space="preserve">was </w:t>
      </w:r>
      <w:r w:rsidRPr="004A5974">
        <w:rPr>
          <w:sz w:val="22"/>
          <w:szCs w:val="22"/>
          <w:lang w:val="en-CA"/>
        </w:rPr>
        <w:t xml:space="preserve">often seen as </w:t>
      </w:r>
      <w:r w:rsidR="001150B9" w:rsidRPr="004A5974">
        <w:rPr>
          <w:sz w:val="22"/>
          <w:szCs w:val="22"/>
          <w:lang w:val="en-CA"/>
        </w:rPr>
        <w:t>a</w:t>
      </w:r>
      <w:r w:rsidRPr="004A5974">
        <w:rPr>
          <w:sz w:val="22"/>
          <w:szCs w:val="22"/>
          <w:lang w:val="en-CA"/>
        </w:rPr>
        <w:t xml:space="preserve"> key market for retail banking in Southeast Asia. The most promising segment for financial services was the middle class, which was expected to reach 23.9 million households by 2030</w:t>
      </w:r>
      <w:r w:rsidR="002E0606" w:rsidRPr="004A5974">
        <w:rPr>
          <w:sz w:val="22"/>
          <w:szCs w:val="22"/>
          <w:lang w:val="en-CA"/>
        </w:rPr>
        <w:t>.</w:t>
      </w:r>
      <w:r w:rsidR="00BC2FC7" w:rsidRPr="004A5974">
        <w:rPr>
          <w:rStyle w:val="EndnoteReference"/>
          <w:sz w:val="22"/>
          <w:szCs w:val="22"/>
          <w:lang w:val="en-CA"/>
        </w:rPr>
        <w:endnoteReference w:id="1"/>
      </w:r>
      <w:r w:rsidR="00BC2FC7" w:rsidRPr="004A5974">
        <w:rPr>
          <w:sz w:val="22"/>
          <w:szCs w:val="22"/>
          <w:lang w:val="en-CA"/>
        </w:rPr>
        <w:t xml:space="preserve"> With its relatively young population, the middle class would primarily be driven by lower-income segments, often made up of millennials.</w:t>
      </w:r>
    </w:p>
    <w:p w14:paraId="3B43C009" w14:textId="77777777" w:rsidR="00BC2FC7" w:rsidRPr="004A5974" w:rsidRDefault="00BC2FC7" w:rsidP="00B546D6">
      <w:pPr>
        <w:jc w:val="both"/>
        <w:rPr>
          <w:sz w:val="22"/>
          <w:szCs w:val="22"/>
          <w:lang w:val="en-CA"/>
        </w:rPr>
      </w:pPr>
    </w:p>
    <w:p w14:paraId="312AFFB3" w14:textId="3AB5FC66" w:rsidR="00BC2FC7" w:rsidRPr="004A5974" w:rsidRDefault="00BC2FC7" w:rsidP="00B546D6">
      <w:pPr>
        <w:jc w:val="both"/>
        <w:rPr>
          <w:sz w:val="22"/>
          <w:szCs w:val="22"/>
          <w:lang w:val="en-CA"/>
        </w:rPr>
      </w:pPr>
      <w:r w:rsidRPr="004A5974">
        <w:rPr>
          <w:sz w:val="22"/>
          <w:szCs w:val="22"/>
          <w:lang w:val="en-CA"/>
        </w:rPr>
        <w:t>As of 2014, only 36 per cent of Indonesia’s population had bank accounts, leaving most of the less well-off consumers unbanked.</w:t>
      </w:r>
      <w:r w:rsidRPr="004A5974">
        <w:rPr>
          <w:rStyle w:val="EndnoteReference"/>
          <w:sz w:val="22"/>
          <w:szCs w:val="22"/>
          <w:lang w:val="en-CA"/>
        </w:rPr>
        <w:endnoteReference w:id="2"/>
      </w:r>
      <w:r w:rsidRPr="004A5974">
        <w:rPr>
          <w:sz w:val="22"/>
          <w:szCs w:val="22"/>
          <w:lang w:val="en-CA"/>
        </w:rPr>
        <w:t xml:space="preserve"> In addition, many of the aspiring middle-class consumers were unbanked or underbanked. Existing banks focused on the most affluent customers, leaving this rapidly growing aspiring middle class with fewer financial services options.</w:t>
      </w:r>
    </w:p>
    <w:p w14:paraId="59A0351E" w14:textId="77777777" w:rsidR="00BC2FC7" w:rsidRPr="004A5974" w:rsidRDefault="00BC2FC7" w:rsidP="00B546D6">
      <w:pPr>
        <w:jc w:val="both"/>
        <w:rPr>
          <w:sz w:val="22"/>
          <w:szCs w:val="22"/>
          <w:lang w:val="en-CA"/>
        </w:rPr>
      </w:pPr>
    </w:p>
    <w:p w14:paraId="7222977D" w14:textId="397ACAA2" w:rsidR="00BC2FC7" w:rsidRPr="004A5974" w:rsidRDefault="00BC2FC7" w:rsidP="00B546D6">
      <w:pPr>
        <w:jc w:val="both"/>
        <w:rPr>
          <w:spacing w:val="-2"/>
          <w:sz w:val="22"/>
          <w:szCs w:val="22"/>
          <w:lang w:val="en-CA"/>
        </w:rPr>
      </w:pPr>
      <w:r w:rsidRPr="004A5974">
        <w:rPr>
          <w:spacing w:val="-2"/>
          <w:sz w:val="22"/>
          <w:szCs w:val="22"/>
          <w:lang w:val="en-CA"/>
        </w:rPr>
        <w:t>A striking 33 per cent of the unbanked population claimed that distance was the biggest barrier standing between them and having a bank account.</w:t>
      </w:r>
      <w:r w:rsidRPr="004A5974">
        <w:rPr>
          <w:rStyle w:val="EndnoteReference"/>
          <w:spacing w:val="-2"/>
          <w:sz w:val="22"/>
          <w:szCs w:val="22"/>
          <w:lang w:val="en-CA"/>
        </w:rPr>
        <w:endnoteReference w:id="3"/>
      </w:r>
      <w:r w:rsidRPr="004A5974">
        <w:rPr>
          <w:spacing w:val="-2"/>
          <w:sz w:val="22"/>
          <w:szCs w:val="22"/>
          <w:lang w:val="en-CA"/>
        </w:rPr>
        <w:t xml:space="preserve"> However, 62 per cent of the population (approximately 161 million people) had access to mobile phones.</w:t>
      </w:r>
      <w:r w:rsidRPr="004A5974">
        <w:rPr>
          <w:rStyle w:val="EndnoteReference"/>
          <w:spacing w:val="-2"/>
          <w:sz w:val="22"/>
          <w:szCs w:val="22"/>
          <w:lang w:val="en-CA"/>
        </w:rPr>
        <w:endnoteReference w:id="4"/>
      </w:r>
      <w:r w:rsidRPr="004A5974">
        <w:rPr>
          <w:spacing w:val="-2"/>
          <w:sz w:val="22"/>
          <w:szCs w:val="22"/>
          <w:lang w:val="en-CA"/>
        </w:rPr>
        <w:t xml:space="preserve"> Internet penetration was increasing and projected to reach 54 per cent in 2023, while smart phone penetration was poised to increase to 33 per cent by the same year.</w:t>
      </w:r>
      <w:r w:rsidRPr="004A5974">
        <w:rPr>
          <w:rStyle w:val="EndnoteReference"/>
          <w:spacing w:val="-2"/>
          <w:sz w:val="22"/>
          <w:szCs w:val="22"/>
          <w:lang w:val="en-CA"/>
        </w:rPr>
        <w:endnoteReference w:id="5"/>
      </w:r>
      <w:r w:rsidRPr="004A5974">
        <w:rPr>
          <w:spacing w:val="-2"/>
          <w:sz w:val="22"/>
          <w:szCs w:val="22"/>
          <w:lang w:val="en-CA"/>
        </w:rPr>
        <w:t xml:space="preserve"> With consumers flocking online on their devices, Indonesia’s Internet economy grew to US$40 billion</w:t>
      </w:r>
      <w:r w:rsidRPr="004A5974">
        <w:rPr>
          <w:rStyle w:val="EndnoteReference"/>
          <w:spacing w:val="-2"/>
          <w:sz w:val="22"/>
          <w:szCs w:val="22"/>
          <w:lang w:val="en-CA"/>
        </w:rPr>
        <w:endnoteReference w:id="6"/>
      </w:r>
      <w:r w:rsidRPr="004A5974">
        <w:rPr>
          <w:spacing w:val="-2"/>
          <w:sz w:val="22"/>
          <w:szCs w:val="22"/>
          <w:lang w:val="en-CA"/>
        </w:rPr>
        <w:t xml:space="preserve"> in 2019 and was expected to increase to $130 billion by 2025.</w:t>
      </w:r>
      <w:r w:rsidRPr="004A5974">
        <w:rPr>
          <w:rStyle w:val="EndnoteReference"/>
          <w:spacing w:val="-2"/>
          <w:sz w:val="22"/>
          <w:szCs w:val="22"/>
          <w:lang w:val="en-CA"/>
        </w:rPr>
        <w:endnoteReference w:id="7"/>
      </w:r>
      <w:r w:rsidRPr="004A5974">
        <w:rPr>
          <w:spacing w:val="-2"/>
          <w:sz w:val="22"/>
          <w:szCs w:val="22"/>
          <w:lang w:val="en-CA"/>
        </w:rPr>
        <w:t xml:space="preserve"> The global COVID-19 pandemic forced people into lockdowns in 2020, speeding up the arrival of the digital services era everywhere, including in Indonesia.</w:t>
      </w:r>
    </w:p>
    <w:p w14:paraId="7742628C" w14:textId="31349B50" w:rsidR="00BC2FC7" w:rsidRPr="004A5974" w:rsidRDefault="00BC2FC7" w:rsidP="002505C3">
      <w:pPr>
        <w:jc w:val="both"/>
        <w:rPr>
          <w:color w:val="000000"/>
          <w:sz w:val="22"/>
          <w:szCs w:val="22"/>
          <w:shd w:val="clear" w:color="auto" w:fill="FFFFFF"/>
          <w:lang w:val="en-CA"/>
        </w:rPr>
      </w:pPr>
      <w:r w:rsidRPr="002505C3">
        <w:rPr>
          <w:sz w:val="22"/>
          <w:szCs w:val="22"/>
          <w:lang w:val="en-CA"/>
        </w:rPr>
        <w:lastRenderedPageBreak/>
        <w:t>Indonesia’s banking sector comprised 115 commercial banks and 1,630 rural banks.</w:t>
      </w:r>
      <w:r w:rsidRPr="002505C3">
        <w:rPr>
          <w:rStyle w:val="EndnoteReference"/>
          <w:sz w:val="22"/>
          <w:szCs w:val="22"/>
          <w:lang w:val="en-CA"/>
        </w:rPr>
        <w:endnoteReference w:id="8"/>
      </w:r>
      <w:r w:rsidRPr="002505C3">
        <w:rPr>
          <w:sz w:val="22"/>
          <w:szCs w:val="22"/>
          <w:lang w:val="en-CA"/>
        </w:rPr>
        <w:t xml:space="preserve"> PT Bank Rakyat Indonesia (Persero) Tbk</w:t>
      </w:r>
      <w:r w:rsidRPr="002505C3">
        <w:rPr>
          <w:color w:val="000000"/>
          <w:sz w:val="22"/>
          <w:szCs w:val="22"/>
          <w:lang w:val="en-CA"/>
        </w:rPr>
        <w:t>, PT Bank Mandiri Tbk, PT Bank Central Asia Tbk</w:t>
      </w:r>
      <w:r w:rsidRPr="002505C3" w:rsidDel="007233BE">
        <w:rPr>
          <w:color w:val="000000"/>
          <w:sz w:val="22"/>
          <w:szCs w:val="22"/>
          <w:lang w:val="en-CA"/>
        </w:rPr>
        <w:t xml:space="preserve"> </w:t>
      </w:r>
      <w:r w:rsidRPr="002505C3">
        <w:rPr>
          <w:color w:val="000000"/>
          <w:sz w:val="22"/>
          <w:szCs w:val="22"/>
          <w:lang w:val="en-CA"/>
        </w:rPr>
        <w:t>(BCA), and PT Bank Negara Indonesia</w:t>
      </w:r>
      <w:r w:rsidRPr="002505C3" w:rsidDel="004C3306">
        <w:rPr>
          <w:color w:val="000000"/>
          <w:sz w:val="22"/>
          <w:szCs w:val="22"/>
          <w:lang w:val="en-CA"/>
        </w:rPr>
        <w:t xml:space="preserve"> </w:t>
      </w:r>
      <w:r w:rsidRPr="002505C3">
        <w:rPr>
          <w:color w:val="000000"/>
          <w:sz w:val="22"/>
          <w:szCs w:val="22"/>
          <w:lang w:val="en-CA"/>
        </w:rPr>
        <w:t>Tbk we</w:t>
      </w:r>
      <w:bookmarkStart w:id="0" w:name="_GoBack"/>
      <w:bookmarkEnd w:id="0"/>
      <w:r w:rsidRPr="002505C3">
        <w:rPr>
          <w:color w:val="000000"/>
          <w:sz w:val="22"/>
          <w:szCs w:val="22"/>
          <w:lang w:val="en-CA"/>
        </w:rPr>
        <w:t>re the biggest players, collectively making up more than 50 per cent of the banking sector’s assets.</w:t>
      </w:r>
      <w:r w:rsidRPr="002505C3">
        <w:rPr>
          <w:rStyle w:val="EndnoteReference"/>
          <w:color w:val="000000"/>
          <w:sz w:val="22"/>
          <w:szCs w:val="22"/>
          <w:lang w:val="en-CA"/>
        </w:rPr>
        <w:endnoteReference w:id="9"/>
      </w:r>
      <w:r w:rsidRPr="002505C3">
        <w:rPr>
          <w:color w:val="000000"/>
          <w:sz w:val="22"/>
          <w:szCs w:val="22"/>
          <w:lang w:val="en-CA"/>
        </w:rPr>
        <w:t xml:space="preserve"> All of the large banks offered a broad suite of consumer banking products and had an</w:t>
      </w:r>
      <w:r w:rsidRPr="004A5974">
        <w:rPr>
          <w:color w:val="000000"/>
          <w:sz w:val="22"/>
          <w:szCs w:val="22"/>
          <w:shd w:val="clear" w:color="auto" w:fill="FFFFFF"/>
          <w:lang w:val="en-CA"/>
        </w:rPr>
        <w:t xml:space="preserve"> </w:t>
      </w:r>
      <w:r w:rsidRPr="002505C3">
        <w:rPr>
          <w:color w:val="000000"/>
          <w:sz w:val="22"/>
          <w:szCs w:val="22"/>
          <w:lang w:val="en-CA"/>
        </w:rPr>
        <w:t>extensive network of physical branches stretching from the capital, Jakarta, into Indonesia’s provinces.</w:t>
      </w:r>
    </w:p>
    <w:p w14:paraId="48CB7E35" w14:textId="77777777" w:rsidR="00BC2FC7" w:rsidRPr="004A5974" w:rsidRDefault="00BC2FC7" w:rsidP="002505C3">
      <w:pPr>
        <w:jc w:val="both"/>
        <w:rPr>
          <w:color w:val="000000"/>
          <w:sz w:val="22"/>
          <w:szCs w:val="22"/>
          <w:shd w:val="clear" w:color="auto" w:fill="FFFFFF"/>
          <w:lang w:val="en-CA"/>
        </w:rPr>
      </w:pPr>
    </w:p>
    <w:p w14:paraId="41B5A014" w14:textId="07694746" w:rsidR="00BC2FC7" w:rsidRPr="004A5974" w:rsidRDefault="00BC2FC7" w:rsidP="002505C3">
      <w:pPr>
        <w:jc w:val="both"/>
        <w:rPr>
          <w:color w:val="000000"/>
          <w:sz w:val="22"/>
          <w:szCs w:val="22"/>
          <w:shd w:val="clear" w:color="auto" w:fill="FFFFFF"/>
          <w:lang w:val="en-CA"/>
        </w:rPr>
      </w:pPr>
      <w:r w:rsidRPr="002505C3">
        <w:rPr>
          <w:color w:val="000000"/>
          <w:sz w:val="22"/>
          <w:szCs w:val="22"/>
          <w:lang w:val="en-CA"/>
        </w:rPr>
        <w:t>As in other countries, banks in Indonesia were slow to catch up with digital banking services. According to a PwC digital banking survey, this was mostly due to a combination of legacy systems, regulatory constraints, and organizational inertia.</w:t>
      </w:r>
      <w:r w:rsidRPr="002505C3">
        <w:rPr>
          <w:rStyle w:val="EndnoteReference"/>
          <w:color w:val="000000"/>
          <w:sz w:val="22"/>
          <w:szCs w:val="22"/>
          <w:lang w:val="en-CA"/>
        </w:rPr>
        <w:endnoteReference w:id="10"/>
      </w:r>
      <w:r w:rsidRPr="002505C3">
        <w:rPr>
          <w:color w:val="000000"/>
          <w:sz w:val="22"/>
          <w:szCs w:val="22"/>
          <w:lang w:val="en-CA"/>
        </w:rPr>
        <w:t xml:space="preserve"> Across the industry, traditional banks faced the most difficulty in transforming digitally, struggling to compete with new financial technology (fintech) firms that suddenly</w:t>
      </w:r>
      <w:r w:rsidRPr="004A5974">
        <w:rPr>
          <w:color w:val="000000"/>
          <w:sz w:val="22"/>
          <w:szCs w:val="22"/>
          <w:shd w:val="clear" w:color="auto" w:fill="FFFFFF"/>
          <w:lang w:val="en-CA"/>
        </w:rPr>
        <w:t xml:space="preserve"> </w:t>
      </w:r>
      <w:r w:rsidRPr="002505C3">
        <w:rPr>
          <w:color w:val="000000"/>
          <w:sz w:val="22"/>
          <w:szCs w:val="22"/>
          <w:lang w:val="en-CA"/>
        </w:rPr>
        <w:t>started popping up with personalized e-wallets, mobile loans, and insurance offerings.</w:t>
      </w:r>
      <w:r w:rsidRPr="002505C3">
        <w:rPr>
          <w:rStyle w:val="EndnoteReference"/>
          <w:color w:val="000000"/>
          <w:sz w:val="22"/>
          <w:szCs w:val="22"/>
          <w:lang w:val="en-CA"/>
        </w:rPr>
        <w:endnoteReference w:id="11"/>
      </w:r>
    </w:p>
    <w:p w14:paraId="6FCAFD86" w14:textId="77777777" w:rsidR="00BC2FC7" w:rsidRPr="004A5974" w:rsidRDefault="00BC2FC7" w:rsidP="002505C3">
      <w:pPr>
        <w:jc w:val="both"/>
        <w:rPr>
          <w:color w:val="000000"/>
          <w:sz w:val="22"/>
          <w:szCs w:val="22"/>
          <w:shd w:val="clear" w:color="auto" w:fill="FFFFFF"/>
          <w:lang w:val="en-CA"/>
        </w:rPr>
      </w:pPr>
    </w:p>
    <w:p w14:paraId="596CEAD9" w14:textId="68DDF8CB" w:rsidR="00BC2FC7" w:rsidRPr="004A5974" w:rsidRDefault="00BC2FC7" w:rsidP="002505C3">
      <w:pPr>
        <w:jc w:val="both"/>
        <w:rPr>
          <w:color w:val="000000"/>
          <w:sz w:val="22"/>
          <w:szCs w:val="22"/>
          <w:shd w:val="clear" w:color="auto" w:fill="FFFFFF"/>
          <w:lang w:val="en-CA"/>
        </w:rPr>
      </w:pPr>
      <w:r w:rsidRPr="002505C3">
        <w:rPr>
          <w:color w:val="000000"/>
          <w:sz w:val="22"/>
          <w:szCs w:val="22"/>
          <w:lang w:val="en-CA"/>
        </w:rPr>
        <w:t>By 2020, it was clear that a massive disruption was imminent. Many new players were vying aggressively for a piece of this lucrative market, enticing millions of Indonesians to make the transition from unbanked</w:t>
      </w:r>
      <w:r w:rsidRPr="004A5974">
        <w:rPr>
          <w:color w:val="000000"/>
          <w:sz w:val="22"/>
          <w:szCs w:val="22"/>
          <w:shd w:val="clear" w:color="auto" w:fill="FFFFFF"/>
          <w:lang w:val="en-CA"/>
        </w:rPr>
        <w:t xml:space="preserve"> </w:t>
      </w:r>
      <w:r w:rsidRPr="002505C3">
        <w:rPr>
          <w:color w:val="000000"/>
          <w:sz w:val="22"/>
          <w:szCs w:val="22"/>
          <w:lang w:val="en-CA"/>
        </w:rPr>
        <w:t>(or underbanked) to becoming digitally banked.</w:t>
      </w:r>
      <w:r w:rsidRPr="004A5974">
        <w:rPr>
          <w:rStyle w:val="EndnoteReference"/>
          <w:sz w:val="22"/>
          <w:szCs w:val="22"/>
          <w:lang w:val="en-CA"/>
        </w:rPr>
        <w:endnoteReference w:id="12"/>
      </w:r>
    </w:p>
    <w:p w14:paraId="2E41966F" w14:textId="2534EF13" w:rsidR="00BC2FC7" w:rsidRPr="004A5974" w:rsidRDefault="00BC2FC7" w:rsidP="002505C3">
      <w:pPr>
        <w:jc w:val="both"/>
        <w:rPr>
          <w:sz w:val="22"/>
          <w:szCs w:val="22"/>
          <w:lang w:val="en-CA"/>
        </w:rPr>
      </w:pPr>
    </w:p>
    <w:p w14:paraId="7AC48211" w14:textId="77777777" w:rsidR="00BC2FC7" w:rsidRPr="004A5974" w:rsidRDefault="00BC2FC7" w:rsidP="002505C3">
      <w:pPr>
        <w:jc w:val="both"/>
        <w:rPr>
          <w:sz w:val="22"/>
          <w:szCs w:val="22"/>
          <w:lang w:val="en-CA"/>
        </w:rPr>
      </w:pPr>
    </w:p>
    <w:p w14:paraId="3D7B9767" w14:textId="3B85B06C" w:rsidR="00BC2FC7" w:rsidRPr="004A5974" w:rsidRDefault="00BC2FC7" w:rsidP="002505C3">
      <w:pPr>
        <w:pStyle w:val="Casehead1"/>
        <w:rPr>
          <w:lang w:val="en-CA"/>
        </w:rPr>
      </w:pPr>
      <w:r w:rsidRPr="004A5974">
        <w:rPr>
          <w:lang w:val="en-CA"/>
        </w:rPr>
        <w:t>BTPN’s do-or-die moment</w:t>
      </w:r>
    </w:p>
    <w:p w14:paraId="496C22C2" w14:textId="77777777" w:rsidR="00BC2FC7" w:rsidRPr="004A5974" w:rsidRDefault="00BC2FC7" w:rsidP="002505C3">
      <w:pPr>
        <w:jc w:val="both"/>
        <w:rPr>
          <w:sz w:val="22"/>
          <w:szCs w:val="22"/>
          <w:lang w:val="en-CA"/>
        </w:rPr>
      </w:pPr>
    </w:p>
    <w:p w14:paraId="547E4C3C" w14:textId="0256B92B" w:rsidR="00BC2FC7" w:rsidRDefault="00BC2FC7" w:rsidP="002505C3">
      <w:pPr>
        <w:jc w:val="both"/>
        <w:rPr>
          <w:sz w:val="22"/>
          <w:szCs w:val="22"/>
          <w:lang w:val="en-CA"/>
        </w:rPr>
      </w:pPr>
      <w:r w:rsidRPr="004A5974">
        <w:rPr>
          <w:sz w:val="22"/>
          <w:szCs w:val="22"/>
          <w:lang w:val="en-CA"/>
        </w:rPr>
        <w:t>BTPN was established in 1958 as a small pension bank for military personnel. It acquired a commercial bank licence in 1960 and changed its name to the current Bank Tabungan Pensiunan Nasional (National Pensioners Savings Bank) in 1986 (see Exhibit 1).</w:t>
      </w:r>
    </w:p>
    <w:p w14:paraId="540A5AB2" w14:textId="77777777" w:rsidR="0042629A" w:rsidRPr="004A5974" w:rsidRDefault="0042629A" w:rsidP="002505C3">
      <w:pPr>
        <w:jc w:val="both"/>
        <w:rPr>
          <w:sz w:val="22"/>
          <w:szCs w:val="22"/>
          <w:lang w:val="en-CA"/>
        </w:rPr>
      </w:pPr>
    </w:p>
    <w:p w14:paraId="7A0D3CD5" w14:textId="2054D67C" w:rsidR="00BC2FC7" w:rsidRPr="004A5974" w:rsidRDefault="00BC2FC7" w:rsidP="002505C3">
      <w:pPr>
        <w:jc w:val="both"/>
        <w:rPr>
          <w:spacing w:val="-4"/>
          <w:sz w:val="22"/>
          <w:szCs w:val="22"/>
          <w:lang w:val="en-CA"/>
        </w:rPr>
      </w:pPr>
      <w:r w:rsidRPr="004A5974">
        <w:rPr>
          <w:spacing w:val="-4"/>
          <w:sz w:val="22"/>
          <w:szCs w:val="22"/>
          <w:lang w:val="en-CA"/>
        </w:rPr>
        <w:t>In 2008, TPG, a private equity firm, set its sights on capturing the potential within the unbanked population in Indonesia, purchasing 72 per cent of BTPN through a listing on the local stock exchange.</w:t>
      </w:r>
      <w:r w:rsidRPr="004A5974">
        <w:rPr>
          <w:rStyle w:val="EndnoteReference"/>
          <w:spacing w:val="-4"/>
          <w:sz w:val="22"/>
          <w:szCs w:val="22"/>
          <w:lang w:val="en-CA"/>
        </w:rPr>
        <w:endnoteReference w:id="13"/>
      </w:r>
      <w:r w:rsidRPr="004A5974">
        <w:rPr>
          <w:spacing w:val="-4"/>
          <w:sz w:val="22"/>
          <w:szCs w:val="22"/>
          <w:lang w:val="en-CA"/>
        </w:rPr>
        <w:t xml:space="preserve"> Jerry Ng, recognized as a visionary leader, became the chief executive officer (CEO). With microfinance booming in places such as Bangladesh and India, BTPN’s strategy was to provide small loans for unbanked micro-entrepreneurs.</w:t>
      </w:r>
      <w:r w:rsidRPr="004A5974">
        <w:rPr>
          <w:rStyle w:val="EndnoteReference"/>
          <w:spacing w:val="-4"/>
          <w:sz w:val="22"/>
          <w:szCs w:val="22"/>
          <w:lang w:val="en-CA"/>
        </w:rPr>
        <w:endnoteReference w:id="14"/>
      </w:r>
    </w:p>
    <w:p w14:paraId="68E3A333" w14:textId="77777777" w:rsidR="00BC2FC7" w:rsidRPr="004A5974" w:rsidRDefault="00BC2FC7" w:rsidP="002505C3">
      <w:pPr>
        <w:jc w:val="both"/>
        <w:rPr>
          <w:sz w:val="22"/>
          <w:szCs w:val="22"/>
          <w:lang w:val="en-CA"/>
        </w:rPr>
      </w:pPr>
    </w:p>
    <w:p w14:paraId="7FF8C40C" w14:textId="6FF3E816" w:rsidR="00BC2FC7" w:rsidRPr="004A5974" w:rsidRDefault="00BC2FC7" w:rsidP="002505C3">
      <w:pPr>
        <w:jc w:val="both"/>
        <w:rPr>
          <w:sz w:val="22"/>
          <w:szCs w:val="22"/>
          <w:lang w:val="en-CA"/>
        </w:rPr>
      </w:pPr>
      <w:r w:rsidRPr="004A5974">
        <w:rPr>
          <w:sz w:val="22"/>
          <w:szCs w:val="22"/>
          <w:lang w:val="en-CA"/>
        </w:rPr>
        <w:t>BTPN also brought fresh innovations to the pension business, which was perceived as a mature or even a sunset business, introducing best practices in multiple aspects, including marketing, sales, operations, and the branch network. Moreover, BTPN introduced innovation beyond financial services, providing programs that empowered the pensioners. These innovations translated into extraordinary business results. Pension loan volume and revenue grew more than twofold from 2008 to 2011.</w:t>
      </w:r>
    </w:p>
    <w:p w14:paraId="05860F7A" w14:textId="77777777" w:rsidR="00BC2FC7" w:rsidRPr="004A5974" w:rsidRDefault="00BC2FC7" w:rsidP="002505C3">
      <w:pPr>
        <w:jc w:val="both"/>
        <w:rPr>
          <w:sz w:val="22"/>
          <w:szCs w:val="22"/>
          <w:lang w:val="en-CA"/>
        </w:rPr>
      </w:pPr>
    </w:p>
    <w:p w14:paraId="030C6C67" w14:textId="208E9C35" w:rsidR="00BC2FC7" w:rsidRPr="004A5974" w:rsidRDefault="00BC2FC7" w:rsidP="002505C3">
      <w:pPr>
        <w:jc w:val="both"/>
        <w:rPr>
          <w:sz w:val="22"/>
          <w:szCs w:val="22"/>
          <w:lang w:val="en-CA"/>
        </w:rPr>
      </w:pPr>
      <w:r w:rsidRPr="004A5974">
        <w:rPr>
          <w:sz w:val="22"/>
          <w:szCs w:val="22"/>
          <w:lang w:val="en-CA"/>
        </w:rPr>
        <w:t>This move to address the mass market proved to be a highly successful one, as net profit rose from $39 million in 2008 to $160 million in 2011.</w:t>
      </w:r>
      <w:r w:rsidRPr="004A5974">
        <w:rPr>
          <w:rStyle w:val="EndnoteReference"/>
          <w:sz w:val="22"/>
          <w:szCs w:val="22"/>
          <w:lang w:val="en-CA"/>
        </w:rPr>
        <w:endnoteReference w:id="15"/>
      </w:r>
      <w:r w:rsidRPr="004A5974">
        <w:rPr>
          <w:sz w:val="22"/>
          <w:szCs w:val="22"/>
          <w:lang w:val="en-CA"/>
        </w:rPr>
        <w:t xml:space="preserve"> BTPN’s loans empowered small entrepreneurs in the trading sector, earning BTPN praise for its breakthroughs in financial inclusion. In particular, BTPN’s strategic approach of setting up microlending branches at </w:t>
      </w:r>
      <w:r w:rsidRPr="004A5974">
        <w:rPr>
          <w:i/>
          <w:iCs/>
          <w:sz w:val="22"/>
          <w:szCs w:val="22"/>
          <w:lang w:val="en-CA"/>
        </w:rPr>
        <w:t>pasar</w:t>
      </w:r>
      <w:r w:rsidRPr="004A5974">
        <w:rPr>
          <w:sz w:val="22"/>
          <w:szCs w:val="22"/>
          <w:lang w:val="en-CA"/>
        </w:rPr>
        <w:t xml:space="preserve"> (traditional market)</w:t>
      </w:r>
      <w:r w:rsidRPr="004A5974">
        <w:rPr>
          <w:i/>
          <w:iCs/>
          <w:sz w:val="22"/>
          <w:szCs w:val="22"/>
          <w:lang w:val="en-CA"/>
        </w:rPr>
        <w:t xml:space="preserve"> </w:t>
      </w:r>
      <w:r w:rsidRPr="004A5974">
        <w:rPr>
          <w:sz w:val="22"/>
          <w:szCs w:val="22"/>
          <w:lang w:val="en-CA"/>
        </w:rPr>
        <w:t>hot spots led to more than 200,000 new customers.</w:t>
      </w:r>
      <w:r w:rsidRPr="004A5974">
        <w:rPr>
          <w:rStyle w:val="EndnoteReference"/>
          <w:sz w:val="22"/>
          <w:szCs w:val="22"/>
          <w:lang w:val="en-CA"/>
        </w:rPr>
        <w:endnoteReference w:id="16"/>
      </w:r>
    </w:p>
    <w:p w14:paraId="0EA75DEC" w14:textId="77777777" w:rsidR="00BC2FC7" w:rsidRPr="004A5974" w:rsidRDefault="00BC2FC7" w:rsidP="002505C3">
      <w:pPr>
        <w:jc w:val="both"/>
        <w:rPr>
          <w:sz w:val="22"/>
          <w:szCs w:val="22"/>
          <w:lang w:val="en-CA"/>
        </w:rPr>
      </w:pPr>
    </w:p>
    <w:p w14:paraId="45CAEA8C" w14:textId="1ED32758" w:rsidR="00BC2FC7" w:rsidRPr="004A5974" w:rsidRDefault="00BC2FC7" w:rsidP="002505C3">
      <w:pPr>
        <w:jc w:val="both"/>
        <w:rPr>
          <w:sz w:val="22"/>
          <w:szCs w:val="22"/>
          <w:lang w:val="en-CA"/>
        </w:rPr>
      </w:pPr>
      <w:r w:rsidRPr="004A5974">
        <w:rPr>
          <w:sz w:val="22"/>
          <w:szCs w:val="22"/>
          <w:lang w:val="en-CA"/>
        </w:rPr>
        <w:t>BTPN continued to innovate and grow; for instance, it set up BTPN Syariah (Islamic banking), which was spun off as a separate unit in 2014. BTPN’s growth had come on the back of underserved segments that were neglected by the larger banks. However, with the maturing of its existing business lines, BTPN had to look for a new growth segment.</w:t>
      </w:r>
    </w:p>
    <w:p w14:paraId="1494D61A" w14:textId="77777777" w:rsidR="00BC2FC7" w:rsidRPr="004A5974" w:rsidRDefault="00BC2FC7" w:rsidP="002505C3">
      <w:pPr>
        <w:jc w:val="both"/>
        <w:rPr>
          <w:sz w:val="22"/>
          <w:szCs w:val="22"/>
          <w:lang w:val="en-CA"/>
        </w:rPr>
      </w:pPr>
    </w:p>
    <w:p w14:paraId="2CE663BC" w14:textId="71FA9CE1" w:rsidR="00BC2FC7" w:rsidRPr="004A5974" w:rsidRDefault="00BC2FC7" w:rsidP="002505C3">
      <w:pPr>
        <w:jc w:val="both"/>
        <w:rPr>
          <w:sz w:val="22"/>
          <w:szCs w:val="22"/>
          <w:lang w:val="en-CA"/>
        </w:rPr>
      </w:pPr>
      <w:r w:rsidRPr="004A5974">
        <w:rPr>
          <w:sz w:val="22"/>
          <w:szCs w:val="22"/>
          <w:lang w:val="en-CA"/>
        </w:rPr>
        <w:t>That same year, SMBC from Japan took a 40 per cent stake in BTPN. With the support of its new shareholder, which aspired to offer full commercial banking operations in Indonesia, BTPN set its sights on the digital banking opportunity in Indonesia. Dana said:</w:t>
      </w:r>
    </w:p>
    <w:p w14:paraId="1D8CF74B" w14:textId="77777777" w:rsidR="00BC2FC7" w:rsidRPr="004A5974" w:rsidRDefault="00BC2FC7" w:rsidP="002505C3">
      <w:pPr>
        <w:jc w:val="both"/>
        <w:rPr>
          <w:sz w:val="22"/>
          <w:szCs w:val="22"/>
          <w:lang w:val="en-CA"/>
        </w:rPr>
      </w:pPr>
    </w:p>
    <w:p w14:paraId="43F7C379" w14:textId="4DD0C56A" w:rsidR="00BC2FC7" w:rsidRPr="004A5974" w:rsidRDefault="00BC2FC7" w:rsidP="002505C3">
      <w:pPr>
        <w:ind w:left="720"/>
        <w:jc w:val="both"/>
        <w:rPr>
          <w:sz w:val="22"/>
          <w:szCs w:val="22"/>
          <w:lang w:val="en-CA"/>
        </w:rPr>
      </w:pPr>
      <w:r w:rsidRPr="004A5974">
        <w:rPr>
          <w:sz w:val="22"/>
          <w:szCs w:val="22"/>
          <w:lang w:val="en-CA"/>
        </w:rPr>
        <w:lastRenderedPageBreak/>
        <w:t>So, we reached a plateau. Even our existing business was facing thinner margins. We came to a stage where we could not grow further if we did not go into commercial banking or retail banking. We saw that other banks were successful doing retail banking through brick and mortar. But we didn’t have brick and mortar. If we didn’t do anything, then at most we would just be a mid-size bank. We all realized the need to grow and to get out of the mid-size bank trap. This is how we saw the digital-retail-banking opportunity. It was basically a do-or-die situation.</w:t>
      </w:r>
      <w:r w:rsidRPr="004A5974">
        <w:rPr>
          <w:rStyle w:val="EndnoteReference"/>
          <w:sz w:val="22"/>
          <w:szCs w:val="22"/>
          <w:lang w:val="en-CA"/>
        </w:rPr>
        <w:endnoteReference w:id="17"/>
      </w:r>
    </w:p>
    <w:p w14:paraId="1312E0E3" w14:textId="77777777" w:rsidR="00BC2FC7" w:rsidRPr="004A5974" w:rsidRDefault="00BC2FC7" w:rsidP="002505C3">
      <w:pPr>
        <w:jc w:val="both"/>
        <w:rPr>
          <w:sz w:val="22"/>
          <w:szCs w:val="22"/>
          <w:lang w:val="en-CA"/>
        </w:rPr>
      </w:pPr>
    </w:p>
    <w:p w14:paraId="564A1578" w14:textId="36BC701C" w:rsidR="00BC2FC7" w:rsidRPr="004A5974" w:rsidRDefault="00BC2FC7" w:rsidP="002505C3">
      <w:pPr>
        <w:jc w:val="both"/>
        <w:rPr>
          <w:sz w:val="22"/>
          <w:szCs w:val="22"/>
          <w:lang w:val="en-CA"/>
        </w:rPr>
      </w:pPr>
      <w:r w:rsidRPr="004A5974">
        <w:rPr>
          <w:sz w:val="22"/>
          <w:szCs w:val="22"/>
          <w:lang w:val="en-CA"/>
        </w:rPr>
        <w:t>As a first step, BTPN launched the BTPN Wow! savings account in March 2015. Essentially, this was a branchless banking solution that provided consumers with basic banking services, such as deposit and withdrawal, without needing to visit the bank. All that was needed was a valid mobile phone number to access the services via agents. BTPN Wow! had limited features and targeted a lower segment: the unbanked mass market. The next step was to launch a more comprehensive and entirely digital banking service for the aspiring middle class.</w:t>
      </w:r>
    </w:p>
    <w:p w14:paraId="73266E7D" w14:textId="2C4641B9" w:rsidR="00BC2FC7" w:rsidRDefault="00BC2FC7" w:rsidP="002505C3">
      <w:pPr>
        <w:jc w:val="both"/>
        <w:rPr>
          <w:sz w:val="22"/>
          <w:szCs w:val="22"/>
          <w:lang w:val="en-CA"/>
        </w:rPr>
      </w:pPr>
    </w:p>
    <w:p w14:paraId="1E5425A2" w14:textId="77777777" w:rsidR="0042629A" w:rsidRPr="004A5974" w:rsidRDefault="0042629A" w:rsidP="002505C3">
      <w:pPr>
        <w:jc w:val="both"/>
        <w:rPr>
          <w:sz w:val="22"/>
          <w:szCs w:val="22"/>
          <w:lang w:val="en-CA"/>
        </w:rPr>
      </w:pPr>
    </w:p>
    <w:p w14:paraId="0320A49F" w14:textId="4D0181C0" w:rsidR="00BC2FC7" w:rsidRPr="004A5974" w:rsidRDefault="00BC2FC7" w:rsidP="002505C3">
      <w:pPr>
        <w:pStyle w:val="Casehead1"/>
        <w:rPr>
          <w:lang w:val="en-CA"/>
        </w:rPr>
      </w:pPr>
      <w:r w:rsidRPr="004A5974">
        <w:rPr>
          <w:lang w:val="en-CA"/>
        </w:rPr>
        <w:t>Jenius: Starting from scratch</w:t>
      </w:r>
    </w:p>
    <w:p w14:paraId="16580E47" w14:textId="77777777" w:rsidR="00BC2FC7" w:rsidRPr="004A5974" w:rsidRDefault="00BC2FC7" w:rsidP="002505C3">
      <w:pPr>
        <w:jc w:val="both"/>
        <w:rPr>
          <w:sz w:val="22"/>
          <w:szCs w:val="22"/>
          <w:lang w:val="en-CA"/>
        </w:rPr>
      </w:pPr>
    </w:p>
    <w:p w14:paraId="4B287B35" w14:textId="0509D1BB" w:rsidR="00BC2FC7" w:rsidRPr="004A5974" w:rsidRDefault="00BC2FC7" w:rsidP="002505C3">
      <w:pPr>
        <w:jc w:val="both"/>
        <w:rPr>
          <w:sz w:val="22"/>
          <w:szCs w:val="22"/>
          <w:lang w:val="en-CA"/>
        </w:rPr>
      </w:pPr>
      <w:r w:rsidRPr="004A5974">
        <w:rPr>
          <w:sz w:val="22"/>
          <w:szCs w:val="22"/>
          <w:lang w:val="en-CA"/>
        </w:rPr>
        <w:t>Digital transformation could be achieved in two ways—by transforming something that existed or by creating something totally new, which then had the power to transform the existing organization. How could BTPN build a digital banking presence in fast-growing Indonesia if it was far from digitally savvy? The board took a crucial call when it decided to create an internal start-up called Jenius, which operated as part of the bank but was entirely separate from the bank’s normal operations. As Dana said,</w:t>
      </w:r>
    </w:p>
    <w:p w14:paraId="6B0B80AF" w14:textId="77777777" w:rsidR="00BC2FC7" w:rsidRPr="004A5974" w:rsidRDefault="00BC2FC7" w:rsidP="002505C3">
      <w:pPr>
        <w:jc w:val="both"/>
        <w:rPr>
          <w:sz w:val="22"/>
          <w:szCs w:val="22"/>
          <w:lang w:val="en-CA"/>
        </w:rPr>
      </w:pPr>
    </w:p>
    <w:p w14:paraId="3354B103" w14:textId="2529954C" w:rsidR="00BC2FC7" w:rsidRPr="004A5974" w:rsidRDefault="00BC2FC7" w:rsidP="002505C3">
      <w:pPr>
        <w:ind w:left="720"/>
        <w:jc w:val="both"/>
        <w:rPr>
          <w:sz w:val="22"/>
          <w:szCs w:val="22"/>
          <w:lang w:val="en-CA"/>
        </w:rPr>
      </w:pPr>
      <w:r w:rsidRPr="004A5974">
        <w:rPr>
          <w:sz w:val="22"/>
          <w:szCs w:val="22"/>
          <w:lang w:val="en-CA"/>
        </w:rPr>
        <w:t>We had to have these digital banking capabilities, and it goes without saying that, if you talk about digital banking capabilities, it’s not only technology. If that was the issue, then you could just buy it. But building the organization, building the process, these are important. That’s the rationale why we tried to do it the hard way: Starting from scratch.</w:t>
      </w:r>
    </w:p>
    <w:p w14:paraId="5317883F" w14:textId="77777777" w:rsidR="00BC2FC7" w:rsidRPr="004A5974" w:rsidRDefault="00BC2FC7" w:rsidP="002505C3">
      <w:pPr>
        <w:jc w:val="both"/>
        <w:rPr>
          <w:sz w:val="22"/>
          <w:szCs w:val="22"/>
          <w:lang w:val="en-CA"/>
        </w:rPr>
      </w:pPr>
    </w:p>
    <w:p w14:paraId="48D2AFA7" w14:textId="50FF2E49" w:rsidR="00BC2FC7" w:rsidRPr="004A5974" w:rsidRDefault="00BC2FC7" w:rsidP="002505C3">
      <w:pPr>
        <w:jc w:val="both"/>
        <w:rPr>
          <w:sz w:val="22"/>
          <w:szCs w:val="22"/>
          <w:lang w:val="en-CA"/>
        </w:rPr>
      </w:pPr>
      <w:r w:rsidRPr="004A5974">
        <w:rPr>
          <w:sz w:val="22"/>
          <w:szCs w:val="22"/>
          <w:lang w:val="en-CA"/>
        </w:rPr>
        <w:t>The board set up a business incubation project called Project Alibaba, with the project team consisting of several board members with relevant experience, who acted as project sponsors, and steering committee members. The board also engaged McKinsey &amp; Company (McKinsey), a management consultancy.</w:t>
      </w:r>
    </w:p>
    <w:p w14:paraId="55A9808B" w14:textId="77777777" w:rsidR="00BC2FC7" w:rsidRPr="004A5974" w:rsidRDefault="00BC2FC7" w:rsidP="002505C3">
      <w:pPr>
        <w:jc w:val="both"/>
        <w:rPr>
          <w:sz w:val="22"/>
          <w:szCs w:val="22"/>
          <w:lang w:val="en-CA"/>
        </w:rPr>
      </w:pPr>
    </w:p>
    <w:p w14:paraId="62B53D65" w14:textId="7F8D180E" w:rsidR="00BC2FC7" w:rsidRPr="004A5974" w:rsidRDefault="00BC2FC7" w:rsidP="002505C3">
      <w:pPr>
        <w:jc w:val="both"/>
        <w:rPr>
          <w:sz w:val="22"/>
          <w:szCs w:val="22"/>
          <w:lang w:val="en-CA"/>
        </w:rPr>
      </w:pPr>
      <w:r w:rsidRPr="004A5974">
        <w:rPr>
          <w:sz w:val="22"/>
          <w:szCs w:val="22"/>
          <w:lang w:val="en-CA"/>
        </w:rPr>
        <w:t>The bank then hired Peterjan van Nieuwenhuizen, a former McKinsey consultant, to lead this new initiative as the head of digital banking. At that time, BTPN did not have a consumer retail bank, and Van Nieuwenhuizen considered this one of BTPN’s strengths:</w:t>
      </w:r>
    </w:p>
    <w:p w14:paraId="5E0130EB" w14:textId="77777777" w:rsidR="00BC2FC7" w:rsidRPr="004A5974" w:rsidRDefault="00BC2FC7" w:rsidP="002505C3">
      <w:pPr>
        <w:jc w:val="both"/>
        <w:rPr>
          <w:sz w:val="22"/>
          <w:szCs w:val="22"/>
          <w:lang w:val="en-CA"/>
        </w:rPr>
      </w:pPr>
    </w:p>
    <w:p w14:paraId="6EBE906B" w14:textId="5E601DB4" w:rsidR="00BC2FC7" w:rsidRPr="004A5974" w:rsidRDefault="00BC2FC7" w:rsidP="002505C3">
      <w:pPr>
        <w:ind w:left="720"/>
        <w:jc w:val="both"/>
        <w:rPr>
          <w:sz w:val="22"/>
          <w:szCs w:val="22"/>
          <w:lang w:val="en-CA"/>
        </w:rPr>
      </w:pPr>
      <w:r w:rsidRPr="004A5974">
        <w:rPr>
          <w:sz w:val="22"/>
          <w:szCs w:val="22"/>
          <w:lang w:val="en-CA"/>
        </w:rPr>
        <w:t>I think pretty much every other bank suffers from legacy problems. If you have a lot of customers and a lot of existing branches, it’s typically very hard to break out of the mindset of what you have and do something completely new. BTPN just had never had all these existing systems when I came. We didn’t have Visa or Mastercard accounts, and no one in the bank was serving emerging middle-class consumers yet. So, we didn’t have any of the internal politics and legacy that virtually every other bank in the country faced in going for a digital play.</w:t>
      </w:r>
    </w:p>
    <w:p w14:paraId="1FB74C0A" w14:textId="77777777" w:rsidR="00BC2FC7" w:rsidRPr="004A5974" w:rsidRDefault="00BC2FC7" w:rsidP="002505C3">
      <w:pPr>
        <w:jc w:val="both"/>
        <w:rPr>
          <w:sz w:val="22"/>
          <w:szCs w:val="22"/>
          <w:lang w:val="en-CA"/>
        </w:rPr>
      </w:pPr>
    </w:p>
    <w:p w14:paraId="55ECD627" w14:textId="5B30B829" w:rsidR="00BC2FC7" w:rsidRPr="004A5974" w:rsidRDefault="00BC2FC7" w:rsidP="002505C3">
      <w:pPr>
        <w:jc w:val="both"/>
        <w:rPr>
          <w:sz w:val="22"/>
          <w:szCs w:val="22"/>
          <w:lang w:val="en-CA"/>
        </w:rPr>
      </w:pPr>
      <w:r w:rsidRPr="004A5974">
        <w:rPr>
          <w:sz w:val="22"/>
          <w:szCs w:val="22"/>
          <w:lang w:val="en-CA"/>
        </w:rPr>
        <w:t>Van Nieuwenhuizen was tasked with setting up a separate project team to offer banking services to a more digitally savvy type of emerging middle-class customer. This target group was typically shunned by existing banks, which were targeting older customers with more wealth and greater needs for financial services.</w:t>
      </w:r>
    </w:p>
    <w:p w14:paraId="79E06AAF" w14:textId="77777777" w:rsidR="00BC2FC7" w:rsidRPr="004A5974" w:rsidRDefault="00BC2FC7" w:rsidP="002505C3">
      <w:pPr>
        <w:jc w:val="both"/>
        <w:rPr>
          <w:sz w:val="22"/>
          <w:szCs w:val="22"/>
          <w:lang w:val="en-CA"/>
        </w:rPr>
      </w:pPr>
    </w:p>
    <w:p w14:paraId="3169B795" w14:textId="0A713F37" w:rsidR="00BC2FC7" w:rsidRPr="004A5974" w:rsidRDefault="00BC2FC7" w:rsidP="002505C3">
      <w:pPr>
        <w:jc w:val="both"/>
        <w:rPr>
          <w:sz w:val="22"/>
          <w:szCs w:val="22"/>
          <w:lang w:val="en-CA"/>
        </w:rPr>
      </w:pPr>
      <w:r w:rsidRPr="004A5974">
        <w:rPr>
          <w:sz w:val="22"/>
          <w:szCs w:val="22"/>
          <w:lang w:val="en-CA"/>
        </w:rPr>
        <w:t>Operating separately from the legacy systems of the bank, the in-house venture had to figure out what value proposition to offer this target group, how to design it, and how to get it approved.</w:t>
      </w:r>
    </w:p>
    <w:p w14:paraId="0E8F9D1E" w14:textId="7625B20B" w:rsidR="00BC2FC7" w:rsidRPr="00BC2FC7" w:rsidRDefault="00BC2FC7" w:rsidP="002505C3">
      <w:pPr>
        <w:jc w:val="both"/>
        <w:rPr>
          <w:spacing w:val="-2"/>
          <w:kern w:val="22"/>
          <w:sz w:val="22"/>
          <w:szCs w:val="22"/>
          <w:lang w:val="en-CA"/>
        </w:rPr>
      </w:pPr>
      <w:r w:rsidRPr="00BC2FC7">
        <w:rPr>
          <w:spacing w:val="-2"/>
          <w:kern w:val="22"/>
          <w:sz w:val="22"/>
          <w:szCs w:val="22"/>
          <w:lang w:val="en-CA"/>
        </w:rPr>
        <w:lastRenderedPageBreak/>
        <w:t>The first step was the customer value proposition. The new team spent the first half of 2015 conducting customer research, using a blank sheet of paper as a starting point; the focus was on the emerging middle class that used smart phones. BTPN’s strategy was not to adapt traditional banking products for digitally savvy middle-class users but rather to create new services that focused on the unmet needs of these customers. These customers wanted to pay for their life dreams and goals, such as buying a house, having health insurance, or undertaking the hajj pilgrimage,</w:t>
      </w:r>
      <w:r w:rsidRPr="00BC2FC7">
        <w:rPr>
          <w:rStyle w:val="EndnoteReference"/>
          <w:spacing w:val="-2"/>
          <w:kern w:val="22"/>
          <w:sz w:val="22"/>
          <w:szCs w:val="22"/>
          <w:lang w:val="en-CA"/>
        </w:rPr>
        <w:endnoteReference w:id="18"/>
      </w:r>
      <w:r w:rsidRPr="00BC2FC7">
        <w:rPr>
          <w:spacing w:val="-2"/>
          <w:kern w:val="22"/>
          <w:sz w:val="22"/>
          <w:szCs w:val="22"/>
          <w:lang w:val="en-CA"/>
        </w:rPr>
        <w:t xml:space="preserve"> which often necessitated access to financial services; however, these customers did not necessarily see a bank’s traditional products as part of the realization of their dreams.</w:t>
      </w:r>
    </w:p>
    <w:p w14:paraId="368B3D06" w14:textId="77777777" w:rsidR="00BC2FC7" w:rsidRPr="004A5974" w:rsidRDefault="00BC2FC7" w:rsidP="002505C3">
      <w:pPr>
        <w:jc w:val="both"/>
        <w:rPr>
          <w:sz w:val="22"/>
          <w:szCs w:val="22"/>
          <w:lang w:val="en-CA"/>
        </w:rPr>
      </w:pPr>
    </w:p>
    <w:p w14:paraId="16B0E0B4" w14:textId="705B1E8F" w:rsidR="00BC2FC7" w:rsidRPr="004A5974" w:rsidRDefault="00BC2FC7" w:rsidP="002505C3">
      <w:pPr>
        <w:ind w:left="720"/>
        <w:jc w:val="both"/>
        <w:rPr>
          <w:sz w:val="22"/>
          <w:szCs w:val="22"/>
          <w:lang w:val="en-CA"/>
        </w:rPr>
      </w:pPr>
      <w:r w:rsidRPr="004A5974">
        <w:rPr>
          <w:sz w:val="22"/>
          <w:szCs w:val="22"/>
          <w:lang w:val="en-CA"/>
        </w:rPr>
        <w:t>We basically started from a premise that you have people who have all kinds of things in their lives, and they need to pay, save, and borrow for them. How can we build a digital tool that supports that financial side of their lives?</w:t>
      </w:r>
    </w:p>
    <w:p w14:paraId="1AA924D9" w14:textId="77777777" w:rsidR="00BC2FC7" w:rsidRPr="004A5974" w:rsidRDefault="00BC2FC7" w:rsidP="002505C3">
      <w:pPr>
        <w:jc w:val="both"/>
        <w:rPr>
          <w:sz w:val="22"/>
          <w:szCs w:val="22"/>
          <w:lang w:val="en-CA"/>
        </w:rPr>
      </w:pPr>
    </w:p>
    <w:p w14:paraId="65F748EF" w14:textId="1F2C41F7" w:rsidR="00BC2FC7" w:rsidRPr="004A5974" w:rsidRDefault="00BC2FC7" w:rsidP="002505C3">
      <w:pPr>
        <w:jc w:val="both"/>
        <w:rPr>
          <w:sz w:val="22"/>
          <w:szCs w:val="22"/>
          <w:lang w:val="en-CA"/>
        </w:rPr>
      </w:pPr>
      <w:r w:rsidRPr="004A5974">
        <w:rPr>
          <w:sz w:val="22"/>
          <w:szCs w:val="22"/>
          <w:lang w:val="en-CA"/>
        </w:rPr>
        <w:t>Although, in many ways, Jenius appeared somewhat similar to what other banks may have offered, its starting point could not have been more different. The fundamental insight that the team gained was that this was not going to be a bank that used a new channel in the form of a digital application (app) on a mobile phone; instead, Jenius was actually going to be the product. Customers did not perceive Jenius as a channel into a bank. As Van Nieuwenhuizen said,</w:t>
      </w:r>
    </w:p>
    <w:p w14:paraId="5AB5EA30" w14:textId="77777777" w:rsidR="00BC2FC7" w:rsidRPr="004A5974" w:rsidRDefault="00BC2FC7" w:rsidP="002505C3">
      <w:pPr>
        <w:jc w:val="both"/>
        <w:rPr>
          <w:sz w:val="22"/>
          <w:szCs w:val="22"/>
          <w:lang w:val="en-CA"/>
        </w:rPr>
      </w:pPr>
    </w:p>
    <w:p w14:paraId="0FE62CD3" w14:textId="7E4248E8" w:rsidR="00BC2FC7" w:rsidRPr="004A5974" w:rsidRDefault="00BC2FC7" w:rsidP="002505C3">
      <w:pPr>
        <w:ind w:left="720"/>
        <w:jc w:val="both"/>
        <w:rPr>
          <w:sz w:val="22"/>
          <w:szCs w:val="22"/>
          <w:lang w:val="en-CA"/>
        </w:rPr>
      </w:pPr>
      <w:r w:rsidRPr="004A5974">
        <w:rPr>
          <w:sz w:val="22"/>
          <w:szCs w:val="22"/>
          <w:lang w:val="en-CA"/>
        </w:rPr>
        <w:t>Virtually everyone else, at least coming from the incumbent banks, approached digital banking much more as “I have a bank, I have banking products and services, and I want to make these available through a digital channel.” We at BTPN always realized it [digital banking] really must be about life. Finance is merely a tool.</w:t>
      </w:r>
    </w:p>
    <w:p w14:paraId="0C525806" w14:textId="77777777" w:rsidR="00BC2FC7" w:rsidRPr="004A5974" w:rsidRDefault="00BC2FC7" w:rsidP="002505C3">
      <w:pPr>
        <w:ind w:left="720"/>
        <w:jc w:val="both"/>
        <w:rPr>
          <w:sz w:val="22"/>
          <w:szCs w:val="22"/>
          <w:lang w:val="en-CA"/>
        </w:rPr>
      </w:pPr>
    </w:p>
    <w:p w14:paraId="4E078897" w14:textId="526E36F8" w:rsidR="00BC2FC7" w:rsidRPr="00BC2FC7" w:rsidRDefault="00BC2FC7" w:rsidP="002505C3">
      <w:pPr>
        <w:jc w:val="both"/>
        <w:rPr>
          <w:strike/>
          <w:spacing w:val="-2"/>
          <w:kern w:val="22"/>
          <w:sz w:val="22"/>
          <w:szCs w:val="22"/>
          <w:lang w:val="en-CA"/>
        </w:rPr>
      </w:pPr>
      <w:r w:rsidRPr="00BC2FC7">
        <w:rPr>
          <w:spacing w:val="-2"/>
          <w:kern w:val="22"/>
          <w:sz w:val="22"/>
          <w:szCs w:val="22"/>
          <w:lang w:val="en-CA"/>
        </w:rPr>
        <w:t>The Jenius team worked on the new value proposition during the second half of 2015; in 2016, BTPN started the second challenge—building the technology. This required recruiting a new information technology (IT) team, as they could not rely on BTPN’s in-house IT department, which had no customer-facing experience. What the team needed was technology (tech) talent that could build modern smart phone apps. Yet many potential millennial candidates had the misconception that being part of the Jenius team meant joining the banking industry, a sector that they perceived as having a strict corporate structure and dress code.</w:t>
      </w:r>
    </w:p>
    <w:p w14:paraId="120FDB5B" w14:textId="77777777" w:rsidR="00BC2FC7" w:rsidRPr="004A5974" w:rsidRDefault="00BC2FC7" w:rsidP="002505C3">
      <w:pPr>
        <w:jc w:val="both"/>
        <w:rPr>
          <w:sz w:val="22"/>
          <w:szCs w:val="22"/>
          <w:lang w:val="en-CA"/>
        </w:rPr>
      </w:pPr>
    </w:p>
    <w:p w14:paraId="055EE504" w14:textId="7FEB5ED8" w:rsidR="00BC2FC7" w:rsidRPr="004A5974" w:rsidRDefault="00BC2FC7" w:rsidP="002505C3">
      <w:pPr>
        <w:jc w:val="both"/>
        <w:rPr>
          <w:sz w:val="22"/>
          <w:szCs w:val="22"/>
          <w:lang w:val="en-CA"/>
        </w:rPr>
      </w:pPr>
      <w:r w:rsidRPr="004A5974">
        <w:rPr>
          <w:sz w:val="22"/>
          <w:szCs w:val="22"/>
          <w:lang w:val="en-CA"/>
        </w:rPr>
        <w:t>Eventually the Jenius team convinced the newcomers that the project team was really a tech start-up with a unique, innovative culture that just happened to sit within the bank. The tech team customized off-the-shelf software to meet BTPN’s requirements. By mid-2016, the app was working, and the Jenius team issued an unbranded soft launch in May of that year.</w:t>
      </w:r>
    </w:p>
    <w:p w14:paraId="24846B59" w14:textId="77777777" w:rsidR="00BC2FC7" w:rsidRPr="004A5974" w:rsidRDefault="00BC2FC7" w:rsidP="002505C3">
      <w:pPr>
        <w:jc w:val="both"/>
        <w:rPr>
          <w:sz w:val="22"/>
          <w:szCs w:val="22"/>
          <w:lang w:val="en-CA"/>
        </w:rPr>
      </w:pPr>
    </w:p>
    <w:p w14:paraId="07170536" w14:textId="25C9BF1C" w:rsidR="00BC2FC7" w:rsidRPr="004A5974" w:rsidRDefault="00BC2FC7" w:rsidP="002505C3">
      <w:pPr>
        <w:jc w:val="both"/>
        <w:rPr>
          <w:sz w:val="22"/>
          <w:szCs w:val="22"/>
          <w:lang w:val="en-CA"/>
        </w:rPr>
      </w:pPr>
      <w:r w:rsidRPr="004A5974">
        <w:rPr>
          <w:sz w:val="22"/>
          <w:szCs w:val="22"/>
          <w:lang w:val="en-CA"/>
        </w:rPr>
        <w:t>The next challenge was to get Jenius approved by the regulator. As Jenius was established as a start-up within the bank, it operated under BTPN’s banking licence and had to comply with all banking regulations. Jenius had to be approved by the Otoritas Jasa Keuangan (Financial Services Authority) in Indonesia, which proved to be no easy feat, since digital banking was then something new, and BTPN was at the forefront of digital banking. However, the regulators were not the key stumbling block in Van Nieuwenhuizen’s mind:</w:t>
      </w:r>
    </w:p>
    <w:p w14:paraId="192F8DDC" w14:textId="77777777" w:rsidR="00BC2FC7" w:rsidRPr="004A5974" w:rsidRDefault="00BC2FC7" w:rsidP="002505C3">
      <w:pPr>
        <w:jc w:val="both"/>
        <w:rPr>
          <w:sz w:val="22"/>
          <w:szCs w:val="22"/>
          <w:lang w:val="en-CA"/>
        </w:rPr>
      </w:pPr>
    </w:p>
    <w:p w14:paraId="5061EEF6" w14:textId="1C3B754C" w:rsidR="00BC2FC7" w:rsidRPr="004A5974" w:rsidRDefault="00BC2FC7" w:rsidP="002505C3">
      <w:pPr>
        <w:ind w:left="720"/>
        <w:jc w:val="both"/>
        <w:rPr>
          <w:sz w:val="22"/>
          <w:szCs w:val="22"/>
          <w:lang w:val="en-CA"/>
        </w:rPr>
      </w:pPr>
      <w:r w:rsidRPr="004A5974">
        <w:rPr>
          <w:sz w:val="22"/>
          <w:szCs w:val="22"/>
          <w:lang w:val="en-CA"/>
        </w:rPr>
        <w:t>We hear a lot of traditional players, especially a few years ago, saying, “Oh, you can’t do this, you can’t do that.” They always put the blame on the regulators. I can honestly say that we didn’t break any regulation whatsoever. So, you were actually able to launch something pretty innovative within the existing regulation.</w:t>
      </w:r>
    </w:p>
    <w:p w14:paraId="58193C7E" w14:textId="77777777" w:rsidR="00BC2FC7" w:rsidRPr="004A5974" w:rsidRDefault="00BC2FC7" w:rsidP="002505C3">
      <w:pPr>
        <w:jc w:val="both"/>
        <w:rPr>
          <w:sz w:val="22"/>
          <w:szCs w:val="22"/>
          <w:lang w:val="en-CA"/>
        </w:rPr>
      </w:pPr>
    </w:p>
    <w:p w14:paraId="5B32818B" w14:textId="2D4CF53F" w:rsidR="00BC2FC7" w:rsidRPr="004A5974" w:rsidRDefault="00BC2FC7" w:rsidP="002505C3">
      <w:pPr>
        <w:jc w:val="both"/>
        <w:rPr>
          <w:sz w:val="22"/>
          <w:szCs w:val="22"/>
          <w:highlight w:val="green"/>
          <w:lang w:val="en-CA"/>
        </w:rPr>
      </w:pPr>
      <w:r w:rsidRPr="004A5974">
        <w:rPr>
          <w:sz w:val="22"/>
          <w:szCs w:val="22"/>
          <w:lang w:val="en-CA"/>
        </w:rPr>
        <w:t xml:space="preserve">However, to get Jenius approved, the team did face regulatory hurdles that took time to resolve. The team had started by focusing on customer needs and building an app that addressed those needs. However, the new app did not neatly fit into the categories mentioned in the banking regulation; as such, the team decided </w:t>
      </w:r>
      <w:r w:rsidRPr="004A5974">
        <w:rPr>
          <w:sz w:val="22"/>
          <w:szCs w:val="22"/>
          <w:lang w:val="en-CA"/>
        </w:rPr>
        <w:lastRenderedPageBreak/>
        <w:t>to rephrase the whole new customer experience into conventional banking products, so as to resemble those used in the regulation, positioning Jenius as a conventional offering through a digital channel. As Van Nieuwenhuizen said,</w:t>
      </w:r>
    </w:p>
    <w:p w14:paraId="3BA08E2F" w14:textId="77777777" w:rsidR="00BC2FC7" w:rsidRPr="004A5974" w:rsidRDefault="00BC2FC7" w:rsidP="002505C3">
      <w:pPr>
        <w:jc w:val="both"/>
        <w:rPr>
          <w:sz w:val="22"/>
          <w:szCs w:val="22"/>
          <w:highlight w:val="green"/>
          <w:lang w:val="en-CA"/>
        </w:rPr>
      </w:pPr>
    </w:p>
    <w:p w14:paraId="197B6F01" w14:textId="5E239C1C" w:rsidR="00BC2FC7" w:rsidRPr="00BC2FC7" w:rsidRDefault="00BC2FC7" w:rsidP="002505C3">
      <w:pPr>
        <w:ind w:left="720"/>
        <w:jc w:val="both"/>
        <w:rPr>
          <w:spacing w:val="-2"/>
          <w:kern w:val="22"/>
          <w:sz w:val="22"/>
          <w:szCs w:val="22"/>
          <w:lang w:val="en-CA"/>
        </w:rPr>
      </w:pPr>
      <w:r w:rsidRPr="00BC2FC7">
        <w:rPr>
          <w:spacing w:val="-2"/>
          <w:kern w:val="22"/>
          <w:sz w:val="22"/>
          <w:szCs w:val="22"/>
          <w:lang w:val="en-CA"/>
        </w:rPr>
        <w:t>The biggest pain point in the end was the remote KYC [Know Your Customer]. Ideally, in a fully digital play like Jenius, you do not want to force people to come and see you in person. Ever. However, the regulation had stated that KYC must be done face to face. We were not able to overcome this. That really stopped us from making Jenius available as widely across Indonesia as we wanted.</w:t>
      </w:r>
    </w:p>
    <w:p w14:paraId="2F5E293E" w14:textId="77777777" w:rsidR="00BC2FC7" w:rsidRPr="004A5974" w:rsidRDefault="00BC2FC7" w:rsidP="002505C3">
      <w:pPr>
        <w:jc w:val="both"/>
        <w:rPr>
          <w:sz w:val="22"/>
          <w:szCs w:val="22"/>
          <w:lang w:val="en-CA"/>
        </w:rPr>
      </w:pPr>
    </w:p>
    <w:p w14:paraId="4A610BFC" w14:textId="69F6BB2C" w:rsidR="00BC2FC7" w:rsidRPr="004A5974" w:rsidRDefault="00BC2FC7" w:rsidP="002505C3">
      <w:pPr>
        <w:jc w:val="both"/>
        <w:rPr>
          <w:sz w:val="22"/>
          <w:szCs w:val="22"/>
          <w:lang w:val="en-CA"/>
        </w:rPr>
      </w:pPr>
      <w:r w:rsidRPr="004A5974">
        <w:rPr>
          <w:sz w:val="22"/>
          <w:szCs w:val="22"/>
          <w:lang w:val="en-CA"/>
        </w:rPr>
        <w:t>BTPN obtained the approvals, and Jenius was launched in August 2016, making BTPN a first mover in digital retail banking in Indonesia. BTPN could proudly announce in its annual report that its digital banking platforms were “at the cutting edge of what is available in Indonesia and even across the region.”</w:t>
      </w:r>
      <w:r w:rsidRPr="004A5974">
        <w:rPr>
          <w:rStyle w:val="EndnoteReference"/>
          <w:sz w:val="22"/>
          <w:szCs w:val="22"/>
          <w:lang w:val="en-CA"/>
        </w:rPr>
        <w:endnoteReference w:id="19"/>
      </w:r>
    </w:p>
    <w:p w14:paraId="0815A1EF" w14:textId="6B116628" w:rsidR="00BC2FC7" w:rsidRPr="004A5974" w:rsidRDefault="00BC2FC7" w:rsidP="002505C3">
      <w:pPr>
        <w:jc w:val="both"/>
        <w:rPr>
          <w:sz w:val="22"/>
          <w:szCs w:val="22"/>
          <w:lang w:val="en-CA"/>
        </w:rPr>
      </w:pPr>
    </w:p>
    <w:p w14:paraId="1588ECBE" w14:textId="77777777" w:rsidR="00BC2FC7" w:rsidRPr="004A5974" w:rsidRDefault="00BC2FC7" w:rsidP="002505C3">
      <w:pPr>
        <w:jc w:val="both"/>
        <w:rPr>
          <w:sz w:val="22"/>
          <w:szCs w:val="22"/>
          <w:lang w:val="en-CA"/>
        </w:rPr>
      </w:pPr>
    </w:p>
    <w:p w14:paraId="40F20A11" w14:textId="397770EF" w:rsidR="00BC2FC7" w:rsidRPr="004A5974" w:rsidRDefault="00BC2FC7" w:rsidP="002505C3">
      <w:pPr>
        <w:pStyle w:val="Casehead1"/>
        <w:rPr>
          <w:lang w:val="en-CA"/>
        </w:rPr>
      </w:pPr>
      <w:r w:rsidRPr="004A5974">
        <w:rPr>
          <w:lang w:val="en-CA"/>
        </w:rPr>
        <w:t>Building the “bottom of the iceberg”</w:t>
      </w:r>
    </w:p>
    <w:p w14:paraId="20790984" w14:textId="77777777" w:rsidR="00BC2FC7" w:rsidRPr="004A5974" w:rsidRDefault="00BC2FC7" w:rsidP="002505C3">
      <w:pPr>
        <w:jc w:val="both"/>
        <w:rPr>
          <w:sz w:val="22"/>
          <w:szCs w:val="22"/>
          <w:lang w:val="en-CA"/>
        </w:rPr>
      </w:pPr>
    </w:p>
    <w:p w14:paraId="5E6ED089" w14:textId="769B91C2" w:rsidR="00BC2FC7" w:rsidRPr="004A5974" w:rsidRDefault="00BC2FC7" w:rsidP="002505C3">
      <w:pPr>
        <w:jc w:val="both"/>
        <w:rPr>
          <w:sz w:val="22"/>
          <w:szCs w:val="22"/>
          <w:lang w:val="en-CA"/>
        </w:rPr>
      </w:pPr>
      <w:r w:rsidRPr="004A5974">
        <w:rPr>
          <w:sz w:val="22"/>
          <w:szCs w:val="22"/>
          <w:lang w:val="en-CA"/>
        </w:rPr>
        <w:t xml:space="preserve">Being a nimble in-house fintech start-up that had become a first mover in the digital banking scene gave Jenius a good head </w:t>
      </w:r>
      <w:proofErr w:type="gramStart"/>
      <w:r w:rsidRPr="004A5974">
        <w:rPr>
          <w:sz w:val="22"/>
          <w:szCs w:val="22"/>
          <w:lang w:val="en-CA"/>
        </w:rPr>
        <w:t>start</w:t>
      </w:r>
      <w:proofErr w:type="gramEnd"/>
      <w:r w:rsidRPr="004A5974">
        <w:rPr>
          <w:sz w:val="22"/>
          <w:szCs w:val="22"/>
          <w:lang w:val="en-CA"/>
        </w:rPr>
        <w:t xml:space="preserve"> in the digital banking revolution. Consumers now perceived BTPN as highly innovative and customer centric. Yet, the Jenius team knew that this was only the beginning. After the launch in 2016, the team found that while some value propositions and app designs worked out well, other features needed tweaking. Without making these improvements, it was not possible to scale Jenius’s usage.</w:t>
      </w:r>
    </w:p>
    <w:p w14:paraId="5C4311D4" w14:textId="77777777" w:rsidR="00BC2FC7" w:rsidRPr="004A5974" w:rsidRDefault="00BC2FC7" w:rsidP="002505C3">
      <w:pPr>
        <w:jc w:val="both"/>
        <w:rPr>
          <w:sz w:val="22"/>
          <w:szCs w:val="22"/>
          <w:lang w:val="en-CA"/>
        </w:rPr>
      </w:pPr>
    </w:p>
    <w:p w14:paraId="140FC7BD" w14:textId="75C89562" w:rsidR="00BC2FC7" w:rsidRPr="004A5974" w:rsidRDefault="00BC2FC7" w:rsidP="002505C3">
      <w:pPr>
        <w:jc w:val="both"/>
        <w:rPr>
          <w:sz w:val="22"/>
          <w:szCs w:val="22"/>
          <w:lang w:val="en-CA"/>
        </w:rPr>
      </w:pPr>
      <w:r w:rsidRPr="004A5974">
        <w:rPr>
          <w:sz w:val="22"/>
          <w:szCs w:val="22"/>
          <w:lang w:val="en-CA"/>
        </w:rPr>
        <w:t>The in-house start-up started to face constraints that were similar to those faced by other start-ups that had experienced the painful journey of moving from being a small agile outfit, with few systems and processes, to being a larger outfit, with actual businesses to run. Jenius could no longer function as just a project team; it had to run a live business, with customers to look after and constant improvements to make. This meant more structure, more mature procedures, and further talent recruitment as preconditions for fully scaling.</w:t>
      </w:r>
    </w:p>
    <w:p w14:paraId="3C6E4958" w14:textId="77777777" w:rsidR="00BC2FC7" w:rsidRPr="004A5974" w:rsidRDefault="00BC2FC7" w:rsidP="002505C3">
      <w:pPr>
        <w:jc w:val="both"/>
        <w:rPr>
          <w:sz w:val="22"/>
          <w:szCs w:val="22"/>
          <w:lang w:val="en-CA"/>
        </w:rPr>
      </w:pPr>
    </w:p>
    <w:p w14:paraId="6E008AD6" w14:textId="3F0DE657" w:rsidR="00BC2FC7" w:rsidRPr="004A5974" w:rsidRDefault="00BC2FC7" w:rsidP="002505C3">
      <w:pPr>
        <w:jc w:val="both"/>
        <w:rPr>
          <w:sz w:val="22"/>
          <w:szCs w:val="22"/>
          <w:lang w:val="en-CA"/>
        </w:rPr>
      </w:pPr>
      <w:r w:rsidRPr="004A5974">
        <w:rPr>
          <w:sz w:val="22"/>
          <w:szCs w:val="22"/>
          <w:lang w:val="en-CA"/>
        </w:rPr>
        <w:t>While customizing off-the-shelf software had allowed Jenius to speed up, ultimately, it was not a sustainable strategy. Since the app was the product, BTPN needed to fully own this app, including the technology and software behind it. In the words of Van Nieuwenhuizen, the “software technology was not a supporting tool for banking—it was the product.” In 2017, a pivot was made toward a new in-house system, which also required a comprehensive and modern technology delivery team. That entire year was focused on scaling and implementing the changes.</w:t>
      </w:r>
    </w:p>
    <w:p w14:paraId="25DB13BA" w14:textId="77777777" w:rsidR="00BC2FC7" w:rsidRPr="004A5974" w:rsidRDefault="00BC2FC7" w:rsidP="002505C3">
      <w:pPr>
        <w:jc w:val="both"/>
        <w:rPr>
          <w:sz w:val="22"/>
          <w:szCs w:val="22"/>
          <w:lang w:val="en-CA"/>
        </w:rPr>
      </w:pPr>
    </w:p>
    <w:p w14:paraId="60909445" w14:textId="4536FDBE" w:rsidR="00BC2FC7" w:rsidRPr="004A5974" w:rsidRDefault="00BC2FC7" w:rsidP="002505C3">
      <w:pPr>
        <w:jc w:val="both"/>
        <w:rPr>
          <w:spacing w:val="-4"/>
          <w:sz w:val="22"/>
          <w:szCs w:val="22"/>
          <w:lang w:val="en-CA"/>
        </w:rPr>
      </w:pPr>
      <w:r w:rsidRPr="004A5974">
        <w:rPr>
          <w:spacing w:val="-4"/>
          <w:sz w:val="22"/>
          <w:szCs w:val="22"/>
          <w:lang w:val="en-CA"/>
        </w:rPr>
        <w:t>The in-house start-up was growing into something that was more mature and harder to copy. CEO Dana said:</w:t>
      </w:r>
    </w:p>
    <w:p w14:paraId="259502C5" w14:textId="77777777" w:rsidR="00BC2FC7" w:rsidRPr="004A5974" w:rsidRDefault="00BC2FC7" w:rsidP="002505C3">
      <w:pPr>
        <w:jc w:val="both"/>
        <w:rPr>
          <w:sz w:val="22"/>
          <w:szCs w:val="22"/>
          <w:lang w:val="en-CA"/>
        </w:rPr>
      </w:pPr>
    </w:p>
    <w:p w14:paraId="60980207" w14:textId="5F94AA5C" w:rsidR="00BC2FC7" w:rsidRPr="004A5974" w:rsidRDefault="00BC2FC7" w:rsidP="002505C3">
      <w:pPr>
        <w:ind w:left="720"/>
        <w:jc w:val="both"/>
        <w:rPr>
          <w:sz w:val="22"/>
          <w:szCs w:val="22"/>
          <w:lang w:val="en-CA"/>
        </w:rPr>
      </w:pPr>
      <w:r w:rsidRPr="004A5974">
        <w:rPr>
          <w:sz w:val="22"/>
          <w:szCs w:val="22"/>
          <w:lang w:val="en-CA"/>
        </w:rPr>
        <w:t>In digital banking, Jenius is just like the top of an iceberg in the ocean; you only see the part above. You can analyze everything you see. But the more difficult part—the digital banking capabilities—that is the part of the iceberg under the water. You need to build that. This is the reason why we said we have to build digital banking capabilities [on] our own.</w:t>
      </w:r>
    </w:p>
    <w:p w14:paraId="4292A4CE" w14:textId="77777777" w:rsidR="00BC2FC7" w:rsidRPr="004A5974" w:rsidRDefault="00BC2FC7" w:rsidP="002505C3">
      <w:pPr>
        <w:jc w:val="both"/>
        <w:rPr>
          <w:sz w:val="22"/>
          <w:szCs w:val="22"/>
          <w:lang w:val="en-CA"/>
        </w:rPr>
      </w:pPr>
    </w:p>
    <w:p w14:paraId="0EC939A6" w14:textId="3E1A6479" w:rsidR="00BC2FC7" w:rsidRPr="004A5974" w:rsidRDefault="00BC2FC7" w:rsidP="002505C3">
      <w:pPr>
        <w:jc w:val="both"/>
        <w:rPr>
          <w:sz w:val="22"/>
          <w:szCs w:val="22"/>
          <w:lang w:val="en-CA"/>
        </w:rPr>
      </w:pPr>
      <w:r w:rsidRPr="004A5974">
        <w:rPr>
          <w:sz w:val="22"/>
          <w:szCs w:val="22"/>
          <w:lang w:val="en-CA"/>
        </w:rPr>
        <w:t>While Jenius was trying to grow, the banking landscape was shifting. In 2017, new banking regulations were issued in response to digital banking trends. This essentially allowed incumbent competitors to catch up quickly without having to invest time in discussions with the regulator and without having to undergo the painful process of creating a separate in-house start-up. Jenius, which had been launched under the traditional banking regulations, risked being left behind by the shifting regulatory goalposts in the form of new digital banking regulations.</w:t>
      </w:r>
    </w:p>
    <w:p w14:paraId="58B53B5E" w14:textId="77777777" w:rsidR="00BC2FC7" w:rsidRPr="004A5974" w:rsidRDefault="00BC2FC7" w:rsidP="002505C3">
      <w:pPr>
        <w:jc w:val="both"/>
        <w:rPr>
          <w:sz w:val="22"/>
          <w:szCs w:val="22"/>
          <w:lang w:val="en-CA"/>
        </w:rPr>
      </w:pPr>
    </w:p>
    <w:p w14:paraId="3BB3697A" w14:textId="0238A7FD" w:rsidR="00BC2FC7" w:rsidRPr="004A5974" w:rsidRDefault="00BC2FC7" w:rsidP="002505C3">
      <w:pPr>
        <w:jc w:val="both"/>
        <w:rPr>
          <w:sz w:val="22"/>
          <w:szCs w:val="22"/>
          <w:lang w:val="en-CA"/>
        </w:rPr>
      </w:pPr>
      <w:r w:rsidRPr="004A5974">
        <w:rPr>
          <w:sz w:val="22"/>
          <w:szCs w:val="22"/>
          <w:lang w:val="en-CA"/>
        </w:rPr>
        <w:lastRenderedPageBreak/>
        <w:t>Eventually, remote KYC was approved by the regulators in 2018,</w:t>
      </w:r>
      <w:r w:rsidRPr="004A5974">
        <w:rPr>
          <w:rStyle w:val="EndnoteReference"/>
          <w:sz w:val="22"/>
          <w:szCs w:val="22"/>
          <w:lang w:val="en-CA"/>
        </w:rPr>
        <w:endnoteReference w:id="20"/>
      </w:r>
      <w:r w:rsidRPr="004A5974">
        <w:rPr>
          <w:sz w:val="22"/>
          <w:szCs w:val="22"/>
          <w:lang w:val="en-CA"/>
        </w:rPr>
        <w:t xml:space="preserve"> setting the scene for all players to scale their digital offerings. By July 2018, Jenius had 700,000 customers,</w:t>
      </w:r>
      <w:r w:rsidRPr="004A5974">
        <w:rPr>
          <w:rStyle w:val="EndnoteReference"/>
          <w:sz w:val="22"/>
          <w:szCs w:val="22"/>
          <w:lang w:val="en-CA"/>
        </w:rPr>
        <w:endnoteReference w:id="21"/>
      </w:r>
      <w:r w:rsidRPr="004A5974">
        <w:rPr>
          <w:sz w:val="22"/>
          <w:szCs w:val="22"/>
          <w:lang w:val="en-CA"/>
        </w:rPr>
        <w:t xml:space="preserve"> and by mid-2019, just after switching to online e-KYC, the count stood at 1.6 million customers.</w:t>
      </w:r>
      <w:r w:rsidRPr="004A5974">
        <w:rPr>
          <w:rStyle w:val="EndnoteReference"/>
          <w:sz w:val="22"/>
          <w:szCs w:val="22"/>
          <w:lang w:val="en-CA"/>
        </w:rPr>
        <w:endnoteReference w:id="22"/>
      </w:r>
      <w:r w:rsidRPr="004A5974">
        <w:rPr>
          <w:sz w:val="22"/>
          <w:szCs w:val="22"/>
          <w:lang w:val="en-CA"/>
        </w:rPr>
        <w:t xml:space="preserve"> Other than basic savings and transactions features, Jenius enhanced its suite of services to include bill payments, peer-to-peer transfers, and foreign currency balances. The latter turned out to be a popular feature among millennials as a great option for travelling or studying abroad. These customers even marketed it for free on their social media and sold it to their parents. Dana said:</w:t>
      </w:r>
    </w:p>
    <w:p w14:paraId="6CE24F79" w14:textId="77777777" w:rsidR="00BC2FC7" w:rsidRPr="004A5974" w:rsidRDefault="00BC2FC7" w:rsidP="002505C3">
      <w:pPr>
        <w:jc w:val="both"/>
        <w:rPr>
          <w:sz w:val="22"/>
          <w:szCs w:val="22"/>
          <w:lang w:val="en-CA"/>
        </w:rPr>
      </w:pPr>
    </w:p>
    <w:p w14:paraId="410FD336" w14:textId="4549D9E1" w:rsidR="00BC2FC7" w:rsidRPr="004A5974" w:rsidRDefault="00BC2FC7" w:rsidP="002505C3">
      <w:pPr>
        <w:ind w:left="720"/>
        <w:jc w:val="both"/>
        <w:rPr>
          <w:sz w:val="22"/>
          <w:szCs w:val="22"/>
          <w:lang w:val="en-CA"/>
        </w:rPr>
      </w:pPr>
      <w:r w:rsidRPr="004A5974">
        <w:rPr>
          <w:sz w:val="22"/>
          <w:szCs w:val="22"/>
          <w:lang w:val="en-CA"/>
        </w:rPr>
        <w:t>In Indonesia, if you have a debit card from BCA, you can do everything. But if you have this Jenius card, you can do everything all around the world! So that’s including paying your toilet fee in Germany if you don’t have small change and you have to go to the toilet.</w:t>
      </w:r>
    </w:p>
    <w:p w14:paraId="17269B02" w14:textId="77777777" w:rsidR="00BC2FC7" w:rsidRPr="004A5974" w:rsidRDefault="00BC2FC7" w:rsidP="002505C3">
      <w:pPr>
        <w:ind w:left="720"/>
        <w:jc w:val="both"/>
        <w:rPr>
          <w:sz w:val="22"/>
          <w:szCs w:val="22"/>
          <w:lang w:val="en-CA"/>
        </w:rPr>
      </w:pPr>
    </w:p>
    <w:p w14:paraId="3F154DC7" w14:textId="56D47F74" w:rsidR="00BC2FC7" w:rsidRPr="004A5974" w:rsidRDefault="00BC2FC7" w:rsidP="002505C3">
      <w:pPr>
        <w:ind w:left="720"/>
        <w:jc w:val="both"/>
        <w:rPr>
          <w:sz w:val="22"/>
          <w:szCs w:val="22"/>
          <w:lang w:val="en-CA"/>
        </w:rPr>
      </w:pPr>
      <w:r w:rsidRPr="004A5974">
        <w:rPr>
          <w:sz w:val="22"/>
          <w:szCs w:val="22"/>
          <w:lang w:val="en-CA"/>
        </w:rPr>
        <w:t>And you see, these millennials are helping us in the marketing. They always tell everything to their friends, right? So social media helps. Of course, if you screw up, everybody will also know immediately.</w:t>
      </w:r>
    </w:p>
    <w:p w14:paraId="2F55B205" w14:textId="77777777" w:rsidR="00BC2FC7" w:rsidRPr="004A5974" w:rsidRDefault="00BC2FC7" w:rsidP="002505C3">
      <w:pPr>
        <w:ind w:left="720"/>
        <w:jc w:val="both"/>
        <w:rPr>
          <w:sz w:val="22"/>
          <w:szCs w:val="22"/>
          <w:lang w:val="en-CA"/>
        </w:rPr>
      </w:pPr>
    </w:p>
    <w:p w14:paraId="059B44C9" w14:textId="77777777" w:rsidR="00BC2FC7" w:rsidRPr="004A5974" w:rsidRDefault="00BC2FC7" w:rsidP="002505C3">
      <w:pPr>
        <w:jc w:val="both"/>
        <w:rPr>
          <w:b/>
          <w:bCs/>
          <w:sz w:val="22"/>
          <w:szCs w:val="22"/>
          <w:lang w:val="en-CA"/>
        </w:rPr>
      </w:pPr>
    </w:p>
    <w:p w14:paraId="30AA73C4" w14:textId="3D3864DB" w:rsidR="00BC2FC7" w:rsidRPr="004A5974" w:rsidRDefault="00BC2FC7" w:rsidP="002505C3">
      <w:pPr>
        <w:pStyle w:val="Casehead1"/>
        <w:rPr>
          <w:lang w:val="en-CA"/>
        </w:rPr>
      </w:pPr>
      <w:r w:rsidRPr="004A5974">
        <w:rPr>
          <w:lang w:val="en-CA"/>
        </w:rPr>
        <w:t>Transferring digital capabilities from the periphery to the core</w:t>
      </w:r>
    </w:p>
    <w:p w14:paraId="1627E825" w14:textId="77777777" w:rsidR="00BC2FC7" w:rsidRPr="004A5974" w:rsidRDefault="00BC2FC7" w:rsidP="002505C3">
      <w:pPr>
        <w:jc w:val="both"/>
        <w:rPr>
          <w:sz w:val="22"/>
          <w:szCs w:val="22"/>
          <w:lang w:val="en-CA"/>
        </w:rPr>
      </w:pPr>
    </w:p>
    <w:p w14:paraId="140180ED" w14:textId="0EF0D798" w:rsidR="00BC2FC7" w:rsidRPr="004A5974" w:rsidRDefault="00BC2FC7" w:rsidP="002505C3">
      <w:pPr>
        <w:jc w:val="both"/>
        <w:rPr>
          <w:sz w:val="22"/>
          <w:szCs w:val="22"/>
          <w:lang w:val="en-CA"/>
        </w:rPr>
      </w:pPr>
      <w:r w:rsidRPr="004A5974">
        <w:rPr>
          <w:sz w:val="22"/>
          <w:szCs w:val="22"/>
          <w:lang w:val="en-CA"/>
        </w:rPr>
        <w:t>While the in-house start-up model had the great advantage of getting a business up and running without disturbing the bank’s regular operations, eventually the digital skills had to be translated to the rest of the bank’s operations, and that was where the real challenge was.</w:t>
      </w:r>
    </w:p>
    <w:p w14:paraId="18BBC164" w14:textId="77777777" w:rsidR="00BC2FC7" w:rsidRPr="004A5974" w:rsidRDefault="00BC2FC7" w:rsidP="002505C3">
      <w:pPr>
        <w:jc w:val="both"/>
        <w:rPr>
          <w:sz w:val="22"/>
          <w:szCs w:val="22"/>
          <w:lang w:val="en-CA"/>
        </w:rPr>
      </w:pPr>
    </w:p>
    <w:p w14:paraId="75F6E321" w14:textId="74D55471" w:rsidR="00BC2FC7" w:rsidRPr="004A5974" w:rsidRDefault="00BC2FC7" w:rsidP="002505C3">
      <w:pPr>
        <w:jc w:val="both"/>
        <w:rPr>
          <w:sz w:val="22"/>
          <w:szCs w:val="22"/>
          <w:lang w:val="en-CA"/>
        </w:rPr>
      </w:pPr>
      <w:r w:rsidRPr="004A5974">
        <w:rPr>
          <w:sz w:val="22"/>
          <w:szCs w:val="22"/>
          <w:lang w:val="en-CA"/>
        </w:rPr>
        <w:t>BTPN ended up having to spend substantial time on difficult change management, including closing branches. BTPN’s do-or-die stance toward digital banking and its smaller size meant that it encountered less entrenched resistance than did large traditional banks with many branches. Going digital meant greater efficiency with fewer staff. As Dana recalled,</w:t>
      </w:r>
    </w:p>
    <w:p w14:paraId="1B7465F9" w14:textId="77777777" w:rsidR="00BC2FC7" w:rsidRPr="0042629A" w:rsidRDefault="00BC2FC7" w:rsidP="002505C3">
      <w:pPr>
        <w:jc w:val="both"/>
        <w:rPr>
          <w:sz w:val="14"/>
          <w:szCs w:val="14"/>
          <w:lang w:val="en-CA"/>
        </w:rPr>
      </w:pPr>
    </w:p>
    <w:p w14:paraId="5B78B408" w14:textId="333FE0F4" w:rsidR="00BC2FC7" w:rsidRPr="004A5974" w:rsidRDefault="00BC2FC7" w:rsidP="002505C3">
      <w:pPr>
        <w:ind w:left="720"/>
        <w:jc w:val="both"/>
        <w:rPr>
          <w:sz w:val="22"/>
          <w:szCs w:val="22"/>
          <w:lang w:val="en-CA"/>
        </w:rPr>
      </w:pPr>
      <w:r w:rsidRPr="004A5974">
        <w:rPr>
          <w:sz w:val="22"/>
          <w:szCs w:val="22"/>
          <w:lang w:val="en-CA"/>
        </w:rPr>
        <w:t>In our case, we said that we are not going to digitize our branch first. We need to go to the digital innovation first. But inevitably, in the end, the existing branches have to also go through the digital transformation. This is the hardest part. Doing something new is fun, but changing the existing business, that is the hardest one.</w:t>
      </w:r>
    </w:p>
    <w:p w14:paraId="409F880C" w14:textId="77777777" w:rsidR="00BC2FC7" w:rsidRPr="0042629A" w:rsidRDefault="00BC2FC7" w:rsidP="002505C3">
      <w:pPr>
        <w:jc w:val="both"/>
        <w:rPr>
          <w:sz w:val="14"/>
          <w:szCs w:val="14"/>
          <w:lang w:val="en-CA"/>
        </w:rPr>
      </w:pPr>
    </w:p>
    <w:p w14:paraId="0C821665" w14:textId="777C65B9" w:rsidR="00BC2FC7" w:rsidRPr="004A5974" w:rsidRDefault="00BC2FC7" w:rsidP="002505C3">
      <w:pPr>
        <w:jc w:val="both"/>
        <w:rPr>
          <w:sz w:val="22"/>
          <w:szCs w:val="22"/>
          <w:lang w:val="en-CA"/>
        </w:rPr>
      </w:pPr>
      <w:r w:rsidRPr="004A5974">
        <w:rPr>
          <w:sz w:val="22"/>
          <w:szCs w:val="22"/>
          <w:lang w:val="en-CA"/>
        </w:rPr>
        <w:t>The BTPN leadership had to spend a year on managing the change management process, convincing employees to either transform themselves with new digital skills or find opportunities elsewhere. It turned out that although the “start-up first” model was great for building digital banking skills fast, it did not offer a real shortcut to transforming the entire organization for a digital era. Managing transformation still took time—though perhaps less time than what a traditional bank would have needed. According to Dana, “When we say translating vision to conviction, I think that there is no other way than communicating and doing it step by step, starting from the top-level people first. And then the second layer, third layer. Change management is a long collaborative process. It takes some time, but I guess that’s the only way.”</w:t>
      </w:r>
    </w:p>
    <w:p w14:paraId="75A1D763" w14:textId="77777777" w:rsidR="00BC2FC7" w:rsidRPr="0042629A" w:rsidRDefault="00BC2FC7" w:rsidP="002505C3">
      <w:pPr>
        <w:jc w:val="both"/>
        <w:rPr>
          <w:sz w:val="14"/>
          <w:szCs w:val="14"/>
          <w:lang w:val="en-CA"/>
        </w:rPr>
      </w:pPr>
    </w:p>
    <w:p w14:paraId="5CD0E1BB" w14:textId="7A0B4348" w:rsidR="00BC2FC7" w:rsidRPr="004A5974" w:rsidRDefault="00BC2FC7" w:rsidP="002505C3">
      <w:pPr>
        <w:jc w:val="both"/>
        <w:rPr>
          <w:sz w:val="22"/>
          <w:szCs w:val="22"/>
          <w:lang w:val="en-CA"/>
        </w:rPr>
      </w:pPr>
      <w:r w:rsidRPr="004A5974">
        <w:rPr>
          <w:sz w:val="22"/>
          <w:szCs w:val="22"/>
          <w:lang w:val="en-CA"/>
        </w:rPr>
        <w:t>The journey of transforming everyone in the bank by unlearning and relearning—and, in some cases, saying goodbye to staff who were unwilling to change—took BTPN an entire year. All throughout the BTPN change process, Jenius was growing in popularity among the digitally savvy emerging middle-class customers, most of whom were millennials.</w:t>
      </w:r>
    </w:p>
    <w:p w14:paraId="5470AB02" w14:textId="77777777" w:rsidR="00BC2FC7" w:rsidRPr="0042629A" w:rsidRDefault="00BC2FC7" w:rsidP="002505C3">
      <w:pPr>
        <w:jc w:val="both"/>
        <w:rPr>
          <w:sz w:val="14"/>
          <w:szCs w:val="14"/>
          <w:lang w:val="en-CA"/>
        </w:rPr>
      </w:pPr>
    </w:p>
    <w:p w14:paraId="015D5109" w14:textId="77777777" w:rsidR="00BC2FC7" w:rsidRPr="0042629A" w:rsidRDefault="00BC2FC7" w:rsidP="002505C3">
      <w:pPr>
        <w:jc w:val="both"/>
        <w:rPr>
          <w:b/>
          <w:bCs/>
          <w:sz w:val="14"/>
          <w:szCs w:val="14"/>
          <w:lang w:val="en-CA"/>
        </w:rPr>
      </w:pPr>
    </w:p>
    <w:p w14:paraId="73FA698F" w14:textId="1D212063" w:rsidR="00BC2FC7" w:rsidRPr="004A5974" w:rsidRDefault="00BC2FC7" w:rsidP="002505C3">
      <w:pPr>
        <w:pStyle w:val="Casehead1"/>
        <w:rPr>
          <w:lang w:val="en-CA"/>
        </w:rPr>
      </w:pPr>
      <w:r w:rsidRPr="004A5974">
        <w:rPr>
          <w:lang w:val="en-CA"/>
        </w:rPr>
        <w:t>The race was on</w:t>
      </w:r>
    </w:p>
    <w:p w14:paraId="68B081FE" w14:textId="77777777" w:rsidR="00BC2FC7" w:rsidRPr="0042629A" w:rsidRDefault="00BC2FC7" w:rsidP="002505C3">
      <w:pPr>
        <w:jc w:val="both"/>
        <w:rPr>
          <w:sz w:val="14"/>
          <w:szCs w:val="14"/>
          <w:lang w:val="en-CA"/>
        </w:rPr>
      </w:pPr>
    </w:p>
    <w:p w14:paraId="5677D9FE" w14:textId="619EA803" w:rsidR="00BC2FC7" w:rsidRPr="004A5974" w:rsidRDefault="00BC2FC7" w:rsidP="002505C3">
      <w:pPr>
        <w:jc w:val="both"/>
        <w:rPr>
          <w:sz w:val="22"/>
          <w:szCs w:val="22"/>
          <w:lang w:val="en-CA"/>
        </w:rPr>
      </w:pPr>
      <w:r w:rsidRPr="004A5974">
        <w:rPr>
          <w:sz w:val="22"/>
          <w:szCs w:val="22"/>
          <w:lang w:val="en-CA"/>
        </w:rPr>
        <w:t xml:space="preserve">Since 2017, the traditional banks had also woken up. BTPN’s Jenius was a success, but its number of customers still paled in comparison to the retail consumers of the largest banks in the country. BCA, one </w:t>
      </w:r>
      <w:r w:rsidRPr="004A5974">
        <w:rPr>
          <w:sz w:val="22"/>
          <w:szCs w:val="22"/>
          <w:lang w:val="en-CA"/>
        </w:rPr>
        <w:lastRenderedPageBreak/>
        <w:t>of the top three banks in Indonesia, announced in February 2019 that it had allocated $374.9 million for IT improvement and $72.1 million</w:t>
      </w:r>
      <w:r w:rsidRPr="004A5974">
        <w:rPr>
          <w:rStyle w:val="EndnoteReference"/>
          <w:sz w:val="22"/>
          <w:szCs w:val="22"/>
          <w:lang w:val="en-CA"/>
        </w:rPr>
        <w:endnoteReference w:id="23"/>
      </w:r>
      <w:r w:rsidRPr="004A5974">
        <w:rPr>
          <w:sz w:val="22"/>
          <w:szCs w:val="22"/>
          <w:lang w:val="en-CA"/>
        </w:rPr>
        <w:t xml:space="preserve"> for digital banking,</w:t>
      </w:r>
      <w:r w:rsidRPr="004A5974">
        <w:rPr>
          <w:rStyle w:val="EndnoteReference"/>
          <w:sz w:val="22"/>
          <w:szCs w:val="22"/>
          <w:lang w:val="en-CA"/>
        </w:rPr>
        <w:endnoteReference w:id="24"/>
      </w:r>
      <w:r w:rsidRPr="004A5974">
        <w:rPr>
          <w:sz w:val="22"/>
          <w:szCs w:val="22"/>
          <w:lang w:val="en-CA"/>
        </w:rPr>
        <w:t xml:space="preserve"> allowing its 50 million customers to open new bank accounts online.</w:t>
      </w:r>
    </w:p>
    <w:p w14:paraId="4EF2D49E" w14:textId="77777777" w:rsidR="00BC2FC7" w:rsidRPr="004A5974" w:rsidRDefault="00BC2FC7" w:rsidP="002505C3">
      <w:pPr>
        <w:jc w:val="both"/>
        <w:rPr>
          <w:sz w:val="22"/>
          <w:szCs w:val="22"/>
          <w:lang w:val="en-CA"/>
        </w:rPr>
      </w:pPr>
    </w:p>
    <w:p w14:paraId="54D38817" w14:textId="0E2E5D0B" w:rsidR="00BC2FC7" w:rsidRPr="004A5974" w:rsidRDefault="00BC2FC7" w:rsidP="002505C3">
      <w:pPr>
        <w:jc w:val="both"/>
        <w:rPr>
          <w:sz w:val="22"/>
          <w:szCs w:val="22"/>
          <w:lang w:val="en-CA"/>
        </w:rPr>
      </w:pPr>
      <w:r w:rsidRPr="004A5974">
        <w:rPr>
          <w:sz w:val="22"/>
          <w:szCs w:val="22"/>
          <w:lang w:val="en-CA"/>
        </w:rPr>
        <w:t>Moreover, a wave of new fintech companies was eating away at the margins of BTPN’s financial services offerings. As consumers became more attuned to digital banking, the market for digital financial services became more competitive. Unicorns with super apps,</w:t>
      </w:r>
      <w:r w:rsidRPr="004A5974">
        <w:rPr>
          <w:rStyle w:val="EndnoteReference"/>
          <w:sz w:val="22"/>
          <w:szCs w:val="22"/>
          <w:lang w:val="en-CA"/>
        </w:rPr>
        <w:endnoteReference w:id="25"/>
      </w:r>
      <w:r w:rsidRPr="004A5974">
        <w:rPr>
          <w:sz w:val="22"/>
          <w:szCs w:val="22"/>
          <w:lang w:val="en-CA"/>
        </w:rPr>
        <w:t xml:space="preserve"> such as Gojek and Grab, launched new services including e-wallets, payments, and even loans, sometimes partnering with other players. At the moment, however, these competitors did not pose a particularly strong threat. As Dana said,</w:t>
      </w:r>
    </w:p>
    <w:p w14:paraId="5218BA43" w14:textId="77777777" w:rsidR="00BC2FC7" w:rsidRPr="004A5974" w:rsidRDefault="00BC2FC7" w:rsidP="002505C3">
      <w:pPr>
        <w:jc w:val="both"/>
        <w:rPr>
          <w:sz w:val="22"/>
          <w:szCs w:val="22"/>
          <w:lang w:val="en-CA"/>
        </w:rPr>
      </w:pPr>
    </w:p>
    <w:p w14:paraId="19AE895D" w14:textId="088D7AC5" w:rsidR="00BC2FC7" w:rsidRPr="004A5974" w:rsidRDefault="00BC2FC7" w:rsidP="002505C3">
      <w:pPr>
        <w:ind w:left="720"/>
        <w:jc w:val="both"/>
        <w:rPr>
          <w:sz w:val="22"/>
          <w:szCs w:val="22"/>
          <w:lang w:val="en-CA"/>
        </w:rPr>
      </w:pPr>
      <w:r w:rsidRPr="004A5974">
        <w:rPr>
          <w:sz w:val="22"/>
          <w:szCs w:val="22"/>
          <w:lang w:val="en-CA"/>
        </w:rPr>
        <w:t>In Indonesia the regulators are quite strict. Fintechs are basically doing payments, but they are not allowed to give savings accounts or deposits or debit cards. So, for example, customers may only put less than $100 in there [an e-wallet] to do the payment, just to have the cash discount. But when it comes to savings, financial planning, they put it with us.</w:t>
      </w:r>
    </w:p>
    <w:p w14:paraId="57D87346" w14:textId="77777777" w:rsidR="00BC2FC7" w:rsidRPr="004A5974" w:rsidRDefault="00BC2FC7" w:rsidP="002505C3">
      <w:pPr>
        <w:jc w:val="both"/>
        <w:rPr>
          <w:sz w:val="22"/>
          <w:szCs w:val="22"/>
          <w:lang w:val="en-CA"/>
        </w:rPr>
      </w:pPr>
    </w:p>
    <w:p w14:paraId="25CB3101" w14:textId="5068C6C6" w:rsidR="00BC2FC7" w:rsidRPr="004A5974" w:rsidRDefault="00BC2FC7" w:rsidP="002505C3">
      <w:pPr>
        <w:jc w:val="both"/>
        <w:rPr>
          <w:sz w:val="22"/>
          <w:szCs w:val="22"/>
          <w:lang w:val="en-CA"/>
        </w:rPr>
      </w:pPr>
      <w:r w:rsidRPr="004A5974">
        <w:rPr>
          <w:sz w:val="22"/>
          <w:szCs w:val="22"/>
          <w:lang w:val="en-CA"/>
        </w:rPr>
        <w:t>Other dedicated fintechs were also emerging. Examples included Tunaiku, which provided small consumer loans online and was part of another innovative small bank; Cermati, a financial services aggregator and intermediary for the unbanked; and OVO, an e-wallet linked to one of Indonesia’s large conglomerates. Chinese companies such as the Ant Group Co. Ltd. (linked to Alibaba Group) also joined the fray.</w:t>
      </w:r>
    </w:p>
    <w:p w14:paraId="7F23AE67" w14:textId="77777777" w:rsidR="00BC2FC7" w:rsidRPr="004A5974" w:rsidRDefault="00BC2FC7" w:rsidP="002505C3">
      <w:pPr>
        <w:jc w:val="both"/>
        <w:rPr>
          <w:sz w:val="22"/>
          <w:szCs w:val="22"/>
          <w:lang w:val="en-CA"/>
        </w:rPr>
      </w:pPr>
    </w:p>
    <w:p w14:paraId="16E6AAB8" w14:textId="7D9A64DC" w:rsidR="00B546D6" w:rsidRPr="004A5974" w:rsidRDefault="00BC2FC7" w:rsidP="002505C3">
      <w:pPr>
        <w:jc w:val="both"/>
        <w:rPr>
          <w:sz w:val="22"/>
          <w:szCs w:val="22"/>
          <w:lang w:val="en-CA"/>
        </w:rPr>
      </w:pPr>
      <w:r w:rsidRPr="004A5974">
        <w:rPr>
          <w:sz w:val="22"/>
          <w:szCs w:val="22"/>
          <w:lang w:val="en-CA"/>
        </w:rPr>
        <w:t xml:space="preserve">Although all these new players did not exactly offer a </w:t>
      </w:r>
      <w:proofErr w:type="gramStart"/>
      <w:r w:rsidRPr="004A5974">
        <w:rPr>
          <w:sz w:val="22"/>
          <w:szCs w:val="22"/>
          <w:lang w:val="en-CA"/>
        </w:rPr>
        <w:t>full</w:t>
      </w:r>
      <w:proofErr w:type="gramEnd"/>
      <w:r w:rsidRPr="004A5974">
        <w:rPr>
          <w:sz w:val="22"/>
          <w:szCs w:val="22"/>
          <w:lang w:val="en-CA"/>
        </w:rPr>
        <w:t xml:space="preserve"> digital-retail-banking experience, it was clear that the sector was being disrupted at an ever-faster pace. According to Irwan Habsjah, a member of BTPN’s board of commissioners,</w:t>
      </w:r>
      <w:r w:rsidRPr="004A5974">
        <w:rPr>
          <w:rStyle w:val="EndnoteReference"/>
          <w:sz w:val="22"/>
          <w:szCs w:val="22"/>
          <w:lang w:val="en-CA"/>
        </w:rPr>
        <w:endnoteReference w:id="26"/>
      </w:r>
      <w:r w:rsidRPr="004A5974">
        <w:rPr>
          <w:sz w:val="22"/>
          <w:szCs w:val="22"/>
          <w:lang w:val="en-CA"/>
        </w:rPr>
        <w:t xml:space="preserve"> </w:t>
      </w:r>
      <w:r w:rsidR="00B546D6" w:rsidRPr="004A5974">
        <w:rPr>
          <w:sz w:val="22"/>
          <w:szCs w:val="22"/>
          <w:lang w:val="en-CA"/>
        </w:rPr>
        <w:t>“You need an agile mindset and to continuously look into what the competition is doing and improve. You need to become more efficient, have more diversity in the products. The competition is very fast.”</w:t>
      </w:r>
    </w:p>
    <w:p w14:paraId="2A300DB7" w14:textId="77777777" w:rsidR="00B546D6" w:rsidRPr="004A5974" w:rsidRDefault="00B546D6" w:rsidP="002505C3">
      <w:pPr>
        <w:jc w:val="both"/>
        <w:rPr>
          <w:sz w:val="22"/>
          <w:szCs w:val="22"/>
          <w:lang w:val="en-CA"/>
        </w:rPr>
      </w:pPr>
    </w:p>
    <w:p w14:paraId="108AFA27" w14:textId="0E0D920F" w:rsidR="00B546D6" w:rsidRPr="004A5974" w:rsidRDefault="00070FE0" w:rsidP="002505C3">
      <w:pPr>
        <w:jc w:val="both"/>
        <w:rPr>
          <w:sz w:val="22"/>
          <w:szCs w:val="22"/>
          <w:lang w:val="en-CA"/>
        </w:rPr>
      </w:pPr>
      <w:r w:rsidRPr="004A5974">
        <w:rPr>
          <w:sz w:val="22"/>
          <w:szCs w:val="22"/>
          <w:lang w:val="en-CA"/>
        </w:rPr>
        <w:t xml:space="preserve">From the outset, </w:t>
      </w:r>
      <w:r w:rsidR="00B546D6" w:rsidRPr="004A5974">
        <w:rPr>
          <w:sz w:val="22"/>
          <w:szCs w:val="22"/>
          <w:lang w:val="en-CA"/>
        </w:rPr>
        <w:t>The Jenius team had recognized that banking was really about life</w:t>
      </w:r>
      <w:r w:rsidRPr="004A5974">
        <w:rPr>
          <w:sz w:val="22"/>
          <w:szCs w:val="22"/>
          <w:lang w:val="en-CA"/>
        </w:rPr>
        <w:t>;</w:t>
      </w:r>
      <w:r w:rsidR="00B546D6" w:rsidRPr="004A5974">
        <w:rPr>
          <w:sz w:val="22"/>
          <w:szCs w:val="22"/>
          <w:lang w:val="en-CA"/>
        </w:rPr>
        <w:t xml:space="preserve"> customers’ dreams came with financial implications, which led to a need for financial services. But nobody woke up in the morning dreaming of getting a credit card or of downloading a banking app. In order to scale without a large base of existing banking customers, Jenius had to be visible when and where the customers were making their financial choices. The question was how.</w:t>
      </w:r>
    </w:p>
    <w:p w14:paraId="39A8F908" w14:textId="2266687F" w:rsidR="00141262" w:rsidRPr="004A5974" w:rsidRDefault="00141262" w:rsidP="002505C3">
      <w:pPr>
        <w:jc w:val="both"/>
        <w:rPr>
          <w:sz w:val="22"/>
          <w:szCs w:val="22"/>
          <w:lang w:val="en-CA"/>
        </w:rPr>
      </w:pPr>
    </w:p>
    <w:p w14:paraId="4DC399A4" w14:textId="77777777" w:rsidR="00141262" w:rsidRPr="004A5974" w:rsidRDefault="00141262" w:rsidP="002505C3">
      <w:pPr>
        <w:jc w:val="both"/>
        <w:rPr>
          <w:sz w:val="22"/>
          <w:szCs w:val="22"/>
          <w:lang w:val="en-CA"/>
        </w:rPr>
      </w:pPr>
    </w:p>
    <w:p w14:paraId="2560AA36" w14:textId="292D017C" w:rsidR="00B546D6" w:rsidRPr="004A5974" w:rsidRDefault="00B546D6" w:rsidP="002505C3">
      <w:pPr>
        <w:pStyle w:val="Casehead1"/>
        <w:rPr>
          <w:lang w:val="en-CA"/>
        </w:rPr>
      </w:pPr>
      <w:r w:rsidRPr="004A5974">
        <w:rPr>
          <w:lang w:val="en-CA"/>
        </w:rPr>
        <w:t>A new phase for BTPN</w:t>
      </w:r>
    </w:p>
    <w:p w14:paraId="086EB230" w14:textId="77777777" w:rsidR="00B546D6" w:rsidRPr="004A5974" w:rsidRDefault="00B546D6" w:rsidP="002505C3">
      <w:pPr>
        <w:jc w:val="both"/>
        <w:rPr>
          <w:sz w:val="22"/>
          <w:szCs w:val="22"/>
          <w:lang w:val="en-CA"/>
        </w:rPr>
      </w:pPr>
    </w:p>
    <w:p w14:paraId="19B68360" w14:textId="1D348003" w:rsidR="00B546D6" w:rsidRDefault="009417F6" w:rsidP="002505C3">
      <w:pPr>
        <w:jc w:val="both"/>
        <w:rPr>
          <w:sz w:val="22"/>
          <w:szCs w:val="22"/>
          <w:lang w:val="en-CA"/>
        </w:rPr>
      </w:pPr>
      <w:r w:rsidRPr="004A5974">
        <w:rPr>
          <w:sz w:val="22"/>
          <w:szCs w:val="22"/>
          <w:lang w:val="en-CA"/>
        </w:rPr>
        <w:t>A</w:t>
      </w:r>
      <w:r w:rsidR="00F07B51" w:rsidRPr="004A5974">
        <w:rPr>
          <w:sz w:val="22"/>
          <w:szCs w:val="22"/>
          <w:lang w:val="en-CA"/>
        </w:rPr>
        <w:t xml:space="preserve"> </w:t>
      </w:r>
      <w:r w:rsidR="00B546D6" w:rsidRPr="004A5974">
        <w:rPr>
          <w:sz w:val="22"/>
          <w:szCs w:val="22"/>
          <w:lang w:val="en-CA"/>
        </w:rPr>
        <w:t>big year for Jenius,</w:t>
      </w:r>
      <w:r w:rsidR="00F07B51" w:rsidRPr="004A5974">
        <w:rPr>
          <w:sz w:val="22"/>
          <w:szCs w:val="22"/>
          <w:lang w:val="en-CA"/>
        </w:rPr>
        <w:t xml:space="preserve"> 2019</w:t>
      </w:r>
      <w:r w:rsidR="00B546D6" w:rsidRPr="004A5974">
        <w:rPr>
          <w:sz w:val="22"/>
          <w:szCs w:val="22"/>
          <w:lang w:val="en-CA"/>
        </w:rPr>
        <w:t xml:space="preserve"> also marked significant strategic changes for BTPN as a whole. In February 2019</w:t>
      </w:r>
      <w:r w:rsidR="00104F48" w:rsidRPr="004A5974">
        <w:rPr>
          <w:sz w:val="22"/>
          <w:szCs w:val="22"/>
          <w:lang w:val="en-CA"/>
        </w:rPr>
        <w:t>,</w:t>
      </w:r>
      <w:r w:rsidR="00B546D6" w:rsidRPr="004A5974">
        <w:rPr>
          <w:sz w:val="22"/>
          <w:szCs w:val="22"/>
          <w:lang w:val="en-CA"/>
        </w:rPr>
        <w:t xml:space="preserve"> BTPN merged its activities with PT Bank Sumitomo Mitsui Indonesia, the Indonesian subsidiary of </w:t>
      </w:r>
      <w:r w:rsidR="00F0069C" w:rsidRPr="004A5974">
        <w:rPr>
          <w:sz w:val="22"/>
          <w:szCs w:val="22"/>
          <w:lang w:val="en-CA"/>
        </w:rPr>
        <w:t xml:space="preserve">SMBC, </w:t>
      </w:r>
      <w:r w:rsidR="00397503" w:rsidRPr="004A5974">
        <w:rPr>
          <w:sz w:val="22"/>
          <w:szCs w:val="22"/>
          <w:lang w:val="en-CA"/>
        </w:rPr>
        <w:t xml:space="preserve">BTPN’s </w:t>
      </w:r>
      <w:r w:rsidR="00B546D6" w:rsidRPr="004A5974">
        <w:rPr>
          <w:sz w:val="22"/>
          <w:szCs w:val="22"/>
          <w:lang w:val="en-CA"/>
        </w:rPr>
        <w:t>largest shareholder, and became a universal bank in Indonesia. Dana took over the role of CEO in February 2019. In 2020, the C</w:t>
      </w:r>
      <w:r w:rsidR="00F0069C" w:rsidRPr="004A5974">
        <w:rPr>
          <w:sz w:val="22"/>
          <w:szCs w:val="22"/>
          <w:lang w:val="en-CA"/>
        </w:rPr>
        <w:t>OVID</w:t>
      </w:r>
      <w:r w:rsidR="00B546D6" w:rsidRPr="004A5974">
        <w:rPr>
          <w:sz w:val="22"/>
          <w:szCs w:val="22"/>
          <w:lang w:val="en-CA"/>
        </w:rPr>
        <w:t xml:space="preserve">-19 health pandemic </w:t>
      </w:r>
      <w:r w:rsidR="00CC2446" w:rsidRPr="004A5974">
        <w:rPr>
          <w:sz w:val="22"/>
          <w:szCs w:val="22"/>
          <w:lang w:val="en-CA"/>
        </w:rPr>
        <w:t>led</w:t>
      </w:r>
      <w:r w:rsidR="00B546D6" w:rsidRPr="004A5974">
        <w:rPr>
          <w:sz w:val="22"/>
          <w:szCs w:val="22"/>
          <w:lang w:val="en-CA"/>
        </w:rPr>
        <w:t xml:space="preserve"> to widespread restrictions on movement and further accelerated the use of digital financial services by the middle class.</w:t>
      </w:r>
    </w:p>
    <w:p w14:paraId="021FA37F" w14:textId="77777777" w:rsidR="0042629A" w:rsidRPr="004A5974" w:rsidRDefault="0042629A" w:rsidP="002505C3">
      <w:pPr>
        <w:jc w:val="both"/>
        <w:rPr>
          <w:sz w:val="22"/>
          <w:szCs w:val="22"/>
          <w:lang w:val="en-CA"/>
        </w:rPr>
      </w:pPr>
    </w:p>
    <w:p w14:paraId="29E7D171" w14:textId="305D093E" w:rsidR="00B546D6" w:rsidRPr="004A5974" w:rsidRDefault="00B546D6" w:rsidP="002505C3">
      <w:pPr>
        <w:jc w:val="both"/>
        <w:rPr>
          <w:sz w:val="22"/>
          <w:szCs w:val="22"/>
          <w:lang w:val="en-CA"/>
        </w:rPr>
      </w:pPr>
      <w:r w:rsidRPr="004A5974">
        <w:rPr>
          <w:sz w:val="22"/>
          <w:szCs w:val="22"/>
          <w:lang w:val="en-CA"/>
        </w:rPr>
        <w:t xml:space="preserve">Dana saw many opportunities in being part of a large financial company </w:t>
      </w:r>
      <w:r w:rsidR="00AA0800" w:rsidRPr="004A5974">
        <w:rPr>
          <w:sz w:val="22"/>
          <w:szCs w:val="22"/>
          <w:lang w:val="en-CA"/>
        </w:rPr>
        <w:t xml:space="preserve">such as </w:t>
      </w:r>
      <w:r w:rsidRPr="004A5974">
        <w:rPr>
          <w:sz w:val="22"/>
          <w:szCs w:val="22"/>
          <w:lang w:val="en-CA"/>
        </w:rPr>
        <w:t xml:space="preserve">Sumitomo Mitsui Financial Group (SMFG), including expansion overseas. </w:t>
      </w:r>
      <w:r w:rsidR="002C0466" w:rsidRPr="004A5974">
        <w:rPr>
          <w:sz w:val="22"/>
          <w:szCs w:val="22"/>
          <w:lang w:val="en-CA"/>
        </w:rPr>
        <w:t xml:space="preserve">Outside Japan, </w:t>
      </w:r>
      <w:r w:rsidRPr="004A5974">
        <w:rPr>
          <w:sz w:val="22"/>
          <w:szCs w:val="22"/>
          <w:lang w:val="en-CA"/>
        </w:rPr>
        <w:t>SMBC had hitherto only been a corporate bank</w:t>
      </w:r>
      <w:r w:rsidR="00A777B6" w:rsidRPr="004A5974">
        <w:rPr>
          <w:sz w:val="22"/>
          <w:szCs w:val="22"/>
          <w:lang w:val="en-CA"/>
        </w:rPr>
        <w:t>,</w:t>
      </w:r>
      <w:r w:rsidR="002C0466" w:rsidRPr="004A5974">
        <w:rPr>
          <w:sz w:val="22"/>
          <w:szCs w:val="22"/>
          <w:lang w:val="en-CA"/>
        </w:rPr>
        <w:t xml:space="preserve"> </w:t>
      </w:r>
      <w:r w:rsidRPr="004A5974">
        <w:rPr>
          <w:sz w:val="22"/>
          <w:szCs w:val="22"/>
          <w:lang w:val="en-CA"/>
        </w:rPr>
        <w:t>with no retail footprint. There was a clear growth story in digital retail banking in Southeast Asia.</w:t>
      </w:r>
    </w:p>
    <w:p w14:paraId="3D5A96F2" w14:textId="77777777" w:rsidR="00B546D6" w:rsidRPr="0042629A" w:rsidRDefault="00B546D6" w:rsidP="002505C3">
      <w:pPr>
        <w:jc w:val="both"/>
        <w:rPr>
          <w:sz w:val="14"/>
          <w:szCs w:val="14"/>
          <w:lang w:val="en-CA"/>
        </w:rPr>
      </w:pPr>
    </w:p>
    <w:p w14:paraId="575D92E9" w14:textId="3BAC9E24" w:rsidR="00B546D6" w:rsidRPr="004A5974" w:rsidRDefault="00B546D6" w:rsidP="002505C3">
      <w:pPr>
        <w:jc w:val="both"/>
        <w:rPr>
          <w:sz w:val="22"/>
          <w:szCs w:val="22"/>
          <w:lang w:val="en-CA"/>
        </w:rPr>
      </w:pPr>
      <w:r w:rsidRPr="004A5974">
        <w:rPr>
          <w:sz w:val="22"/>
          <w:szCs w:val="22"/>
          <w:lang w:val="en-CA"/>
        </w:rPr>
        <w:t>But there were also downsides of being part of a large so-called systemic bank that was considered crucial for the economy. The regulation that came with this status was daunting</w:t>
      </w:r>
      <w:r w:rsidR="00ED46A5" w:rsidRPr="004A5974">
        <w:rPr>
          <w:sz w:val="22"/>
          <w:szCs w:val="22"/>
          <w:lang w:val="en-CA"/>
        </w:rPr>
        <w:t>;</w:t>
      </w:r>
      <w:r w:rsidRPr="004A5974">
        <w:rPr>
          <w:sz w:val="22"/>
          <w:szCs w:val="22"/>
          <w:lang w:val="en-CA"/>
        </w:rPr>
        <w:t xml:space="preserve"> </w:t>
      </w:r>
      <w:r w:rsidR="00211204" w:rsidRPr="004A5974">
        <w:rPr>
          <w:sz w:val="22"/>
          <w:szCs w:val="22"/>
          <w:lang w:val="en-CA"/>
        </w:rPr>
        <w:t>anti</w:t>
      </w:r>
      <w:r w:rsidR="00F0069C" w:rsidRPr="004A5974">
        <w:rPr>
          <w:sz w:val="22"/>
          <w:szCs w:val="22"/>
          <w:lang w:val="en-CA"/>
        </w:rPr>
        <w:t>-</w:t>
      </w:r>
      <w:r w:rsidR="00211204" w:rsidRPr="004A5974">
        <w:rPr>
          <w:sz w:val="22"/>
          <w:szCs w:val="22"/>
          <w:lang w:val="en-CA"/>
        </w:rPr>
        <w:t xml:space="preserve">money </w:t>
      </w:r>
      <w:r w:rsidR="00FD4D40" w:rsidRPr="004A5974">
        <w:rPr>
          <w:sz w:val="22"/>
          <w:szCs w:val="22"/>
          <w:lang w:val="en-CA"/>
        </w:rPr>
        <w:t>laundering</w:t>
      </w:r>
      <w:r w:rsidRPr="004A5974">
        <w:rPr>
          <w:sz w:val="22"/>
          <w:szCs w:val="22"/>
          <w:lang w:val="en-CA"/>
        </w:rPr>
        <w:t xml:space="preserve">, anti-terrorism, regulatory compliance, </w:t>
      </w:r>
      <w:r w:rsidR="00FD4D40" w:rsidRPr="004A5974">
        <w:rPr>
          <w:sz w:val="22"/>
          <w:szCs w:val="22"/>
          <w:lang w:val="en-CA"/>
        </w:rPr>
        <w:t xml:space="preserve">and </w:t>
      </w:r>
      <w:r w:rsidRPr="004A5974">
        <w:rPr>
          <w:sz w:val="22"/>
          <w:szCs w:val="22"/>
          <w:lang w:val="en-CA"/>
        </w:rPr>
        <w:t>cybercrime risk mitigation all needed to be stepped up. Moreover, Japanese banks were known to be conservative and slow in their decision-making</w:t>
      </w:r>
      <w:r w:rsidR="00300432" w:rsidRPr="004A5974">
        <w:rPr>
          <w:sz w:val="22"/>
          <w:szCs w:val="22"/>
          <w:lang w:val="en-CA"/>
        </w:rPr>
        <w:t>,</w:t>
      </w:r>
      <w:r w:rsidRPr="004A5974">
        <w:rPr>
          <w:sz w:val="22"/>
          <w:szCs w:val="22"/>
          <w:lang w:val="en-CA"/>
        </w:rPr>
        <w:t xml:space="preserve"> which posed a challenge in the fast-paced digital banking space.</w:t>
      </w:r>
    </w:p>
    <w:p w14:paraId="2FDB8550" w14:textId="328BFE7F" w:rsidR="00B546D6" w:rsidRPr="004A5974" w:rsidRDefault="00B546D6" w:rsidP="002505C3">
      <w:pPr>
        <w:jc w:val="both"/>
        <w:rPr>
          <w:sz w:val="22"/>
          <w:szCs w:val="22"/>
          <w:lang w:val="en-CA"/>
        </w:rPr>
      </w:pPr>
      <w:r w:rsidRPr="004A5974">
        <w:rPr>
          <w:sz w:val="22"/>
          <w:szCs w:val="22"/>
          <w:lang w:val="en-CA"/>
        </w:rPr>
        <w:lastRenderedPageBreak/>
        <w:t xml:space="preserve">However, the </w:t>
      </w:r>
      <w:r w:rsidR="006E0B78" w:rsidRPr="004A5974">
        <w:rPr>
          <w:sz w:val="22"/>
          <w:szCs w:val="22"/>
          <w:lang w:val="en-CA"/>
        </w:rPr>
        <w:t>president</w:t>
      </w:r>
      <w:r w:rsidRPr="004A5974">
        <w:rPr>
          <w:sz w:val="22"/>
          <w:szCs w:val="22"/>
          <w:lang w:val="en-CA"/>
        </w:rPr>
        <w:t xml:space="preserve"> and </w:t>
      </w:r>
      <w:r w:rsidR="006E0B78" w:rsidRPr="004A5974">
        <w:rPr>
          <w:sz w:val="22"/>
          <w:szCs w:val="22"/>
          <w:lang w:val="en-CA"/>
        </w:rPr>
        <w:t xml:space="preserve">group </w:t>
      </w:r>
      <w:r w:rsidRPr="004A5974">
        <w:rPr>
          <w:sz w:val="22"/>
          <w:szCs w:val="22"/>
          <w:lang w:val="en-CA"/>
        </w:rPr>
        <w:t>CEO of SMFG, Jun Ohta, had a different idea. His motto to all employees was “</w:t>
      </w:r>
      <w:r w:rsidR="00F1119C" w:rsidRPr="004A5974">
        <w:rPr>
          <w:sz w:val="22"/>
          <w:szCs w:val="22"/>
          <w:lang w:val="en-CA"/>
        </w:rPr>
        <w:t>Break the mo</w:t>
      </w:r>
      <w:r w:rsidR="00693368" w:rsidRPr="004A5974">
        <w:rPr>
          <w:sz w:val="22"/>
          <w:szCs w:val="22"/>
          <w:lang w:val="en-CA"/>
        </w:rPr>
        <w:t>u</w:t>
      </w:r>
      <w:r w:rsidR="00F1119C" w:rsidRPr="004A5974">
        <w:rPr>
          <w:sz w:val="22"/>
          <w:szCs w:val="22"/>
          <w:lang w:val="en-CA"/>
        </w:rPr>
        <w:t>ld</w:t>
      </w:r>
      <w:r w:rsidRPr="004A5974">
        <w:rPr>
          <w:sz w:val="22"/>
          <w:szCs w:val="22"/>
          <w:lang w:val="en-CA"/>
        </w:rPr>
        <w:t>”</w:t>
      </w:r>
      <w:r w:rsidR="00F1119C" w:rsidRPr="004A5974">
        <w:rPr>
          <w:sz w:val="22"/>
          <w:szCs w:val="22"/>
          <w:lang w:val="en-CA"/>
        </w:rPr>
        <w:t>—</w:t>
      </w:r>
      <w:r w:rsidRPr="004A5974">
        <w:rPr>
          <w:sz w:val="22"/>
          <w:szCs w:val="22"/>
          <w:lang w:val="en-CA"/>
        </w:rPr>
        <w:t>a motto that was repeated by Dana and that hung</w:t>
      </w:r>
      <w:r w:rsidR="006344D4" w:rsidRPr="004A5974">
        <w:rPr>
          <w:sz w:val="22"/>
          <w:szCs w:val="22"/>
          <w:lang w:val="en-CA"/>
        </w:rPr>
        <w:t>,</w:t>
      </w:r>
      <w:r w:rsidRPr="004A5974">
        <w:rPr>
          <w:sz w:val="22"/>
          <w:szCs w:val="22"/>
          <w:lang w:val="en-CA"/>
        </w:rPr>
        <w:t xml:space="preserve"> framed</w:t>
      </w:r>
      <w:r w:rsidR="006344D4" w:rsidRPr="004A5974">
        <w:rPr>
          <w:sz w:val="22"/>
          <w:szCs w:val="22"/>
          <w:lang w:val="en-CA"/>
        </w:rPr>
        <w:t>,</w:t>
      </w:r>
      <w:r w:rsidRPr="004A5974">
        <w:rPr>
          <w:sz w:val="22"/>
          <w:szCs w:val="22"/>
          <w:lang w:val="en-CA"/>
        </w:rPr>
        <w:t xml:space="preserve"> in his office. Jenius succeeded because it broke the </w:t>
      </w:r>
      <w:r w:rsidR="00B978E5" w:rsidRPr="004A5974">
        <w:rPr>
          <w:sz w:val="22"/>
          <w:szCs w:val="22"/>
          <w:lang w:val="en-CA"/>
        </w:rPr>
        <w:t>mould</w:t>
      </w:r>
      <w:r w:rsidRPr="004A5974">
        <w:rPr>
          <w:sz w:val="22"/>
          <w:szCs w:val="22"/>
          <w:lang w:val="en-CA"/>
        </w:rPr>
        <w:t xml:space="preserve"> with its unique innovative start-up culture. Starting from scratch without any legacy </w:t>
      </w:r>
      <w:r w:rsidR="00A6585C" w:rsidRPr="004A5974">
        <w:rPr>
          <w:sz w:val="22"/>
          <w:szCs w:val="22"/>
          <w:lang w:val="en-CA"/>
        </w:rPr>
        <w:t xml:space="preserve">had </w:t>
      </w:r>
      <w:r w:rsidRPr="004A5974">
        <w:rPr>
          <w:sz w:val="22"/>
          <w:szCs w:val="22"/>
          <w:lang w:val="en-CA"/>
        </w:rPr>
        <w:t>propelled Jenius forward, but there were challenges with this first-mover strategy that involved building a ship while sailing. Competition was increasing, and the larger banks were now moving faster</w:t>
      </w:r>
      <w:r w:rsidR="0032350E" w:rsidRPr="004A5974">
        <w:rPr>
          <w:sz w:val="22"/>
          <w:szCs w:val="22"/>
          <w:lang w:val="en-CA"/>
        </w:rPr>
        <w:t>,</w:t>
      </w:r>
      <w:r w:rsidRPr="004A5974">
        <w:rPr>
          <w:sz w:val="22"/>
          <w:szCs w:val="22"/>
          <w:lang w:val="en-CA"/>
        </w:rPr>
        <w:t xml:space="preserve"> with a larger customer base. Moreover, several </w:t>
      </w:r>
      <w:r w:rsidR="009D2E5A" w:rsidRPr="004A5974">
        <w:rPr>
          <w:sz w:val="22"/>
          <w:szCs w:val="22"/>
          <w:lang w:val="en-CA"/>
        </w:rPr>
        <w:t>super apps</w:t>
      </w:r>
      <w:r w:rsidRPr="004A5974">
        <w:rPr>
          <w:sz w:val="22"/>
          <w:szCs w:val="22"/>
          <w:lang w:val="en-CA"/>
        </w:rPr>
        <w:t xml:space="preserve"> with fintech partners had the advantage of having an interface with the customer when financial decisions</w:t>
      </w:r>
      <w:r w:rsidR="005F061A" w:rsidRPr="004A5974">
        <w:rPr>
          <w:sz w:val="22"/>
          <w:szCs w:val="22"/>
          <w:lang w:val="en-CA"/>
        </w:rPr>
        <w:t xml:space="preserve"> were </w:t>
      </w:r>
      <w:r w:rsidR="0032350E" w:rsidRPr="004A5974">
        <w:rPr>
          <w:sz w:val="22"/>
          <w:szCs w:val="22"/>
          <w:lang w:val="en-CA"/>
        </w:rPr>
        <w:t xml:space="preserve">being </w:t>
      </w:r>
      <w:r w:rsidR="005F061A" w:rsidRPr="004A5974">
        <w:rPr>
          <w:sz w:val="22"/>
          <w:szCs w:val="22"/>
          <w:lang w:val="en-CA"/>
        </w:rPr>
        <w:t>made</w:t>
      </w:r>
      <w:r w:rsidRPr="004A5974">
        <w:rPr>
          <w:sz w:val="22"/>
          <w:szCs w:val="22"/>
          <w:lang w:val="en-CA"/>
        </w:rPr>
        <w:t>.</w:t>
      </w:r>
    </w:p>
    <w:p w14:paraId="13961672" w14:textId="77777777" w:rsidR="00B546D6" w:rsidRPr="004A5974" w:rsidRDefault="00B546D6" w:rsidP="002505C3">
      <w:pPr>
        <w:jc w:val="both"/>
        <w:rPr>
          <w:sz w:val="22"/>
          <w:szCs w:val="22"/>
          <w:lang w:val="en-CA"/>
        </w:rPr>
      </w:pPr>
    </w:p>
    <w:p w14:paraId="2C183161" w14:textId="5C98AA20" w:rsidR="00B87DC0" w:rsidRPr="004A5974" w:rsidRDefault="00B546D6" w:rsidP="002505C3">
      <w:pPr>
        <w:pStyle w:val="BodyTextMain"/>
        <w:rPr>
          <w:lang w:val="en-CA"/>
        </w:rPr>
      </w:pPr>
      <w:r w:rsidRPr="004A5974">
        <w:rPr>
          <w:lang w:val="en-CA"/>
        </w:rPr>
        <w:t xml:space="preserve">Was the recently merged BTPN strong enough to scale Jenius on its own, or would it need to seek new partners? Was this phase really about a race to scale fast, or </w:t>
      </w:r>
      <w:r w:rsidR="006836A6" w:rsidRPr="004A5974">
        <w:rPr>
          <w:lang w:val="en-CA"/>
        </w:rPr>
        <w:t xml:space="preserve">was it </w:t>
      </w:r>
      <w:r w:rsidRPr="004A5974">
        <w:rPr>
          <w:lang w:val="en-CA"/>
        </w:rPr>
        <w:t>about creating unique products with the bottom-of-the-iceberg digital capabilities that competitors could not match? Should Dana capitalize on the digital capabilities to enter other business segments</w:t>
      </w:r>
      <w:r w:rsidR="00066884" w:rsidRPr="004A5974">
        <w:rPr>
          <w:lang w:val="en-CA"/>
        </w:rPr>
        <w:t>,</w:t>
      </w:r>
      <w:r w:rsidRPr="004A5974">
        <w:rPr>
          <w:lang w:val="en-CA"/>
        </w:rPr>
        <w:t xml:space="preserve"> such as</w:t>
      </w:r>
      <w:r w:rsidR="00397503" w:rsidRPr="004A5974">
        <w:rPr>
          <w:lang w:val="en-CA"/>
        </w:rPr>
        <w:t xml:space="preserve"> small and medium-sized enterprises</w:t>
      </w:r>
      <w:r w:rsidRPr="004A5974">
        <w:rPr>
          <w:lang w:val="en-CA"/>
        </w:rPr>
        <w:t xml:space="preserve">? Should he perhaps buy up </w:t>
      </w:r>
      <w:r w:rsidR="00F53E95" w:rsidRPr="004A5974">
        <w:rPr>
          <w:lang w:val="en-CA"/>
        </w:rPr>
        <w:t xml:space="preserve">fintech </w:t>
      </w:r>
      <w:r w:rsidRPr="004A5974">
        <w:rPr>
          <w:lang w:val="en-CA"/>
        </w:rPr>
        <w:t>competitors and integrate them with Jenius, or</w:t>
      </w:r>
      <w:r w:rsidR="00DF1A3D" w:rsidRPr="004A5974">
        <w:rPr>
          <w:lang w:val="en-CA"/>
        </w:rPr>
        <w:t xml:space="preserve"> </w:t>
      </w:r>
      <w:r w:rsidRPr="004A5974">
        <w:rPr>
          <w:lang w:val="en-CA"/>
        </w:rPr>
        <w:t xml:space="preserve">should he </w:t>
      </w:r>
      <w:r w:rsidR="00DF1A3D" w:rsidRPr="004A5974">
        <w:rPr>
          <w:lang w:val="en-CA"/>
        </w:rPr>
        <w:t>spin off</w:t>
      </w:r>
      <w:r w:rsidRPr="004A5974">
        <w:rPr>
          <w:lang w:val="en-CA"/>
        </w:rPr>
        <w:t xml:space="preserve"> Jenius as a separate entity</w:t>
      </w:r>
      <w:r w:rsidR="00DF1A3D" w:rsidRPr="004A5974">
        <w:rPr>
          <w:lang w:val="en-CA"/>
        </w:rPr>
        <w:t>,</w:t>
      </w:r>
      <w:r w:rsidRPr="004A5974">
        <w:rPr>
          <w:lang w:val="en-CA"/>
        </w:rPr>
        <w:t xml:space="preserve"> as he had done with the Islamic banking unit? </w:t>
      </w:r>
      <w:r w:rsidR="00C57C33" w:rsidRPr="004A5974">
        <w:rPr>
          <w:lang w:val="en-CA"/>
        </w:rPr>
        <w:t xml:space="preserve">Were </w:t>
      </w:r>
      <w:r w:rsidRPr="004A5974">
        <w:rPr>
          <w:lang w:val="en-CA"/>
        </w:rPr>
        <w:t xml:space="preserve">there other options that he </w:t>
      </w:r>
      <w:r w:rsidR="00C57C33" w:rsidRPr="004A5974">
        <w:rPr>
          <w:lang w:val="en-CA"/>
        </w:rPr>
        <w:t xml:space="preserve">could </w:t>
      </w:r>
      <w:r w:rsidRPr="004A5974">
        <w:rPr>
          <w:lang w:val="en-CA"/>
        </w:rPr>
        <w:t>consider?</w:t>
      </w:r>
      <w:r w:rsidR="00C34378" w:rsidRPr="004A5974">
        <w:rPr>
          <w:lang w:val="en-CA"/>
        </w:rPr>
        <w:t xml:space="preserve"> </w:t>
      </w:r>
      <w:r w:rsidRPr="004A5974">
        <w:rPr>
          <w:lang w:val="en-CA"/>
        </w:rPr>
        <w:t>What strategy should Dana propose to SMBC?</w:t>
      </w:r>
    </w:p>
    <w:p w14:paraId="72D6325A" w14:textId="0C1F5029" w:rsidR="00B546D6" w:rsidRPr="004A5974" w:rsidRDefault="00B546D6" w:rsidP="002505C3">
      <w:pPr>
        <w:pStyle w:val="BodyTextMain"/>
        <w:rPr>
          <w:lang w:val="en-CA"/>
        </w:rPr>
      </w:pPr>
    </w:p>
    <w:p w14:paraId="7953C4BC" w14:textId="3105C651" w:rsidR="00B546D6" w:rsidRPr="004A5974" w:rsidRDefault="00B546D6">
      <w:pPr>
        <w:spacing w:after="200" w:line="276" w:lineRule="auto"/>
        <w:rPr>
          <w:sz w:val="22"/>
          <w:szCs w:val="22"/>
          <w:lang w:val="en-CA"/>
        </w:rPr>
      </w:pPr>
      <w:r w:rsidRPr="004A5974">
        <w:rPr>
          <w:noProof/>
          <w:lang w:val="en-CA" w:eastAsia="en-CA"/>
        </w:rPr>
        <mc:AlternateContent>
          <mc:Choice Requires="wps">
            <w:drawing>
              <wp:anchor distT="45720" distB="45720" distL="114300" distR="114300" simplePos="0" relativeHeight="251659264" behindDoc="0" locked="0" layoutInCell="1" allowOverlap="1" wp14:anchorId="003A0243" wp14:editId="10964865">
                <wp:simplePos x="0" y="0"/>
                <wp:positionH relativeFrom="margin">
                  <wp:align>center</wp:align>
                </wp:positionH>
                <wp:positionV relativeFrom="paragraph">
                  <wp:posOffset>7620</wp:posOffset>
                </wp:positionV>
                <wp:extent cx="4667885" cy="1404620"/>
                <wp:effectExtent l="0" t="0" r="1841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885" cy="1404620"/>
                        </a:xfrm>
                        <a:prstGeom prst="rect">
                          <a:avLst/>
                        </a:prstGeom>
                        <a:solidFill>
                          <a:srgbClr val="FFFFFF"/>
                        </a:solidFill>
                        <a:ln w="9525">
                          <a:solidFill>
                            <a:srgbClr val="000000"/>
                          </a:solidFill>
                          <a:miter lim="800000"/>
                          <a:headEnd/>
                          <a:tailEnd/>
                        </a:ln>
                      </wps:spPr>
                      <wps:txbx>
                        <w:txbxContent>
                          <w:p w14:paraId="689936C4" w14:textId="0B9E8B36" w:rsidR="007A5998" w:rsidRDefault="007A5998" w:rsidP="00B546D6">
                            <w:pPr>
                              <w:pStyle w:val="Footnote"/>
                              <w:jc w:val="center"/>
                            </w:pPr>
                            <w:r w:rsidRPr="00491226">
                              <w:t>The authors gratefully acknowledge funding from the Singapore Ministry of Education Social Science Research Thematic Grant (MOE2017-SSRTG-022). Any opinions, findings, conclusions</w:t>
                            </w:r>
                            <w:r w:rsidR="0032350E">
                              <w:t>,</w:t>
                            </w:r>
                            <w:r w:rsidRPr="00491226">
                              <w:t xml:space="preserve"> or recommendations expressed in this material are those of the author(s) and do not reflect the views of the Singapore Ministry of Education or the </w:t>
                            </w:r>
                            <w:r>
                              <w:t xml:space="preserve">government of </w:t>
                            </w:r>
                            <w:r w:rsidRPr="00491226">
                              <w:t>Singapore.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3A0243" id="_x0000_t202" coordsize="21600,21600" o:spt="202" path="m,l,21600r21600,l21600,xe">
                <v:stroke joinstyle="miter"/>
                <v:path gradientshapeok="t" o:connecttype="rect"/>
              </v:shapetype>
              <v:shape id="Text Box 2" o:spid="_x0000_s1026" type="#_x0000_t202" style="position:absolute;margin-left:0;margin-top:.6pt;width:367.5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">
                <v:textbox style="mso-fit-shape-to-text:t">
                  <w:txbxContent>
                    <w:p w14:paraId="689936C4" w14:textId="0B9E8B36" w:rsidR="007A5998" w:rsidRDefault="007A5998" w:rsidP="00B546D6">
                      <w:pPr>
                        <w:pStyle w:val="Footnote"/>
                        <w:jc w:val="center"/>
                      </w:pPr>
                      <w:r w:rsidRPr="00491226">
                        <w:t>The authors gratefully acknowledge funding from the Singapore Ministry of Education Social Science Research Thematic Grant (MOE2017-SSRTG-022). Any opinions, findings, conclusions</w:t>
                      </w:r>
                      <w:r w:rsidR="0032350E">
                        <w:t>,</w:t>
                      </w:r>
                      <w:r w:rsidRPr="00491226">
                        <w:t xml:space="preserve"> or recommendations expressed in this material are those of the author(s) and do not reflect the views of the Singapore Ministry of Education or the </w:t>
                      </w:r>
                      <w:r>
                        <w:t xml:space="preserve">government of </w:t>
                      </w:r>
                      <w:r w:rsidRPr="00491226">
                        <w:t>Singapore.</w:t>
                      </w:r>
                    </w:p>
                  </w:txbxContent>
                </v:textbox>
                <w10:wrap type="square" anchorx="margin"/>
              </v:shape>
            </w:pict>
          </mc:Fallback>
        </mc:AlternateContent>
      </w:r>
      <w:r w:rsidRPr="004A5974">
        <w:rPr>
          <w:lang w:val="en-CA"/>
        </w:rPr>
        <w:br w:type="page"/>
      </w:r>
    </w:p>
    <w:p w14:paraId="5FF86B79" w14:textId="6FEAC3C9" w:rsidR="001E1B93" w:rsidRPr="004A5974" w:rsidRDefault="00B546D6" w:rsidP="00B546D6">
      <w:pPr>
        <w:pStyle w:val="ExhibitHeading"/>
        <w:rPr>
          <w:lang w:val="en-CA"/>
        </w:rPr>
      </w:pPr>
      <w:r w:rsidRPr="004A5974">
        <w:rPr>
          <w:lang w:val="en-CA"/>
        </w:rPr>
        <w:lastRenderedPageBreak/>
        <w:t>EXHIBIT 1</w:t>
      </w:r>
      <w:r w:rsidR="00CA482A" w:rsidRPr="004A5974">
        <w:rPr>
          <w:lang w:val="en-CA"/>
        </w:rPr>
        <w:t>:</w:t>
      </w:r>
      <w:r w:rsidRPr="004A5974">
        <w:rPr>
          <w:lang w:val="en-CA"/>
        </w:rPr>
        <w:t xml:space="preserve"> Financial Performance of </w:t>
      </w:r>
      <w:r w:rsidR="00E0168A" w:rsidRPr="004A5974">
        <w:rPr>
          <w:lang w:val="en-CA"/>
        </w:rPr>
        <w:t>PT Bank Tabungan Pensiunan Nasional</w:t>
      </w:r>
    </w:p>
    <w:p w14:paraId="6E3D5A1D" w14:textId="77777777" w:rsidR="00B546D6" w:rsidRPr="004A5974" w:rsidRDefault="00B546D6" w:rsidP="00B546D6">
      <w:pPr>
        <w:pStyle w:val="ExhibitText"/>
        <w:rPr>
          <w:lang w:val="en-CA"/>
        </w:rPr>
      </w:pPr>
    </w:p>
    <w:tbl>
      <w:tblPr>
        <w:tblW w:w="9445" w:type="dxa"/>
        <w:tblLayout w:type="fixed"/>
        <w:tblLook w:val="04A0" w:firstRow="1" w:lastRow="0" w:firstColumn="1" w:lastColumn="0" w:noHBand="0" w:noVBand="1"/>
      </w:tblPr>
      <w:tblGrid>
        <w:gridCol w:w="4315"/>
        <w:gridCol w:w="859"/>
        <w:gridCol w:w="1090"/>
        <w:gridCol w:w="1090"/>
        <w:gridCol w:w="1090"/>
        <w:gridCol w:w="1001"/>
      </w:tblGrid>
      <w:tr w:rsidR="00B546D6" w:rsidRPr="004A5974" w14:paraId="490A1638" w14:textId="77777777" w:rsidTr="004A5974">
        <w:trPr>
          <w:trHeight w:val="241"/>
        </w:trPr>
        <w:tc>
          <w:tcPr>
            <w:tcW w:w="43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B6F2FC" w14:textId="7B1F81E1" w:rsidR="00B546D6" w:rsidRPr="004A5974" w:rsidRDefault="00B546D6" w:rsidP="00B41BF2">
            <w:pPr>
              <w:jc w:val="center"/>
              <w:rPr>
                <w:rFonts w:ascii="Arial" w:hAnsi="Arial" w:cs="Arial"/>
                <w:color w:val="000000"/>
                <w:lang w:val="en-CA" w:eastAsia="en-GB"/>
              </w:rPr>
            </w:pPr>
          </w:p>
        </w:tc>
        <w:tc>
          <w:tcPr>
            <w:tcW w:w="859" w:type="dxa"/>
            <w:tcBorders>
              <w:top w:val="single" w:sz="4" w:space="0" w:color="auto"/>
              <w:left w:val="nil"/>
              <w:bottom w:val="single" w:sz="4" w:space="0" w:color="auto"/>
              <w:right w:val="single" w:sz="4" w:space="0" w:color="auto"/>
            </w:tcBorders>
            <w:shd w:val="clear" w:color="000000" w:fill="D9D9D9"/>
            <w:noWrap/>
            <w:vAlign w:val="bottom"/>
            <w:hideMark/>
          </w:tcPr>
          <w:p w14:paraId="7F948F79" w14:textId="77777777" w:rsidR="00B546D6" w:rsidRPr="004A5974" w:rsidRDefault="00B546D6" w:rsidP="00B41BF2">
            <w:pPr>
              <w:jc w:val="center"/>
              <w:rPr>
                <w:rFonts w:ascii="Arial" w:hAnsi="Arial" w:cs="Arial"/>
                <w:b/>
                <w:bCs/>
                <w:color w:val="000000"/>
                <w:lang w:val="en-CA" w:eastAsia="en-GB"/>
              </w:rPr>
            </w:pPr>
            <w:r w:rsidRPr="004A5974">
              <w:rPr>
                <w:rFonts w:ascii="Arial" w:hAnsi="Arial" w:cs="Arial"/>
                <w:b/>
                <w:bCs/>
                <w:color w:val="000000"/>
                <w:lang w:val="en-CA" w:eastAsia="en-GB"/>
              </w:rPr>
              <w:t>2015</w:t>
            </w:r>
          </w:p>
        </w:tc>
        <w:tc>
          <w:tcPr>
            <w:tcW w:w="1090" w:type="dxa"/>
            <w:tcBorders>
              <w:top w:val="single" w:sz="4" w:space="0" w:color="auto"/>
              <w:left w:val="nil"/>
              <w:bottom w:val="single" w:sz="4" w:space="0" w:color="auto"/>
              <w:right w:val="single" w:sz="4" w:space="0" w:color="auto"/>
            </w:tcBorders>
            <w:shd w:val="clear" w:color="000000" w:fill="D9D9D9"/>
            <w:noWrap/>
            <w:vAlign w:val="bottom"/>
            <w:hideMark/>
          </w:tcPr>
          <w:p w14:paraId="015124AC" w14:textId="77777777" w:rsidR="00B546D6" w:rsidRPr="004A5974" w:rsidRDefault="00B546D6" w:rsidP="00B41BF2">
            <w:pPr>
              <w:jc w:val="center"/>
              <w:rPr>
                <w:rFonts w:ascii="Arial" w:hAnsi="Arial" w:cs="Arial"/>
                <w:b/>
                <w:bCs/>
                <w:color w:val="000000"/>
                <w:lang w:val="en-CA" w:eastAsia="en-GB"/>
              </w:rPr>
            </w:pPr>
            <w:r w:rsidRPr="004A5974">
              <w:rPr>
                <w:rFonts w:ascii="Arial" w:hAnsi="Arial" w:cs="Arial"/>
                <w:b/>
                <w:bCs/>
                <w:color w:val="000000"/>
                <w:lang w:val="en-CA" w:eastAsia="en-GB"/>
              </w:rPr>
              <w:t>2016</w:t>
            </w:r>
          </w:p>
        </w:tc>
        <w:tc>
          <w:tcPr>
            <w:tcW w:w="1090" w:type="dxa"/>
            <w:tcBorders>
              <w:top w:val="single" w:sz="4" w:space="0" w:color="auto"/>
              <w:left w:val="nil"/>
              <w:bottom w:val="single" w:sz="4" w:space="0" w:color="auto"/>
              <w:right w:val="single" w:sz="4" w:space="0" w:color="auto"/>
            </w:tcBorders>
            <w:shd w:val="clear" w:color="000000" w:fill="D9D9D9"/>
            <w:noWrap/>
            <w:vAlign w:val="bottom"/>
            <w:hideMark/>
          </w:tcPr>
          <w:p w14:paraId="20F89CF3" w14:textId="77777777" w:rsidR="00B546D6" w:rsidRPr="004A5974" w:rsidRDefault="00B546D6" w:rsidP="00B41BF2">
            <w:pPr>
              <w:jc w:val="center"/>
              <w:rPr>
                <w:rFonts w:ascii="Arial" w:hAnsi="Arial" w:cs="Arial"/>
                <w:b/>
                <w:bCs/>
                <w:color w:val="000000"/>
                <w:lang w:val="en-CA" w:eastAsia="en-GB"/>
              </w:rPr>
            </w:pPr>
            <w:r w:rsidRPr="004A5974">
              <w:rPr>
                <w:rFonts w:ascii="Arial" w:hAnsi="Arial" w:cs="Arial"/>
                <w:b/>
                <w:bCs/>
                <w:color w:val="000000"/>
                <w:lang w:val="en-CA" w:eastAsia="en-GB"/>
              </w:rPr>
              <w:t>2017</w:t>
            </w:r>
          </w:p>
        </w:tc>
        <w:tc>
          <w:tcPr>
            <w:tcW w:w="1090" w:type="dxa"/>
            <w:tcBorders>
              <w:top w:val="single" w:sz="4" w:space="0" w:color="auto"/>
              <w:left w:val="nil"/>
              <w:bottom w:val="single" w:sz="4" w:space="0" w:color="auto"/>
              <w:right w:val="single" w:sz="4" w:space="0" w:color="auto"/>
            </w:tcBorders>
            <w:shd w:val="clear" w:color="000000" w:fill="D9D9D9"/>
            <w:noWrap/>
            <w:vAlign w:val="bottom"/>
            <w:hideMark/>
          </w:tcPr>
          <w:p w14:paraId="7CA9CE2C" w14:textId="77777777" w:rsidR="00B546D6" w:rsidRPr="004A5974" w:rsidRDefault="00B546D6" w:rsidP="00B41BF2">
            <w:pPr>
              <w:jc w:val="center"/>
              <w:rPr>
                <w:rFonts w:ascii="Arial" w:hAnsi="Arial" w:cs="Arial"/>
                <w:b/>
                <w:bCs/>
                <w:color w:val="000000"/>
                <w:lang w:val="en-CA" w:eastAsia="en-GB"/>
              </w:rPr>
            </w:pPr>
            <w:r w:rsidRPr="004A5974">
              <w:rPr>
                <w:rFonts w:ascii="Arial" w:hAnsi="Arial" w:cs="Arial"/>
                <w:b/>
                <w:bCs/>
                <w:color w:val="000000"/>
                <w:lang w:val="en-CA" w:eastAsia="en-GB"/>
              </w:rPr>
              <w:t>2018</w:t>
            </w:r>
          </w:p>
        </w:tc>
        <w:tc>
          <w:tcPr>
            <w:tcW w:w="1001" w:type="dxa"/>
            <w:tcBorders>
              <w:top w:val="single" w:sz="4" w:space="0" w:color="auto"/>
              <w:left w:val="nil"/>
              <w:bottom w:val="single" w:sz="4" w:space="0" w:color="auto"/>
              <w:right w:val="single" w:sz="4" w:space="0" w:color="auto"/>
            </w:tcBorders>
            <w:shd w:val="clear" w:color="000000" w:fill="D9D9D9"/>
            <w:noWrap/>
            <w:vAlign w:val="bottom"/>
            <w:hideMark/>
          </w:tcPr>
          <w:p w14:paraId="195766A9" w14:textId="77777777" w:rsidR="00B546D6" w:rsidRPr="004A5974" w:rsidRDefault="00B546D6" w:rsidP="00B41BF2">
            <w:pPr>
              <w:jc w:val="center"/>
              <w:rPr>
                <w:rFonts w:ascii="Arial" w:hAnsi="Arial" w:cs="Arial"/>
                <w:b/>
                <w:bCs/>
                <w:color w:val="000000"/>
                <w:lang w:val="en-CA" w:eastAsia="en-GB"/>
              </w:rPr>
            </w:pPr>
            <w:r w:rsidRPr="004A5974">
              <w:rPr>
                <w:rFonts w:ascii="Arial" w:hAnsi="Arial" w:cs="Arial"/>
                <w:b/>
                <w:bCs/>
                <w:color w:val="000000"/>
                <w:lang w:val="en-CA" w:eastAsia="en-GB"/>
              </w:rPr>
              <w:t>2019</w:t>
            </w:r>
          </w:p>
        </w:tc>
      </w:tr>
      <w:tr w:rsidR="00B546D6" w:rsidRPr="004A5974" w14:paraId="4E7C04FF" w14:textId="77777777" w:rsidTr="004A5974">
        <w:trPr>
          <w:trHeight w:val="241"/>
        </w:trPr>
        <w:tc>
          <w:tcPr>
            <w:tcW w:w="9445"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3033E5C" w14:textId="77777777" w:rsidR="00B546D6" w:rsidRPr="004A5974" w:rsidRDefault="00B546D6" w:rsidP="00B41BF2">
            <w:pPr>
              <w:rPr>
                <w:rFonts w:ascii="Arial" w:hAnsi="Arial" w:cs="Arial"/>
                <w:b/>
                <w:bCs/>
                <w:color w:val="000000"/>
                <w:lang w:val="en-CA" w:eastAsia="en-GB"/>
              </w:rPr>
            </w:pPr>
            <w:r w:rsidRPr="004A5974">
              <w:rPr>
                <w:rFonts w:ascii="Arial" w:hAnsi="Arial" w:cs="Arial"/>
                <w:b/>
                <w:bCs/>
                <w:color w:val="000000"/>
                <w:lang w:val="en-CA" w:eastAsia="en-GB"/>
              </w:rPr>
              <w:t>Consolidated Condensed Balance Sheet</w:t>
            </w:r>
          </w:p>
        </w:tc>
      </w:tr>
      <w:tr w:rsidR="00B546D6" w:rsidRPr="004A5974" w14:paraId="0DB84E20" w14:textId="77777777" w:rsidTr="004A5974">
        <w:trPr>
          <w:trHeight w:val="241"/>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06D87F9C" w14:textId="79C86C1B" w:rsidR="00B546D6" w:rsidRPr="004A5974" w:rsidRDefault="00B546D6" w:rsidP="00B41BF2">
            <w:pPr>
              <w:rPr>
                <w:rFonts w:ascii="Arial" w:hAnsi="Arial" w:cs="Arial"/>
                <w:color w:val="000000"/>
                <w:lang w:val="en-CA" w:eastAsia="en-GB"/>
              </w:rPr>
            </w:pPr>
            <w:r w:rsidRPr="004A5974">
              <w:rPr>
                <w:rFonts w:ascii="Arial" w:hAnsi="Arial" w:cs="Arial"/>
                <w:color w:val="000000"/>
                <w:lang w:val="en-CA" w:eastAsia="en-GB"/>
              </w:rPr>
              <w:t>Loans</w:t>
            </w:r>
            <w:r w:rsidR="002F7B19" w:rsidRPr="004A5974">
              <w:rPr>
                <w:rFonts w:ascii="Arial" w:hAnsi="Arial" w:cs="Arial"/>
                <w:color w:val="000000"/>
                <w:lang w:val="en-CA" w:eastAsia="en-GB"/>
              </w:rPr>
              <w:t>, Net</w:t>
            </w:r>
          </w:p>
        </w:tc>
        <w:tc>
          <w:tcPr>
            <w:tcW w:w="859" w:type="dxa"/>
            <w:tcBorders>
              <w:top w:val="nil"/>
              <w:left w:val="nil"/>
              <w:bottom w:val="single" w:sz="4" w:space="0" w:color="auto"/>
              <w:right w:val="single" w:sz="4" w:space="0" w:color="auto"/>
            </w:tcBorders>
            <w:shd w:val="clear" w:color="auto" w:fill="auto"/>
            <w:noWrap/>
            <w:vAlign w:val="bottom"/>
            <w:hideMark/>
          </w:tcPr>
          <w:p w14:paraId="3AA43666"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3,906</w:t>
            </w:r>
          </w:p>
        </w:tc>
        <w:tc>
          <w:tcPr>
            <w:tcW w:w="1090" w:type="dxa"/>
            <w:tcBorders>
              <w:top w:val="nil"/>
              <w:left w:val="nil"/>
              <w:bottom w:val="single" w:sz="4" w:space="0" w:color="auto"/>
              <w:right w:val="single" w:sz="4" w:space="0" w:color="auto"/>
            </w:tcBorders>
            <w:shd w:val="clear" w:color="auto" w:fill="auto"/>
            <w:noWrap/>
            <w:vAlign w:val="bottom"/>
            <w:hideMark/>
          </w:tcPr>
          <w:p w14:paraId="48C7BFC5"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4,138</w:t>
            </w:r>
          </w:p>
        </w:tc>
        <w:tc>
          <w:tcPr>
            <w:tcW w:w="1090" w:type="dxa"/>
            <w:tcBorders>
              <w:top w:val="nil"/>
              <w:left w:val="nil"/>
              <w:bottom w:val="single" w:sz="4" w:space="0" w:color="auto"/>
              <w:right w:val="single" w:sz="4" w:space="0" w:color="auto"/>
            </w:tcBorders>
            <w:shd w:val="clear" w:color="auto" w:fill="auto"/>
            <w:noWrap/>
            <w:vAlign w:val="bottom"/>
            <w:hideMark/>
          </w:tcPr>
          <w:p w14:paraId="3214C4CE"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4,218</w:t>
            </w:r>
          </w:p>
        </w:tc>
        <w:tc>
          <w:tcPr>
            <w:tcW w:w="1090" w:type="dxa"/>
            <w:tcBorders>
              <w:top w:val="nil"/>
              <w:left w:val="nil"/>
              <w:bottom w:val="single" w:sz="4" w:space="0" w:color="auto"/>
              <w:right w:val="single" w:sz="4" w:space="0" w:color="auto"/>
            </w:tcBorders>
            <w:shd w:val="clear" w:color="auto" w:fill="auto"/>
            <w:noWrap/>
            <w:vAlign w:val="bottom"/>
            <w:hideMark/>
          </w:tcPr>
          <w:p w14:paraId="61CEDD50"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4,329</w:t>
            </w:r>
          </w:p>
        </w:tc>
        <w:tc>
          <w:tcPr>
            <w:tcW w:w="1001" w:type="dxa"/>
            <w:tcBorders>
              <w:top w:val="nil"/>
              <w:left w:val="nil"/>
              <w:bottom w:val="single" w:sz="4" w:space="0" w:color="auto"/>
              <w:right w:val="single" w:sz="4" w:space="0" w:color="auto"/>
            </w:tcBorders>
            <w:shd w:val="clear" w:color="auto" w:fill="auto"/>
            <w:noWrap/>
            <w:vAlign w:val="bottom"/>
            <w:hideMark/>
          </w:tcPr>
          <w:p w14:paraId="580D3508"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9,443</w:t>
            </w:r>
          </w:p>
        </w:tc>
      </w:tr>
      <w:tr w:rsidR="00B546D6" w:rsidRPr="004A5974" w14:paraId="551C8E6D" w14:textId="77777777" w:rsidTr="004A5974">
        <w:trPr>
          <w:trHeight w:val="241"/>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7299C969" w14:textId="02C69864" w:rsidR="00B546D6" w:rsidRPr="004A5974" w:rsidRDefault="00B546D6" w:rsidP="00B41BF2">
            <w:pPr>
              <w:rPr>
                <w:rFonts w:ascii="Arial" w:hAnsi="Arial" w:cs="Arial"/>
                <w:color w:val="000000"/>
                <w:lang w:val="en-CA" w:eastAsia="en-GB"/>
              </w:rPr>
            </w:pPr>
            <w:r w:rsidRPr="004A5974">
              <w:rPr>
                <w:rFonts w:ascii="Arial" w:hAnsi="Arial" w:cs="Arial"/>
                <w:color w:val="000000"/>
                <w:lang w:val="en-CA" w:eastAsia="en-GB"/>
              </w:rPr>
              <w:t xml:space="preserve">Securities </w:t>
            </w:r>
            <w:r w:rsidR="002F7B19" w:rsidRPr="004A5974">
              <w:rPr>
                <w:rFonts w:ascii="Arial" w:hAnsi="Arial" w:cs="Arial"/>
                <w:color w:val="000000"/>
                <w:lang w:val="en-CA" w:eastAsia="en-GB"/>
              </w:rPr>
              <w:t>and Placements</w:t>
            </w:r>
          </w:p>
        </w:tc>
        <w:tc>
          <w:tcPr>
            <w:tcW w:w="859" w:type="dxa"/>
            <w:tcBorders>
              <w:top w:val="nil"/>
              <w:left w:val="nil"/>
              <w:bottom w:val="single" w:sz="4" w:space="0" w:color="auto"/>
              <w:right w:val="single" w:sz="4" w:space="0" w:color="auto"/>
            </w:tcBorders>
            <w:shd w:val="clear" w:color="auto" w:fill="auto"/>
            <w:noWrap/>
            <w:vAlign w:val="bottom"/>
            <w:hideMark/>
          </w:tcPr>
          <w:p w14:paraId="10D0AC4C"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1,136</w:t>
            </w:r>
          </w:p>
        </w:tc>
        <w:tc>
          <w:tcPr>
            <w:tcW w:w="1090" w:type="dxa"/>
            <w:tcBorders>
              <w:top w:val="nil"/>
              <w:left w:val="nil"/>
              <w:bottom w:val="single" w:sz="4" w:space="0" w:color="auto"/>
              <w:right w:val="single" w:sz="4" w:space="0" w:color="auto"/>
            </w:tcBorders>
            <w:shd w:val="clear" w:color="auto" w:fill="auto"/>
            <w:noWrap/>
            <w:vAlign w:val="bottom"/>
            <w:hideMark/>
          </w:tcPr>
          <w:p w14:paraId="306E897F"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1,310</w:t>
            </w:r>
          </w:p>
        </w:tc>
        <w:tc>
          <w:tcPr>
            <w:tcW w:w="1090" w:type="dxa"/>
            <w:tcBorders>
              <w:top w:val="nil"/>
              <w:left w:val="nil"/>
              <w:bottom w:val="single" w:sz="4" w:space="0" w:color="auto"/>
              <w:right w:val="single" w:sz="4" w:space="0" w:color="auto"/>
            </w:tcBorders>
            <w:shd w:val="clear" w:color="auto" w:fill="auto"/>
            <w:noWrap/>
            <w:vAlign w:val="bottom"/>
            <w:hideMark/>
          </w:tcPr>
          <w:p w14:paraId="1B9D9538"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1,452</w:t>
            </w:r>
          </w:p>
        </w:tc>
        <w:tc>
          <w:tcPr>
            <w:tcW w:w="1090" w:type="dxa"/>
            <w:tcBorders>
              <w:top w:val="nil"/>
              <w:left w:val="nil"/>
              <w:bottom w:val="single" w:sz="4" w:space="0" w:color="auto"/>
              <w:right w:val="single" w:sz="4" w:space="0" w:color="auto"/>
            </w:tcBorders>
            <w:shd w:val="clear" w:color="auto" w:fill="auto"/>
            <w:noWrap/>
            <w:vAlign w:val="bottom"/>
            <w:hideMark/>
          </w:tcPr>
          <w:p w14:paraId="07725525"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1,751</w:t>
            </w:r>
          </w:p>
        </w:tc>
        <w:tc>
          <w:tcPr>
            <w:tcW w:w="1001" w:type="dxa"/>
            <w:tcBorders>
              <w:top w:val="nil"/>
              <w:left w:val="nil"/>
              <w:bottom w:val="single" w:sz="4" w:space="0" w:color="auto"/>
              <w:right w:val="single" w:sz="4" w:space="0" w:color="auto"/>
            </w:tcBorders>
            <w:shd w:val="clear" w:color="auto" w:fill="auto"/>
            <w:noWrap/>
            <w:vAlign w:val="bottom"/>
            <w:hideMark/>
          </w:tcPr>
          <w:p w14:paraId="48393113"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2,101</w:t>
            </w:r>
          </w:p>
        </w:tc>
      </w:tr>
      <w:tr w:rsidR="00B546D6" w:rsidRPr="004A5974" w14:paraId="53F918CF" w14:textId="77777777" w:rsidTr="004A5974">
        <w:trPr>
          <w:trHeight w:val="241"/>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4390D459" w14:textId="17D0ED5A" w:rsidR="00B546D6" w:rsidRPr="004A5974" w:rsidRDefault="00B546D6" w:rsidP="00B41BF2">
            <w:pPr>
              <w:rPr>
                <w:rFonts w:ascii="Arial" w:hAnsi="Arial" w:cs="Arial"/>
                <w:color w:val="000000"/>
                <w:lang w:val="en-CA" w:eastAsia="en-GB"/>
              </w:rPr>
            </w:pPr>
            <w:r w:rsidRPr="004A5974">
              <w:rPr>
                <w:rFonts w:ascii="Arial" w:hAnsi="Arial" w:cs="Arial"/>
                <w:color w:val="000000"/>
                <w:lang w:val="en-CA" w:eastAsia="en-GB"/>
              </w:rPr>
              <w:t xml:space="preserve">Cash </w:t>
            </w:r>
            <w:r w:rsidR="002F7B19" w:rsidRPr="004A5974">
              <w:rPr>
                <w:rFonts w:ascii="Arial" w:hAnsi="Arial" w:cs="Arial"/>
                <w:color w:val="000000"/>
                <w:lang w:val="en-CA" w:eastAsia="en-GB"/>
              </w:rPr>
              <w:t>and Current Account</w:t>
            </w:r>
          </w:p>
        </w:tc>
        <w:tc>
          <w:tcPr>
            <w:tcW w:w="859" w:type="dxa"/>
            <w:tcBorders>
              <w:top w:val="nil"/>
              <w:left w:val="nil"/>
              <w:bottom w:val="single" w:sz="4" w:space="0" w:color="auto"/>
              <w:right w:val="single" w:sz="4" w:space="0" w:color="auto"/>
            </w:tcBorders>
            <w:shd w:val="clear" w:color="auto" w:fill="auto"/>
            <w:noWrap/>
            <w:vAlign w:val="bottom"/>
            <w:hideMark/>
          </w:tcPr>
          <w:p w14:paraId="262F31A0"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493</w:t>
            </w:r>
          </w:p>
        </w:tc>
        <w:tc>
          <w:tcPr>
            <w:tcW w:w="1090" w:type="dxa"/>
            <w:tcBorders>
              <w:top w:val="nil"/>
              <w:left w:val="nil"/>
              <w:bottom w:val="single" w:sz="4" w:space="0" w:color="auto"/>
              <w:right w:val="single" w:sz="4" w:space="0" w:color="auto"/>
            </w:tcBorders>
            <w:shd w:val="clear" w:color="auto" w:fill="auto"/>
            <w:noWrap/>
            <w:vAlign w:val="bottom"/>
            <w:hideMark/>
          </w:tcPr>
          <w:p w14:paraId="7B8F920D"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775</w:t>
            </w:r>
          </w:p>
        </w:tc>
        <w:tc>
          <w:tcPr>
            <w:tcW w:w="1090" w:type="dxa"/>
            <w:tcBorders>
              <w:top w:val="nil"/>
              <w:left w:val="nil"/>
              <w:bottom w:val="single" w:sz="4" w:space="0" w:color="auto"/>
              <w:right w:val="single" w:sz="4" w:space="0" w:color="auto"/>
            </w:tcBorders>
            <w:shd w:val="clear" w:color="auto" w:fill="auto"/>
            <w:noWrap/>
            <w:vAlign w:val="bottom"/>
            <w:hideMark/>
          </w:tcPr>
          <w:p w14:paraId="4DE2EF23"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843</w:t>
            </w:r>
          </w:p>
        </w:tc>
        <w:tc>
          <w:tcPr>
            <w:tcW w:w="1090" w:type="dxa"/>
            <w:tcBorders>
              <w:top w:val="nil"/>
              <w:left w:val="nil"/>
              <w:bottom w:val="single" w:sz="4" w:space="0" w:color="auto"/>
              <w:right w:val="single" w:sz="4" w:space="0" w:color="auto"/>
            </w:tcBorders>
            <w:shd w:val="clear" w:color="auto" w:fill="auto"/>
            <w:noWrap/>
            <w:vAlign w:val="bottom"/>
            <w:hideMark/>
          </w:tcPr>
          <w:p w14:paraId="15FCF9A5"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891</w:t>
            </w:r>
          </w:p>
        </w:tc>
        <w:tc>
          <w:tcPr>
            <w:tcW w:w="1001" w:type="dxa"/>
            <w:tcBorders>
              <w:top w:val="nil"/>
              <w:left w:val="nil"/>
              <w:bottom w:val="single" w:sz="4" w:space="0" w:color="auto"/>
              <w:right w:val="single" w:sz="4" w:space="0" w:color="auto"/>
            </w:tcBorders>
            <w:shd w:val="clear" w:color="auto" w:fill="auto"/>
            <w:noWrap/>
            <w:vAlign w:val="bottom"/>
            <w:hideMark/>
          </w:tcPr>
          <w:p w14:paraId="2501DFF2"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1,014</w:t>
            </w:r>
          </w:p>
        </w:tc>
      </w:tr>
      <w:tr w:rsidR="00B546D6" w:rsidRPr="004A5974" w14:paraId="537DD263" w14:textId="77777777" w:rsidTr="004A5974">
        <w:trPr>
          <w:trHeight w:val="241"/>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1639AB7F" w14:textId="25D54453" w:rsidR="00B546D6" w:rsidRPr="004A5974" w:rsidRDefault="00B546D6" w:rsidP="00B41BF2">
            <w:pPr>
              <w:rPr>
                <w:rFonts w:ascii="Arial" w:hAnsi="Arial" w:cs="Arial"/>
                <w:color w:val="000000"/>
                <w:lang w:val="en-CA" w:eastAsia="en-GB"/>
              </w:rPr>
            </w:pPr>
            <w:r w:rsidRPr="004A5974">
              <w:rPr>
                <w:rFonts w:ascii="Arial" w:hAnsi="Arial" w:cs="Arial"/>
                <w:color w:val="000000"/>
                <w:lang w:val="en-CA" w:eastAsia="en-GB"/>
              </w:rPr>
              <w:t xml:space="preserve">Other </w:t>
            </w:r>
            <w:r w:rsidR="002F7B19" w:rsidRPr="004A5974">
              <w:rPr>
                <w:rFonts w:ascii="Arial" w:hAnsi="Arial" w:cs="Arial"/>
                <w:color w:val="000000"/>
                <w:lang w:val="en-CA" w:eastAsia="en-GB"/>
              </w:rPr>
              <w:t>Assets</w:t>
            </w:r>
          </w:p>
        </w:tc>
        <w:tc>
          <w:tcPr>
            <w:tcW w:w="859" w:type="dxa"/>
            <w:tcBorders>
              <w:top w:val="nil"/>
              <w:left w:val="nil"/>
              <w:bottom w:val="single" w:sz="4" w:space="0" w:color="auto"/>
              <w:right w:val="single" w:sz="4" w:space="0" w:color="auto"/>
            </w:tcBorders>
            <w:shd w:val="clear" w:color="auto" w:fill="auto"/>
            <w:noWrap/>
            <w:vAlign w:val="bottom"/>
            <w:hideMark/>
          </w:tcPr>
          <w:p w14:paraId="3D74E900"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230</w:t>
            </w:r>
          </w:p>
        </w:tc>
        <w:tc>
          <w:tcPr>
            <w:tcW w:w="1090" w:type="dxa"/>
            <w:tcBorders>
              <w:top w:val="nil"/>
              <w:left w:val="nil"/>
              <w:bottom w:val="single" w:sz="4" w:space="0" w:color="auto"/>
              <w:right w:val="single" w:sz="4" w:space="0" w:color="auto"/>
            </w:tcBorders>
            <w:shd w:val="clear" w:color="auto" w:fill="auto"/>
            <w:noWrap/>
            <w:vAlign w:val="bottom"/>
            <w:hideMark/>
          </w:tcPr>
          <w:p w14:paraId="491B71E0"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276</w:t>
            </w:r>
          </w:p>
        </w:tc>
        <w:tc>
          <w:tcPr>
            <w:tcW w:w="1090" w:type="dxa"/>
            <w:tcBorders>
              <w:top w:val="nil"/>
              <w:left w:val="nil"/>
              <w:bottom w:val="single" w:sz="4" w:space="0" w:color="auto"/>
              <w:right w:val="single" w:sz="4" w:space="0" w:color="auto"/>
            </w:tcBorders>
            <w:shd w:val="clear" w:color="auto" w:fill="auto"/>
            <w:noWrap/>
            <w:vAlign w:val="bottom"/>
            <w:hideMark/>
          </w:tcPr>
          <w:p w14:paraId="3CEC8627"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279</w:t>
            </w:r>
          </w:p>
        </w:tc>
        <w:tc>
          <w:tcPr>
            <w:tcW w:w="1090" w:type="dxa"/>
            <w:tcBorders>
              <w:top w:val="nil"/>
              <w:left w:val="nil"/>
              <w:bottom w:val="single" w:sz="4" w:space="0" w:color="auto"/>
              <w:right w:val="single" w:sz="4" w:space="0" w:color="auto"/>
            </w:tcBorders>
            <w:shd w:val="clear" w:color="auto" w:fill="auto"/>
            <w:noWrap/>
            <w:vAlign w:val="bottom"/>
            <w:hideMark/>
          </w:tcPr>
          <w:p w14:paraId="58E34F99"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279</w:t>
            </w:r>
          </w:p>
        </w:tc>
        <w:tc>
          <w:tcPr>
            <w:tcW w:w="1001" w:type="dxa"/>
            <w:tcBorders>
              <w:top w:val="nil"/>
              <w:left w:val="nil"/>
              <w:bottom w:val="single" w:sz="4" w:space="0" w:color="auto"/>
              <w:right w:val="single" w:sz="4" w:space="0" w:color="auto"/>
            </w:tcBorders>
            <w:shd w:val="clear" w:color="auto" w:fill="auto"/>
            <w:noWrap/>
            <w:vAlign w:val="bottom"/>
            <w:hideMark/>
          </w:tcPr>
          <w:p w14:paraId="23717AB9"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361</w:t>
            </w:r>
          </w:p>
        </w:tc>
      </w:tr>
      <w:tr w:rsidR="00B546D6" w:rsidRPr="004A5974" w14:paraId="59404D78" w14:textId="77777777" w:rsidTr="004A5974">
        <w:trPr>
          <w:trHeight w:val="241"/>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1CFD0F3C" w14:textId="1580463C" w:rsidR="00B546D6" w:rsidRPr="004A5974" w:rsidRDefault="00B546D6" w:rsidP="00B41BF2">
            <w:pPr>
              <w:rPr>
                <w:rFonts w:ascii="Arial" w:hAnsi="Arial" w:cs="Arial"/>
                <w:color w:val="000000"/>
                <w:lang w:val="en-CA" w:eastAsia="en-GB"/>
              </w:rPr>
            </w:pPr>
            <w:r w:rsidRPr="004A5974">
              <w:rPr>
                <w:rFonts w:ascii="Arial" w:hAnsi="Arial" w:cs="Arial"/>
                <w:color w:val="000000"/>
                <w:lang w:val="en-CA" w:eastAsia="en-GB"/>
              </w:rPr>
              <w:t xml:space="preserve">Total </w:t>
            </w:r>
            <w:r w:rsidR="002F7B19" w:rsidRPr="004A5974">
              <w:rPr>
                <w:rFonts w:ascii="Arial" w:hAnsi="Arial" w:cs="Arial"/>
                <w:color w:val="000000"/>
                <w:lang w:val="en-CA" w:eastAsia="en-GB"/>
              </w:rPr>
              <w:t>Assets</w:t>
            </w:r>
          </w:p>
        </w:tc>
        <w:tc>
          <w:tcPr>
            <w:tcW w:w="859" w:type="dxa"/>
            <w:tcBorders>
              <w:top w:val="nil"/>
              <w:left w:val="nil"/>
              <w:bottom w:val="single" w:sz="4" w:space="0" w:color="auto"/>
              <w:right w:val="single" w:sz="4" w:space="0" w:color="auto"/>
            </w:tcBorders>
            <w:shd w:val="clear" w:color="auto" w:fill="auto"/>
            <w:noWrap/>
            <w:vAlign w:val="bottom"/>
            <w:hideMark/>
          </w:tcPr>
          <w:p w14:paraId="333E4086"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5,764</w:t>
            </w:r>
          </w:p>
        </w:tc>
        <w:tc>
          <w:tcPr>
            <w:tcW w:w="1090" w:type="dxa"/>
            <w:tcBorders>
              <w:top w:val="nil"/>
              <w:left w:val="nil"/>
              <w:bottom w:val="single" w:sz="4" w:space="0" w:color="auto"/>
              <w:right w:val="single" w:sz="4" w:space="0" w:color="auto"/>
            </w:tcBorders>
            <w:shd w:val="clear" w:color="auto" w:fill="auto"/>
            <w:noWrap/>
            <w:vAlign w:val="bottom"/>
            <w:hideMark/>
          </w:tcPr>
          <w:p w14:paraId="763E1258"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6,499</w:t>
            </w:r>
          </w:p>
        </w:tc>
        <w:tc>
          <w:tcPr>
            <w:tcW w:w="1090" w:type="dxa"/>
            <w:tcBorders>
              <w:top w:val="nil"/>
              <w:left w:val="nil"/>
              <w:bottom w:val="single" w:sz="4" w:space="0" w:color="auto"/>
              <w:right w:val="single" w:sz="4" w:space="0" w:color="auto"/>
            </w:tcBorders>
            <w:shd w:val="clear" w:color="auto" w:fill="auto"/>
            <w:noWrap/>
            <w:vAlign w:val="bottom"/>
            <w:hideMark/>
          </w:tcPr>
          <w:p w14:paraId="4652A69D"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6,792</w:t>
            </w:r>
          </w:p>
        </w:tc>
        <w:tc>
          <w:tcPr>
            <w:tcW w:w="1090" w:type="dxa"/>
            <w:tcBorders>
              <w:top w:val="nil"/>
              <w:left w:val="nil"/>
              <w:bottom w:val="single" w:sz="4" w:space="0" w:color="auto"/>
              <w:right w:val="single" w:sz="4" w:space="0" w:color="auto"/>
            </w:tcBorders>
            <w:shd w:val="clear" w:color="auto" w:fill="auto"/>
            <w:noWrap/>
            <w:vAlign w:val="bottom"/>
            <w:hideMark/>
          </w:tcPr>
          <w:p w14:paraId="6BCEBD8F"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7,250</w:t>
            </w:r>
          </w:p>
        </w:tc>
        <w:tc>
          <w:tcPr>
            <w:tcW w:w="1001" w:type="dxa"/>
            <w:tcBorders>
              <w:top w:val="nil"/>
              <w:left w:val="nil"/>
              <w:bottom w:val="single" w:sz="4" w:space="0" w:color="auto"/>
              <w:right w:val="single" w:sz="4" w:space="0" w:color="auto"/>
            </w:tcBorders>
            <w:shd w:val="clear" w:color="auto" w:fill="auto"/>
            <w:noWrap/>
            <w:vAlign w:val="bottom"/>
            <w:hideMark/>
          </w:tcPr>
          <w:p w14:paraId="754AFFB2"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12,919</w:t>
            </w:r>
          </w:p>
        </w:tc>
      </w:tr>
      <w:tr w:rsidR="00B546D6" w:rsidRPr="004A5974" w14:paraId="1AFB5F3C" w14:textId="77777777" w:rsidTr="004A5974">
        <w:trPr>
          <w:trHeight w:val="241"/>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12E8CD89" w14:textId="1D0A5688" w:rsidR="00B546D6" w:rsidRPr="004A5974" w:rsidRDefault="002F7B19" w:rsidP="00B41BF2">
            <w:pPr>
              <w:rPr>
                <w:rFonts w:ascii="Arial" w:hAnsi="Arial" w:cs="Arial"/>
                <w:color w:val="000000"/>
                <w:lang w:val="en-CA" w:eastAsia="en-GB"/>
              </w:rPr>
            </w:pPr>
            <w:r w:rsidRPr="004A5974">
              <w:rPr>
                <w:rFonts w:ascii="Arial" w:hAnsi="Arial" w:cs="Arial"/>
                <w:color w:val="000000"/>
                <w:lang w:val="en-CA" w:eastAsia="en-GB"/>
              </w:rPr>
              <w:t>Third-Party Funds</w:t>
            </w:r>
          </w:p>
        </w:tc>
        <w:tc>
          <w:tcPr>
            <w:tcW w:w="859" w:type="dxa"/>
            <w:tcBorders>
              <w:top w:val="nil"/>
              <w:left w:val="nil"/>
              <w:bottom w:val="single" w:sz="4" w:space="0" w:color="auto"/>
              <w:right w:val="single" w:sz="4" w:space="0" w:color="auto"/>
            </w:tcBorders>
            <w:shd w:val="clear" w:color="auto" w:fill="auto"/>
            <w:noWrap/>
            <w:vAlign w:val="bottom"/>
            <w:hideMark/>
          </w:tcPr>
          <w:p w14:paraId="0821CB8D"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4,667</w:t>
            </w:r>
          </w:p>
        </w:tc>
        <w:tc>
          <w:tcPr>
            <w:tcW w:w="1090" w:type="dxa"/>
            <w:tcBorders>
              <w:top w:val="nil"/>
              <w:left w:val="nil"/>
              <w:bottom w:val="single" w:sz="4" w:space="0" w:color="auto"/>
              <w:right w:val="single" w:sz="4" w:space="0" w:color="auto"/>
            </w:tcBorders>
            <w:shd w:val="clear" w:color="auto" w:fill="auto"/>
            <w:noWrap/>
            <w:vAlign w:val="bottom"/>
            <w:hideMark/>
          </w:tcPr>
          <w:p w14:paraId="138A9E57"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5,213</w:t>
            </w:r>
          </w:p>
        </w:tc>
        <w:tc>
          <w:tcPr>
            <w:tcW w:w="1090" w:type="dxa"/>
            <w:tcBorders>
              <w:top w:val="nil"/>
              <w:left w:val="nil"/>
              <w:bottom w:val="single" w:sz="4" w:space="0" w:color="auto"/>
              <w:right w:val="single" w:sz="4" w:space="0" w:color="auto"/>
            </w:tcBorders>
            <w:shd w:val="clear" w:color="auto" w:fill="auto"/>
            <w:noWrap/>
            <w:vAlign w:val="bottom"/>
            <w:hideMark/>
          </w:tcPr>
          <w:p w14:paraId="47E93956"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5,441</w:t>
            </w:r>
          </w:p>
        </w:tc>
        <w:tc>
          <w:tcPr>
            <w:tcW w:w="1090" w:type="dxa"/>
            <w:tcBorders>
              <w:top w:val="nil"/>
              <w:left w:val="nil"/>
              <w:bottom w:val="single" w:sz="4" w:space="0" w:color="auto"/>
              <w:right w:val="single" w:sz="4" w:space="0" w:color="auto"/>
            </w:tcBorders>
            <w:shd w:val="clear" w:color="auto" w:fill="auto"/>
            <w:noWrap/>
            <w:vAlign w:val="bottom"/>
            <w:hideMark/>
          </w:tcPr>
          <w:p w14:paraId="594967E4"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5,734</w:t>
            </w:r>
          </w:p>
        </w:tc>
        <w:tc>
          <w:tcPr>
            <w:tcW w:w="1001" w:type="dxa"/>
            <w:tcBorders>
              <w:top w:val="nil"/>
              <w:left w:val="nil"/>
              <w:bottom w:val="single" w:sz="4" w:space="0" w:color="auto"/>
              <w:right w:val="single" w:sz="4" w:space="0" w:color="auto"/>
            </w:tcBorders>
            <w:shd w:val="clear" w:color="auto" w:fill="auto"/>
            <w:noWrap/>
            <w:vAlign w:val="bottom"/>
            <w:hideMark/>
          </w:tcPr>
          <w:p w14:paraId="702372E3"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9,945</w:t>
            </w:r>
          </w:p>
        </w:tc>
      </w:tr>
      <w:tr w:rsidR="00B546D6" w:rsidRPr="004A5974" w14:paraId="74AEA06D" w14:textId="77777777" w:rsidTr="004A5974">
        <w:trPr>
          <w:trHeight w:val="241"/>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8814283" w14:textId="71958EA3" w:rsidR="00B546D6" w:rsidRPr="004A5974" w:rsidRDefault="00B546D6" w:rsidP="00B41BF2">
            <w:pPr>
              <w:rPr>
                <w:rFonts w:ascii="Arial" w:hAnsi="Arial" w:cs="Arial"/>
                <w:color w:val="000000"/>
                <w:lang w:val="en-CA" w:eastAsia="en-GB"/>
              </w:rPr>
            </w:pPr>
            <w:r w:rsidRPr="004A5974">
              <w:rPr>
                <w:rFonts w:ascii="Arial" w:hAnsi="Arial" w:cs="Arial"/>
                <w:color w:val="000000"/>
                <w:lang w:val="en-CA" w:eastAsia="en-GB"/>
              </w:rPr>
              <w:t xml:space="preserve">Other </w:t>
            </w:r>
            <w:r w:rsidR="002F7B19" w:rsidRPr="004A5974">
              <w:rPr>
                <w:rFonts w:ascii="Arial" w:hAnsi="Arial" w:cs="Arial"/>
                <w:color w:val="000000"/>
                <w:lang w:val="en-CA" w:eastAsia="en-GB"/>
              </w:rPr>
              <w:t>Liabilities</w:t>
            </w:r>
          </w:p>
        </w:tc>
        <w:tc>
          <w:tcPr>
            <w:tcW w:w="859" w:type="dxa"/>
            <w:tcBorders>
              <w:top w:val="nil"/>
              <w:left w:val="nil"/>
              <w:bottom w:val="single" w:sz="4" w:space="0" w:color="auto"/>
              <w:right w:val="single" w:sz="4" w:space="0" w:color="auto"/>
            </w:tcBorders>
            <w:shd w:val="clear" w:color="auto" w:fill="auto"/>
            <w:noWrap/>
            <w:vAlign w:val="bottom"/>
            <w:hideMark/>
          </w:tcPr>
          <w:p w14:paraId="51E15A87"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107</w:t>
            </w:r>
          </w:p>
        </w:tc>
        <w:tc>
          <w:tcPr>
            <w:tcW w:w="1090" w:type="dxa"/>
            <w:tcBorders>
              <w:top w:val="nil"/>
              <w:left w:val="nil"/>
              <w:bottom w:val="single" w:sz="4" w:space="0" w:color="auto"/>
              <w:right w:val="single" w:sz="4" w:space="0" w:color="auto"/>
            </w:tcBorders>
            <w:shd w:val="clear" w:color="auto" w:fill="auto"/>
            <w:noWrap/>
            <w:vAlign w:val="bottom"/>
            <w:hideMark/>
          </w:tcPr>
          <w:p w14:paraId="4D5ADD0F"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126</w:t>
            </w:r>
          </w:p>
        </w:tc>
        <w:tc>
          <w:tcPr>
            <w:tcW w:w="1090" w:type="dxa"/>
            <w:tcBorders>
              <w:top w:val="nil"/>
              <w:left w:val="nil"/>
              <w:bottom w:val="single" w:sz="4" w:space="0" w:color="auto"/>
              <w:right w:val="single" w:sz="4" w:space="0" w:color="auto"/>
            </w:tcBorders>
            <w:shd w:val="clear" w:color="auto" w:fill="auto"/>
            <w:noWrap/>
            <w:vAlign w:val="bottom"/>
            <w:hideMark/>
          </w:tcPr>
          <w:p w14:paraId="31DF777E"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128</w:t>
            </w:r>
          </w:p>
        </w:tc>
        <w:tc>
          <w:tcPr>
            <w:tcW w:w="1090" w:type="dxa"/>
            <w:tcBorders>
              <w:top w:val="nil"/>
              <w:left w:val="nil"/>
              <w:bottom w:val="single" w:sz="4" w:space="0" w:color="auto"/>
              <w:right w:val="single" w:sz="4" w:space="0" w:color="auto"/>
            </w:tcBorders>
            <w:shd w:val="clear" w:color="auto" w:fill="auto"/>
            <w:noWrap/>
            <w:vAlign w:val="bottom"/>
            <w:hideMark/>
          </w:tcPr>
          <w:p w14:paraId="64F7FDF4"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138</w:t>
            </w:r>
          </w:p>
        </w:tc>
        <w:tc>
          <w:tcPr>
            <w:tcW w:w="1001" w:type="dxa"/>
            <w:tcBorders>
              <w:top w:val="nil"/>
              <w:left w:val="nil"/>
              <w:bottom w:val="single" w:sz="4" w:space="0" w:color="auto"/>
              <w:right w:val="single" w:sz="4" w:space="0" w:color="auto"/>
            </w:tcBorders>
            <w:shd w:val="clear" w:color="auto" w:fill="auto"/>
            <w:noWrap/>
            <w:vAlign w:val="bottom"/>
            <w:hideMark/>
          </w:tcPr>
          <w:p w14:paraId="18D66A09"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736</w:t>
            </w:r>
          </w:p>
        </w:tc>
      </w:tr>
      <w:tr w:rsidR="00B546D6" w:rsidRPr="004A5974" w14:paraId="040EC3BE" w14:textId="77777777" w:rsidTr="004A5974">
        <w:trPr>
          <w:trHeight w:val="241"/>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6A4D6889" w14:textId="0E2EE82E" w:rsidR="00B546D6" w:rsidRPr="004A5974" w:rsidRDefault="00B546D6" w:rsidP="00B41BF2">
            <w:pPr>
              <w:rPr>
                <w:rFonts w:ascii="Arial" w:hAnsi="Arial" w:cs="Arial"/>
                <w:color w:val="000000"/>
                <w:lang w:val="en-CA" w:eastAsia="en-GB"/>
              </w:rPr>
            </w:pPr>
            <w:r w:rsidRPr="004A5974">
              <w:rPr>
                <w:rFonts w:ascii="Arial" w:hAnsi="Arial" w:cs="Arial"/>
                <w:color w:val="000000"/>
                <w:lang w:val="en-CA" w:eastAsia="en-GB"/>
              </w:rPr>
              <w:t xml:space="preserve">Total </w:t>
            </w:r>
            <w:r w:rsidR="002F7B19" w:rsidRPr="004A5974">
              <w:rPr>
                <w:rFonts w:ascii="Arial" w:hAnsi="Arial" w:cs="Arial"/>
                <w:color w:val="000000"/>
                <w:lang w:val="en-CA" w:eastAsia="en-GB"/>
              </w:rPr>
              <w:t>Liabilities</w:t>
            </w:r>
          </w:p>
        </w:tc>
        <w:tc>
          <w:tcPr>
            <w:tcW w:w="859" w:type="dxa"/>
            <w:tcBorders>
              <w:top w:val="nil"/>
              <w:left w:val="nil"/>
              <w:bottom w:val="single" w:sz="4" w:space="0" w:color="auto"/>
              <w:right w:val="single" w:sz="4" w:space="0" w:color="auto"/>
            </w:tcBorders>
            <w:shd w:val="clear" w:color="auto" w:fill="auto"/>
            <w:noWrap/>
            <w:vAlign w:val="bottom"/>
            <w:hideMark/>
          </w:tcPr>
          <w:p w14:paraId="36B04230"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4,774</w:t>
            </w:r>
          </w:p>
        </w:tc>
        <w:tc>
          <w:tcPr>
            <w:tcW w:w="1090" w:type="dxa"/>
            <w:tcBorders>
              <w:top w:val="nil"/>
              <w:left w:val="nil"/>
              <w:bottom w:val="single" w:sz="4" w:space="0" w:color="auto"/>
              <w:right w:val="single" w:sz="4" w:space="0" w:color="auto"/>
            </w:tcBorders>
            <w:shd w:val="clear" w:color="auto" w:fill="auto"/>
            <w:noWrap/>
            <w:vAlign w:val="bottom"/>
            <w:hideMark/>
          </w:tcPr>
          <w:p w14:paraId="22E7ECED"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5,339</w:t>
            </w:r>
          </w:p>
        </w:tc>
        <w:tc>
          <w:tcPr>
            <w:tcW w:w="1090" w:type="dxa"/>
            <w:tcBorders>
              <w:top w:val="nil"/>
              <w:left w:val="nil"/>
              <w:bottom w:val="single" w:sz="4" w:space="0" w:color="auto"/>
              <w:right w:val="single" w:sz="4" w:space="0" w:color="auto"/>
            </w:tcBorders>
            <w:shd w:val="clear" w:color="auto" w:fill="auto"/>
            <w:noWrap/>
            <w:vAlign w:val="bottom"/>
            <w:hideMark/>
          </w:tcPr>
          <w:p w14:paraId="3679107F"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5,569</w:t>
            </w:r>
          </w:p>
        </w:tc>
        <w:tc>
          <w:tcPr>
            <w:tcW w:w="1090" w:type="dxa"/>
            <w:tcBorders>
              <w:top w:val="nil"/>
              <w:left w:val="nil"/>
              <w:bottom w:val="single" w:sz="4" w:space="0" w:color="auto"/>
              <w:right w:val="single" w:sz="4" w:space="0" w:color="auto"/>
            </w:tcBorders>
            <w:shd w:val="clear" w:color="auto" w:fill="auto"/>
            <w:noWrap/>
            <w:vAlign w:val="bottom"/>
            <w:hideMark/>
          </w:tcPr>
          <w:p w14:paraId="5D7AAE27"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5,872</w:t>
            </w:r>
          </w:p>
        </w:tc>
        <w:tc>
          <w:tcPr>
            <w:tcW w:w="1001" w:type="dxa"/>
            <w:tcBorders>
              <w:top w:val="nil"/>
              <w:left w:val="nil"/>
              <w:bottom w:val="single" w:sz="4" w:space="0" w:color="auto"/>
              <w:right w:val="single" w:sz="4" w:space="0" w:color="auto"/>
            </w:tcBorders>
            <w:shd w:val="clear" w:color="auto" w:fill="auto"/>
            <w:noWrap/>
            <w:vAlign w:val="bottom"/>
            <w:hideMark/>
          </w:tcPr>
          <w:p w14:paraId="4677FC16"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10,681</w:t>
            </w:r>
          </w:p>
        </w:tc>
      </w:tr>
      <w:tr w:rsidR="00B546D6" w:rsidRPr="004A5974" w14:paraId="5327EF80" w14:textId="77777777" w:rsidTr="004A5974">
        <w:trPr>
          <w:trHeight w:val="241"/>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45780B24" w14:textId="34A51135" w:rsidR="00B546D6" w:rsidRPr="004A5974" w:rsidRDefault="00B546D6" w:rsidP="00B41BF2">
            <w:pPr>
              <w:rPr>
                <w:rFonts w:ascii="Arial" w:hAnsi="Arial" w:cs="Arial"/>
                <w:color w:val="000000"/>
                <w:lang w:val="en-CA" w:eastAsia="en-GB"/>
              </w:rPr>
            </w:pPr>
            <w:r w:rsidRPr="004A5974">
              <w:rPr>
                <w:rFonts w:ascii="Arial" w:hAnsi="Arial" w:cs="Arial"/>
                <w:color w:val="000000"/>
                <w:lang w:val="en-CA" w:eastAsia="en-GB"/>
              </w:rPr>
              <w:t xml:space="preserve">Total </w:t>
            </w:r>
            <w:r w:rsidR="002F7B19" w:rsidRPr="004A5974">
              <w:rPr>
                <w:rFonts w:ascii="Arial" w:hAnsi="Arial" w:cs="Arial"/>
                <w:color w:val="000000"/>
                <w:lang w:val="en-CA" w:eastAsia="en-GB"/>
              </w:rPr>
              <w:t>Equity</w:t>
            </w:r>
          </w:p>
        </w:tc>
        <w:tc>
          <w:tcPr>
            <w:tcW w:w="859" w:type="dxa"/>
            <w:tcBorders>
              <w:top w:val="nil"/>
              <w:left w:val="nil"/>
              <w:bottom w:val="single" w:sz="4" w:space="0" w:color="auto"/>
              <w:right w:val="single" w:sz="4" w:space="0" w:color="auto"/>
            </w:tcBorders>
            <w:shd w:val="clear" w:color="auto" w:fill="auto"/>
            <w:noWrap/>
            <w:vAlign w:val="bottom"/>
            <w:hideMark/>
          </w:tcPr>
          <w:p w14:paraId="295049FB"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990</w:t>
            </w:r>
          </w:p>
        </w:tc>
        <w:tc>
          <w:tcPr>
            <w:tcW w:w="1090" w:type="dxa"/>
            <w:tcBorders>
              <w:top w:val="nil"/>
              <w:left w:val="nil"/>
              <w:bottom w:val="single" w:sz="4" w:space="0" w:color="auto"/>
              <w:right w:val="single" w:sz="4" w:space="0" w:color="auto"/>
            </w:tcBorders>
            <w:shd w:val="clear" w:color="auto" w:fill="auto"/>
            <w:noWrap/>
            <w:vAlign w:val="bottom"/>
            <w:hideMark/>
          </w:tcPr>
          <w:p w14:paraId="0832FD3A"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1,160</w:t>
            </w:r>
          </w:p>
        </w:tc>
        <w:tc>
          <w:tcPr>
            <w:tcW w:w="1090" w:type="dxa"/>
            <w:tcBorders>
              <w:top w:val="nil"/>
              <w:left w:val="nil"/>
              <w:bottom w:val="single" w:sz="4" w:space="0" w:color="auto"/>
              <w:right w:val="single" w:sz="4" w:space="0" w:color="auto"/>
            </w:tcBorders>
            <w:shd w:val="clear" w:color="auto" w:fill="auto"/>
            <w:noWrap/>
            <w:vAlign w:val="bottom"/>
            <w:hideMark/>
          </w:tcPr>
          <w:p w14:paraId="272941C9"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1,223</w:t>
            </w:r>
          </w:p>
        </w:tc>
        <w:tc>
          <w:tcPr>
            <w:tcW w:w="1090" w:type="dxa"/>
            <w:tcBorders>
              <w:top w:val="nil"/>
              <w:left w:val="nil"/>
              <w:bottom w:val="single" w:sz="4" w:space="0" w:color="auto"/>
              <w:right w:val="single" w:sz="4" w:space="0" w:color="auto"/>
            </w:tcBorders>
            <w:shd w:val="clear" w:color="auto" w:fill="auto"/>
            <w:noWrap/>
            <w:vAlign w:val="bottom"/>
            <w:hideMark/>
          </w:tcPr>
          <w:p w14:paraId="74CD79D5"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1,377</w:t>
            </w:r>
          </w:p>
        </w:tc>
        <w:tc>
          <w:tcPr>
            <w:tcW w:w="1001" w:type="dxa"/>
            <w:tcBorders>
              <w:top w:val="nil"/>
              <w:left w:val="nil"/>
              <w:bottom w:val="single" w:sz="4" w:space="0" w:color="auto"/>
              <w:right w:val="single" w:sz="4" w:space="0" w:color="auto"/>
            </w:tcBorders>
            <w:shd w:val="clear" w:color="auto" w:fill="auto"/>
            <w:noWrap/>
            <w:vAlign w:val="bottom"/>
            <w:hideMark/>
          </w:tcPr>
          <w:p w14:paraId="09C7DAF7"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2,239</w:t>
            </w:r>
          </w:p>
        </w:tc>
      </w:tr>
      <w:tr w:rsidR="00B546D6" w:rsidRPr="004A5974" w14:paraId="4DFC874D" w14:textId="77777777" w:rsidTr="004A5974">
        <w:trPr>
          <w:trHeight w:val="241"/>
        </w:trPr>
        <w:tc>
          <w:tcPr>
            <w:tcW w:w="9445"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E1BDD10" w14:textId="30A659ED" w:rsidR="00B546D6" w:rsidRPr="004A5974" w:rsidRDefault="00B546D6" w:rsidP="00B41BF2">
            <w:pPr>
              <w:rPr>
                <w:rFonts w:ascii="Arial" w:hAnsi="Arial" w:cs="Arial"/>
                <w:b/>
                <w:bCs/>
                <w:color w:val="000000"/>
                <w:lang w:val="en-CA" w:eastAsia="en-GB"/>
              </w:rPr>
            </w:pPr>
            <w:r w:rsidRPr="004A5974">
              <w:rPr>
                <w:rFonts w:ascii="Arial" w:hAnsi="Arial" w:cs="Arial"/>
                <w:b/>
                <w:bCs/>
                <w:color w:val="000000"/>
                <w:lang w:val="en-CA" w:eastAsia="en-GB"/>
              </w:rPr>
              <w:t xml:space="preserve">Condensed Statement </w:t>
            </w:r>
            <w:r w:rsidR="00830721" w:rsidRPr="004A5974">
              <w:rPr>
                <w:rFonts w:ascii="Arial" w:hAnsi="Arial" w:cs="Arial"/>
                <w:b/>
                <w:bCs/>
                <w:color w:val="000000"/>
                <w:lang w:val="en-CA" w:eastAsia="en-GB"/>
              </w:rPr>
              <w:t xml:space="preserve">of </w:t>
            </w:r>
            <w:r w:rsidRPr="004A5974">
              <w:rPr>
                <w:rFonts w:ascii="Arial" w:hAnsi="Arial" w:cs="Arial"/>
                <w:b/>
                <w:bCs/>
                <w:color w:val="000000"/>
                <w:lang w:val="en-CA" w:eastAsia="en-GB"/>
              </w:rPr>
              <w:t>Comprehensive Income</w:t>
            </w:r>
          </w:p>
        </w:tc>
      </w:tr>
      <w:tr w:rsidR="00B546D6" w:rsidRPr="004A5974" w14:paraId="032BAACE" w14:textId="77777777" w:rsidTr="004A5974">
        <w:trPr>
          <w:trHeight w:val="241"/>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6BDF82AA" w14:textId="266D44A4" w:rsidR="00B546D6" w:rsidRPr="004A5974" w:rsidRDefault="002F7B19" w:rsidP="00B41BF2">
            <w:pPr>
              <w:rPr>
                <w:rFonts w:ascii="Arial" w:hAnsi="Arial" w:cs="Arial"/>
                <w:color w:val="000000"/>
                <w:lang w:val="en-CA" w:eastAsia="en-GB"/>
              </w:rPr>
            </w:pPr>
            <w:r w:rsidRPr="004A5974">
              <w:rPr>
                <w:rFonts w:ascii="Arial" w:hAnsi="Arial" w:cs="Arial"/>
                <w:color w:val="000000"/>
                <w:lang w:val="en-CA" w:eastAsia="en-GB"/>
              </w:rPr>
              <w:t>Interest Income</w:t>
            </w:r>
          </w:p>
        </w:tc>
        <w:tc>
          <w:tcPr>
            <w:tcW w:w="859" w:type="dxa"/>
            <w:tcBorders>
              <w:top w:val="nil"/>
              <w:left w:val="nil"/>
              <w:bottom w:val="single" w:sz="4" w:space="0" w:color="auto"/>
              <w:right w:val="single" w:sz="4" w:space="0" w:color="auto"/>
            </w:tcBorders>
            <w:shd w:val="clear" w:color="auto" w:fill="auto"/>
            <w:noWrap/>
            <w:vAlign w:val="bottom"/>
            <w:hideMark/>
          </w:tcPr>
          <w:p w14:paraId="78A4B0F6"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925</w:t>
            </w:r>
          </w:p>
        </w:tc>
        <w:tc>
          <w:tcPr>
            <w:tcW w:w="1090" w:type="dxa"/>
            <w:tcBorders>
              <w:top w:val="nil"/>
              <w:left w:val="nil"/>
              <w:bottom w:val="single" w:sz="4" w:space="0" w:color="auto"/>
              <w:right w:val="single" w:sz="4" w:space="0" w:color="auto"/>
            </w:tcBorders>
            <w:shd w:val="clear" w:color="auto" w:fill="auto"/>
            <w:noWrap/>
            <w:vAlign w:val="bottom"/>
            <w:hideMark/>
          </w:tcPr>
          <w:p w14:paraId="6125BB49"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974</w:t>
            </w:r>
          </w:p>
        </w:tc>
        <w:tc>
          <w:tcPr>
            <w:tcW w:w="1090" w:type="dxa"/>
            <w:tcBorders>
              <w:top w:val="nil"/>
              <w:left w:val="nil"/>
              <w:bottom w:val="single" w:sz="4" w:space="0" w:color="auto"/>
              <w:right w:val="single" w:sz="4" w:space="0" w:color="auto"/>
            </w:tcBorders>
            <w:shd w:val="clear" w:color="auto" w:fill="auto"/>
            <w:noWrap/>
            <w:vAlign w:val="bottom"/>
            <w:hideMark/>
          </w:tcPr>
          <w:p w14:paraId="7F8ECB56"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999</w:t>
            </w:r>
          </w:p>
        </w:tc>
        <w:tc>
          <w:tcPr>
            <w:tcW w:w="1090" w:type="dxa"/>
            <w:tcBorders>
              <w:top w:val="nil"/>
              <w:left w:val="nil"/>
              <w:bottom w:val="single" w:sz="4" w:space="0" w:color="auto"/>
              <w:right w:val="single" w:sz="4" w:space="0" w:color="auto"/>
            </w:tcBorders>
            <w:shd w:val="clear" w:color="auto" w:fill="auto"/>
            <w:noWrap/>
            <w:vAlign w:val="bottom"/>
            <w:hideMark/>
          </w:tcPr>
          <w:p w14:paraId="241BB10F"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1,005</w:t>
            </w:r>
          </w:p>
        </w:tc>
        <w:tc>
          <w:tcPr>
            <w:tcW w:w="1001" w:type="dxa"/>
            <w:tcBorders>
              <w:top w:val="nil"/>
              <w:left w:val="nil"/>
              <w:bottom w:val="single" w:sz="4" w:space="0" w:color="auto"/>
              <w:right w:val="single" w:sz="4" w:space="0" w:color="auto"/>
            </w:tcBorders>
            <w:shd w:val="clear" w:color="auto" w:fill="auto"/>
            <w:noWrap/>
            <w:vAlign w:val="bottom"/>
            <w:hideMark/>
          </w:tcPr>
          <w:p w14:paraId="55644804"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1,357</w:t>
            </w:r>
          </w:p>
        </w:tc>
      </w:tr>
      <w:tr w:rsidR="00B546D6" w:rsidRPr="004A5974" w14:paraId="5E7F28EC" w14:textId="77777777" w:rsidTr="004A5974">
        <w:trPr>
          <w:trHeight w:val="241"/>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D446326" w14:textId="1815C0BA" w:rsidR="00B546D6" w:rsidRPr="004A5974" w:rsidRDefault="002F7B19" w:rsidP="00B41BF2">
            <w:pPr>
              <w:rPr>
                <w:rFonts w:ascii="Arial" w:hAnsi="Arial" w:cs="Arial"/>
                <w:color w:val="000000"/>
                <w:lang w:val="en-CA" w:eastAsia="en-GB"/>
              </w:rPr>
            </w:pPr>
            <w:r w:rsidRPr="004A5974">
              <w:rPr>
                <w:rFonts w:ascii="Arial" w:hAnsi="Arial" w:cs="Arial"/>
                <w:color w:val="000000"/>
                <w:lang w:val="en-CA" w:eastAsia="en-GB"/>
              </w:rPr>
              <w:t>Interest Expenses</w:t>
            </w:r>
          </w:p>
        </w:tc>
        <w:tc>
          <w:tcPr>
            <w:tcW w:w="859" w:type="dxa"/>
            <w:tcBorders>
              <w:top w:val="nil"/>
              <w:left w:val="nil"/>
              <w:bottom w:val="single" w:sz="4" w:space="0" w:color="auto"/>
              <w:right w:val="single" w:sz="4" w:space="0" w:color="auto"/>
            </w:tcBorders>
            <w:shd w:val="clear" w:color="auto" w:fill="auto"/>
            <w:noWrap/>
            <w:vAlign w:val="bottom"/>
            <w:hideMark/>
          </w:tcPr>
          <w:p w14:paraId="039C7922"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378</w:t>
            </w:r>
          </w:p>
        </w:tc>
        <w:tc>
          <w:tcPr>
            <w:tcW w:w="1090" w:type="dxa"/>
            <w:tcBorders>
              <w:top w:val="nil"/>
              <w:left w:val="nil"/>
              <w:bottom w:val="single" w:sz="4" w:space="0" w:color="auto"/>
              <w:right w:val="single" w:sz="4" w:space="0" w:color="auto"/>
            </w:tcBorders>
            <w:shd w:val="clear" w:color="auto" w:fill="auto"/>
            <w:noWrap/>
            <w:vAlign w:val="bottom"/>
            <w:hideMark/>
          </w:tcPr>
          <w:p w14:paraId="24DFCD0B"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344</w:t>
            </w:r>
          </w:p>
        </w:tc>
        <w:tc>
          <w:tcPr>
            <w:tcW w:w="1090" w:type="dxa"/>
            <w:tcBorders>
              <w:top w:val="nil"/>
              <w:left w:val="nil"/>
              <w:bottom w:val="single" w:sz="4" w:space="0" w:color="auto"/>
              <w:right w:val="single" w:sz="4" w:space="0" w:color="auto"/>
            </w:tcBorders>
            <w:shd w:val="clear" w:color="auto" w:fill="auto"/>
            <w:noWrap/>
            <w:vAlign w:val="bottom"/>
            <w:hideMark/>
          </w:tcPr>
          <w:p w14:paraId="38C9E19C"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322</w:t>
            </w:r>
          </w:p>
        </w:tc>
        <w:tc>
          <w:tcPr>
            <w:tcW w:w="1090" w:type="dxa"/>
            <w:tcBorders>
              <w:top w:val="nil"/>
              <w:left w:val="nil"/>
              <w:bottom w:val="single" w:sz="4" w:space="0" w:color="auto"/>
              <w:right w:val="single" w:sz="4" w:space="0" w:color="auto"/>
            </w:tcBorders>
            <w:shd w:val="clear" w:color="auto" w:fill="auto"/>
            <w:noWrap/>
            <w:vAlign w:val="bottom"/>
            <w:hideMark/>
          </w:tcPr>
          <w:p w14:paraId="33E0E382"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322</w:t>
            </w:r>
          </w:p>
        </w:tc>
        <w:tc>
          <w:tcPr>
            <w:tcW w:w="1001" w:type="dxa"/>
            <w:tcBorders>
              <w:top w:val="nil"/>
              <w:left w:val="nil"/>
              <w:bottom w:val="single" w:sz="4" w:space="0" w:color="auto"/>
              <w:right w:val="single" w:sz="4" w:space="0" w:color="auto"/>
            </w:tcBorders>
            <w:shd w:val="clear" w:color="auto" w:fill="auto"/>
            <w:noWrap/>
            <w:vAlign w:val="bottom"/>
            <w:hideMark/>
          </w:tcPr>
          <w:p w14:paraId="5584B0CA"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572</w:t>
            </w:r>
          </w:p>
        </w:tc>
      </w:tr>
      <w:tr w:rsidR="00B546D6" w:rsidRPr="004A5974" w14:paraId="1F8FB4B5" w14:textId="77777777" w:rsidTr="004A5974">
        <w:trPr>
          <w:trHeight w:val="241"/>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4F51C305" w14:textId="39FB3C4B" w:rsidR="00B546D6" w:rsidRPr="004A5974" w:rsidRDefault="002F7B19" w:rsidP="00B41BF2">
            <w:pPr>
              <w:rPr>
                <w:rFonts w:ascii="Arial" w:hAnsi="Arial" w:cs="Arial"/>
                <w:color w:val="000000"/>
                <w:lang w:val="en-CA" w:eastAsia="en-GB"/>
              </w:rPr>
            </w:pPr>
            <w:r w:rsidRPr="004A5974">
              <w:rPr>
                <w:rFonts w:ascii="Arial" w:hAnsi="Arial" w:cs="Arial"/>
                <w:color w:val="000000"/>
                <w:lang w:val="en-CA" w:eastAsia="en-GB"/>
              </w:rPr>
              <w:t>Gross Profit</w:t>
            </w:r>
          </w:p>
        </w:tc>
        <w:tc>
          <w:tcPr>
            <w:tcW w:w="859" w:type="dxa"/>
            <w:tcBorders>
              <w:top w:val="nil"/>
              <w:left w:val="nil"/>
              <w:bottom w:val="single" w:sz="4" w:space="0" w:color="auto"/>
              <w:right w:val="single" w:sz="4" w:space="0" w:color="auto"/>
            </w:tcBorders>
            <w:shd w:val="clear" w:color="auto" w:fill="auto"/>
            <w:noWrap/>
            <w:vAlign w:val="bottom"/>
            <w:hideMark/>
          </w:tcPr>
          <w:p w14:paraId="0EB37621"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547</w:t>
            </w:r>
          </w:p>
        </w:tc>
        <w:tc>
          <w:tcPr>
            <w:tcW w:w="1090" w:type="dxa"/>
            <w:tcBorders>
              <w:top w:val="nil"/>
              <w:left w:val="nil"/>
              <w:bottom w:val="single" w:sz="4" w:space="0" w:color="auto"/>
              <w:right w:val="single" w:sz="4" w:space="0" w:color="auto"/>
            </w:tcBorders>
            <w:shd w:val="clear" w:color="auto" w:fill="auto"/>
            <w:noWrap/>
            <w:vAlign w:val="bottom"/>
            <w:hideMark/>
          </w:tcPr>
          <w:p w14:paraId="15C78544"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630</w:t>
            </w:r>
          </w:p>
        </w:tc>
        <w:tc>
          <w:tcPr>
            <w:tcW w:w="1090" w:type="dxa"/>
            <w:tcBorders>
              <w:top w:val="nil"/>
              <w:left w:val="nil"/>
              <w:bottom w:val="single" w:sz="4" w:space="0" w:color="auto"/>
              <w:right w:val="single" w:sz="4" w:space="0" w:color="auto"/>
            </w:tcBorders>
            <w:shd w:val="clear" w:color="auto" w:fill="auto"/>
            <w:noWrap/>
            <w:vAlign w:val="bottom"/>
            <w:hideMark/>
          </w:tcPr>
          <w:p w14:paraId="22503ACD"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677</w:t>
            </w:r>
          </w:p>
        </w:tc>
        <w:tc>
          <w:tcPr>
            <w:tcW w:w="1090" w:type="dxa"/>
            <w:tcBorders>
              <w:top w:val="nil"/>
              <w:left w:val="nil"/>
              <w:bottom w:val="single" w:sz="4" w:space="0" w:color="auto"/>
              <w:right w:val="single" w:sz="4" w:space="0" w:color="auto"/>
            </w:tcBorders>
            <w:shd w:val="clear" w:color="auto" w:fill="auto"/>
            <w:noWrap/>
            <w:vAlign w:val="bottom"/>
            <w:hideMark/>
          </w:tcPr>
          <w:p w14:paraId="7AEC8DAE"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683</w:t>
            </w:r>
          </w:p>
        </w:tc>
        <w:tc>
          <w:tcPr>
            <w:tcW w:w="1001" w:type="dxa"/>
            <w:tcBorders>
              <w:top w:val="nil"/>
              <w:left w:val="nil"/>
              <w:bottom w:val="single" w:sz="4" w:space="0" w:color="auto"/>
              <w:right w:val="single" w:sz="4" w:space="0" w:color="auto"/>
            </w:tcBorders>
            <w:shd w:val="clear" w:color="auto" w:fill="auto"/>
            <w:noWrap/>
            <w:vAlign w:val="bottom"/>
            <w:hideMark/>
          </w:tcPr>
          <w:p w14:paraId="600449CA"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786</w:t>
            </w:r>
          </w:p>
        </w:tc>
      </w:tr>
      <w:tr w:rsidR="00B546D6" w:rsidRPr="004A5974" w14:paraId="035ED82B" w14:textId="77777777" w:rsidTr="004A5974">
        <w:trPr>
          <w:trHeight w:val="241"/>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671453ED" w14:textId="4CA5EAB5" w:rsidR="00B546D6" w:rsidRPr="004A5974" w:rsidRDefault="00B546D6" w:rsidP="00B41BF2">
            <w:pPr>
              <w:rPr>
                <w:rFonts w:ascii="Arial" w:hAnsi="Arial" w:cs="Arial"/>
                <w:color w:val="000000"/>
                <w:lang w:val="en-CA" w:eastAsia="en-GB"/>
              </w:rPr>
            </w:pPr>
            <w:r w:rsidRPr="004A5974">
              <w:rPr>
                <w:rFonts w:ascii="Arial" w:hAnsi="Arial" w:cs="Arial"/>
                <w:color w:val="000000"/>
                <w:lang w:val="en-CA" w:eastAsia="en-GB"/>
              </w:rPr>
              <w:t xml:space="preserve">Other </w:t>
            </w:r>
            <w:r w:rsidR="002F7B19" w:rsidRPr="004A5974">
              <w:rPr>
                <w:rFonts w:ascii="Arial" w:hAnsi="Arial" w:cs="Arial"/>
                <w:color w:val="000000"/>
                <w:lang w:val="en-CA" w:eastAsia="en-GB"/>
              </w:rPr>
              <w:t xml:space="preserve">Operational </w:t>
            </w:r>
            <w:r w:rsidRPr="004A5974">
              <w:rPr>
                <w:rFonts w:ascii="Arial" w:hAnsi="Arial" w:cs="Arial"/>
                <w:color w:val="000000"/>
                <w:lang w:val="en-CA" w:eastAsia="en-GB"/>
              </w:rPr>
              <w:t>Income</w:t>
            </w:r>
          </w:p>
        </w:tc>
        <w:tc>
          <w:tcPr>
            <w:tcW w:w="859" w:type="dxa"/>
            <w:tcBorders>
              <w:top w:val="nil"/>
              <w:left w:val="nil"/>
              <w:bottom w:val="single" w:sz="4" w:space="0" w:color="auto"/>
              <w:right w:val="single" w:sz="4" w:space="0" w:color="auto"/>
            </w:tcBorders>
            <w:shd w:val="clear" w:color="auto" w:fill="auto"/>
            <w:noWrap/>
            <w:vAlign w:val="bottom"/>
            <w:hideMark/>
          </w:tcPr>
          <w:p w14:paraId="11E49294"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54</w:t>
            </w:r>
          </w:p>
        </w:tc>
        <w:tc>
          <w:tcPr>
            <w:tcW w:w="1090" w:type="dxa"/>
            <w:tcBorders>
              <w:top w:val="nil"/>
              <w:left w:val="nil"/>
              <w:bottom w:val="single" w:sz="4" w:space="0" w:color="auto"/>
              <w:right w:val="single" w:sz="4" w:space="0" w:color="auto"/>
            </w:tcBorders>
            <w:shd w:val="clear" w:color="auto" w:fill="auto"/>
            <w:noWrap/>
            <w:vAlign w:val="bottom"/>
            <w:hideMark/>
          </w:tcPr>
          <w:p w14:paraId="08D7E553"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53</w:t>
            </w:r>
          </w:p>
        </w:tc>
        <w:tc>
          <w:tcPr>
            <w:tcW w:w="1090" w:type="dxa"/>
            <w:tcBorders>
              <w:top w:val="nil"/>
              <w:left w:val="nil"/>
              <w:bottom w:val="single" w:sz="4" w:space="0" w:color="auto"/>
              <w:right w:val="single" w:sz="4" w:space="0" w:color="auto"/>
            </w:tcBorders>
            <w:shd w:val="clear" w:color="auto" w:fill="auto"/>
            <w:noWrap/>
            <w:vAlign w:val="bottom"/>
            <w:hideMark/>
          </w:tcPr>
          <w:p w14:paraId="5D856569"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46</w:t>
            </w:r>
          </w:p>
        </w:tc>
        <w:tc>
          <w:tcPr>
            <w:tcW w:w="1090" w:type="dxa"/>
            <w:tcBorders>
              <w:top w:val="nil"/>
              <w:left w:val="nil"/>
              <w:bottom w:val="single" w:sz="4" w:space="0" w:color="auto"/>
              <w:right w:val="single" w:sz="4" w:space="0" w:color="auto"/>
            </w:tcBorders>
            <w:shd w:val="clear" w:color="auto" w:fill="auto"/>
            <w:noWrap/>
            <w:vAlign w:val="bottom"/>
            <w:hideMark/>
          </w:tcPr>
          <w:p w14:paraId="61905930"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57</w:t>
            </w:r>
          </w:p>
        </w:tc>
        <w:tc>
          <w:tcPr>
            <w:tcW w:w="1001" w:type="dxa"/>
            <w:tcBorders>
              <w:top w:val="nil"/>
              <w:left w:val="nil"/>
              <w:bottom w:val="single" w:sz="4" w:space="0" w:color="auto"/>
              <w:right w:val="single" w:sz="4" w:space="0" w:color="auto"/>
            </w:tcBorders>
            <w:shd w:val="clear" w:color="auto" w:fill="auto"/>
            <w:noWrap/>
            <w:vAlign w:val="bottom"/>
            <w:hideMark/>
          </w:tcPr>
          <w:p w14:paraId="79BA83CA"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69</w:t>
            </w:r>
          </w:p>
        </w:tc>
      </w:tr>
      <w:tr w:rsidR="00B546D6" w:rsidRPr="004A5974" w14:paraId="6B309531" w14:textId="77777777" w:rsidTr="004A5974">
        <w:trPr>
          <w:trHeight w:val="241"/>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68979FCB" w14:textId="2AE8C85F" w:rsidR="00B546D6" w:rsidRPr="004A5974" w:rsidRDefault="00B546D6" w:rsidP="00B41BF2">
            <w:pPr>
              <w:rPr>
                <w:rFonts w:ascii="Arial" w:hAnsi="Arial" w:cs="Arial"/>
                <w:color w:val="000000"/>
                <w:lang w:val="en-CA" w:eastAsia="en-GB"/>
              </w:rPr>
            </w:pPr>
            <w:r w:rsidRPr="004A5974">
              <w:rPr>
                <w:rFonts w:ascii="Arial" w:hAnsi="Arial" w:cs="Arial"/>
                <w:color w:val="000000"/>
                <w:lang w:val="en-CA" w:eastAsia="en-GB"/>
              </w:rPr>
              <w:t xml:space="preserve">Other </w:t>
            </w:r>
            <w:r w:rsidR="002F7B19" w:rsidRPr="004A5974">
              <w:rPr>
                <w:rFonts w:ascii="Arial" w:hAnsi="Arial" w:cs="Arial"/>
                <w:color w:val="000000"/>
                <w:lang w:val="en-CA" w:eastAsia="en-GB"/>
              </w:rPr>
              <w:t>Operational Expense</w:t>
            </w:r>
          </w:p>
        </w:tc>
        <w:tc>
          <w:tcPr>
            <w:tcW w:w="859" w:type="dxa"/>
            <w:tcBorders>
              <w:top w:val="nil"/>
              <w:left w:val="nil"/>
              <w:bottom w:val="single" w:sz="4" w:space="0" w:color="auto"/>
              <w:right w:val="single" w:sz="4" w:space="0" w:color="auto"/>
            </w:tcBorders>
            <w:shd w:val="clear" w:color="auto" w:fill="auto"/>
            <w:noWrap/>
            <w:vAlign w:val="bottom"/>
            <w:hideMark/>
          </w:tcPr>
          <w:p w14:paraId="1BDA151A"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427</w:t>
            </w:r>
          </w:p>
        </w:tc>
        <w:tc>
          <w:tcPr>
            <w:tcW w:w="1090" w:type="dxa"/>
            <w:tcBorders>
              <w:top w:val="nil"/>
              <w:left w:val="nil"/>
              <w:bottom w:val="single" w:sz="4" w:space="0" w:color="auto"/>
              <w:right w:val="single" w:sz="4" w:space="0" w:color="auto"/>
            </w:tcBorders>
            <w:shd w:val="clear" w:color="auto" w:fill="auto"/>
            <w:noWrap/>
            <w:vAlign w:val="bottom"/>
            <w:hideMark/>
          </w:tcPr>
          <w:p w14:paraId="18683E92"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497</w:t>
            </w:r>
          </w:p>
        </w:tc>
        <w:tc>
          <w:tcPr>
            <w:tcW w:w="1090" w:type="dxa"/>
            <w:tcBorders>
              <w:top w:val="nil"/>
              <w:left w:val="nil"/>
              <w:bottom w:val="single" w:sz="4" w:space="0" w:color="auto"/>
              <w:right w:val="single" w:sz="4" w:space="0" w:color="auto"/>
            </w:tcBorders>
            <w:shd w:val="clear" w:color="auto" w:fill="auto"/>
            <w:noWrap/>
            <w:vAlign w:val="bottom"/>
            <w:hideMark/>
          </w:tcPr>
          <w:p w14:paraId="72351C63"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582</w:t>
            </w:r>
          </w:p>
        </w:tc>
        <w:tc>
          <w:tcPr>
            <w:tcW w:w="1090" w:type="dxa"/>
            <w:tcBorders>
              <w:top w:val="nil"/>
              <w:left w:val="nil"/>
              <w:bottom w:val="single" w:sz="4" w:space="0" w:color="auto"/>
              <w:right w:val="single" w:sz="4" w:space="0" w:color="auto"/>
            </w:tcBorders>
            <w:shd w:val="clear" w:color="auto" w:fill="auto"/>
            <w:noWrap/>
            <w:vAlign w:val="bottom"/>
            <w:hideMark/>
          </w:tcPr>
          <w:p w14:paraId="7A8EE863"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519</w:t>
            </w:r>
          </w:p>
        </w:tc>
        <w:tc>
          <w:tcPr>
            <w:tcW w:w="1001" w:type="dxa"/>
            <w:tcBorders>
              <w:top w:val="nil"/>
              <w:left w:val="nil"/>
              <w:bottom w:val="single" w:sz="4" w:space="0" w:color="auto"/>
              <w:right w:val="single" w:sz="4" w:space="0" w:color="auto"/>
            </w:tcBorders>
            <w:shd w:val="clear" w:color="auto" w:fill="auto"/>
            <w:noWrap/>
            <w:vAlign w:val="bottom"/>
            <w:hideMark/>
          </w:tcPr>
          <w:p w14:paraId="577629DB"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610</w:t>
            </w:r>
          </w:p>
        </w:tc>
      </w:tr>
      <w:tr w:rsidR="00B546D6" w:rsidRPr="004A5974" w14:paraId="6D79B617" w14:textId="77777777" w:rsidTr="004A5974">
        <w:trPr>
          <w:trHeight w:val="241"/>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41D86273" w14:textId="78D4AD9D" w:rsidR="00B546D6" w:rsidRPr="004A5974" w:rsidRDefault="00B546D6" w:rsidP="00B41BF2">
            <w:pPr>
              <w:rPr>
                <w:rFonts w:ascii="Arial" w:hAnsi="Arial" w:cs="Arial"/>
                <w:color w:val="000000"/>
                <w:lang w:val="en-CA" w:eastAsia="en-GB"/>
              </w:rPr>
            </w:pPr>
            <w:r w:rsidRPr="004A5974">
              <w:rPr>
                <w:rFonts w:ascii="Arial" w:hAnsi="Arial" w:cs="Arial"/>
                <w:color w:val="000000"/>
                <w:lang w:val="en-CA" w:eastAsia="en-GB"/>
              </w:rPr>
              <w:t xml:space="preserve">Operational </w:t>
            </w:r>
            <w:r w:rsidR="002F7B19" w:rsidRPr="004A5974">
              <w:rPr>
                <w:rFonts w:ascii="Arial" w:hAnsi="Arial" w:cs="Arial"/>
                <w:color w:val="000000"/>
                <w:lang w:val="en-CA" w:eastAsia="en-GB"/>
              </w:rPr>
              <w:t>Profit/Loss</w:t>
            </w:r>
          </w:p>
        </w:tc>
        <w:tc>
          <w:tcPr>
            <w:tcW w:w="859" w:type="dxa"/>
            <w:tcBorders>
              <w:top w:val="nil"/>
              <w:left w:val="nil"/>
              <w:bottom w:val="single" w:sz="4" w:space="0" w:color="auto"/>
              <w:right w:val="single" w:sz="4" w:space="0" w:color="auto"/>
            </w:tcBorders>
            <w:shd w:val="clear" w:color="auto" w:fill="auto"/>
            <w:noWrap/>
            <w:vAlign w:val="bottom"/>
            <w:hideMark/>
          </w:tcPr>
          <w:p w14:paraId="2545B41D" w14:textId="12155C0B" w:rsidR="00B546D6" w:rsidRPr="004A5974" w:rsidRDefault="002A63E4" w:rsidP="00B41BF2">
            <w:pPr>
              <w:jc w:val="right"/>
              <w:rPr>
                <w:rFonts w:ascii="Arial" w:hAnsi="Arial" w:cs="Arial"/>
                <w:color w:val="000000"/>
                <w:lang w:val="en-CA" w:eastAsia="en-GB"/>
              </w:rPr>
            </w:pPr>
            <w:r w:rsidRPr="004A5974">
              <w:rPr>
                <w:rFonts w:ascii="Arial" w:hAnsi="Arial" w:cs="Arial"/>
                <w:color w:val="000000"/>
                <w:lang w:val="en-CA" w:eastAsia="en-GB"/>
              </w:rPr>
              <w:t>−</w:t>
            </w:r>
            <w:r w:rsidR="00B546D6" w:rsidRPr="004A5974">
              <w:rPr>
                <w:rFonts w:ascii="Arial" w:hAnsi="Arial" w:cs="Arial"/>
                <w:color w:val="000000"/>
                <w:lang w:val="en-CA" w:eastAsia="en-GB"/>
              </w:rPr>
              <w:t>372</w:t>
            </w:r>
          </w:p>
        </w:tc>
        <w:tc>
          <w:tcPr>
            <w:tcW w:w="1090" w:type="dxa"/>
            <w:tcBorders>
              <w:top w:val="nil"/>
              <w:left w:val="nil"/>
              <w:bottom w:val="single" w:sz="4" w:space="0" w:color="auto"/>
              <w:right w:val="single" w:sz="4" w:space="0" w:color="auto"/>
            </w:tcBorders>
            <w:shd w:val="clear" w:color="auto" w:fill="auto"/>
            <w:noWrap/>
            <w:vAlign w:val="bottom"/>
            <w:hideMark/>
          </w:tcPr>
          <w:p w14:paraId="7E1B8A4F" w14:textId="5878DD26" w:rsidR="00B546D6" w:rsidRPr="004A5974" w:rsidRDefault="002A63E4" w:rsidP="00B41BF2">
            <w:pPr>
              <w:jc w:val="right"/>
              <w:rPr>
                <w:rFonts w:ascii="Arial" w:hAnsi="Arial" w:cs="Arial"/>
                <w:color w:val="000000"/>
                <w:lang w:val="en-CA" w:eastAsia="en-GB"/>
              </w:rPr>
            </w:pPr>
            <w:r w:rsidRPr="004A5974">
              <w:rPr>
                <w:rFonts w:ascii="Arial" w:hAnsi="Arial" w:cs="Arial"/>
                <w:color w:val="000000"/>
                <w:lang w:val="en-CA" w:eastAsia="en-GB"/>
              </w:rPr>
              <w:t>−</w:t>
            </w:r>
            <w:r w:rsidR="00B546D6" w:rsidRPr="004A5974">
              <w:rPr>
                <w:rFonts w:ascii="Arial" w:hAnsi="Arial" w:cs="Arial"/>
                <w:color w:val="000000"/>
                <w:lang w:val="en-CA" w:eastAsia="en-GB"/>
              </w:rPr>
              <w:t>444</w:t>
            </w:r>
          </w:p>
        </w:tc>
        <w:tc>
          <w:tcPr>
            <w:tcW w:w="1090" w:type="dxa"/>
            <w:tcBorders>
              <w:top w:val="nil"/>
              <w:left w:val="nil"/>
              <w:bottom w:val="single" w:sz="4" w:space="0" w:color="auto"/>
              <w:right w:val="single" w:sz="4" w:space="0" w:color="auto"/>
            </w:tcBorders>
            <w:shd w:val="clear" w:color="auto" w:fill="auto"/>
            <w:noWrap/>
            <w:vAlign w:val="bottom"/>
            <w:hideMark/>
          </w:tcPr>
          <w:p w14:paraId="0195E75F" w14:textId="2FC8DBC3" w:rsidR="00B546D6" w:rsidRPr="004A5974" w:rsidRDefault="002A63E4" w:rsidP="00B41BF2">
            <w:pPr>
              <w:jc w:val="right"/>
              <w:rPr>
                <w:rFonts w:ascii="Arial" w:hAnsi="Arial" w:cs="Arial"/>
                <w:color w:val="000000"/>
                <w:lang w:val="en-CA" w:eastAsia="en-GB"/>
              </w:rPr>
            </w:pPr>
            <w:r w:rsidRPr="004A5974">
              <w:rPr>
                <w:rFonts w:ascii="Arial" w:hAnsi="Arial" w:cs="Arial"/>
                <w:color w:val="000000"/>
                <w:lang w:val="en-CA" w:eastAsia="en-GB"/>
              </w:rPr>
              <w:t>−</w:t>
            </w:r>
            <w:r w:rsidR="00B546D6" w:rsidRPr="004A5974">
              <w:rPr>
                <w:rFonts w:ascii="Arial" w:hAnsi="Arial" w:cs="Arial"/>
                <w:color w:val="000000"/>
                <w:lang w:val="en-CA" w:eastAsia="en-GB"/>
              </w:rPr>
              <w:t>536</w:t>
            </w:r>
          </w:p>
        </w:tc>
        <w:tc>
          <w:tcPr>
            <w:tcW w:w="1090" w:type="dxa"/>
            <w:tcBorders>
              <w:top w:val="nil"/>
              <w:left w:val="nil"/>
              <w:bottom w:val="single" w:sz="4" w:space="0" w:color="auto"/>
              <w:right w:val="single" w:sz="4" w:space="0" w:color="auto"/>
            </w:tcBorders>
            <w:shd w:val="clear" w:color="auto" w:fill="auto"/>
            <w:noWrap/>
            <w:vAlign w:val="bottom"/>
            <w:hideMark/>
          </w:tcPr>
          <w:p w14:paraId="6ED9E5ED" w14:textId="47A3A354" w:rsidR="00B546D6" w:rsidRPr="004A5974" w:rsidRDefault="002A63E4" w:rsidP="00B41BF2">
            <w:pPr>
              <w:jc w:val="right"/>
              <w:rPr>
                <w:rFonts w:ascii="Arial" w:hAnsi="Arial" w:cs="Arial"/>
                <w:color w:val="000000"/>
                <w:lang w:val="en-CA" w:eastAsia="en-GB"/>
              </w:rPr>
            </w:pPr>
            <w:r w:rsidRPr="004A5974">
              <w:rPr>
                <w:rFonts w:ascii="Arial" w:hAnsi="Arial" w:cs="Arial"/>
                <w:color w:val="000000"/>
                <w:lang w:val="en-CA" w:eastAsia="en-GB"/>
              </w:rPr>
              <w:t>−</w:t>
            </w:r>
            <w:r w:rsidR="00B546D6" w:rsidRPr="004A5974">
              <w:rPr>
                <w:rFonts w:ascii="Arial" w:hAnsi="Arial" w:cs="Arial"/>
                <w:color w:val="000000"/>
                <w:lang w:val="en-CA" w:eastAsia="en-GB"/>
              </w:rPr>
              <w:t>462</w:t>
            </w:r>
          </w:p>
        </w:tc>
        <w:tc>
          <w:tcPr>
            <w:tcW w:w="1001" w:type="dxa"/>
            <w:tcBorders>
              <w:top w:val="nil"/>
              <w:left w:val="nil"/>
              <w:bottom w:val="single" w:sz="4" w:space="0" w:color="auto"/>
              <w:right w:val="single" w:sz="4" w:space="0" w:color="auto"/>
            </w:tcBorders>
            <w:shd w:val="clear" w:color="auto" w:fill="auto"/>
            <w:noWrap/>
            <w:vAlign w:val="bottom"/>
            <w:hideMark/>
          </w:tcPr>
          <w:p w14:paraId="38569AB4" w14:textId="6BBD9F09" w:rsidR="00B546D6" w:rsidRPr="004A5974" w:rsidRDefault="002A63E4" w:rsidP="00B41BF2">
            <w:pPr>
              <w:jc w:val="right"/>
              <w:rPr>
                <w:rFonts w:ascii="Arial" w:hAnsi="Arial" w:cs="Arial"/>
                <w:color w:val="000000"/>
                <w:lang w:val="en-CA" w:eastAsia="en-GB"/>
              </w:rPr>
            </w:pPr>
            <w:r w:rsidRPr="004A5974">
              <w:rPr>
                <w:rFonts w:ascii="Arial" w:hAnsi="Arial" w:cs="Arial"/>
                <w:color w:val="000000"/>
                <w:lang w:val="en-CA" w:eastAsia="en-GB"/>
              </w:rPr>
              <w:t>−</w:t>
            </w:r>
            <w:r w:rsidR="00B546D6" w:rsidRPr="004A5974">
              <w:rPr>
                <w:rFonts w:ascii="Arial" w:hAnsi="Arial" w:cs="Arial"/>
                <w:color w:val="000000"/>
                <w:lang w:val="en-CA" w:eastAsia="en-GB"/>
              </w:rPr>
              <w:t>541</w:t>
            </w:r>
          </w:p>
        </w:tc>
      </w:tr>
      <w:tr w:rsidR="00B546D6" w:rsidRPr="004A5974" w14:paraId="48D9456D" w14:textId="77777777" w:rsidTr="004A5974">
        <w:trPr>
          <w:trHeight w:val="241"/>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714B943A" w14:textId="648B0E15" w:rsidR="00B546D6" w:rsidRPr="004A5974" w:rsidRDefault="00B546D6" w:rsidP="00B41BF2">
            <w:pPr>
              <w:rPr>
                <w:rFonts w:ascii="Arial" w:hAnsi="Arial" w:cs="Arial"/>
                <w:color w:val="000000"/>
                <w:lang w:val="en-CA" w:eastAsia="en-GB"/>
              </w:rPr>
            </w:pPr>
            <w:r w:rsidRPr="004A5974">
              <w:rPr>
                <w:rFonts w:ascii="Arial" w:hAnsi="Arial" w:cs="Arial"/>
                <w:color w:val="000000"/>
                <w:lang w:val="en-CA" w:eastAsia="en-GB"/>
              </w:rPr>
              <w:t>Profit</w:t>
            </w:r>
            <w:r w:rsidR="002F7B19" w:rsidRPr="004A5974">
              <w:rPr>
                <w:rFonts w:ascii="Arial" w:hAnsi="Arial" w:cs="Arial"/>
                <w:color w:val="000000"/>
                <w:lang w:val="en-CA" w:eastAsia="en-GB"/>
              </w:rPr>
              <w:t>/</w:t>
            </w:r>
            <w:r w:rsidRPr="004A5974">
              <w:rPr>
                <w:rFonts w:ascii="Arial" w:hAnsi="Arial" w:cs="Arial"/>
                <w:color w:val="000000"/>
                <w:lang w:val="en-CA" w:eastAsia="en-GB"/>
              </w:rPr>
              <w:t xml:space="preserve">Loss </w:t>
            </w:r>
            <w:r w:rsidR="00D16C1D" w:rsidRPr="004A5974">
              <w:rPr>
                <w:rFonts w:ascii="Arial" w:hAnsi="Arial" w:cs="Arial"/>
                <w:color w:val="000000"/>
                <w:lang w:val="en-CA" w:eastAsia="en-GB"/>
              </w:rPr>
              <w:t xml:space="preserve">before </w:t>
            </w:r>
            <w:r w:rsidRPr="004A5974">
              <w:rPr>
                <w:rFonts w:ascii="Arial" w:hAnsi="Arial" w:cs="Arial"/>
                <w:color w:val="000000"/>
                <w:lang w:val="en-CA" w:eastAsia="en-GB"/>
              </w:rPr>
              <w:t>Tax</w:t>
            </w:r>
          </w:p>
        </w:tc>
        <w:tc>
          <w:tcPr>
            <w:tcW w:w="859" w:type="dxa"/>
            <w:tcBorders>
              <w:top w:val="nil"/>
              <w:left w:val="nil"/>
              <w:bottom w:val="single" w:sz="4" w:space="0" w:color="auto"/>
              <w:right w:val="single" w:sz="4" w:space="0" w:color="auto"/>
            </w:tcBorders>
            <w:shd w:val="clear" w:color="auto" w:fill="auto"/>
            <w:noWrap/>
            <w:vAlign w:val="bottom"/>
            <w:hideMark/>
          </w:tcPr>
          <w:p w14:paraId="7B826948"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135</w:t>
            </w:r>
          </w:p>
        </w:tc>
        <w:tc>
          <w:tcPr>
            <w:tcW w:w="1090" w:type="dxa"/>
            <w:tcBorders>
              <w:top w:val="nil"/>
              <w:left w:val="nil"/>
              <w:bottom w:val="single" w:sz="4" w:space="0" w:color="auto"/>
              <w:right w:val="single" w:sz="4" w:space="0" w:color="auto"/>
            </w:tcBorders>
            <w:shd w:val="clear" w:color="auto" w:fill="auto"/>
            <w:noWrap/>
            <w:vAlign w:val="bottom"/>
            <w:hideMark/>
          </w:tcPr>
          <w:p w14:paraId="550DE4DE"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185</w:t>
            </w:r>
          </w:p>
        </w:tc>
        <w:tc>
          <w:tcPr>
            <w:tcW w:w="1090" w:type="dxa"/>
            <w:tcBorders>
              <w:top w:val="nil"/>
              <w:left w:val="nil"/>
              <w:bottom w:val="single" w:sz="4" w:space="0" w:color="auto"/>
              <w:right w:val="single" w:sz="4" w:space="0" w:color="auto"/>
            </w:tcBorders>
            <w:shd w:val="clear" w:color="auto" w:fill="auto"/>
            <w:noWrap/>
            <w:vAlign w:val="bottom"/>
            <w:hideMark/>
          </w:tcPr>
          <w:p w14:paraId="11120047"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100</w:t>
            </w:r>
          </w:p>
        </w:tc>
        <w:tc>
          <w:tcPr>
            <w:tcW w:w="1090" w:type="dxa"/>
            <w:tcBorders>
              <w:top w:val="nil"/>
              <w:left w:val="nil"/>
              <w:bottom w:val="single" w:sz="4" w:space="0" w:color="auto"/>
              <w:right w:val="single" w:sz="4" w:space="0" w:color="auto"/>
            </w:tcBorders>
            <w:shd w:val="clear" w:color="auto" w:fill="auto"/>
            <w:noWrap/>
            <w:vAlign w:val="bottom"/>
            <w:hideMark/>
          </w:tcPr>
          <w:p w14:paraId="7AA15F48"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178</w:t>
            </w:r>
          </w:p>
        </w:tc>
        <w:tc>
          <w:tcPr>
            <w:tcW w:w="1001" w:type="dxa"/>
            <w:tcBorders>
              <w:top w:val="nil"/>
              <w:left w:val="nil"/>
              <w:bottom w:val="single" w:sz="4" w:space="0" w:color="auto"/>
              <w:right w:val="single" w:sz="4" w:space="0" w:color="auto"/>
            </w:tcBorders>
            <w:shd w:val="clear" w:color="auto" w:fill="auto"/>
            <w:noWrap/>
            <w:vAlign w:val="bottom"/>
            <w:hideMark/>
          </w:tcPr>
          <w:p w14:paraId="1BD155E7"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286</w:t>
            </w:r>
          </w:p>
        </w:tc>
      </w:tr>
      <w:tr w:rsidR="00B546D6" w:rsidRPr="004A5974" w14:paraId="21A2770D" w14:textId="77777777" w:rsidTr="004A5974">
        <w:trPr>
          <w:trHeight w:val="241"/>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52493D84" w14:textId="45A83889" w:rsidR="00B546D6" w:rsidRPr="004A5974" w:rsidRDefault="00B546D6" w:rsidP="00B41BF2">
            <w:pPr>
              <w:rPr>
                <w:rFonts w:ascii="Arial" w:hAnsi="Arial" w:cs="Arial"/>
                <w:color w:val="000000"/>
                <w:lang w:val="en-CA" w:eastAsia="en-GB"/>
              </w:rPr>
            </w:pPr>
            <w:r w:rsidRPr="004A5974">
              <w:rPr>
                <w:rFonts w:ascii="Arial" w:hAnsi="Arial" w:cs="Arial"/>
                <w:color w:val="000000"/>
                <w:lang w:val="en-CA" w:eastAsia="en-GB"/>
              </w:rPr>
              <w:t>Profit</w:t>
            </w:r>
            <w:r w:rsidR="002F7B19" w:rsidRPr="004A5974">
              <w:rPr>
                <w:rFonts w:ascii="Arial" w:hAnsi="Arial" w:cs="Arial"/>
                <w:color w:val="000000"/>
                <w:lang w:val="en-CA" w:eastAsia="en-GB"/>
              </w:rPr>
              <w:t>/</w:t>
            </w:r>
            <w:r w:rsidRPr="004A5974">
              <w:rPr>
                <w:rFonts w:ascii="Arial" w:hAnsi="Arial" w:cs="Arial"/>
                <w:color w:val="000000"/>
                <w:lang w:val="en-CA" w:eastAsia="en-GB"/>
              </w:rPr>
              <w:t xml:space="preserve">Loss </w:t>
            </w:r>
            <w:r w:rsidR="00D16C1D" w:rsidRPr="004A5974">
              <w:rPr>
                <w:rFonts w:ascii="Arial" w:hAnsi="Arial" w:cs="Arial"/>
                <w:color w:val="000000"/>
                <w:lang w:val="en-CA" w:eastAsia="en-GB"/>
              </w:rPr>
              <w:t xml:space="preserve">after </w:t>
            </w:r>
            <w:r w:rsidRPr="004A5974">
              <w:rPr>
                <w:rFonts w:ascii="Arial" w:hAnsi="Arial" w:cs="Arial"/>
                <w:color w:val="000000"/>
                <w:lang w:val="en-CA" w:eastAsia="en-GB"/>
              </w:rPr>
              <w:t>Tax</w:t>
            </w:r>
          </w:p>
        </w:tc>
        <w:tc>
          <w:tcPr>
            <w:tcW w:w="859" w:type="dxa"/>
            <w:tcBorders>
              <w:top w:val="nil"/>
              <w:left w:val="nil"/>
              <w:bottom w:val="single" w:sz="4" w:space="0" w:color="auto"/>
              <w:right w:val="single" w:sz="4" w:space="0" w:color="auto"/>
            </w:tcBorders>
            <w:shd w:val="clear" w:color="auto" w:fill="auto"/>
            <w:noWrap/>
            <w:vAlign w:val="bottom"/>
            <w:hideMark/>
          </w:tcPr>
          <w:p w14:paraId="5EC9BF67"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135</w:t>
            </w:r>
          </w:p>
        </w:tc>
        <w:tc>
          <w:tcPr>
            <w:tcW w:w="1090" w:type="dxa"/>
            <w:tcBorders>
              <w:top w:val="nil"/>
              <w:left w:val="nil"/>
              <w:bottom w:val="single" w:sz="4" w:space="0" w:color="auto"/>
              <w:right w:val="single" w:sz="4" w:space="0" w:color="auto"/>
            </w:tcBorders>
            <w:shd w:val="clear" w:color="auto" w:fill="auto"/>
            <w:noWrap/>
            <w:vAlign w:val="bottom"/>
            <w:hideMark/>
          </w:tcPr>
          <w:p w14:paraId="7CC0B312"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185</w:t>
            </w:r>
          </w:p>
        </w:tc>
        <w:tc>
          <w:tcPr>
            <w:tcW w:w="1090" w:type="dxa"/>
            <w:tcBorders>
              <w:top w:val="nil"/>
              <w:left w:val="nil"/>
              <w:bottom w:val="single" w:sz="4" w:space="0" w:color="auto"/>
              <w:right w:val="single" w:sz="4" w:space="0" w:color="auto"/>
            </w:tcBorders>
            <w:shd w:val="clear" w:color="auto" w:fill="auto"/>
            <w:noWrap/>
            <w:vAlign w:val="bottom"/>
            <w:hideMark/>
          </w:tcPr>
          <w:p w14:paraId="07A2C5E2"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100</w:t>
            </w:r>
          </w:p>
        </w:tc>
        <w:tc>
          <w:tcPr>
            <w:tcW w:w="1090" w:type="dxa"/>
            <w:tcBorders>
              <w:top w:val="nil"/>
              <w:left w:val="nil"/>
              <w:bottom w:val="single" w:sz="4" w:space="0" w:color="auto"/>
              <w:right w:val="single" w:sz="4" w:space="0" w:color="auto"/>
            </w:tcBorders>
            <w:shd w:val="clear" w:color="auto" w:fill="auto"/>
            <w:noWrap/>
            <w:vAlign w:val="bottom"/>
            <w:hideMark/>
          </w:tcPr>
          <w:p w14:paraId="0A8E2AD3"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178</w:t>
            </w:r>
          </w:p>
        </w:tc>
        <w:tc>
          <w:tcPr>
            <w:tcW w:w="1001" w:type="dxa"/>
            <w:tcBorders>
              <w:top w:val="nil"/>
              <w:left w:val="nil"/>
              <w:bottom w:val="single" w:sz="4" w:space="0" w:color="auto"/>
              <w:right w:val="single" w:sz="4" w:space="0" w:color="auto"/>
            </w:tcBorders>
            <w:shd w:val="clear" w:color="auto" w:fill="auto"/>
            <w:noWrap/>
            <w:vAlign w:val="bottom"/>
            <w:hideMark/>
          </w:tcPr>
          <w:p w14:paraId="0B0D8B37"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213</w:t>
            </w:r>
          </w:p>
        </w:tc>
      </w:tr>
      <w:tr w:rsidR="00B546D6" w:rsidRPr="004A5974" w14:paraId="43E4A01E" w14:textId="77777777" w:rsidTr="004A5974">
        <w:trPr>
          <w:trHeight w:val="241"/>
        </w:trPr>
        <w:tc>
          <w:tcPr>
            <w:tcW w:w="9445"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0BDFECB" w14:textId="2DA3BB5B" w:rsidR="00B546D6" w:rsidRPr="004A5974" w:rsidRDefault="002F7B19" w:rsidP="00B41BF2">
            <w:pPr>
              <w:rPr>
                <w:rFonts w:ascii="Arial" w:hAnsi="Arial" w:cs="Arial"/>
                <w:b/>
                <w:bCs/>
                <w:color w:val="000000"/>
                <w:lang w:val="en-CA" w:eastAsia="en-GB"/>
              </w:rPr>
            </w:pPr>
            <w:r w:rsidRPr="004A5974">
              <w:rPr>
                <w:rFonts w:ascii="Arial" w:hAnsi="Arial" w:cs="Arial"/>
                <w:b/>
                <w:bCs/>
                <w:color w:val="000000"/>
                <w:lang w:val="en-CA" w:eastAsia="en-GB"/>
              </w:rPr>
              <w:t>Key Ratios</w:t>
            </w:r>
          </w:p>
        </w:tc>
      </w:tr>
      <w:tr w:rsidR="00B546D6" w:rsidRPr="004A5974" w14:paraId="18F0CFBE" w14:textId="77777777" w:rsidTr="004A5974">
        <w:trPr>
          <w:trHeight w:val="241"/>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4DF67CE" w14:textId="683AD65B" w:rsidR="00B546D6" w:rsidRPr="004A5974" w:rsidRDefault="00D16C1D" w:rsidP="00B41BF2">
            <w:pPr>
              <w:rPr>
                <w:rFonts w:ascii="Arial" w:hAnsi="Arial" w:cs="Arial"/>
                <w:color w:val="000000"/>
                <w:lang w:val="en-CA" w:eastAsia="en-GB"/>
              </w:rPr>
            </w:pPr>
            <w:r w:rsidRPr="004A5974">
              <w:rPr>
                <w:rFonts w:ascii="Arial" w:hAnsi="Arial" w:cs="Arial"/>
                <w:color w:val="000000"/>
                <w:lang w:val="en-CA" w:eastAsia="en-GB"/>
              </w:rPr>
              <w:t>Loan-to-Deposit</w:t>
            </w:r>
            <w:r w:rsidR="00B546D6" w:rsidRPr="004A5974">
              <w:rPr>
                <w:rFonts w:ascii="Arial" w:hAnsi="Arial" w:cs="Arial"/>
                <w:color w:val="000000"/>
                <w:lang w:val="en-CA" w:eastAsia="en-GB"/>
              </w:rPr>
              <w:t xml:space="preserve"> </w:t>
            </w:r>
            <w:r w:rsidR="002F7B19" w:rsidRPr="004A5974">
              <w:rPr>
                <w:rFonts w:ascii="Arial" w:hAnsi="Arial" w:cs="Arial"/>
                <w:color w:val="000000"/>
                <w:lang w:val="en-CA" w:eastAsia="en-GB"/>
              </w:rPr>
              <w:t>Ratio (%)</w:t>
            </w:r>
          </w:p>
        </w:tc>
        <w:tc>
          <w:tcPr>
            <w:tcW w:w="859" w:type="dxa"/>
            <w:tcBorders>
              <w:top w:val="nil"/>
              <w:left w:val="nil"/>
              <w:bottom w:val="single" w:sz="4" w:space="0" w:color="auto"/>
              <w:right w:val="single" w:sz="4" w:space="0" w:color="auto"/>
            </w:tcBorders>
            <w:shd w:val="clear" w:color="auto" w:fill="auto"/>
            <w:noWrap/>
            <w:vAlign w:val="bottom"/>
            <w:hideMark/>
          </w:tcPr>
          <w:p w14:paraId="799E198E"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 xml:space="preserve"> 97.20 </w:t>
            </w:r>
          </w:p>
        </w:tc>
        <w:tc>
          <w:tcPr>
            <w:tcW w:w="1090" w:type="dxa"/>
            <w:tcBorders>
              <w:top w:val="nil"/>
              <w:left w:val="nil"/>
              <w:bottom w:val="single" w:sz="4" w:space="0" w:color="auto"/>
              <w:right w:val="single" w:sz="4" w:space="0" w:color="auto"/>
            </w:tcBorders>
            <w:shd w:val="clear" w:color="auto" w:fill="auto"/>
            <w:noWrap/>
            <w:vAlign w:val="bottom"/>
            <w:hideMark/>
          </w:tcPr>
          <w:p w14:paraId="414766FB"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 xml:space="preserve"> 95.42 </w:t>
            </w:r>
          </w:p>
        </w:tc>
        <w:tc>
          <w:tcPr>
            <w:tcW w:w="1090" w:type="dxa"/>
            <w:tcBorders>
              <w:top w:val="nil"/>
              <w:left w:val="nil"/>
              <w:bottom w:val="single" w:sz="4" w:space="0" w:color="auto"/>
              <w:right w:val="single" w:sz="4" w:space="0" w:color="auto"/>
            </w:tcBorders>
            <w:shd w:val="clear" w:color="auto" w:fill="auto"/>
            <w:noWrap/>
            <w:vAlign w:val="bottom"/>
            <w:hideMark/>
          </w:tcPr>
          <w:p w14:paraId="6B46718A"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 xml:space="preserve"> 96.22 </w:t>
            </w:r>
          </w:p>
        </w:tc>
        <w:tc>
          <w:tcPr>
            <w:tcW w:w="1090" w:type="dxa"/>
            <w:tcBorders>
              <w:top w:val="nil"/>
              <w:left w:val="nil"/>
              <w:bottom w:val="single" w:sz="4" w:space="0" w:color="auto"/>
              <w:right w:val="single" w:sz="4" w:space="0" w:color="auto"/>
            </w:tcBorders>
            <w:shd w:val="clear" w:color="auto" w:fill="auto"/>
            <w:noWrap/>
            <w:vAlign w:val="bottom"/>
            <w:hideMark/>
          </w:tcPr>
          <w:p w14:paraId="087EAA7B"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96.18</w:t>
            </w:r>
          </w:p>
        </w:tc>
        <w:tc>
          <w:tcPr>
            <w:tcW w:w="1001" w:type="dxa"/>
            <w:tcBorders>
              <w:top w:val="nil"/>
              <w:left w:val="nil"/>
              <w:bottom w:val="single" w:sz="4" w:space="0" w:color="auto"/>
              <w:right w:val="single" w:sz="4" w:space="0" w:color="auto"/>
            </w:tcBorders>
            <w:shd w:val="clear" w:color="auto" w:fill="auto"/>
            <w:noWrap/>
            <w:vAlign w:val="bottom"/>
            <w:hideMark/>
          </w:tcPr>
          <w:p w14:paraId="7E5EE129"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 xml:space="preserve"> 163.10 </w:t>
            </w:r>
          </w:p>
        </w:tc>
      </w:tr>
      <w:tr w:rsidR="00B546D6" w:rsidRPr="004A5974" w14:paraId="6921729A" w14:textId="77777777" w:rsidTr="004A5974">
        <w:trPr>
          <w:trHeight w:val="241"/>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695E6A96" w14:textId="53792F2C" w:rsidR="00B546D6" w:rsidRPr="004A5974" w:rsidRDefault="00B546D6" w:rsidP="00B41BF2">
            <w:pPr>
              <w:rPr>
                <w:rFonts w:ascii="Arial" w:hAnsi="Arial" w:cs="Arial"/>
                <w:color w:val="000000"/>
                <w:lang w:val="en-CA" w:eastAsia="en-GB"/>
              </w:rPr>
            </w:pPr>
            <w:r w:rsidRPr="004A5974">
              <w:rPr>
                <w:rFonts w:ascii="Arial" w:hAnsi="Arial" w:cs="Arial"/>
                <w:color w:val="000000"/>
                <w:lang w:val="en-CA" w:eastAsia="en-GB"/>
              </w:rPr>
              <w:t xml:space="preserve">Capital </w:t>
            </w:r>
            <w:r w:rsidR="002F7B19" w:rsidRPr="004A5974">
              <w:rPr>
                <w:rFonts w:ascii="Arial" w:hAnsi="Arial" w:cs="Arial"/>
                <w:color w:val="000000"/>
                <w:lang w:val="en-CA" w:eastAsia="en-GB"/>
              </w:rPr>
              <w:t>Adequacy Ratio (%)</w:t>
            </w:r>
          </w:p>
        </w:tc>
        <w:tc>
          <w:tcPr>
            <w:tcW w:w="859" w:type="dxa"/>
            <w:tcBorders>
              <w:top w:val="nil"/>
              <w:left w:val="nil"/>
              <w:bottom w:val="single" w:sz="4" w:space="0" w:color="auto"/>
              <w:right w:val="single" w:sz="4" w:space="0" w:color="auto"/>
            </w:tcBorders>
            <w:shd w:val="clear" w:color="auto" w:fill="auto"/>
            <w:noWrap/>
            <w:vAlign w:val="bottom"/>
            <w:hideMark/>
          </w:tcPr>
          <w:p w14:paraId="662BF008"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 xml:space="preserve"> 23.79 </w:t>
            </w:r>
          </w:p>
        </w:tc>
        <w:tc>
          <w:tcPr>
            <w:tcW w:w="1090" w:type="dxa"/>
            <w:tcBorders>
              <w:top w:val="nil"/>
              <w:left w:val="nil"/>
              <w:bottom w:val="single" w:sz="4" w:space="0" w:color="auto"/>
              <w:right w:val="single" w:sz="4" w:space="0" w:color="auto"/>
            </w:tcBorders>
            <w:shd w:val="clear" w:color="auto" w:fill="auto"/>
            <w:noWrap/>
            <w:vAlign w:val="bottom"/>
            <w:hideMark/>
          </w:tcPr>
          <w:p w14:paraId="3EA44031"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 xml:space="preserve"> 25.03 </w:t>
            </w:r>
          </w:p>
        </w:tc>
        <w:tc>
          <w:tcPr>
            <w:tcW w:w="1090" w:type="dxa"/>
            <w:tcBorders>
              <w:top w:val="nil"/>
              <w:left w:val="nil"/>
              <w:bottom w:val="single" w:sz="4" w:space="0" w:color="auto"/>
              <w:right w:val="single" w:sz="4" w:space="0" w:color="auto"/>
            </w:tcBorders>
            <w:shd w:val="clear" w:color="auto" w:fill="auto"/>
            <w:noWrap/>
            <w:vAlign w:val="bottom"/>
            <w:hideMark/>
          </w:tcPr>
          <w:p w14:paraId="3E3F771C"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 xml:space="preserve"> 24.64 </w:t>
            </w:r>
          </w:p>
        </w:tc>
        <w:tc>
          <w:tcPr>
            <w:tcW w:w="1090" w:type="dxa"/>
            <w:tcBorders>
              <w:top w:val="nil"/>
              <w:left w:val="nil"/>
              <w:bottom w:val="single" w:sz="4" w:space="0" w:color="auto"/>
              <w:right w:val="single" w:sz="4" w:space="0" w:color="auto"/>
            </w:tcBorders>
            <w:shd w:val="clear" w:color="auto" w:fill="auto"/>
            <w:noWrap/>
            <w:vAlign w:val="bottom"/>
            <w:hideMark/>
          </w:tcPr>
          <w:p w14:paraId="23C948D0"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 xml:space="preserve"> 25.26 </w:t>
            </w:r>
          </w:p>
        </w:tc>
        <w:tc>
          <w:tcPr>
            <w:tcW w:w="1001" w:type="dxa"/>
            <w:tcBorders>
              <w:top w:val="nil"/>
              <w:left w:val="nil"/>
              <w:bottom w:val="single" w:sz="4" w:space="0" w:color="auto"/>
              <w:right w:val="single" w:sz="4" w:space="0" w:color="auto"/>
            </w:tcBorders>
            <w:shd w:val="clear" w:color="auto" w:fill="auto"/>
            <w:noWrap/>
            <w:vAlign w:val="bottom"/>
            <w:hideMark/>
          </w:tcPr>
          <w:p w14:paraId="7BFB0CA8"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 xml:space="preserve"> 24.20 </w:t>
            </w:r>
          </w:p>
        </w:tc>
      </w:tr>
      <w:tr w:rsidR="00B546D6" w:rsidRPr="004A5974" w14:paraId="7BA0B4B4" w14:textId="77777777" w:rsidTr="004A5974">
        <w:trPr>
          <w:trHeight w:val="241"/>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43367B9A" w14:textId="343E4550" w:rsidR="00B546D6" w:rsidRPr="004A5974" w:rsidRDefault="00B546D6" w:rsidP="00B41BF2">
            <w:pPr>
              <w:rPr>
                <w:rFonts w:ascii="Arial" w:hAnsi="Arial" w:cs="Arial"/>
                <w:color w:val="000000"/>
                <w:lang w:val="en-CA" w:eastAsia="en-GB"/>
              </w:rPr>
            </w:pPr>
            <w:r w:rsidRPr="004A5974">
              <w:rPr>
                <w:rFonts w:ascii="Arial" w:hAnsi="Arial" w:cs="Arial"/>
                <w:color w:val="000000"/>
                <w:lang w:val="en-CA" w:eastAsia="en-GB"/>
              </w:rPr>
              <w:t xml:space="preserve">Operating </w:t>
            </w:r>
            <w:r w:rsidR="002F7B19" w:rsidRPr="004A5974">
              <w:rPr>
                <w:rFonts w:ascii="Arial" w:hAnsi="Arial" w:cs="Arial"/>
                <w:color w:val="000000"/>
                <w:lang w:val="en-CA" w:eastAsia="en-GB"/>
              </w:rPr>
              <w:t xml:space="preserve">Expenses </w:t>
            </w:r>
            <w:r w:rsidR="00083836" w:rsidRPr="004A5974">
              <w:rPr>
                <w:rFonts w:ascii="Arial" w:hAnsi="Arial" w:cs="Arial"/>
                <w:color w:val="000000"/>
                <w:lang w:val="en-CA" w:eastAsia="en-GB"/>
              </w:rPr>
              <w:t xml:space="preserve">to </w:t>
            </w:r>
            <w:r w:rsidR="002F7B19" w:rsidRPr="004A5974">
              <w:rPr>
                <w:rFonts w:ascii="Arial" w:hAnsi="Arial" w:cs="Arial"/>
                <w:color w:val="000000"/>
                <w:lang w:val="en-CA" w:eastAsia="en-GB"/>
              </w:rPr>
              <w:t>Operating Income (%)</w:t>
            </w:r>
          </w:p>
        </w:tc>
        <w:tc>
          <w:tcPr>
            <w:tcW w:w="859" w:type="dxa"/>
            <w:tcBorders>
              <w:top w:val="nil"/>
              <w:left w:val="nil"/>
              <w:bottom w:val="single" w:sz="4" w:space="0" w:color="auto"/>
              <w:right w:val="single" w:sz="4" w:space="0" w:color="auto"/>
            </w:tcBorders>
            <w:shd w:val="clear" w:color="auto" w:fill="auto"/>
            <w:noWrap/>
            <w:vAlign w:val="bottom"/>
            <w:hideMark/>
          </w:tcPr>
          <w:p w14:paraId="1C308DE0"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 xml:space="preserve"> 82.14 </w:t>
            </w:r>
          </w:p>
        </w:tc>
        <w:tc>
          <w:tcPr>
            <w:tcW w:w="1090" w:type="dxa"/>
            <w:tcBorders>
              <w:top w:val="nil"/>
              <w:left w:val="nil"/>
              <w:bottom w:val="single" w:sz="4" w:space="0" w:color="auto"/>
              <w:right w:val="single" w:sz="4" w:space="0" w:color="auto"/>
            </w:tcBorders>
            <w:shd w:val="clear" w:color="auto" w:fill="auto"/>
            <w:noWrap/>
            <w:vAlign w:val="bottom"/>
            <w:hideMark/>
          </w:tcPr>
          <w:p w14:paraId="0DBF966E"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 xml:space="preserve"> 81.93 </w:t>
            </w:r>
          </w:p>
        </w:tc>
        <w:tc>
          <w:tcPr>
            <w:tcW w:w="1090" w:type="dxa"/>
            <w:tcBorders>
              <w:top w:val="nil"/>
              <w:left w:val="nil"/>
              <w:bottom w:val="single" w:sz="4" w:space="0" w:color="auto"/>
              <w:right w:val="single" w:sz="4" w:space="0" w:color="auto"/>
            </w:tcBorders>
            <w:shd w:val="clear" w:color="auto" w:fill="auto"/>
            <w:noWrap/>
            <w:vAlign w:val="bottom"/>
            <w:hideMark/>
          </w:tcPr>
          <w:p w14:paraId="09FABB74"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 xml:space="preserve"> 86.49 </w:t>
            </w:r>
          </w:p>
        </w:tc>
        <w:tc>
          <w:tcPr>
            <w:tcW w:w="1090" w:type="dxa"/>
            <w:tcBorders>
              <w:top w:val="nil"/>
              <w:left w:val="nil"/>
              <w:bottom w:val="single" w:sz="4" w:space="0" w:color="auto"/>
              <w:right w:val="single" w:sz="4" w:space="0" w:color="auto"/>
            </w:tcBorders>
            <w:shd w:val="clear" w:color="auto" w:fill="auto"/>
            <w:noWrap/>
            <w:vAlign w:val="bottom"/>
            <w:hideMark/>
          </w:tcPr>
          <w:p w14:paraId="72F5FB2C"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 xml:space="preserve"> 79.18 </w:t>
            </w:r>
          </w:p>
        </w:tc>
        <w:tc>
          <w:tcPr>
            <w:tcW w:w="1001" w:type="dxa"/>
            <w:tcBorders>
              <w:top w:val="nil"/>
              <w:left w:val="nil"/>
              <w:bottom w:val="single" w:sz="4" w:space="0" w:color="auto"/>
              <w:right w:val="single" w:sz="4" w:space="0" w:color="auto"/>
            </w:tcBorders>
            <w:shd w:val="clear" w:color="auto" w:fill="auto"/>
            <w:noWrap/>
            <w:vAlign w:val="bottom"/>
            <w:hideMark/>
          </w:tcPr>
          <w:p w14:paraId="61B1C35D"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 xml:space="preserve"> 79.40 </w:t>
            </w:r>
          </w:p>
        </w:tc>
      </w:tr>
      <w:tr w:rsidR="00B546D6" w:rsidRPr="004A5974" w14:paraId="24E447BD" w14:textId="77777777" w:rsidTr="004A5974">
        <w:trPr>
          <w:trHeight w:val="241"/>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5F414923" w14:textId="1C021844" w:rsidR="00B546D6" w:rsidRPr="004A5974" w:rsidRDefault="00B546D6" w:rsidP="00B41BF2">
            <w:pPr>
              <w:rPr>
                <w:rFonts w:ascii="Arial" w:hAnsi="Arial" w:cs="Arial"/>
                <w:color w:val="000000"/>
                <w:lang w:val="en-CA" w:eastAsia="en-GB"/>
              </w:rPr>
            </w:pPr>
            <w:r w:rsidRPr="004A5974">
              <w:rPr>
                <w:rFonts w:ascii="Arial" w:hAnsi="Arial" w:cs="Arial"/>
                <w:color w:val="000000"/>
                <w:lang w:val="en-CA" w:eastAsia="en-GB"/>
              </w:rPr>
              <w:t>Non</w:t>
            </w:r>
            <w:r w:rsidR="002F7B19" w:rsidRPr="004A5974">
              <w:rPr>
                <w:rFonts w:ascii="Arial" w:hAnsi="Arial" w:cs="Arial"/>
                <w:color w:val="000000"/>
                <w:lang w:val="en-CA" w:eastAsia="en-GB"/>
              </w:rPr>
              <w:t>-</w:t>
            </w:r>
            <w:r w:rsidR="009A10C2" w:rsidRPr="004A5974">
              <w:rPr>
                <w:rFonts w:ascii="Arial" w:hAnsi="Arial" w:cs="Arial"/>
                <w:color w:val="000000"/>
                <w:lang w:val="en-CA" w:eastAsia="en-GB"/>
              </w:rPr>
              <w:t xml:space="preserve">performing </w:t>
            </w:r>
            <w:r w:rsidR="002F7B19" w:rsidRPr="004A5974">
              <w:rPr>
                <w:rFonts w:ascii="Arial" w:hAnsi="Arial" w:cs="Arial"/>
                <w:color w:val="000000"/>
                <w:lang w:val="en-CA" w:eastAsia="en-GB"/>
              </w:rPr>
              <w:t>Loan</w:t>
            </w:r>
            <w:r w:rsidR="00397503" w:rsidRPr="004A5974">
              <w:rPr>
                <w:rFonts w:ascii="Arial" w:hAnsi="Arial" w:cs="Arial"/>
                <w:color w:val="000000"/>
                <w:lang w:val="en-CA" w:eastAsia="en-GB"/>
              </w:rPr>
              <w:t>s</w:t>
            </w:r>
            <w:r w:rsidR="002F7B19" w:rsidRPr="004A5974">
              <w:rPr>
                <w:rFonts w:ascii="Arial" w:hAnsi="Arial" w:cs="Arial"/>
                <w:color w:val="000000"/>
                <w:lang w:val="en-CA" w:eastAsia="en-GB"/>
              </w:rPr>
              <w:t>-</w:t>
            </w:r>
            <w:r w:rsidRPr="004A5974">
              <w:rPr>
                <w:rFonts w:ascii="Arial" w:hAnsi="Arial" w:cs="Arial"/>
                <w:color w:val="000000"/>
                <w:lang w:val="en-CA" w:eastAsia="en-GB"/>
              </w:rPr>
              <w:t xml:space="preserve">Gross </w:t>
            </w:r>
            <w:r w:rsidR="002F7B19" w:rsidRPr="004A5974">
              <w:rPr>
                <w:rFonts w:ascii="Arial" w:hAnsi="Arial" w:cs="Arial"/>
                <w:color w:val="000000"/>
                <w:lang w:val="en-CA" w:eastAsia="en-GB"/>
              </w:rPr>
              <w:t>(%)</w:t>
            </w:r>
          </w:p>
        </w:tc>
        <w:tc>
          <w:tcPr>
            <w:tcW w:w="859" w:type="dxa"/>
            <w:tcBorders>
              <w:top w:val="nil"/>
              <w:left w:val="nil"/>
              <w:bottom w:val="single" w:sz="4" w:space="0" w:color="auto"/>
              <w:right w:val="single" w:sz="4" w:space="0" w:color="auto"/>
            </w:tcBorders>
            <w:shd w:val="clear" w:color="auto" w:fill="auto"/>
            <w:noWrap/>
            <w:vAlign w:val="bottom"/>
            <w:hideMark/>
          </w:tcPr>
          <w:p w14:paraId="669FA558"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 xml:space="preserve"> 0.70 </w:t>
            </w:r>
          </w:p>
        </w:tc>
        <w:tc>
          <w:tcPr>
            <w:tcW w:w="1090" w:type="dxa"/>
            <w:tcBorders>
              <w:top w:val="nil"/>
              <w:left w:val="nil"/>
              <w:bottom w:val="single" w:sz="4" w:space="0" w:color="auto"/>
              <w:right w:val="single" w:sz="4" w:space="0" w:color="auto"/>
            </w:tcBorders>
            <w:shd w:val="clear" w:color="auto" w:fill="auto"/>
            <w:noWrap/>
            <w:vAlign w:val="bottom"/>
            <w:hideMark/>
          </w:tcPr>
          <w:p w14:paraId="159714D0"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 xml:space="preserve"> 0.79 </w:t>
            </w:r>
          </w:p>
        </w:tc>
        <w:tc>
          <w:tcPr>
            <w:tcW w:w="1090" w:type="dxa"/>
            <w:tcBorders>
              <w:top w:val="nil"/>
              <w:left w:val="nil"/>
              <w:bottom w:val="single" w:sz="4" w:space="0" w:color="auto"/>
              <w:right w:val="single" w:sz="4" w:space="0" w:color="auto"/>
            </w:tcBorders>
            <w:shd w:val="clear" w:color="auto" w:fill="auto"/>
            <w:noWrap/>
            <w:vAlign w:val="bottom"/>
            <w:hideMark/>
          </w:tcPr>
          <w:p w14:paraId="60061BFE"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 xml:space="preserve"> 0.90 </w:t>
            </w:r>
          </w:p>
        </w:tc>
        <w:tc>
          <w:tcPr>
            <w:tcW w:w="1090" w:type="dxa"/>
            <w:tcBorders>
              <w:top w:val="nil"/>
              <w:left w:val="nil"/>
              <w:bottom w:val="single" w:sz="4" w:space="0" w:color="auto"/>
              <w:right w:val="single" w:sz="4" w:space="0" w:color="auto"/>
            </w:tcBorders>
            <w:shd w:val="clear" w:color="auto" w:fill="auto"/>
            <w:noWrap/>
            <w:vAlign w:val="bottom"/>
            <w:hideMark/>
          </w:tcPr>
          <w:p w14:paraId="656CD476"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 xml:space="preserve"> 1.24 </w:t>
            </w:r>
          </w:p>
        </w:tc>
        <w:tc>
          <w:tcPr>
            <w:tcW w:w="1001" w:type="dxa"/>
            <w:tcBorders>
              <w:top w:val="nil"/>
              <w:left w:val="nil"/>
              <w:bottom w:val="single" w:sz="4" w:space="0" w:color="auto"/>
              <w:right w:val="single" w:sz="4" w:space="0" w:color="auto"/>
            </w:tcBorders>
            <w:shd w:val="clear" w:color="auto" w:fill="auto"/>
            <w:noWrap/>
            <w:vAlign w:val="bottom"/>
            <w:hideMark/>
          </w:tcPr>
          <w:p w14:paraId="1B1F9001" w14:textId="77777777" w:rsidR="00B546D6" w:rsidRPr="004A5974" w:rsidRDefault="00B546D6" w:rsidP="00B41BF2">
            <w:pPr>
              <w:jc w:val="right"/>
              <w:rPr>
                <w:rFonts w:ascii="Arial" w:hAnsi="Arial" w:cs="Arial"/>
                <w:color w:val="000000"/>
                <w:lang w:val="en-CA" w:eastAsia="en-GB"/>
              </w:rPr>
            </w:pPr>
            <w:r w:rsidRPr="004A5974">
              <w:rPr>
                <w:rFonts w:ascii="Arial" w:hAnsi="Arial" w:cs="Arial"/>
                <w:color w:val="000000"/>
                <w:lang w:val="en-CA" w:eastAsia="en-GB"/>
              </w:rPr>
              <w:t xml:space="preserve"> 0.80 </w:t>
            </w:r>
          </w:p>
        </w:tc>
      </w:tr>
    </w:tbl>
    <w:p w14:paraId="2A4F9FA3" w14:textId="77777777" w:rsidR="00B546D6" w:rsidRPr="004A5974" w:rsidRDefault="00B546D6" w:rsidP="00B546D6">
      <w:pPr>
        <w:pStyle w:val="ExhibitText"/>
        <w:rPr>
          <w:lang w:val="en-CA"/>
        </w:rPr>
      </w:pPr>
    </w:p>
    <w:p w14:paraId="3AEB6B4B" w14:textId="2ABC928A" w:rsidR="00B546D6" w:rsidRPr="004A5974" w:rsidRDefault="00B546D6" w:rsidP="00B546D6">
      <w:pPr>
        <w:pStyle w:val="Footnote"/>
        <w:rPr>
          <w:lang w:val="en-CA"/>
        </w:rPr>
      </w:pPr>
      <w:r w:rsidRPr="004A5974">
        <w:rPr>
          <w:lang w:val="en-CA"/>
        </w:rPr>
        <w:t xml:space="preserve">Note: </w:t>
      </w:r>
      <w:r w:rsidR="00117143" w:rsidRPr="004A5974">
        <w:rPr>
          <w:lang w:val="en-CA"/>
        </w:rPr>
        <w:t xml:space="preserve">In US$ million, except where indicated; </w:t>
      </w:r>
      <w:r w:rsidRPr="004A5974">
        <w:rPr>
          <w:lang w:val="en-CA"/>
        </w:rPr>
        <w:t>US</w:t>
      </w:r>
      <w:r w:rsidR="00083836" w:rsidRPr="004A5974">
        <w:rPr>
          <w:lang w:val="en-CA"/>
        </w:rPr>
        <w:t>$1</w:t>
      </w:r>
      <w:r w:rsidRPr="004A5974">
        <w:rPr>
          <w:lang w:val="en-CA"/>
        </w:rPr>
        <w:t xml:space="preserve"> = </w:t>
      </w:r>
      <w:r w:rsidR="00175BA4" w:rsidRPr="004A5974">
        <w:rPr>
          <w:lang w:val="en-CA"/>
        </w:rPr>
        <w:t>Rp</w:t>
      </w:r>
      <w:r w:rsidRPr="004A5974">
        <w:rPr>
          <w:lang w:val="en-CA"/>
        </w:rPr>
        <w:t>14,058.80</w:t>
      </w:r>
      <w:r w:rsidR="002E0F0D" w:rsidRPr="004A5974">
        <w:rPr>
          <w:lang w:val="en-CA"/>
        </w:rPr>
        <w:t xml:space="preserve"> </w:t>
      </w:r>
      <w:r w:rsidR="00F0069C" w:rsidRPr="004A5974">
        <w:rPr>
          <w:lang w:val="en-CA"/>
        </w:rPr>
        <w:t xml:space="preserve">on </w:t>
      </w:r>
      <w:r w:rsidR="00A8608C" w:rsidRPr="004A5974">
        <w:rPr>
          <w:lang w:val="en-CA"/>
        </w:rPr>
        <w:t>J</w:t>
      </w:r>
      <w:r w:rsidR="002E0F0D" w:rsidRPr="004A5974">
        <w:rPr>
          <w:lang w:val="en-CA"/>
        </w:rPr>
        <w:t>uly 10, 2020</w:t>
      </w:r>
      <w:r w:rsidR="00175BA4" w:rsidRPr="004A5974">
        <w:rPr>
          <w:lang w:val="en-CA"/>
        </w:rPr>
        <w:t>; Rp = IDR =</w:t>
      </w:r>
      <w:r w:rsidRPr="004A5974">
        <w:rPr>
          <w:lang w:val="en-CA"/>
        </w:rPr>
        <w:t xml:space="preserve"> Indonesian </w:t>
      </w:r>
      <w:r w:rsidR="00175BA4" w:rsidRPr="004A5974">
        <w:rPr>
          <w:lang w:val="en-CA"/>
        </w:rPr>
        <w:t>rupiah</w:t>
      </w:r>
      <w:r w:rsidR="00991876">
        <w:rPr>
          <w:lang w:val="en-CA"/>
        </w:rPr>
        <w:t>.</w:t>
      </w:r>
    </w:p>
    <w:p w14:paraId="64A0DB2D" w14:textId="4AEDEF17" w:rsidR="00BC2FC7" w:rsidRDefault="00B546D6" w:rsidP="00B546D6">
      <w:pPr>
        <w:pStyle w:val="Footnote"/>
        <w:rPr>
          <w:lang w:val="en-CA"/>
        </w:rPr>
      </w:pPr>
      <w:r w:rsidRPr="004A5974">
        <w:rPr>
          <w:lang w:val="en-CA"/>
        </w:rPr>
        <w:t xml:space="preserve">Source: </w:t>
      </w:r>
      <w:r w:rsidR="00F0069C" w:rsidRPr="004A5974">
        <w:rPr>
          <w:lang w:val="en-CA"/>
        </w:rPr>
        <w:t>Compiled by the authors from the company’s annual reports for 2015–2019; “Investor Relations,” PT Bank Tabungan Pensiunan Nasional Tbk, accessed March 4, 2020, www.btpn.com/en/hubungan-investor/laporan-tahunan-dan-keberlanjutan/laporan-tahunan.</w:t>
      </w:r>
      <w:r w:rsidR="00EE6022" w:rsidRPr="004A5974">
        <w:rPr>
          <w:lang w:val="en-CA"/>
        </w:rPr>
        <w:t xml:space="preserve"> </w:t>
      </w:r>
    </w:p>
    <w:p w14:paraId="24FA2172" w14:textId="77777777" w:rsidR="00BC2FC7" w:rsidRDefault="00BC2FC7">
      <w:pPr>
        <w:spacing w:after="200" w:line="276" w:lineRule="auto"/>
        <w:rPr>
          <w:rFonts w:ascii="Arial" w:hAnsi="Arial" w:cs="Arial"/>
          <w:sz w:val="17"/>
          <w:szCs w:val="17"/>
          <w:lang w:val="en-CA"/>
        </w:rPr>
      </w:pPr>
      <w:r>
        <w:rPr>
          <w:lang w:val="en-CA"/>
        </w:rPr>
        <w:br w:type="page"/>
      </w:r>
    </w:p>
    <w:p w14:paraId="26C76802" w14:textId="7AEF80F3" w:rsidR="00B546D6" w:rsidRPr="004A5974" w:rsidRDefault="00BC2FC7" w:rsidP="00991876">
      <w:pPr>
        <w:pStyle w:val="ExhibitHeading"/>
        <w:jc w:val="left"/>
        <w:rPr>
          <w:lang w:val="en-CA"/>
        </w:rPr>
      </w:pPr>
      <w:r>
        <w:rPr>
          <w:lang w:val="en-CA"/>
        </w:rPr>
        <w:lastRenderedPageBreak/>
        <w:t>ENDNOTES</w:t>
      </w:r>
    </w:p>
    <w:sectPr w:rsidR="00B546D6" w:rsidRPr="004A5974" w:rsidSect="00751E0B">
      <w:headerReference w:type="default" r:id="rId9"/>
      <w:endnotePr>
        <w:numFmt w:val="decimal"/>
      </w:endnotePr>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6BE5E" w16cex:dateUtc="2020-12-30T13:52:00Z"/>
  <w16cex:commentExtensible w16cex:durableId="2396D4F7" w16cex:dateUtc="2020-12-30T15:2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1EDD1" w14:textId="77777777" w:rsidR="007848D8" w:rsidRDefault="007848D8" w:rsidP="00D75295">
      <w:r>
        <w:separator/>
      </w:r>
    </w:p>
  </w:endnote>
  <w:endnote w:type="continuationSeparator" w:id="0">
    <w:p w14:paraId="2D146141" w14:textId="77777777" w:rsidR="007848D8" w:rsidRDefault="007848D8" w:rsidP="00D75295">
      <w:r>
        <w:continuationSeparator/>
      </w:r>
    </w:p>
  </w:endnote>
  <w:endnote w:id="1">
    <w:p w14:paraId="7C720BB8" w14:textId="07831908" w:rsidR="00BC2FC7" w:rsidRPr="00BC2FC7" w:rsidRDefault="00BC2FC7" w:rsidP="00B546D6">
      <w:pPr>
        <w:pStyle w:val="Footnote"/>
        <w:rPr>
          <w:spacing w:val="-4"/>
          <w:kern w:val="17"/>
          <w:lang w:val="en-GB" w:eastAsia="en-SG"/>
        </w:rPr>
      </w:pPr>
      <w:r w:rsidRPr="00BC2FC7">
        <w:rPr>
          <w:rStyle w:val="EndnoteReference"/>
          <w:spacing w:val="-4"/>
          <w:kern w:val="17"/>
          <w:lang w:val="en-GB"/>
        </w:rPr>
        <w:endnoteRef/>
      </w:r>
      <w:r w:rsidRPr="00BC2FC7">
        <w:rPr>
          <w:spacing w:val="-4"/>
          <w:kern w:val="17"/>
          <w:lang w:val="en-GB"/>
        </w:rPr>
        <w:t xml:space="preserve"> Roshni </w:t>
      </w:r>
      <w:proofErr w:type="spellStart"/>
      <w:r w:rsidRPr="00BC2FC7">
        <w:rPr>
          <w:spacing w:val="-4"/>
          <w:kern w:val="17"/>
          <w:lang w:val="en-GB"/>
        </w:rPr>
        <w:t>Wani</w:t>
      </w:r>
      <w:proofErr w:type="spellEnd"/>
      <w:r w:rsidRPr="00BC2FC7">
        <w:rPr>
          <w:spacing w:val="-4"/>
          <w:kern w:val="17"/>
          <w:lang w:val="en-GB"/>
        </w:rPr>
        <w:t xml:space="preserve"> Thapa, </w:t>
      </w:r>
      <w:r w:rsidRPr="00BC2FC7">
        <w:rPr>
          <w:spacing w:val="-4"/>
          <w:kern w:val="17"/>
          <w:lang w:val="en-GB" w:eastAsia="en-SG"/>
        </w:rPr>
        <w:t>“Income and Expenditure Indonesia: The Country’s Middle Class Will Continue to Expand Robustly,” Market Research Blog, October 12, 2017, accessed March 7, 2020, https://blog.euromonitor.com/income-indonesia-middle-class/.</w:t>
      </w:r>
    </w:p>
  </w:endnote>
  <w:endnote w:id="2">
    <w:p w14:paraId="3E387BDE" w14:textId="54652A45" w:rsidR="00BC2FC7" w:rsidRPr="00F0069C" w:rsidRDefault="00BC2FC7" w:rsidP="00B546D6">
      <w:pPr>
        <w:pStyle w:val="Footnote"/>
        <w:rPr>
          <w:lang w:val="en-GB"/>
        </w:rPr>
      </w:pPr>
      <w:r w:rsidRPr="00F0069C">
        <w:rPr>
          <w:rStyle w:val="EndnoteReference"/>
          <w:lang w:val="en-GB"/>
        </w:rPr>
        <w:endnoteRef/>
      </w:r>
      <w:r w:rsidRPr="00F0069C">
        <w:rPr>
          <w:lang w:val="en-GB"/>
        </w:rPr>
        <w:t xml:space="preserve"> Dylan </w:t>
      </w:r>
      <w:proofErr w:type="spellStart"/>
      <w:r w:rsidRPr="00F0069C">
        <w:rPr>
          <w:lang w:val="en-GB"/>
        </w:rPr>
        <w:t>Amirio</w:t>
      </w:r>
      <w:proofErr w:type="spellEnd"/>
      <w:r w:rsidRPr="00F0069C">
        <w:rPr>
          <w:lang w:val="en-GB"/>
        </w:rPr>
        <w:t xml:space="preserve"> and Grace D. </w:t>
      </w:r>
      <w:proofErr w:type="spellStart"/>
      <w:r w:rsidRPr="00F0069C">
        <w:rPr>
          <w:lang w:val="en-GB"/>
        </w:rPr>
        <w:t>Amianti</w:t>
      </w:r>
      <w:proofErr w:type="spellEnd"/>
      <w:r w:rsidRPr="00F0069C">
        <w:rPr>
          <w:lang w:val="en-GB"/>
        </w:rPr>
        <w:t xml:space="preserve">, “Indonesia Reaches Out to Unbanked,” </w:t>
      </w:r>
      <w:r w:rsidRPr="00F0069C">
        <w:rPr>
          <w:i/>
          <w:iCs/>
          <w:lang w:val="en-GB"/>
        </w:rPr>
        <w:t>Jakarta Post</w:t>
      </w:r>
      <w:r w:rsidRPr="00F0069C">
        <w:rPr>
          <w:lang w:val="en-GB"/>
        </w:rPr>
        <w:t>, October 29, 2006, accessed March 7, 2020, www.thejakartapost.com/news/2016/10/29/indonesia-reaches-out-to--unbanked.html.</w:t>
      </w:r>
    </w:p>
  </w:endnote>
  <w:endnote w:id="3">
    <w:p w14:paraId="17F4CE64" w14:textId="65EE7AAB" w:rsidR="00BC2FC7" w:rsidRPr="00F0069C" w:rsidRDefault="00BC2FC7" w:rsidP="00B546D6">
      <w:pPr>
        <w:pStyle w:val="Footnote"/>
        <w:rPr>
          <w:lang w:val="en-GB"/>
        </w:rPr>
      </w:pPr>
      <w:r w:rsidRPr="00F0069C">
        <w:rPr>
          <w:rStyle w:val="EndnoteReference"/>
          <w:lang w:val="en-GB"/>
        </w:rPr>
        <w:endnoteRef/>
      </w:r>
      <w:r w:rsidRPr="00F0069C">
        <w:rPr>
          <w:lang w:val="en-GB"/>
        </w:rPr>
        <w:t xml:space="preserve"> </w:t>
      </w:r>
      <w:proofErr w:type="spellStart"/>
      <w:r w:rsidRPr="004A5974">
        <w:rPr>
          <w:spacing w:val="-2"/>
          <w:lang w:val="en-GB"/>
        </w:rPr>
        <w:t>Asli</w:t>
      </w:r>
      <w:proofErr w:type="spellEnd"/>
      <w:r w:rsidRPr="004A5974">
        <w:rPr>
          <w:spacing w:val="-2"/>
          <w:lang w:val="en-GB"/>
        </w:rPr>
        <w:t xml:space="preserve"> </w:t>
      </w:r>
      <w:proofErr w:type="spellStart"/>
      <w:r w:rsidRPr="004A5974">
        <w:rPr>
          <w:spacing w:val="-2"/>
          <w:lang w:val="en-GB"/>
        </w:rPr>
        <w:t>Demirgüç-Kunt</w:t>
      </w:r>
      <w:proofErr w:type="spellEnd"/>
      <w:r w:rsidRPr="004A5974">
        <w:rPr>
          <w:spacing w:val="-2"/>
          <w:lang w:val="en-GB"/>
        </w:rPr>
        <w:t xml:space="preserve">, Leora </w:t>
      </w:r>
      <w:proofErr w:type="spellStart"/>
      <w:r w:rsidRPr="004A5974">
        <w:rPr>
          <w:spacing w:val="-2"/>
          <w:lang w:val="en-GB"/>
        </w:rPr>
        <w:t>Klapper</w:t>
      </w:r>
      <w:proofErr w:type="spellEnd"/>
      <w:r w:rsidRPr="004A5974">
        <w:rPr>
          <w:spacing w:val="-2"/>
          <w:lang w:val="en-GB"/>
        </w:rPr>
        <w:t xml:space="preserve">, </w:t>
      </w:r>
      <w:proofErr w:type="spellStart"/>
      <w:r w:rsidRPr="004A5974">
        <w:rPr>
          <w:spacing w:val="-2"/>
          <w:lang w:val="en-GB"/>
        </w:rPr>
        <w:t>Dorothe</w:t>
      </w:r>
      <w:proofErr w:type="spellEnd"/>
      <w:r w:rsidRPr="004A5974">
        <w:rPr>
          <w:spacing w:val="-2"/>
          <w:lang w:val="en-GB"/>
        </w:rPr>
        <w:t xml:space="preserve"> Singer, Saniya Ansar, and Jake Hess, “The Unbanked,” in </w:t>
      </w:r>
      <w:r w:rsidRPr="004A5974">
        <w:rPr>
          <w:i/>
          <w:iCs/>
          <w:spacing w:val="-2"/>
          <w:lang w:val="en-GB"/>
        </w:rPr>
        <w:t xml:space="preserve">The Global </w:t>
      </w:r>
      <w:proofErr w:type="spellStart"/>
      <w:r w:rsidRPr="004A5974">
        <w:rPr>
          <w:i/>
          <w:iCs/>
          <w:spacing w:val="-2"/>
          <w:lang w:val="en-GB"/>
        </w:rPr>
        <w:t>Findex</w:t>
      </w:r>
      <w:proofErr w:type="spellEnd"/>
      <w:r w:rsidRPr="004A5974">
        <w:rPr>
          <w:i/>
          <w:iCs/>
          <w:spacing w:val="-2"/>
          <w:lang w:val="en-GB"/>
        </w:rPr>
        <w:t xml:space="preserve"> Database 2017</w:t>
      </w:r>
      <w:r w:rsidRPr="004A5974">
        <w:rPr>
          <w:spacing w:val="-2"/>
          <w:lang w:val="en-GB"/>
        </w:rPr>
        <w:t xml:space="preserve"> (New York: International Bank for Reconstruction and Development/The World Bank, 2018),</w:t>
      </w:r>
      <w:r w:rsidRPr="004A5974" w:rsidDel="001726C3">
        <w:rPr>
          <w:spacing w:val="-2"/>
          <w:lang w:val="en-GB"/>
        </w:rPr>
        <w:t xml:space="preserve"> </w:t>
      </w:r>
      <w:r w:rsidRPr="004A5974">
        <w:rPr>
          <w:spacing w:val="-2"/>
          <w:lang w:val="en-GB"/>
        </w:rPr>
        <w:t>chapter 2, 35–42.</w:t>
      </w:r>
    </w:p>
  </w:endnote>
  <w:endnote w:id="4">
    <w:p w14:paraId="259E8488" w14:textId="4D9980B8" w:rsidR="00BC2FC7" w:rsidRPr="00F0069C" w:rsidRDefault="00BC2FC7" w:rsidP="00B546D6">
      <w:pPr>
        <w:pStyle w:val="Footnote"/>
        <w:rPr>
          <w:lang w:val="en-GB"/>
        </w:rPr>
      </w:pPr>
      <w:r w:rsidRPr="00F0069C">
        <w:rPr>
          <w:rStyle w:val="EndnoteReference"/>
          <w:lang w:val="en-GB"/>
        </w:rPr>
        <w:endnoteRef/>
      </w:r>
      <w:r w:rsidRPr="00F0069C">
        <w:rPr>
          <w:lang w:val="en-GB"/>
        </w:rPr>
        <w:t xml:space="preserve"> “Forecasted Number of Mobile Phone Users in Indonesia from 2013 to 2019,” Statista, August 2015, accessed February 29, 2020, www.statista.com/statistics/274659/forecast-of-mobile-phone-users-in-indonesia.</w:t>
      </w:r>
    </w:p>
  </w:endnote>
  <w:endnote w:id="5">
    <w:p w14:paraId="4D4F23B5" w14:textId="14EBE9C3" w:rsidR="00BC2FC7" w:rsidRPr="00F0069C" w:rsidRDefault="00BC2FC7" w:rsidP="00B546D6">
      <w:pPr>
        <w:pStyle w:val="Footnote"/>
        <w:rPr>
          <w:lang w:val="en-GB"/>
        </w:rPr>
      </w:pPr>
      <w:r w:rsidRPr="00F0069C">
        <w:rPr>
          <w:rStyle w:val="EndnoteReference"/>
          <w:lang w:val="en-GB"/>
        </w:rPr>
        <w:endnoteRef/>
      </w:r>
      <w:r w:rsidRPr="00F0069C">
        <w:rPr>
          <w:lang w:val="en-GB"/>
        </w:rPr>
        <w:t xml:space="preserve"> “Smartphone Penetration Rate as Share of the Population in Indonesia from 2015 to 2025,” Statista, February 2019, accessed March 7, 2020, www.statista.com/statistics/321485/smartphone-user-penetration-in-indonesia/.</w:t>
      </w:r>
    </w:p>
  </w:endnote>
  <w:endnote w:id="6">
    <w:p w14:paraId="4F39B016" w14:textId="3973AC4A" w:rsidR="00BC2FC7" w:rsidRPr="00F0069C" w:rsidRDefault="00BC2FC7">
      <w:pPr>
        <w:pStyle w:val="EndnoteText"/>
        <w:rPr>
          <w:rFonts w:ascii="Arial" w:hAnsi="Arial" w:cs="Arial"/>
          <w:sz w:val="17"/>
          <w:szCs w:val="17"/>
          <w:lang w:val="en-CA"/>
        </w:rPr>
      </w:pPr>
      <w:r w:rsidRPr="00F0069C">
        <w:rPr>
          <w:rStyle w:val="EndnoteReference"/>
          <w:rFonts w:ascii="Arial" w:hAnsi="Arial" w:cs="Arial"/>
          <w:sz w:val="17"/>
          <w:szCs w:val="17"/>
        </w:rPr>
        <w:endnoteRef/>
      </w:r>
      <w:r w:rsidRPr="00F0069C">
        <w:rPr>
          <w:rFonts w:ascii="Arial" w:hAnsi="Arial" w:cs="Arial"/>
          <w:sz w:val="17"/>
          <w:szCs w:val="17"/>
        </w:rPr>
        <w:t xml:space="preserve"> </w:t>
      </w:r>
      <w:r w:rsidRPr="00F0069C">
        <w:rPr>
          <w:rFonts w:ascii="Arial" w:hAnsi="Arial" w:cs="Arial"/>
          <w:sz w:val="17"/>
          <w:szCs w:val="17"/>
          <w:lang w:val="en-GB"/>
        </w:rPr>
        <w:t>All currency amounts are in US dollars unless otherwise specified.</w:t>
      </w:r>
    </w:p>
  </w:endnote>
  <w:endnote w:id="7">
    <w:p w14:paraId="7019A979" w14:textId="25A5738B" w:rsidR="00BC2FC7" w:rsidRPr="00F0069C" w:rsidRDefault="00BC2FC7" w:rsidP="00B546D6">
      <w:pPr>
        <w:pStyle w:val="Footnote"/>
        <w:rPr>
          <w:lang w:val="en-GB"/>
        </w:rPr>
      </w:pPr>
      <w:r w:rsidRPr="00F0069C">
        <w:rPr>
          <w:rStyle w:val="EndnoteReference"/>
          <w:lang w:val="en-GB"/>
        </w:rPr>
        <w:endnoteRef/>
      </w:r>
      <w:r w:rsidRPr="00F0069C">
        <w:rPr>
          <w:lang w:val="en-GB"/>
        </w:rPr>
        <w:t xml:space="preserve"> Oxford Business Group, “ICT Sector Gains Strength as Indonesia Prioritizes Digital Economy,” </w:t>
      </w:r>
      <w:r w:rsidRPr="00F0069C">
        <w:rPr>
          <w:i/>
          <w:iCs/>
          <w:lang w:val="en-GB"/>
        </w:rPr>
        <w:t>Jakarta Post</w:t>
      </w:r>
      <w:r w:rsidRPr="00F0069C">
        <w:rPr>
          <w:lang w:val="en-GB"/>
        </w:rPr>
        <w:t>, December 10, 2019, accessed March 6, 2020, www.thejakartapost.com/news/2019/12/10/ict-sector-gains-strength-as-indonesia-prioritizes-digital-economy.html.</w:t>
      </w:r>
    </w:p>
  </w:endnote>
  <w:endnote w:id="8">
    <w:p w14:paraId="2387752E" w14:textId="740A232D" w:rsidR="00BC2FC7" w:rsidRPr="00F0069C" w:rsidRDefault="00BC2FC7" w:rsidP="00B546D6">
      <w:pPr>
        <w:pStyle w:val="Footnote"/>
        <w:rPr>
          <w:lang w:val="en-GB"/>
        </w:rPr>
      </w:pPr>
      <w:r w:rsidRPr="00F0069C">
        <w:rPr>
          <w:rStyle w:val="EndnoteReference"/>
          <w:lang w:val="en-GB"/>
        </w:rPr>
        <w:endnoteRef/>
      </w:r>
      <w:r w:rsidRPr="00F0069C">
        <w:rPr>
          <w:lang w:val="en-GB"/>
        </w:rPr>
        <w:t xml:space="preserve"> “Indonesia—Banking Systems,”</w:t>
      </w:r>
      <w:r w:rsidRPr="00F0069C" w:rsidDel="006B0FAA">
        <w:rPr>
          <w:lang w:val="en-GB"/>
        </w:rPr>
        <w:t xml:space="preserve"> </w:t>
      </w:r>
      <w:r w:rsidRPr="00F0069C">
        <w:rPr>
          <w:lang w:val="en-GB"/>
        </w:rPr>
        <w:t>Privacy Shield, accessed February 29, 2020, www.privacyshield.gov/article?id=Indonesia-banking-systems.</w:t>
      </w:r>
    </w:p>
  </w:endnote>
  <w:endnote w:id="9">
    <w:p w14:paraId="1EA720AF" w14:textId="43F465AA" w:rsidR="00BC2FC7" w:rsidRPr="00F0069C" w:rsidRDefault="00BC2FC7" w:rsidP="00B546D6">
      <w:pPr>
        <w:pStyle w:val="Footnote"/>
        <w:rPr>
          <w:lang w:val="en-GB"/>
        </w:rPr>
      </w:pPr>
      <w:r w:rsidRPr="00F0069C">
        <w:rPr>
          <w:rStyle w:val="EndnoteReference"/>
          <w:lang w:val="en-GB"/>
        </w:rPr>
        <w:endnoteRef/>
      </w:r>
      <w:r w:rsidRPr="00F0069C">
        <w:rPr>
          <w:lang w:val="en-GB"/>
        </w:rPr>
        <w:t xml:space="preserve"> Fitch Solutions, </w:t>
      </w:r>
      <w:r w:rsidRPr="00F0069C">
        <w:rPr>
          <w:i/>
          <w:iCs/>
          <w:lang w:val="en-GB"/>
        </w:rPr>
        <w:t>Indonesia: Banking &amp; Financial Services Report</w:t>
      </w:r>
      <w:r w:rsidRPr="00F0069C">
        <w:rPr>
          <w:lang w:val="en-GB"/>
        </w:rPr>
        <w:t>, February 1, 2020, accessed March 7, 2020, https://store.fitchsolutions.com/banking-financial/indonesia-banking-financial-services-report?utm_source=fitch-solutions&amp;utm_medium=Referral&amp;utm_campaign=Category-Pages.</w:t>
      </w:r>
    </w:p>
  </w:endnote>
  <w:endnote w:id="10">
    <w:p w14:paraId="0C9D8B2E" w14:textId="11ED0F64" w:rsidR="00BC2FC7" w:rsidRPr="00F0069C" w:rsidRDefault="00BC2FC7" w:rsidP="00B546D6">
      <w:pPr>
        <w:pStyle w:val="Footnote"/>
        <w:rPr>
          <w:lang w:val="en-GB"/>
        </w:rPr>
      </w:pPr>
      <w:r w:rsidRPr="00F0069C">
        <w:rPr>
          <w:rStyle w:val="EndnoteReference"/>
          <w:lang w:val="en-GB"/>
        </w:rPr>
        <w:endnoteRef/>
      </w:r>
      <w:r w:rsidRPr="00F0069C">
        <w:rPr>
          <w:lang w:val="en-GB"/>
        </w:rPr>
        <w:t xml:space="preserve"> PwC, </w:t>
      </w:r>
      <w:r w:rsidRPr="00F0069C">
        <w:rPr>
          <w:i/>
          <w:iCs/>
          <w:lang w:val="en-GB"/>
        </w:rPr>
        <w:t>PwC Survey: Digital Banking in Indonesia 2018</w:t>
      </w:r>
      <w:r w:rsidRPr="00F0069C">
        <w:rPr>
          <w:lang w:val="en-GB"/>
        </w:rPr>
        <w:t>, July 2018, accessed March 7, 2020, www.pwc.com/id/en/publications/assets/financialservices/digital-banking-survey-2018-pwcid.pdf.</w:t>
      </w:r>
    </w:p>
  </w:endnote>
  <w:endnote w:id="11">
    <w:p w14:paraId="12F120A1" w14:textId="4E7420A1" w:rsidR="00BC2FC7" w:rsidRPr="00F0069C" w:rsidRDefault="00BC2FC7" w:rsidP="00B546D6">
      <w:pPr>
        <w:pStyle w:val="Footnote"/>
        <w:rPr>
          <w:lang w:val="en-GB"/>
        </w:rPr>
      </w:pPr>
      <w:r w:rsidRPr="00F0069C">
        <w:rPr>
          <w:rStyle w:val="EndnoteReference"/>
          <w:lang w:val="en-GB"/>
        </w:rPr>
        <w:endnoteRef/>
      </w:r>
      <w:r w:rsidRPr="00F0069C">
        <w:rPr>
          <w:lang w:val="en-GB"/>
        </w:rPr>
        <w:t xml:space="preserve"> </w:t>
      </w:r>
      <w:proofErr w:type="spellStart"/>
      <w:r w:rsidRPr="00F0069C">
        <w:rPr>
          <w:lang w:val="en-GB"/>
        </w:rPr>
        <w:t>Balázs</w:t>
      </w:r>
      <w:proofErr w:type="spellEnd"/>
      <w:r w:rsidRPr="00F0069C">
        <w:rPr>
          <w:lang w:val="en-GB"/>
        </w:rPr>
        <w:t xml:space="preserve"> </w:t>
      </w:r>
      <w:proofErr w:type="spellStart"/>
      <w:r w:rsidRPr="00F0069C">
        <w:rPr>
          <w:lang w:val="en-GB"/>
        </w:rPr>
        <w:t>Vinnai</w:t>
      </w:r>
      <w:proofErr w:type="spellEnd"/>
      <w:r w:rsidRPr="00F0069C">
        <w:rPr>
          <w:lang w:val="en-GB"/>
        </w:rPr>
        <w:t xml:space="preserve">, “5 Reasons Why Banks Still Struggle with Digital Transformation,” </w:t>
      </w:r>
      <w:proofErr w:type="spellStart"/>
      <w:r w:rsidRPr="00F0069C">
        <w:rPr>
          <w:lang w:val="en-GB"/>
        </w:rPr>
        <w:t>Finextra</w:t>
      </w:r>
      <w:proofErr w:type="spellEnd"/>
      <w:r w:rsidRPr="00F0069C">
        <w:rPr>
          <w:lang w:val="en-GB"/>
        </w:rPr>
        <w:t>, September 25, 2018, accessed March 7, 2020, www.finextra.com/blogposting/16029/5-reasons-why-banks-still-struggle-with-digital-transformation.</w:t>
      </w:r>
    </w:p>
  </w:endnote>
  <w:endnote w:id="12">
    <w:p w14:paraId="477D8DD0" w14:textId="11C7C3BF" w:rsidR="00BC2FC7" w:rsidRPr="00BC2FC7" w:rsidRDefault="00BC2FC7" w:rsidP="00B546D6">
      <w:pPr>
        <w:pStyle w:val="Footnote"/>
        <w:rPr>
          <w:spacing w:val="-4"/>
          <w:kern w:val="17"/>
          <w:lang w:val="en-GB" w:eastAsia="en-SG"/>
        </w:rPr>
      </w:pPr>
      <w:r w:rsidRPr="00BC2FC7">
        <w:rPr>
          <w:rStyle w:val="EndnoteReference"/>
          <w:spacing w:val="-4"/>
          <w:kern w:val="17"/>
          <w:lang w:val="en-GB"/>
        </w:rPr>
        <w:endnoteRef/>
      </w:r>
      <w:r w:rsidRPr="00BC2FC7">
        <w:rPr>
          <w:spacing w:val="-4"/>
          <w:kern w:val="17"/>
          <w:lang w:val="en-GB"/>
        </w:rPr>
        <w:t xml:space="preserve"> Jacob Dahl, Vito </w:t>
      </w:r>
      <w:proofErr w:type="spellStart"/>
      <w:r w:rsidRPr="00BC2FC7">
        <w:rPr>
          <w:spacing w:val="-4"/>
          <w:kern w:val="17"/>
          <w:lang w:val="en-GB"/>
        </w:rPr>
        <w:t>Giudici</w:t>
      </w:r>
      <w:proofErr w:type="spellEnd"/>
      <w:r w:rsidRPr="00BC2FC7">
        <w:rPr>
          <w:spacing w:val="-4"/>
          <w:kern w:val="17"/>
          <w:lang w:val="en-GB"/>
        </w:rPr>
        <w:t xml:space="preserve">, </w:t>
      </w:r>
      <w:proofErr w:type="spellStart"/>
      <w:r w:rsidRPr="00BC2FC7">
        <w:rPr>
          <w:spacing w:val="-4"/>
          <w:kern w:val="17"/>
          <w:lang w:val="en-GB"/>
        </w:rPr>
        <w:t>Joydeep</w:t>
      </w:r>
      <w:proofErr w:type="spellEnd"/>
      <w:r w:rsidRPr="00BC2FC7">
        <w:rPr>
          <w:spacing w:val="-4"/>
          <w:kern w:val="17"/>
          <w:lang w:val="en-GB"/>
        </w:rPr>
        <w:t xml:space="preserve"> Sengupta, </w:t>
      </w:r>
      <w:proofErr w:type="spellStart"/>
      <w:r w:rsidRPr="00BC2FC7">
        <w:rPr>
          <w:spacing w:val="-4"/>
          <w:kern w:val="17"/>
          <w:lang w:val="en-GB"/>
        </w:rPr>
        <w:t>Suho</w:t>
      </w:r>
      <w:proofErr w:type="spellEnd"/>
      <w:r w:rsidRPr="00BC2FC7">
        <w:rPr>
          <w:spacing w:val="-4"/>
          <w:kern w:val="17"/>
          <w:lang w:val="en-GB"/>
        </w:rPr>
        <w:t xml:space="preserve"> Kim, and Ervin Ng, </w:t>
      </w:r>
      <w:r w:rsidRPr="00BC2FC7">
        <w:rPr>
          <w:spacing w:val="-4"/>
          <w:kern w:val="17"/>
          <w:lang w:val="en-GB" w:eastAsia="en-SG"/>
        </w:rPr>
        <w:t>“Bracing for Consolidation in Asia–Pacific Banking: The Quest for Scale,” McKinsey &amp; Company, July 1, 2019, accessed February 24, 2020, www.mckinsey.com/industries/financial-services/our-insights/bracing-for-consolidation-in-asia-pacific-banking-the-quest-for-scale.</w:t>
      </w:r>
    </w:p>
  </w:endnote>
  <w:endnote w:id="13">
    <w:p w14:paraId="36B64FC9" w14:textId="37AD352D" w:rsidR="00BC2FC7" w:rsidRPr="00F0069C" w:rsidRDefault="00BC2FC7" w:rsidP="00B546D6">
      <w:pPr>
        <w:pStyle w:val="Footnote"/>
        <w:rPr>
          <w:lang w:val="en-GB"/>
        </w:rPr>
      </w:pPr>
      <w:r w:rsidRPr="00F0069C">
        <w:rPr>
          <w:rStyle w:val="EndnoteReference"/>
          <w:lang w:val="en-GB"/>
        </w:rPr>
        <w:endnoteRef/>
      </w:r>
      <w:r w:rsidRPr="00F0069C">
        <w:rPr>
          <w:lang w:val="en-GB"/>
        </w:rPr>
        <w:t xml:space="preserve"> Tom Wright, </w:t>
      </w:r>
      <w:proofErr w:type="gramStart"/>
      <w:r w:rsidRPr="00F0069C">
        <w:rPr>
          <w:lang w:val="en-GB"/>
        </w:rPr>
        <w:t>“</w:t>
      </w:r>
      <w:r w:rsidRPr="00F0069C">
        <w:t xml:space="preserve"> </w:t>
      </w:r>
      <w:r w:rsidRPr="00F0069C">
        <w:rPr>
          <w:lang w:val="en-GB"/>
        </w:rPr>
        <w:t>TPG</w:t>
      </w:r>
      <w:proofErr w:type="gramEnd"/>
      <w:r w:rsidRPr="00F0069C">
        <w:rPr>
          <w:lang w:val="en-GB"/>
        </w:rPr>
        <w:t xml:space="preserve"> Takes Indonesia Plunge with Bank Stake,” </w:t>
      </w:r>
      <w:r w:rsidRPr="00F0069C">
        <w:rPr>
          <w:i/>
          <w:iCs/>
          <w:lang w:val="en-GB"/>
        </w:rPr>
        <w:t>Wall Street Journal</w:t>
      </w:r>
      <w:r w:rsidRPr="00F0069C">
        <w:rPr>
          <w:lang w:val="en-GB"/>
        </w:rPr>
        <w:t>, May 23, 2007, accessed March 7, 2020, www.wsj.com/articles/SB117982021017610631.</w:t>
      </w:r>
    </w:p>
  </w:endnote>
  <w:endnote w:id="14">
    <w:p w14:paraId="0B1FA917" w14:textId="0ADDE16F" w:rsidR="00BC2FC7" w:rsidRPr="00F0069C" w:rsidRDefault="00BC2FC7" w:rsidP="00B546D6">
      <w:pPr>
        <w:pStyle w:val="Footnote"/>
        <w:rPr>
          <w:lang w:val="en-GB"/>
        </w:rPr>
      </w:pPr>
      <w:r w:rsidRPr="00F0069C">
        <w:rPr>
          <w:rStyle w:val="EndnoteReference"/>
          <w:lang w:val="en-GB"/>
        </w:rPr>
        <w:endnoteRef/>
      </w:r>
      <w:r w:rsidRPr="00F0069C">
        <w:rPr>
          <w:lang w:val="en-GB"/>
        </w:rPr>
        <w:t xml:space="preserve"> “The Nobel Peace Prize for 2006,” Nobel Prize, October 13, 2006, accessed March 14, 2020, www.nobelprize.org/prizes/peace/2006/press-release/.</w:t>
      </w:r>
    </w:p>
  </w:endnote>
  <w:endnote w:id="15">
    <w:p w14:paraId="58A68D61" w14:textId="51546E31" w:rsidR="00BC2FC7" w:rsidRPr="00F0069C" w:rsidRDefault="00BC2FC7" w:rsidP="00B546D6">
      <w:pPr>
        <w:pStyle w:val="Footnote"/>
        <w:rPr>
          <w:lang w:val="en-GB"/>
        </w:rPr>
      </w:pPr>
      <w:r w:rsidRPr="00F0069C">
        <w:rPr>
          <w:rStyle w:val="EndnoteReference"/>
          <w:lang w:val="en-GB"/>
        </w:rPr>
        <w:endnoteRef/>
      </w:r>
      <w:r w:rsidRPr="00F0069C">
        <w:rPr>
          <w:lang w:val="en-GB"/>
        </w:rPr>
        <w:t xml:space="preserve"> Converted to US$ using the company’s annual reports for 2008 and 2011, and historical exchange rates for those two years; “Investor Relations,” PT Bank Tabungan </w:t>
      </w:r>
      <w:proofErr w:type="spellStart"/>
      <w:r w:rsidRPr="00F0069C">
        <w:rPr>
          <w:lang w:val="en-GB"/>
        </w:rPr>
        <w:t>Pensiunan</w:t>
      </w:r>
      <w:proofErr w:type="spellEnd"/>
      <w:r w:rsidRPr="00F0069C">
        <w:rPr>
          <w:lang w:val="en-GB"/>
        </w:rPr>
        <w:t xml:space="preserve"> </w:t>
      </w:r>
      <w:proofErr w:type="spellStart"/>
      <w:r w:rsidRPr="00F0069C">
        <w:rPr>
          <w:lang w:val="en-GB"/>
        </w:rPr>
        <w:t>Nasional</w:t>
      </w:r>
      <w:proofErr w:type="spellEnd"/>
      <w:r w:rsidRPr="00F0069C">
        <w:rPr>
          <w:lang w:val="en-GB"/>
        </w:rPr>
        <w:t xml:space="preserve"> </w:t>
      </w:r>
      <w:proofErr w:type="spellStart"/>
      <w:r w:rsidRPr="00F0069C">
        <w:rPr>
          <w:lang w:val="en-GB"/>
        </w:rPr>
        <w:t>Tbk</w:t>
      </w:r>
      <w:proofErr w:type="spellEnd"/>
      <w:r w:rsidRPr="00F0069C">
        <w:rPr>
          <w:lang w:val="en-GB"/>
        </w:rPr>
        <w:t xml:space="preserve">, accessed March 4, 2020, </w:t>
      </w:r>
      <w:r w:rsidRPr="00F0069C">
        <w:t>www.btpn.com/en/hubungan-investor</w:t>
      </w:r>
      <w:r w:rsidRPr="00F0069C">
        <w:rPr>
          <w:lang w:val="en-GB"/>
        </w:rPr>
        <w:t>/</w:t>
      </w:r>
      <w:proofErr w:type="spellStart"/>
      <w:r w:rsidRPr="00F0069C">
        <w:rPr>
          <w:lang w:val="en-GB"/>
        </w:rPr>
        <w:t>laporan</w:t>
      </w:r>
      <w:proofErr w:type="spellEnd"/>
      <w:r w:rsidRPr="00F0069C">
        <w:rPr>
          <w:lang w:val="en-GB"/>
        </w:rPr>
        <w:t>-</w:t>
      </w:r>
      <w:proofErr w:type="spellStart"/>
      <w:r w:rsidRPr="00F0069C">
        <w:rPr>
          <w:lang w:val="en-GB"/>
        </w:rPr>
        <w:t>tahunan</w:t>
      </w:r>
      <w:proofErr w:type="spellEnd"/>
      <w:r w:rsidRPr="00F0069C">
        <w:rPr>
          <w:lang w:val="en-GB"/>
        </w:rPr>
        <w:t>-dan-</w:t>
      </w:r>
      <w:proofErr w:type="spellStart"/>
      <w:r w:rsidRPr="00F0069C">
        <w:rPr>
          <w:lang w:val="en-GB"/>
        </w:rPr>
        <w:t>keberlanjutan</w:t>
      </w:r>
      <w:proofErr w:type="spellEnd"/>
      <w:r w:rsidRPr="00F0069C">
        <w:rPr>
          <w:lang w:val="en-GB"/>
        </w:rPr>
        <w:t>/</w:t>
      </w:r>
      <w:proofErr w:type="spellStart"/>
      <w:r w:rsidRPr="00F0069C">
        <w:rPr>
          <w:lang w:val="en-GB"/>
        </w:rPr>
        <w:t>laporan-tahunan</w:t>
      </w:r>
      <w:proofErr w:type="spellEnd"/>
      <w:r w:rsidRPr="00F0069C">
        <w:t>.</w:t>
      </w:r>
    </w:p>
  </w:endnote>
  <w:endnote w:id="16">
    <w:p w14:paraId="088A9AA8" w14:textId="4C4AC18D" w:rsidR="00BC2FC7" w:rsidRPr="00F0069C" w:rsidRDefault="00BC2FC7" w:rsidP="00B546D6">
      <w:pPr>
        <w:pStyle w:val="Footnote"/>
        <w:rPr>
          <w:lang w:val="en-GB"/>
        </w:rPr>
      </w:pPr>
      <w:r w:rsidRPr="00F0069C">
        <w:rPr>
          <w:rStyle w:val="EndnoteReference"/>
          <w:lang w:val="en-GB"/>
        </w:rPr>
        <w:endnoteRef/>
      </w:r>
      <w:r w:rsidRPr="00F0069C">
        <w:rPr>
          <w:lang w:val="en-GB"/>
        </w:rPr>
        <w:t xml:space="preserve"> R. Ryan Nelson, Gardner Bell, and Carl Zeithaml, </w:t>
      </w:r>
      <w:r w:rsidRPr="001A4107">
        <w:rPr>
          <w:i/>
          <w:lang w:val="en-GB"/>
        </w:rPr>
        <w:t>BTPN: Banking for the Bottom of the Pyramid in Indonesia</w:t>
      </w:r>
      <w:r w:rsidRPr="00F0069C">
        <w:rPr>
          <w:lang w:val="en-GB"/>
        </w:rPr>
        <w:t xml:space="preserve"> (Ann Arbor, MI: WDI Publishing, 2013), accessed December 30, 2020, https://wdi-publishing.com/product/btpn-a-banking-for-the-bottom-of-the-pyramid-in-indonesia. </w:t>
      </w:r>
    </w:p>
  </w:endnote>
  <w:endnote w:id="17">
    <w:p w14:paraId="485BDF65" w14:textId="577AB191" w:rsidR="00BC2FC7" w:rsidRPr="00F0069C" w:rsidRDefault="00BC2FC7" w:rsidP="00B546D6">
      <w:pPr>
        <w:pStyle w:val="Footnote"/>
        <w:rPr>
          <w:lang w:val="en-GB"/>
        </w:rPr>
      </w:pPr>
      <w:r w:rsidRPr="00F0069C">
        <w:rPr>
          <w:rStyle w:val="EndnoteReference"/>
          <w:lang w:val="en-GB"/>
        </w:rPr>
        <w:endnoteRef/>
      </w:r>
      <w:r w:rsidRPr="00F0069C">
        <w:rPr>
          <w:lang w:val="en-GB"/>
        </w:rPr>
        <w:t xml:space="preserve"> Unless otherwise attributed, all quotations stem from interviews conducted by the authors. </w:t>
      </w:r>
    </w:p>
  </w:endnote>
  <w:endnote w:id="18">
    <w:p w14:paraId="58A804D1" w14:textId="24535468" w:rsidR="00BC2FC7" w:rsidRPr="00F0069C" w:rsidRDefault="00BC2FC7">
      <w:pPr>
        <w:pStyle w:val="EndnoteText"/>
        <w:rPr>
          <w:rFonts w:ascii="Arial" w:hAnsi="Arial" w:cs="Arial"/>
          <w:sz w:val="17"/>
          <w:szCs w:val="17"/>
        </w:rPr>
      </w:pPr>
      <w:r w:rsidRPr="00F0069C">
        <w:rPr>
          <w:rStyle w:val="EndnoteReference"/>
          <w:rFonts w:ascii="Arial" w:hAnsi="Arial" w:cs="Arial"/>
          <w:sz w:val="17"/>
          <w:szCs w:val="17"/>
        </w:rPr>
        <w:endnoteRef/>
      </w:r>
      <w:r w:rsidRPr="00F0069C">
        <w:rPr>
          <w:rFonts w:ascii="Arial" w:hAnsi="Arial" w:cs="Arial"/>
          <w:sz w:val="17"/>
          <w:szCs w:val="17"/>
        </w:rPr>
        <w:t xml:space="preserve"> </w:t>
      </w:r>
      <w:r w:rsidRPr="00F0069C">
        <w:rPr>
          <w:rFonts w:ascii="Arial" w:hAnsi="Arial" w:cs="Arial"/>
          <w:sz w:val="17"/>
          <w:szCs w:val="17"/>
        </w:rPr>
        <w:t>The hajj refers to the annual Islamic pilgrimage to Mecca, Saudi Arabia.</w:t>
      </w:r>
    </w:p>
  </w:endnote>
  <w:endnote w:id="19">
    <w:p w14:paraId="079600A8" w14:textId="6AF020D3" w:rsidR="00BC2FC7" w:rsidRPr="00F0069C" w:rsidRDefault="00BC2FC7" w:rsidP="00B546D6">
      <w:pPr>
        <w:pStyle w:val="Footnote"/>
        <w:rPr>
          <w:lang w:val="en-GB"/>
        </w:rPr>
      </w:pPr>
      <w:r w:rsidRPr="00F0069C">
        <w:rPr>
          <w:rStyle w:val="EndnoteReference"/>
          <w:lang w:val="en-GB"/>
        </w:rPr>
        <w:endnoteRef/>
      </w:r>
      <w:r w:rsidRPr="00F0069C">
        <w:rPr>
          <w:lang w:val="en-GB"/>
        </w:rPr>
        <w:t xml:space="preserve"> PT Bank Tabungan </w:t>
      </w:r>
      <w:proofErr w:type="spellStart"/>
      <w:r w:rsidRPr="00F0069C">
        <w:rPr>
          <w:lang w:val="en-GB"/>
        </w:rPr>
        <w:t>Pensiunan</w:t>
      </w:r>
      <w:proofErr w:type="spellEnd"/>
      <w:r w:rsidRPr="00F0069C">
        <w:rPr>
          <w:lang w:val="en-GB"/>
        </w:rPr>
        <w:t xml:space="preserve"> </w:t>
      </w:r>
      <w:proofErr w:type="spellStart"/>
      <w:r w:rsidRPr="00F0069C">
        <w:rPr>
          <w:lang w:val="en-GB"/>
        </w:rPr>
        <w:t>Nasional</w:t>
      </w:r>
      <w:proofErr w:type="spellEnd"/>
      <w:r w:rsidRPr="00F0069C">
        <w:rPr>
          <w:lang w:val="en-GB"/>
        </w:rPr>
        <w:t xml:space="preserve"> </w:t>
      </w:r>
      <w:proofErr w:type="spellStart"/>
      <w:r w:rsidRPr="00F0069C">
        <w:rPr>
          <w:lang w:val="en-GB"/>
        </w:rPr>
        <w:t>Tbk</w:t>
      </w:r>
      <w:proofErr w:type="spellEnd"/>
      <w:r w:rsidRPr="00F0069C">
        <w:rPr>
          <w:lang w:val="en-GB"/>
        </w:rPr>
        <w:t xml:space="preserve">, </w:t>
      </w:r>
      <w:r w:rsidRPr="00F0069C">
        <w:rPr>
          <w:i/>
          <w:iCs/>
          <w:lang w:val="en-GB"/>
        </w:rPr>
        <w:t>2017</w:t>
      </w:r>
      <w:r w:rsidRPr="00F0069C">
        <w:rPr>
          <w:lang w:val="en-GB"/>
        </w:rPr>
        <w:t xml:space="preserve"> </w:t>
      </w:r>
      <w:r w:rsidRPr="00F0069C">
        <w:rPr>
          <w:i/>
          <w:iCs/>
          <w:lang w:val="en-GB"/>
        </w:rPr>
        <w:t>Annual Report</w:t>
      </w:r>
      <w:r w:rsidRPr="00F0069C">
        <w:rPr>
          <w:lang w:val="en-GB"/>
        </w:rPr>
        <w:t>, 37, accessed March 14, 2020, www.btpn.com/pdf/investor/annual-report/en/btpnar2017_eng_r.pdf.</w:t>
      </w:r>
    </w:p>
  </w:endnote>
  <w:endnote w:id="20">
    <w:p w14:paraId="20A3F424" w14:textId="1928405B" w:rsidR="00BC2FC7" w:rsidRPr="00F0069C" w:rsidRDefault="00BC2FC7" w:rsidP="00B546D6">
      <w:pPr>
        <w:pStyle w:val="Footnote"/>
        <w:rPr>
          <w:lang w:val="en-GB"/>
        </w:rPr>
      </w:pPr>
      <w:r w:rsidRPr="00F0069C">
        <w:rPr>
          <w:rStyle w:val="EndnoteReference"/>
          <w:lang w:val="en-GB"/>
        </w:rPr>
        <w:endnoteRef/>
      </w:r>
      <w:r w:rsidRPr="00F0069C">
        <w:rPr>
          <w:lang w:val="en-GB"/>
        </w:rPr>
        <w:t xml:space="preserve"> </w:t>
      </w:r>
      <w:proofErr w:type="spellStart"/>
      <w:r w:rsidRPr="00F0069C">
        <w:rPr>
          <w:lang w:val="en-GB"/>
        </w:rPr>
        <w:t>Winny</w:t>
      </w:r>
      <w:proofErr w:type="spellEnd"/>
      <w:r w:rsidRPr="00F0069C">
        <w:rPr>
          <w:lang w:val="en-GB"/>
        </w:rPr>
        <w:t xml:space="preserve"> Tang, “Big Banks to Follow Up on Easing of KYC,” </w:t>
      </w:r>
      <w:r w:rsidRPr="00F0069C">
        <w:rPr>
          <w:i/>
          <w:iCs/>
          <w:lang w:val="en-GB"/>
        </w:rPr>
        <w:t>Jakarta Post</w:t>
      </w:r>
      <w:r w:rsidRPr="00F0069C">
        <w:rPr>
          <w:lang w:val="en-GB"/>
        </w:rPr>
        <w:t>, September 29, 2018, accessed March 14, 2020, www.thejakartapost.com/news/2018/09/29/big-banks-follow-easing-kyc.html.</w:t>
      </w:r>
    </w:p>
  </w:endnote>
  <w:endnote w:id="21">
    <w:p w14:paraId="4CD9CB04" w14:textId="3839A6B8" w:rsidR="00BC2FC7" w:rsidRPr="00F0069C" w:rsidRDefault="00BC2FC7" w:rsidP="00B546D6">
      <w:pPr>
        <w:pStyle w:val="Footnote"/>
        <w:rPr>
          <w:lang w:val="en-GB"/>
        </w:rPr>
      </w:pPr>
      <w:r w:rsidRPr="00F0069C">
        <w:rPr>
          <w:rStyle w:val="EndnoteReference"/>
          <w:lang w:val="en-GB"/>
        </w:rPr>
        <w:endnoteRef/>
      </w:r>
      <w:r w:rsidRPr="00F0069C">
        <w:rPr>
          <w:lang w:val="en-GB"/>
        </w:rPr>
        <w:t xml:space="preserve"> “BTPN Is More Efficient, Profit Grows 17%,” PT Bank Tabungan </w:t>
      </w:r>
      <w:proofErr w:type="spellStart"/>
      <w:r w:rsidRPr="00F0069C">
        <w:rPr>
          <w:lang w:val="en-GB"/>
        </w:rPr>
        <w:t>Pensiunan</w:t>
      </w:r>
      <w:proofErr w:type="spellEnd"/>
      <w:r w:rsidRPr="00F0069C">
        <w:rPr>
          <w:lang w:val="en-GB"/>
        </w:rPr>
        <w:t xml:space="preserve"> </w:t>
      </w:r>
      <w:proofErr w:type="spellStart"/>
      <w:r w:rsidRPr="00F0069C">
        <w:rPr>
          <w:lang w:val="en-GB"/>
        </w:rPr>
        <w:t>Nasional</w:t>
      </w:r>
      <w:proofErr w:type="spellEnd"/>
      <w:r w:rsidRPr="00F0069C">
        <w:rPr>
          <w:lang w:val="en-GB"/>
        </w:rPr>
        <w:t xml:space="preserve"> </w:t>
      </w:r>
      <w:proofErr w:type="spellStart"/>
      <w:r w:rsidRPr="00F0069C">
        <w:rPr>
          <w:lang w:val="en-GB"/>
        </w:rPr>
        <w:t>Tbk</w:t>
      </w:r>
      <w:proofErr w:type="spellEnd"/>
      <w:r w:rsidRPr="00F0069C">
        <w:rPr>
          <w:lang w:val="en-GB"/>
        </w:rPr>
        <w:t>, press release, July 17, 2018, accessed March 14, 2020, https://www.btpn.com/en/berita-media/siaran-pers?content=16583.</w:t>
      </w:r>
    </w:p>
  </w:endnote>
  <w:endnote w:id="22">
    <w:p w14:paraId="5A4E2C4C" w14:textId="16BDBB83" w:rsidR="00BC2FC7" w:rsidRPr="00F0069C" w:rsidRDefault="00BC2FC7" w:rsidP="00B546D6">
      <w:pPr>
        <w:pStyle w:val="Footnote"/>
        <w:rPr>
          <w:lang w:val="en-GB"/>
        </w:rPr>
      </w:pPr>
      <w:r w:rsidRPr="00F0069C">
        <w:rPr>
          <w:rStyle w:val="EndnoteReference"/>
          <w:lang w:val="en-GB"/>
        </w:rPr>
        <w:endnoteRef/>
      </w:r>
      <w:r w:rsidRPr="00F0069C">
        <w:rPr>
          <w:lang w:val="en-GB"/>
        </w:rPr>
        <w:t xml:space="preserve"> “</w:t>
      </w:r>
      <w:proofErr w:type="spellStart"/>
      <w:r w:rsidRPr="00F0069C">
        <w:rPr>
          <w:lang w:val="en-GB"/>
        </w:rPr>
        <w:t>Jenius</w:t>
      </w:r>
      <w:proofErr w:type="spellEnd"/>
      <w:r w:rsidRPr="00F0069C">
        <w:rPr>
          <w:lang w:val="en-GB"/>
        </w:rPr>
        <w:t xml:space="preserve"> Celebrates Its Third Anniversary with #</w:t>
      </w:r>
      <w:proofErr w:type="spellStart"/>
      <w:r w:rsidRPr="00F0069C">
        <w:rPr>
          <w:lang w:val="en-GB"/>
        </w:rPr>
        <w:t>temanjenius</w:t>
      </w:r>
      <w:proofErr w:type="spellEnd"/>
      <w:r w:rsidRPr="00F0069C">
        <w:rPr>
          <w:lang w:val="en-GB"/>
        </w:rPr>
        <w:t xml:space="preserve"> (</w:t>
      </w:r>
      <w:proofErr w:type="spellStart"/>
      <w:r w:rsidRPr="00F0069C">
        <w:rPr>
          <w:lang w:val="en-GB"/>
        </w:rPr>
        <w:t>Jenius</w:t>
      </w:r>
      <w:proofErr w:type="spellEnd"/>
      <w:r w:rsidRPr="00F0069C">
        <w:rPr>
          <w:lang w:val="en-GB"/>
        </w:rPr>
        <w:t xml:space="preserve"> Friends),” PT Bank Tabungan </w:t>
      </w:r>
      <w:proofErr w:type="spellStart"/>
      <w:r w:rsidRPr="00F0069C">
        <w:rPr>
          <w:lang w:val="en-GB"/>
        </w:rPr>
        <w:t>Pensiunan</w:t>
      </w:r>
      <w:proofErr w:type="spellEnd"/>
      <w:r w:rsidRPr="00F0069C">
        <w:rPr>
          <w:lang w:val="en-GB"/>
        </w:rPr>
        <w:t xml:space="preserve"> </w:t>
      </w:r>
      <w:proofErr w:type="spellStart"/>
      <w:r w:rsidRPr="00F0069C">
        <w:rPr>
          <w:lang w:val="en-GB"/>
        </w:rPr>
        <w:t>Nasional</w:t>
      </w:r>
      <w:proofErr w:type="spellEnd"/>
      <w:r w:rsidRPr="00F0069C">
        <w:rPr>
          <w:lang w:val="en-GB"/>
        </w:rPr>
        <w:t xml:space="preserve"> </w:t>
      </w:r>
      <w:proofErr w:type="spellStart"/>
      <w:r w:rsidRPr="00F0069C">
        <w:rPr>
          <w:lang w:val="en-GB"/>
        </w:rPr>
        <w:t>Tbk</w:t>
      </w:r>
      <w:proofErr w:type="spellEnd"/>
      <w:r w:rsidRPr="00F0069C">
        <w:rPr>
          <w:lang w:val="en-GB"/>
        </w:rPr>
        <w:t>, press release, August 27, 2019, accessed March 14, 2020, https://www.btpn.com/en/berita-media/siaran-pers?content=20412.</w:t>
      </w:r>
    </w:p>
  </w:endnote>
  <w:endnote w:id="23">
    <w:p w14:paraId="04064345" w14:textId="78A8BA51" w:rsidR="00BC2FC7" w:rsidRPr="00F0069C" w:rsidRDefault="00BC2FC7" w:rsidP="00B546D6">
      <w:pPr>
        <w:pStyle w:val="Footnote"/>
        <w:rPr>
          <w:lang w:val="en-GB"/>
        </w:rPr>
      </w:pPr>
      <w:r w:rsidRPr="00F0069C">
        <w:rPr>
          <w:rStyle w:val="EndnoteReference"/>
          <w:lang w:val="en-GB"/>
        </w:rPr>
        <w:endnoteRef/>
      </w:r>
      <w:r w:rsidRPr="00F0069C">
        <w:rPr>
          <w:lang w:val="en-GB"/>
        </w:rPr>
        <w:t xml:space="preserve"> Values were computed using the average 2020 exchange rate, US$1 = Rp13,869.62; </w:t>
      </w:r>
      <w:proofErr w:type="spellStart"/>
      <w:r w:rsidRPr="00F0069C">
        <w:rPr>
          <w:lang w:val="en-GB"/>
        </w:rPr>
        <w:t>Rp</w:t>
      </w:r>
      <w:proofErr w:type="spellEnd"/>
      <w:r w:rsidRPr="00F0069C">
        <w:rPr>
          <w:lang w:val="en-GB"/>
        </w:rPr>
        <w:t xml:space="preserve"> = IDR = Indonesian rupiah.</w:t>
      </w:r>
    </w:p>
  </w:endnote>
  <w:endnote w:id="24">
    <w:p w14:paraId="7F4F5181" w14:textId="3436E013" w:rsidR="00BC2FC7" w:rsidRPr="00BC2FC7" w:rsidRDefault="00BC2FC7" w:rsidP="00B546D6">
      <w:pPr>
        <w:pStyle w:val="Footnote"/>
        <w:rPr>
          <w:spacing w:val="-4"/>
          <w:kern w:val="17"/>
          <w:lang w:val="en-GB"/>
        </w:rPr>
      </w:pPr>
      <w:r w:rsidRPr="00BC2FC7">
        <w:rPr>
          <w:rStyle w:val="EndnoteReference"/>
          <w:spacing w:val="-4"/>
          <w:kern w:val="17"/>
          <w:lang w:val="en-GB"/>
        </w:rPr>
        <w:endnoteRef/>
      </w:r>
      <w:r w:rsidRPr="00BC2FC7">
        <w:rPr>
          <w:spacing w:val="-4"/>
          <w:kern w:val="17"/>
          <w:lang w:val="en-GB"/>
        </w:rPr>
        <w:t xml:space="preserve"> </w:t>
      </w:r>
      <w:proofErr w:type="spellStart"/>
      <w:r w:rsidRPr="00BC2FC7">
        <w:rPr>
          <w:spacing w:val="-4"/>
          <w:kern w:val="17"/>
          <w:lang w:val="en-GB"/>
        </w:rPr>
        <w:t>Winny</w:t>
      </w:r>
      <w:proofErr w:type="spellEnd"/>
      <w:r w:rsidRPr="00BC2FC7">
        <w:rPr>
          <w:spacing w:val="-4"/>
          <w:kern w:val="17"/>
          <w:lang w:val="en-GB"/>
        </w:rPr>
        <w:t xml:space="preserve"> Tang, “Banks Develop Technology to Stay Relevant in Customers’ Lives,” </w:t>
      </w:r>
      <w:r w:rsidRPr="00BC2FC7">
        <w:rPr>
          <w:i/>
          <w:iCs/>
          <w:spacing w:val="-4"/>
          <w:kern w:val="17"/>
          <w:lang w:val="en-GB"/>
        </w:rPr>
        <w:t>Jakarta Post</w:t>
      </w:r>
      <w:r w:rsidRPr="00BC2FC7">
        <w:rPr>
          <w:spacing w:val="-4"/>
          <w:kern w:val="17"/>
          <w:lang w:val="en-GB"/>
        </w:rPr>
        <w:t>, February 27, 2019, accessed March 14, 2020, www.thejakartapost.com/news/2019/02/27/banks-develop-technology-to-stay-relevant-in-customers-lives.html.</w:t>
      </w:r>
    </w:p>
  </w:endnote>
  <w:endnote w:id="25">
    <w:p w14:paraId="23FF16DB" w14:textId="0F1B8286" w:rsidR="00BC2FC7" w:rsidRPr="00F0069C" w:rsidRDefault="00BC2FC7">
      <w:pPr>
        <w:pStyle w:val="EndnoteText"/>
        <w:rPr>
          <w:rFonts w:ascii="Arial" w:hAnsi="Arial" w:cs="Arial"/>
          <w:sz w:val="17"/>
          <w:szCs w:val="17"/>
        </w:rPr>
      </w:pPr>
      <w:r w:rsidRPr="00F0069C">
        <w:rPr>
          <w:rStyle w:val="EndnoteReference"/>
          <w:rFonts w:ascii="Arial" w:hAnsi="Arial" w:cs="Arial"/>
          <w:sz w:val="17"/>
          <w:szCs w:val="17"/>
        </w:rPr>
        <w:endnoteRef/>
      </w:r>
      <w:r w:rsidRPr="00F0069C">
        <w:rPr>
          <w:rFonts w:ascii="Arial" w:hAnsi="Arial" w:cs="Arial"/>
          <w:sz w:val="17"/>
          <w:szCs w:val="17"/>
        </w:rPr>
        <w:t xml:space="preserve"> </w:t>
      </w:r>
      <w:r w:rsidRPr="00F0069C">
        <w:rPr>
          <w:rFonts w:ascii="Arial" w:hAnsi="Arial" w:cs="Arial"/>
          <w:sz w:val="17"/>
          <w:szCs w:val="17"/>
        </w:rPr>
        <w:t>Super apps offered various services under one umbrella.</w:t>
      </w:r>
    </w:p>
  </w:endnote>
  <w:endnote w:id="26">
    <w:p w14:paraId="20F6BED9" w14:textId="17ADABC1" w:rsidR="00BC2FC7" w:rsidRPr="00F0069C" w:rsidRDefault="00BC2FC7" w:rsidP="00B546D6">
      <w:pPr>
        <w:pStyle w:val="Footnote"/>
        <w:rPr>
          <w:lang w:val="en-GB"/>
        </w:rPr>
      </w:pPr>
      <w:r w:rsidRPr="00F0069C">
        <w:rPr>
          <w:rStyle w:val="EndnoteReference"/>
          <w:lang w:val="en-GB"/>
        </w:rPr>
        <w:endnoteRef/>
      </w:r>
      <w:r w:rsidRPr="00F0069C">
        <w:rPr>
          <w:lang w:val="en-GB"/>
        </w:rPr>
        <w:t xml:space="preserve"> Indonesia had a two-tier board system, with a board of directors overseen by a board of commissioners.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9D405" w14:textId="77777777" w:rsidR="007848D8" w:rsidRDefault="007848D8" w:rsidP="00D75295">
      <w:r>
        <w:separator/>
      </w:r>
    </w:p>
  </w:footnote>
  <w:footnote w:type="continuationSeparator" w:id="0">
    <w:p w14:paraId="28251D6E" w14:textId="77777777" w:rsidR="007848D8" w:rsidRDefault="007848D8"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52532FD8" w:rsidR="007A5998" w:rsidRPr="00C92CC4" w:rsidRDefault="007A5998"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F65E8">
      <w:rPr>
        <w:rFonts w:ascii="Arial" w:hAnsi="Arial"/>
        <w:b/>
        <w:noProof/>
      </w:rPr>
      <w:t>10</w:t>
    </w:r>
    <w:r>
      <w:rPr>
        <w:rFonts w:ascii="Arial" w:hAnsi="Arial"/>
        <w:b/>
      </w:rPr>
      <w:fldChar w:fldCharType="end"/>
    </w:r>
    <w:r>
      <w:rPr>
        <w:rFonts w:ascii="Arial" w:hAnsi="Arial"/>
        <w:b/>
      </w:rPr>
      <w:tab/>
    </w:r>
    <w:r w:rsidR="004A5974">
      <w:rPr>
        <w:rFonts w:ascii="Arial" w:hAnsi="Arial"/>
        <w:b/>
      </w:rPr>
      <w:t>9B21M009</w:t>
    </w:r>
  </w:p>
  <w:p w14:paraId="2B53C0A0" w14:textId="77777777" w:rsidR="007A5998" w:rsidRDefault="007A5998" w:rsidP="00D13667">
    <w:pPr>
      <w:pStyle w:val="Header"/>
      <w:tabs>
        <w:tab w:val="clear" w:pos="4680"/>
      </w:tabs>
      <w:rPr>
        <w:sz w:val="18"/>
        <w:szCs w:val="18"/>
      </w:rPr>
    </w:pPr>
  </w:p>
  <w:p w14:paraId="47119730" w14:textId="77777777" w:rsidR="007A5998" w:rsidRPr="00C92CC4" w:rsidRDefault="007A5998"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1638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2E15"/>
    <w:rsid w:val="000047FB"/>
    <w:rsid w:val="000059F6"/>
    <w:rsid w:val="00013360"/>
    <w:rsid w:val="00016759"/>
    <w:rsid w:val="00016B13"/>
    <w:rsid w:val="00017906"/>
    <w:rsid w:val="000216CE"/>
    <w:rsid w:val="00024ED4"/>
    <w:rsid w:val="000257F4"/>
    <w:rsid w:val="00025C5D"/>
    <w:rsid w:val="00025DC7"/>
    <w:rsid w:val="000264E8"/>
    <w:rsid w:val="00035F09"/>
    <w:rsid w:val="00044ECC"/>
    <w:rsid w:val="00050FD2"/>
    <w:rsid w:val="000531D3"/>
    <w:rsid w:val="000559B8"/>
    <w:rsid w:val="0005646B"/>
    <w:rsid w:val="000613E0"/>
    <w:rsid w:val="000615D1"/>
    <w:rsid w:val="00062224"/>
    <w:rsid w:val="00066884"/>
    <w:rsid w:val="00070FE0"/>
    <w:rsid w:val="00074B93"/>
    <w:rsid w:val="0008102D"/>
    <w:rsid w:val="000833C9"/>
    <w:rsid w:val="00083836"/>
    <w:rsid w:val="00086B26"/>
    <w:rsid w:val="00094C0E"/>
    <w:rsid w:val="00096610"/>
    <w:rsid w:val="000973B3"/>
    <w:rsid w:val="000A146D"/>
    <w:rsid w:val="000A3F46"/>
    <w:rsid w:val="000B1203"/>
    <w:rsid w:val="000B2038"/>
    <w:rsid w:val="000B59CE"/>
    <w:rsid w:val="000C44D4"/>
    <w:rsid w:val="000D2A2F"/>
    <w:rsid w:val="000D4627"/>
    <w:rsid w:val="000D7091"/>
    <w:rsid w:val="000E2491"/>
    <w:rsid w:val="000E499C"/>
    <w:rsid w:val="000F0C22"/>
    <w:rsid w:val="000F4203"/>
    <w:rsid w:val="000F6B09"/>
    <w:rsid w:val="000F6FDC"/>
    <w:rsid w:val="00101960"/>
    <w:rsid w:val="00104567"/>
    <w:rsid w:val="00104916"/>
    <w:rsid w:val="00104AA7"/>
    <w:rsid w:val="00104F48"/>
    <w:rsid w:val="0010559E"/>
    <w:rsid w:val="00105D3E"/>
    <w:rsid w:val="001121D5"/>
    <w:rsid w:val="001150B9"/>
    <w:rsid w:val="00117143"/>
    <w:rsid w:val="00124AE3"/>
    <w:rsid w:val="0012732D"/>
    <w:rsid w:val="0013159A"/>
    <w:rsid w:val="00132434"/>
    <w:rsid w:val="00141262"/>
    <w:rsid w:val="001414C8"/>
    <w:rsid w:val="00143F25"/>
    <w:rsid w:val="00152682"/>
    <w:rsid w:val="00154FC9"/>
    <w:rsid w:val="00162A9E"/>
    <w:rsid w:val="001704F3"/>
    <w:rsid w:val="00171501"/>
    <w:rsid w:val="00171CF8"/>
    <w:rsid w:val="001726C3"/>
    <w:rsid w:val="00172DF5"/>
    <w:rsid w:val="00173DEA"/>
    <w:rsid w:val="00175BA4"/>
    <w:rsid w:val="00181B77"/>
    <w:rsid w:val="001822A8"/>
    <w:rsid w:val="001901C0"/>
    <w:rsid w:val="0019241A"/>
    <w:rsid w:val="00192A18"/>
    <w:rsid w:val="00197E9F"/>
    <w:rsid w:val="001A190E"/>
    <w:rsid w:val="001A22D1"/>
    <w:rsid w:val="001A4107"/>
    <w:rsid w:val="001A752D"/>
    <w:rsid w:val="001A757E"/>
    <w:rsid w:val="001B5032"/>
    <w:rsid w:val="001C3687"/>
    <w:rsid w:val="001C7777"/>
    <w:rsid w:val="001D344B"/>
    <w:rsid w:val="001E1B93"/>
    <w:rsid w:val="001E364F"/>
    <w:rsid w:val="001E3B1E"/>
    <w:rsid w:val="001E78E5"/>
    <w:rsid w:val="001F4222"/>
    <w:rsid w:val="001F4B42"/>
    <w:rsid w:val="001F7501"/>
    <w:rsid w:val="002016A9"/>
    <w:rsid w:val="00203AA1"/>
    <w:rsid w:val="00211204"/>
    <w:rsid w:val="00213E98"/>
    <w:rsid w:val="00230150"/>
    <w:rsid w:val="00230556"/>
    <w:rsid w:val="0023081A"/>
    <w:rsid w:val="00233111"/>
    <w:rsid w:val="00244514"/>
    <w:rsid w:val="00246758"/>
    <w:rsid w:val="002505C3"/>
    <w:rsid w:val="00265FA8"/>
    <w:rsid w:val="00270D36"/>
    <w:rsid w:val="00271FEA"/>
    <w:rsid w:val="002846D2"/>
    <w:rsid w:val="002A63E4"/>
    <w:rsid w:val="002B133E"/>
    <w:rsid w:val="002B2C94"/>
    <w:rsid w:val="002B40FF"/>
    <w:rsid w:val="002B6C78"/>
    <w:rsid w:val="002C0466"/>
    <w:rsid w:val="002C4E29"/>
    <w:rsid w:val="002C5D07"/>
    <w:rsid w:val="002C7B55"/>
    <w:rsid w:val="002C7DA6"/>
    <w:rsid w:val="002D086C"/>
    <w:rsid w:val="002D3AF3"/>
    <w:rsid w:val="002E0606"/>
    <w:rsid w:val="002E0F0D"/>
    <w:rsid w:val="002E1206"/>
    <w:rsid w:val="002E498E"/>
    <w:rsid w:val="002E75B5"/>
    <w:rsid w:val="002F3744"/>
    <w:rsid w:val="002F460C"/>
    <w:rsid w:val="002F48D6"/>
    <w:rsid w:val="002F7A49"/>
    <w:rsid w:val="002F7B19"/>
    <w:rsid w:val="00300432"/>
    <w:rsid w:val="00317391"/>
    <w:rsid w:val="00321463"/>
    <w:rsid w:val="00322C22"/>
    <w:rsid w:val="0032350E"/>
    <w:rsid w:val="00326216"/>
    <w:rsid w:val="00336580"/>
    <w:rsid w:val="0034108F"/>
    <w:rsid w:val="00342A65"/>
    <w:rsid w:val="00345908"/>
    <w:rsid w:val="00354899"/>
    <w:rsid w:val="003552CF"/>
    <w:rsid w:val="00355FD6"/>
    <w:rsid w:val="003569D3"/>
    <w:rsid w:val="0036283B"/>
    <w:rsid w:val="00364A5C"/>
    <w:rsid w:val="00373FB1"/>
    <w:rsid w:val="003839A6"/>
    <w:rsid w:val="00385840"/>
    <w:rsid w:val="003915CC"/>
    <w:rsid w:val="00392A27"/>
    <w:rsid w:val="00394777"/>
    <w:rsid w:val="00396C76"/>
    <w:rsid w:val="00397503"/>
    <w:rsid w:val="003A320A"/>
    <w:rsid w:val="003A4BB4"/>
    <w:rsid w:val="003B30D8"/>
    <w:rsid w:val="003B7EF2"/>
    <w:rsid w:val="003C3FA4"/>
    <w:rsid w:val="003C498A"/>
    <w:rsid w:val="003C4BC4"/>
    <w:rsid w:val="003C5320"/>
    <w:rsid w:val="003D0BA1"/>
    <w:rsid w:val="003D6ABF"/>
    <w:rsid w:val="003D6D82"/>
    <w:rsid w:val="003E2956"/>
    <w:rsid w:val="003E4B92"/>
    <w:rsid w:val="003E690E"/>
    <w:rsid w:val="003F2B0C"/>
    <w:rsid w:val="003F56B1"/>
    <w:rsid w:val="00401B3D"/>
    <w:rsid w:val="004105B2"/>
    <w:rsid w:val="004107DE"/>
    <w:rsid w:val="0041145A"/>
    <w:rsid w:val="00412900"/>
    <w:rsid w:val="00415760"/>
    <w:rsid w:val="004221E4"/>
    <w:rsid w:val="0042629A"/>
    <w:rsid w:val="004273F8"/>
    <w:rsid w:val="004355A3"/>
    <w:rsid w:val="00446546"/>
    <w:rsid w:val="004473D9"/>
    <w:rsid w:val="00452769"/>
    <w:rsid w:val="00454FA7"/>
    <w:rsid w:val="00460A24"/>
    <w:rsid w:val="004639EB"/>
    <w:rsid w:val="00465348"/>
    <w:rsid w:val="00466FE9"/>
    <w:rsid w:val="00481949"/>
    <w:rsid w:val="00485FCB"/>
    <w:rsid w:val="004979A5"/>
    <w:rsid w:val="004A25E0"/>
    <w:rsid w:val="004A5974"/>
    <w:rsid w:val="004B0C90"/>
    <w:rsid w:val="004B1CCB"/>
    <w:rsid w:val="004B3E8E"/>
    <w:rsid w:val="004B632F"/>
    <w:rsid w:val="004C1FE5"/>
    <w:rsid w:val="004C3306"/>
    <w:rsid w:val="004D2E64"/>
    <w:rsid w:val="004D3FB1"/>
    <w:rsid w:val="004D4441"/>
    <w:rsid w:val="004D5A49"/>
    <w:rsid w:val="004D6F21"/>
    <w:rsid w:val="004D73A5"/>
    <w:rsid w:val="00505A64"/>
    <w:rsid w:val="00506D4E"/>
    <w:rsid w:val="00507252"/>
    <w:rsid w:val="005108C6"/>
    <w:rsid w:val="005160F1"/>
    <w:rsid w:val="00520107"/>
    <w:rsid w:val="00520797"/>
    <w:rsid w:val="00521F9F"/>
    <w:rsid w:val="00524F2F"/>
    <w:rsid w:val="00526D50"/>
    <w:rsid w:val="00527E5C"/>
    <w:rsid w:val="00532CF5"/>
    <w:rsid w:val="00546725"/>
    <w:rsid w:val="005528CB"/>
    <w:rsid w:val="00560BFC"/>
    <w:rsid w:val="005652AD"/>
    <w:rsid w:val="00566771"/>
    <w:rsid w:val="00581E2E"/>
    <w:rsid w:val="00584F15"/>
    <w:rsid w:val="00594384"/>
    <w:rsid w:val="0059514B"/>
    <w:rsid w:val="00597B6C"/>
    <w:rsid w:val="005A1B0F"/>
    <w:rsid w:val="005B4CE6"/>
    <w:rsid w:val="005B5BE7"/>
    <w:rsid w:val="005B5EFE"/>
    <w:rsid w:val="005C5AA7"/>
    <w:rsid w:val="005D1E58"/>
    <w:rsid w:val="005D1EA3"/>
    <w:rsid w:val="005D5154"/>
    <w:rsid w:val="005D59BC"/>
    <w:rsid w:val="005E59F2"/>
    <w:rsid w:val="005E5D23"/>
    <w:rsid w:val="005F061A"/>
    <w:rsid w:val="005F773F"/>
    <w:rsid w:val="006061B4"/>
    <w:rsid w:val="00614F9A"/>
    <w:rsid w:val="006163F7"/>
    <w:rsid w:val="00627C63"/>
    <w:rsid w:val="0063127F"/>
    <w:rsid w:val="0063240E"/>
    <w:rsid w:val="0063350B"/>
    <w:rsid w:val="006344D4"/>
    <w:rsid w:val="00635AC6"/>
    <w:rsid w:val="00642EE2"/>
    <w:rsid w:val="00651B91"/>
    <w:rsid w:val="00652606"/>
    <w:rsid w:val="0065417E"/>
    <w:rsid w:val="00681209"/>
    <w:rsid w:val="00681B9C"/>
    <w:rsid w:val="006836A6"/>
    <w:rsid w:val="006840C7"/>
    <w:rsid w:val="006909D8"/>
    <w:rsid w:val="00693368"/>
    <w:rsid w:val="006946EE"/>
    <w:rsid w:val="006A18A9"/>
    <w:rsid w:val="006A3D33"/>
    <w:rsid w:val="006A42B1"/>
    <w:rsid w:val="006A58A9"/>
    <w:rsid w:val="006A606D"/>
    <w:rsid w:val="006B0FAA"/>
    <w:rsid w:val="006B2691"/>
    <w:rsid w:val="006C0371"/>
    <w:rsid w:val="006C08B6"/>
    <w:rsid w:val="006C0B1A"/>
    <w:rsid w:val="006C2458"/>
    <w:rsid w:val="006C6065"/>
    <w:rsid w:val="006C6F77"/>
    <w:rsid w:val="006C76C7"/>
    <w:rsid w:val="006C7F9F"/>
    <w:rsid w:val="006D5CA0"/>
    <w:rsid w:val="006D6AFC"/>
    <w:rsid w:val="006E0B78"/>
    <w:rsid w:val="006E2F6D"/>
    <w:rsid w:val="006E58F6"/>
    <w:rsid w:val="006E77E1"/>
    <w:rsid w:val="006F131D"/>
    <w:rsid w:val="006F4BEB"/>
    <w:rsid w:val="0070084B"/>
    <w:rsid w:val="00710D5C"/>
    <w:rsid w:val="00711642"/>
    <w:rsid w:val="0072301C"/>
    <w:rsid w:val="007233BE"/>
    <w:rsid w:val="00731210"/>
    <w:rsid w:val="007422E3"/>
    <w:rsid w:val="007500B4"/>
    <w:rsid w:val="007507C6"/>
    <w:rsid w:val="00751E0B"/>
    <w:rsid w:val="00752BCA"/>
    <w:rsid w:val="00752BCD"/>
    <w:rsid w:val="0076022E"/>
    <w:rsid w:val="0076340A"/>
    <w:rsid w:val="00766DA1"/>
    <w:rsid w:val="00767084"/>
    <w:rsid w:val="00780D94"/>
    <w:rsid w:val="007848D8"/>
    <w:rsid w:val="007866A6"/>
    <w:rsid w:val="00792FB6"/>
    <w:rsid w:val="007A130D"/>
    <w:rsid w:val="007A1978"/>
    <w:rsid w:val="007A5998"/>
    <w:rsid w:val="007A73E4"/>
    <w:rsid w:val="007D1A2D"/>
    <w:rsid w:val="007D32E6"/>
    <w:rsid w:val="007D4102"/>
    <w:rsid w:val="007D4A31"/>
    <w:rsid w:val="007E17F9"/>
    <w:rsid w:val="007E54A7"/>
    <w:rsid w:val="007F1C36"/>
    <w:rsid w:val="007F43B7"/>
    <w:rsid w:val="00801623"/>
    <w:rsid w:val="00811962"/>
    <w:rsid w:val="00813D39"/>
    <w:rsid w:val="0082197D"/>
    <w:rsid w:val="00821FFC"/>
    <w:rsid w:val="008271CA"/>
    <w:rsid w:val="00827B42"/>
    <w:rsid w:val="00830721"/>
    <w:rsid w:val="00832BDC"/>
    <w:rsid w:val="00833111"/>
    <w:rsid w:val="00835BFC"/>
    <w:rsid w:val="008467D5"/>
    <w:rsid w:val="00847B31"/>
    <w:rsid w:val="00852738"/>
    <w:rsid w:val="0085282D"/>
    <w:rsid w:val="008615DF"/>
    <w:rsid w:val="008634CE"/>
    <w:rsid w:val="00867827"/>
    <w:rsid w:val="00890250"/>
    <w:rsid w:val="008A4CEB"/>
    <w:rsid w:val="008A4DC4"/>
    <w:rsid w:val="008B26D9"/>
    <w:rsid w:val="008B438C"/>
    <w:rsid w:val="008B7C95"/>
    <w:rsid w:val="008C3C6C"/>
    <w:rsid w:val="008D06CA"/>
    <w:rsid w:val="008D1ECF"/>
    <w:rsid w:val="008D3A46"/>
    <w:rsid w:val="008D6AA6"/>
    <w:rsid w:val="008F2385"/>
    <w:rsid w:val="008F492D"/>
    <w:rsid w:val="008F5E90"/>
    <w:rsid w:val="009067A4"/>
    <w:rsid w:val="009110C8"/>
    <w:rsid w:val="009168C4"/>
    <w:rsid w:val="0092047D"/>
    <w:rsid w:val="00924951"/>
    <w:rsid w:val="00930885"/>
    <w:rsid w:val="00933D68"/>
    <w:rsid w:val="009340DB"/>
    <w:rsid w:val="0093656B"/>
    <w:rsid w:val="009417F6"/>
    <w:rsid w:val="0094618C"/>
    <w:rsid w:val="00951C27"/>
    <w:rsid w:val="009537B4"/>
    <w:rsid w:val="00954D86"/>
    <w:rsid w:val="0095684B"/>
    <w:rsid w:val="009662D8"/>
    <w:rsid w:val="0096652D"/>
    <w:rsid w:val="00972498"/>
    <w:rsid w:val="00972C7A"/>
    <w:rsid w:val="00974433"/>
    <w:rsid w:val="0097481F"/>
    <w:rsid w:val="00974CC6"/>
    <w:rsid w:val="00976AD4"/>
    <w:rsid w:val="0098284E"/>
    <w:rsid w:val="00991876"/>
    <w:rsid w:val="00995547"/>
    <w:rsid w:val="00996B6F"/>
    <w:rsid w:val="009A10C2"/>
    <w:rsid w:val="009A301C"/>
    <w:rsid w:val="009A312F"/>
    <w:rsid w:val="009A31E2"/>
    <w:rsid w:val="009A4072"/>
    <w:rsid w:val="009A48CD"/>
    <w:rsid w:val="009A5348"/>
    <w:rsid w:val="009B0AB7"/>
    <w:rsid w:val="009C2AA9"/>
    <w:rsid w:val="009C4D3F"/>
    <w:rsid w:val="009C76D5"/>
    <w:rsid w:val="009D296E"/>
    <w:rsid w:val="009D2E5A"/>
    <w:rsid w:val="009D5B01"/>
    <w:rsid w:val="009E019F"/>
    <w:rsid w:val="009E2169"/>
    <w:rsid w:val="009E7614"/>
    <w:rsid w:val="009F7AA4"/>
    <w:rsid w:val="00A0085A"/>
    <w:rsid w:val="00A0752F"/>
    <w:rsid w:val="00A10107"/>
    <w:rsid w:val="00A10AD7"/>
    <w:rsid w:val="00A11A74"/>
    <w:rsid w:val="00A26851"/>
    <w:rsid w:val="00A31326"/>
    <w:rsid w:val="00A32171"/>
    <w:rsid w:val="00A323B0"/>
    <w:rsid w:val="00A3366E"/>
    <w:rsid w:val="00A4058D"/>
    <w:rsid w:val="00A419D7"/>
    <w:rsid w:val="00A43F85"/>
    <w:rsid w:val="00A444E9"/>
    <w:rsid w:val="00A4465D"/>
    <w:rsid w:val="00A559DB"/>
    <w:rsid w:val="00A569C6"/>
    <w:rsid w:val="00A569EA"/>
    <w:rsid w:val="00A629CA"/>
    <w:rsid w:val="00A6585C"/>
    <w:rsid w:val="00A676A0"/>
    <w:rsid w:val="00A74C74"/>
    <w:rsid w:val="00A777B6"/>
    <w:rsid w:val="00A8608C"/>
    <w:rsid w:val="00A96270"/>
    <w:rsid w:val="00AA0800"/>
    <w:rsid w:val="00AA5866"/>
    <w:rsid w:val="00AB459A"/>
    <w:rsid w:val="00AB6834"/>
    <w:rsid w:val="00AC0835"/>
    <w:rsid w:val="00AC0EFD"/>
    <w:rsid w:val="00AC2693"/>
    <w:rsid w:val="00AC29F2"/>
    <w:rsid w:val="00AF35FC"/>
    <w:rsid w:val="00AF5556"/>
    <w:rsid w:val="00B01F7E"/>
    <w:rsid w:val="00B03639"/>
    <w:rsid w:val="00B0652A"/>
    <w:rsid w:val="00B06646"/>
    <w:rsid w:val="00B10239"/>
    <w:rsid w:val="00B1279D"/>
    <w:rsid w:val="00B1281A"/>
    <w:rsid w:val="00B1374C"/>
    <w:rsid w:val="00B17233"/>
    <w:rsid w:val="00B252AD"/>
    <w:rsid w:val="00B2539C"/>
    <w:rsid w:val="00B4080F"/>
    <w:rsid w:val="00B40937"/>
    <w:rsid w:val="00B41BF2"/>
    <w:rsid w:val="00B423EF"/>
    <w:rsid w:val="00B42E02"/>
    <w:rsid w:val="00B453DE"/>
    <w:rsid w:val="00B45507"/>
    <w:rsid w:val="00B546D6"/>
    <w:rsid w:val="00B62497"/>
    <w:rsid w:val="00B72597"/>
    <w:rsid w:val="00B734DE"/>
    <w:rsid w:val="00B7408B"/>
    <w:rsid w:val="00B751CA"/>
    <w:rsid w:val="00B85AFF"/>
    <w:rsid w:val="00B87DC0"/>
    <w:rsid w:val="00B901F9"/>
    <w:rsid w:val="00B92D8F"/>
    <w:rsid w:val="00B96C62"/>
    <w:rsid w:val="00B978E5"/>
    <w:rsid w:val="00BA12A0"/>
    <w:rsid w:val="00BA43A6"/>
    <w:rsid w:val="00BB1880"/>
    <w:rsid w:val="00BB7AC7"/>
    <w:rsid w:val="00BC02DC"/>
    <w:rsid w:val="00BC1451"/>
    <w:rsid w:val="00BC2B8D"/>
    <w:rsid w:val="00BC2FC7"/>
    <w:rsid w:val="00BC3E54"/>
    <w:rsid w:val="00BC4D98"/>
    <w:rsid w:val="00BC54CE"/>
    <w:rsid w:val="00BC7187"/>
    <w:rsid w:val="00BD45CF"/>
    <w:rsid w:val="00BD4892"/>
    <w:rsid w:val="00BD6EFB"/>
    <w:rsid w:val="00BD77C8"/>
    <w:rsid w:val="00BE3DF5"/>
    <w:rsid w:val="00BF4A5C"/>
    <w:rsid w:val="00BF5EAB"/>
    <w:rsid w:val="00C02362"/>
    <w:rsid w:val="00C02410"/>
    <w:rsid w:val="00C11CE3"/>
    <w:rsid w:val="00C12023"/>
    <w:rsid w:val="00C134E8"/>
    <w:rsid w:val="00C1377E"/>
    <w:rsid w:val="00C1584D"/>
    <w:rsid w:val="00C15BE2"/>
    <w:rsid w:val="00C26DCA"/>
    <w:rsid w:val="00C275B5"/>
    <w:rsid w:val="00C32C67"/>
    <w:rsid w:val="00C34378"/>
    <w:rsid w:val="00C3443C"/>
    <w:rsid w:val="00C3447F"/>
    <w:rsid w:val="00C43C00"/>
    <w:rsid w:val="00C44714"/>
    <w:rsid w:val="00C530E7"/>
    <w:rsid w:val="00C57C33"/>
    <w:rsid w:val="00C62E97"/>
    <w:rsid w:val="00C67102"/>
    <w:rsid w:val="00C675A8"/>
    <w:rsid w:val="00C75CA9"/>
    <w:rsid w:val="00C8013B"/>
    <w:rsid w:val="00C81491"/>
    <w:rsid w:val="00C81676"/>
    <w:rsid w:val="00C85660"/>
    <w:rsid w:val="00C85C5D"/>
    <w:rsid w:val="00C911AE"/>
    <w:rsid w:val="00C92637"/>
    <w:rsid w:val="00C92CC4"/>
    <w:rsid w:val="00C95686"/>
    <w:rsid w:val="00C95F92"/>
    <w:rsid w:val="00CA0AFB"/>
    <w:rsid w:val="00CA2CE1"/>
    <w:rsid w:val="00CA3976"/>
    <w:rsid w:val="00CA482A"/>
    <w:rsid w:val="00CA50E3"/>
    <w:rsid w:val="00CA757B"/>
    <w:rsid w:val="00CB39AA"/>
    <w:rsid w:val="00CB729D"/>
    <w:rsid w:val="00CC1787"/>
    <w:rsid w:val="00CC182C"/>
    <w:rsid w:val="00CC2446"/>
    <w:rsid w:val="00CC2EA5"/>
    <w:rsid w:val="00CC5EAE"/>
    <w:rsid w:val="00CC62BA"/>
    <w:rsid w:val="00CC7216"/>
    <w:rsid w:val="00CC7A12"/>
    <w:rsid w:val="00CD0824"/>
    <w:rsid w:val="00CD0A58"/>
    <w:rsid w:val="00CD0A63"/>
    <w:rsid w:val="00CD0F47"/>
    <w:rsid w:val="00CD21B9"/>
    <w:rsid w:val="00CD2908"/>
    <w:rsid w:val="00CF1292"/>
    <w:rsid w:val="00D03A82"/>
    <w:rsid w:val="00D056C6"/>
    <w:rsid w:val="00D0787A"/>
    <w:rsid w:val="00D13667"/>
    <w:rsid w:val="00D15344"/>
    <w:rsid w:val="00D16C1D"/>
    <w:rsid w:val="00D23F57"/>
    <w:rsid w:val="00D247A6"/>
    <w:rsid w:val="00D27800"/>
    <w:rsid w:val="00D30196"/>
    <w:rsid w:val="00D30603"/>
    <w:rsid w:val="00D31BEC"/>
    <w:rsid w:val="00D453F6"/>
    <w:rsid w:val="00D47166"/>
    <w:rsid w:val="00D55FD3"/>
    <w:rsid w:val="00D57CBA"/>
    <w:rsid w:val="00D6238D"/>
    <w:rsid w:val="00D62BD1"/>
    <w:rsid w:val="00D63150"/>
    <w:rsid w:val="00D636BA"/>
    <w:rsid w:val="00D64A32"/>
    <w:rsid w:val="00D64EFC"/>
    <w:rsid w:val="00D663B5"/>
    <w:rsid w:val="00D72544"/>
    <w:rsid w:val="00D73ECF"/>
    <w:rsid w:val="00D75295"/>
    <w:rsid w:val="00D76CE9"/>
    <w:rsid w:val="00D964E7"/>
    <w:rsid w:val="00D97F12"/>
    <w:rsid w:val="00DA6095"/>
    <w:rsid w:val="00DB2960"/>
    <w:rsid w:val="00DB308C"/>
    <w:rsid w:val="00DB42E7"/>
    <w:rsid w:val="00DB57AD"/>
    <w:rsid w:val="00DC09D8"/>
    <w:rsid w:val="00DC5286"/>
    <w:rsid w:val="00DD0835"/>
    <w:rsid w:val="00DD0AF9"/>
    <w:rsid w:val="00DD3019"/>
    <w:rsid w:val="00DD582A"/>
    <w:rsid w:val="00DE01A6"/>
    <w:rsid w:val="00DE31AD"/>
    <w:rsid w:val="00DE5908"/>
    <w:rsid w:val="00DE7A98"/>
    <w:rsid w:val="00DF03CC"/>
    <w:rsid w:val="00DF1A3D"/>
    <w:rsid w:val="00DF32C2"/>
    <w:rsid w:val="00DF65E8"/>
    <w:rsid w:val="00E0168A"/>
    <w:rsid w:val="00E06EC9"/>
    <w:rsid w:val="00E21AEF"/>
    <w:rsid w:val="00E312F3"/>
    <w:rsid w:val="00E42894"/>
    <w:rsid w:val="00E471A7"/>
    <w:rsid w:val="00E478BB"/>
    <w:rsid w:val="00E5297C"/>
    <w:rsid w:val="00E534E1"/>
    <w:rsid w:val="00E53D15"/>
    <w:rsid w:val="00E567A3"/>
    <w:rsid w:val="00E635CF"/>
    <w:rsid w:val="00E642F4"/>
    <w:rsid w:val="00E65103"/>
    <w:rsid w:val="00E65FD6"/>
    <w:rsid w:val="00E6692B"/>
    <w:rsid w:val="00E84044"/>
    <w:rsid w:val="00E90AFF"/>
    <w:rsid w:val="00EA0E1C"/>
    <w:rsid w:val="00EA4406"/>
    <w:rsid w:val="00EB1E3B"/>
    <w:rsid w:val="00EB6E04"/>
    <w:rsid w:val="00EB6ED4"/>
    <w:rsid w:val="00EC6E0A"/>
    <w:rsid w:val="00ED196A"/>
    <w:rsid w:val="00ED46A5"/>
    <w:rsid w:val="00ED4E18"/>
    <w:rsid w:val="00ED7922"/>
    <w:rsid w:val="00EE02C4"/>
    <w:rsid w:val="00EE0B34"/>
    <w:rsid w:val="00EE1F37"/>
    <w:rsid w:val="00EE6022"/>
    <w:rsid w:val="00EF2412"/>
    <w:rsid w:val="00EF350E"/>
    <w:rsid w:val="00EF790E"/>
    <w:rsid w:val="00EF7D88"/>
    <w:rsid w:val="00F0069C"/>
    <w:rsid w:val="00F00732"/>
    <w:rsid w:val="00F0159C"/>
    <w:rsid w:val="00F018E3"/>
    <w:rsid w:val="00F030E7"/>
    <w:rsid w:val="00F04312"/>
    <w:rsid w:val="00F07B51"/>
    <w:rsid w:val="00F105B7"/>
    <w:rsid w:val="00F1119C"/>
    <w:rsid w:val="00F12DB7"/>
    <w:rsid w:val="00F13220"/>
    <w:rsid w:val="00F166FC"/>
    <w:rsid w:val="00F17A21"/>
    <w:rsid w:val="00F338E2"/>
    <w:rsid w:val="00F34317"/>
    <w:rsid w:val="00F35D43"/>
    <w:rsid w:val="00F36FC2"/>
    <w:rsid w:val="00F37B27"/>
    <w:rsid w:val="00F43ADA"/>
    <w:rsid w:val="00F46556"/>
    <w:rsid w:val="00F50E91"/>
    <w:rsid w:val="00F53E95"/>
    <w:rsid w:val="00F560F7"/>
    <w:rsid w:val="00F56799"/>
    <w:rsid w:val="00F57D29"/>
    <w:rsid w:val="00F60786"/>
    <w:rsid w:val="00F761CF"/>
    <w:rsid w:val="00F76A81"/>
    <w:rsid w:val="00F914EF"/>
    <w:rsid w:val="00F91BC7"/>
    <w:rsid w:val="00F96201"/>
    <w:rsid w:val="00FA1BBC"/>
    <w:rsid w:val="00FA65A2"/>
    <w:rsid w:val="00FA714A"/>
    <w:rsid w:val="00FB7112"/>
    <w:rsid w:val="00FC0E59"/>
    <w:rsid w:val="00FC3FF7"/>
    <w:rsid w:val="00FC7933"/>
    <w:rsid w:val="00FD0B18"/>
    <w:rsid w:val="00FD11B8"/>
    <w:rsid w:val="00FD2725"/>
    <w:rsid w:val="00FD2FAD"/>
    <w:rsid w:val="00FD40C4"/>
    <w:rsid w:val="00FD4D40"/>
    <w:rsid w:val="00FE2262"/>
    <w:rsid w:val="00FE33DF"/>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614F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097595">
      <w:bodyDiv w:val="1"/>
      <w:marLeft w:val="0"/>
      <w:marRight w:val="0"/>
      <w:marTop w:val="0"/>
      <w:marBottom w:val="0"/>
      <w:divBdr>
        <w:top w:val="none" w:sz="0" w:space="0" w:color="auto"/>
        <w:left w:val="none" w:sz="0" w:space="0" w:color="auto"/>
        <w:bottom w:val="none" w:sz="0" w:space="0" w:color="auto"/>
        <w:right w:val="none" w:sz="0" w:space="0" w:color="auto"/>
      </w:divBdr>
      <w:divsChild>
        <w:div w:id="580871456">
          <w:marLeft w:val="0"/>
          <w:marRight w:val="0"/>
          <w:marTop w:val="0"/>
          <w:marBottom w:val="0"/>
          <w:divBdr>
            <w:top w:val="none" w:sz="0" w:space="0" w:color="auto"/>
            <w:left w:val="none" w:sz="0" w:space="0" w:color="auto"/>
            <w:bottom w:val="none" w:sz="0" w:space="0" w:color="auto"/>
            <w:right w:val="none" w:sz="0" w:space="0" w:color="auto"/>
          </w:divBdr>
          <w:divsChild>
            <w:div w:id="1351564583">
              <w:marLeft w:val="0"/>
              <w:marRight w:val="0"/>
              <w:marTop w:val="0"/>
              <w:marBottom w:val="0"/>
              <w:divBdr>
                <w:top w:val="none" w:sz="0" w:space="0" w:color="auto"/>
                <w:left w:val="none" w:sz="0" w:space="0" w:color="auto"/>
                <w:bottom w:val="none" w:sz="0" w:space="0" w:color="auto"/>
                <w:right w:val="none" w:sz="0" w:space="0" w:color="auto"/>
              </w:divBdr>
              <w:divsChild>
                <w:div w:id="551966324">
                  <w:marLeft w:val="0"/>
                  <w:marRight w:val="0"/>
                  <w:marTop w:val="0"/>
                  <w:marBottom w:val="0"/>
                  <w:divBdr>
                    <w:top w:val="none" w:sz="0" w:space="0" w:color="auto"/>
                    <w:left w:val="none" w:sz="0" w:space="0" w:color="auto"/>
                    <w:bottom w:val="none" w:sz="0" w:space="0" w:color="auto"/>
                    <w:right w:val="none" w:sz="0" w:space="0" w:color="auto"/>
                  </w:divBdr>
                  <w:divsChild>
                    <w:div w:id="3111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9D60F-2443-4673-ADA4-D10F82303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4274</Words>
  <Characters>24366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5</cp:revision>
  <cp:lastPrinted>2021-02-02T17:58:00Z</cp:lastPrinted>
  <dcterms:created xsi:type="dcterms:W3CDTF">2021-02-02T17:54:00Z</dcterms:created>
  <dcterms:modified xsi:type="dcterms:W3CDTF">2021-02-02T18:01:00Z</dcterms:modified>
</cp:coreProperties>
</file>