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52E1DA9E" w:rsidR="003A5366" w:rsidRPr="005945EC" w:rsidRDefault="00795F62" w:rsidP="00C02410">
      <w:pPr>
        <w:pBdr>
          <w:bottom w:val="single" w:sz="18" w:space="1" w:color="auto"/>
        </w:pBdr>
        <w:tabs>
          <w:tab w:val="left" w:pos="-1440"/>
          <w:tab w:val="left" w:pos="-720"/>
          <w:tab w:val="left" w:pos="1"/>
        </w:tabs>
        <w:jc w:val="both"/>
        <w:rPr>
          <w:rFonts w:ascii="Arial" w:hAnsi="Arial"/>
          <w:b/>
          <w:sz w:val="24"/>
          <w:lang w:val="en-CA"/>
        </w:rPr>
      </w:pPr>
      <w:r w:rsidRPr="00A569EA">
        <w:rPr>
          <w:rFonts w:ascii="Arial" w:hAnsi="Arial"/>
          <w:b/>
          <w:noProof/>
          <w:sz w:val="24"/>
          <w:lang w:val="en-CA" w:eastAsia="en-CA"/>
        </w:rPr>
        <w:drawing>
          <wp:inline distT="0" distB="0" distL="0" distR="0" wp14:anchorId="3D8CAF46" wp14:editId="349EB75B">
            <wp:extent cx="2613804" cy="551245"/>
            <wp:effectExtent l="0" t="0" r="0" b="127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F225EE2" w:rsidR="00C02410" w:rsidRPr="005945EC" w:rsidRDefault="002771BE" w:rsidP="00C02410">
      <w:pPr>
        <w:pStyle w:val="ProductNumber"/>
        <w:rPr>
          <w:lang w:val="en-CA"/>
        </w:rPr>
      </w:pPr>
      <w:r>
        <w:rPr>
          <w:lang w:val="en-CA"/>
        </w:rPr>
        <w:t>9B2</w:t>
      </w:r>
      <w:r w:rsidR="00795F62">
        <w:rPr>
          <w:lang w:val="en-CA"/>
        </w:rPr>
        <w:t>1</w:t>
      </w:r>
      <w:r>
        <w:rPr>
          <w:lang w:val="en-CA"/>
        </w:rPr>
        <w:t>M010</w:t>
      </w:r>
    </w:p>
    <w:p w14:paraId="4E057522" w14:textId="7A113CB1" w:rsidR="00D75295" w:rsidRPr="005945EC" w:rsidRDefault="00D75295" w:rsidP="00D75295">
      <w:pPr>
        <w:jc w:val="right"/>
        <w:rPr>
          <w:rFonts w:ascii="Arial" w:hAnsi="Arial"/>
          <w:b/>
          <w:lang w:val="en-CA"/>
        </w:rPr>
      </w:pPr>
    </w:p>
    <w:p w14:paraId="02524312" w14:textId="77777777" w:rsidR="001901C0" w:rsidRPr="005945EC" w:rsidRDefault="001901C0" w:rsidP="00D75295">
      <w:pPr>
        <w:jc w:val="right"/>
        <w:rPr>
          <w:rFonts w:ascii="Arial" w:hAnsi="Arial"/>
          <w:b/>
          <w:lang w:val="en-CA"/>
        </w:rPr>
      </w:pPr>
    </w:p>
    <w:p w14:paraId="2F03D26A" w14:textId="728CCE11" w:rsidR="00013360" w:rsidRPr="005945EC" w:rsidRDefault="00E867DA" w:rsidP="00013360">
      <w:pPr>
        <w:pStyle w:val="CaseTitle"/>
        <w:spacing w:after="0" w:line="240" w:lineRule="auto"/>
        <w:rPr>
          <w:sz w:val="20"/>
          <w:szCs w:val="20"/>
          <w:lang w:val="en-CA"/>
        </w:rPr>
      </w:pPr>
      <w:r w:rsidRPr="005945EC">
        <w:rPr>
          <w:iCs/>
          <w:lang w:val="en-CA"/>
        </w:rPr>
        <w:t>Star Alliance in 2020</w:t>
      </w:r>
      <w:r w:rsidRPr="005945EC">
        <w:rPr>
          <w:rStyle w:val="EndnoteReference"/>
          <w:iCs/>
          <w:lang w:val="en-CA"/>
        </w:rPr>
        <w:endnoteReference w:id="1"/>
      </w:r>
    </w:p>
    <w:p w14:paraId="40ABF6FD" w14:textId="77777777" w:rsidR="00CA3976" w:rsidRPr="005945EC" w:rsidRDefault="00CA3976" w:rsidP="00013360">
      <w:pPr>
        <w:pStyle w:val="CaseTitle"/>
        <w:spacing w:after="0" w:line="240" w:lineRule="auto"/>
        <w:rPr>
          <w:sz w:val="20"/>
          <w:szCs w:val="20"/>
          <w:lang w:val="en-CA"/>
        </w:rPr>
      </w:pPr>
    </w:p>
    <w:p w14:paraId="202F1085" w14:textId="77777777" w:rsidR="00013360" w:rsidRPr="005945EC" w:rsidRDefault="00013360" w:rsidP="00013360">
      <w:pPr>
        <w:pStyle w:val="CaseTitle"/>
        <w:spacing w:after="0" w:line="240" w:lineRule="auto"/>
        <w:rPr>
          <w:sz w:val="20"/>
          <w:szCs w:val="20"/>
          <w:lang w:val="en-CA"/>
        </w:rPr>
      </w:pPr>
    </w:p>
    <w:p w14:paraId="58B0C73F" w14:textId="13C65187" w:rsidR="00086B26" w:rsidRPr="005945EC" w:rsidRDefault="00E867DA" w:rsidP="00086B26">
      <w:pPr>
        <w:pStyle w:val="StyleCopyrightStatementAfter0ptBottomSinglesolidline1"/>
        <w:rPr>
          <w:lang w:val="en-CA"/>
        </w:rPr>
      </w:pPr>
      <w:r w:rsidRPr="005945EC">
        <w:rPr>
          <w:lang w:val="en-CA"/>
        </w:rPr>
        <w:t>Professor Benjamin Gomes-Casseres and Jacob Judd</w:t>
      </w:r>
      <w:r w:rsidR="00ED7922" w:rsidRPr="005945EC">
        <w:rPr>
          <w:rFonts w:cs="Arial"/>
          <w:szCs w:val="16"/>
          <w:lang w:val="en-CA"/>
        </w:rPr>
        <w:t xml:space="preserve"> </w:t>
      </w:r>
      <w:r w:rsidR="00086B26" w:rsidRPr="005945EC">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5945EC" w:rsidRDefault="00086B26" w:rsidP="00086B26">
      <w:pPr>
        <w:pStyle w:val="StyleCopyrightStatementAfter0ptBottomSinglesolidline1"/>
        <w:rPr>
          <w:lang w:val="en-CA"/>
        </w:rPr>
      </w:pPr>
    </w:p>
    <w:p w14:paraId="1EEEBFE5" w14:textId="0B4F306D" w:rsidR="00A323B0" w:rsidRPr="005945EC" w:rsidRDefault="00795F62" w:rsidP="00A323B0">
      <w:pPr>
        <w:pStyle w:val="StyleStyleCopyrightStatementAfter0ptBottomSinglesolid"/>
        <w:rPr>
          <w:rFonts w:cs="Arial"/>
          <w:szCs w:val="16"/>
          <w:lang w:val="en-CA"/>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777D23C" w14:textId="77777777" w:rsidR="003A5366" w:rsidRPr="005945EC" w:rsidRDefault="003A5366" w:rsidP="00A323B0">
      <w:pPr>
        <w:pStyle w:val="StyleStyleCopyrightStatementAfter0ptBottomSinglesolid"/>
        <w:rPr>
          <w:rFonts w:cs="Arial"/>
          <w:szCs w:val="16"/>
          <w:lang w:val="en-CA"/>
        </w:rPr>
      </w:pPr>
    </w:p>
    <w:p w14:paraId="3922E14F" w14:textId="69972CAC" w:rsidR="00751E0B" w:rsidRPr="005945EC" w:rsidRDefault="00795F62" w:rsidP="00A323B0">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5945EC">
        <w:rPr>
          <w:rFonts w:cs="Arial"/>
          <w:iCs w:val="0"/>
          <w:color w:val="auto"/>
          <w:szCs w:val="16"/>
          <w:lang w:val="en-CA"/>
        </w:rPr>
        <w:tab/>
        <w:t xml:space="preserve">Version: </w:t>
      </w:r>
      <w:r w:rsidR="00E31ACF" w:rsidRPr="005945EC">
        <w:rPr>
          <w:rFonts w:cs="Arial"/>
          <w:iCs w:val="0"/>
          <w:color w:val="auto"/>
          <w:szCs w:val="16"/>
          <w:lang w:val="en-CA"/>
        </w:rPr>
        <w:t>2021</w:t>
      </w:r>
      <w:r w:rsidR="00E867DA" w:rsidRPr="005945EC">
        <w:rPr>
          <w:rFonts w:cs="Arial"/>
          <w:iCs w:val="0"/>
          <w:color w:val="auto"/>
          <w:szCs w:val="16"/>
          <w:lang w:val="en-CA"/>
        </w:rPr>
        <w:t>-</w:t>
      </w:r>
      <w:r w:rsidR="00507B2E" w:rsidRPr="005945EC">
        <w:rPr>
          <w:rFonts w:cs="Arial"/>
          <w:iCs w:val="0"/>
          <w:color w:val="auto"/>
          <w:szCs w:val="16"/>
          <w:lang w:val="en-CA"/>
        </w:rPr>
        <w:t>01-</w:t>
      </w:r>
      <w:r w:rsidR="002771BE" w:rsidRPr="005945EC">
        <w:rPr>
          <w:rFonts w:cs="Arial"/>
          <w:iCs w:val="0"/>
          <w:color w:val="auto"/>
          <w:szCs w:val="16"/>
          <w:lang w:val="en-CA"/>
        </w:rPr>
        <w:t>2</w:t>
      </w:r>
      <w:r w:rsidR="002771BE">
        <w:rPr>
          <w:rFonts w:cs="Arial"/>
          <w:iCs w:val="0"/>
          <w:color w:val="auto"/>
          <w:szCs w:val="16"/>
          <w:lang w:val="en-CA"/>
        </w:rPr>
        <w:t>8</w:t>
      </w:r>
    </w:p>
    <w:p w14:paraId="0A2A54E4" w14:textId="77777777" w:rsidR="00751E0B" w:rsidRPr="005945EC" w:rsidRDefault="00751E0B" w:rsidP="00751E0B">
      <w:pPr>
        <w:pStyle w:val="StyleCopyrightStatementAfter0ptBottomSinglesolidline1"/>
        <w:rPr>
          <w:rFonts w:ascii="Times New Roman" w:hAnsi="Times New Roman"/>
          <w:sz w:val="20"/>
          <w:lang w:val="en-CA"/>
        </w:rPr>
      </w:pPr>
    </w:p>
    <w:p w14:paraId="2C183161" w14:textId="238DCCCA" w:rsidR="00B87DC0" w:rsidRPr="005945EC" w:rsidRDefault="00B87DC0" w:rsidP="002B40FF">
      <w:pPr>
        <w:pStyle w:val="Casehead1"/>
        <w:rPr>
          <w:lang w:val="en-CA"/>
        </w:rPr>
      </w:pPr>
    </w:p>
    <w:p w14:paraId="3BD8B170" w14:textId="22AB5A74" w:rsidR="00E867DA" w:rsidRPr="005945EC" w:rsidRDefault="00615E06" w:rsidP="00130755">
      <w:pPr>
        <w:pStyle w:val="BodyTextMain"/>
        <w:rPr>
          <w:lang w:val="en-CA"/>
        </w:rPr>
      </w:pPr>
      <w:r w:rsidRPr="005945EC">
        <w:rPr>
          <w:lang w:val="en-CA"/>
        </w:rPr>
        <w:t>S</w:t>
      </w:r>
      <w:r w:rsidR="00672D2A" w:rsidRPr="005945EC">
        <w:rPr>
          <w:lang w:val="en-CA"/>
        </w:rPr>
        <w:t>ince its founding</w:t>
      </w:r>
      <w:r w:rsidRPr="005945EC">
        <w:rPr>
          <w:lang w:val="en-CA"/>
        </w:rPr>
        <w:t xml:space="preserve"> in </w:t>
      </w:r>
      <w:r w:rsidR="007770AA" w:rsidRPr="005945EC">
        <w:rPr>
          <w:lang w:val="en-CA"/>
        </w:rPr>
        <w:t>1997</w:t>
      </w:r>
      <w:r w:rsidR="00E867DA" w:rsidRPr="005945EC">
        <w:rPr>
          <w:lang w:val="en-CA"/>
        </w:rPr>
        <w:t xml:space="preserve">, Star Alliance </w:t>
      </w:r>
      <w:r w:rsidR="003304BF" w:rsidRPr="005945EC">
        <w:rPr>
          <w:lang w:val="en-CA"/>
        </w:rPr>
        <w:t xml:space="preserve">had </w:t>
      </w:r>
      <w:r w:rsidR="00672D2A" w:rsidRPr="005945EC">
        <w:rPr>
          <w:lang w:val="en-CA"/>
        </w:rPr>
        <w:t>developed</w:t>
      </w:r>
      <w:r w:rsidR="00E867DA" w:rsidRPr="005945EC">
        <w:rPr>
          <w:lang w:val="en-CA"/>
        </w:rPr>
        <w:t xml:space="preserve"> a</w:t>
      </w:r>
      <w:r w:rsidR="003304BF" w:rsidRPr="005945EC">
        <w:rPr>
          <w:lang w:val="en-CA"/>
        </w:rPr>
        <w:t>n expertly</w:t>
      </w:r>
      <w:r w:rsidR="00E867DA" w:rsidRPr="005945EC">
        <w:rPr>
          <w:lang w:val="en-CA"/>
        </w:rPr>
        <w:t xml:space="preserve"> organized </w:t>
      </w:r>
      <w:r w:rsidR="00672D2A" w:rsidRPr="005945EC">
        <w:rPr>
          <w:lang w:val="en-CA"/>
        </w:rPr>
        <w:t xml:space="preserve">and </w:t>
      </w:r>
      <w:r w:rsidR="00130755" w:rsidRPr="005945EC">
        <w:rPr>
          <w:lang w:val="en-CA"/>
        </w:rPr>
        <w:t>managed</w:t>
      </w:r>
      <w:r w:rsidR="00672D2A" w:rsidRPr="005945EC">
        <w:rPr>
          <w:lang w:val="en-CA"/>
        </w:rPr>
        <w:t xml:space="preserve"> </w:t>
      </w:r>
      <w:r w:rsidR="00E867DA" w:rsidRPr="005945EC">
        <w:rPr>
          <w:lang w:val="en-CA"/>
        </w:rPr>
        <w:t xml:space="preserve">network of </w:t>
      </w:r>
      <w:r w:rsidR="003304BF" w:rsidRPr="005945EC">
        <w:rPr>
          <w:lang w:val="en-CA"/>
        </w:rPr>
        <w:t>global</w:t>
      </w:r>
      <w:r w:rsidR="00E867DA" w:rsidRPr="005945EC">
        <w:rPr>
          <w:lang w:val="en-CA"/>
        </w:rPr>
        <w:t xml:space="preserve"> airlines</w:t>
      </w:r>
      <w:r w:rsidR="003304BF" w:rsidRPr="005945EC">
        <w:rPr>
          <w:lang w:val="en-CA"/>
        </w:rPr>
        <w:t xml:space="preserve"> over the course of 2</w:t>
      </w:r>
      <w:r w:rsidR="007770AA" w:rsidRPr="005945EC">
        <w:rPr>
          <w:lang w:val="en-CA"/>
        </w:rPr>
        <w:t>3</w:t>
      </w:r>
      <w:r w:rsidR="003304BF" w:rsidRPr="005945EC">
        <w:rPr>
          <w:lang w:val="en-CA"/>
        </w:rPr>
        <w:t xml:space="preserve"> years</w:t>
      </w:r>
      <w:r w:rsidR="00E867DA" w:rsidRPr="005945EC">
        <w:rPr>
          <w:lang w:val="en-CA"/>
        </w:rPr>
        <w:t>.</w:t>
      </w:r>
      <w:r w:rsidR="00E867DA" w:rsidRPr="005945EC">
        <w:rPr>
          <w:rStyle w:val="EndnoteReference"/>
          <w:color w:val="000000" w:themeColor="text1"/>
          <w:lang w:val="en-CA"/>
        </w:rPr>
        <w:endnoteReference w:id="2"/>
      </w:r>
      <w:r w:rsidR="00E867DA" w:rsidRPr="005945EC">
        <w:rPr>
          <w:lang w:val="en-CA"/>
        </w:rPr>
        <w:t xml:space="preserve"> In 2020, </w:t>
      </w:r>
      <w:r w:rsidRPr="005945EC">
        <w:rPr>
          <w:lang w:val="en-CA"/>
        </w:rPr>
        <w:t xml:space="preserve">however, </w:t>
      </w:r>
      <w:r w:rsidR="00844085" w:rsidRPr="005945EC">
        <w:rPr>
          <w:lang w:val="en-CA"/>
        </w:rPr>
        <w:t>the airline</w:t>
      </w:r>
      <w:r w:rsidR="00E867DA" w:rsidRPr="005945EC">
        <w:rPr>
          <w:lang w:val="en-CA"/>
        </w:rPr>
        <w:t xml:space="preserve"> fac</w:t>
      </w:r>
      <w:r w:rsidR="003304BF" w:rsidRPr="005945EC">
        <w:rPr>
          <w:lang w:val="en-CA"/>
        </w:rPr>
        <w:t>ed</w:t>
      </w:r>
      <w:r w:rsidR="00E867DA" w:rsidRPr="005945EC">
        <w:rPr>
          <w:lang w:val="en-CA"/>
        </w:rPr>
        <w:t xml:space="preserve"> a new</w:t>
      </w:r>
      <w:r w:rsidRPr="005945EC">
        <w:rPr>
          <w:lang w:val="en-CA"/>
        </w:rPr>
        <w:t xml:space="preserve"> and unfor</w:t>
      </w:r>
      <w:r w:rsidR="003304BF" w:rsidRPr="005945EC">
        <w:rPr>
          <w:lang w:val="en-CA"/>
        </w:rPr>
        <w:t>e</w:t>
      </w:r>
      <w:r w:rsidRPr="005945EC">
        <w:rPr>
          <w:lang w:val="en-CA"/>
        </w:rPr>
        <w:t>seen</w:t>
      </w:r>
      <w:r w:rsidR="00E867DA" w:rsidRPr="005945EC">
        <w:rPr>
          <w:lang w:val="en-CA"/>
        </w:rPr>
        <w:t xml:space="preserve"> challenge</w:t>
      </w:r>
      <w:r w:rsidRPr="005945EC">
        <w:rPr>
          <w:lang w:val="en-CA"/>
        </w:rPr>
        <w:t>:</w:t>
      </w:r>
      <w:r w:rsidR="00E867DA" w:rsidRPr="005945EC">
        <w:rPr>
          <w:lang w:val="en-CA"/>
        </w:rPr>
        <w:t xml:space="preserve"> the C</w:t>
      </w:r>
      <w:r w:rsidRPr="005945EC">
        <w:rPr>
          <w:lang w:val="en-CA"/>
        </w:rPr>
        <w:t>OVID</w:t>
      </w:r>
      <w:r w:rsidR="00E867DA" w:rsidRPr="005945EC">
        <w:rPr>
          <w:lang w:val="en-CA"/>
        </w:rPr>
        <w:t>-19 pandemic</w:t>
      </w:r>
      <w:r w:rsidR="00621CA2" w:rsidRPr="005945EC">
        <w:rPr>
          <w:lang w:val="en-CA"/>
        </w:rPr>
        <w:t xml:space="preserve"> and its aftermath</w:t>
      </w:r>
      <w:r w:rsidRPr="005945EC">
        <w:rPr>
          <w:lang w:val="en-CA"/>
        </w:rPr>
        <w:t xml:space="preserve">. Suddenly, </w:t>
      </w:r>
      <w:r w:rsidR="003304BF" w:rsidRPr="005945EC">
        <w:rPr>
          <w:lang w:val="en-CA"/>
        </w:rPr>
        <w:t>the world’s</w:t>
      </w:r>
      <w:r w:rsidR="00621CA2" w:rsidRPr="005945EC">
        <w:rPr>
          <w:lang w:val="en-CA"/>
        </w:rPr>
        <w:t xml:space="preserve"> airline</w:t>
      </w:r>
      <w:r w:rsidR="003304BF" w:rsidRPr="005945EC">
        <w:rPr>
          <w:lang w:val="en-CA"/>
        </w:rPr>
        <w:t xml:space="preserve"> industry</w:t>
      </w:r>
      <w:r w:rsidR="00621CA2" w:rsidRPr="005945EC">
        <w:rPr>
          <w:lang w:val="en-CA"/>
        </w:rPr>
        <w:t xml:space="preserve"> </w:t>
      </w:r>
      <w:r w:rsidRPr="005945EC">
        <w:rPr>
          <w:lang w:val="en-CA"/>
        </w:rPr>
        <w:t xml:space="preserve">had to decide how to </w:t>
      </w:r>
      <w:r w:rsidR="00621CA2" w:rsidRPr="005945EC">
        <w:rPr>
          <w:lang w:val="en-CA"/>
        </w:rPr>
        <w:t>respond</w:t>
      </w:r>
      <w:r w:rsidRPr="005945EC">
        <w:rPr>
          <w:lang w:val="en-CA"/>
        </w:rPr>
        <w:t xml:space="preserve"> to a </w:t>
      </w:r>
      <w:r w:rsidR="00AB67A2" w:rsidRPr="005945EC">
        <w:rPr>
          <w:lang w:val="en-CA"/>
        </w:rPr>
        <w:t xml:space="preserve">global crisis. </w:t>
      </w:r>
      <w:r w:rsidR="00E867DA" w:rsidRPr="005945EC">
        <w:rPr>
          <w:lang w:val="en-CA"/>
        </w:rPr>
        <w:t xml:space="preserve">Even before </w:t>
      </w:r>
      <w:r w:rsidR="00AB67A2" w:rsidRPr="005945EC">
        <w:rPr>
          <w:lang w:val="en-CA"/>
        </w:rPr>
        <w:t>the outbreak of the COVID-19 pandemic</w:t>
      </w:r>
      <w:r w:rsidR="00E867DA" w:rsidRPr="005945EC">
        <w:rPr>
          <w:lang w:val="en-CA"/>
        </w:rPr>
        <w:t xml:space="preserve">, </w:t>
      </w:r>
      <w:r w:rsidR="00621CA2" w:rsidRPr="005945EC">
        <w:rPr>
          <w:lang w:val="en-CA"/>
        </w:rPr>
        <w:t xml:space="preserve">Star </w:t>
      </w:r>
      <w:r w:rsidR="00AB67A2" w:rsidRPr="005945EC">
        <w:rPr>
          <w:lang w:val="en-CA"/>
        </w:rPr>
        <w:t>Alliance was</w:t>
      </w:r>
      <w:r w:rsidR="00621CA2" w:rsidRPr="005945EC">
        <w:rPr>
          <w:lang w:val="en-CA"/>
        </w:rPr>
        <w:t xml:space="preserve"> already </w:t>
      </w:r>
      <w:r w:rsidR="00E867DA" w:rsidRPr="005945EC">
        <w:rPr>
          <w:lang w:val="en-CA"/>
        </w:rPr>
        <w:t>fac</w:t>
      </w:r>
      <w:r w:rsidR="00AB67A2" w:rsidRPr="005945EC">
        <w:rPr>
          <w:lang w:val="en-CA"/>
        </w:rPr>
        <w:t>ing</w:t>
      </w:r>
      <w:r w:rsidR="00E867DA" w:rsidRPr="005945EC">
        <w:rPr>
          <w:lang w:val="en-CA"/>
        </w:rPr>
        <w:t xml:space="preserve"> critical issues</w:t>
      </w:r>
      <w:r w:rsidR="00621CA2" w:rsidRPr="005945EC">
        <w:rPr>
          <w:lang w:val="en-CA"/>
        </w:rPr>
        <w:t xml:space="preserve"> </w:t>
      </w:r>
      <w:r w:rsidR="00AB67A2" w:rsidRPr="005945EC">
        <w:rPr>
          <w:lang w:val="en-CA"/>
        </w:rPr>
        <w:t>related to</w:t>
      </w:r>
      <w:r w:rsidR="00621CA2" w:rsidRPr="005945EC">
        <w:rPr>
          <w:lang w:val="en-CA"/>
        </w:rPr>
        <w:t xml:space="preserve"> its organization and strategy</w:t>
      </w:r>
      <w:r w:rsidR="00E867DA" w:rsidRPr="005945EC">
        <w:rPr>
          <w:lang w:val="en-CA"/>
        </w:rPr>
        <w:t xml:space="preserve">. Its success </w:t>
      </w:r>
      <w:r w:rsidR="00672D2A" w:rsidRPr="005945EC">
        <w:rPr>
          <w:lang w:val="en-CA"/>
        </w:rPr>
        <w:t xml:space="preserve">had </w:t>
      </w:r>
      <w:r w:rsidR="00E867DA" w:rsidRPr="005945EC">
        <w:rPr>
          <w:lang w:val="en-CA"/>
        </w:rPr>
        <w:t xml:space="preserve">always depended on </w:t>
      </w:r>
      <w:r w:rsidR="00672D2A" w:rsidRPr="005945EC">
        <w:rPr>
          <w:lang w:val="en-CA"/>
        </w:rPr>
        <w:t>e</w:t>
      </w:r>
      <w:r w:rsidR="00E867DA" w:rsidRPr="005945EC">
        <w:rPr>
          <w:lang w:val="en-CA"/>
        </w:rPr>
        <w:t>ffective management</w:t>
      </w:r>
      <w:r w:rsidR="00AB67A2" w:rsidRPr="005945EC">
        <w:rPr>
          <w:lang w:val="en-CA"/>
        </w:rPr>
        <w:t xml:space="preserve"> of the network’s member airlines. That factor</w:t>
      </w:r>
      <w:r w:rsidR="00E867DA" w:rsidRPr="005945EC">
        <w:rPr>
          <w:lang w:val="en-CA"/>
        </w:rPr>
        <w:t xml:space="preserve"> would </w:t>
      </w:r>
      <w:r w:rsidR="00AB67A2" w:rsidRPr="005945EC">
        <w:rPr>
          <w:lang w:val="en-CA"/>
        </w:rPr>
        <w:t>prove</w:t>
      </w:r>
      <w:r w:rsidR="00E867DA" w:rsidRPr="005945EC">
        <w:rPr>
          <w:lang w:val="en-CA"/>
        </w:rPr>
        <w:t xml:space="preserve"> even more </w:t>
      </w:r>
      <w:r w:rsidR="00AB67A2" w:rsidRPr="005945EC">
        <w:rPr>
          <w:lang w:val="en-CA"/>
        </w:rPr>
        <w:t>critical</w:t>
      </w:r>
      <w:r w:rsidR="00E867DA" w:rsidRPr="005945EC">
        <w:rPr>
          <w:lang w:val="en-CA"/>
        </w:rPr>
        <w:t xml:space="preserve"> during the pandemic, when airline </w:t>
      </w:r>
      <w:r w:rsidR="003304BF" w:rsidRPr="005945EC">
        <w:rPr>
          <w:lang w:val="en-CA"/>
        </w:rPr>
        <w:t>travel</w:t>
      </w:r>
      <w:r w:rsidR="00E867DA" w:rsidRPr="005945EC">
        <w:rPr>
          <w:lang w:val="en-CA"/>
        </w:rPr>
        <w:t xml:space="preserve"> </w:t>
      </w:r>
      <w:r w:rsidR="00AB67A2" w:rsidRPr="005945EC">
        <w:rPr>
          <w:lang w:val="en-CA"/>
        </w:rPr>
        <w:t xml:space="preserve">suddenly and unexpectedly </w:t>
      </w:r>
      <w:r w:rsidR="003304BF" w:rsidRPr="005945EC">
        <w:rPr>
          <w:lang w:val="en-CA"/>
        </w:rPr>
        <w:t>dropped to</w:t>
      </w:r>
      <w:r w:rsidR="00E867DA" w:rsidRPr="005945EC">
        <w:rPr>
          <w:lang w:val="en-CA"/>
        </w:rPr>
        <w:t xml:space="preserve"> half</w:t>
      </w:r>
      <w:r w:rsidR="003304BF" w:rsidRPr="005945EC">
        <w:rPr>
          <w:lang w:val="en-CA"/>
        </w:rPr>
        <w:t xml:space="preserve"> </w:t>
      </w:r>
      <w:r w:rsidR="00617CC8" w:rsidRPr="005945EC">
        <w:rPr>
          <w:lang w:val="en-CA"/>
        </w:rPr>
        <w:t xml:space="preserve">of </w:t>
      </w:r>
      <w:r w:rsidR="003D3E14" w:rsidRPr="005945EC">
        <w:rPr>
          <w:lang w:val="en-CA"/>
        </w:rPr>
        <w:t xml:space="preserve">its original volume </w:t>
      </w:r>
      <w:r w:rsidR="003304BF" w:rsidRPr="005945EC">
        <w:rPr>
          <w:lang w:val="en-CA"/>
        </w:rPr>
        <w:t>across the world</w:t>
      </w:r>
      <w:r w:rsidR="00E867DA" w:rsidRPr="005945EC">
        <w:rPr>
          <w:lang w:val="en-CA"/>
        </w:rPr>
        <w:t xml:space="preserve">, </w:t>
      </w:r>
      <w:r w:rsidR="00AB67A2" w:rsidRPr="005945EC">
        <w:rPr>
          <w:lang w:val="en-CA"/>
        </w:rPr>
        <w:t xml:space="preserve">and </w:t>
      </w:r>
      <w:r w:rsidR="003304BF" w:rsidRPr="005945EC">
        <w:rPr>
          <w:lang w:val="en-CA"/>
        </w:rPr>
        <w:t>was not expected to regain its status</w:t>
      </w:r>
      <w:r w:rsidR="00E867DA" w:rsidRPr="005945EC">
        <w:rPr>
          <w:lang w:val="en-CA"/>
        </w:rPr>
        <w:t xml:space="preserve"> </w:t>
      </w:r>
      <w:r w:rsidR="00844085" w:rsidRPr="005945EC">
        <w:rPr>
          <w:lang w:val="en-CA"/>
        </w:rPr>
        <w:t xml:space="preserve">for </w:t>
      </w:r>
      <w:r w:rsidR="00E867DA" w:rsidRPr="005945EC">
        <w:rPr>
          <w:lang w:val="en-CA"/>
        </w:rPr>
        <w:t xml:space="preserve">some time. For </w:t>
      </w:r>
      <w:r w:rsidR="003D3E14" w:rsidRPr="005945EC">
        <w:rPr>
          <w:lang w:val="en-CA"/>
        </w:rPr>
        <w:t xml:space="preserve">over </w:t>
      </w:r>
      <w:r w:rsidR="003304BF" w:rsidRPr="005945EC">
        <w:rPr>
          <w:lang w:val="en-CA"/>
        </w:rPr>
        <w:t xml:space="preserve">20 </w:t>
      </w:r>
      <w:r w:rsidR="00E867DA" w:rsidRPr="005945EC">
        <w:rPr>
          <w:lang w:val="en-CA"/>
        </w:rPr>
        <w:t>years,</w:t>
      </w:r>
      <w:r w:rsidR="003304BF" w:rsidRPr="005945EC">
        <w:rPr>
          <w:lang w:val="en-CA"/>
        </w:rPr>
        <w:t xml:space="preserve"> </w:t>
      </w:r>
      <w:r w:rsidR="001C603D" w:rsidRPr="005945EC">
        <w:rPr>
          <w:lang w:val="en-CA"/>
        </w:rPr>
        <w:t>Star Alliance</w:t>
      </w:r>
      <w:r w:rsidRPr="005945EC">
        <w:rPr>
          <w:lang w:val="en-CA"/>
        </w:rPr>
        <w:t xml:space="preserve"> </w:t>
      </w:r>
      <w:r w:rsidR="00E867DA" w:rsidRPr="005945EC">
        <w:rPr>
          <w:lang w:val="en-CA"/>
        </w:rPr>
        <w:t xml:space="preserve">members </w:t>
      </w:r>
      <w:r w:rsidR="003304BF" w:rsidRPr="005945EC">
        <w:rPr>
          <w:lang w:val="en-CA"/>
        </w:rPr>
        <w:t xml:space="preserve">had </w:t>
      </w:r>
      <w:r w:rsidR="00E867DA" w:rsidRPr="005945EC">
        <w:rPr>
          <w:lang w:val="en-CA"/>
        </w:rPr>
        <w:t>contributed value</w:t>
      </w:r>
      <w:r w:rsidR="003304BF" w:rsidRPr="005945EC">
        <w:rPr>
          <w:lang w:val="en-CA"/>
        </w:rPr>
        <w:t xml:space="preserve"> </w:t>
      </w:r>
      <w:r w:rsidR="007234E2" w:rsidRPr="005945EC">
        <w:rPr>
          <w:lang w:val="en-CA"/>
        </w:rPr>
        <w:t>to</w:t>
      </w:r>
      <w:r w:rsidR="00E867DA" w:rsidRPr="005945EC">
        <w:rPr>
          <w:lang w:val="en-CA"/>
        </w:rPr>
        <w:t xml:space="preserve"> the alliance</w:t>
      </w:r>
      <w:r w:rsidR="003304BF" w:rsidRPr="005945EC">
        <w:rPr>
          <w:lang w:val="en-CA"/>
        </w:rPr>
        <w:t xml:space="preserve"> and reap</w:t>
      </w:r>
      <w:r w:rsidR="00E867DA" w:rsidRPr="005945EC">
        <w:rPr>
          <w:lang w:val="en-CA"/>
        </w:rPr>
        <w:t>ed</w:t>
      </w:r>
      <w:r w:rsidR="00FB53C4" w:rsidRPr="005945EC">
        <w:rPr>
          <w:lang w:val="en-CA"/>
        </w:rPr>
        <w:t xml:space="preserve"> numerous</w:t>
      </w:r>
      <w:r w:rsidR="00E867DA" w:rsidRPr="005945EC">
        <w:rPr>
          <w:lang w:val="en-CA"/>
        </w:rPr>
        <w:t xml:space="preserve"> benefits </w:t>
      </w:r>
      <w:r w:rsidR="003304BF" w:rsidRPr="005945EC">
        <w:rPr>
          <w:lang w:val="en-CA"/>
        </w:rPr>
        <w:t>in return that</w:t>
      </w:r>
      <w:r w:rsidR="00FB53C4" w:rsidRPr="005945EC">
        <w:rPr>
          <w:lang w:val="en-CA"/>
        </w:rPr>
        <w:t xml:space="preserve"> helped them </w:t>
      </w:r>
      <w:r w:rsidR="003304BF" w:rsidRPr="005945EC">
        <w:rPr>
          <w:lang w:val="en-CA"/>
        </w:rPr>
        <w:t xml:space="preserve">become strong </w:t>
      </w:r>
      <w:r w:rsidR="00E867DA" w:rsidRPr="005945EC">
        <w:rPr>
          <w:lang w:val="en-CA"/>
        </w:rPr>
        <w:t>compet</w:t>
      </w:r>
      <w:r w:rsidR="003304BF" w:rsidRPr="005945EC">
        <w:rPr>
          <w:lang w:val="en-CA"/>
        </w:rPr>
        <w:t>itors</w:t>
      </w:r>
      <w:r w:rsidR="007234E2" w:rsidRPr="005945EC">
        <w:rPr>
          <w:lang w:val="en-CA"/>
        </w:rPr>
        <w:t xml:space="preserve">. </w:t>
      </w:r>
      <w:r w:rsidR="001C603D" w:rsidRPr="005945EC">
        <w:rPr>
          <w:lang w:val="en-CA"/>
        </w:rPr>
        <w:t>O</w:t>
      </w:r>
      <w:r w:rsidR="00E867DA" w:rsidRPr="005945EC">
        <w:rPr>
          <w:lang w:val="en-CA"/>
        </w:rPr>
        <w:t>ther airlines</w:t>
      </w:r>
      <w:r w:rsidR="001C603D" w:rsidRPr="005945EC">
        <w:rPr>
          <w:lang w:val="en-CA"/>
        </w:rPr>
        <w:t>,</w:t>
      </w:r>
      <w:r w:rsidR="00E867DA" w:rsidRPr="005945EC">
        <w:rPr>
          <w:lang w:val="en-CA"/>
        </w:rPr>
        <w:t xml:space="preserve"> </w:t>
      </w:r>
      <w:r w:rsidR="001C603D" w:rsidRPr="005945EC">
        <w:rPr>
          <w:lang w:val="en-CA"/>
        </w:rPr>
        <w:t>recognizing the value and strength of an alliance,</w:t>
      </w:r>
      <w:r w:rsidR="00E867DA" w:rsidRPr="005945EC">
        <w:rPr>
          <w:lang w:val="en-CA"/>
        </w:rPr>
        <w:t xml:space="preserve"> </w:t>
      </w:r>
      <w:r w:rsidR="001C603D" w:rsidRPr="005945EC">
        <w:rPr>
          <w:lang w:val="en-CA"/>
        </w:rPr>
        <w:t xml:space="preserve">had </w:t>
      </w:r>
      <w:r w:rsidR="00E867DA" w:rsidRPr="005945EC">
        <w:rPr>
          <w:lang w:val="en-CA"/>
        </w:rPr>
        <w:t>form</w:t>
      </w:r>
      <w:r w:rsidR="003304BF" w:rsidRPr="005945EC">
        <w:rPr>
          <w:lang w:val="en-CA"/>
        </w:rPr>
        <w:t>ed</w:t>
      </w:r>
      <w:r w:rsidR="00E867DA" w:rsidRPr="005945EC">
        <w:rPr>
          <w:lang w:val="en-CA"/>
        </w:rPr>
        <w:t xml:space="preserve"> </w:t>
      </w:r>
      <w:r w:rsidR="007234E2" w:rsidRPr="005945EC">
        <w:rPr>
          <w:lang w:val="en-CA"/>
        </w:rPr>
        <w:t xml:space="preserve">their own </w:t>
      </w:r>
      <w:r w:rsidR="00E867DA" w:rsidRPr="005945EC">
        <w:rPr>
          <w:lang w:val="en-CA"/>
        </w:rPr>
        <w:t xml:space="preserve">rival </w:t>
      </w:r>
      <w:r w:rsidR="00FB53C4" w:rsidRPr="005945EC">
        <w:rPr>
          <w:lang w:val="en-CA"/>
        </w:rPr>
        <w:t>airline n</w:t>
      </w:r>
      <w:r w:rsidR="00976D95" w:rsidRPr="005945EC">
        <w:rPr>
          <w:lang w:val="en-CA"/>
        </w:rPr>
        <w:t>e</w:t>
      </w:r>
      <w:r w:rsidR="00FB53C4" w:rsidRPr="005945EC">
        <w:rPr>
          <w:lang w:val="en-CA"/>
        </w:rPr>
        <w:t>tworks</w:t>
      </w:r>
      <w:r w:rsidR="00E867DA" w:rsidRPr="005945EC">
        <w:rPr>
          <w:lang w:val="en-CA"/>
        </w:rPr>
        <w:t>. W</w:t>
      </w:r>
      <w:r w:rsidR="007234E2" w:rsidRPr="005945EC">
        <w:rPr>
          <w:lang w:val="en-CA"/>
        </w:rPr>
        <w:t>ould</w:t>
      </w:r>
      <w:r w:rsidR="00E867DA" w:rsidRPr="005945EC">
        <w:rPr>
          <w:lang w:val="en-CA"/>
        </w:rPr>
        <w:t xml:space="preserve"> this </w:t>
      </w:r>
      <w:r w:rsidR="007234E2" w:rsidRPr="005945EC">
        <w:rPr>
          <w:lang w:val="en-CA"/>
        </w:rPr>
        <w:t>strategy help airlines survive the COVID-19 crisis? Was</w:t>
      </w:r>
      <w:r w:rsidR="00E867DA" w:rsidRPr="005945EC">
        <w:rPr>
          <w:lang w:val="en-CA"/>
        </w:rPr>
        <w:t xml:space="preserve"> group-based</w:t>
      </w:r>
      <w:r w:rsidR="007234E2" w:rsidRPr="005945EC">
        <w:rPr>
          <w:lang w:val="en-CA"/>
        </w:rPr>
        <w:t xml:space="preserve"> </w:t>
      </w:r>
      <w:r w:rsidR="00E867DA" w:rsidRPr="005945EC">
        <w:rPr>
          <w:lang w:val="en-CA"/>
        </w:rPr>
        <w:t xml:space="preserve">competition </w:t>
      </w:r>
      <w:r w:rsidR="007234E2" w:rsidRPr="005945EC">
        <w:rPr>
          <w:lang w:val="en-CA"/>
        </w:rPr>
        <w:t xml:space="preserve">needed to </w:t>
      </w:r>
      <w:r w:rsidR="00AA0BE1" w:rsidRPr="005945EC">
        <w:rPr>
          <w:lang w:val="en-CA"/>
        </w:rPr>
        <w:t>thrive during a</w:t>
      </w:r>
      <w:r w:rsidR="00E867DA" w:rsidRPr="005945EC">
        <w:rPr>
          <w:lang w:val="en-CA"/>
        </w:rPr>
        <w:t xml:space="preserve"> pandemic?</w:t>
      </w:r>
    </w:p>
    <w:p w14:paraId="031BE065" w14:textId="77777777" w:rsidR="00E867DA" w:rsidRPr="005945EC" w:rsidRDefault="00E867DA" w:rsidP="00E867DA">
      <w:pPr>
        <w:pStyle w:val="BodyTextMain"/>
        <w:rPr>
          <w:lang w:val="en-CA"/>
        </w:rPr>
      </w:pPr>
    </w:p>
    <w:p w14:paraId="55B8D19C" w14:textId="0A5E3404" w:rsidR="00AA0BE1" w:rsidRPr="005945EC" w:rsidRDefault="00AA0BE1" w:rsidP="00672D2A">
      <w:pPr>
        <w:pStyle w:val="BodyTextMain"/>
        <w:rPr>
          <w:lang w:val="en-CA"/>
        </w:rPr>
      </w:pPr>
    </w:p>
    <w:p w14:paraId="5AFE3413" w14:textId="0D15A791" w:rsidR="00AA0BE1" w:rsidRPr="005945EC" w:rsidRDefault="00AA0BE1" w:rsidP="00507B2E">
      <w:pPr>
        <w:pStyle w:val="Casehead1"/>
        <w:rPr>
          <w:lang w:val="en-CA"/>
        </w:rPr>
      </w:pPr>
      <w:r w:rsidRPr="005945EC">
        <w:rPr>
          <w:lang w:val="en-CA"/>
        </w:rPr>
        <w:t xml:space="preserve">The </w:t>
      </w:r>
      <w:r w:rsidR="00051A0C" w:rsidRPr="005945EC">
        <w:rPr>
          <w:lang w:val="en-CA"/>
        </w:rPr>
        <w:t>Global Airline Industry</w:t>
      </w:r>
    </w:p>
    <w:p w14:paraId="061C6513" w14:textId="77777777" w:rsidR="00AA0BE1" w:rsidRPr="005945EC" w:rsidRDefault="00AA0BE1" w:rsidP="00672D2A">
      <w:pPr>
        <w:pStyle w:val="BodyTextMain"/>
        <w:rPr>
          <w:lang w:val="en-CA"/>
        </w:rPr>
      </w:pPr>
    </w:p>
    <w:p w14:paraId="5F7C39D6" w14:textId="4E417A6A" w:rsidR="00E867DA" w:rsidRPr="005945EC" w:rsidRDefault="00E867DA" w:rsidP="00672D2A">
      <w:pPr>
        <w:pStyle w:val="BodyTextMain"/>
        <w:rPr>
          <w:lang w:val="en-CA"/>
        </w:rPr>
      </w:pPr>
      <w:r w:rsidRPr="005945EC">
        <w:rPr>
          <w:lang w:val="en-CA"/>
        </w:rPr>
        <w:t xml:space="preserve">The </w:t>
      </w:r>
      <w:r w:rsidR="00AA0BE1" w:rsidRPr="005945EC">
        <w:rPr>
          <w:lang w:val="en-CA"/>
        </w:rPr>
        <w:t>COVID</w:t>
      </w:r>
      <w:r w:rsidRPr="005945EC">
        <w:rPr>
          <w:lang w:val="en-CA"/>
        </w:rPr>
        <w:t xml:space="preserve">-19 pandemic started </w:t>
      </w:r>
      <w:r w:rsidR="00AA0BE1" w:rsidRPr="005945EC">
        <w:rPr>
          <w:lang w:val="en-CA"/>
        </w:rPr>
        <w:t xml:space="preserve">in </w:t>
      </w:r>
      <w:r w:rsidRPr="005945EC">
        <w:rPr>
          <w:lang w:val="en-CA"/>
        </w:rPr>
        <w:t xml:space="preserve">early 2020 and spread </w:t>
      </w:r>
      <w:r w:rsidR="00AA0BE1" w:rsidRPr="005945EC">
        <w:rPr>
          <w:lang w:val="en-CA"/>
        </w:rPr>
        <w:t>across the globe</w:t>
      </w:r>
      <w:r w:rsidRPr="005945EC">
        <w:rPr>
          <w:lang w:val="en-CA"/>
        </w:rPr>
        <w:t>. In response, severe travel restrictions were introduced in all countries. As demand for travel plummeted, passenger occupancy in planes declined, and health and safety costs mounted</w:t>
      </w:r>
      <w:r w:rsidR="00AA0BE1" w:rsidRPr="005945EC">
        <w:rPr>
          <w:lang w:val="en-CA"/>
        </w:rPr>
        <w:t>. A</w:t>
      </w:r>
      <w:r w:rsidRPr="005945EC">
        <w:rPr>
          <w:lang w:val="en-CA"/>
        </w:rPr>
        <w:t>ll airlines sought emergency funding where</w:t>
      </w:r>
      <w:r w:rsidR="00AA0BE1" w:rsidRPr="005945EC">
        <w:rPr>
          <w:lang w:val="en-CA"/>
        </w:rPr>
        <w:t>ver</w:t>
      </w:r>
      <w:r w:rsidRPr="005945EC">
        <w:rPr>
          <w:lang w:val="en-CA"/>
        </w:rPr>
        <w:t xml:space="preserve"> they could, usually from their home governments. </w:t>
      </w:r>
      <w:r w:rsidR="00844085" w:rsidRPr="005945EC">
        <w:rPr>
          <w:lang w:val="en-CA"/>
        </w:rPr>
        <w:t>O</w:t>
      </w:r>
      <w:r w:rsidRPr="005945EC">
        <w:rPr>
          <w:lang w:val="en-CA"/>
        </w:rPr>
        <w:t xml:space="preserve">bservers </w:t>
      </w:r>
      <w:r w:rsidR="00844085" w:rsidRPr="005945EC">
        <w:rPr>
          <w:lang w:val="en-CA"/>
        </w:rPr>
        <w:t xml:space="preserve">recognized </w:t>
      </w:r>
      <w:r w:rsidRPr="005945EC">
        <w:rPr>
          <w:lang w:val="en-CA"/>
        </w:rPr>
        <w:t>that the future of the industry was being reshaped</w:t>
      </w:r>
      <w:r w:rsidR="00621CA2" w:rsidRPr="005945EC">
        <w:rPr>
          <w:lang w:val="en-CA"/>
        </w:rPr>
        <w:t xml:space="preserve">, </w:t>
      </w:r>
      <w:r w:rsidR="00AA0BE1" w:rsidRPr="005945EC">
        <w:rPr>
          <w:lang w:val="en-CA"/>
        </w:rPr>
        <w:t>although</w:t>
      </w:r>
      <w:r w:rsidR="00621CA2" w:rsidRPr="005945EC">
        <w:rPr>
          <w:lang w:val="en-CA"/>
        </w:rPr>
        <w:t xml:space="preserve"> </w:t>
      </w:r>
      <w:r w:rsidR="00AA0BE1" w:rsidRPr="005945EC">
        <w:rPr>
          <w:lang w:val="en-CA"/>
        </w:rPr>
        <w:t xml:space="preserve">what new form </w:t>
      </w:r>
      <w:r w:rsidR="00F55C4A" w:rsidRPr="005945EC">
        <w:rPr>
          <w:lang w:val="en-CA"/>
        </w:rPr>
        <w:t xml:space="preserve">it </w:t>
      </w:r>
      <w:r w:rsidR="00AA0BE1" w:rsidRPr="005945EC">
        <w:rPr>
          <w:lang w:val="en-CA"/>
        </w:rPr>
        <w:t xml:space="preserve">would </w:t>
      </w:r>
      <w:r w:rsidR="00F55C4A" w:rsidRPr="005945EC">
        <w:rPr>
          <w:lang w:val="en-CA"/>
        </w:rPr>
        <w:t>take</w:t>
      </w:r>
      <w:r w:rsidR="00844085" w:rsidRPr="005945EC">
        <w:rPr>
          <w:lang w:val="en-CA"/>
        </w:rPr>
        <w:t xml:space="preserve"> was unclear</w:t>
      </w:r>
      <w:r w:rsidR="00051A0C" w:rsidRPr="005945EC">
        <w:rPr>
          <w:lang w:val="en-CA"/>
        </w:rPr>
        <w:t>. Before attempting to accurately predict the airline industry’s future</w:t>
      </w:r>
      <w:r w:rsidR="00621CA2" w:rsidRPr="005945EC">
        <w:rPr>
          <w:lang w:val="en-CA"/>
        </w:rPr>
        <w:t>, understand</w:t>
      </w:r>
      <w:r w:rsidR="00844085" w:rsidRPr="005945EC">
        <w:rPr>
          <w:lang w:val="en-CA"/>
        </w:rPr>
        <w:t xml:space="preserve">ing </w:t>
      </w:r>
      <w:r w:rsidR="00051A0C" w:rsidRPr="005945EC">
        <w:rPr>
          <w:lang w:val="en-CA"/>
        </w:rPr>
        <w:t>its</w:t>
      </w:r>
      <w:r w:rsidR="00621CA2" w:rsidRPr="005945EC">
        <w:rPr>
          <w:lang w:val="en-CA"/>
        </w:rPr>
        <w:t xml:space="preserve"> history and economic fundamentals</w:t>
      </w:r>
      <w:r w:rsidR="00844085" w:rsidRPr="005945EC">
        <w:rPr>
          <w:lang w:val="en-CA"/>
        </w:rPr>
        <w:t xml:space="preserve"> was necessary</w:t>
      </w:r>
      <w:r w:rsidR="00621CA2" w:rsidRPr="005945EC">
        <w:rPr>
          <w:lang w:val="en-CA"/>
        </w:rPr>
        <w:t>.</w:t>
      </w:r>
    </w:p>
    <w:p w14:paraId="3BC3BAF5" w14:textId="77777777" w:rsidR="00E867DA" w:rsidRPr="005945EC" w:rsidRDefault="00E867DA" w:rsidP="00E867DA">
      <w:pPr>
        <w:pStyle w:val="BodyTextMain"/>
        <w:rPr>
          <w:lang w:val="en-CA"/>
        </w:rPr>
      </w:pPr>
    </w:p>
    <w:p w14:paraId="5EE82F48" w14:textId="4C89DBEC" w:rsidR="00E867DA" w:rsidRPr="00A92DE3" w:rsidRDefault="00E867DA" w:rsidP="00E867DA">
      <w:pPr>
        <w:pStyle w:val="BodyTextMain"/>
        <w:rPr>
          <w:spacing w:val="-4"/>
          <w:kern w:val="22"/>
          <w:lang w:val="en-CA"/>
        </w:rPr>
      </w:pPr>
      <w:r w:rsidRPr="00A92DE3">
        <w:rPr>
          <w:spacing w:val="-4"/>
          <w:kern w:val="22"/>
          <w:lang w:val="en-CA"/>
        </w:rPr>
        <w:t xml:space="preserve">During the preceding decades, the global airline industry had been transformed by new regulatory policies and company strategies. The United States deregulated pricing and domestic routes in 1978 and the European Union </w:t>
      </w:r>
      <w:r w:rsidR="00051A0C" w:rsidRPr="00A92DE3">
        <w:rPr>
          <w:spacing w:val="-4"/>
          <w:kern w:val="22"/>
          <w:lang w:val="en-CA"/>
        </w:rPr>
        <w:t>followed suit</w:t>
      </w:r>
      <w:r w:rsidRPr="00A92DE3">
        <w:rPr>
          <w:spacing w:val="-4"/>
          <w:kern w:val="22"/>
          <w:lang w:val="en-CA"/>
        </w:rPr>
        <w:t xml:space="preserve"> in 1997. </w:t>
      </w:r>
      <w:r w:rsidR="007770AA" w:rsidRPr="00A92DE3">
        <w:rPr>
          <w:spacing w:val="-4"/>
          <w:kern w:val="22"/>
          <w:lang w:val="en-CA"/>
        </w:rPr>
        <w:t xml:space="preserve">Although </w:t>
      </w:r>
      <w:r w:rsidRPr="00A92DE3">
        <w:rPr>
          <w:spacing w:val="-4"/>
          <w:kern w:val="22"/>
          <w:lang w:val="en-CA"/>
        </w:rPr>
        <w:t>regulatory hurdles still prevented cross-border mergers in many countries,</w:t>
      </w:r>
      <w:r w:rsidRPr="00A92DE3">
        <w:rPr>
          <w:rStyle w:val="EndnoteReference"/>
          <w:spacing w:val="-4"/>
          <w:kern w:val="22"/>
          <w:lang w:val="en-CA"/>
        </w:rPr>
        <w:endnoteReference w:id="3"/>
      </w:r>
      <w:r w:rsidRPr="00A92DE3">
        <w:rPr>
          <w:spacing w:val="-4"/>
          <w:kern w:val="22"/>
          <w:lang w:val="en-CA"/>
        </w:rPr>
        <w:t xml:space="preserve"> airlines were able to pursue </w:t>
      </w:r>
      <w:r w:rsidR="007770AA" w:rsidRPr="00A92DE3">
        <w:rPr>
          <w:spacing w:val="-4"/>
          <w:kern w:val="22"/>
          <w:lang w:val="en-CA"/>
        </w:rPr>
        <w:t>various</w:t>
      </w:r>
      <w:r w:rsidRPr="00A92DE3">
        <w:rPr>
          <w:spacing w:val="-4"/>
          <w:kern w:val="22"/>
          <w:lang w:val="en-CA"/>
        </w:rPr>
        <w:t xml:space="preserve"> new strategies</w:t>
      </w:r>
      <w:r w:rsidR="007770AA" w:rsidRPr="00A92DE3">
        <w:rPr>
          <w:spacing w:val="-4"/>
          <w:kern w:val="22"/>
          <w:lang w:val="en-CA"/>
        </w:rPr>
        <w:t xml:space="preserve">. One strategy global </w:t>
      </w:r>
      <w:proofErr w:type="gramStart"/>
      <w:r w:rsidR="007770AA" w:rsidRPr="00A92DE3">
        <w:rPr>
          <w:spacing w:val="-4"/>
          <w:kern w:val="22"/>
          <w:lang w:val="en-CA"/>
        </w:rPr>
        <w:t>airlines</w:t>
      </w:r>
      <w:proofErr w:type="gramEnd"/>
      <w:r w:rsidR="007770AA" w:rsidRPr="00A92DE3">
        <w:rPr>
          <w:spacing w:val="-4"/>
          <w:kern w:val="22"/>
          <w:lang w:val="en-CA"/>
        </w:rPr>
        <w:t xml:space="preserve"> used to extend their global reach was a</w:t>
      </w:r>
      <w:r w:rsidRPr="00A92DE3">
        <w:rPr>
          <w:spacing w:val="-4"/>
          <w:kern w:val="22"/>
          <w:lang w:val="en-CA"/>
        </w:rPr>
        <w:t xml:space="preserve"> bilateral and multi-partner alliance</w:t>
      </w:r>
      <w:r w:rsidR="007770AA" w:rsidRPr="00A92DE3">
        <w:rPr>
          <w:spacing w:val="-4"/>
          <w:kern w:val="22"/>
          <w:lang w:val="en-CA"/>
        </w:rPr>
        <w:t>, known in the industry as a “constellation.”</w:t>
      </w:r>
      <w:r w:rsidR="007770AA" w:rsidRPr="00A92DE3">
        <w:rPr>
          <w:rStyle w:val="EndnoteReference"/>
          <w:spacing w:val="-4"/>
          <w:kern w:val="22"/>
          <w:lang w:val="en-CA"/>
        </w:rPr>
        <w:endnoteReference w:id="4"/>
      </w:r>
    </w:p>
    <w:p w14:paraId="0C6AB4AD" w14:textId="77777777" w:rsidR="00E867DA" w:rsidRPr="005945EC" w:rsidRDefault="00E867DA" w:rsidP="00E867DA">
      <w:pPr>
        <w:pStyle w:val="BodyTextMain"/>
        <w:rPr>
          <w:lang w:val="en-CA"/>
        </w:rPr>
      </w:pPr>
    </w:p>
    <w:p w14:paraId="74A20A51" w14:textId="7313E14F" w:rsidR="00E867DA" w:rsidRPr="005945EC" w:rsidRDefault="00E867DA" w:rsidP="00E867DA">
      <w:pPr>
        <w:pStyle w:val="BodyTextMain"/>
        <w:rPr>
          <w:lang w:val="en-CA"/>
        </w:rPr>
      </w:pPr>
      <w:r w:rsidRPr="005945EC">
        <w:rPr>
          <w:lang w:val="en-CA"/>
        </w:rPr>
        <w:t xml:space="preserve">Star Alliance was created in May 1997 by </w:t>
      </w:r>
      <w:r w:rsidR="00E27598" w:rsidRPr="005945EC">
        <w:rPr>
          <w:lang w:val="en-CA"/>
        </w:rPr>
        <w:t xml:space="preserve">an agreement among five international airlines: </w:t>
      </w:r>
      <w:r w:rsidR="000D6CA4" w:rsidRPr="005945EC">
        <w:rPr>
          <w:lang w:val="en-CA"/>
        </w:rPr>
        <w:t xml:space="preserve">Deutsche </w:t>
      </w:r>
      <w:r w:rsidRPr="005945EC">
        <w:rPr>
          <w:lang w:val="en-CA"/>
        </w:rPr>
        <w:t>Lufthansa</w:t>
      </w:r>
      <w:r w:rsidR="000D6CA4" w:rsidRPr="005945EC">
        <w:rPr>
          <w:lang w:val="en-CA"/>
        </w:rPr>
        <w:t xml:space="preserve"> AG</w:t>
      </w:r>
      <w:r w:rsidR="00F41DB1" w:rsidRPr="005945EC">
        <w:rPr>
          <w:lang w:val="en-CA"/>
        </w:rPr>
        <w:t xml:space="preserve"> (Lufthansa)</w:t>
      </w:r>
      <w:r w:rsidRPr="005945EC">
        <w:rPr>
          <w:lang w:val="en-CA"/>
        </w:rPr>
        <w:t>, United Airlines</w:t>
      </w:r>
      <w:r w:rsidR="000D6CA4" w:rsidRPr="005945EC">
        <w:rPr>
          <w:lang w:val="en-CA"/>
        </w:rPr>
        <w:t xml:space="preserve"> Inc.</w:t>
      </w:r>
      <w:r w:rsidR="002B0935" w:rsidRPr="005945EC">
        <w:rPr>
          <w:lang w:val="en-CA"/>
        </w:rPr>
        <w:t xml:space="preserve"> (United)</w:t>
      </w:r>
      <w:r w:rsidRPr="005945EC">
        <w:rPr>
          <w:lang w:val="en-CA"/>
        </w:rPr>
        <w:t>, Air Canada, Thai Airways</w:t>
      </w:r>
      <w:r w:rsidR="000D6CA4" w:rsidRPr="005945EC">
        <w:rPr>
          <w:lang w:val="en-CA"/>
        </w:rPr>
        <w:t xml:space="preserve"> International Public Co</w:t>
      </w:r>
      <w:r w:rsidRPr="005945EC">
        <w:rPr>
          <w:lang w:val="en-CA"/>
        </w:rPr>
        <w:t>, and Scandinavian Airways System</w:t>
      </w:r>
      <w:r w:rsidR="000D6CA4" w:rsidRPr="005945EC">
        <w:rPr>
          <w:lang w:val="en-CA"/>
        </w:rPr>
        <w:t>.</w:t>
      </w:r>
      <w:r w:rsidRPr="005945EC">
        <w:rPr>
          <w:lang w:val="en-CA"/>
        </w:rPr>
        <w:t xml:space="preserve"> </w:t>
      </w:r>
      <w:r w:rsidR="000D6CA4" w:rsidRPr="005945EC">
        <w:rPr>
          <w:lang w:val="en-CA"/>
        </w:rPr>
        <w:t xml:space="preserve">The following year, four more airlines joined the alliance: </w:t>
      </w:r>
      <w:proofErr w:type="spellStart"/>
      <w:r w:rsidRPr="005945EC">
        <w:rPr>
          <w:lang w:val="en-CA"/>
        </w:rPr>
        <w:t>Varig</w:t>
      </w:r>
      <w:proofErr w:type="spellEnd"/>
      <w:r w:rsidRPr="005945EC">
        <w:rPr>
          <w:lang w:val="en-CA"/>
        </w:rPr>
        <w:t xml:space="preserve">, </w:t>
      </w:r>
      <w:r w:rsidRPr="005945EC">
        <w:rPr>
          <w:lang w:val="en-CA"/>
        </w:rPr>
        <w:lastRenderedPageBreak/>
        <w:t>Air New Zealand</w:t>
      </w:r>
      <w:r w:rsidR="000D6CA4" w:rsidRPr="005945EC">
        <w:rPr>
          <w:lang w:val="en-CA"/>
        </w:rPr>
        <w:t xml:space="preserve"> Limited</w:t>
      </w:r>
      <w:r w:rsidRPr="005945EC">
        <w:rPr>
          <w:lang w:val="en-CA"/>
        </w:rPr>
        <w:t>, Ansett</w:t>
      </w:r>
      <w:r w:rsidR="000D6CA4" w:rsidRPr="005945EC">
        <w:rPr>
          <w:lang w:val="en-CA"/>
        </w:rPr>
        <w:t xml:space="preserve"> Australia</w:t>
      </w:r>
      <w:r w:rsidRPr="005945EC">
        <w:rPr>
          <w:lang w:val="en-CA"/>
        </w:rPr>
        <w:t>, and All Nippon Airways</w:t>
      </w:r>
      <w:r w:rsidR="000D6CA4" w:rsidRPr="005945EC">
        <w:rPr>
          <w:lang w:val="en-CA"/>
        </w:rPr>
        <w:t xml:space="preserve"> Co. </w:t>
      </w:r>
      <w:proofErr w:type="gramStart"/>
      <w:r w:rsidR="000D6CA4" w:rsidRPr="005945EC">
        <w:rPr>
          <w:lang w:val="en-CA"/>
        </w:rPr>
        <w:t>Ltd</w:t>
      </w:r>
      <w:r w:rsidRPr="005945EC">
        <w:rPr>
          <w:lang w:val="en-CA"/>
        </w:rPr>
        <w:t>.</w:t>
      </w:r>
      <w:r w:rsidR="00617CC8" w:rsidRPr="005945EC">
        <w:rPr>
          <w:lang w:val="en-CA"/>
        </w:rPr>
        <w:t>.</w:t>
      </w:r>
      <w:proofErr w:type="gramEnd"/>
      <w:r w:rsidRPr="005945EC">
        <w:rPr>
          <w:lang w:val="en-CA"/>
        </w:rPr>
        <w:t xml:space="preserve"> </w:t>
      </w:r>
      <w:r w:rsidR="001C603D" w:rsidRPr="005945EC">
        <w:rPr>
          <w:lang w:val="en-CA"/>
        </w:rPr>
        <w:t xml:space="preserve">Expansion continued regularly </w:t>
      </w:r>
      <w:r w:rsidR="00844085" w:rsidRPr="005945EC">
        <w:rPr>
          <w:lang w:val="en-CA"/>
        </w:rPr>
        <w:t xml:space="preserve">and </w:t>
      </w:r>
      <w:r w:rsidR="001C603D" w:rsidRPr="005945EC">
        <w:rPr>
          <w:lang w:val="en-CA"/>
        </w:rPr>
        <w:t xml:space="preserve">steadily from that point. </w:t>
      </w:r>
      <w:r w:rsidRPr="005945EC">
        <w:rPr>
          <w:lang w:val="en-CA"/>
        </w:rPr>
        <w:t xml:space="preserve">The </w:t>
      </w:r>
      <w:r w:rsidR="000D6CA4" w:rsidRPr="005945EC">
        <w:rPr>
          <w:lang w:val="en-CA"/>
        </w:rPr>
        <w:t xml:space="preserve">main goal of the </w:t>
      </w:r>
      <w:r w:rsidRPr="005945EC">
        <w:rPr>
          <w:lang w:val="en-CA"/>
        </w:rPr>
        <w:t xml:space="preserve">founding members </w:t>
      </w:r>
      <w:r w:rsidR="000D6CA4" w:rsidRPr="005945EC">
        <w:rPr>
          <w:lang w:val="en-CA"/>
        </w:rPr>
        <w:t>was</w:t>
      </w:r>
      <w:r w:rsidRPr="005945EC">
        <w:rPr>
          <w:lang w:val="en-CA"/>
        </w:rPr>
        <w:t xml:space="preserve"> to expand their global network of service and attain many of the synergies </w:t>
      </w:r>
      <w:r w:rsidR="000D6CA4" w:rsidRPr="005945EC">
        <w:rPr>
          <w:lang w:val="en-CA"/>
        </w:rPr>
        <w:t>that</w:t>
      </w:r>
      <w:r w:rsidRPr="005945EC">
        <w:rPr>
          <w:lang w:val="en-CA"/>
        </w:rPr>
        <w:t xml:space="preserve"> a merger</w:t>
      </w:r>
      <w:r w:rsidR="000D6CA4" w:rsidRPr="005945EC">
        <w:rPr>
          <w:lang w:val="en-CA"/>
        </w:rPr>
        <w:t xml:space="preserve"> provide</w:t>
      </w:r>
      <w:r w:rsidR="001C603D" w:rsidRPr="005945EC">
        <w:rPr>
          <w:lang w:val="en-CA"/>
        </w:rPr>
        <w:t>d</w:t>
      </w:r>
      <w:r w:rsidRPr="005945EC">
        <w:rPr>
          <w:lang w:val="en-CA"/>
        </w:rPr>
        <w:t xml:space="preserve">, while maintaining their independent identities. </w:t>
      </w:r>
      <w:r w:rsidR="002832B5" w:rsidRPr="005945EC">
        <w:rPr>
          <w:lang w:val="en-CA"/>
        </w:rPr>
        <w:t>Two</w:t>
      </w:r>
      <w:r w:rsidR="007770AA" w:rsidRPr="005945EC">
        <w:rPr>
          <w:lang w:val="en-CA"/>
        </w:rPr>
        <w:t xml:space="preserve"> years later</w:t>
      </w:r>
      <w:r w:rsidR="000D6CA4" w:rsidRPr="005945EC">
        <w:rPr>
          <w:lang w:val="en-CA"/>
        </w:rPr>
        <w:t>, t</w:t>
      </w:r>
      <w:r w:rsidRPr="005945EC">
        <w:rPr>
          <w:lang w:val="en-CA"/>
        </w:rPr>
        <w:t xml:space="preserve">wo </w:t>
      </w:r>
      <w:r w:rsidR="007770AA" w:rsidRPr="005945EC">
        <w:rPr>
          <w:lang w:val="en-CA"/>
        </w:rPr>
        <w:t>new</w:t>
      </w:r>
      <w:r w:rsidRPr="005945EC">
        <w:rPr>
          <w:lang w:val="en-CA"/>
        </w:rPr>
        <w:t xml:space="preserve"> airline</w:t>
      </w:r>
      <w:r w:rsidR="000D6CA4" w:rsidRPr="005945EC">
        <w:rPr>
          <w:lang w:val="en-CA"/>
        </w:rPr>
        <w:t xml:space="preserve"> alliances</w:t>
      </w:r>
      <w:r w:rsidR="007770AA" w:rsidRPr="005945EC">
        <w:rPr>
          <w:lang w:val="en-CA"/>
        </w:rPr>
        <w:t xml:space="preserve"> emerged</w:t>
      </w:r>
      <w:r w:rsidRPr="005945EC">
        <w:rPr>
          <w:lang w:val="en-CA"/>
        </w:rPr>
        <w:t xml:space="preserve"> </w:t>
      </w:r>
      <w:r w:rsidR="000D6CA4" w:rsidRPr="005945EC">
        <w:rPr>
          <w:lang w:val="en-CA"/>
        </w:rPr>
        <w:t xml:space="preserve">with a </w:t>
      </w:r>
      <w:r w:rsidR="007770AA" w:rsidRPr="005945EC">
        <w:rPr>
          <w:lang w:val="en-CA"/>
        </w:rPr>
        <w:t>plan to reap</w:t>
      </w:r>
      <w:r w:rsidR="000D6CA4" w:rsidRPr="005945EC">
        <w:rPr>
          <w:lang w:val="en-CA"/>
        </w:rPr>
        <w:t xml:space="preserve"> the same benefits that Star Alliance seemed to </w:t>
      </w:r>
      <w:r w:rsidR="007770AA" w:rsidRPr="005945EC">
        <w:rPr>
          <w:lang w:val="en-CA"/>
        </w:rPr>
        <w:t xml:space="preserve">be </w:t>
      </w:r>
      <w:r w:rsidR="000D6CA4" w:rsidRPr="005945EC">
        <w:rPr>
          <w:lang w:val="en-CA"/>
        </w:rPr>
        <w:t>enjoy</w:t>
      </w:r>
      <w:r w:rsidR="007770AA" w:rsidRPr="005945EC">
        <w:rPr>
          <w:lang w:val="en-CA"/>
        </w:rPr>
        <w:t>ing</w:t>
      </w:r>
      <w:r w:rsidR="00DB369D" w:rsidRPr="005945EC">
        <w:rPr>
          <w:lang w:val="en-CA"/>
        </w:rPr>
        <w:t>.</w:t>
      </w:r>
      <w:r w:rsidRPr="005945EC">
        <w:rPr>
          <w:lang w:val="en-CA"/>
        </w:rPr>
        <w:t xml:space="preserve"> </w:t>
      </w:r>
      <w:proofErr w:type="spellStart"/>
      <w:r w:rsidRPr="005945EC">
        <w:rPr>
          <w:lang w:val="en-CA"/>
        </w:rPr>
        <w:t>Oneworld</w:t>
      </w:r>
      <w:proofErr w:type="spellEnd"/>
      <w:r w:rsidRPr="005945EC">
        <w:rPr>
          <w:lang w:val="en-CA"/>
        </w:rPr>
        <w:t xml:space="preserve"> was </w:t>
      </w:r>
      <w:r w:rsidR="000D6CA4" w:rsidRPr="005945EC">
        <w:rPr>
          <w:lang w:val="en-CA"/>
        </w:rPr>
        <w:t>formed by</w:t>
      </w:r>
      <w:r w:rsidRPr="005945EC">
        <w:rPr>
          <w:lang w:val="en-CA"/>
        </w:rPr>
        <w:t xml:space="preserve"> founding members American Airlines</w:t>
      </w:r>
      <w:r w:rsidR="002F55D6" w:rsidRPr="005945EC">
        <w:rPr>
          <w:lang w:val="en-CA"/>
        </w:rPr>
        <w:t xml:space="preserve"> Inc.</w:t>
      </w:r>
      <w:r w:rsidRPr="005945EC">
        <w:rPr>
          <w:lang w:val="en-CA"/>
        </w:rPr>
        <w:t xml:space="preserve"> </w:t>
      </w:r>
      <w:r w:rsidR="00752753" w:rsidRPr="005945EC">
        <w:rPr>
          <w:lang w:val="en-CA"/>
        </w:rPr>
        <w:t xml:space="preserve">(American) </w:t>
      </w:r>
      <w:r w:rsidRPr="005945EC">
        <w:rPr>
          <w:lang w:val="en-CA"/>
        </w:rPr>
        <w:t>and British Airways</w:t>
      </w:r>
      <w:r w:rsidR="00712E59" w:rsidRPr="005945EC">
        <w:rPr>
          <w:lang w:val="en-CA"/>
        </w:rPr>
        <w:t>, and</w:t>
      </w:r>
      <w:r w:rsidRPr="005945EC">
        <w:rPr>
          <w:lang w:val="en-CA"/>
        </w:rPr>
        <w:t xml:space="preserve"> SkyTeam </w:t>
      </w:r>
      <w:r w:rsidR="002F55D6" w:rsidRPr="005945EC">
        <w:rPr>
          <w:lang w:val="en-CA"/>
        </w:rPr>
        <w:t xml:space="preserve">was formed </w:t>
      </w:r>
      <w:r w:rsidR="002832B5" w:rsidRPr="005945EC">
        <w:rPr>
          <w:lang w:val="en-CA"/>
        </w:rPr>
        <w:t xml:space="preserve">the next year </w:t>
      </w:r>
      <w:r w:rsidR="002F55D6" w:rsidRPr="005945EC">
        <w:rPr>
          <w:lang w:val="en-CA"/>
        </w:rPr>
        <w:t>by</w:t>
      </w:r>
      <w:r w:rsidRPr="005945EC">
        <w:rPr>
          <w:lang w:val="en-CA"/>
        </w:rPr>
        <w:t xml:space="preserve"> Delta</w:t>
      </w:r>
      <w:r w:rsidR="002F55D6" w:rsidRPr="005945EC">
        <w:rPr>
          <w:lang w:val="en-CA"/>
        </w:rPr>
        <w:t xml:space="preserve"> Air Lines Inc.</w:t>
      </w:r>
      <w:r w:rsidR="00021117" w:rsidRPr="005945EC">
        <w:rPr>
          <w:lang w:val="en-CA"/>
        </w:rPr>
        <w:t xml:space="preserve"> (Delta)</w:t>
      </w:r>
      <w:r w:rsidRPr="005945EC">
        <w:rPr>
          <w:lang w:val="en-CA"/>
        </w:rPr>
        <w:t xml:space="preserve">, Air France, and KLM </w:t>
      </w:r>
      <w:r w:rsidR="002F55D6" w:rsidRPr="005945EC">
        <w:rPr>
          <w:lang w:val="en-CA"/>
        </w:rPr>
        <w:t>Royal Dutch Airlines</w:t>
      </w:r>
      <w:r w:rsidRPr="005945EC">
        <w:rPr>
          <w:lang w:val="en-CA"/>
        </w:rPr>
        <w:t>.</w:t>
      </w:r>
      <w:r w:rsidRPr="005945EC">
        <w:rPr>
          <w:rStyle w:val="EndnoteReference"/>
          <w:lang w:val="en-CA"/>
        </w:rPr>
        <w:endnoteReference w:id="5"/>
      </w:r>
    </w:p>
    <w:p w14:paraId="04630F5C" w14:textId="602C37D6" w:rsidR="00E867DA" w:rsidRPr="005945EC" w:rsidRDefault="00E867DA" w:rsidP="00E867DA">
      <w:pPr>
        <w:pStyle w:val="BodyTextMain"/>
        <w:rPr>
          <w:lang w:val="en-CA"/>
        </w:rPr>
      </w:pPr>
    </w:p>
    <w:p w14:paraId="1B66F75E" w14:textId="77777777" w:rsidR="00E867DA" w:rsidRPr="005945EC" w:rsidRDefault="00E867DA" w:rsidP="00E867DA">
      <w:pPr>
        <w:pStyle w:val="BodyTextMain"/>
        <w:rPr>
          <w:lang w:val="en-CA"/>
        </w:rPr>
      </w:pPr>
    </w:p>
    <w:p w14:paraId="73075CC2" w14:textId="3F66C075" w:rsidR="00E867DA" w:rsidRPr="005945EC" w:rsidRDefault="00E867DA" w:rsidP="00E867DA">
      <w:pPr>
        <w:pStyle w:val="Casehead2"/>
        <w:rPr>
          <w:lang w:val="en-CA"/>
        </w:rPr>
      </w:pPr>
      <w:r w:rsidRPr="005945EC">
        <w:rPr>
          <w:lang w:val="en-CA"/>
        </w:rPr>
        <w:t>The Rise of Airline Constellations</w:t>
      </w:r>
    </w:p>
    <w:p w14:paraId="7C7E72C3" w14:textId="77777777" w:rsidR="00E867DA" w:rsidRPr="005945EC" w:rsidRDefault="00E867DA" w:rsidP="00E867DA">
      <w:pPr>
        <w:pStyle w:val="BodyTextMain"/>
        <w:rPr>
          <w:lang w:val="en-CA"/>
        </w:rPr>
      </w:pPr>
    </w:p>
    <w:p w14:paraId="1A059F73" w14:textId="055DCF28" w:rsidR="00E867DA" w:rsidRPr="005945EC" w:rsidRDefault="00E867DA" w:rsidP="00E867DA">
      <w:pPr>
        <w:pStyle w:val="BodyTextMain"/>
        <w:rPr>
          <w:lang w:val="en-CA"/>
        </w:rPr>
      </w:pPr>
      <w:r w:rsidRPr="005945EC">
        <w:rPr>
          <w:lang w:val="en-CA"/>
        </w:rPr>
        <w:t xml:space="preserve">Star </w:t>
      </w:r>
      <w:r w:rsidR="00003C5A" w:rsidRPr="005945EC">
        <w:rPr>
          <w:lang w:val="en-CA"/>
        </w:rPr>
        <w:t xml:space="preserve">Alliance </w:t>
      </w:r>
      <w:r w:rsidRPr="005945EC">
        <w:rPr>
          <w:lang w:val="en-CA"/>
        </w:rPr>
        <w:t xml:space="preserve">was a new </w:t>
      </w:r>
      <w:r w:rsidR="00003C5A" w:rsidRPr="005945EC">
        <w:rPr>
          <w:lang w:val="en-CA"/>
        </w:rPr>
        <w:t>type</w:t>
      </w:r>
      <w:r w:rsidRPr="005945EC">
        <w:rPr>
          <w:lang w:val="en-CA"/>
        </w:rPr>
        <w:t xml:space="preserve"> of organization</w:t>
      </w:r>
      <w:r w:rsidR="00003C5A" w:rsidRPr="005945EC">
        <w:rPr>
          <w:lang w:val="en-CA"/>
        </w:rPr>
        <w:t>al structure</w:t>
      </w:r>
      <w:r w:rsidRPr="005945EC">
        <w:rPr>
          <w:lang w:val="en-CA"/>
        </w:rPr>
        <w:t xml:space="preserve"> in the </w:t>
      </w:r>
      <w:r w:rsidR="00003C5A" w:rsidRPr="005945EC">
        <w:rPr>
          <w:lang w:val="en-CA"/>
        </w:rPr>
        <w:t xml:space="preserve">airline </w:t>
      </w:r>
      <w:r w:rsidRPr="005945EC">
        <w:rPr>
          <w:lang w:val="en-CA"/>
        </w:rPr>
        <w:t xml:space="preserve">industry but one that </w:t>
      </w:r>
      <w:r w:rsidR="00003C5A" w:rsidRPr="005945EC">
        <w:rPr>
          <w:lang w:val="en-CA"/>
        </w:rPr>
        <w:t xml:space="preserve">would </w:t>
      </w:r>
      <w:r w:rsidRPr="005945EC">
        <w:rPr>
          <w:lang w:val="en-CA"/>
        </w:rPr>
        <w:t>soon bec</w:t>
      </w:r>
      <w:r w:rsidR="00712E59" w:rsidRPr="005945EC">
        <w:rPr>
          <w:lang w:val="en-CA"/>
        </w:rPr>
        <w:t>o</w:t>
      </w:r>
      <w:r w:rsidRPr="005945EC">
        <w:rPr>
          <w:lang w:val="en-CA"/>
        </w:rPr>
        <w:t xml:space="preserve">me </w:t>
      </w:r>
      <w:r w:rsidR="00003C5A" w:rsidRPr="005945EC">
        <w:rPr>
          <w:lang w:val="en-CA"/>
        </w:rPr>
        <w:t xml:space="preserve">relatively </w:t>
      </w:r>
      <w:r w:rsidRPr="005945EC">
        <w:rPr>
          <w:lang w:val="en-CA"/>
        </w:rPr>
        <w:t xml:space="preserve">common. </w:t>
      </w:r>
      <w:r w:rsidR="00712C65" w:rsidRPr="005945EC">
        <w:rPr>
          <w:lang w:val="en-CA"/>
        </w:rPr>
        <w:t>This structure</w:t>
      </w:r>
      <w:r w:rsidRPr="005945EC">
        <w:rPr>
          <w:lang w:val="en-CA"/>
        </w:rPr>
        <w:t xml:space="preserve"> consisted of multiple member airlines enabl</w:t>
      </w:r>
      <w:r w:rsidR="00003C5A" w:rsidRPr="005945EC">
        <w:rPr>
          <w:lang w:val="en-CA"/>
        </w:rPr>
        <w:t>ing</w:t>
      </w:r>
      <w:r w:rsidRPr="005945EC">
        <w:rPr>
          <w:lang w:val="en-CA"/>
        </w:rPr>
        <w:t xml:space="preserve"> collaboration in certain activities, within limits. Antitrust rules did not allow sharing </w:t>
      </w:r>
      <w:r w:rsidR="00003C5A" w:rsidRPr="005945EC">
        <w:rPr>
          <w:lang w:val="en-CA"/>
        </w:rPr>
        <w:t>specific types</w:t>
      </w:r>
      <w:r w:rsidRPr="005945EC">
        <w:rPr>
          <w:lang w:val="en-CA"/>
        </w:rPr>
        <w:t xml:space="preserve"> </w:t>
      </w:r>
      <w:r w:rsidR="00844085" w:rsidRPr="005945EC">
        <w:rPr>
          <w:lang w:val="en-CA"/>
        </w:rPr>
        <w:t xml:space="preserve">of </w:t>
      </w:r>
      <w:r w:rsidRPr="005945EC">
        <w:rPr>
          <w:lang w:val="en-CA"/>
        </w:rPr>
        <w:t>information, coordinating pricing, or sharing profits.</w:t>
      </w:r>
      <w:r w:rsidRPr="005945EC">
        <w:rPr>
          <w:rStyle w:val="EndnoteReference"/>
          <w:lang w:val="en-CA"/>
        </w:rPr>
        <w:endnoteReference w:id="6"/>
      </w:r>
      <w:r w:rsidRPr="005945EC">
        <w:rPr>
          <w:lang w:val="en-CA"/>
        </w:rPr>
        <w:t xml:space="preserve"> </w:t>
      </w:r>
      <w:r w:rsidR="00003C5A" w:rsidRPr="005945EC">
        <w:rPr>
          <w:lang w:val="en-CA"/>
        </w:rPr>
        <w:t xml:space="preserve">However, </w:t>
      </w:r>
      <w:r w:rsidRPr="005945EC">
        <w:rPr>
          <w:lang w:val="en-CA"/>
        </w:rPr>
        <w:t>each member paid a share of the costs of the organization and had specific rights in the governance of joint activities.</w:t>
      </w:r>
    </w:p>
    <w:p w14:paraId="64C2B4F3" w14:textId="77777777" w:rsidR="00E867DA" w:rsidRPr="005945EC" w:rsidRDefault="00E867DA" w:rsidP="00E867DA">
      <w:pPr>
        <w:pStyle w:val="BodyTextMain"/>
        <w:rPr>
          <w:lang w:val="en-CA"/>
        </w:rPr>
      </w:pPr>
    </w:p>
    <w:p w14:paraId="1CA4B4A2" w14:textId="607710E2" w:rsidR="00E867DA" w:rsidRPr="005945EC" w:rsidRDefault="00E867DA" w:rsidP="00E867DA">
      <w:pPr>
        <w:pStyle w:val="BodyTextMain"/>
        <w:rPr>
          <w:lang w:val="en-CA"/>
        </w:rPr>
      </w:pPr>
      <w:r w:rsidRPr="005945EC">
        <w:rPr>
          <w:lang w:val="en-CA"/>
        </w:rPr>
        <w:t>Historically, airline alliances had been bilateral</w:t>
      </w:r>
      <w:r w:rsidR="00003C5A" w:rsidRPr="005945EC">
        <w:rPr>
          <w:lang w:val="en-CA"/>
        </w:rPr>
        <w:t>—</w:t>
      </w:r>
      <w:r w:rsidRPr="005945EC">
        <w:rPr>
          <w:lang w:val="en-CA"/>
        </w:rPr>
        <w:t xml:space="preserve">that is, between two companies. </w:t>
      </w:r>
      <w:r w:rsidR="00712E59" w:rsidRPr="005945EC">
        <w:rPr>
          <w:lang w:val="en-CA"/>
        </w:rPr>
        <w:t>In 1998, f</w:t>
      </w:r>
      <w:r w:rsidRPr="005945EC">
        <w:rPr>
          <w:lang w:val="en-CA"/>
        </w:rPr>
        <w:t>or example,</w:t>
      </w:r>
      <w:r w:rsidR="00003C5A" w:rsidRPr="005945EC">
        <w:rPr>
          <w:lang w:val="en-CA"/>
        </w:rPr>
        <w:t xml:space="preserve"> </w:t>
      </w:r>
      <w:r w:rsidRPr="005945EC">
        <w:rPr>
          <w:lang w:val="en-CA"/>
        </w:rPr>
        <w:t xml:space="preserve">Air France </w:t>
      </w:r>
      <w:r w:rsidR="00003C5A" w:rsidRPr="005945EC">
        <w:rPr>
          <w:lang w:val="en-CA"/>
        </w:rPr>
        <w:t>was part of 24 different</w:t>
      </w:r>
      <w:r w:rsidRPr="005945EC">
        <w:rPr>
          <w:lang w:val="en-CA"/>
        </w:rPr>
        <w:t xml:space="preserve"> bilateral alliances with different airlines across the globe</w:t>
      </w:r>
      <w:r w:rsidR="00844085" w:rsidRPr="005945EC">
        <w:rPr>
          <w:lang w:val="en-CA"/>
        </w:rPr>
        <w:t>—</w:t>
      </w:r>
      <w:r w:rsidR="00003C5A" w:rsidRPr="005945EC">
        <w:rPr>
          <w:lang w:val="en-CA"/>
        </w:rPr>
        <w:t>all of them remaining distinct and</w:t>
      </w:r>
      <w:r w:rsidRPr="005945EC">
        <w:rPr>
          <w:lang w:val="en-CA"/>
        </w:rPr>
        <w:t xml:space="preserve"> separate.</w:t>
      </w:r>
      <w:r w:rsidRPr="005945EC">
        <w:rPr>
          <w:rStyle w:val="EndnoteReference"/>
          <w:lang w:val="en-CA"/>
        </w:rPr>
        <w:endnoteReference w:id="7"/>
      </w:r>
      <w:r w:rsidRPr="005945EC">
        <w:rPr>
          <w:lang w:val="en-CA"/>
        </w:rPr>
        <w:t xml:space="preserve"> Star </w:t>
      </w:r>
      <w:r w:rsidR="00003C5A" w:rsidRPr="005945EC">
        <w:rPr>
          <w:lang w:val="en-CA"/>
        </w:rPr>
        <w:t>Alliance, however,</w:t>
      </w:r>
      <w:r w:rsidRPr="005945EC">
        <w:rPr>
          <w:lang w:val="en-CA"/>
        </w:rPr>
        <w:t xml:space="preserve"> group</w:t>
      </w:r>
      <w:r w:rsidR="00003C5A" w:rsidRPr="005945EC">
        <w:rPr>
          <w:lang w:val="en-CA"/>
        </w:rPr>
        <w:t>ed such</w:t>
      </w:r>
      <w:r w:rsidRPr="005945EC">
        <w:rPr>
          <w:lang w:val="en-CA"/>
        </w:rPr>
        <w:t xml:space="preserve"> relationships</w:t>
      </w:r>
      <w:r w:rsidR="00003C5A" w:rsidRPr="005945EC">
        <w:rPr>
          <w:lang w:val="en-CA"/>
        </w:rPr>
        <w:t xml:space="preserve"> into one network</w:t>
      </w:r>
      <w:r w:rsidRPr="005945EC">
        <w:rPr>
          <w:lang w:val="en-CA"/>
        </w:rPr>
        <w:t xml:space="preserve"> and coordinated bilateral arrangements between member companies. </w:t>
      </w:r>
      <w:r w:rsidR="00003C5A" w:rsidRPr="005945EC">
        <w:rPr>
          <w:lang w:val="en-CA"/>
        </w:rPr>
        <w:t>M</w:t>
      </w:r>
      <w:r w:rsidRPr="005945EC">
        <w:rPr>
          <w:lang w:val="en-CA"/>
        </w:rPr>
        <w:t>ulti-partner alliances establish</w:t>
      </w:r>
      <w:r w:rsidR="00003C5A" w:rsidRPr="005945EC">
        <w:rPr>
          <w:lang w:val="en-CA"/>
        </w:rPr>
        <w:t>ed</w:t>
      </w:r>
      <w:r w:rsidRPr="005945EC">
        <w:rPr>
          <w:lang w:val="en-CA"/>
        </w:rPr>
        <w:t xml:space="preserve"> common branding and standards</w:t>
      </w:r>
      <w:r w:rsidR="00F41DB1" w:rsidRPr="005945EC">
        <w:rPr>
          <w:lang w:val="en-CA"/>
        </w:rPr>
        <w:t xml:space="preserve"> for the various member airlines. In some cases</w:t>
      </w:r>
      <w:r w:rsidRPr="005945EC">
        <w:rPr>
          <w:lang w:val="en-CA"/>
        </w:rPr>
        <w:t xml:space="preserve">, </w:t>
      </w:r>
      <w:r w:rsidR="00F41DB1" w:rsidRPr="005945EC">
        <w:rPr>
          <w:lang w:val="en-CA"/>
        </w:rPr>
        <w:t>the alliance helped</w:t>
      </w:r>
      <w:r w:rsidRPr="005945EC">
        <w:rPr>
          <w:lang w:val="en-CA"/>
        </w:rPr>
        <w:t xml:space="preserve"> </w:t>
      </w:r>
      <w:r w:rsidR="00F41DB1" w:rsidRPr="005945EC">
        <w:rPr>
          <w:lang w:val="en-CA"/>
        </w:rPr>
        <w:t xml:space="preserve">its members </w:t>
      </w:r>
      <w:r w:rsidRPr="005945EC">
        <w:rPr>
          <w:lang w:val="en-CA"/>
        </w:rPr>
        <w:t xml:space="preserve">aggregate </w:t>
      </w:r>
      <w:r w:rsidR="00F41DB1" w:rsidRPr="005945EC">
        <w:rPr>
          <w:lang w:val="en-CA"/>
        </w:rPr>
        <w:t xml:space="preserve">large aircraft </w:t>
      </w:r>
      <w:r w:rsidRPr="005945EC">
        <w:rPr>
          <w:lang w:val="en-CA"/>
        </w:rPr>
        <w:t>purchases.</w:t>
      </w:r>
    </w:p>
    <w:p w14:paraId="75B262F8" w14:textId="54E0CDF6" w:rsidR="00E867DA" w:rsidRPr="005945EC" w:rsidRDefault="00E867DA" w:rsidP="00E867DA">
      <w:pPr>
        <w:pStyle w:val="BodyTextMain"/>
        <w:rPr>
          <w:lang w:val="en-CA"/>
        </w:rPr>
      </w:pPr>
    </w:p>
    <w:p w14:paraId="78121FCF" w14:textId="145B1D87" w:rsidR="00E867DA" w:rsidRPr="005945EC" w:rsidRDefault="00E867DA" w:rsidP="00C826CB">
      <w:pPr>
        <w:pStyle w:val="BodyTextMain"/>
        <w:rPr>
          <w:bCs/>
          <w:lang w:val="en-CA"/>
        </w:rPr>
      </w:pPr>
      <w:r w:rsidRPr="005945EC">
        <w:rPr>
          <w:lang w:val="en-CA"/>
        </w:rPr>
        <w:t xml:space="preserve">Initially, Star </w:t>
      </w:r>
      <w:r w:rsidR="00F41DB1" w:rsidRPr="005945EC">
        <w:rPr>
          <w:lang w:val="en-CA"/>
        </w:rPr>
        <w:t xml:space="preserve">Alliance </w:t>
      </w:r>
      <w:r w:rsidRPr="005945EC">
        <w:rPr>
          <w:lang w:val="en-CA"/>
        </w:rPr>
        <w:t xml:space="preserve">relied </w:t>
      </w:r>
      <w:r w:rsidR="00F41DB1" w:rsidRPr="005945EC">
        <w:rPr>
          <w:lang w:val="en-CA"/>
        </w:rPr>
        <w:t>mainly</w:t>
      </w:r>
      <w:r w:rsidRPr="005945EC">
        <w:rPr>
          <w:lang w:val="en-CA"/>
        </w:rPr>
        <w:t xml:space="preserve"> on its two </w:t>
      </w:r>
      <w:r w:rsidR="00F41DB1" w:rsidRPr="005945EC">
        <w:rPr>
          <w:lang w:val="en-CA"/>
        </w:rPr>
        <w:t>largest</w:t>
      </w:r>
      <w:r w:rsidRPr="005945EC">
        <w:rPr>
          <w:lang w:val="en-CA"/>
        </w:rPr>
        <w:t xml:space="preserve"> members</w:t>
      </w:r>
      <w:r w:rsidR="00F41DB1" w:rsidRPr="005945EC">
        <w:rPr>
          <w:lang w:val="en-CA"/>
        </w:rPr>
        <w:t>—</w:t>
      </w:r>
      <w:r w:rsidRPr="005945EC">
        <w:rPr>
          <w:lang w:val="en-CA"/>
        </w:rPr>
        <w:t>United and Lufthansa</w:t>
      </w:r>
      <w:r w:rsidR="00F41DB1" w:rsidRPr="005945EC">
        <w:rPr>
          <w:lang w:val="en-CA"/>
        </w:rPr>
        <w:t>. In 1999, these two airlines</w:t>
      </w:r>
      <w:r w:rsidRPr="005945EC">
        <w:rPr>
          <w:lang w:val="en-CA"/>
        </w:rPr>
        <w:t xml:space="preserve"> </w:t>
      </w:r>
      <w:r w:rsidR="00F41DB1" w:rsidRPr="005945EC">
        <w:rPr>
          <w:lang w:val="en-CA"/>
        </w:rPr>
        <w:t xml:space="preserve">together </w:t>
      </w:r>
      <w:r w:rsidRPr="005945EC">
        <w:rPr>
          <w:lang w:val="en-CA"/>
        </w:rPr>
        <w:t>served 578 destinations in 106 countries. By 2020, Star</w:t>
      </w:r>
      <w:r w:rsidR="00F41DB1" w:rsidRPr="005945EC">
        <w:rPr>
          <w:lang w:val="en-CA"/>
        </w:rPr>
        <w:t xml:space="preserve"> Alliance had grown its membership to</w:t>
      </w:r>
      <w:r w:rsidRPr="005945EC">
        <w:rPr>
          <w:lang w:val="en-CA"/>
        </w:rPr>
        <w:t xml:space="preserve"> 26 </w:t>
      </w:r>
      <w:r w:rsidR="00F41DB1" w:rsidRPr="005945EC">
        <w:rPr>
          <w:lang w:val="en-CA"/>
        </w:rPr>
        <w:t>airlines</w:t>
      </w:r>
      <w:r w:rsidR="00E11575" w:rsidRPr="005945EC">
        <w:rPr>
          <w:lang w:val="en-CA"/>
        </w:rPr>
        <w:t xml:space="preserve"> and</w:t>
      </w:r>
      <w:r w:rsidR="00F41DB1" w:rsidRPr="005945EC">
        <w:rPr>
          <w:lang w:val="en-CA"/>
        </w:rPr>
        <w:t xml:space="preserve"> </w:t>
      </w:r>
      <w:r w:rsidRPr="005945EC">
        <w:rPr>
          <w:lang w:val="en-CA"/>
        </w:rPr>
        <w:t>serv</w:t>
      </w:r>
      <w:r w:rsidR="00F41DB1" w:rsidRPr="005945EC">
        <w:rPr>
          <w:lang w:val="en-CA"/>
        </w:rPr>
        <w:t>ed</w:t>
      </w:r>
      <w:r w:rsidRPr="005945EC">
        <w:rPr>
          <w:lang w:val="en-CA"/>
        </w:rPr>
        <w:t xml:space="preserve"> over 1,300 destinations in 195 countries (</w:t>
      </w:r>
      <w:r w:rsidRPr="005945EC">
        <w:rPr>
          <w:bCs/>
          <w:lang w:val="en-CA"/>
        </w:rPr>
        <w:t>Exhibit 1)</w:t>
      </w:r>
      <w:r w:rsidRPr="005945EC">
        <w:rPr>
          <w:lang w:val="en-CA"/>
        </w:rPr>
        <w:t>.</w:t>
      </w:r>
      <w:r w:rsidR="002832B5" w:rsidRPr="005945EC">
        <w:rPr>
          <w:lang w:val="en-CA"/>
        </w:rPr>
        <w:t xml:space="preserve"> However, </w:t>
      </w:r>
      <w:r w:rsidRPr="005945EC">
        <w:rPr>
          <w:bCs/>
          <w:lang w:val="en-CA"/>
        </w:rPr>
        <w:t>multi-partner alliance</w:t>
      </w:r>
      <w:r w:rsidR="002832B5" w:rsidRPr="005945EC">
        <w:rPr>
          <w:bCs/>
          <w:lang w:val="en-CA"/>
        </w:rPr>
        <w:t>s in the global airline industry were a common practice even before Star Alliance formed its network</w:t>
      </w:r>
      <w:r w:rsidRPr="005945EC">
        <w:rPr>
          <w:bCs/>
          <w:lang w:val="en-CA"/>
        </w:rPr>
        <w:t xml:space="preserve">. </w:t>
      </w:r>
      <w:r w:rsidR="001E1954" w:rsidRPr="005945EC">
        <w:rPr>
          <w:bCs/>
          <w:lang w:val="en-CA"/>
        </w:rPr>
        <w:t xml:space="preserve">In 1989, </w:t>
      </w:r>
      <w:r w:rsidRPr="005945EC">
        <w:rPr>
          <w:bCs/>
          <w:lang w:val="en-CA"/>
        </w:rPr>
        <w:t>Delta</w:t>
      </w:r>
      <w:r w:rsidR="001E1954" w:rsidRPr="005945EC">
        <w:rPr>
          <w:bCs/>
          <w:lang w:val="en-CA"/>
        </w:rPr>
        <w:t xml:space="preserve"> </w:t>
      </w:r>
      <w:r w:rsidR="002832B5" w:rsidRPr="005945EC">
        <w:rPr>
          <w:bCs/>
          <w:lang w:val="en-CA"/>
        </w:rPr>
        <w:t xml:space="preserve">had </w:t>
      </w:r>
      <w:r w:rsidR="001E1954" w:rsidRPr="005945EC">
        <w:rPr>
          <w:bCs/>
          <w:lang w:val="en-CA"/>
        </w:rPr>
        <w:t>formed a network of three airlines with</w:t>
      </w:r>
      <w:r w:rsidRPr="005945EC">
        <w:rPr>
          <w:bCs/>
          <w:lang w:val="en-CA"/>
        </w:rPr>
        <w:t xml:space="preserve"> </w:t>
      </w:r>
      <w:r w:rsidR="001E1954" w:rsidRPr="005945EC">
        <w:rPr>
          <w:bCs/>
          <w:lang w:val="en-CA"/>
        </w:rPr>
        <w:t xml:space="preserve">Swissair AG/SA and </w:t>
      </w:r>
      <w:r w:rsidRPr="005945EC">
        <w:rPr>
          <w:bCs/>
          <w:lang w:val="en-CA"/>
        </w:rPr>
        <w:t>Singapore Airlines</w:t>
      </w:r>
      <w:r w:rsidR="001E1954" w:rsidRPr="005945EC">
        <w:rPr>
          <w:bCs/>
          <w:lang w:val="en-CA"/>
        </w:rPr>
        <w:t xml:space="preserve">. </w:t>
      </w:r>
      <w:r w:rsidR="002832B5" w:rsidRPr="005945EC">
        <w:rPr>
          <w:bCs/>
          <w:lang w:val="en-CA"/>
        </w:rPr>
        <w:t xml:space="preserve">Star Alliance </w:t>
      </w:r>
      <w:r w:rsidR="00C826CB" w:rsidRPr="005945EC">
        <w:rPr>
          <w:bCs/>
          <w:lang w:val="en-CA"/>
        </w:rPr>
        <w:t xml:space="preserve">then </w:t>
      </w:r>
      <w:r w:rsidR="002832B5" w:rsidRPr="005945EC">
        <w:rPr>
          <w:bCs/>
          <w:lang w:val="en-CA"/>
        </w:rPr>
        <w:t>formed the first major network several years later</w:t>
      </w:r>
      <w:r w:rsidR="00C826CB" w:rsidRPr="005945EC">
        <w:rPr>
          <w:bCs/>
          <w:lang w:val="en-CA"/>
        </w:rPr>
        <w:t>,</w:t>
      </w:r>
      <w:r w:rsidR="002832B5" w:rsidRPr="005945EC">
        <w:rPr>
          <w:bCs/>
          <w:lang w:val="en-CA"/>
        </w:rPr>
        <w:t xml:space="preserve"> in 1997. R</w:t>
      </w:r>
      <w:r w:rsidRPr="005945EC">
        <w:rPr>
          <w:bCs/>
          <w:lang w:val="en-CA"/>
        </w:rPr>
        <w:t xml:space="preserve">ivalry among large constellations </w:t>
      </w:r>
      <w:r w:rsidR="002832B5" w:rsidRPr="005945EC">
        <w:rPr>
          <w:bCs/>
          <w:lang w:val="en-CA"/>
        </w:rPr>
        <w:t>soon</w:t>
      </w:r>
      <w:r w:rsidRPr="005945EC">
        <w:rPr>
          <w:bCs/>
          <w:lang w:val="en-CA"/>
        </w:rPr>
        <w:t xml:space="preserve"> </w:t>
      </w:r>
      <w:r w:rsidR="001E1954" w:rsidRPr="005945EC">
        <w:rPr>
          <w:bCs/>
          <w:lang w:val="en-CA"/>
        </w:rPr>
        <w:t>flourish</w:t>
      </w:r>
      <w:r w:rsidR="002832B5" w:rsidRPr="005945EC">
        <w:rPr>
          <w:bCs/>
          <w:lang w:val="en-CA"/>
        </w:rPr>
        <w:t>ed</w:t>
      </w:r>
      <w:r w:rsidR="001E1954" w:rsidRPr="005945EC">
        <w:rPr>
          <w:bCs/>
          <w:lang w:val="en-CA"/>
        </w:rPr>
        <w:t xml:space="preserve"> when </w:t>
      </w:r>
      <w:r w:rsidRPr="005945EC">
        <w:rPr>
          <w:bCs/>
          <w:lang w:val="en-CA"/>
        </w:rPr>
        <w:t xml:space="preserve">American </w:t>
      </w:r>
      <w:r w:rsidR="001E1954" w:rsidRPr="005945EC">
        <w:rPr>
          <w:bCs/>
          <w:lang w:val="en-CA"/>
        </w:rPr>
        <w:t>and</w:t>
      </w:r>
      <w:r w:rsidRPr="005945EC">
        <w:rPr>
          <w:bCs/>
          <w:lang w:val="en-CA"/>
        </w:rPr>
        <w:t xml:space="preserve"> British Airways</w:t>
      </w:r>
      <w:r w:rsidR="001E1954" w:rsidRPr="005945EC">
        <w:rPr>
          <w:bCs/>
          <w:lang w:val="en-CA"/>
        </w:rPr>
        <w:t xml:space="preserve"> joined</w:t>
      </w:r>
      <w:r w:rsidRPr="005945EC">
        <w:rPr>
          <w:bCs/>
          <w:lang w:val="en-CA"/>
        </w:rPr>
        <w:t xml:space="preserve"> Cathay Pacific</w:t>
      </w:r>
      <w:r w:rsidR="001E1954" w:rsidRPr="005945EC">
        <w:rPr>
          <w:bCs/>
          <w:lang w:val="en-CA"/>
        </w:rPr>
        <w:t xml:space="preserve"> Airways Ltd.</w:t>
      </w:r>
      <w:r w:rsidRPr="005945EC">
        <w:rPr>
          <w:bCs/>
          <w:lang w:val="en-CA"/>
        </w:rPr>
        <w:t xml:space="preserve"> and Qantas </w:t>
      </w:r>
      <w:r w:rsidR="001E1954" w:rsidRPr="005945EC">
        <w:rPr>
          <w:bCs/>
          <w:lang w:val="en-CA"/>
        </w:rPr>
        <w:t xml:space="preserve">Airways Limited to </w:t>
      </w:r>
      <w:r w:rsidRPr="005945EC">
        <w:rPr>
          <w:bCs/>
          <w:lang w:val="en-CA"/>
        </w:rPr>
        <w:t xml:space="preserve">launch </w:t>
      </w:r>
      <w:proofErr w:type="spellStart"/>
      <w:r w:rsidRPr="005945EC">
        <w:rPr>
          <w:bCs/>
          <w:lang w:val="en-CA"/>
        </w:rPr>
        <w:t>Oneworld</w:t>
      </w:r>
      <w:proofErr w:type="spellEnd"/>
      <w:r w:rsidR="002832B5" w:rsidRPr="005945EC">
        <w:rPr>
          <w:bCs/>
          <w:lang w:val="en-CA"/>
        </w:rPr>
        <w:t xml:space="preserve"> in 1999, and </w:t>
      </w:r>
      <w:r w:rsidR="00C826CB" w:rsidRPr="005945EC">
        <w:rPr>
          <w:bCs/>
          <w:lang w:val="en-CA"/>
        </w:rPr>
        <w:t>the next year</w:t>
      </w:r>
      <w:r w:rsidR="001E1954" w:rsidRPr="005945EC">
        <w:rPr>
          <w:bCs/>
          <w:lang w:val="en-CA"/>
        </w:rPr>
        <w:t xml:space="preserve"> </w:t>
      </w:r>
      <w:proofErr w:type="spellStart"/>
      <w:r w:rsidR="004419E7" w:rsidRPr="005945EC">
        <w:rPr>
          <w:bCs/>
          <w:lang w:val="en-CA"/>
        </w:rPr>
        <w:t>Aerovías</w:t>
      </w:r>
      <w:proofErr w:type="spellEnd"/>
      <w:r w:rsidR="004419E7" w:rsidRPr="005945EC">
        <w:rPr>
          <w:bCs/>
          <w:lang w:val="en-CA"/>
        </w:rPr>
        <w:t xml:space="preserve"> de México S.A. de C.V. (</w:t>
      </w:r>
      <w:proofErr w:type="spellStart"/>
      <w:r w:rsidRPr="005945EC">
        <w:rPr>
          <w:bCs/>
          <w:lang w:val="en-CA"/>
        </w:rPr>
        <w:t>Aerom</w:t>
      </w:r>
      <w:r w:rsidR="004419E7" w:rsidRPr="005945EC">
        <w:rPr>
          <w:bCs/>
          <w:lang w:val="en-CA"/>
        </w:rPr>
        <w:t>é</w:t>
      </w:r>
      <w:r w:rsidRPr="005945EC">
        <w:rPr>
          <w:bCs/>
          <w:lang w:val="en-CA"/>
        </w:rPr>
        <w:t>xico</w:t>
      </w:r>
      <w:proofErr w:type="spellEnd"/>
      <w:r w:rsidR="004419E7" w:rsidRPr="005945EC">
        <w:rPr>
          <w:bCs/>
          <w:lang w:val="en-CA"/>
        </w:rPr>
        <w:t>)</w:t>
      </w:r>
      <w:r w:rsidRPr="005945EC">
        <w:rPr>
          <w:bCs/>
          <w:lang w:val="en-CA"/>
        </w:rPr>
        <w:t>, Air France, Delta</w:t>
      </w:r>
      <w:r w:rsidR="001E1954" w:rsidRPr="005945EC">
        <w:rPr>
          <w:bCs/>
          <w:lang w:val="en-CA"/>
        </w:rPr>
        <w:t>,</w:t>
      </w:r>
      <w:r w:rsidRPr="005945EC">
        <w:rPr>
          <w:bCs/>
          <w:lang w:val="en-CA"/>
        </w:rPr>
        <w:t xml:space="preserve"> and Korean Air</w:t>
      </w:r>
      <w:r w:rsidR="004419E7" w:rsidRPr="005945EC">
        <w:rPr>
          <w:bCs/>
          <w:lang w:val="en-CA"/>
        </w:rPr>
        <w:t xml:space="preserve"> Co. Ltd.</w:t>
      </w:r>
      <w:r w:rsidR="001E1954" w:rsidRPr="005945EC">
        <w:rPr>
          <w:bCs/>
          <w:lang w:val="en-CA"/>
        </w:rPr>
        <w:t xml:space="preserve"> joined together to form SkyTeam</w:t>
      </w:r>
      <w:r w:rsidRPr="005945EC">
        <w:rPr>
          <w:bCs/>
          <w:lang w:val="en-CA"/>
        </w:rPr>
        <w:t>.</w:t>
      </w:r>
      <w:r w:rsidRPr="005945EC">
        <w:rPr>
          <w:rStyle w:val="EndnoteReference"/>
          <w:bCs/>
          <w:lang w:val="en-CA"/>
        </w:rPr>
        <w:endnoteReference w:id="8"/>
      </w:r>
    </w:p>
    <w:p w14:paraId="6A5B4627" w14:textId="77777777" w:rsidR="00E867DA" w:rsidRPr="005945EC" w:rsidRDefault="00E867DA" w:rsidP="00E867DA">
      <w:pPr>
        <w:pStyle w:val="BodyTextMain"/>
        <w:rPr>
          <w:bCs/>
          <w:lang w:val="en-CA"/>
        </w:rPr>
      </w:pPr>
    </w:p>
    <w:p w14:paraId="4A9F2D0B" w14:textId="7DD1D38E" w:rsidR="00E867DA" w:rsidRPr="005945EC" w:rsidRDefault="00E867DA" w:rsidP="00E867DA">
      <w:pPr>
        <w:pStyle w:val="BodyTextMain"/>
        <w:rPr>
          <w:bCs/>
          <w:sz w:val="24"/>
          <w:szCs w:val="24"/>
          <w:lang w:val="en-CA"/>
        </w:rPr>
      </w:pPr>
      <w:r w:rsidRPr="005945EC">
        <w:rPr>
          <w:lang w:val="en-CA"/>
        </w:rPr>
        <w:t>Like Star</w:t>
      </w:r>
      <w:r w:rsidR="004419E7" w:rsidRPr="005945EC">
        <w:rPr>
          <w:lang w:val="en-CA"/>
        </w:rPr>
        <w:t xml:space="preserve"> Alliance</w:t>
      </w:r>
      <w:r w:rsidRPr="005945EC">
        <w:rPr>
          <w:lang w:val="en-CA"/>
        </w:rPr>
        <w:t xml:space="preserve">, the other two constellations also expanded over the years, adding </w:t>
      </w:r>
      <w:r w:rsidR="004419E7" w:rsidRPr="005945EC">
        <w:rPr>
          <w:lang w:val="en-CA"/>
        </w:rPr>
        <w:t>and replacing</w:t>
      </w:r>
      <w:r w:rsidRPr="005945EC">
        <w:rPr>
          <w:lang w:val="en-CA"/>
        </w:rPr>
        <w:t xml:space="preserve"> members</w:t>
      </w:r>
      <w:r w:rsidR="004419E7" w:rsidRPr="005945EC">
        <w:rPr>
          <w:lang w:val="en-CA"/>
        </w:rPr>
        <w:t xml:space="preserve"> over time</w:t>
      </w:r>
      <w:r w:rsidRPr="005945EC">
        <w:rPr>
          <w:lang w:val="en-CA"/>
        </w:rPr>
        <w:t xml:space="preserve"> (</w:t>
      </w:r>
      <w:r w:rsidR="004419E7" w:rsidRPr="005945EC">
        <w:rPr>
          <w:lang w:val="en-CA"/>
        </w:rPr>
        <w:t xml:space="preserve">see </w:t>
      </w:r>
      <w:r w:rsidRPr="005945EC">
        <w:rPr>
          <w:bCs/>
          <w:lang w:val="en-CA"/>
        </w:rPr>
        <w:t>Exhibit 2</w:t>
      </w:r>
      <w:r w:rsidRPr="005945EC">
        <w:rPr>
          <w:lang w:val="en-CA"/>
        </w:rPr>
        <w:t xml:space="preserve">). In </w:t>
      </w:r>
      <w:r w:rsidRPr="005945EC">
        <w:rPr>
          <w:bCs/>
          <w:lang w:val="en-CA"/>
        </w:rPr>
        <w:t xml:space="preserve">2017, the three major airline alliances had built immense networks, accounting for </w:t>
      </w:r>
      <w:r w:rsidR="008D58E2" w:rsidRPr="005945EC">
        <w:rPr>
          <w:bCs/>
          <w:lang w:val="en-CA"/>
        </w:rPr>
        <w:t>almost</w:t>
      </w:r>
      <w:r w:rsidRPr="005945EC">
        <w:rPr>
          <w:bCs/>
          <w:lang w:val="en-CA"/>
        </w:rPr>
        <w:t xml:space="preserve"> 58</w:t>
      </w:r>
      <w:r w:rsidR="004419E7" w:rsidRPr="005945EC">
        <w:rPr>
          <w:bCs/>
          <w:lang w:val="en-CA"/>
        </w:rPr>
        <w:t xml:space="preserve"> per cent</w:t>
      </w:r>
      <w:r w:rsidRPr="005945EC">
        <w:rPr>
          <w:bCs/>
          <w:lang w:val="en-CA"/>
        </w:rPr>
        <w:t xml:space="preserve"> of </w:t>
      </w:r>
      <w:r w:rsidR="004419E7" w:rsidRPr="005945EC">
        <w:rPr>
          <w:bCs/>
          <w:lang w:val="en-CA"/>
        </w:rPr>
        <w:t xml:space="preserve">the industry’s total </w:t>
      </w:r>
      <w:r w:rsidRPr="005945EC">
        <w:rPr>
          <w:bCs/>
          <w:lang w:val="en-CA"/>
        </w:rPr>
        <w:t>global capacity.</w:t>
      </w:r>
      <w:r w:rsidRPr="005945EC">
        <w:rPr>
          <w:bCs/>
          <w:vertAlign w:val="superscript"/>
          <w:lang w:val="en-CA"/>
        </w:rPr>
        <w:endnoteReference w:id="9"/>
      </w:r>
      <w:r w:rsidRPr="005945EC">
        <w:rPr>
          <w:bCs/>
          <w:sz w:val="24"/>
          <w:szCs w:val="24"/>
          <w:lang w:val="en-CA"/>
        </w:rPr>
        <w:t xml:space="preserve"> </w:t>
      </w:r>
      <w:r w:rsidRPr="005945EC">
        <w:rPr>
          <w:lang w:val="en-CA"/>
        </w:rPr>
        <w:t>By 2020, each group had a footing in every major region of the globe.</w:t>
      </w:r>
    </w:p>
    <w:p w14:paraId="578FE7E5" w14:textId="01F46770" w:rsidR="00E867DA" w:rsidRPr="005945EC" w:rsidRDefault="00E867DA" w:rsidP="00E867DA">
      <w:pPr>
        <w:pStyle w:val="BodyTextMain"/>
        <w:rPr>
          <w:lang w:val="en-CA"/>
        </w:rPr>
      </w:pPr>
    </w:p>
    <w:p w14:paraId="1830F22E" w14:textId="77777777" w:rsidR="00E867DA" w:rsidRPr="005945EC" w:rsidRDefault="00E867DA" w:rsidP="00E867DA">
      <w:pPr>
        <w:pStyle w:val="BodyTextMain"/>
        <w:rPr>
          <w:lang w:val="en-CA"/>
        </w:rPr>
      </w:pPr>
    </w:p>
    <w:p w14:paraId="46C0216B" w14:textId="77777777" w:rsidR="00E867DA" w:rsidRPr="005945EC" w:rsidRDefault="00E867DA" w:rsidP="00E867DA">
      <w:pPr>
        <w:pStyle w:val="Casehead1"/>
        <w:rPr>
          <w:lang w:val="en-CA"/>
        </w:rPr>
      </w:pPr>
      <w:r w:rsidRPr="005945EC">
        <w:rPr>
          <w:lang w:val="en-CA"/>
        </w:rPr>
        <w:t>Benefits of Star Alliance</w:t>
      </w:r>
    </w:p>
    <w:p w14:paraId="53CEEEEB" w14:textId="77777777" w:rsidR="00E867DA" w:rsidRPr="005945EC" w:rsidRDefault="00E867DA" w:rsidP="00E867DA">
      <w:pPr>
        <w:pStyle w:val="BodyTextMain"/>
        <w:rPr>
          <w:sz w:val="24"/>
          <w:lang w:val="en-CA"/>
        </w:rPr>
      </w:pPr>
    </w:p>
    <w:p w14:paraId="44B0A089" w14:textId="3F275F0C" w:rsidR="00E867DA" w:rsidRPr="005945EC" w:rsidRDefault="00E867DA" w:rsidP="00E867DA">
      <w:pPr>
        <w:pStyle w:val="BodyTextMain"/>
        <w:rPr>
          <w:lang w:val="en-CA"/>
        </w:rPr>
      </w:pPr>
      <w:r w:rsidRPr="005945EC">
        <w:rPr>
          <w:lang w:val="en-CA"/>
        </w:rPr>
        <w:t xml:space="preserve">Traditional airline profitability boiled down to only a few key drivers of revenue and cost. </w:t>
      </w:r>
      <w:r w:rsidR="00626EFF" w:rsidRPr="005945EC">
        <w:rPr>
          <w:lang w:val="en-CA"/>
        </w:rPr>
        <w:t>The main revenue drivers were passenger c</w:t>
      </w:r>
      <w:r w:rsidRPr="005945EC">
        <w:rPr>
          <w:lang w:val="en-CA"/>
        </w:rPr>
        <w:t>apacity, load factor, and yield. Pricing of flights could vary, often in response to the degree of competition in the route. The percentage of seats that were occupied on a flight</w:t>
      </w:r>
      <w:r w:rsidR="00F3001B" w:rsidRPr="005945EC">
        <w:rPr>
          <w:lang w:val="en-CA"/>
        </w:rPr>
        <w:t>, known as</w:t>
      </w:r>
      <w:r w:rsidRPr="005945EC">
        <w:rPr>
          <w:lang w:val="en-CA"/>
        </w:rPr>
        <w:t xml:space="preserve"> load factor</w:t>
      </w:r>
      <w:r w:rsidR="00F3001B" w:rsidRPr="005945EC">
        <w:rPr>
          <w:lang w:val="en-CA"/>
        </w:rPr>
        <w:t>,</w:t>
      </w:r>
      <w:r w:rsidRPr="005945EC">
        <w:rPr>
          <w:lang w:val="en-CA"/>
        </w:rPr>
        <w:t xml:space="preserve"> was </w:t>
      </w:r>
      <w:r w:rsidR="00626EFF" w:rsidRPr="005945EC">
        <w:rPr>
          <w:lang w:val="en-CA"/>
        </w:rPr>
        <w:t xml:space="preserve">an </w:t>
      </w:r>
      <w:r w:rsidRPr="005945EC">
        <w:rPr>
          <w:lang w:val="en-CA"/>
        </w:rPr>
        <w:t xml:space="preserve">important </w:t>
      </w:r>
      <w:r w:rsidR="00626EFF" w:rsidRPr="005945EC">
        <w:rPr>
          <w:lang w:val="en-CA"/>
        </w:rPr>
        <w:t>indicator of</w:t>
      </w:r>
      <w:r w:rsidRPr="005945EC">
        <w:rPr>
          <w:lang w:val="en-CA"/>
        </w:rPr>
        <w:t xml:space="preserve"> profitability. Mileage programs were used to promote customer loyalty, develop future business, and increase liquidity. Credit card partners</w:t>
      </w:r>
      <w:r w:rsidR="00626EFF" w:rsidRPr="005945EC">
        <w:rPr>
          <w:lang w:val="en-CA"/>
        </w:rPr>
        <w:t xml:space="preserve"> involved</w:t>
      </w:r>
      <w:r w:rsidRPr="005945EC">
        <w:rPr>
          <w:lang w:val="en-CA"/>
        </w:rPr>
        <w:t xml:space="preserve"> in these programs bought miles for their customers in advance of when they would be used. On the other side</w:t>
      </w:r>
      <w:r w:rsidR="00626EFF" w:rsidRPr="005945EC">
        <w:rPr>
          <w:lang w:val="en-CA"/>
        </w:rPr>
        <w:t xml:space="preserve"> of revenue</w:t>
      </w:r>
      <w:r w:rsidRPr="005945EC">
        <w:rPr>
          <w:lang w:val="en-CA"/>
        </w:rPr>
        <w:t xml:space="preserve">, </w:t>
      </w:r>
      <w:r w:rsidR="00626EFF" w:rsidRPr="005945EC">
        <w:rPr>
          <w:lang w:val="en-CA"/>
        </w:rPr>
        <w:t xml:space="preserve">the main drivers of cost were </w:t>
      </w:r>
      <w:r w:rsidRPr="005945EC">
        <w:rPr>
          <w:lang w:val="en-CA"/>
        </w:rPr>
        <w:t>labo</w:t>
      </w:r>
      <w:r w:rsidR="00626EFF" w:rsidRPr="005945EC">
        <w:rPr>
          <w:lang w:val="en-CA"/>
        </w:rPr>
        <w:t>u</w:t>
      </w:r>
      <w:r w:rsidRPr="005945EC">
        <w:rPr>
          <w:lang w:val="en-CA"/>
        </w:rPr>
        <w:t>r (</w:t>
      </w:r>
      <w:r w:rsidR="00626EFF" w:rsidRPr="005945EC">
        <w:rPr>
          <w:lang w:val="en-CA"/>
        </w:rPr>
        <w:t xml:space="preserve">i.e., </w:t>
      </w:r>
      <w:r w:rsidRPr="005945EC">
        <w:rPr>
          <w:lang w:val="en-CA"/>
        </w:rPr>
        <w:t>flight personnel), fuel</w:t>
      </w:r>
      <w:r w:rsidR="00626EFF" w:rsidRPr="005945EC">
        <w:rPr>
          <w:lang w:val="en-CA"/>
        </w:rPr>
        <w:t>,</w:t>
      </w:r>
      <w:r w:rsidRPr="005945EC">
        <w:rPr>
          <w:lang w:val="en-CA"/>
        </w:rPr>
        <w:t xml:space="preserve"> and advertising. </w:t>
      </w:r>
    </w:p>
    <w:p w14:paraId="20836352" w14:textId="7A7CA42B" w:rsidR="00E867DA" w:rsidRPr="005945EC" w:rsidRDefault="00E867DA" w:rsidP="00E867DA">
      <w:pPr>
        <w:pStyle w:val="BodyTextMain"/>
        <w:rPr>
          <w:lang w:val="en-CA"/>
        </w:rPr>
      </w:pPr>
      <w:r w:rsidRPr="005945EC">
        <w:rPr>
          <w:lang w:val="en-CA"/>
        </w:rPr>
        <w:lastRenderedPageBreak/>
        <w:t xml:space="preserve">Star Alliance </w:t>
      </w:r>
      <w:r w:rsidR="00626EFF" w:rsidRPr="005945EC">
        <w:rPr>
          <w:lang w:val="en-CA"/>
        </w:rPr>
        <w:t xml:space="preserve">members </w:t>
      </w:r>
      <w:r w:rsidRPr="005945EC">
        <w:rPr>
          <w:lang w:val="en-CA"/>
        </w:rPr>
        <w:t xml:space="preserve">sought to gain from the </w:t>
      </w:r>
      <w:r w:rsidR="00C826CB" w:rsidRPr="005945EC">
        <w:rPr>
          <w:lang w:val="en-CA"/>
        </w:rPr>
        <w:t>network</w:t>
      </w:r>
      <w:r w:rsidRPr="005945EC">
        <w:rPr>
          <w:lang w:val="en-CA"/>
        </w:rPr>
        <w:t xml:space="preserve"> in many ways. The alliance </w:t>
      </w:r>
      <w:r w:rsidR="00626EFF" w:rsidRPr="005945EC">
        <w:rPr>
          <w:lang w:val="en-CA"/>
        </w:rPr>
        <w:t>provided</w:t>
      </w:r>
      <w:r w:rsidRPr="005945EC">
        <w:rPr>
          <w:lang w:val="en-CA"/>
        </w:rPr>
        <w:t xml:space="preserve"> member</w:t>
      </w:r>
      <w:r w:rsidR="00626EFF" w:rsidRPr="005945EC">
        <w:rPr>
          <w:lang w:val="en-CA"/>
        </w:rPr>
        <w:t>s</w:t>
      </w:r>
      <w:r w:rsidRPr="005945EC">
        <w:rPr>
          <w:lang w:val="en-CA"/>
        </w:rPr>
        <w:t xml:space="preserve"> access to destinations outside </w:t>
      </w:r>
      <w:r w:rsidR="00617CC8" w:rsidRPr="005945EC">
        <w:rPr>
          <w:lang w:val="en-CA"/>
        </w:rPr>
        <w:t xml:space="preserve">of </w:t>
      </w:r>
      <w:r w:rsidRPr="005945EC">
        <w:rPr>
          <w:lang w:val="en-CA"/>
        </w:rPr>
        <w:t>their home base. Coordinating arrival and departure times allowed the group to operate an efficient network with high load and tight connections</w:t>
      </w:r>
      <w:r w:rsidR="00626EFF" w:rsidRPr="005945EC">
        <w:rPr>
          <w:lang w:val="en-CA"/>
        </w:rPr>
        <w:t>,</w:t>
      </w:r>
      <w:r w:rsidRPr="005945EC">
        <w:rPr>
          <w:lang w:val="en-CA"/>
        </w:rPr>
        <w:t xml:space="preserve"> </w:t>
      </w:r>
      <w:r w:rsidR="00626EFF" w:rsidRPr="005945EC">
        <w:rPr>
          <w:lang w:val="en-CA"/>
        </w:rPr>
        <w:t xml:space="preserve">which was </w:t>
      </w:r>
      <w:r w:rsidRPr="005945EC">
        <w:rPr>
          <w:lang w:val="en-CA"/>
        </w:rPr>
        <w:t>known as codeshare synchronization. The constellations also promised better customer service by allowing the airlines to share lounges</w:t>
      </w:r>
      <w:r w:rsidR="00626EFF" w:rsidRPr="005945EC">
        <w:rPr>
          <w:lang w:val="en-CA"/>
        </w:rPr>
        <w:t>,</w:t>
      </w:r>
      <w:r w:rsidRPr="005945EC">
        <w:rPr>
          <w:lang w:val="en-CA"/>
        </w:rPr>
        <w:t xml:space="preserve"> mileage programs</w:t>
      </w:r>
      <w:r w:rsidR="00626EFF" w:rsidRPr="005945EC">
        <w:rPr>
          <w:lang w:val="en-CA"/>
        </w:rPr>
        <w:t>, and</w:t>
      </w:r>
      <w:r w:rsidRPr="005945EC">
        <w:rPr>
          <w:lang w:val="en-CA"/>
        </w:rPr>
        <w:t xml:space="preserve"> </w:t>
      </w:r>
      <w:r w:rsidR="00626EFF" w:rsidRPr="005945EC">
        <w:rPr>
          <w:lang w:val="en-CA"/>
        </w:rPr>
        <w:t xml:space="preserve">various </w:t>
      </w:r>
      <w:r w:rsidRPr="005945EC">
        <w:rPr>
          <w:lang w:val="en-CA"/>
        </w:rPr>
        <w:t>costs in other areas</w:t>
      </w:r>
      <w:r w:rsidR="00626EFF" w:rsidRPr="005945EC">
        <w:rPr>
          <w:lang w:val="en-CA"/>
        </w:rPr>
        <w:t xml:space="preserve">. Members could also </w:t>
      </w:r>
      <w:r w:rsidR="002B0935" w:rsidRPr="005945EC">
        <w:rPr>
          <w:lang w:val="en-CA"/>
        </w:rPr>
        <w:t>take advantage of</w:t>
      </w:r>
      <w:r w:rsidRPr="005945EC">
        <w:rPr>
          <w:lang w:val="en-CA"/>
        </w:rPr>
        <w:t xml:space="preserve"> common standards</w:t>
      </w:r>
      <w:r w:rsidR="002B0935" w:rsidRPr="005945EC">
        <w:rPr>
          <w:lang w:val="en-CA"/>
        </w:rPr>
        <w:t>,</w:t>
      </w:r>
      <w:r w:rsidRPr="005945EC">
        <w:rPr>
          <w:lang w:val="en-CA"/>
        </w:rPr>
        <w:t xml:space="preserve"> combine</w:t>
      </w:r>
      <w:r w:rsidR="00626EFF" w:rsidRPr="005945EC">
        <w:rPr>
          <w:lang w:val="en-CA"/>
        </w:rPr>
        <w:t>d</w:t>
      </w:r>
      <w:r w:rsidRPr="005945EC">
        <w:rPr>
          <w:lang w:val="en-CA"/>
        </w:rPr>
        <w:t xml:space="preserve"> training</w:t>
      </w:r>
      <w:r w:rsidR="00626EFF" w:rsidRPr="005945EC">
        <w:rPr>
          <w:lang w:val="en-CA"/>
        </w:rPr>
        <w:t xml:space="preserve"> programs</w:t>
      </w:r>
      <w:r w:rsidR="002B0935" w:rsidRPr="005945EC">
        <w:rPr>
          <w:lang w:val="en-CA"/>
        </w:rPr>
        <w:t>, and the alliance’s</w:t>
      </w:r>
      <w:r w:rsidRPr="005945EC">
        <w:rPr>
          <w:lang w:val="en-CA"/>
        </w:rPr>
        <w:t xml:space="preserve"> brand identity, while maintaining their own independent status.</w:t>
      </w:r>
    </w:p>
    <w:p w14:paraId="6B85F430" w14:textId="77777777" w:rsidR="00E867DA" w:rsidRPr="005945EC" w:rsidRDefault="00E867DA" w:rsidP="00E867DA">
      <w:pPr>
        <w:pStyle w:val="BodyTextMain"/>
        <w:rPr>
          <w:lang w:val="en-CA"/>
        </w:rPr>
      </w:pPr>
    </w:p>
    <w:p w14:paraId="0CF5C682" w14:textId="77777777" w:rsidR="00E867DA" w:rsidRPr="005945EC" w:rsidRDefault="00E867DA" w:rsidP="00E867DA">
      <w:pPr>
        <w:pStyle w:val="BodyTextMain"/>
        <w:rPr>
          <w:lang w:val="en-CA"/>
        </w:rPr>
      </w:pPr>
    </w:p>
    <w:p w14:paraId="4BCD2073" w14:textId="77777777" w:rsidR="00E867DA" w:rsidRPr="005945EC" w:rsidRDefault="00E867DA" w:rsidP="00E867DA">
      <w:pPr>
        <w:pStyle w:val="Casehead2"/>
        <w:rPr>
          <w:lang w:val="en-CA"/>
        </w:rPr>
      </w:pPr>
      <w:r w:rsidRPr="005945EC">
        <w:rPr>
          <w:lang w:val="en-CA"/>
        </w:rPr>
        <w:t>Network Optimization</w:t>
      </w:r>
    </w:p>
    <w:p w14:paraId="1762B099" w14:textId="77777777" w:rsidR="00E867DA" w:rsidRPr="005945EC" w:rsidRDefault="00E867DA" w:rsidP="00E867DA">
      <w:pPr>
        <w:pStyle w:val="BodyTextMain"/>
        <w:rPr>
          <w:lang w:val="en-CA"/>
        </w:rPr>
      </w:pPr>
    </w:p>
    <w:p w14:paraId="253F3A1A" w14:textId="782E423B" w:rsidR="00E867DA" w:rsidRPr="005945EC" w:rsidRDefault="00E867DA" w:rsidP="00DB369D">
      <w:pPr>
        <w:pStyle w:val="BodyTextMain"/>
        <w:rPr>
          <w:lang w:val="en-CA"/>
        </w:rPr>
      </w:pPr>
      <w:r w:rsidRPr="005945EC">
        <w:rPr>
          <w:lang w:val="en-CA"/>
        </w:rPr>
        <w:t>Star</w:t>
      </w:r>
      <w:r w:rsidR="002B0935" w:rsidRPr="005945EC">
        <w:rPr>
          <w:lang w:val="en-CA"/>
        </w:rPr>
        <w:t xml:space="preserve"> Alliance</w:t>
      </w:r>
      <w:r w:rsidRPr="005945EC">
        <w:rPr>
          <w:lang w:val="en-CA"/>
        </w:rPr>
        <w:t xml:space="preserve"> </w:t>
      </w:r>
      <w:r w:rsidR="002B0935" w:rsidRPr="005945EC">
        <w:rPr>
          <w:lang w:val="en-CA"/>
        </w:rPr>
        <w:t>offered</w:t>
      </w:r>
      <w:r w:rsidRPr="005945EC">
        <w:rPr>
          <w:lang w:val="en-CA"/>
        </w:rPr>
        <w:t xml:space="preserve"> its member airlines an extended hub</w:t>
      </w:r>
      <w:r w:rsidR="002B0935" w:rsidRPr="005945EC">
        <w:rPr>
          <w:lang w:val="en-CA"/>
        </w:rPr>
        <w:t>-</w:t>
      </w:r>
      <w:r w:rsidRPr="005945EC">
        <w:rPr>
          <w:lang w:val="en-CA"/>
        </w:rPr>
        <w:t>and</w:t>
      </w:r>
      <w:r w:rsidR="002B0935" w:rsidRPr="005945EC">
        <w:rPr>
          <w:lang w:val="en-CA"/>
        </w:rPr>
        <w:t>-</w:t>
      </w:r>
      <w:r w:rsidRPr="005945EC">
        <w:rPr>
          <w:lang w:val="en-CA"/>
        </w:rPr>
        <w:t>spoke system</w:t>
      </w:r>
      <w:r w:rsidR="002B0935" w:rsidRPr="005945EC">
        <w:rPr>
          <w:lang w:val="en-CA"/>
        </w:rPr>
        <w:t>, which was considered a key competitive advantage</w:t>
      </w:r>
      <w:r w:rsidRPr="005945EC">
        <w:rPr>
          <w:lang w:val="en-CA"/>
        </w:rPr>
        <w:t>. The hub</w:t>
      </w:r>
      <w:r w:rsidR="00C826CB" w:rsidRPr="005945EC">
        <w:rPr>
          <w:lang w:val="en-CA"/>
        </w:rPr>
        <w:t>-</w:t>
      </w:r>
      <w:r w:rsidRPr="005945EC">
        <w:rPr>
          <w:lang w:val="en-CA"/>
        </w:rPr>
        <w:t>and</w:t>
      </w:r>
      <w:r w:rsidR="00C826CB" w:rsidRPr="005945EC">
        <w:rPr>
          <w:lang w:val="en-CA"/>
        </w:rPr>
        <w:t>-</w:t>
      </w:r>
      <w:r w:rsidRPr="005945EC">
        <w:rPr>
          <w:lang w:val="en-CA"/>
        </w:rPr>
        <w:t>spoke system first became popular in domestic air travel in the United States after deregulation of the route structure. In this system, the main airports in the country served as hubs</w:t>
      </w:r>
      <w:r w:rsidR="002B0935" w:rsidRPr="005945EC">
        <w:rPr>
          <w:lang w:val="en-CA"/>
        </w:rPr>
        <w:t>,</w:t>
      </w:r>
      <w:r w:rsidRPr="005945EC">
        <w:rPr>
          <w:lang w:val="en-CA"/>
        </w:rPr>
        <w:t xml:space="preserve"> through which passengers were channe</w:t>
      </w:r>
      <w:r w:rsidR="002B0935" w:rsidRPr="005945EC">
        <w:rPr>
          <w:lang w:val="en-CA"/>
        </w:rPr>
        <w:t>l</w:t>
      </w:r>
      <w:r w:rsidRPr="005945EC">
        <w:rPr>
          <w:lang w:val="en-CA"/>
        </w:rPr>
        <w:t>led to and from various spoke</w:t>
      </w:r>
      <w:r w:rsidR="002B0935" w:rsidRPr="005945EC">
        <w:rPr>
          <w:lang w:val="en-CA"/>
        </w:rPr>
        <w:t xml:space="preserve"> airport</w:t>
      </w:r>
      <w:r w:rsidRPr="005945EC">
        <w:rPr>
          <w:lang w:val="en-CA"/>
        </w:rPr>
        <w:t>s that connected the hub to the ultimate destinations.</w:t>
      </w:r>
      <w:r w:rsidRPr="005945EC">
        <w:rPr>
          <w:rStyle w:val="EndnoteReference"/>
          <w:lang w:val="en-CA"/>
        </w:rPr>
        <w:endnoteReference w:id="10"/>
      </w:r>
      <w:r w:rsidR="002B0935" w:rsidRPr="005945EC">
        <w:rPr>
          <w:lang w:val="en-CA"/>
        </w:rPr>
        <w:t xml:space="preserve"> F</w:t>
      </w:r>
      <w:r w:rsidRPr="005945EC">
        <w:rPr>
          <w:lang w:val="en-CA"/>
        </w:rPr>
        <w:t xml:space="preserve">or example, </w:t>
      </w:r>
      <w:r w:rsidR="002B0935" w:rsidRPr="005945EC">
        <w:rPr>
          <w:lang w:val="en-CA"/>
        </w:rPr>
        <w:t xml:space="preserve">Star Alliance made it possible for </w:t>
      </w:r>
      <w:r w:rsidRPr="005945EC">
        <w:rPr>
          <w:lang w:val="en-CA"/>
        </w:rPr>
        <w:t xml:space="preserve">United passengers </w:t>
      </w:r>
      <w:r w:rsidR="00AE5A5B" w:rsidRPr="005945EC">
        <w:rPr>
          <w:lang w:val="en-CA"/>
        </w:rPr>
        <w:t>to travel</w:t>
      </w:r>
      <w:r w:rsidRPr="005945EC">
        <w:rPr>
          <w:lang w:val="en-CA"/>
        </w:rPr>
        <w:t xml:space="preserve"> to Munich, Hamburg, Frankfurt</w:t>
      </w:r>
      <w:r w:rsidR="00AE5A5B" w:rsidRPr="005945EC">
        <w:rPr>
          <w:lang w:val="en-CA"/>
        </w:rPr>
        <w:t>,</w:t>
      </w:r>
      <w:r w:rsidRPr="005945EC">
        <w:rPr>
          <w:lang w:val="en-CA"/>
        </w:rPr>
        <w:t xml:space="preserve"> and other German cities </w:t>
      </w:r>
      <w:r w:rsidR="00AE5A5B" w:rsidRPr="005945EC">
        <w:rPr>
          <w:lang w:val="en-CA"/>
        </w:rPr>
        <w:t>through</w:t>
      </w:r>
      <w:r w:rsidRPr="005945EC">
        <w:rPr>
          <w:lang w:val="en-CA"/>
        </w:rPr>
        <w:t xml:space="preserve"> the Dusseldorf hub. Similarly, </w:t>
      </w:r>
      <w:r w:rsidR="00AE5A5B" w:rsidRPr="005945EC">
        <w:rPr>
          <w:lang w:val="en-CA"/>
        </w:rPr>
        <w:t xml:space="preserve">because </w:t>
      </w:r>
      <w:r w:rsidRPr="005945EC">
        <w:rPr>
          <w:lang w:val="en-CA"/>
        </w:rPr>
        <w:t>Lufthansa did not fly to Denver, New Orleans, Honolulu, or Seattle</w:t>
      </w:r>
      <w:r w:rsidR="00AE5A5B" w:rsidRPr="005945EC">
        <w:rPr>
          <w:lang w:val="en-CA"/>
        </w:rPr>
        <w:t xml:space="preserve"> </w:t>
      </w:r>
      <w:r w:rsidR="00C826CB" w:rsidRPr="005945EC">
        <w:rPr>
          <w:lang w:val="en-CA"/>
        </w:rPr>
        <w:t xml:space="preserve">in the United States </w:t>
      </w:r>
      <w:r w:rsidR="00AE5A5B" w:rsidRPr="005945EC">
        <w:rPr>
          <w:lang w:val="en-CA"/>
        </w:rPr>
        <w:t>from Frankfurt</w:t>
      </w:r>
      <w:r w:rsidRPr="005945EC">
        <w:rPr>
          <w:lang w:val="en-CA"/>
        </w:rPr>
        <w:t xml:space="preserve">, </w:t>
      </w:r>
      <w:r w:rsidR="00C826CB" w:rsidRPr="005945EC">
        <w:rPr>
          <w:lang w:val="en-CA"/>
        </w:rPr>
        <w:t xml:space="preserve">Germany, </w:t>
      </w:r>
      <w:r w:rsidRPr="005945EC">
        <w:rPr>
          <w:lang w:val="en-CA"/>
        </w:rPr>
        <w:t xml:space="preserve">its passengers </w:t>
      </w:r>
      <w:r w:rsidR="00AE5A5B" w:rsidRPr="005945EC">
        <w:rPr>
          <w:lang w:val="en-CA"/>
        </w:rPr>
        <w:t xml:space="preserve">could fly </w:t>
      </w:r>
      <w:r w:rsidRPr="005945EC">
        <w:rPr>
          <w:lang w:val="en-CA"/>
        </w:rPr>
        <w:t xml:space="preserve">to Chicago and United </w:t>
      </w:r>
      <w:r w:rsidR="00AE5A5B" w:rsidRPr="005945EC">
        <w:rPr>
          <w:lang w:val="en-CA"/>
        </w:rPr>
        <w:t>w</w:t>
      </w:r>
      <w:r w:rsidRPr="005945EC">
        <w:rPr>
          <w:lang w:val="en-CA"/>
        </w:rPr>
        <w:t xml:space="preserve">ould then take them to their ultimate </w:t>
      </w:r>
      <w:r w:rsidR="00C826CB" w:rsidRPr="005945EC">
        <w:rPr>
          <w:lang w:val="en-CA"/>
        </w:rPr>
        <w:t xml:space="preserve">US </w:t>
      </w:r>
      <w:r w:rsidRPr="005945EC">
        <w:rPr>
          <w:lang w:val="en-CA"/>
        </w:rPr>
        <w:t>destinations. For a given route</w:t>
      </w:r>
      <w:r w:rsidR="00AE5A5B" w:rsidRPr="005945EC">
        <w:rPr>
          <w:lang w:val="en-CA"/>
        </w:rPr>
        <w:t xml:space="preserve"> (e.g.,</w:t>
      </w:r>
      <w:r w:rsidRPr="005945EC">
        <w:rPr>
          <w:lang w:val="en-CA"/>
        </w:rPr>
        <w:t xml:space="preserve"> </w:t>
      </w:r>
      <w:r w:rsidR="00AE5A5B" w:rsidRPr="005945EC">
        <w:rPr>
          <w:lang w:val="en-CA"/>
        </w:rPr>
        <w:t>New York</w:t>
      </w:r>
      <w:r w:rsidR="00C826CB" w:rsidRPr="005945EC">
        <w:rPr>
          <w:lang w:val="en-CA"/>
        </w:rPr>
        <w:t>, United States</w:t>
      </w:r>
      <w:r w:rsidR="00AE5A5B" w:rsidRPr="005945EC">
        <w:rPr>
          <w:lang w:val="en-CA"/>
        </w:rPr>
        <w:t xml:space="preserve"> to </w:t>
      </w:r>
      <w:r w:rsidRPr="005945EC">
        <w:rPr>
          <w:lang w:val="en-CA"/>
        </w:rPr>
        <w:t>Frankfurt</w:t>
      </w:r>
      <w:r w:rsidR="00C826CB" w:rsidRPr="005945EC">
        <w:rPr>
          <w:lang w:val="en-CA"/>
        </w:rPr>
        <w:t>, Germany</w:t>
      </w:r>
      <w:r w:rsidR="00AE5A5B" w:rsidRPr="005945EC">
        <w:rPr>
          <w:lang w:val="en-CA"/>
        </w:rPr>
        <w:t>)</w:t>
      </w:r>
      <w:r w:rsidRPr="005945EC">
        <w:rPr>
          <w:lang w:val="en-CA"/>
        </w:rPr>
        <w:t xml:space="preserve">, </w:t>
      </w:r>
      <w:r w:rsidR="00AE5A5B" w:rsidRPr="005945EC">
        <w:rPr>
          <w:lang w:val="en-CA"/>
        </w:rPr>
        <w:t>one</w:t>
      </w:r>
      <w:r w:rsidRPr="005945EC">
        <w:rPr>
          <w:lang w:val="en-CA"/>
        </w:rPr>
        <w:t xml:space="preserve"> partner would bring passengers to </w:t>
      </w:r>
      <w:r w:rsidR="00AE5A5B" w:rsidRPr="005945EC">
        <w:rPr>
          <w:lang w:val="en-CA"/>
        </w:rPr>
        <w:t>a</w:t>
      </w:r>
      <w:r w:rsidRPr="005945EC">
        <w:rPr>
          <w:lang w:val="en-CA"/>
        </w:rPr>
        <w:t xml:space="preserve"> hub</w:t>
      </w:r>
      <w:r w:rsidR="00AE5A5B" w:rsidRPr="005945EC">
        <w:rPr>
          <w:lang w:val="en-CA"/>
        </w:rPr>
        <w:t xml:space="preserve"> airport</w:t>
      </w:r>
      <w:r w:rsidRPr="005945EC">
        <w:rPr>
          <w:lang w:val="en-CA"/>
        </w:rPr>
        <w:t xml:space="preserve"> from </w:t>
      </w:r>
      <w:r w:rsidR="00AE5A5B" w:rsidRPr="005945EC">
        <w:rPr>
          <w:lang w:val="en-CA"/>
        </w:rPr>
        <w:t xml:space="preserve">spoke </w:t>
      </w:r>
      <w:r w:rsidRPr="005945EC">
        <w:rPr>
          <w:lang w:val="en-CA"/>
        </w:rPr>
        <w:t xml:space="preserve">locations and </w:t>
      </w:r>
      <w:r w:rsidR="00AE5A5B" w:rsidRPr="005945EC">
        <w:rPr>
          <w:lang w:val="en-CA"/>
        </w:rPr>
        <w:t>take them</w:t>
      </w:r>
      <w:r w:rsidRPr="005945EC">
        <w:rPr>
          <w:lang w:val="en-CA"/>
        </w:rPr>
        <w:t xml:space="preserve"> to destinations beyond</w:t>
      </w:r>
      <w:r w:rsidR="00AE5A5B" w:rsidRPr="005945EC">
        <w:rPr>
          <w:lang w:val="en-CA"/>
        </w:rPr>
        <w:t xml:space="preserve"> a</w:t>
      </w:r>
      <w:r w:rsidRPr="005945EC">
        <w:rPr>
          <w:lang w:val="en-CA"/>
        </w:rPr>
        <w:t xml:space="preserve"> partner’s hub </w:t>
      </w:r>
      <w:r w:rsidR="00AE5A5B" w:rsidRPr="005945EC">
        <w:rPr>
          <w:lang w:val="en-CA"/>
        </w:rPr>
        <w:t xml:space="preserve">airport </w:t>
      </w:r>
      <w:r w:rsidRPr="005945EC">
        <w:rPr>
          <w:lang w:val="en-CA"/>
        </w:rPr>
        <w:t xml:space="preserve">on the other side of the route. </w:t>
      </w:r>
      <w:r w:rsidR="00AE5A5B" w:rsidRPr="005945EC">
        <w:rPr>
          <w:lang w:val="en-CA"/>
        </w:rPr>
        <w:t>This service, which was referred to as</w:t>
      </w:r>
      <w:r w:rsidRPr="005945EC">
        <w:rPr>
          <w:lang w:val="en-CA"/>
        </w:rPr>
        <w:t xml:space="preserve"> using a bridge</w:t>
      </w:r>
      <w:r w:rsidR="00AE5A5B" w:rsidRPr="005945EC">
        <w:rPr>
          <w:lang w:val="en-CA"/>
        </w:rPr>
        <w:t>, was</w:t>
      </w:r>
      <w:r w:rsidRPr="005945EC">
        <w:rPr>
          <w:lang w:val="en-CA"/>
        </w:rPr>
        <w:t xml:space="preserve"> enabled by th</w:t>
      </w:r>
      <w:r w:rsidR="00AE5A5B" w:rsidRPr="005945EC">
        <w:rPr>
          <w:lang w:val="en-CA"/>
        </w:rPr>
        <w:t>e</w:t>
      </w:r>
      <w:r w:rsidRPr="005945EC">
        <w:rPr>
          <w:lang w:val="en-CA"/>
        </w:rPr>
        <w:t xml:space="preserve"> network structure</w:t>
      </w:r>
      <w:r w:rsidR="00AE5A5B" w:rsidRPr="005945EC">
        <w:rPr>
          <w:lang w:val="en-CA"/>
        </w:rPr>
        <w:t xml:space="preserve"> of such alliances</w:t>
      </w:r>
      <w:r w:rsidRPr="005945EC">
        <w:rPr>
          <w:lang w:val="en-CA"/>
        </w:rPr>
        <w:t xml:space="preserve"> (</w:t>
      </w:r>
      <w:r w:rsidR="00AE5A5B" w:rsidRPr="005945EC">
        <w:rPr>
          <w:lang w:val="en-CA"/>
        </w:rPr>
        <w:t>s</w:t>
      </w:r>
      <w:r w:rsidRPr="005945EC">
        <w:rPr>
          <w:lang w:val="en-CA"/>
        </w:rPr>
        <w:t xml:space="preserve">ee </w:t>
      </w:r>
      <w:r w:rsidRPr="005945EC">
        <w:rPr>
          <w:bCs/>
          <w:lang w:val="en-CA"/>
        </w:rPr>
        <w:t xml:space="preserve">Exhibit </w:t>
      </w:r>
      <w:r w:rsidR="00F470CF" w:rsidRPr="005945EC">
        <w:rPr>
          <w:bCs/>
          <w:lang w:val="en-CA"/>
        </w:rPr>
        <w:t>3</w:t>
      </w:r>
      <w:r w:rsidRPr="005945EC">
        <w:rPr>
          <w:lang w:val="en-CA"/>
        </w:rPr>
        <w:t>).</w:t>
      </w:r>
    </w:p>
    <w:p w14:paraId="05A4C8F9" w14:textId="77777777" w:rsidR="00E867DA" w:rsidRPr="005945EC" w:rsidRDefault="00E867DA" w:rsidP="00E867DA">
      <w:pPr>
        <w:pStyle w:val="BodyTextMain"/>
        <w:rPr>
          <w:lang w:val="en-CA"/>
        </w:rPr>
      </w:pPr>
    </w:p>
    <w:p w14:paraId="1DBE9D8D" w14:textId="06887B58" w:rsidR="00E867DA" w:rsidRPr="005945EC" w:rsidRDefault="0097553B" w:rsidP="00E867DA">
      <w:pPr>
        <w:pStyle w:val="BodyTextMain"/>
        <w:rPr>
          <w:lang w:val="en-CA"/>
        </w:rPr>
      </w:pPr>
      <w:r w:rsidRPr="005945EC">
        <w:rPr>
          <w:lang w:val="en-CA"/>
        </w:rPr>
        <w:t>I</w:t>
      </w:r>
      <w:r w:rsidR="00E867DA" w:rsidRPr="005945EC">
        <w:rPr>
          <w:lang w:val="en-CA"/>
        </w:rPr>
        <w:t>n 2016</w:t>
      </w:r>
      <w:r w:rsidRPr="005945EC">
        <w:rPr>
          <w:lang w:val="en-CA"/>
        </w:rPr>
        <w:t>,</w:t>
      </w:r>
      <w:r w:rsidR="00E867DA" w:rsidRPr="005945EC">
        <w:rPr>
          <w:lang w:val="en-CA"/>
        </w:rPr>
        <w:t xml:space="preserve"> Star Alliance introduced an additional co</w:t>
      </w:r>
      <w:r w:rsidRPr="005945EC">
        <w:rPr>
          <w:lang w:val="en-CA"/>
        </w:rPr>
        <w:t>-</w:t>
      </w:r>
      <w:r w:rsidR="00E867DA" w:rsidRPr="005945EC">
        <w:rPr>
          <w:lang w:val="en-CA"/>
        </w:rPr>
        <w:t xml:space="preserve">operative relationship called </w:t>
      </w:r>
      <w:r w:rsidR="00341E2E" w:rsidRPr="005945EC">
        <w:rPr>
          <w:lang w:val="en-CA"/>
        </w:rPr>
        <w:t>“c</w:t>
      </w:r>
      <w:r w:rsidR="00E867DA" w:rsidRPr="005945EC">
        <w:rPr>
          <w:lang w:val="en-CA"/>
        </w:rPr>
        <w:t xml:space="preserve">onnecting </w:t>
      </w:r>
      <w:r w:rsidR="00341E2E" w:rsidRPr="005945EC">
        <w:rPr>
          <w:lang w:val="en-CA"/>
        </w:rPr>
        <w:t>p</w:t>
      </w:r>
      <w:r w:rsidR="00E867DA" w:rsidRPr="005945EC">
        <w:rPr>
          <w:lang w:val="en-CA"/>
        </w:rPr>
        <w:t>artners</w:t>
      </w:r>
      <w:r w:rsidR="00341E2E" w:rsidRPr="005945EC">
        <w:rPr>
          <w:lang w:val="en-CA"/>
        </w:rPr>
        <w:t xml:space="preserve">” </w:t>
      </w:r>
      <w:proofErr w:type="gramStart"/>
      <w:r w:rsidR="00341E2E" w:rsidRPr="005945EC">
        <w:rPr>
          <w:lang w:val="en-CA"/>
        </w:rPr>
        <w:t>in an effort to</w:t>
      </w:r>
      <w:proofErr w:type="gramEnd"/>
      <w:r w:rsidR="00341E2E" w:rsidRPr="005945EC">
        <w:rPr>
          <w:lang w:val="en-CA"/>
        </w:rPr>
        <w:t xml:space="preserve"> augment its global network</w:t>
      </w:r>
      <w:r w:rsidR="00E867DA" w:rsidRPr="005945EC">
        <w:rPr>
          <w:lang w:val="en-CA"/>
        </w:rPr>
        <w:t>. Partner carriers would be able to connect to the Star Alliance network without becom</w:t>
      </w:r>
      <w:r w:rsidR="00341E2E" w:rsidRPr="005945EC">
        <w:rPr>
          <w:lang w:val="en-CA"/>
        </w:rPr>
        <w:t>ing</w:t>
      </w:r>
      <w:r w:rsidR="00E867DA" w:rsidRPr="005945EC">
        <w:rPr>
          <w:lang w:val="en-CA"/>
        </w:rPr>
        <w:t xml:space="preserve"> full </w:t>
      </w:r>
      <w:r w:rsidR="00341E2E" w:rsidRPr="005945EC">
        <w:rPr>
          <w:lang w:val="en-CA"/>
        </w:rPr>
        <w:t>a</w:t>
      </w:r>
      <w:r w:rsidR="00E867DA" w:rsidRPr="005945EC">
        <w:rPr>
          <w:lang w:val="en-CA"/>
        </w:rPr>
        <w:t>lliance</w:t>
      </w:r>
      <w:r w:rsidR="00341E2E" w:rsidRPr="005945EC">
        <w:rPr>
          <w:lang w:val="en-CA"/>
        </w:rPr>
        <w:t xml:space="preserve"> members</w:t>
      </w:r>
      <w:r w:rsidR="00E867DA" w:rsidRPr="005945EC">
        <w:rPr>
          <w:lang w:val="en-CA"/>
        </w:rPr>
        <w:t xml:space="preserve">. </w:t>
      </w:r>
      <w:r w:rsidR="00341E2E" w:rsidRPr="005945EC">
        <w:rPr>
          <w:lang w:val="en-CA"/>
        </w:rPr>
        <w:t>However, p</w:t>
      </w:r>
      <w:r w:rsidR="00E867DA" w:rsidRPr="005945EC">
        <w:rPr>
          <w:lang w:val="en-CA"/>
        </w:rPr>
        <w:t xml:space="preserve">assengers would be </w:t>
      </w:r>
      <w:r w:rsidR="00341E2E" w:rsidRPr="005945EC">
        <w:rPr>
          <w:lang w:val="en-CA"/>
        </w:rPr>
        <w:t>offered</w:t>
      </w:r>
      <w:r w:rsidR="00E867DA" w:rsidRPr="005945EC">
        <w:rPr>
          <w:lang w:val="en-CA"/>
        </w:rPr>
        <w:t xml:space="preserve"> connections </w:t>
      </w:r>
      <w:r w:rsidR="002B468D" w:rsidRPr="005945EC">
        <w:rPr>
          <w:lang w:val="en-CA"/>
        </w:rPr>
        <w:t xml:space="preserve">only </w:t>
      </w:r>
      <w:r w:rsidR="00E867DA" w:rsidRPr="005945EC">
        <w:rPr>
          <w:lang w:val="en-CA"/>
        </w:rPr>
        <w:t xml:space="preserve">to the flights of </w:t>
      </w:r>
      <w:r w:rsidR="00341E2E" w:rsidRPr="005945EC">
        <w:rPr>
          <w:lang w:val="en-CA"/>
        </w:rPr>
        <w:t>c</w:t>
      </w:r>
      <w:r w:rsidR="00E867DA" w:rsidRPr="005945EC">
        <w:rPr>
          <w:lang w:val="en-CA"/>
        </w:rPr>
        <w:t xml:space="preserve">onnecting </w:t>
      </w:r>
      <w:r w:rsidR="00341E2E" w:rsidRPr="005945EC">
        <w:rPr>
          <w:lang w:val="en-CA"/>
        </w:rPr>
        <w:t>p</w:t>
      </w:r>
      <w:r w:rsidR="00E867DA" w:rsidRPr="005945EC">
        <w:rPr>
          <w:lang w:val="en-CA"/>
        </w:rPr>
        <w:t xml:space="preserve">artners </w:t>
      </w:r>
      <w:r w:rsidR="00341E2E" w:rsidRPr="005945EC">
        <w:rPr>
          <w:lang w:val="en-CA"/>
        </w:rPr>
        <w:t>according to</w:t>
      </w:r>
      <w:r w:rsidR="00E867DA" w:rsidRPr="005945EC">
        <w:rPr>
          <w:lang w:val="en-CA"/>
        </w:rPr>
        <w:t xml:space="preserve"> certain status-based privileges. </w:t>
      </w:r>
      <w:proofErr w:type="spellStart"/>
      <w:r w:rsidR="00E867DA" w:rsidRPr="005945EC">
        <w:rPr>
          <w:lang w:val="en-CA"/>
        </w:rPr>
        <w:t>Juneyao</w:t>
      </w:r>
      <w:proofErr w:type="spellEnd"/>
      <w:r w:rsidR="00E867DA" w:rsidRPr="005945EC">
        <w:rPr>
          <w:lang w:val="en-CA"/>
        </w:rPr>
        <w:t xml:space="preserve"> Airlines was announced</w:t>
      </w:r>
      <w:r w:rsidR="00341E2E" w:rsidRPr="005945EC">
        <w:rPr>
          <w:lang w:val="en-CA"/>
        </w:rPr>
        <w:t xml:space="preserve"> as the first connecting partner</w:t>
      </w:r>
      <w:r w:rsidR="00E867DA" w:rsidRPr="005945EC">
        <w:rPr>
          <w:lang w:val="en-CA"/>
        </w:rPr>
        <w:t xml:space="preserve"> in October 2016.</w:t>
      </w:r>
      <w:r w:rsidR="00E867DA" w:rsidRPr="005945EC">
        <w:rPr>
          <w:rStyle w:val="EndnoteReference"/>
          <w:lang w:val="en-CA"/>
        </w:rPr>
        <w:endnoteReference w:id="11"/>
      </w:r>
    </w:p>
    <w:p w14:paraId="34AEDA54" w14:textId="77777777" w:rsidR="00E867DA" w:rsidRPr="005945EC" w:rsidRDefault="00E867DA" w:rsidP="00E867DA">
      <w:pPr>
        <w:pStyle w:val="BodyTextMain"/>
        <w:rPr>
          <w:lang w:val="en-CA"/>
        </w:rPr>
      </w:pPr>
    </w:p>
    <w:p w14:paraId="04EA4EFA" w14:textId="3CF09465" w:rsidR="00E867DA" w:rsidRPr="005945EC" w:rsidRDefault="00DA6B2E" w:rsidP="00E867DA">
      <w:pPr>
        <w:pStyle w:val="BodyTextMain"/>
        <w:rPr>
          <w:lang w:val="en-CA"/>
        </w:rPr>
      </w:pPr>
      <w:r w:rsidRPr="005945EC">
        <w:rPr>
          <w:lang w:val="en-CA"/>
        </w:rPr>
        <w:t>With</w:t>
      </w:r>
      <w:r w:rsidR="00E867DA" w:rsidRPr="005945EC">
        <w:rPr>
          <w:lang w:val="en-CA"/>
        </w:rPr>
        <w:t xml:space="preserve"> the hub-and-spoke system </w:t>
      </w:r>
      <w:r w:rsidRPr="005945EC">
        <w:rPr>
          <w:lang w:val="en-CA"/>
        </w:rPr>
        <w:t>becoming widespread,</w:t>
      </w:r>
      <w:r w:rsidR="00E867DA" w:rsidRPr="005945EC">
        <w:rPr>
          <w:lang w:val="en-CA"/>
        </w:rPr>
        <w:t xml:space="preserve"> most major airports be</w:t>
      </w:r>
      <w:r w:rsidRPr="005945EC">
        <w:rPr>
          <w:lang w:val="en-CA"/>
        </w:rPr>
        <w:t>came</w:t>
      </w:r>
      <w:r w:rsidR="00E867DA" w:rsidRPr="005945EC">
        <w:rPr>
          <w:lang w:val="en-CA"/>
        </w:rPr>
        <w:t xml:space="preserve"> dominated by a single large carrier. </w:t>
      </w:r>
      <w:r w:rsidRPr="005945EC">
        <w:rPr>
          <w:lang w:val="en-CA"/>
        </w:rPr>
        <w:t>L</w:t>
      </w:r>
      <w:r w:rsidR="00E867DA" w:rsidRPr="005945EC">
        <w:rPr>
          <w:lang w:val="en-CA"/>
        </w:rPr>
        <w:t>imited availability of landing slots, gates, and takeoff times</w:t>
      </w:r>
      <w:r w:rsidRPr="005945EC">
        <w:rPr>
          <w:lang w:val="en-CA"/>
        </w:rPr>
        <w:t xml:space="preserve"> made</w:t>
      </w:r>
      <w:r w:rsidR="00E867DA" w:rsidRPr="005945EC">
        <w:rPr>
          <w:lang w:val="en-CA"/>
        </w:rPr>
        <w:t xml:space="preserve"> it difficult for other carriers to serve new location</w:t>
      </w:r>
      <w:r w:rsidRPr="005945EC">
        <w:rPr>
          <w:lang w:val="en-CA"/>
        </w:rPr>
        <w:t>s</w:t>
      </w:r>
      <w:r w:rsidR="00E867DA" w:rsidRPr="005945EC">
        <w:rPr>
          <w:lang w:val="en-CA"/>
        </w:rPr>
        <w:t>. Th</w:t>
      </w:r>
      <w:r w:rsidRPr="005945EC">
        <w:rPr>
          <w:lang w:val="en-CA"/>
        </w:rPr>
        <w:t>is advantage, combined with</w:t>
      </w:r>
      <w:r w:rsidR="00E867DA" w:rsidRPr="005945EC">
        <w:rPr>
          <w:lang w:val="en-CA"/>
        </w:rPr>
        <w:t xml:space="preserve"> other benefits</w:t>
      </w:r>
      <w:r w:rsidRPr="005945EC">
        <w:rPr>
          <w:lang w:val="en-CA"/>
        </w:rPr>
        <w:t>,</w:t>
      </w:r>
      <w:r w:rsidR="00E867DA" w:rsidRPr="005945EC">
        <w:rPr>
          <w:lang w:val="en-CA"/>
        </w:rPr>
        <w:t xml:space="preserve"> resulted in </w:t>
      </w:r>
      <w:r w:rsidRPr="005945EC">
        <w:rPr>
          <w:lang w:val="en-CA"/>
        </w:rPr>
        <w:t>increased</w:t>
      </w:r>
      <w:r w:rsidR="00E867DA" w:rsidRPr="005945EC">
        <w:rPr>
          <w:lang w:val="en-CA"/>
        </w:rPr>
        <w:t xml:space="preserve"> revenues for </w:t>
      </w:r>
      <w:r w:rsidRPr="005945EC">
        <w:rPr>
          <w:lang w:val="en-CA"/>
        </w:rPr>
        <w:t xml:space="preserve">Star Alliance </w:t>
      </w:r>
      <w:r w:rsidR="00E867DA" w:rsidRPr="005945EC">
        <w:rPr>
          <w:lang w:val="en-CA"/>
        </w:rPr>
        <w:t>members.</w:t>
      </w:r>
      <w:r w:rsidRPr="005945EC">
        <w:rPr>
          <w:lang w:val="en-CA"/>
        </w:rPr>
        <w:t xml:space="preserve"> </w:t>
      </w:r>
      <w:r w:rsidR="00E867DA" w:rsidRPr="005945EC">
        <w:rPr>
          <w:lang w:val="en-CA"/>
        </w:rPr>
        <w:t xml:space="preserve">By 2019, </w:t>
      </w:r>
      <w:r w:rsidRPr="005945EC">
        <w:rPr>
          <w:lang w:val="en-CA"/>
        </w:rPr>
        <w:t>combined</w:t>
      </w:r>
      <w:r w:rsidR="00E867DA" w:rsidRPr="005945EC">
        <w:rPr>
          <w:lang w:val="en-CA"/>
        </w:rPr>
        <w:t xml:space="preserve"> Star Alliance member </w:t>
      </w:r>
      <w:r w:rsidRPr="005945EC">
        <w:rPr>
          <w:lang w:val="en-CA"/>
        </w:rPr>
        <w:t>revenues</w:t>
      </w:r>
      <w:r w:rsidR="00E867DA" w:rsidRPr="005945EC">
        <w:rPr>
          <w:lang w:val="en-CA"/>
        </w:rPr>
        <w:t xml:space="preserve"> reached over </w:t>
      </w:r>
      <w:r w:rsidR="002A7088" w:rsidRPr="005945EC">
        <w:rPr>
          <w:lang w:val="en-CA"/>
        </w:rPr>
        <w:t>US</w:t>
      </w:r>
      <w:r w:rsidR="00E867DA" w:rsidRPr="005945EC">
        <w:rPr>
          <w:lang w:val="en-CA"/>
        </w:rPr>
        <w:t>$200 billion</w:t>
      </w:r>
      <w:r w:rsidR="00246A77" w:rsidRPr="005945EC">
        <w:rPr>
          <w:rStyle w:val="EndnoteReference"/>
          <w:lang w:val="en-CA"/>
        </w:rPr>
        <w:endnoteReference w:id="12"/>
      </w:r>
      <w:r w:rsidR="00E867DA" w:rsidRPr="005945EC">
        <w:rPr>
          <w:lang w:val="en-CA"/>
        </w:rPr>
        <w:t xml:space="preserve"> (</w:t>
      </w:r>
      <w:r w:rsidRPr="005945EC">
        <w:rPr>
          <w:lang w:val="en-CA"/>
        </w:rPr>
        <w:t xml:space="preserve">see </w:t>
      </w:r>
      <w:r w:rsidR="00E867DA" w:rsidRPr="005945EC">
        <w:rPr>
          <w:bCs/>
          <w:lang w:val="en-CA"/>
        </w:rPr>
        <w:t xml:space="preserve">Exhibit </w:t>
      </w:r>
      <w:r w:rsidR="00F470CF" w:rsidRPr="005945EC">
        <w:rPr>
          <w:bCs/>
          <w:lang w:val="en-CA"/>
        </w:rPr>
        <w:t>4</w:t>
      </w:r>
      <w:r w:rsidR="00E867DA" w:rsidRPr="005945EC">
        <w:rPr>
          <w:bCs/>
          <w:lang w:val="en-CA"/>
        </w:rPr>
        <w:t>)</w:t>
      </w:r>
      <w:r w:rsidR="00E867DA" w:rsidRPr="005945EC">
        <w:rPr>
          <w:lang w:val="en-CA"/>
        </w:rPr>
        <w:t>.</w:t>
      </w:r>
      <w:r w:rsidR="00E867DA" w:rsidRPr="005945EC">
        <w:rPr>
          <w:vertAlign w:val="superscript"/>
          <w:lang w:val="en-CA"/>
        </w:rPr>
        <w:endnoteReference w:id="13"/>
      </w:r>
      <w:r w:rsidR="00E867DA" w:rsidRPr="005945EC">
        <w:rPr>
          <w:lang w:val="en-CA"/>
        </w:rPr>
        <w:t xml:space="preserve"> </w:t>
      </w:r>
      <w:r w:rsidR="002B468D" w:rsidRPr="005945EC">
        <w:rPr>
          <w:lang w:val="en-CA"/>
        </w:rPr>
        <w:t xml:space="preserve">The organization </w:t>
      </w:r>
      <w:r w:rsidR="00C53E2F" w:rsidRPr="005945EC">
        <w:rPr>
          <w:lang w:val="en-CA"/>
        </w:rPr>
        <w:t>also</w:t>
      </w:r>
      <w:r w:rsidR="00E867DA" w:rsidRPr="005945EC">
        <w:rPr>
          <w:lang w:val="en-CA"/>
        </w:rPr>
        <w:t xml:space="preserve"> had the largest membership list, the most seats, the highest revenues, and the fastest growth</w:t>
      </w:r>
      <w:r w:rsidR="00C53E2F" w:rsidRPr="005945EC">
        <w:rPr>
          <w:lang w:val="en-CA"/>
        </w:rPr>
        <w:t>, although</w:t>
      </w:r>
      <w:r w:rsidR="00E867DA" w:rsidRPr="005945EC">
        <w:rPr>
          <w:lang w:val="en-CA"/>
        </w:rPr>
        <w:t xml:space="preserve"> </w:t>
      </w:r>
      <w:r w:rsidR="00C53E2F" w:rsidRPr="005945EC">
        <w:rPr>
          <w:lang w:val="en-CA"/>
        </w:rPr>
        <w:t>other constellations were not far behind (see</w:t>
      </w:r>
      <w:r w:rsidR="00E867DA" w:rsidRPr="005945EC">
        <w:rPr>
          <w:lang w:val="en-CA"/>
        </w:rPr>
        <w:t xml:space="preserve"> Exhibit </w:t>
      </w:r>
      <w:r w:rsidR="00F470CF" w:rsidRPr="005945EC">
        <w:rPr>
          <w:lang w:val="en-CA"/>
        </w:rPr>
        <w:t>5</w:t>
      </w:r>
      <w:r w:rsidR="00E867DA" w:rsidRPr="005945EC">
        <w:rPr>
          <w:lang w:val="en-CA"/>
        </w:rPr>
        <w:t xml:space="preserve">). </w:t>
      </w:r>
      <w:r w:rsidR="00575CE1" w:rsidRPr="005945EC" w:rsidDel="00575CE1">
        <w:rPr>
          <w:highlight w:val="yellow"/>
          <w:vertAlign w:val="superscript"/>
          <w:lang w:val="en-CA"/>
        </w:rPr>
        <w:t xml:space="preserve"> </w:t>
      </w:r>
    </w:p>
    <w:p w14:paraId="2BE4773B" w14:textId="41DBC34F" w:rsidR="00E867DA" w:rsidRPr="005945EC" w:rsidRDefault="00E867DA" w:rsidP="00E867DA">
      <w:pPr>
        <w:pStyle w:val="BodyTextMain"/>
        <w:rPr>
          <w:lang w:val="en-CA"/>
        </w:rPr>
      </w:pPr>
    </w:p>
    <w:p w14:paraId="26E08AE9" w14:textId="77777777" w:rsidR="00E867DA" w:rsidRPr="005945EC" w:rsidRDefault="00E867DA" w:rsidP="00E867DA">
      <w:pPr>
        <w:pStyle w:val="BodyTextMain"/>
        <w:rPr>
          <w:lang w:val="en-CA"/>
        </w:rPr>
      </w:pPr>
    </w:p>
    <w:p w14:paraId="76BEE4ED" w14:textId="77777777" w:rsidR="00E867DA" w:rsidRPr="005945EC" w:rsidRDefault="00E867DA" w:rsidP="00E867DA">
      <w:pPr>
        <w:pStyle w:val="Casehead2"/>
        <w:rPr>
          <w:lang w:val="en-CA"/>
        </w:rPr>
      </w:pPr>
      <w:r w:rsidRPr="005945EC">
        <w:rPr>
          <w:lang w:val="en-CA"/>
        </w:rPr>
        <w:t>Joint Purchases</w:t>
      </w:r>
    </w:p>
    <w:p w14:paraId="146157C7" w14:textId="77777777" w:rsidR="00E867DA" w:rsidRPr="005945EC" w:rsidRDefault="00E867DA" w:rsidP="00E867DA">
      <w:pPr>
        <w:pStyle w:val="BodyTextMain"/>
        <w:rPr>
          <w:lang w:val="en-CA"/>
        </w:rPr>
      </w:pPr>
    </w:p>
    <w:p w14:paraId="7571348C" w14:textId="167D8435" w:rsidR="00E867DA" w:rsidRPr="005945EC" w:rsidRDefault="00E867DA" w:rsidP="00E867DA">
      <w:pPr>
        <w:pStyle w:val="BodyTextMain"/>
        <w:rPr>
          <w:lang w:val="en-CA"/>
        </w:rPr>
      </w:pPr>
      <w:r w:rsidRPr="005945EC">
        <w:rPr>
          <w:lang w:val="en-CA"/>
        </w:rPr>
        <w:t xml:space="preserve">Another objective of airline </w:t>
      </w:r>
      <w:proofErr w:type="gramStart"/>
      <w:r w:rsidRPr="005945EC">
        <w:rPr>
          <w:lang w:val="en-CA"/>
        </w:rPr>
        <w:t>alliances</w:t>
      </w:r>
      <w:proofErr w:type="gramEnd"/>
      <w:r w:rsidRPr="005945EC">
        <w:rPr>
          <w:lang w:val="en-CA"/>
        </w:rPr>
        <w:t xml:space="preserve"> was to combine purchases and increase </w:t>
      </w:r>
      <w:r w:rsidR="002C0BB9" w:rsidRPr="005945EC">
        <w:rPr>
          <w:lang w:val="en-CA"/>
        </w:rPr>
        <w:t xml:space="preserve">each member’s </w:t>
      </w:r>
      <w:r w:rsidRPr="005945EC">
        <w:rPr>
          <w:lang w:val="en-CA"/>
        </w:rPr>
        <w:t>buyer power</w:t>
      </w:r>
      <w:r w:rsidR="002C0BB9" w:rsidRPr="005945EC">
        <w:rPr>
          <w:lang w:val="en-CA"/>
        </w:rPr>
        <w:t xml:space="preserve">, as the chief executive officer </w:t>
      </w:r>
      <w:r w:rsidR="002B468D" w:rsidRPr="005945EC">
        <w:rPr>
          <w:lang w:val="en-CA"/>
        </w:rPr>
        <w:t xml:space="preserve">(CEO) </w:t>
      </w:r>
      <w:r w:rsidR="002C0BB9" w:rsidRPr="005945EC">
        <w:rPr>
          <w:lang w:val="en-CA"/>
        </w:rPr>
        <w:t>of</w:t>
      </w:r>
      <w:r w:rsidRPr="005945EC">
        <w:rPr>
          <w:lang w:val="en-CA"/>
        </w:rPr>
        <w:t xml:space="preserve"> United</w:t>
      </w:r>
      <w:r w:rsidR="002C0BB9" w:rsidRPr="005945EC">
        <w:rPr>
          <w:lang w:val="en-CA"/>
        </w:rPr>
        <w:t xml:space="preserve"> noted</w:t>
      </w:r>
      <w:r w:rsidRPr="005945EC">
        <w:rPr>
          <w:lang w:val="en-CA"/>
        </w:rPr>
        <w:t>: “About one-third of United’s costs involve people. But the other two-thirds represent enormous opportunities for working together, for buying, purchasing</w:t>
      </w:r>
      <w:r w:rsidR="002B468D" w:rsidRPr="005945EC">
        <w:rPr>
          <w:lang w:val="en-CA"/>
        </w:rPr>
        <w:t>,</w:t>
      </w:r>
      <w:r w:rsidRPr="005945EC">
        <w:rPr>
          <w:lang w:val="en-CA"/>
        </w:rPr>
        <w:t xml:space="preserve"> and co-operating among the group.”</w:t>
      </w:r>
      <w:r w:rsidRPr="005945EC">
        <w:rPr>
          <w:vertAlign w:val="superscript"/>
          <w:lang w:val="en-CA"/>
        </w:rPr>
        <w:endnoteReference w:id="14"/>
      </w:r>
      <w:r w:rsidRPr="005945EC">
        <w:rPr>
          <w:lang w:val="en-CA"/>
        </w:rPr>
        <w:t xml:space="preserve"> </w:t>
      </w:r>
      <w:r w:rsidR="002C0BB9" w:rsidRPr="005945EC">
        <w:rPr>
          <w:lang w:val="en-CA"/>
        </w:rPr>
        <w:t>P</w:t>
      </w:r>
      <w:r w:rsidRPr="005945EC">
        <w:rPr>
          <w:lang w:val="en-CA"/>
        </w:rPr>
        <w:t xml:space="preserve">otential economies of scale </w:t>
      </w:r>
      <w:r w:rsidR="002C0BB9" w:rsidRPr="005945EC">
        <w:rPr>
          <w:lang w:val="en-CA"/>
        </w:rPr>
        <w:t xml:space="preserve">were </w:t>
      </w:r>
      <w:r w:rsidRPr="005945EC">
        <w:rPr>
          <w:lang w:val="en-CA"/>
        </w:rPr>
        <w:t xml:space="preserve">available </w:t>
      </w:r>
      <w:r w:rsidR="002C0BB9" w:rsidRPr="005945EC">
        <w:rPr>
          <w:lang w:val="en-CA"/>
        </w:rPr>
        <w:t xml:space="preserve">to members </w:t>
      </w:r>
      <w:r w:rsidRPr="005945EC">
        <w:rPr>
          <w:lang w:val="en-CA"/>
        </w:rPr>
        <w:t xml:space="preserve">through joint purchasing in </w:t>
      </w:r>
      <w:r w:rsidR="002C0BB9" w:rsidRPr="005945EC">
        <w:rPr>
          <w:lang w:val="en-CA"/>
        </w:rPr>
        <w:t>several</w:t>
      </w:r>
      <w:r w:rsidRPr="005945EC">
        <w:rPr>
          <w:lang w:val="en-CA"/>
        </w:rPr>
        <w:t xml:space="preserve"> areas. </w:t>
      </w:r>
      <w:r w:rsidR="00246A77" w:rsidRPr="005945EC">
        <w:rPr>
          <w:lang w:val="en-CA"/>
        </w:rPr>
        <w:t xml:space="preserve">The annual combined amount of </w:t>
      </w:r>
      <w:r w:rsidRPr="005945EC">
        <w:rPr>
          <w:lang w:val="en-CA"/>
        </w:rPr>
        <w:t xml:space="preserve">Star </w:t>
      </w:r>
      <w:r w:rsidR="00246A77" w:rsidRPr="005945EC">
        <w:rPr>
          <w:lang w:val="en-CA"/>
        </w:rPr>
        <w:t>Alliance member</w:t>
      </w:r>
      <w:r w:rsidRPr="005945EC">
        <w:rPr>
          <w:lang w:val="en-CA"/>
        </w:rPr>
        <w:t xml:space="preserve"> purchase</w:t>
      </w:r>
      <w:r w:rsidR="00246A77" w:rsidRPr="005945EC">
        <w:rPr>
          <w:lang w:val="en-CA"/>
        </w:rPr>
        <w:t>s</w:t>
      </w:r>
      <w:r w:rsidRPr="005945EC">
        <w:rPr>
          <w:lang w:val="en-CA"/>
        </w:rPr>
        <w:t xml:space="preserve"> of goods and services</w:t>
      </w:r>
      <w:r w:rsidR="00246A77" w:rsidRPr="005945EC">
        <w:rPr>
          <w:lang w:val="en-CA"/>
        </w:rPr>
        <w:t xml:space="preserve"> was</w:t>
      </w:r>
      <w:r w:rsidRPr="005945EC">
        <w:rPr>
          <w:lang w:val="en-CA"/>
        </w:rPr>
        <w:t xml:space="preserve"> approximately $15 billion</w:t>
      </w:r>
      <w:r w:rsidR="00246A77" w:rsidRPr="005945EC">
        <w:rPr>
          <w:lang w:val="en-CA"/>
        </w:rPr>
        <w:t>. T</w:t>
      </w:r>
      <w:r w:rsidRPr="005945EC">
        <w:rPr>
          <w:lang w:val="en-CA"/>
        </w:rPr>
        <w:t>his</w:t>
      </w:r>
      <w:r w:rsidR="00246A77" w:rsidRPr="005945EC">
        <w:rPr>
          <w:lang w:val="en-CA"/>
        </w:rPr>
        <w:t xml:space="preserve"> amount</w:t>
      </w:r>
      <w:r w:rsidRPr="005945EC">
        <w:rPr>
          <w:lang w:val="en-CA"/>
        </w:rPr>
        <w:t xml:space="preserve"> included expenses </w:t>
      </w:r>
      <w:r w:rsidR="00246A77" w:rsidRPr="005945EC">
        <w:rPr>
          <w:lang w:val="en-CA"/>
        </w:rPr>
        <w:t>for</w:t>
      </w:r>
      <w:r w:rsidRPr="005945EC">
        <w:rPr>
          <w:lang w:val="en-CA"/>
        </w:rPr>
        <w:t xml:space="preserve"> office equipment, fuel, catering, and maintenance</w:t>
      </w:r>
      <w:r w:rsidR="00246A77" w:rsidRPr="005945EC">
        <w:rPr>
          <w:lang w:val="en-CA"/>
        </w:rPr>
        <w:t>, but excluded aircraft purchases</w:t>
      </w:r>
      <w:r w:rsidRPr="005945EC">
        <w:rPr>
          <w:lang w:val="en-CA"/>
        </w:rPr>
        <w:t>.</w:t>
      </w:r>
      <w:r w:rsidR="00246A77" w:rsidRPr="005945EC">
        <w:rPr>
          <w:rStyle w:val="EndnoteReference"/>
          <w:lang w:val="en-CA"/>
        </w:rPr>
        <w:endnoteReference w:id="15"/>
      </w:r>
    </w:p>
    <w:p w14:paraId="12F9D519" w14:textId="77777777" w:rsidR="00E867DA" w:rsidRPr="005945EC" w:rsidRDefault="00E867DA" w:rsidP="00E867DA">
      <w:pPr>
        <w:pStyle w:val="BodyTextMain"/>
        <w:rPr>
          <w:lang w:val="en-CA"/>
        </w:rPr>
      </w:pPr>
    </w:p>
    <w:p w14:paraId="1570EBD6" w14:textId="454AB5DB" w:rsidR="00E867DA" w:rsidRPr="005945EC" w:rsidRDefault="00E867DA" w:rsidP="00E867DA">
      <w:pPr>
        <w:pStyle w:val="BodyTextMain"/>
        <w:rPr>
          <w:lang w:val="en-CA"/>
        </w:rPr>
      </w:pPr>
      <w:r w:rsidRPr="005945EC">
        <w:rPr>
          <w:lang w:val="en-CA"/>
        </w:rPr>
        <w:t xml:space="preserve">In 1998, United </w:t>
      </w:r>
      <w:r w:rsidR="00D47792" w:rsidRPr="005945EC">
        <w:rPr>
          <w:lang w:val="en-CA"/>
        </w:rPr>
        <w:t>claimed to have</w:t>
      </w:r>
      <w:r w:rsidRPr="005945EC">
        <w:rPr>
          <w:lang w:val="en-CA"/>
        </w:rPr>
        <w:t xml:space="preserve"> saved $20 million </w:t>
      </w:r>
      <w:r w:rsidR="00D47792" w:rsidRPr="005945EC">
        <w:rPr>
          <w:lang w:val="en-CA"/>
        </w:rPr>
        <w:t>due</w:t>
      </w:r>
      <w:r w:rsidRPr="005945EC">
        <w:rPr>
          <w:lang w:val="en-CA"/>
        </w:rPr>
        <w:t xml:space="preserve"> to </w:t>
      </w:r>
      <w:r w:rsidR="00D47792" w:rsidRPr="005945EC">
        <w:rPr>
          <w:lang w:val="en-CA"/>
        </w:rPr>
        <w:t>a</w:t>
      </w:r>
      <w:r w:rsidRPr="005945EC">
        <w:rPr>
          <w:lang w:val="en-CA"/>
        </w:rPr>
        <w:t xml:space="preserve"> total $1.5 billion </w:t>
      </w:r>
      <w:r w:rsidR="00D47792" w:rsidRPr="005945EC">
        <w:rPr>
          <w:lang w:val="en-CA"/>
        </w:rPr>
        <w:t>in combined</w:t>
      </w:r>
      <w:r w:rsidRPr="005945EC">
        <w:rPr>
          <w:lang w:val="en-CA"/>
        </w:rPr>
        <w:t xml:space="preserve"> purchased services. </w:t>
      </w:r>
      <w:r w:rsidR="00D47792" w:rsidRPr="005945EC">
        <w:rPr>
          <w:lang w:val="en-CA"/>
        </w:rPr>
        <w:t>In 201</w:t>
      </w:r>
      <w:r w:rsidR="00057E86" w:rsidRPr="005945EC">
        <w:rPr>
          <w:lang w:val="en-CA"/>
        </w:rPr>
        <w:t>4</w:t>
      </w:r>
      <w:r w:rsidRPr="005945EC">
        <w:rPr>
          <w:lang w:val="en-CA"/>
        </w:rPr>
        <w:t xml:space="preserve">, all Star </w:t>
      </w:r>
      <w:r w:rsidR="00D47792" w:rsidRPr="005945EC">
        <w:rPr>
          <w:lang w:val="en-CA"/>
        </w:rPr>
        <w:t xml:space="preserve">Alliance </w:t>
      </w:r>
      <w:r w:rsidRPr="005945EC">
        <w:rPr>
          <w:lang w:val="en-CA"/>
        </w:rPr>
        <w:t>carriers serving London</w:t>
      </w:r>
      <w:r w:rsidR="00C826CB" w:rsidRPr="005945EC">
        <w:rPr>
          <w:lang w:val="en-CA"/>
        </w:rPr>
        <w:t>’s</w:t>
      </w:r>
      <w:r w:rsidRPr="005945EC">
        <w:rPr>
          <w:lang w:val="en-CA"/>
        </w:rPr>
        <w:t xml:space="preserve"> Heathrow</w:t>
      </w:r>
      <w:r w:rsidR="00C826CB" w:rsidRPr="005945EC">
        <w:rPr>
          <w:lang w:val="en-CA"/>
        </w:rPr>
        <w:t xml:space="preserve"> Airport</w:t>
      </w:r>
      <w:r w:rsidRPr="005945EC">
        <w:rPr>
          <w:lang w:val="en-CA"/>
        </w:rPr>
        <w:t xml:space="preserve"> migrated into </w:t>
      </w:r>
      <w:r w:rsidR="00057E86" w:rsidRPr="005945EC">
        <w:rPr>
          <w:lang w:val="en-CA"/>
        </w:rPr>
        <w:t xml:space="preserve">the new </w:t>
      </w:r>
      <w:r w:rsidRPr="005945EC">
        <w:rPr>
          <w:lang w:val="en-CA"/>
        </w:rPr>
        <w:lastRenderedPageBreak/>
        <w:t>Terminal 2, which allowed them to share many common ground costs. S</w:t>
      </w:r>
      <w:r w:rsidR="00D47792" w:rsidRPr="005945EC">
        <w:rPr>
          <w:lang w:val="en-CA"/>
        </w:rPr>
        <w:t>imilar</w:t>
      </w:r>
      <w:r w:rsidRPr="005945EC">
        <w:rPr>
          <w:lang w:val="en-CA"/>
        </w:rPr>
        <w:t xml:space="preserve"> initiatives</w:t>
      </w:r>
      <w:r w:rsidR="00D47792" w:rsidRPr="005945EC">
        <w:rPr>
          <w:lang w:val="en-CA"/>
        </w:rPr>
        <w:t xml:space="preserve"> of alliance members sharing locations and resources</w:t>
      </w:r>
      <w:r w:rsidRPr="005945EC">
        <w:rPr>
          <w:lang w:val="en-CA"/>
        </w:rPr>
        <w:t xml:space="preserve"> </w:t>
      </w:r>
      <w:r w:rsidR="00D47792" w:rsidRPr="005945EC">
        <w:rPr>
          <w:lang w:val="en-CA"/>
        </w:rPr>
        <w:t xml:space="preserve">also </w:t>
      </w:r>
      <w:r w:rsidRPr="005945EC">
        <w:rPr>
          <w:lang w:val="en-CA"/>
        </w:rPr>
        <w:t xml:space="preserve">led to savings and improved passenger service in </w:t>
      </w:r>
      <w:r w:rsidR="00D47792" w:rsidRPr="005945EC">
        <w:rPr>
          <w:lang w:val="en-CA"/>
        </w:rPr>
        <w:t xml:space="preserve">various </w:t>
      </w:r>
      <w:r w:rsidRPr="005945EC">
        <w:rPr>
          <w:lang w:val="en-CA"/>
        </w:rPr>
        <w:t>other international hubs.</w:t>
      </w:r>
      <w:r w:rsidRPr="005945EC">
        <w:rPr>
          <w:rStyle w:val="EndnoteReference"/>
          <w:lang w:val="en-CA"/>
        </w:rPr>
        <w:endnoteReference w:id="16"/>
      </w:r>
      <w:r w:rsidRPr="005945EC">
        <w:rPr>
          <w:lang w:val="en-CA"/>
        </w:rPr>
        <w:t xml:space="preserve"> </w:t>
      </w:r>
    </w:p>
    <w:p w14:paraId="28143CB9" w14:textId="77777777" w:rsidR="00E867DA" w:rsidRPr="005945EC" w:rsidRDefault="00E867DA" w:rsidP="00E867DA">
      <w:pPr>
        <w:pStyle w:val="BodyTextMain"/>
        <w:rPr>
          <w:i/>
          <w:lang w:val="en-CA"/>
        </w:rPr>
      </w:pPr>
    </w:p>
    <w:p w14:paraId="2B6A3FBA" w14:textId="77777777" w:rsidR="00E867DA" w:rsidRPr="005945EC" w:rsidRDefault="00E867DA" w:rsidP="00E867DA">
      <w:pPr>
        <w:pStyle w:val="BodyTextMain"/>
        <w:rPr>
          <w:i/>
          <w:lang w:val="en-CA"/>
        </w:rPr>
      </w:pPr>
    </w:p>
    <w:p w14:paraId="261B9717" w14:textId="77777777" w:rsidR="00E867DA" w:rsidRPr="005945EC" w:rsidRDefault="00E867DA" w:rsidP="00E867DA">
      <w:pPr>
        <w:pStyle w:val="Casehead2"/>
        <w:rPr>
          <w:lang w:val="en-CA"/>
        </w:rPr>
      </w:pPr>
      <w:r w:rsidRPr="005945EC">
        <w:rPr>
          <w:lang w:val="en-CA"/>
        </w:rPr>
        <w:t>Passenger Benefits</w:t>
      </w:r>
    </w:p>
    <w:p w14:paraId="0B802301" w14:textId="77777777" w:rsidR="00E867DA" w:rsidRPr="005945EC" w:rsidRDefault="00E867DA" w:rsidP="00E867DA">
      <w:pPr>
        <w:pStyle w:val="BodyTextMain"/>
        <w:rPr>
          <w:iCs/>
          <w:lang w:val="en-CA"/>
        </w:rPr>
      </w:pPr>
    </w:p>
    <w:p w14:paraId="4DCB8214" w14:textId="7479ADB8" w:rsidR="00E867DA" w:rsidRPr="005945EC" w:rsidRDefault="00E867DA" w:rsidP="00E867DA">
      <w:pPr>
        <w:pStyle w:val="BodyTextMain"/>
        <w:rPr>
          <w:iCs/>
          <w:lang w:val="en-CA"/>
        </w:rPr>
      </w:pPr>
      <w:r w:rsidRPr="005945EC">
        <w:rPr>
          <w:iCs/>
          <w:lang w:val="en-CA"/>
        </w:rPr>
        <w:t>The formation of Star Alliance provided customers with an integrated worldwide airline network with global recognition. By 2020, Star Alliance had maintained the largest network, covering 195 countries (98</w:t>
      </w:r>
      <w:r w:rsidR="00D10601" w:rsidRPr="005945EC">
        <w:rPr>
          <w:iCs/>
          <w:lang w:val="en-CA"/>
        </w:rPr>
        <w:t xml:space="preserve"> per cent</w:t>
      </w:r>
      <w:r w:rsidRPr="005945EC">
        <w:rPr>
          <w:iCs/>
          <w:lang w:val="en-CA"/>
        </w:rPr>
        <w:t xml:space="preserve"> of the world) and serving over 1</w:t>
      </w:r>
      <w:r w:rsidR="00D10601" w:rsidRPr="005945EC">
        <w:rPr>
          <w:iCs/>
          <w:lang w:val="en-CA"/>
        </w:rPr>
        <w:t>,</w:t>
      </w:r>
      <w:r w:rsidRPr="005945EC">
        <w:rPr>
          <w:iCs/>
          <w:lang w:val="en-CA"/>
        </w:rPr>
        <w:t xml:space="preserve">300 airports. </w:t>
      </w:r>
      <w:r w:rsidR="00D10601" w:rsidRPr="005945EC">
        <w:rPr>
          <w:iCs/>
          <w:lang w:val="en-CA"/>
        </w:rPr>
        <w:t>I</w:t>
      </w:r>
      <w:r w:rsidRPr="005945EC">
        <w:rPr>
          <w:iCs/>
          <w:lang w:val="en-CA"/>
        </w:rPr>
        <w:t>n 2017</w:t>
      </w:r>
      <w:r w:rsidR="00D10601" w:rsidRPr="005945EC">
        <w:rPr>
          <w:iCs/>
          <w:lang w:val="en-CA"/>
        </w:rPr>
        <w:t>,</w:t>
      </w:r>
      <w:r w:rsidRPr="005945EC">
        <w:rPr>
          <w:iCs/>
          <w:lang w:val="en-CA"/>
        </w:rPr>
        <w:t xml:space="preserve"> Star </w:t>
      </w:r>
      <w:r w:rsidR="00D10601" w:rsidRPr="005945EC">
        <w:rPr>
          <w:iCs/>
          <w:lang w:val="en-CA"/>
        </w:rPr>
        <w:t xml:space="preserve">Alliance’s </w:t>
      </w:r>
      <w:r w:rsidR="002B468D" w:rsidRPr="005945EC">
        <w:rPr>
          <w:iCs/>
          <w:lang w:val="en-CA"/>
        </w:rPr>
        <w:t>CEO</w:t>
      </w:r>
      <w:r w:rsidRPr="005945EC">
        <w:rPr>
          <w:iCs/>
          <w:lang w:val="en-CA"/>
        </w:rPr>
        <w:t xml:space="preserve"> Jeffrey Goh </w:t>
      </w:r>
      <w:r w:rsidR="00D10601" w:rsidRPr="005945EC">
        <w:rPr>
          <w:iCs/>
          <w:lang w:val="en-CA"/>
        </w:rPr>
        <w:t>was asked if the constellation had reached its full size or if it had plans to continue to expand, to which Goh replied,</w:t>
      </w:r>
      <w:r w:rsidRPr="005945EC">
        <w:rPr>
          <w:iCs/>
          <w:lang w:val="en-CA"/>
        </w:rPr>
        <w:t xml:space="preserve"> “We will never say no, but we are pretty comprehensive in our network today.”</w:t>
      </w:r>
      <w:r w:rsidRPr="005945EC">
        <w:rPr>
          <w:iCs/>
          <w:vertAlign w:val="superscript"/>
          <w:lang w:val="en-CA"/>
        </w:rPr>
        <w:endnoteReference w:id="17"/>
      </w:r>
      <w:r w:rsidRPr="005945EC">
        <w:rPr>
          <w:iCs/>
          <w:lang w:val="en-CA"/>
        </w:rPr>
        <w:t xml:space="preserve"> Focusing on customer relations, the alliance aimed to enhance global travel, making it more convenient and simple for its customers</w:t>
      </w:r>
      <w:r w:rsidR="00F62663" w:rsidRPr="005945EC">
        <w:rPr>
          <w:iCs/>
          <w:lang w:val="en-CA"/>
        </w:rPr>
        <w:t>,</w:t>
      </w:r>
      <w:r w:rsidRPr="005945EC">
        <w:rPr>
          <w:iCs/>
          <w:lang w:val="en-CA"/>
        </w:rPr>
        <w:t xml:space="preserve"> while meeting their needs in ways that individual airlines could not. </w:t>
      </w:r>
    </w:p>
    <w:p w14:paraId="134A1342" w14:textId="77777777" w:rsidR="00E867DA" w:rsidRPr="005945EC" w:rsidRDefault="00E867DA" w:rsidP="00E867DA">
      <w:pPr>
        <w:pStyle w:val="BodyTextMain"/>
        <w:rPr>
          <w:iCs/>
          <w:lang w:val="en-CA"/>
        </w:rPr>
      </w:pPr>
    </w:p>
    <w:p w14:paraId="1BD18439" w14:textId="28908A4A" w:rsidR="00E867DA" w:rsidRPr="005945EC" w:rsidRDefault="00E867DA" w:rsidP="00E867DA">
      <w:pPr>
        <w:pStyle w:val="BodyTextMain"/>
        <w:rPr>
          <w:lang w:val="en-CA"/>
        </w:rPr>
      </w:pPr>
      <w:r w:rsidRPr="005945EC">
        <w:rPr>
          <w:lang w:val="en-CA"/>
        </w:rPr>
        <w:t>Whenever possible, the member airlines tried to use gates in the same terminal, with neighbo</w:t>
      </w:r>
      <w:r w:rsidR="00D10601" w:rsidRPr="005945EC">
        <w:rPr>
          <w:lang w:val="en-CA"/>
        </w:rPr>
        <w:t>u</w:t>
      </w:r>
      <w:r w:rsidRPr="005945EC">
        <w:rPr>
          <w:lang w:val="en-CA"/>
        </w:rPr>
        <w:t xml:space="preserve">ring gates allowing for convenient transfers and passenger connections. When delays occurred, the connections were protected, monitored, and </w:t>
      </w:r>
      <w:r w:rsidR="00D10601" w:rsidRPr="005945EC">
        <w:rPr>
          <w:lang w:val="en-CA"/>
        </w:rPr>
        <w:t xml:space="preserve">proactively </w:t>
      </w:r>
      <w:r w:rsidRPr="005945EC">
        <w:rPr>
          <w:lang w:val="en-CA"/>
        </w:rPr>
        <w:t xml:space="preserve">re-accommodated on a proactive basis. Most passengers were offered “through check-in” </w:t>
      </w:r>
      <w:r w:rsidR="005A0C1E" w:rsidRPr="005945EC">
        <w:rPr>
          <w:lang w:val="en-CA"/>
        </w:rPr>
        <w:t>service</w:t>
      </w:r>
      <w:r w:rsidRPr="005945EC">
        <w:rPr>
          <w:lang w:val="en-CA"/>
        </w:rPr>
        <w:t xml:space="preserve"> that </w:t>
      </w:r>
      <w:r w:rsidR="005A0C1E" w:rsidRPr="005945EC">
        <w:rPr>
          <w:lang w:val="en-CA"/>
        </w:rPr>
        <w:t>led them</w:t>
      </w:r>
      <w:r w:rsidRPr="005945EC">
        <w:rPr>
          <w:lang w:val="en-CA"/>
        </w:rPr>
        <w:t xml:space="preserve"> through their </w:t>
      </w:r>
      <w:proofErr w:type="gramStart"/>
      <w:r w:rsidRPr="005945EC">
        <w:rPr>
          <w:lang w:val="en-CA"/>
        </w:rPr>
        <w:t>final destination</w:t>
      </w:r>
      <w:proofErr w:type="gramEnd"/>
      <w:r w:rsidRPr="005945EC">
        <w:rPr>
          <w:lang w:val="en-CA"/>
        </w:rPr>
        <w:t xml:space="preserve">. The simplicity and consistency of quality in member services </w:t>
      </w:r>
      <w:r w:rsidR="005A0C1E" w:rsidRPr="005945EC">
        <w:rPr>
          <w:lang w:val="en-CA"/>
        </w:rPr>
        <w:t>helped</w:t>
      </w:r>
      <w:r w:rsidRPr="005945EC">
        <w:rPr>
          <w:lang w:val="en-CA"/>
        </w:rPr>
        <w:t xml:space="preserve"> customers feel </w:t>
      </w:r>
      <w:r w:rsidR="00FF7282" w:rsidRPr="005945EC">
        <w:rPr>
          <w:lang w:val="en-CA"/>
        </w:rPr>
        <w:t>that they were</w:t>
      </w:r>
      <w:r w:rsidRPr="005945EC">
        <w:rPr>
          <w:lang w:val="en-CA"/>
        </w:rPr>
        <w:t xml:space="preserve"> travel</w:t>
      </w:r>
      <w:r w:rsidR="005A0C1E" w:rsidRPr="005945EC">
        <w:rPr>
          <w:lang w:val="en-CA"/>
        </w:rPr>
        <w:t>l</w:t>
      </w:r>
      <w:r w:rsidRPr="005945EC">
        <w:rPr>
          <w:lang w:val="en-CA"/>
        </w:rPr>
        <w:t>ing with the same standard of service throughout the entire trip.</w:t>
      </w:r>
      <w:r w:rsidRPr="005945EC">
        <w:rPr>
          <w:rStyle w:val="EndnoteReference"/>
          <w:lang w:val="en-CA"/>
        </w:rPr>
        <w:endnoteReference w:id="18"/>
      </w:r>
    </w:p>
    <w:p w14:paraId="4FCA4FDB" w14:textId="115991EF" w:rsidR="00E867DA" w:rsidRPr="005945EC" w:rsidRDefault="00E867DA" w:rsidP="00E867DA">
      <w:pPr>
        <w:pStyle w:val="BodyTextMain"/>
        <w:rPr>
          <w:iCs/>
          <w:lang w:val="en-CA"/>
        </w:rPr>
      </w:pPr>
    </w:p>
    <w:p w14:paraId="344031E7" w14:textId="77777777" w:rsidR="00E867DA" w:rsidRPr="005945EC" w:rsidRDefault="00E867DA" w:rsidP="00E867DA">
      <w:pPr>
        <w:pStyle w:val="BodyTextMain"/>
        <w:rPr>
          <w:iCs/>
          <w:lang w:val="en-CA"/>
        </w:rPr>
      </w:pPr>
    </w:p>
    <w:p w14:paraId="1F665389" w14:textId="0BC9BD3B" w:rsidR="00E867DA" w:rsidRPr="005945EC" w:rsidRDefault="00E867DA" w:rsidP="00E867DA">
      <w:pPr>
        <w:pStyle w:val="Casehead2"/>
        <w:rPr>
          <w:lang w:val="en-CA"/>
        </w:rPr>
      </w:pPr>
      <w:r w:rsidRPr="005945EC">
        <w:rPr>
          <w:lang w:val="en-CA"/>
        </w:rPr>
        <w:t>Loyalty Programs</w:t>
      </w:r>
    </w:p>
    <w:p w14:paraId="339F737B" w14:textId="77777777" w:rsidR="00E867DA" w:rsidRPr="005945EC" w:rsidRDefault="00E867DA" w:rsidP="00E867DA">
      <w:pPr>
        <w:pStyle w:val="BodyTextMain"/>
        <w:rPr>
          <w:lang w:val="en-CA"/>
        </w:rPr>
      </w:pPr>
    </w:p>
    <w:p w14:paraId="071DFED1" w14:textId="4847F062" w:rsidR="00E867DA" w:rsidRPr="005945EC" w:rsidRDefault="00E867DA" w:rsidP="00E867DA">
      <w:pPr>
        <w:pStyle w:val="BodyTextMain"/>
        <w:rPr>
          <w:lang w:val="en-CA"/>
        </w:rPr>
      </w:pPr>
      <w:r w:rsidRPr="005945EC">
        <w:rPr>
          <w:lang w:val="en-CA"/>
        </w:rPr>
        <w:t xml:space="preserve">Based on extensive marketing research, Star Alliance made </w:t>
      </w:r>
      <w:r w:rsidR="00FF7282" w:rsidRPr="005945EC">
        <w:rPr>
          <w:lang w:val="en-CA"/>
        </w:rPr>
        <w:t>various</w:t>
      </w:r>
      <w:r w:rsidRPr="005945EC">
        <w:rPr>
          <w:lang w:val="en-CA"/>
        </w:rPr>
        <w:t xml:space="preserve"> changes to meet the expectations and needs of its frequent international flyers. Customers could earn mileage points whenever they travel</w:t>
      </w:r>
      <w:r w:rsidR="00FF7282" w:rsidRPr="005945EC">
        <w:rPr>
          <w:lang w:val="en-CA"/>
        </w:rPr>
        <w:t>l</w:t>
      </w:r>
      <w:r w:rsidRPr="005945EC">
        <w:rPr>
          <w:lang w:val="en-CA"/>
        </w:rPr>
        <w:t>ed on any Star Alliance</w:t>
      </w:r>
      <w:r w:rsidR="00FF7282" w:rsidRPr="005945EC">
        <w:rPr>
          <w:lang w:val="en-CA"/>
        </w:rPr>
        <w:t xml:space="preserve"> member</w:t>
      </w:r>
      <w:r w:rsidRPr="005945EC">
        <w:rPr>
          <w:lang w:val="en-CA"/>
        </w:rPr>
        <w:t xml:space="preserve"> airline. The points would accumulate and could be credited toward different </w:t>
      </w:r>
      <w:r w:rsidR="00FF7282" w:rsidRPr="005945EC">
        <w:rPr>
          <w:lang w:val="en-CA"/>
        </w:rPr>
        <w:t>f</w:t>
      </w:r>
      <w:r w:rsidRPr="005945EC">
        <w:rPr>
          <w:lang w:val="en-CA"/>
        </w:rPr>
        <w:t xml:space="preserve">requent </w:t>
      </w:r>
      <w:r w:rsidR="00FF7282" w:rsidRPr="005945EC">
        <w:rPr>
          <w:lang w:val="en-CA"/>
        </w:rPr>
        <w:t>f</w:t>
      </w:r>
      <w:r w:rsidRPr="005945EC">
        <w:rPr>
          <w:lang w:val="en-CA"/>
        </w:rPr>
        <w:t xml:space="preserve">lyer </w:t>
      </w:r>
      <w:r w:rsidR="00FF7282" w:rsidRPr="005945EC">
        <w:rPr>
          <w:lang w:val="en-CA"/>
        </w:rPr>
        <w:t>p</w:t>
      </w:r>
      <w:r w:rsidRPr="005945EC">
        <w:rPr>
          <w:lang w:val="en-CA"/>
        </w:rPr>
        <w:t xml:space="preserve">rograms of Star Alliance carriers. This allowed customers to </w:t>
      </w:r>
      <w:r w:rsidR="00FF7282" w:rsidRPr="005945EC">
        <w:rPr>
          <w:lang w:val="en-CA"/>
        </w:rPr>
        <w:t xml:space="preserve">use every point earned to </w:t>
      </w:r>
      <w:r w:rsidRPr="005945EC">
        <w:rPr>
          <w:lang w:val="en-CA"/>
        </w:rPr>
        <w:t xml:space="preserve">reach elite status within the </w:t>
      </w:r>
      <w:r w:rsidR="00FF7282" w:rsidRPr="005945EC">
        <w:rPr>
          <w:lang w:val="en-CA"/>
        </w:rPr>
        <w:t xml:space="preserve">various </w:t>
      </w:r>
      <w:r w:rsidRPr="005945EC">
        <w:rPr>
          <w:lang w:val="en-CA"/>
        </w:rPr>
        <w:t xml:space="preserve">programs </w:t>
      </w:r>
      <w:r w:rsidR="00FF7282" w:rsidRPr="005945EC">
        <w:rPr>
          <w:lang w:val="en-CA"/>
        </w:rPr>
        <w:t>sooner</w:t>
      </w:r>
      <w:r w:rsidRPr="005945EC">
        <w:rPr>
          <w:lang w:val="en-CA"/>
        </w:rPr>
        <w:t>, as well as to redeem their reward miles throughout the alliance network.</w:t>
      </w:r>
      <w:r w:rsidR="00774B93" w:rsidRPr="005945EC">
        <w:rPr>
          <w:rStyle w:val="EndnoteReference"/>
          <w:iCs/>
          <w:lang w:val="en-CA"/>
        </w:rPr>
        <w:endnoteReference w:id="19"/>
      </w:r>
    </w:p>
    <w:p w14:paraId="24C55631" w14:textId="77777777" w:rsidR="00E867DA" w:rsidRPr="005945EC" w:rsidRDefault="00E867DA" w:rsidP="00E867DA">
      <w:pPr>
        <w:pStyle w:val="BodyTextMain"/>
        <w:rPr>
          <w:lang w:val="en-CA"/>
        </w:rPr>
      </w:pPr>
    </w:p>
    <w:p w14:paraId="41886D78" w14:textId="3A79C92F" w:rsidR="00E867DA" w:rsidRPr="005945EC" w:rsidRDefault="00E867DA" w:rsidP="00E867DA">
      <w:pPr>
        <w:pStyle w:val="BodyTextMain"/>
        <w:rPr>
          <w:lang w:val="en-CA"/>
        </w:rPr>
      </w:pPr>
      <w:r w:rsidRPr="005945EC">
        <w:rPr>
          <w:lang w:val="en-CA"/>
        </w:rPr>
        <w:t xml:space="preserve">Star Alliance </w:t>
      </w:r>
      <w:r w:rsidR="00940CE4" w:rsidRPr="005945EC">
        <w:rPr>
          <w:lang w:val="en-CA"/>
        </w:rPr>
        <w:t xml:space="preserve">also added two </w:t>
      </w:r>
      <w:r w:rsidRPr="005945EC">
        <w:rPr>
          <w:lang w:val="en-CA"/>
        </w:rPr>
        <w:t>status tiers</w:t>
      </w:r>
      <w:r w:rsidR="00940CE4" w:rsidRPr="005945EC">
        <w:rPr>
          <w:lang w:val="en-CA"/>
        </w:rPr>
        <w:t>—silver and gold—</w:t>
      </w:r>
      <w:r w:rsidRPr="005945EC">
        <w:rPr>
          <w:lang w:val="en-CA"/>
        </w:rPr>
        <w:t xml:space="preserve">in the </w:t>
      </w:r>
      <w:r w:rsidR="00940CE4" w:rsidRPr="005945EC">
        <w:rPr>
          <w:lang w:val="en-CA"/>
        </w:rPr>
        <w:t>loyalty programs</w:t>
      </w:r>
      <w:r w:rsidRPr="005945EC">
        <w:rPr>
          <w:lang w:val="en-CA"/>
        </w:rPr>
        <w:t xml:space="preserve"> of </w:t>
      </w:r>
      <w:r w:rsidR="00940CE4" w:rsidRPr="005945EC">
        <w:rPr>
          <w:lang w:val="en-CA"/>
        </w:rPr>
        <w:t>m</w:t>
      </w:r>
      <w:r w:rsidRPr="005945EC">
        <w:rPr>
          <w:lang w:val="en-CA"/>
        </w:rPr>
        <w:t xml:space="preserve">ember </w:t>
      </w:r>
      <w:r w:rsidR="00940CE4" w:rsidRPr="005945EC">
        <w:rPr>
          <w:lang w:val="en-CA"/>
        </w:rPr>
        <w:t>c</w:t>
      </w:r>
      <w:r w:rsidRPr="005945EC">
        <w:rPr>
          <w:lang w:val="en-CA"/>
        </w:rPr>
        <w:t>arriers</w:t>
      </w:r>
      <w:r w:rsidR="00940CE4" w:rsidRPr="005945EC">
        <w:rPr>
          <w:lang w:val="en-CA"/>
        </w:rPr>
        <w:t xml:space="preserve"> to</w:t>
      </w:r>
      <w:r w:rsidRPr="005945EC">
        <w:rPr>
          <w:lang w:val="en-CA"/>
        </w:rPr>
        <w:t xml:space="preserve"> recogni</w:t>
      </w:r>
      <w:r w:rsidR="00940CE4" w:rsidRPr="005945EC">
        <w:rPr>
          <w:lang w:val="en-CA"/>
        </w:rPr>
        <w:t>ze</w:t>
      </w:r>
      <w:r w:rsidRPr="005945EC">
        <w:rPr>
          <w:lang w:val="en-CA"/>
        </w:rPr>
        <w:t xml:space="preserve"> and reward loyal</w:t>
      </w:r>
      <w:r w:rsidR="00940CE4" w:rsidRPr="005945EC">
        <w:rPr>
          <w:lang w:val="en-CA"/>
        </w:rPr>
        <w:t xml:space="preserve"> customers</w:t>
      </w:r>
      <w:r w:rsidRPr="005945EC">
        <w:rPr>
          <w:lang w:val="en-CA"/>
        </w:rPr>
        <w:t xml:space="preserve"> across the entire alliance. Gold </w:t>
      </w:r>
      <w:r w:rsidR="00940CE4" w:rsidRPr="005945EC">
        <w:rPr>
          <w:lang w:val="en-CA"/>
        </w:rPr>
        <w:t>s</w:t>
      </w:r>
      <w:r w:rsidRPr="005945EC">
        <w:rPr>
          <w:lang w:val="en-CA"/>
        </w:rPr>
        <w:t xml:space="preserve">tatus </w:t>
      </w:r>
      <w:r w:rsidR="00940CE4" w:rsidRPr="005945EC">
        <w:rPr>
          <w:lang w:val="en-CA"/>
        </w:rPr>
        <w:t>allowed</w:t>
      </w:r>
      <w:r w:rsidRPr="005945EC">
        <w:rPr>
          <w:lang w:val="en-CA"/>
        </w:rPr>
        <w:t xml:space="preserve"> </w:t>
      </w:r>
      <w:r w:rsidR="008326BC" w:rsidRPr="005945EC">
        <w:rPr>
          <w:lang w:val="en-CA"/>
        </w:rPr>
        <w:t xml:space="preserve">customers </w:t>
      </w:r>
      <w:r w:rsidRPr="005945EC">
        <w:rPr>
          <w:lang w:val="en-CA"/>
        </w:rPr>
        <w:t>access to the highest level of service at airports around the world and priority treatment</w:t>
      </w:r>
      <w:r w:rsidR="00940CE4" w:rsidRPr="005945EC">
        <w:rPr>
          <w:lang w:val="en-CA"/>
        </w:rPr>
        <w:t>,</w:t>
      </w:r>
      <w:r w:rsidRPr="005945EC">
        <w:rPr>
          <w:lang w:val="en-CA"/>
        </w:rPr>
        <w:t xml:space="preserve"> from check-in to baggage claim. </w:t>
      </w:r>
      <w:r w:rsidR="008326BC" w:rsidRPr="005945EC">
        <w:rPr>
          <w:lang w:val="en-CA"/>
        </w:rPr>
        <w:t>E</w:t>
      </w:r>
      <w:r w:rsidRPr="005945EC">
        <w:rPr>
          <w:lang w:val="en-CA"/>
        </w:rPr>
        <w:t xml:space="preserve">lite customers </w:t>
      </w:r>
      <w:r w:rsidR="008326BC" w:rsidRPr="005945EC">
        <w:rPr>
          <w:lang w:val="en-CA"/>
        </w:rPr>
        <w:t xml:space="preserve">enjoyed </w:t>
      </w:r>
      <w:r w:rsidRPr="005945EC">
        <w:rPr>
          <w:lang w:val="en-CA"/>
        </w:rPr>
        <w:t>a seamless travel experience a</w:t>
      </w:r>
      <w:r w:rsidR="008326BC" w:rsidRPr="005945EC">
        <w:rPr>
          <w:lang w:val="en-CA"/>
        </w:rPr>
        <w:t>nd</w:t>
      </w:r>
      <w:r w:rsidRPr="005945EC">
        <w:rPr>
          <w:lang w:val="en-CA"/>
        </w:rPr>
        <w:t xml:space="preserve"> tangible benefits. Upon presentation of their card or status, customers were directed to the lounges of Star Alliance carriers</w:t>
      </w:r>
      <w:r w:rsidR="008326BC" w:rsidRPr="005945EC">
        <w:rPr>
          <w:lang w:val="en-CA"/>
        </w:rPr>
        <w:t>, which</w:t>
      </w:r>
      <w:r w:rsidRPr="005945EC">
        <w:rPr>
          <w:lang w:val="en-CA"/>
        </w:rPr>
        <w:t xml:space="preserve"> provided fine cuisine, beverages, access to global news, Internet access, and other business amenities. Gold status </w:t>
      </w:r>
      <w:r w:rsidR="008326BC" w:rsidRPr="005945EC">
        <w:rPr>
          <w:lang w:val="en-CA"/>
        </w:rPr>
        <w:t>customers</w:t>
      </w:r>
      <w:r w:rsidRPr="005945EC">
        <w:rPr>
          <w:lang w:val="en-CA"/>
        </w:rPr>
        <w:t xml:space="preserve"> also had clearance to more efficiently pass through airport security in more than 130 airports around the world.</w:t>
      </w:r>
      <w:r w:rsidR="006641CB" w:rsidRPr="005945EC">
        <w:rPr>
          <w:rStyle w:val="EndnoteReference"/>
          <w:iCs/>
          <w:lang w:val="en-CA"/>
        </w:rPr>
        <w:endnoteReference w:id="20"/>
      </w:r>
    </w:p>
    <w:p w14:paraId="29DC5C01" w14:textId="77777777" w:rsidR="00E867DA" w:rsidRPr="005945EC" w:rsidRDefault="00E867DA" w:rsidP="00E867DA">
      <w:pPr>
        <w:pStyle w:val="BodyTextMain"/>
        <w:rPr>
          <w:lang w:val="en-CA"/>
        </w:rPr>
      </w:pPr>
    </w:p>
    <w:p w14:paraId="0C8A2B8D" w14:textId="7B0A7389" w:rsidR="00E867DA" w:rsidRPr="00A92DE3" w:rsidRDefault="00E867DA" w:rsidP="00E867DA">
      <w:pPr>
        <w:pStyle w:val="BodyTextMain"/>
        <w:rPr>
          <w:iCs/>
          <w:spacing w:val="-2"/>
          <w:kern w:val="22"/>
          <w:lang w:val="en-CA"/>
        </w:rPr>
      </w:pPr>
      <w:r w:rsidRPr="00A92DE3">
        <w:rPr>
          <w:iCs/>
          <w:spacing w:val="-2"/>
          <w:kern w:val="22"/>
          <w:lang w:val="en-CA"/>
        </w:rPr>
        <w:t>Star Alliance travel</w:t>
      </w:r>
      <w:r w:rsidR="008326BC" w:rsidRPr="00A92DE3">
        <w:rPr>
          <w:iCs/>
          <w:spacing w:val="-2"/>
          <w:kern w:val="22"/>
          <w:lang w:val="en-CA"/>
        </w:rPr>
        <w:t>l</w:t>
      </w:r>
      <w:r w:rsidRPr="00A92DE3">
        <w:rPr>
          <w:iCs/>
          <w:spacing w:val="-2"/>
          <w:kern w:val="22"/>
          <w:lang w:val="en-CA"/>
        </w:rPr>
        <w:t xml:space="preserve">ers </w:t>
      </w:r>
      <w:r w:rsidR="008326BC" w:rsidRPr="00A92DE3">
        <w:rPr>
          <w:iCs/>
          <w:spacing w:val="-2"/>
          <w:kern w:val="22"/>
          <w:lang w:val="en-CA"/>
        </w:rPr>
        <w:t xml:space="preserve">enjoyed various other benefits, </w:t>
      </w:r>
      <w:r w:rsidRPr="00A92DE3">
        <w:rPr>
          <w:iCs/>
          <w:spacing w:val="-2"/>
          <w:kern w:val="22"/>
          <w:lang w:val="en-CA"/>
        </w:rPr>
        <w:t>includ</w:t>
      </w:r>
      <w:r w:rsidR="008326BC" w:rsidRPr="00A92DE3">
        <w:rPr>
          <w:iCs/>
          <w:spacing w:val="-2"/>
          <w:kern w:val="22"/>
          <w:lang w:val="en-CA"/>
        </w:rPr>
        <w:t>ing</w:t>
      </w:r>
      <w:r w:rsidRPr="00A92DE3">
        <w:rPr>
          <w:iCs/>
          <w:spacing w:val="-2"/>
          <w:kern w:val="22"/>
          <w:lang w:val="en-CA"/>
        </w:rPr>
        <w:t xml:space="preserve"> Internet tools </w:t>
      </w:r>
      <w:r w:rsidR="008326BC" w:rsidRPr="00A92DE3">
        <w:rPr>
          <w:iCs/>
          <w:spacing w:val="-2"/>
          <w:kern w:val="22"/>
          <w:lang w:val="en-CA"/>
        </w:rPr>
        <w:t>for</w:t>
      </w:r>
      <w:r w:rsidRPr="00A92DE3">
        <w:rPr>
          <w:iCs/>
          <w:spacing w:val="-2"/>
          <w:kern w:val="22"/>
          <w:lang w:val="en-CA"/>
        </w:rPr>
        <w:t xml:space="preserve"> smart</w:t>
      </w:r>
      <w:r w:rsidR="002D7D08" w:rsidRPr="00A92DE3">
        <w:rPr>
          <w:iCs/>
          <w:spacing w:val="-2"/>
          <w:kern w:val="22"/>
          <w:lang w:val="en-CA"/>
        </w:rPr>
        <w:t xml:space="preserve"> </w:t>
      </w:r>
      <w:r w:rsidRPr="00A92DE3">
        <w:rPr>
          <w:iCs/>
          <w:spacing w:val="-2"/>
          <w:kern w:val="22"/>
          <w:lang w:val="en-CA"/>
        </w:rPr>
        <w:t>phones</w:t>
      </w:r>
      <w:r w:rsidR="008326BC" w:rsidRPr="00A92DE3">
        <w:rPr>
          <w:iCs/>
          <w:spacing w:val="-2"/>
          <w:kern w:val="22"/>
          <w:lang w:val="en-CA"/>
        </w:rPr>
        <w:t xml:space="preserve"> and</w:t>
      </w:r>
      <w:r w:rsidRPr="00A92DE3">
        <w:rPr>
          <w:iCs/>
          <w:spacing w:val="-2"/>
          <w:kern w:val="22"/>
          <w:lang w:val="en-CA"/>
        </w:rPr>
        <w:t xml:space="preserve"> tablets</w:t>
      </w:r>
      <w:r w:rsidR="008326BC" w:rsidRPr="00A92DE3">
        <w:rPr>
          <w:iCs/>
          <w:spacing w:val="-2"/>
          <w:kern w:val="22"/>
          <w:lang w:val="en-CA"/>
        </w:rPr>
        <w:t>,</w:t>
      </w:r>
      <w:r w:rsidRPr="00A92DE3">
        <w:rPr>
          <w:iCs/>
          <w:spacing w:val="-2"/>
          <w:kern w:val="22"/>
          <w:lang w:val="en-CA"/>
        </w:rPr>
        <w:t xml:space="preserve"> and the latest technolog</w:t>
      </w:r>
      <w:r w:rsidR="008326BC" w:rsidRPr="00A92DE3">
        <w:rPr>
          <w:iCs/>
          <w:spacing w:val="-2"/>
          <w:kern w:val="22"/>
          <w:lang w:val="en-CA"/>
        </w:rPr>
        <w:t>y services</w:t>
      </w:r>
      <w:r w:rsidRPr="00A92DE3">
        <w:rPr>
          <w:iCs/>
          <w:spacing w:val="-2"/>
          <w:kern w:val="22"/>
          <w:lang w:val="en-CA"/>
        </w:rPr>
        <w:t xml:space="preserve">. </w:t>
      </w:r>
      <w:r w:rsidR="008326BC" w:rsidRPr="00A92DE3">
        <w:rPr>
          <w:iCs/>
          <w:spacing w:val="-2"/>
          <w:kern w:val="22"/>
          <w:lang w:val="en-CA"/>
        </w:rPr>
        <w:t>All</w:t>
      </w:r>
      <w:r w:rsidRPr="00A92DE3">
        <w:rPr>
          <w:iCs/>
          <w:spacing w:val="-2"/>
          <w:kern w:val="22"/>
          <w:lang w:val="en-CA"/>
        </w:rPr>
        <w:t xml:space="preserve"> airline</w:t>
      </w:r>
      <w:r w:rsidR="008326BC" w:rsidRPr="00A92DE3">
        <w:rPr>
          <w:iCs/>
          <w:spacing w:val="-2"/>
          <w:kern w:val="22"/>
          <w:lang w:val="en-CA"/>
        </w:rPr>
        <w:t>s</w:t>
      </w:r>
      <w:r w:rsidRPr="00A92DE3">
        <w:rPr>
          <w:iCs/>
          <w:spacing w:val="-2"/>
          <w:kern w:val="22"/>
          <w:lang w:val="en-CA"/>
        </w:rPr>
        <w:t xml:space="preserve"> sold tickets and tracked reservations, </w:t>
      </w:r>
      <w:r w:rsidR="008326BC" w:rsidRPr="00A92DE3">
        <w:rPr>
          <w:iCs/>
          <w:spacing w:val="-2"/>
          <w:kern w:val="22"/>
          <w:lang w:val="en-CA"/>
        </w:rPr>
        <w:t xml:space="preserve">but </w:t>
      </w:r>
      <w:r w:rsidRPr="00A92DE3">
        <w:rPr>
          <w:iCs/>
          <w:spacing w:val="-2"/>
          <w:kern w:val="22"/>
          <w:lang w:val="en-CA"/>
        </w:rPr>
        <w:t xml:space="preserve">Star </w:t>
      </w:r>
      <w:r w:rsidR="008326BC" w:rsidRPr="00A92DE3">
        <w:rPr>
          <w:iCs/>
          <w:spacing w:val="-2"/>
          <w:kern w:val="22"/>
          <w:lang w:val="en-CA"/>
        </w:rPr>
        <w:t>Alliance’s</w:t>
      </w:r>
      <w:r w:rsidRPr="00A92DE3">
        <w:rPr>
          <w:iCs/>
          <w:spacing w:val="-2"/>
          <w:kern w:val="22"/>
          <w:lang w:val="en-CA"/>
        </w:rPr>
        <w:t xml:space="preserve"> website </w:t>
      </w:r>
      <w:proofErr w:type="gramStart"/>
      <w:r w:rsidR="008326BC" w:rsidRPr="00A92DE3">
        <w:rPr>
          <w:iCs/>
          <w:spacing w:val="-2"/>
          <w:kern w:val="22"/>
          <w:lang w:val="en-CA"/>
        </w:rPr>
        <w:t>featured</w:t>
      </w:r>
      <w:r w:rsidRPr="00A92DE3">
        <w:rPr>
          <w:iCs/>
          <w:spacing w:val="-2"/>
          <w:kern w:val="22"/>
          <w:lang w:val="en-CA"/>
        </w:rPr>
        <w:t xml:space="preserve"> online tools that allowed customers to plan their travels </w:t>
      </w:r>
      <w:r w:rsidR="008326BC" w:rsidRPr="00A92DE3">
        <w:rPr>
          <w:iCs/>
          <w:spacing w:val="-2"/>
          <w:kern w:val="22"/>
          <w:lang w:val="en-CA"/>
        </w:rPr>
        <w:t>at all times</w:t>
      </w:r>
      <w:proofErr w:type="gramEnd"/>
      <w:r w:rsidRPr="00A92DE3">
        <w:rPr>
          <w:iCs/>
          <w:spacing w:val="-2"/>
          <w:kern w:val="22"/>
          <w:lang w:val="en-CA"/>
        </w:rPr>
        <w:t>. Th</w:t>
      </w:r>
      <w:r w:rsidR="008326BC" w:rsidRPr="00A92DE3">
        <w:rPr>
          <w:iCs/>
          <w:spacing w:val="-2"/>
          <w:kern w:val="22"/>
          <w:lang w:val="en-CA"/>
        </w:rPr>
        <w:t>e</w:t>
      </w:r>
      <w:r w:rsidRPr="00A92DE3">
        <w:rPr>
          <w:iCs/>
          <w:spacing w:val="-2"/>
          <w:kern w:val="22"/>
          <w:lang w:val="en-CA"/>
        </w:rPr>
        <w:t xml:space="preserve"> site was integrated with the booking systems of member airlines and was linked to a ma</w:t>
      </w:r>
      <w:r w:rsidR="008326BC" w:rsidRPr="00A92DE3">
        <w:rPr>
          <w:iCs/>
          <w:spacing w:val="-2"/>
          <w:kern w:val="22"/>
          <w:lang w:val="en-CA"/>
        </w:rPr>
        <w:t>in</w:t>
      </w:r>
      <w:r w:rsidRPr="00A92DE3">
        <w:rPr>
          <w:iCs/>
          <w:spacing w:val="-2"/>
          <w:kern w:val="22"/>
          <w:lang w:val="en-CA"/>
        </w:rPr>
        <w:t xml:space="preserve"> computer reservation system.</w:t>
      </w:r>
      <w:r w:rsidR="006641CB" w:rsidRPr="00A92DE3">
        <w:rPr>
          <w:iCs/>
          <w:spacing w:val="-2"/>
          <w:kern w:val="22"/>
          <w:lang w:val="en-CA"/>
        </w:rPr>
        <w:t xml:space="preserve"> </w:t>
      </w:r>
      <w:r w:rsidR="008326BC" w:rsidRPr="00A92DE3">
        <w:rPr>
          <w:iCs/>
          <w:spacing w:val="-2"/>
          <w:kern w:val="22"/>
          <w:lang w:val="en-CA"/>
        </w:rPr>
        <w:t>C</w:t>
      </w:r>
      <w:r w:rsidRPr="00A92DE3">
        <w:rPr>
          <w:iCs/>
          <w:spacing w:val="-2"/>
          <w:kern w:val="22"/>
          <w:lang w:val="en-CA"/>
        </w:rPr>
        <w:t>orporate clients</w:t>
      </w:r>
      <w:r w:rsidR="008326BC" w:rsidRPr="00A92DE3">
        <w:rPr>
          <w:iCs/>
          <w:spacing w:val="-2"/>
          <w:kern w:val="22"/>
          <w:lang w:val="en-CA"/>
        </w:rPr>
        <w:t xml:space="preserve"> were</w:t>
      </w:r>
      <w:r w:rsidRPr="00A92DE3">
        <w:rPr>
          <w:iCs/>
          <w:spacing w:val="-2"/>
          <w:kern w:val="22"/>
          <w:lang w:val="en-CA"/>
        </w:rPr>
        <w:t xml:space="preserve"> a key profitability </w:t>
      </w:r>
      <w:r w:rsidR="008326BC" w:rsidRPr="00A92DE3">
        <w:rPr>
          <w:iCs/>
          <w:spacing w:val="-2"/>
          <w:kern w:val="22"/>
          <w:lang w:val="en-CA"/>
        </w:rPr>
        <w:t xml:space="preserve">factor </w:t>
      </w:r>
      <w:r w:rsidRPr="00A92DE3">
        <w:rPr>
          <w:iCs/>
          <w:spacing w:val="-2"/>
          <w:kern w:val="22"/>
          <w:lang w:val="en-CA"/>
        </w:rPr>
        <w:t xml:space="preserve">for all major airlines and especially those </w:t>
      </w:r>
      <w:r w:rsidR="008326BC" w:rsidRPr="00A92DE3">
        <w:rPr>
          <w:iCs/>
          <w:spacing w:val="-2"/>
          <w:kern w:val="22"/>
          <w:lang w:val="en-CA"/>
        </w:rPr>
        <w:t>with</w:t>
      </w:r>
      <w:r w:rsidRPr="00A92DE3">
        <w:rPr>
          <w:iCs/>
          <w:spacing w:val="-2"/>
          <w:kern w:val="22"/>
          <w:lang w:val="en-CA"/>
        </w:rPr>
        <w:t xml:space="preserve"> long-haul routes</w:t>
      </w:r>
      <w:r w:rsidR="008326BC" w:rsidRPr="00A92DE3">
        <w:rPr>
          <w:iCs/>
          <w:spacing w:val="-2"/>
          <w:kern w:val="22"/>
          <w:lang w:val="en-CA"/>
        </w:rPr>
        <w:t>.</w:t>
      </w:r>
      <w:r w:rsidRPr="00A92DE3">
        <w:rPr>
          <w:iCs/>
          <w:spacing w:val="-2"/>
          <w:kern w:val="22"/>
          <w:lang w:val="en-CA"/>
        </w:rPr>
        <w:t xml:space="preserve"> Star Alliance offered </w:t>
      </w:r>
      <w:r w:rsidR="008326BC" w:rsidRPr="00A92DE3">
        <w:rPr>
          <w:iCs/>
          <w:spacing w:val="-2"/>
          <w:kern w:val="22"/>
          <w:lang w:val="en-CA"/>
        </w:rPr>
        <w:t>various</w:t>
      </w:r>
      <w:r w:rsidRPr="00A92DE3">
        <w:rPr>
          <w:iCs/>
          <w:spacing w:val="-2"/>
          <w:kern w:val="22"/>
          <w:lang w:val="en-CA"/>
        </w:rPr>
        <w:t xml:space="preserve"> incentives</w:t>
      </w:r>
      <w:r w:rsidR="008326BC" w:rsidRPr="00A92DE3">
        <w:rPr>
          <w:iCs/>
          <w:spacing w:val="-2"/>
          <w:kern w:val="22"/>
          <w:lang w:val="en-CA"/>
        </w:rPr>
        <w:t xml:space="preserve"> specifically for</w:t>
      </w:r>
      <w:r w:rsidRPr="00A92DE3">
        <w:rPr>
          <w:iCs/>
          <w:spacing w:val="-2"/>
          <w:kern w:val="22"/>
          <w:lang w:val="en-CA"/>
        </w:rPr>
        <w:t xml:space="preserve"> corporate</w:t>
      </w:r>
      <w:r w:rsidR="008326BC" w:rsidRPr="00A92DE3">
        <w:rPr>
          <w:iCs/>
          <w:spacing w:val="-2"/>
          <w:kern w:val="22"/>
          <w:lang w:val="en-CA"/>
        </w:rPr>
        <w:t xml:space="preserve"> clients, including</w:t>
      </w:r>
      <w:r w:rsidRPr="00A92DE3">
        <w:rPr>
          <w:iCs/>
          <w:spacing w:val="-2"/>
          <w:kern w:val="22"/>
          <w:lang w:val="en-CA"/>
        </w:rPr>
        <w:t xml:space="preserve"> discounts across the network of its </w:t>
      </w:r>
      <w:r w:rsidR="008326BC" w:rsidRPr="00A92DE3">
        <w:rPr>
          <w:iCs/>
          <w:spacing w:val="-2"/>
          <w:kern w:val="22"/>
          <w:lang w:val="en-CA"/>
        </w:rPr>
        <w:t xml:space="preserve">member </w:t>
      </w:r>
      <w:r w:rsidRPr="00A92DE3">
        <w:rPr>
          <w:iCs/>
          <w:spacing w:val="-2"/>
          <w:kern w:val="22"/>
          <w:lang w:val="en-CA"/>
        </w:rPr>
        <w:t xml:space="preserve">carriers. It was also the first alliance to </w:t>
      </w:r>
      <w:r w:rsidR="008326BC" w:rsidRPr="00A92DE3">
        <w:rPr>
          <w:iCs/>
          <w:spacing w:val="-2"/>
          <w:kern w:val="22"/>
          <w:lang w:val="en-CA"/>
        </w:rPr>
        <w:t>feature</w:t>
      </w:r>
      <w:r w:rsidRPr="00A92DE3">
        <w:rPr>
          <w:iCs/>
          <w:spacing w:val="-2"/>
          <w:kern w:val="22"/>
          <w:lang w:val="en-CA"/>
        </w:rPr>
        <w:t xml:space="preserve"> global conventions and events</w:t>
      </w:r>
      <w:r w:rsidR="008326BC" w:rsidRPr="00A92DE3">
        <w:rPr>
          <w:iCs/>
          <w:spacing w:val="-2"/>
          <w:kern w:val="22"/>
          <w:lang w:val="en-CA"/>
        </w:rPr>
        <w:t xml:space="preserve"> services that</w:t>
      </w:r>
      <w:r w:rsidRPr="00A92DE3">
        <w:rPr>
          <w:iCs/>
          <w:spacing w:val="-2"/>
          <w:kern w:val="22"/>
          <w:lang w:val="en-CA"/>
        </w:rPr>
        <w:t xml:space="preserve"> allow</w:t>
      </w:r>
      <w:r w:rsidR="008326BC" w:rsidRPr="00A92DE3">
        <w:rPr>
          <w:iCs/>
          <w:spacing w:val="-2"/>
          <w:kern w:val="22"/>
          <w:lang w:val="en-CA"/>
        </w:rPr>
        <w:t>ed</w:t>
      </w:r>
      <w:r w:rsidRPr="00A92DE3">
        <w:rPr>
          <w:iCs/>
          <w:spacing w:val="-2"/>
          <w:kern w:val="22"/>
          <w:lang w:val="en-CA"/>
        </w:rPr>
        <w:t xml:space="preserve"> delegates from all over the world to enjoy discounts across the entire Star Alliance network.</w:t>
      </w:r>
      <w:r w:rsidR="006641CB" w:rsidRPr="00A92DE3">
        <w:rPr>
          <w:rStyle w:val="EndnoteReference"/>
          <w:iCs/>
          <w:spacing w:val="-2"/>
          <w:kern w:val="22"/>
          <w:lang w:val="en-CA"/>
        </w:rPr>
        <w:endnoteReference w:id="21"/>
      </w:r>
    </w:p>
    <w:p w14:paraId="07A1E4C1" w14:textId="30528C99" w:rsidR="00E867DA" w:rsidRPr="005945EC" w:rsidRDefault="00E867DA" w:rsidP="00E867DA">
      <w:pPr>
        <w:pStyle w:val="BodyTextMain"/>
        <w:rPr>
          <w:iCs/>
          <w:lang w:val="en-CA"/>
        </w:rPr>
      </w:pPr>
    </w:p>
    <w:p w14:paraId="2BB56ADC" w14:textId="2F7A3DB9" w:rsidR="00E867DA" w:rsidRPr="005945EC" w:rsidRDefault="00E867DA" w:rsidP="00E867DA">
      <w:pPr>
        <w:pStyle w:val="Casehead1"/>
        <w:rPr>
          <w:lang w:val="en-CA"/>
        </w:rPr>
      </w:pPr>
      <w:r w:rsidRPr="005945EC">
        <w:rPr>
          <w:lang w:val="en-CA"/>
        </w:rPr>
        <w:lastRenderedPageBreak/>
        <w:t>Other Forms of Airline Co</w:t>
      </w:r>
      <w:r w:rsidR="00FF7282" w:rsidRPr="005945EC">
        <w:rPr>
          <w:lang w:val="en-CA"/>
        </w:rPr>
        <w:t>-</w:t>
      </w:r>
      <w:r w:rsidRPr="005945EC">
        <w:rPr>
          <w:lang w:val="en-CA"/>
        </w:rPr>
        <w:t xml:space="preserve">operation </w:t>
      </w:r>
    </w:p>
    <w:p w14:paraId="69D13AF5" w14:textId="77777777" w:rsidR="00E867DA" w:rsidRPr="005945EC" w:rsidRDefault="00E867DA" w:rsidP="00E867DA">
      <w:pPr>
        <w:pStyle w:val="BodyTextMain"/>
        <w:rPr>
          <w:i/>
          <w:sz w:val="24"/>
          <w:szCs w:val="24"/>
          <w:lang w:val="en-CA"/>
        </w:rPr>
      </w:pPr>
    </w:p>
    <w:p w14:paraId="5AC1834B" w14:textId="330E43A0" w:rsidR="00E867DA" w:rsidRPr="005945EC" w:rsidRDefault="00E867DA" w:rsidP="0076469D">
      <w:pPr>
        <w:pStyle w:val="BodyTextMain"/>
        <w:rPr>
          <w:lang w:val="en-CA"/>
        </w:rPr>
      </w:pPr>
      <w:r w:rsidRPr="005945EC">
        <w:rPr>
          <w:lang w:val="en-CA"/>
        </w:rPr>
        <w:t>Star</w:t>
      </w:r>
      <w:r w:rsidR="009B09B6" w:rsidRPr="005945EC">
        <w:rPr>
          <w:lang w:val="en-CA"/>
        </w:rPr>
        <w:t xml:space="preserve"> Alliance</w:t>
      </w:r>
      <w:r w:rsidRPr="005945EC">
        <w:rPr>
          <w:lang w:val="en-CA"/>
        </w:rPr>
        <w:t xml:space="preserve">, </w:t>
      </w:r>
      <w:proofErr w:type="spellStart"/>
      <w:r w:rsidRPr="005945EC">
        <w:rPr>
          <w:lang w:val="en-CA"/>
        </w:rPr>
        <w:t>Oneworld</w:t>
      </w:r>
      <w:proofErr w:type="spellEnd"/>
      <w:r w:rsidR="009B09B6" w:rsidRPr="005945EC">
        <w:rPr>
          <w:lang w:val="en-CA"/>
        </w:rPr>
        <w:t>,</w:t>
      </w:r>
      <w:r w:rsidRPr="005945EC">
        <w:rPr>
          <w:lang w:val="en-CA"/>
        </w:rPr>
        <w:t xml:space="preserve"> and SkyTeam </w:t>
      </w:r>
      <w:r w:rsidR="00833A5E" w:rsidRPr="005945EC">
        <w:rPr>
          <w:lang w:val="en-CA"/>
        </w:rPr>
        <w:t>provide</w:t>
      </w:r>
      <w:r w:rsidR="002D7D08" w:rsidRPr="005945EC">
        <w:rPr>
          <w:lang w:val="en-CA"/>
        </w:rPr>
        <w:t>d</w:t>
      </w:r>
      <w:r w:rsidR="00833A5E" w:rsidRPr="005945EC">
        <w:rPr>
          <w:lang w:val="en-CA"/>
        </w:rPr>
        <w:t xml:space="preserve"> a range of benefits to</w:t>
      </w:r>
      <w:r w:rsidRPr="005945EC">
        <w:rPr>
          <w:lang w:val="en-CA"/>
        </w:rPr>
        <w:t xml:space="preserve"> </w:t>
      </w:r>
      <w:r w:rsidR="002D7D08" w:rsidRPr="005945EC">
        <w:rPr>
          <w:lang w:val="en-CA"/>
        </w:rPr>
        <w:t xml:space="preserve">both their </w:t>
      </w:r>
      <w:r w:rsidRPr="005945EC">
        <w:rPr>
          <w:lang w:val="en-CA"/>
        </w:rPr>
        <w:t>member airlines and</w:t>
      </w:r>
      <w:r w:rsidR="002D7D08" w:rsidRPr="005945EC">
        <w:rPr>
          <w:lang w:val="en-CA"/>
        </w:rPr>
        <w:t xml:space="preserve"> </w:t>
      </w:r>
      <w:r w:rsidRPr="005945EC">
        <w:rPr>
          <w:lang w:val="en-CA"/>
        </w:rPr>
        <w:t>passengers</w:t>
      </w:r>
      <w:r w:rsidR="00833A5E" w:rsidRPr="005945EC">
        <w:rPr>
          <w:lang w:val="en-CA"/>
        </w:rPr>
        <w:t>. However</w:t>
      </w:r>
      <w:r w:rsidRPr="005945EC">
        <w:rPr>
          <w:lang w:val="en-CA"/>
        </w:rPr>
        <w:t xml:space="preserve">, </w:t>
      </w:r>
      <w:r w:rsidR="002D7D08" w:rsidRPr="005945EC">
        <w:rPr>
          <w:lang w:val="en-CA"/>
        </w:rPr>
        <w:t>the various</w:t>
      </w:r>
      <w:r w:rsidR="00833A5E" w:rsidRPr="005945EC">
        <w:rPr>
          <w:lang w:val="en-CA"/>
        </w:rPr>
        <w:t xml:space="preserve"> other</w:t>
      </w:r>
      <w:r w:rsidRPr="005945EC">
        <w:rPr>
          <w:lang w:val="en-CA"/>
        </w:rPr>
        <w:t xml:space="preserve"> form</w:t>
      </w:r>
      <w:r w:rsidR="00833A5E" w:rsidRPr="005945EC">
        <w:rPr>
          <w:lang w:val="en-CA"/>
        </w:rPr>
        <w:t>s</w:t>
      </w:r>
      <w:r w:rsidRPr="005945EC">
        <w:rPr>
          <w:lang w:val="en-CA"/>
        </w:rPr>
        <w:t xml:space="preserve"> of</w:t>
      </w:r>
      <w:r w:rsidR="00833A5E" w:rsidRPr="005945EC">
        <w:rPr>
          <w:lang w:val="en-CA"/>
        </w:rPr>
        <w:t xml:space="preserve"> </w:t>
      </w:r>
      <w:r w:rsidRPr="005945EC">
        <w:rPr>
          <w:lang w:val="en-CA"/>
        </w:rPr>
        <w:t>co</w:t>
      </w:r>
      <w:r w:rsidR="00833A5E" w:rsidRPr="005945EC">
        <w:rPr>
          <w:lang w:val="en-CA"/>
        </w:rPr>
        <w:t>-</w:t>
      </w:r>
      <w:r w:rsidRPr="005945EC">
        <w:rPr>
          <w:lang w:val="en-CA"/>
        </w:rPr>
        <w:t>operation</w:t>
      </w:r>
      <w:r w:rsidR="002D7D08" w:rsidRPr="005945EC">
        <w:rPr>
          <w:lang w:val="en-CA"/>
        </w:rPr>
        <w:t xml:space="preserve"> among airlines were also effective</w:t>
      </w:r>
      <w:r w:rsidRPr="005945EC">
        <w:rPr>
          <w:lang w:val="en-CA"/>
        </w:rPr>
        <w:t>.</w:t>
      </w:r>
      <w:r w:rsidR="00F82A1A" w:rsidRPr="005945EC">
        <w:rPr>
          <w:lang w:val="en-CA"/>
        </w:rPr>
        <w:t xml:space="preserve"> For example,</w:t>
      </w:r>
      <w:r w:rsidRPr="005945EC">
        <w:rPr>
          <w:lang w:val="en-CA"/>
        </w:rPr>
        <w:t xml:space="preserve"> interline and codeshar</w:t>
      </w:r>
      <w:r w:rsidR="002D7D08" w:rsidRPr="005945EC">
        <w:rPr>
          <w:lang w:val="en-CA"/>
        </w:rPr>
        <w:t>e</w:t>
      </w:r>
      <w:r w:rsidRPr="005945EC">
        <w:rPr>
          <w:lang w:val="en-CA"/>
        </w:rPr>
        <w:t xml:space="preserve"> arrangements allowed airlines to sell seats on connecting airlines and sometimes share </w:t>
      </w:r>
      <w:r w:rsidR="00F82A1A" w:rsidRPr="005945EC">
        <w:rPr>
          <w:lang w:val="en-CA"/>
        </w:rPr>
        <w:t>a flight’s</w:t>
      </w:r>
      <w:r w:rsidRPr="005945EC">
        <w:rPr>
          <w:lang w:val="en-CA"/>
        </w:rPr>
        <w:t xml:space="preserve"> code </w:t>
      </w:r>
      <w:r w:rsidR="00F82A1A" w:rsidRPr="005945EC">
        <w:rPr>
          <w:lang w:val="en-CA"/>
        </w:rPr>
        <w:t>information</w:t>
      </w:r>
      <w:r w:rsidRPr="005945EC">
        <w:rPr>
          <w:lang w:val="en-CA"/>
        </w:rPr>
        <w:t>. All members of an alliance agreed to interline agreements</w:t>
      </w:r>
      <w:r w:rsidR="00F82A1A" w:rsidRPr="005945EC">
        <w:rPr>
          <w:lang w:val="en-CA"/>
        </w:rPr>
        <w:t>, which served</w:t>
      </w:r>
      <w:r w:rsidRPr="005945EC">
        <w:rPr>
          <w:lang w:val="en-CA"/>
        </w:rPr>
        <w:t xml:space="preserve"> passengers travel</w:t>
      </w:r>
      <w:r w:rsidR="00F82A1A" w:rsidRPr="005945EC">
        <w:rPr>
          <w:lang w:val="en-CA"/>
        </w:rPr>
        <w:t>l</w:t>
      </w:r>
      <w:r w:rsidRPr="005945EC">
        <w:rPr>
          <w:lang w:val="en-CA"/>
        </w:rPr>
        <w:t>ing with two or more airlines on the same itinerary.</w:t>
      </w:r>
      <w:r w:rsidRPr="005945EC">
        <w:rPr>
          <w:vertAlign w:val="superscript"/>
          <w:lang w:val="en-CA"/>
        </w:rPr>
        <w:endnoteReference w:id="22"/>
      </w:r>
      <w:r w:rsidRPr="005945EC">
        <w:rPr>
          <w:lang w:val="en-CA"/>
        </w:rPr>
        <w:t xml:space="preserve"> </w:t>
      </w:r>
      <w:r w:rsidR="00F82A1A" w:rsidRPr="005945EC">
        <w:rPr>
          <w:lang w:val="en-CA"/>
        </w:rPr>
        <w:t>Even</w:t>
      </w:r>
      <w:r w:rsidRPr="005945EC">
        <w:rPr>
          <w:lang w:val="en-CA"/>
        </w:rPr>
        <w:t xml:space="preserve"> airlines across different alliances often shared interline agreements. Code sharing </w:t>
      </w:r>
      <w:r w:rsidR="00F82A1A" w:rsidRPr="005945EC">
        <w:rPr>
          <w:lang w:val="en-CA"/>
        </w:rPr>
        <w:t>allowed</w:t>
      </w:r>
      <w:r w:rsidRPr="005945EC">
        <w:rPr>
          <w:lang w:val="en-CA"/>
        </w:rPr>
        <w:t xml:space="preserve"> two partner airlines </w:t>
      </w:r>
      <w:r w:rsidR="00F82A1A" w:rsidRPr="005945EC">
        <w:rPr>
          <w:lang w:val="en-CA"/>
        </w:rPr>
        <w:t>to</w:t>
      </w:r>
      <w:r w:rsidRPr="005945EC">
        <w:rPr>
          <w:lang w:val="en-CA"/>
        </w:rPr>
        <w:t xml:space="preserve"> list </w:t>
      </w:r>
      <w:r w:rsidR="00F82A1A" w:rsidRPr="005945EC">
        <w:rPr>
          <w:lang w:val="en-CA"/>
        </w:rPr>
        <w:t>one specific</w:t>
      </w:r>
      <w:r w:rsidRPr="005945EC">
        <w:rPr>
          <w:lang w:val="en-CA"/>
        </w:rPr>
        <w:t xml:space="preserve"> flight as their own</w:t>
      </w:r>
      <w:r w:rsidR="00F82A1A" w:rsidRPr="005945EC">
        <w:rPr>
          <w:lang w:val="en-CA"/>
        </w:rPr>
        <w:t xml:space="preserve"> and</w:t>
      </w:r>
      <w:r w:rsidRPr="005945EC">
        <w:rPr>
          <w:lang w:val="en-CA"/>
        </w:rPr>
        <w:t xml:space="preserve"> carry two</w:t>
      </w:r>
      <w:r w:rsidR="00F82A1A" w:rsidRPr="005945EC">
        <w:rPr>
          <w:lang w:val="en-CA"/>
        </w:rPr>
        <w:t xml:space="preserve"> different</w:t>
      </w:r>
      <w:r w:rsidRPr="005945EC">
        <w:rPr>
          <w:lang w:val="en-CA"/>
        </w:rPr>
        <w:t xml:space="preserve"> reservation codes. Like interline agreements, code sharing </w:t>
      </w:r>
      <w:r w:rsidR="00F82A1A" w:rsidRPr="005945EC">
        <w:rPr>
          <w:lang w:val="en-CA"/>
        </w:rPr>
        <w:t>had been</w:t>
      </w:r>
      <w:r w:rsidRPr="005945EC">
        <w:rPr>
          <w:lang w:val="en-CA"/>
        </w:rPr>
        <w:t xml:space="preserve"> </w:t>
      </w:r>
      <w:r w:rsidR="00F82A1A" w:rsidRPr="005945EC">
        <w:rPr>
          <w:lang w:val="en-CA"/>
        </w:rPr>
        <w:t xml:space="preserve">a </w:t>
      </w:r>
      <w:r w:rsidRPr="005945EC">
        <w:rPr>
          <w:lang w:val="en-CA"/>
        </w:rPr>
        <w:t xml:space="preserve">common </w:t>
      </w:r>
      <w:r w:rsidR="00F82A1A" w:rsidRPr="005945EC">
        <w:rPr>
          <w:lang w:val="en-CA"/>
        </w:rPr>
        <w:t xml:space="preserve">practice </w:t>
      </w:r>
      <w:r w:rsidRPr="005945EC">
        <w:rPr>
          <w:lang w:val="en-CA"/>
        </w:rPr>
        <w:t>in the industry before alliances</w:t>
      </w:r>
      <w:r w:rsidR="00F82A1A" w:rsidRPr="005945EC">
        <w:rPr>
          <w:lang w:val="en-CA"/>
        </w:rPr>
        <w:t xml:space="preserve"> became popular</w:t>
      </w:r>
      <w:r w:rsidRPr="005945EC">
        <w:rPr>
          <w:lang w:val="en-CA"/>
        </w:rPr>
        <w:t xml:space="preserve">. For example, Star </w:t>
      </w:r>
      <w:r w:rsidR="00F82A1A" w:rsidRPr="005945EC">
        <w:rPr>
          <w:lang w:val="en-CA"/>
        </w:rPr>
        <w:t>A</w:t>
      </w:r>
      <w:r w:rsidRPr="005945EC">
        <w:rPr>
          <w:lang w:val="en-CA"/>
        </w:rPr>
        <w:t xml:space="preserve">lliance member Air Canada </w:t>
      </w:r>
      <w:r w:rsidR="00F82A1A" w:rsidRPr="005945EC">
        <w:rPr>
          <w:lang w:val="en-CA"/>
        </w:rPr>
        <w:t xml:space="preserve">was </w:t>
      </w:r>
      <w:r w:rsidRPr="005945EC">
        <w:rPr>
          <w:lang w:val="en-CA"/>
        </w:rPr>
        <w:t>maintain</w:t>
      </w:r>
      <w:r w:rsidR="00F82A1A" w:rsidRPr="005945EC">
        <w:rPr>
          <w:lang w:val="en-CA"/>
        </w:rPr>
        <w:t>ing</w:t>
      </w:r>
      <w:r w:rsidRPr="005945EC">
        <w:rPr>
          <w:lang w:val="en-CA"/>
        </w:rPr>
        <w:t xml:space="preserve"> 25 codeshare</w:t>
      </w:r>
      <w:r w:rsidR="00F82A1A" w:rsidRPr="005945EC">
        <w:rPr>
          <w:lang w:val="en-CA"/>
        </w:rPr>
        <w:t xml:space="preserve"> agreement</w:t>
      </w:r>
      <w:r w:rsidRPr="005945EC">
        <w:rPr>
          <w:lang w:val="en-CA"/>
        </w:rPr>
        <w:t>s</w:t>
      </w:r>
      <w:r w:rsidR="00F82A1A" w:rsidRPr="005945EC">
        <w:rPr>
          <w:lang w:val="en-CA"/>
        </w:rPr>
        <w:t xml:space="preserve"> in 2013</w:t>
      </w:r>
      <w:r w:rsidRPr="005945EC">
        <w:rPr>
          <w:lang w:val="en-CA"/>
        </w:rPr>
        <w:t>, including one with Etihad</w:t>
      </w:r>
      <w:r w:rsidR="006641CB" w:rsidRPr="005945EC">
        <w:rPr>
          <w:lang w:val="en-CA"/>
        </w:rPr>
        <w:t xml:space="preserve"> Airways</w:t>
      </w:r>
      <w:r w:rsidRPr="005945EC">
        <w:rPr>
          <w:lang w:val="en-CA"/>
        </w:rPr>
        <w:t>, a non-aligned Middle Eastern airline.</w:t>
      </w:r>
      <w:r w:rsidRPr="005945EC">
        <w:rPr>
          <w:vertAlign w:val="superscript"/>
          <w:lang w:val="en-CA"/>
        </w:rPr>
        <w:endnoteReference w:id="23"/>
      </w:r>
    </w:p>
    <w:p w14:paraId="4CD6AEC2" w14:textId="77777777" w:rsidR="00E867DA" w:rsidRPr="005945EC" w:rsidRDefault="00E867DA" w:rsidP="00E867DA">
      <w:pPr>
        <w:pStyle w:val="BodyTextMain"/>
        <w:rPr>
          <w:lang w:val="en-CA"/>
        </w:rPr>
      </w:pPr>
    </w:p>
    <w:p w14:paraId="62FB3280" w14:textId="184A8F4E" w:rsidR="00E867DA" w:rsidRPr="005945EC" w:rsidRDefault="00492351" w:rsidP="00E867DA">
      <w:pPr>
        <w:pStyle w:val="BodyTextMain"/>
        <w:rPr>
          <w:lang w:val="en-CA"/>
        </w:rPr>
      </w:pPr>
      <w:r w:rsidRPr="005945EC">
        <w:rPr>
          <w:lang w:val="en-CA"/>
        </w:rPr>
        <w:t>Star Alliance, and similar networks,</w:t>
      </w:r>
      <w:r w:rsidR="00713610" w:rsidRPr="005945EC">
        <w:rPr>
          <w:lang w:val="en-CA"/>
        </w:rPr>
        <w:t xml:space="preserve"> </w:t>
      </w:r>
      <w:r w:rsidRPr="005945EC">
        <w:rPr>
          <w:lang w:val="en-CA"/>
        </w:rPr>
        <w:t>o</w:t>
      </w:r>
      <w:r w:rsidR="00713610" w:rsidRPr="005945EC">
        <w:rPr>
          <w:lang w:val="en-CA"/>
        </w:rPr>
        <w:t>ccupied</w:t>
      </w:r>
      <w:r w:rsidR="00E867DA" w:rsidRPr="005945EC">
        <w:rPr>
          <w:lang w:val="en-CA"/>
        </w:rPr>
        <w:t xml:space="preserve"> the space between codeshar</w:t>
      </w:r>
      <w:r w:rsidR="002D7D08" w:rsidRPr="005945EC">
        <w:rPr>
          <w:lang w:val="en-CA"/>
        </w:rPr>
        <w:t>e</w:t>
      </w:r>
      <w:r w:rsidR="00E867DA" w:rsidRPr="005945EC">
        <w:rPr>
          <w:lang w:val="en-CA"/>
        </w:rPr>
        <w:t xml:space="preserve"> </w:t>
      </w:r>
      <w:r w:rsidR="00713610" w:rsidRPr="005945EC">
        <w:rPr>
          <w:lang w:val="en-CA"/>
        </w:rPr>
        <w:t xml:space="preserve">agreements </w:t>
      </w:r>
      <w:r w:rsidR="00E867DA" w:rsidRPr="005945EC">
        <w:rPr>
          <w:lang w:val="en-CA"/>
        </w:rPr>
        <w:t xml:space="preserve">and more </w:t>
      </w:r>
      <w:r w:rsidR="00713610" w:rsidRPr="005945EC">
        <w:rPr>
          <w:lang w:val="en-CA"/>
        </w:rPr>
        <w:t>substantial</w:t>
      </w:r>
      <w:r w:rsidR="00E867DA" w:rsidRPr="005945EC">
        <w:rPr>
          <w:lang w:val="en-CA"/>
        </w:rPr>
        <w:t xml:space="preserve"> forms of </w:t>
      </w:r>
      <w:r w:rsidR="00713610" w:rsidRPr="005945EC">
        <w:rPr>
          <w:lang w:val="en-CA"/>
        </w:rPr>
        <w:t xml:space="preserve">business </w:t>
      </w:r>
      <w:r w:rsidR="00E867DA" w:rsidRPr="005945EC">
        <w:rPr>
          <w:lang w:val="en-CA"/>
        </w:rPr>
        <w:t>co</w:t>
      </w:r>
      <w:r w:rsidR="00713610" w:rsidRPr="005945EC">
        <w:rPr>
          <w:lang w:val="en-CA"/>
        </w:rPr>
        <w:t>-</w:t>
      </w:r>
      <w:r w:rsidR="00E867DA" w:rsidRPr="005945EC">
        <w:rPr>
          <w:lang w:val="en-CA"/>
        </w:rPr>
        <w:t>operation</w:t>
      </w:r>
      <w:r w:rsidR="00713610" w:rsidRPr="005945EC">
        <w:rPr>
          <w:lang w:val="en-CA"/>
        </w:rPr>
        <w:t>,</w:t>
      </w:r>
      <w:r w:rsidR="00E867DA" w:rsidRPr="005945EC">
        <w:rPr>
          <w:lang w:val="en-CA"/>
        </w:rPr>
        <w:t xml:space="preserve"> such as joint ventures and mergers. A</w:t>
      </w:r>
      <w:r w:rsidR="00713610" w:rsidRPr="005945EC">
        <w:rPr>
          <w:lang w:val="en-CA"/>
        </w:rPr>
        <w:t>lliance members shared</w:t>
      </w:r>
      <w:r w:rsidR="00E867DA" w:rsidRPr="005945EC">
        <w:rPr>
          <w:lang w:val="en-CA"/>
        </w:rPr>
        <w:t xml:space="preserve"> </w:t>
      </w:r>
      <w:r w:rsidR="00713610" w:rsidRPr="005945EC">
        <w:rPr>
          <w:lang w:val="en-CA"/>
        </w:rPr>
        <w:t xml:space="preserve">flight </w:t>
      </w:r>
      <w:r w:rsidR="00E867DA" w:rsidRPr="005945EC">
        <w:rPr>
          <w:lang w:val="en-CA"/>
        </w:rPr>
        <w:t xml:space="preserve">code, airport lounges, loyalty programs, and an umbrella brand. </w:t>
      </w:r>
      <w:r w:rsidR="00713610" w:rsidRPr="005945EC">
        <w:rPr>
          <w:lang w:val="en-CA"/>
        </w:rPr>
        <w:t>However,</w:t>
      </w:r>
      <w:r w:rsidR="00E867DA" w:rsidRPr="005945EC">
        <w:rPr>
          <w:lang w:val="en-CA"/>
        </w:rPr>
        <w:t xml:space="preserve"> revenue </w:t>
      </w:r>
      <w:r w:rsidR="00713610" w:rsidRPr="005945EC">
        <w:rPr>
          <w:lang w:val="en-CA"/>
        </w:rPr>
        <w:t>and</w:t>
      </w:r>
      <w:r w:rsidR="00E867DA" w:rsidRPr="005945EC">
        <w:rPr>
          <w:lang w:val="en-CA"/>
        </w:rPr>
        <w:t xml:space="preserve"> pricing</w:t>
      </w:r>
      <w:r w:rsidR="00713610" w:rsidRPr="005945EC">
        <w:rPr>
          <w:lang w:val="en-CA"/>
        </w:rPr>
        <w:t xml:space="preserve"> sharing was forbidden</w:t>
      </w:r>
      <w:r w:rsidR="00E867DA" w:rsidRPr="005945EC">
        <w:rPr>
          <w:lang w:val="en-CA"/>
        </w:rPr>
        <w:t xml:space="preserve">, </w:t>
      </w:r>
      <w:r w:rsidR="00713610" w:rsidRPr="005945EC">
        <w:rPr>
          <w:lang w:val="en-CA"/>
        </w:rPr>
        <w:t>unless specific</w:t>
      </w:r>
      <w:r w:rsidR="00E867DA" w:rsidRPr="005945EC">
        <w:rPr>
          <w:lang w:val="en-CA"/>
        </w:rPr>
        <w:t xml:space="preserve"> members formed </w:t>
      </w:r>
      <w:r w:rsidR="00713610" w:rsidRPr="005945EC">
        <w:rPr>
          <w:lang w:val="en-CA"/>
        </w:rPr>
        <w:t xml:space="preserve">their own </w:t>
      </w:r>
      <w:r w:rsidR="00E867DA" w:rsidRPr="005945EC">
        <w:rPr>
          <w:lang w:val="en-CA"/>
        </w:rPr>
        <w:t xml:space="preserve">bilateral joint venture agreement. </w:t>
      </w:r>
      <w:r w:rsidR="00713610" w:rsidRPr="005945EC">
        <w:rPr>
          <w:lang w:val="en-CA"/>
        </w:rPr>
        <w:t>A</w:t>
      </w:r>
      <w:r w:rsidR="00E867DA" w:rsidRPr="005945EC">
        <w:rPr>
          <w:lang w:val="en-CA"/>
        </w:rPr>
        <w:t xml:space="preserve">lliances </w:t>
      </w:r>
      <w:r w:rsidR="00713610" w:rsidRPr="005945EC">
        <w:rPr>
          <w:lang w:val="en-CA"/>
        </w:rPr>
        <w:t xml:space="preserve">were therefore able </w:t>
      </w:r>
      <w:r w:rsidR="00E867DA" w:rsidRPr="005945EC">
        <w:rPr>
          <w:lang w:val="en-CA"/>
        </w:rPr>
        <w:t xml:space="preserve">to avoid many of the antitrust issues associated with </w:t>
      </w:r>
      <w:r w:rsidR="00713610" w:rsidRPr="005945EC">
        <w:rPr>
          <w:lang w:val="en-CA"/>
        </w:rPr>
        <w:t xml:space="preserve">typical </w:t>
      </w:r>
      <w:r w:rsidR="00E867DA" w:rsidRPr="005945EC">
        <w:rPr>
          <w:lang w:val="en-CA"/>
        </w:rPr>
        <w:t xml:space="preserve">joint ventures and </w:t>
      </w:r>
      <w:r w:rsidR="00713610" w:rsidRPr="005945EC">
        <w:rPr>
          <w:lang w:val="en-CA"/>
        </w:rPr>
        <w:t>similar</w:t>
      </w:r>
      <w:r w:rsidR="00E867DA" w:rsidRPr="005945EC">
        <w:rPr>
          <w:lang w:val="en-CA"/>
        </w:rPr>
        <w:t xml:space="preserve"> strict forms of </w:t>
      </w:r>
      <w:r w:rsidR="00713610" w:rsidRPr="005945EC">
        <w:rPr>
          <w:lang w:val="en-CA"/>
        </w:rPr>
        <w:t xml:space="preserve">business </w:t>
      </w:r>
      <w:r w:rsidR="00E867DA" w:rsidRPr="005945EC">
        <w:rPr>
          <w:lang w:val="en-CA"/>
        </w:rPr>
        <w:t>co</w:t>
      </w:r>
      <w:r w:rsidR="00713610" w:rsidRPr="005945EC">
        <w:rPr>
          <w:lang w:val="en-CA"/>
        </w:rPr>
        <w:t>-</w:t>
      </w:r>
      <w:r w:rsidR="00E867DA" w:rsidRPr="005945EC">
        <w:rPr>
          <w:lang w:val="en-CA"/>
        </w:rPr>
        <w:t>operation.</w:t>
      </w:r>
    </w:p>
    <w:p w14:paraId="59CD3329" w14:textId="77777777" w:rsidR="00E867DA" w:rsidRPr="005945EC" w:rsidRDefault="00E867DA" w:rsidP="00E867DA">
      <w:pPr>
        <w:pStyle w:val="BodyTextMain"/>
        <w:rPr>
          <w:lang w:val="en-CA"/>
        </w:rPr>
      </w:pPr>
    </w:p>
    <w:p w14:paraId="3030A3DB" w14:textId="5AFF4D2C" w:rsidR="00E867DA" w:rsidRPr="00A92DE3" w:rsidRDefault="002D7D08" w:rsidP="00E867DA">
      <w:pPr>
        <w:pStyle w:val="BodyTextMain"/>
        <w:rPr>
          <w:spacing w:val="-4"/>
          <w:kern w:val="22"/>
          <w:lang w:val="en-CA"/>
        </w:rPr>
      </w:pPr>
      <w:r w:rsidRPr="00A92DE3">
        <w:rPr>
          <w:spacing w:val="-4"/>
          <w:kern w:val="22"/>
          <w:lang w:val="en-CA"/>
        </w:rPr>
        <w:t>A special type of</w:t>
      </w:r>
      <w:r w:rsidR="00E867DA" w:rsidRPr="00A92DE3">
        <w:rPr>
          <w:spacing w:val="-4"/>
          <w:kern w:val="22"/>
          <w:lang w:val="en-CA"/>
        </w:rPr>
        <w:t xml:space="preserve"> joint venture</w:t>
      </w:r>
      <w:r w:rsidRPr="00A92DE3">
        <w:rPr>
          <w:spacing w:val="-4"/>
          <w:kern w:val="22"/>
          <w:lang w:val="en-CA"/>
        </w:rPr>
        <w:t xml:space="preserve"> for specific routes</w:t>
      </w:r>
      <w:r w:rsidR="00E867DA" w:rsidRPr="00A92DE3">
        <w:rPr>
          <w:spacing w:val="-4"/>
          <w:kern w:val="22"/>
          <w:lang w:val="en-CA"/>
        </w:rPr>
        <w:t xml:space="preserve"> granted </w:t>
      </w:r>
      <w:r w:rsidRPr="00A92DE3">
        <w:rPr>
          <w:spacing w:val="-4"/>
          <w:kern w:val="22"/>
          <w:lang w:val="en-CA"/>
        </w:rPr>
        <w:t xml:space="preserve">airlines </w:t>
      </w:r>
      <w:r w:rsidR="00E867DA" w:rsidRPr="00A92DE3">
        <w:rPr>
          <w:spacing w:val="-4"/>
          <w:kern w:val="22"/>
          <w:lang w:val="en-CA"/>
        </w:rPr>
        <w:t>antitrust immunity</w:t>
      </w:r>
      <w:r w:rsidR="00713610" w:rsidRPr="00A92DE3">
        <w:rPr>
          <w:spacing w:val="-4"/>
          <w:kern w:val="22"/>
          <w:lang w:val="en-CA"/>
        </w:rPr>
        <w:t>.</w:t>
      </w:r>
      <w:r w:rsidR="00E867DA" w:rsidRPr="00A92DE3">
        <w:rPr>
          <w:spacing w:val="-4"/>
          <w:kern w:val="22"/>
          <w:lang w:val="en-CA"/>
        </w:rPr>
        <w:t xml:space="preserve"> </w:t>
      </w:r>
      <w:r w:rsidR="00713610" w:rsidRPr="00A92DE3">
        <w:rPr>
          <w:spacing w:val="-4"/>
          <w:kern w:val="22"/>
          <w:lang w:val="en-CA"/>
        </w:rPr>
        <w:t>T</w:t>
      </w:r>
      <w:r w:rsidR="00E867DA" w:rsidRPr="00A92DE3">
        <w:rPr>
          <w:spacing w:val="-4"/>
          <w:kern w:val="22"/>
          <w:lang w:val="en-CA"/>
        </w:rPr>
        <w:t xml:space="preserve">he </w:t>
      </w:r>
      <w:r w:rsidR="00F00F27" w:rsidRPr="00A92DE3">
        <w:rPr>
          <w:spacing w:val="-4"/>
          <w:kern w:val="22"/>
          <w:lang w:val="en-CA"/>
        </w:rPr>
        <w:t xml:space="preserve">partner </w:t>
      </w:r>
      <w:r w:rsidR="00E867DA" w:rsidRPr="00A92DE3">
        <w:rPr>
          <w:spacing w:val="-4"/>
          <w:kern w:val="22"/>
          <w:lang w:val="en-CA"/>
        </w:rPr>
        <w:t>airlines essentially act</w:t>
      </w:r>
      <w:r w:rsidRPr="00A92DE3">
        <w:rPr>
          <w:spacing w:val="-4"/>
          <w:kern w:val="22"/>
          <w:lang w:val="en-CA"/>
        </w:rPr>
        <w:t>ed</w:t>
      </w:r>
      <w:r w:rsidR="00E867DA" w:rsidRPr="00A92DE3">
        <w:rPr>
          <w:spacing w:val="-4"/>
          <w:kern w:val="22"/>
          <w:lang w:val="en-CA"/>
        </w:rPr>
        <w:t xml:space="preserve"> as one on th</w:t>
      </w:r>
      <w:r w:rsidRPr="00A92DE3">
        <w:rPr>
          <w:spacing w:val="-4"/>
          <w:kern w:val="22"/>
          <w:lang w:val="en-CA"/>
        </w:rPr>
        <w:t>ese</w:t>
      </w:r>
      <w:r w:rsidR="00E867DA" w:rsidRPr="00A92DE3">
        <w:rPr>
          <w:spacing w:val="-4"/>
          <w:kern w:val="22"/>
          <w:lang w:val="en-CA"/>
        </w:rPr>
        <w:t xml:space="preserve"> </w:t>
      </w:r>
      <w:r w:rsidR="00713610" w:rsidRPr="00A92DE3">
        <w:rPr>
          <w:spacing w:val="-4"/>
          <w:kern w:val="22"/>
          <w:lang w:val="en-CA"/>
        </w:rPr>
        <w:t xml:space="preserve">specific </w:t>
      </w:r>
      <w:r w:rsidR="00E867DA" w:rsidRPr="00A92DE3">
        <w:rPr>
          <w:spacing w:val="-4"/>
          <w:kern w:val="22"/>
          <w:lang w:val="en-CA"/>
        </w:rPr>
        <w:t>route</w:t>
      </w:r>
      <w:r w:rsidRPr="00A92DE3">
        <w:rPr>
          <w:spacing w:val="-4"/>
          <w:kern w:val="22"/>
          <w:lang w:val="en-CA"/>
        </w:rPr>
        <w:t>s</w:t>
      </w:r>
      <w:r w:rsidR="00F00F27" w:rsidRPr="00A92DE3">
        <w:rPr>
          <w:spacing w:val="-4"/>
          <w:kern w:val="22"/>
          <w:lang w:val="en-CA"/>
        </w:rPr>
        <w:t>,</w:t>
      </w:r>
      <w:r w:rsidR="00E867DA" w:rsidRPr="00A92DE3">
        <w:rPr>
          <w:spacing w:val="-4"/>
          <w:kern w:val="22"/>
          <w:lang w:val="en-CA"/>
        </w:rPr>
        <w:t xml:space="preserve"> coordinating </w:t>
      </w:r>
      <w:r w:rsidR="00F00F27" w:rsidRPr="00A92DE3">
        <w:rPr>
          <w:spacing w:val="-4"/>
          <w:kern w:val="22"/>
          <w:lang w:val="en-CA"/>
        </w:rPr>
        <w:t xml:space="preserve">their </w:t>
      </w:r>
      <w:r w:rsidR="00E867DA" w:rsidRPr="00A92DE3">
        <w:rPr>
          <w:spacing w:val="-4"/>
          <w:kern w:val="22"/>
          <w:lang w:val="en-CA"/>
        </w:rPr>
        <w:t>pricing</w:t>
      </w:r>
      <w:r w:rsidR="00713610" w:rsidRPr="00A92DE3">
        <w:rPr>
          <w:spacing w:val="-4"/>
          <w:kern w:val="22"/>
          <w:lang w:val="en-CA"/>
        </w:rPr>
        <w:t xml:space="preserve"> and </w:t>
      </w:r>
      <w:r w:rsidR="00E867DA" w:rsidRPr="00A92DE3">
        <w:rPr>
          <w:spacing w:val="-4"/>
          <w:kern w:val="22"/>
          <w:lang w:val="en-CA"/>
        </w:rPr>
        <w:t xml:space="preserve">schedules and </w:t>
      </w:r>
      <w:r w:rsidR="00713610" w:rsidRPr="00A92DE3">
        <w:rPr>
          <w:spacing w:val="-4"/>
          <w:kern w:val="22"/>
          <w:lang w:val="en-CA"/>
        </w:rPr>
        <w:t xml:space="preserve">even </w:t>
      </w:r>
      <w:r w:rsidR="00E867DA" w:rsidRPr="00A92DE3">
        <w:rPr>
          <w:spacing w:val="-4"/>
          <w:kern w:val="22"/>
          <w:lang w:val="en-CA"/>
        </w:rPr>
        <w:t xml:space="preserve">sharing </w:t>
      </w:r>
      <w:r w:rsidR="00F00F27" w:rsidRPr="00A92DE3">
        <w:rPr>
          <w:spacing w:val="-4"/>
          <w:kern w:val="22"/>
          <w:lang w:val="en-CA"/>
        </w:rPr>
        <w:t xml:space="preserve">their </w:t>
      </w:r>
      <w:r w:rsidR="00E867DA" w:rsidRPr="00A92DE3">
        <w:rPr>
          <w:spacing w:val="-4"/>
          <w:kern w:val="22"/>
          <w:lang w:val="en-CA"/>
        </w:rPr>
        <w:t>revenue</w:t>
      </w:r>
      <w:r w:rsidR="00713610" w:rsidRPr="00A92DE3">
        <w:rPr>
          <w:spacing w:val="-4"/>
          <w:kern w:val="22"/>
          <w:lang w:val="en-CA"/>
        </w:rPr>
        <w:t>s</w:t>
      </w:r>
      <w:r w:rsidR="00E867DA" w:rsidRPr="00A92DE3">
        <w:rPr>
          <w:spacing w:val="-4"/>
          <w:kern w:val="22"/>
          <w:lang w:val="en-CA"/>
        </w:rPr>
        <w:t xml:space="preserve">. By 2012, </w:t>
      </w:r>
      <w:r w:rsidRPr="00A92DE3">
        <w:rPr>
          <w:spacing w:val="-4"/>
          <w:kern w:val="22"/>
          <w:lang w:val="en-CA"/>
        </w:rPr>
        <w:t xml:space="preserve">these special </w:t>
      </w:r>
      <w:r w:rsidR="00E867DA" w:rsidRPr="00A92DE3">
        <w:rPr>
          <w:spacing w:val="-4"/>
          <w:kern w:val="22"/>
          <w:lang w:val="en-CA"/>
        </w:rPr>
        <w:t>joint ventures were one of the most common forms of co</w:t>
      </w:r>
      <w:r w:rsidR="00713610" w:rsidRPr="00A92DE3">
        <w:rPr>
          <w:spacing w:val="-4"/>
          <w:kern w:val="22"/>
          <w:lang w:val="en-CA"/>
        </w:rPr>
        <w:t>-</w:t>
      </w:r>
      <w:r w:rsidR="00E867DA" w:rsidRPr="00A92DE3">
        <w:rPr>
          <w:spacing w:val="-4"/>
          <w:kern w:val="22"/>
          <w:lang w:val="en-CA"/>
        </w:rPr>
        <w:t>operation</w:t>
      </w:r>
      <w:r w:rsidR="00713610" w:rsidRPr="00A92DE3">
        <w:rPr>
          <w:spacing w:val="-4"/>
          <w:kern w:val="22"/>
          <w:lang w:val="en-CA"/>
        </w:rPr>
        <w:t xml:space="preserve"> in the </w:t>
      </w:r>
      <w:r w:rsidRPr="00A92DE3">
        <w:rPr>
          <w:spacing w:val="-4"/>
          <w:kern w:val="22"/>
          <w:lang w:val="en-CA"/>
        </w:rPr>
        <w:t xml:space="preserve">airline </w:t>
      </w:r>
      <w:r w:rsidR="00713610" w:rsidRPr="00A92DE3">
        <w:rPr>
          <w:spacing w:val="-4"/>
          <w:kern w:val="22"/>
          <w:lang w:val="en-CA"/>
        </w:rPr>
        <w:t>industry</w:t>
      </w:r>
      <w:r w:rsidR="00E867DA" w:rsidRPr="00A92DE3">
        <w:rPr>
          <w:spacing w:val="-4"/>
          <w:kern w:val="22"/>
          <w:lang w:val="en-CA"/>
        </w:rPr>
        <w:t>, accounting for 87</w:t>
      </w:r>
      <w:r w:rsidR="00713610" w:rsidRPr="00A92DE3">
        <w:rPr>
          <w:spacing w:val="-4"/>
          <w:kern w:val="22"/>
          <w:lang w:val="en-CA"/>
        </w:rPr>
        <w:t xml:space="preserve"> per cent</w:t>
      </w:r>
      <w:r w:rsidR="00E867DA" w:rsidRPr="00A92DE3">
        <w:rPr>
          <w:spacing w:val="-4"/>
          <w:kern w:val="22"/>
          <w:lang w:val="en-CA"/>
        </w:rPr>
        <w:t xml:space="preserve"> of traffic carried across the North Atlantic. Most of the</w:t>
      </w:r>
      <w:r w:rsidR="00713610" w:rsidRPr="00A92DE3">
        <w:rPr>
          <w:spacing w:val="-4"/>
          <w:kern w:val="22"/>
          <w:lang w:val="en-CA"/>
        </w:rPr>
        <w:t>m</w:t>
      </w:r>
      <w:r w:rsidR="00E867DA" w:rsidRPr="00A92DE3">
        <w:rPr>
          <w:spacing w:val="-4"/>
          <w:kern w:val="22"/>
          <w:lang w:val="en-CA"/>
        </w:rPr>
        <w:t xml:space="preserve"> were </w:t>
      </w:r>
      <w:r w:rsidR="00713610" w:rsidRPr="00A92DE3">
        <w:rPr>
          <w:spacing w:val="-4"/>
          <w:kern w:val="22"/>
          <w:lang w:val="en-CA"/>
        </w:rPr>
        <w:t>agreements between</w:t>
      </w:r>
      <w:r w:rsidR="00E867DA" w:rsidRPr="00A92DE3">
        <w:rPr>
          <w:spacing w:val="-4"/>
          <w:kern w:val="22"/>
          <w:lang w:val="en-CA"/>
        </w:rPr>
        <w:t xml:space="preserve"> large carriers</w:t>
      </w:r>
      <w:r w:rsidR="00713610" w:rsidRPr="00A92DE3">
        <w:rPr>
          <w:spacing w:val="-4"/>
          <w:kern w:val="22"/>
          <w:lang w:val="en-CA"/>
        </w:rPr>
        <w:t>, who</w:t>
      </w:r>
      <w:r w:rsidR="00E867DA" w:rsidRPr="00A92DE3">
        <w:rPr>
          <w:spacing w:val="-4"/>
          <w:kern w:val="22"/>
          <w:lang w:val="en-CA"/>
        </w:rPr>
        <w:t xml:space="preserve"> were also part of </w:t>
      </w:r>
      <w:r w:rsidR="00713610" w:rsidRPr="00A92DE3">
        <w:rPr>
          <w:spacing w:val="-4"/>
          <w:kern w:val="22"/>
          <w:lang w:val="en-CA"/>
        </w:rPr>
        <w:t>a</w:t>
      </w:r>
      <w:r w:rsidR="00E867DA" w:rsidRPr="00A92DE3">
        <w:rPr>
          <w:spacing w:val="-4"/>
          <w:kern w:val="22"/>
          <w:lang w:val="en-CA"/>
        </w:rPr>
        <w:t xml:space="preserve"> major global alliance.</w:t>
      </w:r>
      <w:r w:rsidR="0076469D" w:rsidRPr="00A92DE3">
        <w:rPr>
          <w:rStyle w:val="EndnoteReference"/>
          <w:spacing w:val="-4"/>
          <w:kern w:val="22"/>
          <w:lang w:val="en-CA"/>
        </w:rPr>
        <w:endnoteReference w:id="24"/>
      </w:r>
      <w:r w:rsidR="00E867DA" w:rsidRPr="00A92DE3">
        <w:rPr>
          <w:spacing w:val="-4"/>
          <w:kern w:val="22"/>
          <w:lang w:val="en-CA"/>
        </w:rPr>
        <w:t xml:space="preserve"> In 2018, 60</w:t>
      </w:r>
      <w:r w:rsidR="00713610" w:rsidRPr="00A92DE3">
        <w:rPr>
          <w:spacing w:val="-4"/>
          <w:kern w:val="22"/>
          <w:lang w:val="en-CA"/>
        </w:rPr>
        <w:t xml:space="preserve"> per cent</w:t>
      </w:r>
      <w:r w:rsidR="00E867DA" w:rsidRPr="00A92DE3">
        <w:rPr>
          <w:spacing w:val="-4"/>
          <w:kern w:val="22"/>
          <w:lang w:val="en-CA"/>
        </w:rPr>
        <w:t xml:space="preserve"> of American’s international capacity was included in some form of </w:t>
      </w:r>
      <w:r w:rsidR="00713610" w:rsidRPr="00A92DE3">
        <w:rPr>
          <w:spacing w:val="-4"/>
          <w:kern w:val="22"/>
          <w:lang w:val="en-CA"/>
        </w:rPr>
        <w:t>joint venture</w:t>
      </w:r>
      <w:r w:rsidR="00E867DA" w:rsidRPr="00A92DE3">
        <w:rPr>
          <w:spacing w:val="-4"/>
          <w:kern w:val="22"/>
          <w:lang w:val="en-CA"/>
        </w:rPr>
        <w:t xml:space="preserve"> agreement. In the same year, </w:t>
      </w:r>
      <w:r w:rsidR="00713610" w:rsidRPr="00A92DE3">
        <w:rPr>
          <w:spacing w:val="-4"/>
          <w:kern w:val="22"/>
          <w:lang w:val="en-CA"/>
        </w:rPr>
        <w:t xml:space="preserve">joint venture partnerships included </w:t>
      </w:r>
      <w:r w:rsidR="00E867DA" w:rsidRPr="00A92DE3">
        <w:rPr>
          <w:spacing w:val="-4"/>
          <w:kern w:val="22"/>
          <w:lang w:val="en-CA"/>
        </w:rPr>
        <w:t>58</w:t>
      </w:r>
      <w:r w:rsidR="00713610" w:rsidRPr="00A92DE3">
        <w:rPr>
          <w:spacing w:val="-4"/>
          <w:kern w:val="22"/>
          <w:lang w:val="en-CA"/>
        </w:rPr>
        <w:t xml:space="preserve"> per cent</w:t>
      </w:r>
      <w:r w:rsidR="00E867DA" w:rsidRPr="00A92DE3">
        <w:rPr>
          <w:spacing w:val="-4"/>
          <w:kern w:val="22"/>
          <w:lang w:val="en-CA"/>
        </w:rPr>
        <w:t xml:space="preserve"> of Delta’s and 46</w:t>
      </w:r>
      <w:r w:rsidR="00713610" w:rsidRPr="00A92DE3">
        <w:rPr>
          <w:spacing w:val="-4"/>
          <w:kern w:val="22"/>
          <w:lang w:val="en-CA"/>
        </w:rPr>
        <w:t xml:space="preserve"> per cent</w:t>
      </w:r>
      <w:r w:rsidR="00E867DA" w:rsidRPr="00A92DE3">
        <w:rPr>
          <w:spacing w:val="-4"/>
          <w:kern w:val="22"/>
          <w:lang w:val="en-CA"/>
        </w:rPr>
        <w:t xml:space="preserve"> of United’s international capacity.</w:t>
      </w:r>
      <w:r w:rsidR="00E867DA" w:rsidRPr="00A92DE3">
        <w:rPr>
          <w:spacing w:val="-4"/>
          <w:kern w:val="22"/>
          <w:vertAlign w:val="superscript"/>
          <w:lang w:val="en-CA"/>
        </w:rPr>
        <w:endnoteReference w:id="25"/>
      </w:r>
    </w:p>
    <w:p w14:paraId="550ADAFB" w14:textId="77777777" w:rsidR="00E867DA" w:rsidRPr="00A92DE3" w:rsidRDefault="00E867DA" w:rsidP="00E867DA">
      <w:pPr>
        <w:pStyle w:val="BodyTextMain"/>
        <w:rPr>
          <w:sz w:val="14"/>
          <w:szCs w:val="14"/>
          <w:lang w:val="en-CA"/>
        </w:rPr>
      </w:pPr>
    </w:p>
    <w:p w14:paraId="1C7FA188" w14:textId="3AA1F39B" w:rsidR="00E867DA" w:rsidRPr="005945EC" w:rsidRDefault="00E867DA" w:rsidP="00E867DA">
      <w:pPr>
        <w:pStyle w:val="BodyTextMain"/>
        <w:rPr>
          <w:lang w:val="en-CA"/>
        </w:rPr>
      </w:pPr>
      <w:r w:rsidRPr="005945EC">
        <w:rPr>
          <w:lang w:val="en-CA"/>
        </w:rPr>
        <w:t xml:space="preserve">In 2018, Delta anticipated </w:t>
      </w:r>
      <w:r w:rsidR="00ED7C28" w:rsidRPr="005945EC">
        <w:rPr>
          <w:lang w:val="en-CA"/>
        </w:rPr>
        <w:t xml:space="preserve">that it would earn </w:t>
      </w:r>
      <w:r w:rsidRPr="005945EC">
        <w:rPr>
          <w:lang w:val="en-CA"/>
        </w:rPr>
        <w:t>$500</w:t>
      </w:r>
      <w:r w:rsidR="00ED7C28" w:rsidRPr="005945EC">
        <w:rPr>
          <w:lang w:val="en-CA"/>
        </w:rPr>
        <w:t>–</w:t>
      </w:r>
      <w:r w:rsidRPr="005945EC">
        <w:rPr>
          <w:lang w:val="en-CA"/>
        </w:rPr>
        <w:t xml:space="preserve">600 million in incremental revenues </w:t>
      </w:r>
      <w:r w:rsidR="00ED7C28" w:rsidRPr="005945EC">
        <w:rPr>
          <w:lang w:val="en-CA"/>
        </w:rPr>
        <w:t xml:space="preserve">by 2020, resulting </w:t>
      </w:r>
      <w:r w:rsidRPr="005945EC">
        <w:rPr>
          <w:lang w:val="en-CA"/>
        </w:rPr>
        <w:t xml:space="preserve">from its </w:t>
      </w:r>
      <w:r w:rsidR="00ED7C28" w:rsidRPr="005945EC">
        <w:rPr>
          <w:lang w:val="en-CA"/>
        </w:rPr>
        <w:t>joint venture</w:t>
      </w:r>
      <w:r w:rsidRPr="005945EC">
        <w:rPr>
          <w:lang w:val="en-CA"/>
        </w:rPr>
        <w:t xml:space="preserve"> partnerships</w:t>
      </w:r>
      <w:r w:rsidR="00ED7C28" w:rsidRPr="005945EC">
        <w:rPr>
          <w:lang w:val="en-CA"/>
        </w:rPr>
        <w:t>. M</w:t>
      </w:r>
      <w:r w:rsidRPr="005945EC">
        <w:rPr>
          <w:lang w:val="en-CA"/>
        </w:rPr>
        <w:t xml:space="preserve">uch of </w:t>
      </w:r>
      <w:r w:rsidR="00ED7C28" w:rsidRPr="005945EC">
        <w:rPr>
          <w:lang w:val="en-CA"/>
        </w:rPr>
        <w:t>that revenue was expected</w:t>
      </w:r>
      <w:r w:rsidRPr="005945EC">
        <w:rPr>
          <w:lang w:val="en-CA"/>
        </w:rPr>
        <w:t xml:space="preserve"> to </w:t>
      </w:r>
      <w:r w:rsidR="00ED7C28" w:rsidRPr="005945EC">
        <w:rPr>
          <w:lang w:val="en-CA"/>
        </w:rPr>
        <w:t xml:space="preserve">be </w:t>
      </w:r>
      <w:r w:rsidRPr="005945EC">
        <w:rPr>
          <w:lang w:val="en-CA"/>
        </w:rPr>
        <w:t>pass</w:t>
      </w:r>
      <w:r w:rsidR="00ED7C28" w:rsidRPr="005945EC">
        <w:rPr>
          <w:lang w:val="en-CA"/>
        </w:rPr>
        <w:t>ed</w:t>
      </w:r>
      <w:r w:rsidRPr="005945EC">
        <w:rPr>
          <w:lang w:val="en-CA"/>
        </w:rPr>
        <w:t xml:space="preserve"> along to customers</w:t>
      </w:r>
      <w:r w:rsidR="00ED7C28" w:rsidRPr="005945EC">
        <w:rPr>
          <w:lang w:val="en-CA"/>
        </w:rPr>
        <w:t xml:space="preserve">, </w:t>
      </w:r>
      <w:r w:rsidR="002D7D08" w:rsidRPr="005945EC">
        <w:rPr>
          <w:lang w:val="en-CA"/>
        </w:rPr>
        <w:t xml:space="preserve">but </w:t>
      </w:r>
      <w:r w:rsidR="00ED7C28" w:rsidRPr="005945EC">
        <w:rPr>
          <w:lang w:val="en-CA"/>
        </w:rPr>
        <w:t>d</w:t>
      </w:r>
      <w:r w:rsidRPr="005945EC">
        <w:rPr>
          <w:lang w:val="en-CA"/>
        </w:rPr>
        <w:t xml:space="preserve">espite the benefits </w:t>
      </w:r>
      <w:r w:rsidR="00ED7C28" w:rsidRPr="005945EC">
        <w:rPr>
          <w:lang w:val="en-CA"/>
        </w:rPr>
        <w:t>that</w:t>
      </w:r>
      <w:r w:rsidRPr="005945EC">
        <w:rPr>
          <w:lang w:val="en-CA"/>
        </w:rPr>
        <w:t xml:space="preserve"> airlines claimed </w:t>
      </w:r>
      <w:r w:rsidR="00ED7C28" w:rsidRPr="005945EC">
        <w:rPr>
          <w:lang w:val="en-CA"/>
        </w:rPr>
        <w:t>they were passing on to</w:t>
      </w:r>
      <w:r w:rsidRPr="005945EC">
        <w:rPr>
          <w:lang w:val="en-CA"/>
        </w:rPr>
        <w:t xml:space="preserve"> passengers, governments </w:t>
      </w:r>
      <w:r w:rsidR="00ED7C28" w:rsidRPr="005945EC">
        <w:rPr>
          <w:lang w:val="en-CA"/>
        </w:rPr>
        <w:t>were reluctant to exten</w:t>
      </w:r>
      <w:r w:rsidR="002D7D08" w:rsidRPr="005945EC">
        <w:rPr>
          <w:lang w:val="en-CA"/>
        </w:rPr>
        <w:t>d</w:t>
      </w:r>
      <w:r w:rsidRPr="005945EC">
        <w:rPr>
          <w:lang w:val="en-CA"/>
        </w:rPr>
        <w:t xml:space="preserve"> antitrust immunity t</w:t>
      </w:r>
      <w:r w:rsidR="002D7D08" w:rsidRPr="005945EC">
        <w:rPr>
          <w:lang w:val="en-CA"/>
        </w:rPr>
        <w:t>hrough these</w:t>
      </w:r>
      <w:r w:rsidRPr="005945EC">
        <w:rPr>
          <w:lang w:val="en-CA"/>
        </w:rPr>
        <w:t xml:space="preserve"> joint venture partnerships</w:t>
      </w:r>
      <w:r w:rsidR="00ED7C28" w:rsidRPr="005945EC">
        <w:rPr>
          <w:lang w:val="en-CA"/>
        </w:rPr>
        <w:t>, except</w:t>
      </w:r>
      <w:r w:rsidRPr="005945EC">
        <w:rPr>
          <w:lang w:val="en-CA"/>
        </w:rPr>
        <w:t xml:space="preserve"> for routes </w:t>
      </w:r>
      <w:r w:rsidR="00ED7C28" w:rsidRPr="005945EC">
        <w:rPr>
          <w:lang w:val="en-CA"/>
        </w:rPr>
        <w:t>that had</w:t>
      </w:r>
      <w:r w:rsidRPr="005945EC">
        <w:rPr>
          <w:lang w:val="en-CA"/>
        </w:rPr>
        <w:t xml:space="preserve"> no significant impact </w:t>
      </w:r>
      <w:r w:rsidR="00ED7C28" w:rsidRPr="005945EC">
        <w:rPr>
          <w:lang w:val="en-CA"/>
        </w:rPr>
        <w:t xml:space="preserve">on </w:t>
      </w:r>
      <w:r w:rsidRPr="005945EC">
        <w:rPr>
          <w:lang w:val="en-CA"/>
        </w:rPr>
        <w:t>competition. Regardless, in 2015 the U</w:t>
      </w:r>
      <w:r w:rsidR="00ED7C28" w:rsidRPr="005945EC">
        <w:rPr>
          <w:lang w:val="en-CA"/>
        </w:rPr>
        <w:t xml:space="preserve">nited </w:t>
      </w:r>
      <w:r w:rsidRPr="005945EC">
        <w:rPr>
          <w:lang w:val="en-CA"/>
        </w:rPr>
        <w:t>S</w:t>
      </w:r>
      <w:r w:rsidR="00ED7C28" w:rsidRPr="005945EC">
        <w:rPr>
          <w:lang w:val="en-CA"/>
        </w:rPr>
        <w:t>tates</w:t>
      </w:r>
      <w:r w:rsidRPr="005945EC">
        <w:rPr>
          <w:lang w:val="en-CA"/>
        </w:rPr>
        <w:t xml:space="preserve"> Department of Justice </w:t>
      </w:r>
      <w:r w:rsidR="00DA5AF7" w:rsidRPr="005945EC">
        <w:rPr>
          <w:lang w:val="en-CA"/>
        </w:rPr>
        <w:t xml:space="preserve">conversely </w:t>
      </w:r>
      <w:r w:rsidRPr="005945EC">
        <w:rPr>
          <w:lang w:val="en-CA"/>
        </w:rPr>
        <w:t>found that joint venture partnerships often increased</w:t>
      </w:r>
      <w:r w:rsidR="00DA5AF7" w:rsidRPr="005945EC">
        <w:rPr>
          <w:lang w:val="en-CA"/>
        </w:rPr>
        <w:t>, rather than lowered,</w:t>
      </w:r>
      <w:r w:rsidRPr="005945EC">
        <w:rPr>
          <w:lang w:val="en-CA"/>
        </w:rPr>
        <w:t xml:space="preserve"> ticket prices</w:t>
      </w:r>
      <w:r w:rsidRPr="005945EC">
        <w:rPr>
          <w:rFonts w:ascii="ZWAdobeF" w:hAnsi="ZWAdobeF" w:cs="ZWAdobeF"/>
          <w:lang w:val="en-CA"/>
        </w:rPr>
        <w:t>.</w:t>
      </w:r>
      <w:r w:rsidRPr="005945EC">
        <w:rPr>
          <w:vertAlign w:val="superscript"/>
          <w:lang w:val="en-CA"/>
        </w:rPr>
        <w:endnoteReference w:id="26"/>
      </w:r>
    </w:p>
    <w:p w14:paraId="6764A9C8" w14:textId="77777777" w:rsidR="00E867DA" w:rsidRPr="00A92DE3" w:rsidRDefault="00E867DA" w:rsidP="00E867DA">
      <w:pPr>
        <w:pStyle w:val="BodyTextMain"/>
        <w:rPr>
          <w:sz w:val="14"/>
          <w:szCs w:val="14"/>
          <w:lang w:val="en-CA"/>
        </w:rPr>
      </w:pPr>
    </w:p>
    <w:p w14:paraId="1BD25385" w14:textId="6DB47272" w:rsidR="00E867DA" w:rsidRPr="005945EC" w:rsidRDefault="00E867DA" w:rsidP="00E867DA">
      <w:pPr>
        <w:pStyle w:val="BodyTextMain"/>
        <w:rPr>
          <w:lang w:val="en-CA"/>
        </w:rPr>
      </w:pPr>
      <w:r w:rsidRPr="005945EC">
        <w:rPr>
          <w:lang w:val="en-CA"/>
        </w:rPr>
        <w:t xml:space="preserve">The most involved form of </w:t>
      </w:r>
      <w:r w:rsidR="00021117" w:rsidRPr="005945EC">
        <w:rPr>
          <w:lang w:val="en-CA"/>
        </w:rPr>
        <w:t xml:space="preserve">business </w:t>
      </w:r>
      <w:r w:rsidRPr="005945EC">
        <w:rPr>
          <w:lang w:val="en-CA"/>
        </w:rPr>
        <w:t>co</w:t>
      </w:r>
      <w:r w:rsidR="00002691" w:rsidRPr="005945EC">
        <w:rPr>
          <w:lang w:val="en-CA"/>
        </w:rPr>
        <w:t>-</w:t>
      </w:r>
      <w:r w:rsidRPr="005945EC">
        <w:rPr>
          <w:lang w:val="en-CA"/>
        </w:rPr>
        <w:t>operation, short of a complete merger, was an equity investment</w:t>
      </w:r>
      <w:r w:rsidR="00021117" w:rsidRPr="005945EC">
        <w:rPr>
          <w:lang w:val="en-CA"/>
        </w:rPr>
        <w:t xml:space="preserve"> agreement</w:t>
      </w:r>
      <w:r w:rsidRPr="005945EC">
        <w:rPr>
          <w:lang w:val="en-CA"/>
        </w:rPr>
        <w:t>. Delta took this approach during the 2000s when it acquired stakes in China Eastern</w:t>
      </w:r>
      <w:r w:rsidR="00021117" w:rsidRPr="005945EC">
        <w:rPr>
          <w:lang w:val="en-CA"/>
        </w:rPr>
        <w:t xml:space="preserve"> Airlines Corporation Limited</w:t>
      </w:r>
      <w:r w:rsidRPr="005945EC">
        <w:rPr>
          <w:lang w:val="en-CA"/>
        </w:rPr>
        <w:t>, Air France-KLM</w:t>
      </w:r>
      <w:r w:rsidR="00021117" w:rsidRPr="005945EC">
        <w:rPr>
          <w:lang w:val="en-CA"/>
        </w:rPr>
        <w:t xml:space="preserve"> S.A.</w:t>
      </w:r>
      <w:r w:rsidRPr="005945EC">
        <w:rPr>
          <w:lang w:val="en-CA"/>
        </w:rPr>
        <w:t>, Korean Air</w:t>
      </w:r>
      <w:r w:rsidR="00021117" w:rsidRPr="005945EC">
        <w:rPr>
          <w:lang w:val="en-CA"/>
        </w:rPr>
        <w:t xml:space="preserve"> Co. Ltd.</w:t>
      </w:r>
      <w:r w:rsidRPr="005945EC">
        <w:rPr>
          <w:lang w:val="en-CA"/>
        </w:rPr>
        <w:t>, Virgin Atlantic, and LATAM</w:t>
      </w:r>
      <w:r w:rsidR="00021117" w:rsidRPr="005945EC">
        <w:rPr>
          <w:lang w:val="en-CA"/>
        </w:rPr>
        <w:t xml:space="preserve"> Airlines</w:t>
      </w:r>
      <w:r w:rsidRPr="005945EC">
        <w:rPr>
          <w:lang w:val="en-CA"/>
        </w:rPr>
        <w:t>. Delta invest</w:t>
      </w:r>
      <w:r w:rsidR="00021117" w:rsidRPr="005945EC">
        <w:rPr>
          <w:lang w:val="en-CA"/>
        </w:rPr>
        <w:t>ed</w:t>
      </w:r>
      <w:r w:rsidRPr="005945EC">
        <w:rPr>
          <w:lang w:val="en-CA"/>
        </w:rPr>
        <w:t xml:space="preserve"> a 49</w:t>
      </w:r>
      <w:r w:rsidR="00021117" w:rsidRPr="005945EC">
        <w:rPr>
          <w:lang w:val="en-CA"/>
        </w:rPr>
        <w:t xml:space="preserve"> per cent </w:t>
      </w:r>
      <w:r w:rsidRPr="005945EC">
        <w:rPr>
          <w:lang w:val="en-CA"/>
        </w:rPr>
        <w:t>stake in Virgin Atlantic</w:t>
      </w:r>
      <w:r w:rsidR="00021117" w:rsidRPr="005945EC">
        <w:rPr>
          <w:lang w:val="en-CA"/>
        </w:rPr>
        <w:t>, which proved to be</w:t>
      </w:r>
      <w:r w:rsidRPr="005945EC">
        <w:rPr>
          <w:lang w:val="en-CA"/>
        </w:rPr>
        <w:t xml:space="preserve"> </w:t>
      </w:r>
      <w:r w:rsidR="00021117" w:rsidRPr="005945EC">
        <w:rPr>
          <w:lang w:val="en-CA"/>
        </w:rPr>
        <w:t>i</w:t>
      </w:r>
      <w:r w:rsidRPr="005945EC">
        <w:rPr>
          <w:lang w:val="en-CA"/>
        </w:rPr>
        <w:t>t</w:t>
      </w:r>
      <w:r w:rsidR="00021117" w:rsidRPr="005945EC">
        <w:rPr>
          <w:lang w:val="en-CA"/>
        </w:rPr>
        <w:t>s</w:t>
      </w:r>
      <w:r w:rsidRPr="005945EC">
        <w:rPr>
          <w:lang w:val="en-CA"/>
        </w:rPr>
        <w:t xml:space="preserve"> most successful </w:t>
      </w:r>
      <w:r w:rsidR="00021117" w:rsidRPr="005945EC">
        <w:rPr>
          <w:lang w:val="en-CA"/>
        </w:rPr>
        <w:t>outcome in</w:t>
      </w:r>
      <w:r w:rsidRPr="005945EC">
        <w:rPr>
          <w:lang w:val="en-CA"/>
        </w:rPr>
        <w:t xml:space="preserve"> this </w:t>
      </w:r>
      <w:r w:rsidR="00021117" w:rsidRPr="005945EC">
        <w:rPr>
          <w:lang w:val="en-CA"/>
        </w:rPr>
        <w:t xml:space="preserve">type of </w:t>
      </w:r>
      <w:r w:rsidRPr="005945EC">
        <w:rPr>
          <w:lang w:val="en-CA"/>
        </w:rPr>
        <w:t xml:space="preserve">strategy. Virgin Atlantic provided Delta greater access to several </w:t>
      </w:r>
      <w:r w:rsidR="00021117" w:rsidRPr="005945EC">
        <w:rPr>
          <w:lang w:val="en-CA"/>
        </w:rPr>
        <w:t>t</w:t>
      </w:r>
      <w:r w:rsidRPr="005945EC">
        <w:rPr>
          <w:lang w:val="en-CA"/>
        </w:rPr>
        <w:t>rans</w:t>
      </w:r>
      <w:r w:rsidR="00021117" w:rsidRPr="005945EC">
        <w:rPr>
          <w:lang w:val="en-CA"/>
        </w:rPr>
        <w:t>a</w:t>
      </w:r>
      <w:r w:rsidRPr="005945EC">
        <w:rPr>
          <w:lang w:val="en-CA"/>
        </w:rPr>
        <w:t xml:space="preserve">tlantic routes, while Delta opened </w:t>
      </w:r>
      <w:r w:rsidR="00021117" w:rsidRPr="005945EC">
        <w:rPr>
          <w:lang w:val="en-CA"/>
        </w:rPr>
        <w:t xml:space="preserve">access to </w:t>
      </w:r>
      <w:r w:rsidRPr="005945EC">
        <w:rPr>
          <w:lang w:val="en-CA"/>
        </w:rPr>
        <w:t xml:space="preserve">several popular US destinations previously </w:t>
      </w:r>
      <w:r w:rsidR="00021117" w:rsidRPr="005945EC">
        <w:rPr>
          <w:lang w:val="en-CA"/>
        </w:rPr>
        <w:t>unavaila</w:t>
      </w:r>
      <w:r w:rsidRPr="005945EC">
        <w:rPr>
          <w:lang w:val="en-CA"/>
        </w:rPr>
        <w:t xml:space="preserve">ble to Virgin Atlantic. </w:t>
      </w:r>
      <w:r w:rsidR="00021117" w:rsidRPr="005945EC">
        <w:rPr>
          <w:lang w:val="en-CA"/>
        </w:rPr>
        <w:t>T</w:t>
      </w:r>
      <w:r w:rsidRPr="005945EC">
        <w:rPr>
          <w:lang w:val="en-CA"/>
        </w:rPr>
        <w:t>his</w:t>
      </w:r>
      <w:r w:rsidR="00021117" w:rsidRPr="005945EC">
        <w:rPr>
          <w:lang w:val="en-CA"/>
        </w:rPr>
        <w:t xml:space="preserve"> type of</w:t>
      </w:r>
      <w:r w:rsidRPr="005945EC">
        <w:rPr>
          <w:lang w:val="en-CA"/>
        </w:rPr>
        <w:t xml:space="preserve"> strategy</w:t>
      </w:r>
      <w:r w:rsidR="00021117" w:rsidRPr="005945EC">
        <w:rPr>
          <w:lang w:val="en-CA"/>
        </w:rPr>
        <w:t>, however,</w:t>
      </w:r>
      <w:r w:rsidRPr="005945EC">
        <w:rPr>
          <w:lang w:val="en-CA"/>
        </w:rPr>
        <w:t xml:space="preserve"> could be risky</w:t>
      </w:r>
      <w:r w:rsidR="00021117" w:rsidRPr="005945EC">
        <w:rPr>
          <w:lang w:val="en-CA"/>
        </w:rPr>
        <w:t xml:space="preserve"> for</w:t>
      </w:r>
      <w:r w:rsidRPr="005945EC">
        <w:rPr>
          <w:lang w:val="en-CA"/>
        </w:rPr>
        <w:t xml:space="preserve"> the investor</w:t>
      </w:r>
      <w:r w:rsidR="00021117" w:rsidRPr="005945EC">
        <w:rPr>
          <w:lang w:val="en-CA"/>
        </w:rPr>
        <w:t>, who</w:t>
      </w:r>
      <w:r w:rsidRPr="005945EC">
        <w:rPr>
          <w:lang w:val="en-CA"/>
        </w:rPr>
        <w:t xml:space="preserve"> was </w:t>
      </w:r>
      <w:r w:rsidR="00021117" w:rsidRPr="005945EC">
        <w:rPr>
          <w:lang w:val="en-CA"/>
        </w:rPr>
        <w:t xml:space="preserve">also </w:t>
      </w:r>
      <w:r w:rsidRPr="005945EC">
        <w:rPr>
          <w:lang w:val="en-CA"/>
        </w:rPr>
        <w:t xml:space="preserve">exposed to </w:t>
      </w:r>
      <w:r w:rsidR="002D7D08" w:rsidRPr="005945EC">
        <w:rPr>
          <w:lang w:val="en-CA"/>
        </w:rPr>
        <w:t xml:space="preserve">severe </w:t>
      </w:r>
      <w:r w:rsidR="00021117" w:rsidRPr="005945EC">
        <w:rPr>
          <w:lang w:val="en-CA"/>
        </w:rPr>
        <w:t xml:space="preserve">potential </w:t>
      </w:r>
      <w:r w:rsidRPr="005945EC">
        <w:rPr>
          <w:lang w:val="en-CA"/>
        </w:rPr>
        <w:t xml:space="preserve">losses. In early 2020, </w:t>
      </w:r>
      <w:r w:rsidR="002D7D08" w:rsidRPr="005945EC">
        <w:rPr>
          <w:lang w:val="en-CA"/>
        </w:rPr>
        <w:t xml:space="preserve">for example, </w:t>
      </w:r>
      <w:r w:rsidRPr="005945EC">
        <w:rPr>
          <w:lang w:val="en-CA"/>
        </w:rPr>
        <w:t xml:space="preserve">Delta invested $1.9 billion </w:t>
      </w:r>
      <w:r w:rsidR="00033E8F" w:rsidRPr="005945EC">
        <w:rPr>
          <w:lang w:val="en-CA"/>
        </w:rPr>
        <w:t>for</w:t>
      </w:r>
      <w:r w:rsidRPr="005945EC">
        <w:rPr>
          <w:lang w:val="en-CA"/>
        </w:rPr>
        <w:t xml:space="preserve"> a 20</w:t>
      </w:r>
      <w:r w:rsidR="00033E8F" w:rsidRPr="005945EC">
        <w:rPr>
          <w:lang w:val="en-CA"/>
        </w:rPr>
        <w:t xml:space="preserve"> per</w:t>
      </w:r>
      <w:r w:rsidRPr="005945EC">
        <w:rPr>
          <w:lang w:val="en-CA"/>
        </w:rPr>
        <w:t xml:space="preserve"> </w:t>
      </w:r>
      <w:r w:rsidR="00CA7055" w:rsidRPr="005945EC">
        <w:rPr>
          <w:lang w:val="en-CA"/>
        </w:rPr>
        <w:t xml:space="preserve">cent </w:t>
      </w:r>
      <w:r w:rsidRPr="005945EC">
        <w:rPr>
          <w:lang w:val="en-CA"/>
        </w:rPr>
        <w:t xml:space="preserve">stake in LATAM; a few months later, this investment was worth </w:t>
      </w:r>
      <w:r w:rsidR="00033E8F" w:rsidRPr="005945EC">
        <w:rPr>
          <w:lang w:val="en-CA"/>
        </w:rPr>
        <w:t xml:space="preserve">less than one-tenth of that amount, at </w:t>
      </w:r>
      <w:r w:rsidRPr="005945EC">
        <w:rPr>
          <w:lang w:val="en-CA"/>
        </w:rPr>
        <w:t>approximately $150 million</w:t>
      </w:r>
      <w:r w:rsidR="00033E8F" w:rsidRPr="005945EC">
        <w:rPr>
          <w:lang w:val="en-CA"/>
        </w:rPr>
        <w:t>,</w:t>
      </w:r>
      <w:r w:rsidRPr="005945EC">
        <w:rPr>
          <w:lang w:val="en-CA"/>
        </w:rPr>
        <w:t xml:space="preserve"> </w:t>
      </w:r>
      <w:r w:rsidR="00033E8F" w:rsidRPr="005945EC">
        <w:rPr>
          <w:lang w:val="en-CA"/>
        </w:rPr>
        <w:t>after</w:t>
      </w:r>
      <w:r w:rsidRPr="005945EC">
        <w:rPr>
          <w:lang w:val="en-CA"/>
        </w:rPr>
        <w:t xml:space="preserve"> the airline filed for Chapter 11 bankruptcy on May 26, 2020.</w:t>
      </w:r>
      <w:r w:rsidRPr="005945EC">
        <w:rPr>
          <w:vertAlign w:val="superscript"/>
          <w:lang w:val="en-CA"/>
        </w:rPr>
        <w:endnoteReference w:id="27"/>
      </w:r>
    </w:p>
    <w:p w14:paraId="799EFE9F" w14:textId="77777777" w:rsidR="00801C68" w:rsidRPr="00A92DE3" w:rsidRDefault="00801C68" w:rsidP="00A92DE3">
      <w:pPr>
        <w:pStyle w:val="BodyTextMain"/>
        <w:rPr>
          <w:sz w:val="14"/>
          <w:szCs w:val="14"/>
          <w:lang w:val="en-CA"/>
        </w:rPr>
      </w:pPr>
    </w:p>
    <w:p w14:paraId="4CC4D291" w14:textId="77777777" w:rsidR="00801C68" w:rsidRPr="00A92DE3" w:rsidRDefault="00801C68" w:rsidP="00A92DE3">
      <w:pPr>
        <w:pStyle w:val="BodyTextMain"/>
        <w:rPr>
          <w:sz w:val="14"/>
          <w:szCs w:val="14"/>
          <w:lang w:val="en-CA"/>
        </w:rPr>
      </w:pPr>
    </w:p>
    <w:p w14:paraId="5E7A95B2" w14:textId="639B02BC" w:rsidR="00E867DA" w:rsidRPr="005945EC" w:rsidRDefault="00E867DA" w:rsidP="00E867DA">
      <w:pPr>
        <w:pStyle w:val="Casehead1"/>
        <w:rPr>
          <w:lang w:val="en-CA"/>
        </w:rPr>
      </w:pPr>
      <w:r w:rsidRPr="005945EC">
        <w:rPr>
          <w:lang w:val="en-CA"/>
        </w:rPr>
        <w:t xml:space="preserve">Managing Star Alliance </w:t>
      </w:r>
    </w:p>
    <w:p w14:paraId="1FCDB4FE" w14:textId="77777777" w:rsidR="00E867DA" w:rsidRPr="00A92DE3" w:rsidRDefault="00E867DA" w:rsidP="00E867DA">
      <w:pPr>
        <w:pStyle w:val="BodyTextMain"/>
        <w:rPr>
          <w:sz w:val="14"/>
          <w:szCs w:val="14"/>
          <w:lang w:val="en-CA"/>
        </w:rPr>
      </w:pPr>
    </w:p>
    <w:p w14:paraId="31A53A42" w14:textId="21E94272" w:rsidR="00E867DA" w:rsidRPr="005945EC" w:rsidRDefault="00DE59F7" w:rsidP="00E867DA">
      <w:pPr>
        <w:pStyle w:val="BodyTextMain"/>
        <w:rPr>
          <w:lang w:val="en-CA"/>
        </w:rPr>
      </w:pPr>
      <w:r w:rsidRPr="005945EC">
        <w:rPr>
          <w:lang w:val="en-CA"/>
        </w:rPr>
        <w:t>The</w:t>
      </w:r>
      <w:r w:rsidR="00E867DA" w:rsidRPr="005945EC">
        <w:rPr>
          <w:lang w:val="en-CA"/>
        </w:rPr>
        <w:t xml:space="preserve"> combin</w:t>
      </w:r>
      <w:r w:rsidRPr="005945EC">
        <w:rPr>
          <w:lang w:val="en-CA"/>
        </w:rPr>
        <w:t>ed</w:t>
      </w:r>
      <w:r w:rsidR="00E867DA" w:rsidRPr="005945EC">
        <w:rPr>
          <w:lang w:val="en-CA"/>
        </w:rPr>
        <w:t xml:space="preserve"> management of </w:t>
      </w:r>
      <w:r w:rsidRPr="005945EC">
        <w:rPr>
          <w:lang w:val="en-CA"/>
        </w:rPr>
        <w:t xml:space="preserve">Star Alliance was a challenge, with </w:t>
      </w:r>
      <w:proofErr w:type="gramStart"/>
      <w:r w:rsidR="00E867DA" w:rsidRPr="005945EC">
        <w:rPr>
          <w:lang w:val="en-CA"/>
        </w:rPr>
        <w:t>a large number of</w:t>
      </w:r>
      <w:proofErr w:type="gramEnd"/>
      <w:r w:rsidR="00E867DA" w:rsidRPr="005945EC">
        <w:rPr>
          <w:lang w:val="en-CA"/>
        </w:rPr>
        <w:t xml:space="preserve"> </w:t>
      </w:r>
      <w:r w:rsidRPr="005945EC">
        <w:rPr>
          <w:lang w:val="en-CA"/>
        </w:rPr>
        <w:t xml:space="preserve">global </w:t>
      </w:r>
      <w:r w:rsidR="00E867DA" w:rsidRPr="005945EC">
        <w:rPr>
          <w:lang w:val="en-CA"/>
        </w:rPr>
        <w:t xml:space="preserve">airlines </w:t>
      </w:r>
      <w:r w:rsidRPr="005945EC">
        <w:rPr>
          <w:lang w:val="en-CA"/>
        </w:rPr>
        <w:t>that included</w:t>
      </w:r>
      <w:r w:rsidR="00E867DA" w:rsidRPr="005945EC">
        <w:rPr>
          <w:lang w:val="en-CA"/>
        </w:rPr>
        <w:t xml:space="preserve"> United and Lufthansa, </w:t>
      </w:r>
      <w:r w:rsidRPr="005945EC">
        <w:rPr>
          <w:lang w:val="en-CA"/>
        </w:rPr>
        <w:t>two of</w:t>
      </w:r>
      <w:r w:rsidR="00E867DA" w:rsidRPr="005945EC">
        <w:rPr>
          <w:lang w:val="en-CA"/>
        </w:rPr>
        <w:t xml:space="preserve"> the largest and most powerful airlines in the world. </w:t>
      </w:r>
      <w:r w:rsidRPr="005945EC">
        <w:rPr>
          <w:lang w:val="en-CA"/>
        </w:rPr>
        <w:t xml:space="preserve">United’s </w:t>
      </w:r>
      <w:r w:rsidRPr="005945EC">
        <w:rPr>
          <w:lang w:val="en-CA"/>
        </w:rPr>
        <w:lastRenderedPageBreak/>
        <w:t>chairman</w:t>
      </w:r>
      <w:r w:rsidR="00CA7055" w:rsidRPr="005945EC">
        <w:rPr>
          <w:lang w:val="en-CA"/>
        </w:rPr>
        <w:t>,</w:t>
      </w:r>
      <w:r w:rsidRPr="005945EC">
        <w:rPr>
          <w:lang w:val="en-CA"/>
        </w:rPr>
        <w:t xml:space="preserve"> </w:t>
      </w:r>
      <w:r w:rsidR="00E867DA" w:rsidRPr="005945EC">
        <w:rPr>
          <w:lang w:val="en-CA"/>
        </w:rPr>
        <w:t>Gerard Greenwald</w:t>
      </w:r>
      <w:r w:rsidR="00CA7055" w:rsidRPr="005945EC">
        <w:rPr>
          <w:lang w:val="en-CA"/>
        </w:rPr>
        <w:t>,</w:t>
      </w:r>
      <w:r w:rsidRPr="005945EC">
        <w:rPr>
          <w:lang w:val="en-CA"/>
        </w:rPr>
        <w:t xml:space="preserve"> noted</w:t>
      </w:r>
      <w:r w:rsidR="00E867DA" w:rsidRPr="005945EC">
        <w:rPr>
          <w:lang w:val="en-CA"/>
        </w:rPr>
        <w:t xml:space="preserve"> that </w:t>
      </w:r>
      <w:r w:rsidR="008B6946" w:rsidRPr="005945EC">
        <w:rPr>
          <w:lang w:val="en-CA"/>
        </w:rPr>
        <w:t>Star Alliance was</w:t>
      </w:r>
      <w:r w:rsidR="00E867DA" w:rsidRPr="005945EC">
        <w:rPr>
          <w:lang w:val="en-CA"/>
        </w:rPr>
        <w:t xml:space="preserve"> “</w:t>
      </w:r>
      <w:r w:rsidR="008B6946" w:rsidRPr="005945EC">
        <w:rPr>
          <w:lang w:val="en-CA"/>
        </w:rPr>
        <w:t>bound together only by four pages of governance, with no formal ownership ties</w:t>
      </w:r>
      <w:r w:rsidR="00E867DA" w:rsidRPr="005945EC">
        <w:rPr>
          <w:lang w:val="en-CA"/>
        </w:rPr>
        <w:t>.”</w:t>
      </w:r>
      <w:r w:rsidR="00E867DA" w:rsidRPr="005945EC">
        <w:rPr>
          <w:vertAlign w:val="superscript"/>
          <w:lang w:val="en-CA"/>
        </w:rPr>
        <w:endnoteReference w:id="28"/>
      </w:r>
      <w:r w:rsidR="00E867DA" w:rsidRPr="005945EC">
        <w:rPr>
          <w:lang w:val="en-CA"/>
        </w:rPr>
        <w:t xml:space="preserve"> </w:t>
      </w:r>
      <w:r w:rsidR="008B6946" w:rsidRPr="005945EC">
        <w:rPr>
          <w:lang w:val="en-CA"/>
        </w:rPr>
        <w:t>In fact</w:t>
      </w:r>
      <w:r w:rsidR="00E867DA" w:rsidRPr="005945EC">
        <w:rPr>
          <w:lang w:val="en-CA"/>
        </w:rPr>
        <w:t>, no formal structure was created to manage the alliance at the time of its creation.</w:t>
      </w:r>
    </w:p>
    <w:p w14:paraId="2AB8C27B" w14:textId="77777777" w:rsidR="00E867DA" w:rsidRPr="005945EC" w:rsidRDefault="00E867DA" w:rsidP="00E867DA">
      <w:pPr>
        <w:pStyle w:val="BodyTextMain"/>
        <w:rPr>
          <w:lang w:val="en-CA"/>
        </w:rPr>
      </w:pPr>
    </w:p>
    <w:p w14:paraId="0D09AD9F" w14:textId="614CF7E7" w:rsidR="00E867DA" w:rsidRPr="005945EC" w:rsidRDefault="00E867DA" w:rsidP="00E867DA">
      <w:pPr>
        <w:pStyle w:val="BodyTextMain"/>
        <w:rPr>
          <w:lang w:val="en-CA"/>
        </w:rPr>
      </w:pPr>
      <w:r w:rsidRPr="005945EC">
        <w:rPr>
          <w:lang w:val="en-CA"/>
        </w:rPr>
        <w:t xml:space="preserve">This situation changed the following year, </w:t>
      </w:r>
      <w:r w:rsidR="008B6946" w:rsidRPr="005945EC">
        <w:rPr>
          <w:lang w:val="en-CA"/>
        </w:rPr>
        <w:t xml:space="preserve">however, </w:t>
      </w:r>
      <w:r w:rsidRPr="005945EC">
        <w:rPr>
          <w:lang w:val="en-CA"/>
        </w:rPr>
        <w:t xml:space="preserve">when a new focused management team was charged with implementing a five-year business plan </w:t>
      </w:r>
      <w:r w:rsidR="008B6946" w:rsidRPr="005945EC">
        <w:rPr>
          <w:lang w:val="en-CA"/>
        </w:rPr>
        <w:t xml:space="preserve">to be </w:t>
      </w:r>
      <w:r w:rsidRPr="005945EC">
        <w:rPr>
          <w:lang w:val="en-CA"/>
        </w:rPr>
        <w:t xml:space="preserve">approved by </w:t>
      </w:r>
      <w:r w:rsidR="008B6946" w:rsidRPr="005945EC">
        <w:rPr>
          <w:lang w:val="en-CA"/>
        </w:rPr>
        <w:t>Star Alliance’s</w:t>
      </w:r>
      <w:r w:rsidRPr="005945EC">
        <w:rPr>
          <w:lang w:val="en-CA"/>
        </w:rPr>
        <w:t xml:space="preserve"> member airlines. From then on, strategic decisions would be directed by a core group of executives</w:t>
      </w:r>
      <w:r w:rsidR="008B6946" w:rsidRPr="005945EC">
        <w:rPr>
          <w:lang w:val="en-CA"/>
        </w:rPr>
        <w:t xml:space="preserve"> chosen</w:t>
      </w:r>
      <w:r w:rsidRPr="005945EC">
        <w:rPr>
          <w:lang w:val="en-CA"/>
        </w:rPr>
        <w:t xml:space="preserve"> by the </w:t>
      </w:r>
      <w:r w:rsidR="008B6946" w:rsidRPr="005945EC">
        <w:rPr>
          <w:lang w:val="en-CA"/>
        </w:rPr>
        <w:t xml:space="preserve">alliance’s member </w:t>
      </w:r>
      <w:r w:rsidRPr="005945EC">
        <w:rPr>
          <w:lang w:val="en-CA"/>
        </w:rPr>
        <w:t xml:space="preserve">airlines. </w:t>
      </w:r>
      <w:r w:rsidR="008B6946" w:rsidRPr="005945EC">
        <w:rPr>
          <w:lang w:val="en-CA"/>
        </w:rPr>
        <w:t>The</w:t>
      </w:r>
      <w:r w:rsidRPr="005945EC">
        <w:rPr>
          <w:lang w:val="en-CA"/>
        </w:rPr>
        <w:t xml:space="preserve"> new </w:t>
      </w:r>
      <w:r w:rsidR="008B6946" w:rsidRPr="005945EC">
        <w:rPr>
          <w:lang w:val="en-CA"/>
        </w:rPr>
        <w:t>m</w:t>
      </w:r>
      <w:r w:rsidRPr="005945EC">
        <w:rPr>
          <w:lang w:val="en-CA"/>
        </w:rPr>
        <w:t xml:space="preserve">anagement </w:t>
      </w:r>
      <w:r w:rsidR="008B6946" w:rsidRPr="005945EC">
        <w:rPr>
          <w:lang w:val="en-CA"/>
        </w:rPr>
        <w:t>b</w:t>
      </w:r>
      <w:r w:rsidRPr="005945EC">
        <w:rPr>
          <w:lang w:val="en-CA"/>
        </w:rPr>
        <w:t xml:space="preserve">oard reported to the </w:t>
      </w:r>
      <w:r w:rsidR="008B6946" w:rsidRPr="005945EC">
        <w:rPr>
          <w:lang w:val="en-CA"/>
        </w:rPr>
        <w:t>c</w:t>
      </w:r>
      <w:r w:rsidRPr="005945EC">
        <w:rPr>
          <w:lang w:val="en-CA"/>
        </w:rPr>
        <w:t xml:space="preserve">hief </w:t>
      </w:r>
      <w:r w:rsidR="008B6946" w:rsidRPr="005945EC">
        <w:rPr>
          <w:lang w:val="en-CA"/>
        </w:rPr>
        <w:t>e</w:t>
      </w:r>
      <w:r w:rsidRPr="005945EC">
        <w:rPr>
          <w:lang w:val="en-CA"/>
        </w:rPr>
        <w:t xml:space="preserve">xecutive </w:t>
      </w:r>
      <w:r w:rsidR="008B6946" w:rsidRPr="005945EC">
        <w:rPr>
          <w:lang w:val="en-CA"/>
        </w:rPr>
        <w:t>b</w:t>
      </w:r>
      <w:r w:rsidRPr="005945EC">
        <w:rPr>
          <w:lang w:val="en-CA"/>
        </w:rPr>
        <w:t xml:space="preserve">oard, which dealt with issues of strategic importance. Star </w:t>
      </w:r>
      <w:r w:rsidR="008B6946" w:rsidRPr="005945EC">
        <w:rPr>
          <w:lang w:val="en-CA"/>
        </w:rPr>
        <w:t xml:space="preserve">Alliance </w:t>
      </w:r>
      <w:r w:rsidRPr="005945EC">
        <w:rPr>
          <w:lang w:val="en-CA"/>
        </w:rPr>
        <w:t xml:space="preserve">also </w:t>
      </w:r>
      <w:r w:rsidR="00054F1C" w:rsidRPr="005945EC">
        <w:rPr>
          <w:lang w:val="en-CA"/>
        </w:rPr>
        <w:t>formed</w:t>
      </w:r>
      <w:r w:rsidRPr="005945EC">
        <w:rPr>
          <w:lang w:val="en-CA"/>
        </w:rPr>
        <w:t xml:space="preserve"> several committees </w:t>
      </w:r>
      <w:r w:rsidR="00054F1C" w:rsidRPr="005945EC">
        <w:rPr>
          <w:lang w:val="en-CA"/>
        </w:rPr>
        <w:t>that</w:t>
      </w:r>
      <w:r w:rsidR="00F9195A">
        <w:rPr>
          <w:lang w:val="en-CA"/>
        </w:rPr>
        <w:t xml:space="preserve"> were</w:t>
      </w:r>
      <w:r w:rsidR="00054F1C" w:rsidRPr="005945EC">
        <w:rPr>
          <w:lang w:val="en-CA"/>
        </w:rPr>
        <w:t xml:space="preserve"> </w:t>
      </w:r>
      <w:r w:rsidRPr="005945EC">
        <w:rPr>
          <w:lang w:val="en-CA"/>
        </w:rPr>
        <w:t>compris</w:t>
      </w:r>
      <w:r w:rsidR="00054F1C" w:rsidRPr="005945EC">
        <w:rPr>
          <w:lang w:val="en-CA"/>
        </w:rPr>
        <w:t>ed</w:t>
      </w:r>
      <w:r w:rsidR="00F9195A">
        <w:rPr>
          <w:lang w:val="en-CA"/>
        </w:rPr>
        <w:t xml:space="preserve"> of</w:t>
      </w:r>
      <w:r w:rsidRPr="005945EC">
        <w:rPr>
          <w:lang w:val="en-CA"/>
        </w:rPr>
        <w:t xml:space="preserve"> experts from member carriers and from the </w:t>
      </w:r>
      <w:r w:rsidR="008B6946" w:rsidRPr="005945EC">
        <w:rPr>
          <w:lang w:val="en-CA"/>
        </w:rPr>
        <w:t>a</w:t>
      </w:r>
      <w:r w:rsidRPr="005945EC">
        <w:rPr>
          <w:lang w:val="en-CA"/>
        </w:rPr>
        <w:t xml:space="preserve">lliance itself. </w:t>
      </w:r>
      <w:r w:rsidR="00054F1C" w:rsidRPr="005945EC">
        <w:rPr>
          <w:lang w:val="en-CA"/>
        </w:rPr>
        <w:t xml:space="preserve">In 2019, </w:t>
      </w:r>
      <w:r w:rsidRPr="005945EC">
        <w:rPr>
          <w:lang w:val="en-CA"/>
        </w:rPr>
        <w:t xml:space="preserve">Star Alliance </w:t>
      </w:r>
      <w:r w:rsidR="008B6946" w:rsidRPr="005945EC">
        <w:rPr>
          <w:lang w:val="en-CA"/>
        </w:rPr>
        <w:t>became</w:t>
      </w:r>
      <w:r w:rsidRPr="005945EC">
        <w:rPr>
          <w:lang w:val="en-CA"/>
        </w:rPr>
        <w:t xml:space="preserve"> a corporation under German law (</w:t>
      </w:r>
      <w:r w:rsidR="008B6946" w:rsidRPr="005945EC">
        <w:rPr>
          <w:lang w:val="en-CA"/>
        </w:rPr>
        <w:t xml:space="preserve">i.e., </w:t>
      </w:r>
      <w:r w:rsidRPr="005945EC">
        <w:rPr>
          <w:lang w:val="en-CA"/>
        </w:rPr>
        <w:t xml:space="preserve">a GmbH), with a </w:t>
      </w:r>
      <w:r w:rsidR="008B6946" w:rsidRPr="005945EC">
        <w:rPr>
          <w:lang w:val="en-CA"/>
        </w:rPr>
        <w:t>limited</w:t>
      </w:r>
      <w:r w:rsidRPr="005945EC">
        <w:rPr>
          <w:lang w:val="en-CA"/>
        </w:rPr>
        <w:t xml:space="preserve"> staff and offices in Frankfurt Airport</w:t>
      </w:r>
      <w:r w:rsidR="00054F1C" w:rsidRPr="005945EC">
        <w:rPr>
          <w:lang w:val="en-CA"/>
        </w:rPr>
        <w:t>,</w:t>
      </w:r>
      <w:r w:rsidR="008B6946" w:rsidRPr="005945EC">
        <w:rPr>
          <w:lang w:val="en-CA"/>
        </w:rPr>
        <w:t xml:space="preserve"> in Germany</w:t>
      </w:r>
      <w:r w:rsidRPr="005945EC">
        <w:rPr>
          <w:lang w:val="en-CA"/>
        </w:rPr>
        <w:t xml:space="preserve"> (</w:t>
      </w:r>
      <w:r w:rsidR="008B6946" w:rsidRPr="005945EC">
        <w:rPr>
          <w:lang w:val="en-CA"/>
        </w:rPr>
        <w:t>see</w:t>
      </w:r>
      <w:r w:rsidRPr="005945EC">
        <w:rPr>
          <w:lang w:val="en-CA"/>
        </w:rPr>
        <w:t xml:space="preserve"> </w:t>
      </w:r>
      <w:r w:rsidRPr="005945EC">
        <w:rPr>
          <w:bCs/>
          <w:lang w:val="en-CA"/>
        </w:rPr>
        <w:t>Exhibit 6</w:t>
      </w:r>
      <w:r w:rsidRPr="005945EC">
        <w:rPr>
          <w:lang w:val="en-CA"/>
        </w:rPr>
        <w:t>).</w:t>
      </w:r>
    </w:p>
    <w:p w14:paraId="4756646F" w14:textId="3B6919EF" w:rsidR="00E867DA" w:rsidRPr="005945EC" w:rsidRDefault="00E867DA" w:rsidP="00E867DA">
      <w:pPr>
        <w:pStyle w:val="BodyTextMain"/>
        <w:rPr>
          <w:i/>
          <w:iCs/>
          <w:lang w:val="en-CA"/>
        </w:rPr>
      </w:pPr>
    </w:p>
    <w:p w14:paraId="4A14AB48" w14:textId="77777777" w:rsidR="00E867DA" w:rsidRPr="005945EC" w:rsidRDefault="00E867DA" w:rsidP="00E867DA">
      <w:pPr>
        <w:pStyle w:val="BodyTextMain"/>
        <w:rPr>
          <w:i/>
          <w:iCs/>
          <w:lang w:val="en-CA"/>
        </w:rPr>
      </w:pPr>
    </w:p>
    <w:p w14:paraId="5857CE97" w14:textId="374DBCFE" w:rsidR="00E867DA" w:rsidRPr="005945EC" w:rsidRDefault="00E867DA" w:rsidP="00E867DA">
      <w:pPr>
        <w:pStyle w:val="Casehead2"/>
        <w:rPr>
          <w:lang w:val="en-CA"/>
        </w:rPr>
      </w:pPr>
      <w:r w:rsidRPr="005945EC">
        <w:rPr>
          <w:lang w:val="en-CA"/>
        </w:rPr>
        <w:t>Quality Control</w:t>
      </w:r>
    </w:p>
    <w:p w14:paraId="3B9D4FA5" w14:textId="77777777" w:rsidR="00E867DA" w:rsidRPr="005945EC" w:rsidRDefault="00E867DA" w:rsidP="00E867DA">
      <w:pPr>
        <w:pStyle w:val="BodyTextMain"/>
        <w:rPr>
          <w:lang w:val="en-CA"/>
        </w:rPr>
      </w:pPr>
    </w:p>
    <w:p w14:paraId="1D055026" w14:textId="56A8E250" w:rsidR="00E867DA" w:rsidRPr="005945EC" w:rsidRDefault="00E867DA" w:rsidP="00E867DA">
      <w:pPr>
        <w:pStyle w:val="BodyTextMain"/>
        <w:rPr>
          <w:lang w:val="en-CA"/>
        </w:rPr>
      </w:pPr>
      <w:r w:rsidRPr="005945EC">
        <w:rPr>
          <w:lang w:val="en-CA"/>
        </w:rPr>
        <w:t xml:space="preserve">Providing </w:t>
      </w:r>
      <w:r w:rsidR="00976D01" w:rsidRPr="005945EC">
        <w:rPr>
          <w:lang w:val="en-CA"/>
        </w:rPr>
        <w:t>customers with</w:t>
      </w:r>
      <w:r w:rsidRPr="005945EC">
        <w:rPr>
          <w:lang w:val="en-CA"/>
        </w:rPr>
        <w:t xml:space="preserve"> </w:t>
      </w:r>
      <w:r w:rsidR="005B4210" w:rsidRPr="005945EC">
        <w:rPr>
          <w:lang w:val="en-CA"/>
        </w:rPr>
        <w:t xml:space="preserve">a </w:t>
      </w:r>
      <w:r w:rsidRPr="005945EC">
        <w:rPr>
          <w:lang w:val="en-CA"/>
        </w:rPr>
        <w:t xml:space="preserve">consistent quality </w:t>
      </w:r>
      <w:r w:rsidR="00976D01" w:rsidRPr="005945EC">
        <w:rPr>
          <w:lang w:val="en-CA"/>
        </w:rPr>
        <w:t>of service</w:t>
      </w:r>
      <w:r w:rsidRPr="005945EC">
        <w:rPr>
          <w:lang w:val="en-CA"/>
        </w:rPr>
        <w:t>, regardless of wh</w:t>
      </w:r>
      <w:r w:rsidR="00976D01" w:rsidRPr="005945EC">
        <w:rPr>
          <w:lang w:val="en-CA"/>
        </w:rPr>
        <w:t>ich</w:t>
      </w:r>
      <w:r w:rsidRPr="005945EC">
        <w:rPr>
          <w:lang w:val="en-CA"/>
        </w:rPr>
        <w:t xml:space="preserve"> airline they travel</w:t>
      </w:r>
      <w:r w:rsidR="00976D01" w:rsidRPr="005945EC">
        <w:rPr>
          <w:lang w:val="en-CA"/>
        </w:rPr>
        <w:t>le</w:t>
      </w:r>
      <w:r w:rsidRPr="005945EC">
        <w:rPr>
          <w:lang w:val="en-CA"/>
        </w:rPr>
        <w:t>d with, was a key success factor for Star Alliance. The five founding members therefore set rigorous standards that w</w:t>
      </w:r>
      <w:r w:rsidR="0033072B" w:rsidRPr="005945EC">
        <w:rPr>
          <w:lang w:val="en-CA"/>
        </w:rPr>
        <w:t>ere expected to be met by any new member</w:t>
      </w:r>
      <w:r w:rsidRPr="005945EC">
        <w:rPr>
          <w:lang w:val="en-CA"/>
        </w:rPr>
        <w:t>. While</w:t>
      </w:r>
      <w:r w:rsidR="0033072B" w:rsidRPr="005945EC">
        <w:rPr>
          <w:lang w:val="en-CA"/>
        </w:rPr>
        <w:t xml:space="preserve"> members did not maintain a completely homogeneous product, Star</w:t>
      </w:r>
      <w:r w:rsidRPr="005945EC">
        <w:rPr>
          <w:lang w:val="en-CA"/>
        </w:rPr>
        <w:t xml:space="preserve"> did have a set of standards </w:t>
      </w:r>
      <w:proofErr w:type="gramStart"/>
      <w:r w:rsidRPr="005945EC">
        <w:rPr>
          <w:lang w:val="en-CA"/>
        </w:rPr>
        <w:t>with regard to</w:t>
      </w:r>
      <w:proofErr w:type="gramEnd"/>
      <w:r w:rsidRPr="005945EC">
        <w:rPr>
          <w:lang w:val="en-CA"/>
        </w:rPr>
        <w:t xml:space="preserve"> the quality of basic amenities and services </w:t>
      </w:r>
      <w:r w:rsidR="00976D01" w:rsidRPr="005945EC">
        <w:rPr>
          <w:lang w:val="en-CA"/>
        </w:rPr>
        <w:t>that</w:t>
      </w:r>
      <w:r w:rsidR="0033072B" w:rsidRPr="005945EC">
        <w:rPr>
          <w:lang w:val="en-CA"/>
        </w:rPr>
        <w:t xml:space="preserve"> were met by all incoming member airlines</w:t>
      </w:r>
      <w:r w:rsidRPr="005945EC">
        <w:rPr>
          <w:lang w:val="en-CA"/>
        </w:rPr>
        <w:t>.</w:t>
      </w:r>
      <w:r w:rsidR="0033072B" w:rsidRPr="005945EC">
        <w:rPr>
          <w:rStyle w:val="EndnoteReference"/>
          <w:lang w:val="en-CA"/>
        </w:rPr>
        <w:endnoteReference w:id="29"/>
      </w:r>
    </w:p>
    <w:p w14:paraId="6FE08829" w14:textId="77777777" w:rsidR="00E867DA" w:rsidRPr="005945EC" w:rsidRDefault="00E867DA" w:rsidP="00E867DA">
      <w:pPr>
        <w:pStyle w:val="BodyTextMain"/>
        <w:rPr>
          <w:lang w:val="en-CA"/>
        </w:rPr>
      </w:pPr>
    </w:p>
    <w:p w14:paraId="13D47C3E" w14:textId="0798B46A" w:rsidR="00E867DA" w:rsidRPr="005945EC" w:rsidRDefault="00E867DA" w:rsidP="00E867DA">
      <w:pPr>
        <w:pStyle w:val="BodyTextMain"/>
        <w:rPr>
          <w:lang w:val="en-CA"/>
        </w:rPr>
      </w:pPr>
      <w:r w:rsidRPr="005945EC">
        <w:rPr>
          <w:lang w:val="en-CA"/>
        </w:rPr>
        <w:t>A</w:t>
      </w:r>
      <w:r w:rsidR="00976D01" w:rsidRPr="005945EC">
        <w:rPr>
          <w:lang w:val="en-CA"/>
        </w:rPr>
        <w:t xml:space="preserve"> </w:t>
      </w:r>
      <w:r w:rsidR="00DC4497" w:rsidRPr="005945EC">
        <w:rPr>
          <w:lang w:val="en-CA"/>
        </w:rPr>
        <w:t xml:space="preserve">new member typically had </w:t>
      </w:r>
      <w:r w:rsidRPr="005945EC">
        <w:rPr>
          <w:lang w:val="en-CA"/>
        </w:rPr>
        <w:t>previous partnership</w:t>
      </w:r>
      <w:r w:rsidR="00DC4497" w:rsidRPr="005945EC">
        <w:rPr>
          <w:lang w:val="en-CA"/>
        </w:rPr>
        <w:t>s</w:t>
      </w:r>
      <w:r w:rsidRPr="005945EC">
        <w:rPr>
          <w:lang w:val="en-CA"/>
        </w:rPr>
        <w:t xml:space="preserve"> with each of the other member carriers individually. This </w:t>
      </w:r>
      <w:r w:rsidR="007766CB" w:rsidRPr="005945EC">
        <w:rPr>
          <w:lang w:val="en-CA"/>
        </w:rPr>
        <w:t>precaution</w:t>
      </w:r>
      <w:r w:rsidRPr="005945EC">
        <w:rPr>
          <w:lang w:val="en-CA"/>
        </w:rPr>
        <w:t xml:space="preserve"> ensure</w:t>
      </w:r>
      <w:r w:rsidR="007766CB" w:rsidRPr="005945EC">
        <w:rPr>
          <w:lang w:val="en-CA"/>
        </w:rPr>
        <w:t>d</w:t>
      </w:r>
      <w:r w:rsidRPr="005945EC">
        <w:rPr>
          <w:lang w:val="en-CA"/>
        </w:rPr>
        <w:t xml:space="preserve"> that code</w:t>
      </w:r>
      <w:r w:rsidR="007766CB" w:rsidRPr="005945EC">
        <w:rPr>
          <w:lang w:val="en-CA"/>
        </w:rPr>
        <w:t xml:space="preserve"> </w:t>
      </w:r>
      <w:r w:rsidRPr="005945EC">
        <w:rPr>
          <w:lang w:val="en-CA"/>
        </w:rPr>
        <w:t xml:space="preserve">sharing could be implemented right away. </w:t>
      </w:r>
      <w:r w:rsidR="00CA7055" w:rsidRPr="005945EC">
        <w:rPr>
          <w:lang w:val="en-CA"/>
        </w:rPr>
        <w:t>N</w:t>
      </w:r>
      <w:r w:rsidRPr="005945EC">
        <w:rPr>
          <w:lang w:val="en-CA"/>
        </w:rPr>
        <w:t xml:space="preserve">o </w:t>
      </w:r>
      <w:r w:rsidR="007766CB" w:rsidRPr="005945EC">
        <w:rPr>
          <w:lang w:val="en-CA"/>
        </w:rPr>
        <w:t>other</w:t>
      </w:r>
      <w:r w:rsidRPr="005945EC">
        <w:rPr>
          <w:lang w:val="en-CA"/>
        </w:rPr>
        <w:t xml:space="preserve"> requirement</w:t>
      </w:r>
      <w:r w:rsidR="007766CB" w:rsidRPr="005945EC">
        <w:rPr>
          <w:lang w:val="en-CA"/>
        </w:rPr>
        <w:t>s</w:t>
      </w:r>
      <w:r w:rsidRPr="005945EC">
        <w:rPr>
          <w:lang w:val="en-CA"/>
        </w:rPr>
        <w:t xml:space="preserve"> </w:t>
      </w:r>
      <w:r w:rsidR="007766CB" w:rsidRPr="005945EC">
        <w:rPr>
          <w:lang w:val="en-CA"/>
        </w:rPr>
        <w:t>for</w:t>
      </w:r>
      <w:r w:rsidRPr="005945EC">
        <w:rPr>
          <w:lang w:val="en-CA"/>
        </w:rPr>
        <w:t xml:space="preserve"> partnerships outside </w:t>
      </w:r>
      <w:r w:rsidR="005B4210" w:rsidRPr="005945EC">
        <w:rPr>
          <w:lang w:val="en-CA"/>
        </w:rPr>
        <w:t xml:space="preserve">of </w:t>
      </w:r>
      <w:r w:rsidRPr="005945EC">
        <w:rPr>
          <w:lang w:val="en-CA"/>
        </w:rPr>
        <w:t xml:space="preserve">the </w:t>
      </w:r>
      <w:r w:rsidR="007766CB" w:rsidRPr="005945EC">
        <w:rPr>
          <w:lang w:val="en-CA"/>
        </w:rPr>
        <w:t>a</w:t>
      </w:r>
      <w:r w:rsidRPr="005945EC">
        <w:rPr>
          <w:lang w:val="en-CA"/>
        </w:rPr>
        <w:t>lliance</w:t>
      </w:r>
      <w:r w:rsidR="00CA7055" w:rsidRPr="005945EC">
        <w:rPr>
          <w:lang w:val="en-CA"/>
        </w:rPr>
        <w:t xml:space="preserve"> were needed</w:t>
      </w:r>
      <w:r w:rsidR="007766CB" w:rsidRPr="005945EC">
        <w:rPr>
          <w:lang w:val="en-CA"/>
        </w:rPr>
        <w:t>. H</w:t>
      </w:r>
      <w:r w:rsidRPr="005945EC">
        <w:rPr>
          <w:lang w:val="en-CA"/>
        </w:rPr>
        <w:t>owever, when airline</w:t>
      </w:r>
      <w:r w:rsidR="007766CB" w:rsidRPr="005945EC">
        <w:rPr>
          <w:lang w:val="en-CA"/>
        </w:rPr>
        <w:t>s</w:t>
      </w:r>
      <w:r w:rsidRPr="005945EC">
        <w:rPr>
          <w:lang w:val="en-CA"/>
        </w:rPr>
        <w:t xml:space="preserve"> joined</w:t>
      </w:r>
      <w:r w:rsidR="007766CB" w:rsidRPr="005945EC">
        <w:rPr>
          <w:lang w:val="en-CA"/>
        </w:rPr>
        <w:t xml:space="preserve"> Star Alliance they</w:t>
      </w:r>
      <w:r w:rsidRPr="005945EC">
        <w:rPr>
          <w:lang w:val="en-CA"/>
        </w:rPr>
        <w:t xml:space="preserve"> often abandoned </w:t>
      </w:r>
      <w:r w:rsidR="00DC4497" w:rsidRPr="005945EC">
        <w:rPr>
          <w:lang w:val="en-CA"/>
        </w:rPr>
        <w:t>their</w:t>
      </w:r>
      <w:r w:rsidR="007766CB" w:rsidRPr="005945EC">
        <w:rPr>
          <w:lang w:val="en-CA"/>
        </w:rPr>
        <w:t xml:space="preserve"> previous partnerships </w:t>
      </w:r>
      <w:r w:rsidRPr="005945EC">
        <w:rPr>
          <w:lang w:val="en-CA"/>
        </w:rPr>
        <w:t xml:space="preserve">or integrated </w:t>
      </w:r>
      <w:r w:rsidR="007766CB" w:rsidRPr="005945EC">
        <w:rPr>
          <w:lang w:val="en-CA"/>
        </w:rPr>
        <w:t xml:space="preserve">them </w:t>
      </w:r>
      <w:r w:rsidRPr="005945EC">
        <w:rPr>
          <w:lang w:val="en-CA"/>
        </w:rPr>
        <w:t xml:space="preserve">into </w:t>
      </w:r>
      <w:r w:rsidR="007766CB" w:rsidRPr="005945EC">
        <w:rPr>
          <w:lang w:val="en-CA"/>
        </w:rPr>
        <w:t>the constellation</w:t>
      </w:r>
      <w:r w:rsidRPr="005945EC">
        <w:rPr>
          <w:lang w:val="en-CA"/>
        </w:rPr>
        <w:t>.</w:t>
      </w:r>
      <w:r w:rsidR="00DC4497" w:rsidRPr="005945EC">
        <w:rPr>
          <w:rStyle w:val="EndnoteReference"/>
          <w:lang w:val="en-CA"/>
        </w:rPr>
        <w:endnoteReference w:id="30"/>
      </w:r>
    </w:p>
    <w:p w14:paraId="59AF0700" w14:textId="5D704650" w:rsidR="00E867DA" w:rsidRPr="005945EC" w:rsidRDefault="00E867DA" w:rsidP="00E867DA">
      <w:pPr>
        <w:pStyle w:val="BodyTextMain"/>
        <w:rPr>
          <w:i/>
          <w:iCs/>
          <w:lang w:val="en-CA"/>
        </w:rPr>
      </w:pPr>
    </w:p>
    <w:p w14:paraId="37464FB1" w14:textId="77777777" w:rsidR="00E867DA" w:rsidRPr="005945EC" w:rsidRDefault="00E867DA" w:rsidP="00E867DA">
      <w:pPr>
        <w:pStyle w:val="BodyTextMain"/>
        <w:rPr>
          <w:i/>
          <w:iCs/>
          <w:lang w:val="en-CA"/>
        </w:rPr>
      </w:pPr>
    </w:p>
    <w:p w14:paraId="2AAC78D9" w14:textId="0111A39E" w:rsidR="00E867DA" w:rsidRPr="005945EC" w:rsidRDefault="00E867DA" w:rsidP="00E867DA">
      <w:pPr>
        <w:pStyle w:val="Casehead2"/>
        <w:rPr>
          <w:lang w:val="en-CA"/>
        </w:rPr>
      </w:pPr>
      <w:r w:rsidRPr="005945EC">
        <w:rPr>
          <w:lang w:val="en-CA"/>
        </w:rPr>
        <w:t>Brand Management</w:t>
      </w:r>
      <w:r w:rsidRPr="005945EC">
        <w:rPr>
          <w:rStyle w:val="EndnoteReference"/>
          <w:iCs/>
          <w:sz w:val="22"/>
          <w:szCs w:val="22"/>
          <w:lang w:val="en-CA"/>
        </w:rPr>
        <w:endnoteReference w:id="31"/>
      </w:r>
    </w:p>
    <w:p w14:paraId="35A4DB40" w14:textId="77777777" w:rsidR="00E867DA" w:rsidRPr="005945EC" w:rsidRDefault="00E867DA" w:rsidP="00E867DA">
      <w:pPr>
        <w:pStyle w:val="BodyTextMain"/>
        <w:rPr>
          <w:lang w:val="en-CA"/>
        </w:rPr>
      </w:pPr>
    </w:p>
    <w:p w14:paraId="107BE57E" w14:textId="3CFF7F24" w:rsidR="00E867DA" w:rsidRPr="005945EC" w:rsidRDefault="00E867DA" w:rsidP="00E867DA">
      <w:pPr>
        <w:pStyle w:val="BodyTextMain"/>
        <w:rPr>
          <w:lang w:val="en-CA"/>
        </w:rPr>
      </w:pPr>
      <w:r w:rsidRPr="005945EC">
        <w:rPr>
          <w:lang w:val="en-CA"/>
        </w:rPr>
        <w:t>In founding Star Alliance, the members create</w:t>
      </w:r>
      <w:r w:rsidR="000D4DB3" w:rsidRPr="005945EC">
        <w:rPr>
          <w:lang w:val="en-CA"/>
        </w:rPr>
        <w:t>d</w:t>
      </w:r>
      <w:r w:rsidRPr="005945EC">
        <w:rPr>
          <w:lang w:val="en-CA"/>
        </w:rPr>
        <w:t xml:space="preserve"> a brand name that would become known internationally </w:t>
      </w:r>
      <w:r w:rsidR="00C370A3" w:rsidRPr="005945EC">
        <w:rPr>
          <w:lang w:val="en-CA"/>
        </w:rPr>
        <w:t xml:space="preserve">but </w:t>
      </w:r>
      <w:r w:rsidRPr="005945EC">
        <w:rPr>
          <w:lang w:val="en-CA"/>
        </w:rPr>
        <w:t xml:space="preserve">would not </w:t>
      </w:r>
      <w:r w:rsidR="007766CB" w:rsidRPr="005945EC">
        <w:rPr>
          <w:lang w:val="en-CA"/>
        </w:rPr>
        <w:t>become</w:t>
      </w:r>
      <w:r w:rsidRPr="005945EC">
        <w:rPr>
          <w:lang w:val="en-CA"/>
        </w:rPr>
        <w:t xml:space="preserve"> a substitute for their existing brands. </w:t>
      </w:r>
      <w:r w:rsidR="000D4DB3" w:rsidRPr="005945EC">
        <w:rPr>
          <w:lang w:val="en-CA"/>
        </w:rPr>
        <w:t xml:space="preserve">Members did not lose the individual airlines’ differentiation by </w:t>
      </w:r>
      <w:r w:rsidRPr="005945EC">
        <w:rPr>
          <w:lang w:val="en-CA"/>
        </w:rPr>
        <w:t>brand</w:t>
      </w:r>
      <w:r w:rsidR="000D4DB3" w:rsidRPr="005945EC">
        <w:rPr>
          <w:lang w:val="en-CA"/>
        </w:rPr>
        <w:t>s</w:t>
      </w:r>
      <w:r w:rsidRPr="005945EC">
        <w:rPr>
          <w:lang w:val="en-CA"/>
        </w:rPr>
        <w:t>, identit</w:t>
      </w:r>
      <w:r w:rsidR="000D4DB3" w:rsidRPr="005945EC">
        <w:rPr>
          <w:lang w:val="en-CA"/>
        </w:rPr>
        <w:t>ies</w:t>
      </w:r>
      <w:r w:rsidRPr="005945EC">
        <w:rPr>
          <w:lang w:val="en-CA"/>
        </w:rPr>
        <w:t>, customs, and service style</w:t>
      </w:r>
      <w:r w:rsidR="000D4DB3" w:rsidRPr="005945EC">
        <w:rPr>
          <w:lang w:val="en-CA"/>
        </w:rPr>
        <w:t>s</w:t>
      </w:r>
      <w:r w:rsidRPr="005945EC">
        <w:rPr>
          <w:lang w:val="en-CA"/>
        </w:rPr>
        <w:t xml:space="preserve">. </w:t>
      </w:r>
      <w:r w:rsidR="000D4DB3" w:rsidRPr="005945EC">
        <w:rPr>
          <w:lang w:val="en-CA"/>
        </w:rPr>
        <w:t xml:space="preserve">The main advantage of the alliance network was its ability to give </w:t>
      </w:r>
      <w:r w:rsidR="007766CB" w:rsidRPr="005945EC">
        <w:rPr>
          <w:lang w:val="en-CA"/>
        </w:rPr>
        <w:t>p</w:t>
      </w:r>
      <w:r w:rsidRPr="005945EC">
        <w:rPr>
          <w:lang w:val="en-CA"/>
        </w:rPr>
        <w:t xml:space="preserve">assengers access to a single global network that was as seamless as possible, along with the established status and recognition of the member airlines. Star </w:t>
      </w:r>
      <w:r w:rsidR="007766CB" w:rsidRPr="005945EC">
        <w:rPr>
          <w:lang w:val="en-CA"/>
        </w:rPr>
        <w:t xml:space="preserve">Alliance </w:t>
      </w:r>
      <w:r w:rsidRPr="005945EC">
        <w:rPr>
          <w:lang w:val="en-CA"/>
        </w:rPr>
        <w:t xml:space="preserve">managers </w:t>
      </w:r>
      <w:r w:rsidR="000D4DB3" w:rsidRPr="005945EC">
        <w:rPr>
          <w:lang w:val="en-CA"/>
        </w:rPr>
        <w:t>u</w:t>
      </w:r>
      <w:r w:rsidR="00C370A3" w:rsidRPr="005945EC">
        <w:rPr>
          <w:lang w:val="en-CA"/>
        </w:rPr>
        <w:t>sed</w:t>
      </w:r>
      <w:r w:rsidR="000D4DB3" w:rsidRPr="005945EC">
        <w:rPr>
          <w:lang w:val="en-CA"/>
        </w:rPr>
        <w:t xml:space="preserve"> </w:t>
      </w:r>
      <w:r w:rsidRPr="005945EC">
        <w:rPr>
          <w:lang w:val="en-CA"/>
        </w:rPr>
        <w:t>an umbrella brand</w:t>
      </w:r>
      <w:r w:rsidR="007766CB" w:rsidRPr="005945EC">
        <w:rPr>
          <w:lang w:val="en-CA"/>
        </w:rPr>
        <w:t xml:space="preserve"> that allowed each airline</w:t>
      </w:r>
      <w:r w:rsidRPr="005945EC">
        <w:rPr>
          <w:lang w:val="en-CA"/>
        </w:rPr>
        <w:t xml:space="preserve"> </w:t>
      </w:r>
      <w:r w:rsidR="007766CB" w:rsidRPr="005945EC">
        <w:rPr>
          <w:lang w:val="en-CA"/>
        </w:rPr>
        <w:t xml:space="preserve">to </w:t>
      </w:r>
      <w:r w:rsidRPr="005945EC">
        <w:rPr>
          <w:lang w:val="en-CA"/>
        </w:rPr>
        <w:t>ke</w:t>
      </w:r>
      <w:r w:rsidR="007766CB" w:rsidRPr="005945EC">
        <w:rPr>
          <w:lang w:val="en-CA"/>
        </w:rPr>
        <w:t>e</w:t>
      </w:r>
      <w:r w:rsidRPr="005945EC">
        <w:rPr>
          <w:lang w:val="en-CA"/>
        </w:rPr>
        <w:t xml:space="preserve">p the original logo, complemented by </w:t>
      </w:r>
      <w:r w:rsidR="007766CB" w:rsidRPr="005945EC">
        <w:rPr>
          <w:lang w:val="en-CA"/>
        </w:rPr>
        <w:t xml:space="preserve">the </w:t>
      </w:r>
      <w:r w:rsidRPr="005945EC">
        <w:rPr>
          <w:lang w:val="en-CA"/>
        </w:rPr>
        <w:t>Star</w:t>
      </w:r>
      <w:r w:rsidR="007766CB" w:rsidRPr="005945EC">
        <w:rPr>
          <w:lang w:val="en-CA"/>
        </w:rPr>
        <w:t xml:space="preserve"> Alliance</w:t>
      </w:r>
      <w:r w:rsidRPr="005945EC">
        <w:rPr>
          <w:lang w:val="en-CA"/>
        </w:rPr>
        <w:t xml:space="preserve"> logo</w:t>
      </w:r>
      <w:r w:rsidR="007766CB" w:rsidRPr="005945EC">
        <w:rPr>
          <w:lang w:val="en-CA"/>
        </w:rPr>
        <w:t>,</w:t>
      </w:r>
      <w:r w:rsidRPr="005945EC">
        <w:rPr>
          <w:lang w:val="en-CA"/>
        </w:rPr>
        <w:t xml:space="preserve"> on the </w:t>
      </w:r>
      <w:r w:rsidR="007766CB" w:rsidRPr="005945EC">
        <w:rPr>
          <w:lang w:val="en-CA"/>
        </w:rPr>
        <w:t xml:space="preserve">plane’s </w:t>
      </w:r>
      <w:r w:rsidRPr="005945EC">
        <w:rPr>
          <w:lang w:val="en-CA"/>
        </w:rPr>
        <w:t>forward fuselage</w:t>
      </w:r>
      <w:r w:rsidR="007766CB" w:rsidRPr="005945EC">
        <w:rPr>
          <w:lang w:val="en-CA"/>
        </w:rPr>
        <w:t xml:space="preserve"> and</w:t>
      </w:r>
      <w:r w:rsidRPr="005945EC">
        <w:rPr>
          <w:lang w:val="en-CA"/>
        </w:rPr>
        <w:t xml:space="preserve"> on ticket jackets, promotional items, and signs.</w:t>
      </w:r>
    </w:p>
    <w:p w14:paraId="4143313B" w14:textId="77777777" w:rsidR="00970D45" w:rsidRPr="005945EC" w:rsidRDefault="00970D45" w:rsidP="00E867DA">
      <w:pPr>
        <w:pStyle w:val="BodyTextMain"/>
        <w:rPr>
          <w:lang w:val="en-CA"/>
        </w:rPr>
      </w:pPr>
    </w:p>
    <w:p w14:paraId="6BC5C2BF" w14:textId="2CB61E5D" w:rsidR="00E867DA" w:rsidRPr="005945EC" w:rsidRDefault="00E867DA" w:rsidP="00E867DA">
      <w:pPr>
        <w:pStyle w:val="BodyTextMain"/>
        <w:rPr>
          <w:lang w:val="en-CA"/>
        </w:rPr>
      </w:pPr>
      <w:r w:rsidRPr="005945EC">
        <w:rPr>
          <w:lang w:val="en-CA"/>
        </w:rPr>
        <w:t>By 20</w:t>
      </w:r>
      <w:r w:rsidR="000D4DB3" w:rsidRPr="005945EC">
        <w:rPr>
          <w:lang w:val="en-CA"/>
        </w:rPr>
        <w:t>20</w:t>
      </w:r>
      <w:r w:rsidRPr="005945EC">
        <w:rPr>
          <w:lang w:val="en-CA"/>
        </w:rPr>
        <w:t>, the three ma</w:t>
      </w:r>
      <w:r w:rsidR="00822A04" w:rsidRPr="005945EC">
        <w:rPr>
          <w:lang w:val="en-CA"/>
        </w:rPr>
        <w:t>jor</w:t>
      </w:r>
      <w:r w:rsidRPr="005945EC">
        <w:rPr>
          <w:lang w:val="en-CA"/>
        </w:rPr>
        <w:t xml:space="preserve"> alliance umbrella brands</w:t>
      </w:r>
      <w:r w:rsidR="00970D45" w:rsidRPr="005945EC">
        <w:rPr>
          <w:lang w:val="en-CA"/>
        </w:rPr>
        <w:t>—</w:t>
      </w:r>
      <w:r w:rsidRPr="005945EC">
        <w:rPr>
          <w:lang w:val="en-CA"/>
        </w:rPr>
        <w:t>Star</w:t>
      </w:r>
      <w:r w:rsidR="00C24774" w:rsidRPr="005945EC">
        <w:rPr>
          <w:lang w:val="en-CA"/>
        </w:rPr>
        <w:t xml:space="preserve"> Alliance</w:t>
      </w:r>
      <w:r w:rsidRPr="005945EC">
        <w:rPr>
          <w:lang w:val="en-CA"/>
        </w:rPr>
        <w:t xml:space="preserve">, </w:t>
      </w:r>
      <w:proofErr w:type="spellStart"/>
      <w:r w:rsidRPr="005945EC">
        <w:rPr>
          <w:lang w:val="en-CA"/>
        </w:rPr>
        <w:t>Oneworld</w:t>
      </w:r>
      <w:proofErr w:type="spellEnd"/>
      <w:r w:rsidR="00C24774" w:rsidRPr="005945EC">
        <w:rPr>
          <w:lang w:val="en-CA"/>
        </w:rPr>
        <w:t>,</w:t>
      </w:r>
      <w:r w:rsidRPr="005945EC">
        <w:rPr>
          <w:lang w:val="en-CA"/>
        </w:rPr>
        <w:t xml:space="preserve"> and SkyTeam</w:t>
      </w:r>
      <w:r w:rsidR="00970D45" w:rsidRPr="005945EC">
        <w:rPr>
          <w:lang w:val="en-CA"/>
        </w:rPr>
        <w:t>—</w:t>
      </w:r>
      <w:r w:rsidRPr="005945EC">
        <w:rPr>
          <w:lang w:val="en-CA"/>
        </w:rPr>
        <w:t xml:space="preserve">served as a signal for the level of service and the breadth of network that customers could expect. </w:t>
      </w:r>
      <w:r w:rsidR="00822A04" w:rsidRPr="005945EC">
        <w:rPr>
          <w:lang w:val="en-CA"/>
        </w:rPr>
        <w:t>However</w:t>
      </w:r>
      <w:r w:rsidRPr="005945EC">
        <w:rPr>
          <w:lang w:val="en-CA"/>
        </w:rPr>
        <w:t xml:space="preserve">, the individual performance of </w:t>
      </w:r>
      <w:r w:rsidR="00822A04" w:rsidRPr="005945EC">
        <w:rPr>
          <w:lang w:val="en-CA"/>
        </w:rPr>
        <w:t xml:space="preserve">each </w:t>
      </w:r>
      <w:r w:rsidRPr="005945EC">
        <w:rPr>
          <w:lang w:val="en-CA"/>
        </w:rPr>
        <w:t>member airline</w:t>
      </w:r>
      <w:r w:rsidR="00822A04" w:rsidRPr="005945EC">
        <w:rPr>
          <w:lang w:val="en-CA"/>
        </w:rPr>
        <w:t xml:space="preserve"> </w:t>
      </w:r>
      <w:r w:rsidRPr="005945EC">
        <w:rPr>
          <w:lang w:val="en-CA"/>
        </w:rPr>
        <w:t>s</w:t>
      </w:r>
      <w:r w:rsidR="00822A04" w:rsidRPr="005945EC">
        <w:rPr>
          <w:lang w:val="en-CA"/>
        </w:rPr>
        <w:t>till</w:t>
      </w:r>
      <w:r w:rsidRPr="005945EC">
        <w:rPr>
          <w:lang w:val="en-CA"/>
        </w:rPr>
        <w:t xml:space="preserve"> mattered. If a customer had a poor experience on a flight, both the reputation of that airline and the reputation of the alliance could be harmed.</w:t>
      </w:r>
    </w:p>
    <w:p w14:paraId="1CCCFC38" w14:textId="77777777" w:rsidR="00E867DA" w:rsidRPr="005945EC" w:rsidRDefault="00E867DA" w:rsidP="00E867DA">
      <w:pPr>
        <w:pStyle w:val="BodyTextMain"/>
        <w:rPr>
          <w:lang w:val="en-CA"/>
        </w:rPr>
      </w:pPr>
    </w:p>
    <w:p w14:paraId="7EF4BA4B" w14:textId="4D6A20D7" w:rsidR="00E867DA" w:rsidRPr="005945EC" w:rsidRDefault="000D4DB3" w:rsidP="00E867DA">
      <w:pPr>
        <w:pStyle w:val="BodyTextMain"/>
        <w:rPr>
          <w:lang w:val="en-CA"/>
        </w:rPr>
      </w:pPr>
      <w:r w:rsidRPr="005945EC">
        <w:rPr>
          <w:lang w:val="en-CA"/>
        </w:rPr>
        <w:t>Over the early years of Star’s existence, the absence of core values, service styles, and products within the alliance did not pose an issue for member performance</w:t>
      </w:r>
      <w:r w:rsidR="00E867DA" w:rsidRPr="005945EC">
        <w:rPr>
          <w:lang w:val="en-CA"/>
        </w:rPr>
        <w:t xml:space="preserve">. Passengers </w:t>
      </w:r>
      <w:r w:rsidR="00822A04" w:rsidRPr="005945EC">
        <w:rPr>
          <w:lang w:val="en-CA"/>
        </w:rPr>
        <w:t>seemed unconcerned</w:t>
      </w:r>
      <w:r w:rsidR="00E867DA" w:rsidRPr="005945EC">
        <w:rPr>
          <w:lang w:val="en-CA"/>
        </w:rPr>
        <w:t xml:space="preserve"> about differences </w:t>
      </w:r>
      <w:r w:rsidR="00822A04" w:rsidRPr="005945EC">
        <w:rPr>
          <w:lang w:val="en-CA"/>
        </w:rPr>
        <w:t>in</w:t>
      </w:r>
      <w:r w:rsidR="00E867DA" w:rsidRPr="005945EC">
        <w:rPr>
          <w:lang w:val="en-CA"/>
        </w:rPr>
        <w:t xml:space="preserve"> travel</w:t>
      </w:r>
      <w:r w:rsidR="00822A04" w:rsidRPr="005945EC">
        <w:rPr>
          <w:lang w:val="en-CA"/>
        </w:rPr>
        <w:t xml:space="preserve"> experience</w:t>
      </w:r>
      <w:r w:rsidR="00E867DA" w:rsidRPr="005945EC">
        <w:rPr>
          <w:lang w:val="en-CA"/>
        </w:rPr>
        <w:t xml:space="preserve"> with separate airlines</w:t>
      </w:r>
      <w:r w:rsidRPr="005945EC">
        <w:rPr>
          <w:lang w:val="en-CA"/>
        </w:rPr>
        <w:t xml:space="preserve">, perhaps because all members were well respected </w:t>
      </w:r>
      <w:proofErr w:type="gramStart"/>
      <w:r w:rsidRPr="005945EC">
        <w:rPr>
          <w:lang w:val="en-CA"/>
        </w:rPr>
        <w:t>airlines in their own right</w:t>
      </w:r>
      <w:proofErr w:type="gramEnd"/>
      <w:r w:rsidR="00822A04" w:rsidRPr="005945EC">
        <w:rPr>
          <w:lang w:val="en-CA"/>
        </w:rPr>
        <w:t xml:space="preserve">. </w:t>
      </w:r>
      <w:r w:rsidR="00E867DA" w:rsidRPr="005945EC">
        <w:rPr>
          <w:lang w:val="en-CA"/>
        </w:rPr>
        <w:t xml:space="preserve">Since 2017, the alliance had developed a digital transformation strategy </w:t>
      </w:r>
      <w:r w:rsidR="00822A04" w:rsidRPr="005945EC">
        <w:rPr>
          <w:lang w:val="en-CA"/>
        </w:rPr>
        <w:t>aimed at</w:t>
      </w:r>
      <w:r w:rsidR="00E867DA" w:rsidRPr="005945EC">
        <w:rPr>
          <w:lang w:val="en-CA"/>
        </w:rPr>
        <w:t xml:space="preserve"> deliver</w:t>
      </w:r>
      <w:r w:rsidR="00822A04" w:rsidRPr="005945EC">
        <w:rPr>
          <w:lang w:val="en-CA"/>
        </w:rPr>
        <w:t>ing</w:t>
      </w:r>
      <w:r w:rsidR="00E867DA" w:rsidRPr="005945EC">
        <w:rPr>
          <w:lang w:val="en-CA"/>
        </w:rPr>
        <w:t xml:space="preserve"> a distinct and seamless travel experience.</w:t>
      </w:r>
    </w:p>
    <w:p w14:paraId="0D9BDA2B" w14:textId="1502CC2E" w:rsidR="00E867DA" w:rsidRPr="005945EC" w:rsidRDefault="00E867DA" w:rsidP="00E867DA">
      <w:pPr>
        <w:pStyle w:val="BodyTextMain"/>
        <w:rPr>
          <w:lang w:val="en-CA"/>
        </w:rPr>
      </w:pPr>
    </w:p>
    <w:p w14:paraId="275FB58A" w14:textId="77777777" w:rsidR="00E867DA" w:rsidRPr="005945EC" w:rsidRDefault="00E867DA" w:rsidP="00E867DA">
      <w:pPr>
        <w:pStyle w:val="BodyTextMain"/>
        <w:rPr>
          <w:lang w:val="en-CA"/>
        </w:rPr>
      </w:pPr>
    </w:p>
    <w:p w14:paraId="2F0D4E1B" w14:textId="3C7534C8" w:rsidR="00E867DA" w:rsidRPr="005945EC" w:rsidRDefault="00E867DA" w:rsidP="00A92DE3">
      <w:pPr>
        <w:pStyle w:val="Casehead2"/>
        <w:keepNext/>
        <w:rPr>
          <w:lang w:val="en-CA"/>
        </w:rPr>
      </w:pPr>
      <w:r w:rsidRPr="005945EC">
        <w:rPr>
          <w:lang w:val="en-CA"/>
        </w:rPr>
        <w:lastRenderedPageBreak/>
        <w:t>Alliance Organization</w:t>
      </w:r>
      <w:r w:rsidR="00C4440F" w:rsidRPr="005945EC">
        <w:rPr>
          <w:lang w:val="en-CA"/>
        </w:rPr>
        <w:t>al Costs</w:t>
      </w:r>
      <w:r w:rsidRPr="005945EC">
        <w:rPr>
          <w:rStyle w:val="EndnoteReference"/>
          <w:iCs/>
          <w:lang w:val="en-CA"/>
        </w:rPr>
        <w:endnoteReference w:id="32"/>
      </w:r>
      <w:r w:rsidRPr="005945EC">
        <w:rPr>
          <w:lang w:val="en-CA"/>
        </w:rPr>
        <w:t xml:space="preserve"> </w:t>
      </w:r>
    </w:p>
    <w:p w14:paraId="2C7A3B46" w14:textId="77777777" w:rsidR="00E867DA" w:rsidRPr="005945EC" w:rsidRDefault="00E867DA" w:rsidP="00A92DE3">
      <w:pPr>
        <w:pStyle w:val="BodyTextMain"/>
        <w:keepNext/>
        <w:rPr>
          <w:lang w:val="en-CA"/>
        </w:rPr>
      </w:pPr>
    </w:p>
    <w:p w14:paraId="6840C19F" w14:textId="65B31AC7" w:rsidR="00E867DA" w:rsidRPr="005945EC" w:rsidRDefault="00E867DA" w:rsidP="00A92DE3">
      <w:pPr>
        <w:pStyle w:val="BodyTextMain"/>
        <w:keepNext/>
        <w:rPr>
          <w:lang w:val="en-CA"/>
        </w:rPr>
      </w:pPr>
      <w:r w:rsidRPr="005945EC">
        <w:rPr>
          <w:lang w:val="en-CA"/>
        </w:rPr>
        <w:t>Star Alliance</w:t>
      </w:r>
      <w:r w:rsidR="00180739" w:rsidRPr="005945EC">
        <w:rPr>
          <w:lang w:val="en-CA"/>
        </w:rPr>
        <w:t>’s costs were mainly</w:t>
      </w:r>
      <w:r w:rsidRPr="005945EC">
        <w:rPr>
          <w:lang w:val="en-CA"/>
        </w:rPr>
        <w:t xml:space="preserve"> related to information technology and </w:t>
      </w:r>
      <w:r w:rsidR="00180739" w:rsidRPr="005945EC">
        <w:rPr>
          <w:lang w:val="en-CA"/>
        </w:rPr>
        <w:t>human resources. Making</w:t>
      </w:r>
      <w:r w:rsidRPr="005945EC">
        <w:rPr>
          <w:lang w:val="en-CA"/>
        </w:rPr>
        <w:t xml:space="preserve"> member reservation</w:t>
      </w:r>
      <w:r w:rsidR="00180739" w:rsidRPr="005945EC">
        <w:rPr>
          <w:lang w:val="en-CA"/>
        </w:rPr>
        <w:t>s</w:t>
      </w:r>
      <w:r w:rsidRPr="005945EC">
        <w:rPr>
          <w:lang w:val="en-CA"/>
        </w:rPr>
        <w:t xml:space="preserve"> and inventory systems </w:t>
      </w:r>
      <w:r w:rsidR="00180739" w:rsidRPr="005945EC">
        <w:rPr>
          <w:lang w:val="en-CA"/>
        </w:rPr>
        <w:t>compatible with each</w:t>
      </w:r>
      <w:r w:rsidRPr="005945EC">
        <w:rPr>
          <w:lang w:val="en-CA"/>
        </w:rPr>
        <w:t xml:space="preserve"> another</w:t>
      </w:r>
      <w:r w:rsidR="00180739" w:rsidRPr="005945EC">
        <w:rPr>
          <w:lang w:val="en-CA"/>
        </w:rPr>
        <w:t xml:space="preserve"> was the main challenge</w:t>
      </w:r>
      <w:r w:rsidRPr="005945EC">
        <w:rPr>
          <w:lang w:val="en-CA"/>
        </w:rPr>
        <w:t>. After nearly two decades of effort</w:t>
      </w:r>
      <w:r w:rsidR="00180739" w:rsidRPr="005945EC">
        <w:rPr>
          <w:lang w:val="en-CA"/>
        </w:rPr>
        <w:t>s</w:t>
      </w:r>
      <w:r w:rsidRPr="005945EC">
        <w:rPr>
          <w:lang w:val="en-CA"/>
        </w:rPr>
        <w:t xml:space="preserve"> and investment</w:t>
      </w:r>
      <w:r w:rsidR="00180739" w:rsidRPr="005945EC">
        <w:rPr>
          <w:lang w:val="en-CA"/>
        </w:rPr>
        <w:t>s</w:t>
      </w:r>
      <w:r w:rsidRPr="005945EC">
        <w:rPr>
          <w:lang w:val="en-CA"/>
        </w:rPr>
        <w:t xml:space="preserve"> in new technolog</w:t>
      </w:r>
      <w:r w:rsidR="00180739" w:rsidRPr="005945EC">
        <w:rPr>
          <w:lang w:val="en-CA"/>
        </w:rPr>
        <w:t>y</w:t>
      </w:r>
      <w:r w:rsidRPr="005945EC">
        <w:rPr>
          <w:lang w:val="en-CA"/>
        </w:rPr>
        <w:t xml:space="preserve"> and training, Star Alliance </w:t>
      </w:r>
      <w:r w:rsidR="00180739" w:rsidRPr="005945EC">
        <w:rPr>
          <w:lang w:val="en-CA"/>
        </w:rPr>
        <w:t xml:space="preserve">had built </w:t>
      </w:r>
      <w:r w:rsidR="00C4440F" w:rsidRPr="005945EC">
        <w:rPr>
          <w:lang w:val="en-CA"/>
        </w:rPr>
        <w:t xml:space="preserve">and was </w:t>
      </w:r>
      <w:r w:rsidRPr="005945EC">
        <w:rPr>
          <w:lang w:val="en-CA"/>
        </w:rPr>
        <w:t>maintain</w:t>
      </w:r>
      <w:r w:rsidR="00C4440F" w:rsidRPr="005945EC">
        <w:rPr>
          <w:lang w:val="en-CA"/>
        </w:rPr>
        <w:t>ing</w:t>
      </w:r>
      <w:r w:rsidRPr="005945EC">
        <w:rPr>
          <w:lang w:val="en-CA"/>
        </w:rPr>
        <w:t xml:space="preserve"> an advanced </w:t>
      </w:r>
      <w:r w:rsidR="00C4440F" w:rsidRPr="005945EC">
        <w:rPr>
          <w:lang w:val="en-CA"/>
        </w:rPr>
        <w:t>technology</w:t>
      </w:r>
      <w:r w:rsidRPr="005945EC">
        <w:rPr>
          <w:lang w:val="en-CA"/>
        </w:rPr>
        <w:t xml:space="preserve"> infrastructure </w:t>
      </w:r>
      <w:r w:rsidR="00C4440F" w:rsidRPr="005945EC">
        <w:rPr>
          <w:lang w:val="en-CA"/>
        </w:rPr>
        <w:t xml:space="preserve">to </w:t>
      </w:r>
      <w:r w:rsidRPr="005945EC">
        <w:rPr>
          <w:lang w:val="en-CA"/>
        </w:rPr>
        <w:t xml:space="preserve">support the operations of its carriers and the seamless transition of passengers between </w:t>
      </w:r>
      <w:r w:rsidR="00C4440F" w:rsidRPr="005945EC">
        <w:rPr>
          <w:lang w:val="en-CA"/>
        </w:rPr>
        <w:t>member</w:t>
      </w:r>
      <w:r w:rsidRPr="005945EC">
        <w:rPr>
          <w:lang w:val="en-CA"/>
        </w:rPr>
        <w:t xml:space="preserve"> carriers.</w:t>
      </w:r>
    </w:p>
    <w:p w14:paraId="1750DEC2" w14:textId="77777777" w:rsidR="00E867DA" w:rsidRPr="005945EC" w:rsidRDefault="00E867DA" w:rsidP="00E867DA">
      <w:pPr>
        <w:pStyle w:val="BodyTextMain"/>
        <w:rPr>
          <w:lang w:val="en-CA"/>
        </w:rPr>
      </w:pPr>
    </w:p>
    <w:p w14:paraId="147E84D5" w14:textId="13F55749" w:rsidR="00E867DA" w:rsidRPr="00A92DE3" w:rsidRDefault="00E867DA" w:rsidP="00E867DA">
      <w:pPr>
        <w:pStyle w:val="BodyTextMain"/>
        <w:rPr>
          <w:spacing w:val="-4"/>
          <w:kern w:val="22"/>
          <w:sz w:val="24"/>
          <w:lang w:val="en-CA"/>
        </w:rPr>
      </w:pPr>
      <w:r w:rsidRPr="00A92DE3">
        <w:rPr>
          <w:spacing w:val="-4"/>
          <w:kern w:val="22"/>
          <w:lang w:val="en-CA"/>
        </w:rPr>
        <w:t>Star</w:t>
      </w:r>
      <w:r w:rsidR="00822A04" w:rsidRPr="00A92DE3">
        <w:rPr>
          <w:spacing w:val="-4"/>
          <w:kern w:val="22"/>
          <w:lang w:val="en-CA"/>
        </w:rPr>
        <w:t xml:space="preserve"> Alliance</w:t>
      </w:r>
      <w:r w:rsidRPr="00A92DE3">
        <w:rPr>
          <w:spacing w:val="-4"/>
          <w:kern w:val="22"/>
          <w:lang w:val="en-CA"/>
        </w:rPr>
        <w:t xml:space="preserve"> </w:t>
      </w:r>
      <w:r w:rsidR="000D4DB3" w:rsidRPr="00A92DE3">
        <w:rPr>
          <w:spacing w:val="-4"/>
          <w:kern w:val="22"/>
          <w:lang w:val="en-CA"/>
        </w:rPr>
        <w:t>continued to spend resources and effort</w:t>
      </w:r>
      <w:r w:rsidRPr="00A92DE3">
        <w:rPr>
          <w:spacing w:val="-4"/>
          <w:kern w:val="22"/>
          <w:lang w:val="en-CA"/>
        </w:rPr>
        <w:t xml:space="preserve"> to help members deliver consistent services across the alliance. Similarly, </w:t>
      </w:r>
      <w:proofErr w:type="spellStart"/>
      <w:r w:rsidRPr="00A92DE3">
        <w:rPr>
          <w:spacing w:val="-4"/>
          <w:kern w:val="22"/>
          <w:lang w:val="en-CA"/>
        </w:rPr>
        <w:t>Oneworld</w:t>
      </w:r>
      <w:proofErr w:type="spellEnd"/>
      <w:r w:rsidRPr="00A92DE3">
        <w:rPr>
          <w:spacing w:val="-4"/>
          <w:kern w:val="22"/>
          <w:lang w:val="en-CA"/>
        </w:rPr>
        <w:t xml:space="preserve"> developed an intensive training program</w:t>
      </w:r>
      <w:r w:rsidR="00822A04" w:rsidRPr="00A92DE3">
        <w:rPr>
          <w:spacing w:val="-4"/>
          <w:kern w:val="22"/>
          <w:lang w:val="en-CA"/>
        </w:rPr>
        <w:t xml:space="preserve"> for its members</w:t>
      </w:r>
      <w:r w:rsidRPr="00A92DE3">
        <w:rPr>
          <w:spacing w:val="-4"/>
          <w:kern w:val="22"/>
          <w:lang w:val="en-CA"/>
        </w:rPr>
        <w:t>. At the heart of that program was a set of core messages agreed to by the partners, including “recognizing people as individuals and respect for individuals, while celebrating the different cultures and atmospheres between the airlines.”</w:t>
      </w:r>
      <w:r w:rsidRPr="00A92DE3">
        <w:rPr>
          <w:spacing w:val="-4"/>
          <w:kern w:val="22"/>
          <w:vertAlign w:val="superscript"/>
          <w:lang w:val="en-CA"/>
        </w:rPr>
        <w:endnoteReference w:id="33"/>
      </w:r>
    </w:p>
    <w:p w14:paraId="54BA9660" w14:textId="40BAFB59" w:rsidR="00E867DA" w:rsidRPr="005945EC" w:rsidRDefault="00E867DA" w:rsidP="00E867DA">
      <w:pPr>
        <w:pStyle w:val="BodyTextMain"/>
        <w:rPr>
          <w:sz w:val="24"/>
          <w:lang w:val="en-CA"/>
        </w:rPr>
      </w:pPr>
    </w:p>
    <w:p w14:paraId="604962B1" w14:textId="77777777" w:rsidR="00E867DA" w:rsidRPr="005945EC" w:rsidRDefault="00E867DA" w:rsidP="00E867DA">
      <w:pPr>
        <w:pStyle w:val="BodyTextMain"/>
        <w:rPr>
          <w:sz w:val="24"/>
          <w:lang w:val="en-CA"/>
        </w:rPr>
      </w:pPr>
    </w:p>
    <w:p w14:paraId="1527C728" w14:textId="5EF3EF40" w:rsidR="00E867DA" w:rsidRPr="005945EC" w:rsidRDefault="00E867DA" w:rsidP="00E867DA">
      <w:pPr>
        <w:pStyle w:val="Casehead1"/>
        <w:rPr>
          <w:lang w:val="en-CA"/>
        </w:rPr>
      </w:pPr>
      <w:r w:rsidRPr="005945EC">
        <w:rPr>
          <w:lang w:val="en-CA"/>
        </w:rPr>
        <w:t xml:space="preserve">Future of Airline Constellations </w:t>
      </w:r>
    </w:p>
    <w:p w14:paraId="320FFAAF" w14:textId="77777777" w:rsidR="00E867DA" w:rsidRPr="005945EC" w:rsidRDefault="00E867DA" w:rsidP="00E867DA">
      <w:pPr>
        <w:pStyle w:val="BodyTextMain"/>
        <w:rPr>
          <w:lang w:val="en-CA"/>
        </w:rPr>
      </w:pPr>
    </w:p>
    <w:p w14:paraId="2A10EB69" w14:textId="77777777" w:rsidR="00E867DA" w:rsidRPr="005945EC" w:rsidRDefault="00E867DA" w:rsidP="00E867DA">
      <w:pPr>
        <w:pStyle w:val="Casehead2"/>
        <w:rPr>
          <w:lang w:val="en-CA"/>
        </w:rPr>
      </w:pPr>
      <w:r w:rsidRPr="005945EC">
        <w:rPr>
          <w:lang w:val="en-CA"/>
        </w:rPr>
        <w:t>Industry Consolidation</w:t>
      </w:r>
    </w:p>
    <w:p w14:paraId="6623DAD5" w14:textId="77777777" w:rsidR="00E867DA" w:rsidRPr="005945EC" w:rsidRDefault="00E867DA" w:rsidP="00E867DA">
      <w:pPr>
        <w:pStyle w:val="BodyTextMain"/>
        <w:rPr>
          <w:lang w:val="en-CA"/>
        </w:rPr>
      </w:pPr>
    </w:p>
    <w:p w14:paraId="088F065B" w14:textId="382173B4" w:rsidR="00E867DA" w:rsidRPr="005945EC" w:rsidRDefault="00E867DA" w:rsidP="00E867DA">
      <w:pPr>
        <w:pStyle w:val="BodyTextMain"/>
        <w:rPr>
          <w:lang w:val="en-CA"/>
        </w:rPr>
      </w:pPr>
      <w:r w:rsidRPr="005945EC">
        <w:rPr>
          <w:lang w:val="en-CA"/>
        </w:rPr>
        <w:t xml:space="preserve">Despite a complex web of regulations, the global airline industry had steadily moved toward long-term consolidation, </w:t>
      </w:r>
      <w:r w:rsidR="00C96C29" w:rsidRPr="005945EC">
        <w:rPr>
          <w:lang w:val="en-CA"/>
        </w:rPr>
        <w:t>as</w:t>
      </w:r>
      <w:r w:rsidRPr="005945EC">
        <w:rPr>
          <w:lang w:val="en-CA"/>
        </w:rPr>
        <w:t xml:space="preserve"> airline constellations continued to expand by adding members</w:t>
      </w:r>
      <w:r w:rsidR="00C96C29" w:rsidRPr="005945EC">
        <w:rPr>
          <w:lang w:val="en-CA"/>
        </w:rPr>
        <w:t xml:space="preserve"> to their networks</w:t>
      </w:r>
      <w:r w:rsidRPr="005945EC">
        <w:rPr>
          <w:lang w:val="en-CA"/>
        </w:rPr>
        <w:t xml:space="preserve">. </w:t>
      </w:r>
      <w:r w:rsidR="00C96C29" w:rsidRPr="005945EC">
        <w:rPr>
          <w:lang w:val="en-CA"/>
        </w:rPr>
        <w:t xml:space="preserve">With </w:t>
      </w:r>
      <w:r w:rsidRPr="005945EC">
        <w:rPr>
          <w:lang w:val="en-CA"/>
        </w:rPr>
        <w:t>additional airlines join</w:t>
      </w:r>
      <w:r w:rsidR="00C96C29" w:rsidRPr="005945EC">
        <w:rPr>
          <w:lang w:val="en-CA"/>
        </w:rPr>
        <w:t>ing</w:t>
      </w:r>
      <w:r w:rsidRPr="005945EC">
        <w:rPr>
          <w:lang w:val="en-CA"/>
        </w:rPr>
        <w:t xml:space="preserve"> existing </w:t>
      </w:r>
      <w:r w:rsidR="008F1C28" w:rsidRPr="005945EC">
        <w:rPr>
          <w:lang w:val="en-CA"/>
        </w:rPr>
        <w:t>alliances</w:t>
      </w:r>
      <w:r w:rsidRPr="005945EC">
        <w:rPr>
          <w:lang w:val="en-CA"/>
        </w:rPr>
        <w:t xml:space="preserve">, </w:t>
      </w:r>
      <w:r w:rsidR="005B4210" w:rsidRPr="005945EC">
        <w:rPr>
          <w:lang w:val="en-CA"/>
        </w:rPr>
        <w:t xml:space="preserve">the </w:t>
      </w:r>
      <w:r w:rsidR="00C96C29" w:rsidRPr="005945EC">
        <w:rPr>
          <w:lang w:val="en-CA"/>
        </w:rPr>
        <w:t xml:space="preserve">overlap in </w:t>
      </w:r>
      <w:r w:rsidRPr="005945EC">
        <w:rPr>
          <w:lang w:val="en-CA"/>
        </w:rPr>
        <w:t>route structures of member</w:t>
      </w:r>
      <w:r w:rsidR="00C96C29" w:rsidRPr="005945EC">
        <w:rPr>
          <w:lang w:val="en-CA"/>
        </w:rPr>
        <w:t xml:space="preserve"> airline</w:t>
      </w:r>
      <w:r w:rsidRPr="005945EC">
        <w:rPr>
          <w:lang w:val="en-CA"/>
        </w:rPr>
        <w:t xml:space="preserve">s </w:t>
      </w:r>
      <w:r w:rsidR="00C96C29" w:rsidRPr="005945EC">
        <w:rPr>
          <w:lang w:val="en-CA"/>
        </w:rPr>
        <w:t>kept increasing</w:t>
      </w:r>
      <w:r w:rsidRPr="005945EC">
        <w:rPr>
          <w:lang w:val="en-CA"/>
        </w:rPr>
        <w:t xml:space="preserve">. This </w:t>
      </w:r>
      <w:r w:rsidR="00C96C29" w:rsidRPr="005945EC">
        <w:rPr>
          <w:lang w:val="en-CA"/>
        </w:rPr>
        <w:t>factor was a key consideration for</w:t>
      </w:r>
      <w:r w:rsidRPr="005945EC">
        <w:rPr>
          <w:lang w:val="en-CA"/>
        </w:rPr>
        <w:t xml:space="preserve"> incumbent members </w:t>
      </w:r>
      <w:r w:rsidR="00C96C29" w:rsidRPr="005945EC">
        <w:rPr>
          <w:lang w:val="en-CA"/>
        </w:rPr>
        <w:t>in their assessment of</w:t>
      </w:r>
      <w:r w:rsidRPr="005945EC">
        <w:rPr>
          <w:lang w:val="en-CA"/>
        </w:rPr>
        <w:t xml:space="preserve"> new applicant</w:t>
      </w:r>
      <w:r w:rsidR="00C96C29" w:rsidRPr="005945EC">
        <w:rPr>
          <w:lang w:val="en-CA"/>
        </w:rPr>
        <w:t>s</w:t>
      </w:r>
      <w:r w:rsidRPr="005945EC">
        <w:rPr>
          <w:lang w:val="en-CA"/>
        </w:rPr>
        <w:t xml:space="preserve"> for membership.</w:t>
      </w:r>
    </w:p>
    <w:p w14:paraId="71F396E4" w14:textId="77777777" w:rsidR="00E867DA" w:rsidRPr="005945EC" w:rsidRDefault="00E867DA" w:rsidP="00E867DA">
      <w:pPr>
        <w:pStyle w:val="BodyTextMain"/>
        <w:rPr>
          <w:lang w:val="en-CA"/>
        </w:rPr>
      </w:pPr>
    </w:p>
    <w:p w14:paraId="2E0391F9" w14:textId="07D132DD" w:rsidR="00C96C29" w:rsidRPr="005945EC" w:rsidRDefault="00E867DA" w:rsidP="00E867DA">
      <w:pPr>
        <w:pStyle w:val="BodyTextMain"/>
        <w:rPr>
          <w:lang w:val="en-CA"/>
        </w:rPr>
      </w:pPr>
      <w:r w:rsidRPr="005945EC">
        <w:rPr>
          <w:lang w:val="en-CA"/>
        </w:rPr>
        <w:t xml:space="preserve">Entry and exit from </w:t>
      </w:r>
      <w:r w:rsidR="00C96C29" w:rsidRPr="005945EC">
        <w:rPr>
          <w:lang w:val="en-CA"/>
        </w:rPr>
        <w:t>an</w:t>
      </w:r>
      <w:r w:rsidRPr="005945EC">
        <w:rPr>
          <w:lang w:val="en-CA"/>
        </w:rPr>
        <w:t xml:space="preserve"> airline constellation</w:t>
      </w:r>
      <w:r w:rsidR="00C96C29" w:rsidRPr="005945EC">
        <w:rPr>
          <w:lang w:val="en-CA"/>
        </w:rPr>
        <w:t xml:space="preserve"> depended on the</w:t>
      </w:r>
      <w:r w:rsidRPr="005945EC">
        <w:rPr>
          <w:lang w:val="en-CA"/>
        </w:rPr>
        <w:t xml:space="preserve"> terms of the membership. </w:t>
      </w:r>
      <w:r w:rsidR="00C96C29" w:rsidRPr="005945EC">
        <w:rPr>
          <w:lang w:val="en-CA"/>
        </w:rPr>
        <w:t>For example, at Star Alliance</w:t>
      </w:r>
      <w:r w:rsidRPr="005945EC">
        <w:rPr>
          <w:lang w:val="en-CA"/>
        </w:rPr>
        <w:t xml:space="preserve">, an airline </w:t>
      </w:r>
      <w:r w:rsidR="00C96C29" w:rsidRPr="005945EC">
        <w:rPr>
          <w:lang w:val="en-CA"/>
        </w:rPr>
        <w:t xml:space="preserve">that wanted to </w:t>
      </w:r>
      <w:r w:rsidR="00F9195A">
        <w:rPr>
          <w:lang w:val="en-CA"/>
        </w:rPr>
        <w:t>enter</w:t>
      </w:r>
      <w:r w:rsidR="00C96C29" w:rsidRPr="005945EC">
        <w:rPr>
          <w:lang w:val="en-CA"/>
        </w:rPr>
        <w:t xml:space="preserve"> the network </w:t>
      </w:r>
      <w:r w:rsidRPr="005945EC">
        <w:rPr>
          <w:lang w:val="en-CA"/>
        </w:rPr>
        <w:t xml:space="preserve">had to show that it could meet </w:t>
      </w:r>
      <w:r w:rsidR="00C96C29" w:rsidRPr="005945EC">
        <w:rPr>
          <w:lang w:val="en-CA"/>
        </w:rPr>
        <w:t>the alliance’s</w:t>
      </w:r>
      <w:r w:rsidRPr="005945EC">
        <w:rPr>
          <w:lang w:val="en-CA"/>
        </w:rPr>
        <w:t xml:space="preserve"> standards. Existing members voted on </w:t>
      </w:r>
      <w:r w:rsidR="00C96C29" w:rsidRPr="005945EC">
        <w:rPr>
          <w:lang w:val="en-CA"/>
        </w:rPr>
        <w:t xml:space="preserve">accepting a </w:t>
      </w:r>
      <w:r w:rsidRPr="005945EC">
        <w:rPr>
          <w:lang w:val="en-CA"/>
        </w:rPr>
        <w:t xml:space="preserve">new member, with voting shares based on the size of </w:t>
      </w:r>
      <w:r w:rsidR="00C96C29" w:rsidRPr="005945EC">
        <w:rPr>
          <w:lang w:val="en-CA"/>
        </w:rPr>
        <w:t>each</w:t>
      </w:r>
      <w:r w:rsidRPr="005945EC">
        <w:rPr>
          <w:lang w:val="en-CA"/>
        </w:rPr>
        <w:t xml:space="preserve"> airline. </w:t>
      </w:r>
    </w:p>
    <w:p w14:paraId="5D70726C" w14:textId="77777777" w:rsidR="00C96C29" w:rsidRPr="005945EC" w:rsidRDefault="00C96C29" w:rsidP="00E867DA">
      <w:pPr>
        <w:pStyle w:val="BodyTextMain"/>
        <w:rPr>
          <w:lang w:val="en-CA"/>
        </w:rPr>
      </w:pPr>
    </w:p>
    <w:p w14:paraId="28F08DC2" w14:textId="30BD4DC3" w:rsidR="00E867DA" w:rsidRPr="00A92DE3" w:rsidRDefault="00E867DA" w:rsidP="00E867DA">
      <w:pPr>
        <w:pStyle w:val="BodyTextMain"/>
        <w:rPr>
          <w:spacing w:val="-4"/>
          <w:kern w:val="22"/>
          <w:lang w:val="en-CA"/>
        </w:rPr>
      </w:pPr>
      <w:r w:rsidRPr="00A92DE3">
        <w:rPr>
          <w:spacing w:val="-4"/>
          <w:kern w:val="22"/>
          <w:lang w:val="en-CA"/>
        </w:rPr>
        <w:t>By 2020, Star Alliance had become a mature alliance organization</w:t>
      </w:r>
      <w:r w:rsidR="006466C9" w:rsidRPr="00A92DE3">
        <w:rPr>
          <w:spacing w:val="-4"/>
          <w:kern w:val="22"/>
          <w:lang w:val="en-CA"/>
        </w:rPr>
        <w:t xml:space="preserve"> that</w:t>
      </w:r>
      <w:r w:rsidR="00C96C29" w:rsidRPr="00A92DE3">
        <w:rPr>
          <w:spacing w:val="-4"/>
          <w:kern w:val="22"/>
          <w:lang w:val="en-CA"/>
        </w:rPr>
        <w:t xml:space="preserve"> had developed a</w:t>
      </w:r>
      <w:r w:rsidRPr="00A92DE3">
        <w:rPr>
          <w:spacing w:val="-4"/>
          <w:kern w:val="22"/>
          <w:lang w:val="en-CA"/>
        </w:rPr>
        <w:t xml:space="preserve"> stable membership</w:t>
      </w:r>
      <w:r w:rsidR="00C96C29" w:rsidRPr="00A92DE3">
        <w:rPr>
          <w:spacing w:val="-4"/>
          <w:kern w:val="22"/>
          <w:lang w:val="en-CA"/>
        </w:rPr>
        <w:t xml:space="preserve"> base, </w:t>
      </w:r>
      <w:r w:rsidR="00D941FF" w:rsidRPr="00A92DE3">
        <w:rPr>
          <w:spacing w:val="-4"/>
          <w:kern w:val="22"/>
          <w:lang w:val="en-CA"/>
        </w:rPr>
        <w:t>a standard</w:t>
      </w:r>
      <w:r w:rsidRPr="00A92DE3">
        <w:rPr>
          <w:spacing w:val="-4"/>
          <w:kern w:val="22"/>
          <w:lang w:val="en-CA"/>
        </w:rPr>
        <w:t xml:space="preserve"> set of rules</w:t>
      </w:r>
      <w:r w:rsidR="00D941FF" w:rsidRPr="00A92DE3">
        <w:rPr>
          <w:spacing w:val="-4"/>
          <w:kern w:val="22"/>
          <w:lang w:val="en-CA"/>
        </w:rPr>
        <w:t>,</w:t>
      </w:r>
      <w:r w:rsidRPr="00A92DE3">
        <w:rPr>
          <w:spacing w:val="-4"/>
          <w:kern w:val="22"/>
          <w:lang w:val="en-CA"/>
        </w:rPr>
        <w:t xml:space="preserve"> and </w:t>
      </w:r>
      <w:r w:rsidR="00D941FF" w:rsidRPr="00A92DE3">
        <w:rPr>
          <w:spacing w:val="-4"/>
          <w:kern w:val="22"/>
          <w:lang w:val="en-CA"/>
        </w:rPr>
        <w:t xml:space="preserve">efficient </w:t>
      </w:r>
      <w:r w:rsidRPr="00A92DE3">
        <w:rPr>
          <w:spacing w:val="-4"/>
          <w:kern w:val="22"/>
          <w:lang w:val="en-CA"/>
        </w:rPr>
        <w:t xml:space="preserve">processes. </w:t>
      </w:r>
      <w:r w:rsidR="00D941FF" w:rsidRPr="00A92DE3">
        <w:rPr>
          <w:spacing w:val="-4"/>
          <w:kern w:val="22"/>
          <w:lang w:val="en-CA"/>
        </w:rPr>
        <w:t>The</w:t>
      </w:r>
      <w:r w:rsidRPr="00A92DE3">
        <w:rPr>
          <w:spacing w:val="-4"/>
          <w:kern w:val="22"/>
          <w:lang w:val="en-CA"/>
        </w:rPr>
        <w:t xml:space="preserve"> three major alliances</w:t>
      </w:r>
      <w:r w:rsidR="00D941FF" w:rsidRPr="00A92DE3">
        <w:rPr>
          <w:spacing w:val="-4"/>
          <w:kern w:val="22"/>
          <w:lang w:val="en-CA"/>
        </w:rPr>
        <w:t xml:space="preserve"> had reached a comparable level of market share in the industry.</w:t>
      </w:r>
      <w:r w:rsidRPr="00A92DE3">
        <w:rPr>
          <w:spacing w:val="-4"/>
          <w:kern w:val="22"/>
          <w:lang w:val="en-CA"/>
        </w:rPr>
        <w:t xml:space="preserve"> </w:t>
      </w:r>
      <w:r w:rsidR="00D941FF" w:rsidRPr="00A92DE3">
        <w:rPr>
          <w:spacing w:val="-4"/>
          <w:kern w:val="22"/>
          <w:lang w:val="en-CA"/>
        </w:rPr>
        <w:t>Airline</w:t>
      </w:r>
      <w:r w:rsidRPr="00A92DE3">
        <w:rPr>
          <w:spacing w:val="-4"/>
          <w:kern w:val="22"/>
          <w:lang w:val="en-CA"/>
        </w:rPr>
        <w:t xml:space="preserve"> mergers </w:t>
      </w:r>
      <w:r w:rsidR="00D941FF" w:rsidRPr="00A92DE3">
        <w:rPr>
          <w:spacing w:val="-4"/>
          <w:kern w:val="22"/>
          <w:lang w:val="en-CA"/>
        </w:rPr>
        <w:t>and co-operation had also</w:t>
      </w:r>
      <w:r w:rsidRPr="00A92DE3">
        <w:rPr>
          <w:spacing w:val="-4"/>
          <w:kern w:val="22"/>
          <w:lang w:val="en-CA"/>
        </w:rPr>
        <w:t xml:space="preserve"> reached a</w:t>
      </w:r>
      <w:r w:rsidR="00D941FF" w:rsidRPr="00A92DE3">
        <w:rPr>
          <w:spacing w:val="-4"/>
          <w:kern w:val="22"/>
          <w:lang w:val="en-CA"/>
        </w:rPr>
        <w:t xml:space="preserve"> saturation</w:t>
      </w:r>
      <w:r w:rsidRPr="00A92DE3">
        <w:rPr>
          <w:spacing w:val="-4"/>
          <w:kern w:val="22"/>
          <w:lang w:val="en-CA"/>
        </w:rPr>
        <w:t xml:space="preserve"> point</w:t>
      </w:r>
      <w:r w:rsidR="00D941FF" w:rsidRPr="00A92DE3">
        <w:rPr>
          <w:spacing w:val="-4"/>
          <w:kern w:val="22"/>
          <w:lang w:val="en-CA"/>
        </w:rPr>
        <w:t>. F</w:t>
      </w:r>
      <w:r w:rsidRPr="00A92DE3">
        <w:rPr>
          <w:spacing w:val="-4"/>
          <w:kern w:val="22"/>
          <w:lang w:val="en-CA"/>
        </w:rPr>
        <w:t xml:space="preserve">urther consolidation </w:t>
      </w:r>
      <w:r w:rsidR="00D941FF" w:rsidRPr="00A92DE3">
        <w:rPr>
          <w:spacing w:val="-4"/>
          <w:kern w:val="22"/>
          <w:lang w:val="en-CA"/>
        </w:rPr>
        <w:t xml:space="preserve">of airline organizations </w:t>
      </w:r>
      <w:r w:rsidRPr="00A92DE3">
        <w:rPr>
          <w:spacing w:val="-4"/>
          <w:kern w:val="22"/>
          <w:lang w:val="en-CA"/>
        </w:rPr>
        <w:t xml:space="preserve">would </w:t>
      </w:r>
      <w:r w:rsidR="00D941FF" w:rsidRPr="00A92DE3">
        <w:rPr>
          <w:spacing w:val="-4"/>
          <w:kern w:val="22"/>
          <w:lang w:val="en-CA"/>
        </w:rPr>
        <w:t>likely face strong opposition due to</w:t>
      </w:r>
      <w:r w:rsidRPr="00A92DE3">
        <w:rPr>
          <w:spacing w:val="-4"/>
          <w:kern w:val="22"/>
          <w:lang w:val="en-CA"/>
        </w:rPr>
        <w:t xml:space="preserve"> antitrust regulations.</w:t>
      </w:r>
    </w:p>
    <w:p w14:paraId="2F7B18BB" w14:textId="22307958" w:rsidR="00E867DA" w:rsidRPr="005945EC" w:rsidRDefault="00E867DA" w:rsidP="00E867DA">
      <w:pPr>
        <w:pStyle w:val="BodyTextMain"/>
        <w:rPr>
          <w:lang w:val="en-CA"/>
        </w:rPr>
      </w:pPr>
    </w:p>
    <w:p w14:paraId="503F937A" w14:textId="77777777" w:rsidR="00D941FF" w:rsidRPr="005945EC" w:rsidRDefault="00D941FF" w:rsidP="00E867DA">
      <w:pPr>
        <w:pStyle w:val="Casehead2"/>
        <w:rPr>
          <w:lang w:val="en-CA"/>
        </w:rPr>
      </w:pPr>
    </w:p>
    <w:p w14:paraId="20707BD4" w14:textId="2A49747E" w:rsidR="00E867DA" w:rsidRPr="005945EC" w:rsidRDefault="00D941FF" w:rsidP="00D82B21">
      <w:pPr>
        <w:pStyle w:val="Casehead2"/>
        <w:keepNext/>
        <w:rPr>
          <w:lang w:val="en-CA"/>
        </w:rPr>
      </w:pPr>
      <w:r w:rsidRPr="005945EC">
        <w:rPr>
          <w:lang w:val="en-CA"/>
        </w:rPr>
        <w:t xml:space="preserve">Potential </w:t>
      </w:r>
      <w:r w:rsidR="00E867DA" w:rsidRPr="005945EC">
        <w:rPr>
          <w:lang w:val="en-CA"/>
        </w:rPr>
        <w:t>Changes in the Hub</w:t>
      </w:r>
      <w:r w:rsidR="008F1C28" w:rsidRPr="005945EC">
        <w:rPr>
          <w:lang w:val="en-CA"/>
        </w:rPr>
        <w:t>-</w:t>
      </w:r>
      <w:r w:rsidR="00E867DA" w:rsidRPr="005945EC">
        <w:rPr>
          <w:lang w:val="en-CA"/>
        </w:rPr>
        <w:t>and</w:t>
      </w:r>
      <w:r w:rsidR="008F1C28" w:rsidRPr="005945EC">
        <w:rPr>
          <w:lang w:val="en-CA"/>
        </w:rPr>
        <w:t>-</w:t>
      </w:r>
      <w:r w:rsidR="00E867DA" w:rsidRPr="005945EC">
        <w:rPr>
          <w:lang w:val="en-CA"/>
        </w:rPr>
        <w:t>Spoke Model</w:t>
      </w:r>
    </w:p>
    <w:p w14:paraId="164B28D8" w14:textId="77777777" w:rsidR="00E867DA" w:rsidRPr="005945EC" w:rsidRDefault="00E867DA" w:rsidP="00D82B21">
      <w:pPr>
        <w:pStyle w:val="BodyTextMain"/>
        <w:keepNext/>
        <w:rPr>
          <w:lang w:val="en-CA"/>
        </w:rPr>
      </w:pPr>
    </w:p>
    <w:p w14:paraId="5C6A9C1E" w14:textId="695D08D4" w:rsidR="00E867DA" w:rsidRPr="005945EC" w:rsidRDefault="00E867DA" w:rsidP="00D82B21">
      <w:pPr>
        <w:pStyle w:val="BodyTextMain"/>
        <w:keepNext/>
        <w:rPr>
          <w:lang w:val="en-CA"/>
        </w:rPr>
      </w:pPr>
      <w:r w:rsidRPr="005945EC">
        <w:rPr>
          <w:lang w:val="en-CA"/>
        </w:rPr>
        <w:t xml:space="preserve">Since its inception, </w:t>
      </w:r>
      <w:r w:rsidR="006466C9" w:rsidRPr="005945EC">
        <w:rPr>
          <w:lang w:val="en-CA"/>
        </w:rPr>
        <w:t xml:space="preserve">the </w:t>
      </w:r>
      <w:proofErr w:type="gramStart"/>
      <w:r w:rsidR="006466C9" w:rsidRPr="005945EC">
        <w:rPr>
          <w:lang w:val="en-CA"/>
        </w:rPr>
        <w:t>main focus</w:t>
      </w:r>
      <w:proofErr w:type="gramEnd"/>
      <w:r w:rsidR="006466C9" w:rsidRPr="005945EC">
        <w:rPr>
          <w:lang w:val="en-CA"/>
        </w:rPr>
        <w:t xml:space="preserve"> of </w:t>
      </w:r>
      <w:r w:rsidR="00D941FF" w:rsidRPr="005945EC">
        <w:rPr>
          <w:lang w:val="en-CA"/>
        </w:rPr>
        <w:t xml:space="preserve">Star Alliance had </w:t>
      </w:r>
      <w:r w:rsidR="006466C9" w:rsidRPr="005945EC">
        <w:rPr>
          <w:lang w:val="en-CA"/>
        </w:rPr>
        <w:t xml:space="preserve">been </w:t>
      </w:r>
      <w:r w:rsidR="00D941FF" w:rsidRPr="005945EC">
        <w:rPr>
          <w:lang w:val="en-CA"/>
        </w:rPr>
        <w:t xml:space="preserve">to </w:t>
      </w:r>
      <w:r w:rsidRPr="005945EC">
        <w:rPr>
          <w:lang w:val="en-CA"/>
        </w:rPr>
        <w:t>optimiz</w:t>
      </w:r>
      <w:r w:rsidR="00D941FF" w:rsidRPr="005945EC">
        <w:rPr>
          <w:lang w:val="en-CA"/>
        </w:rPr>
        <w:t>e the</w:t>
      </w:r>
      <w:r w:rsidRPr="005945EC">
        <w:rPr>
          <w:lang w:val="en-CA"/>
        </w:rPr>
        <w:t xml:space="preserve"> hub</w:t>
      </w:r>
      <w:r w:rsidR="009F3389" w:rsidRPr="005945EC">
        <w:rPr>
          <w:lang w:val="en-CA"/>
        </w:rPr>
        <w:t>-</w:t>
      </w:r>
      <w:r w:rsidRPr="005945EC">
        <w:rPr>
          <w:lang w:val="en-CA"/>
        </w:rPr>
        <w:t>and</w:t>
      </w:r>
      <w:r w:rsidR="009F3389" w:rsidRPr="005945EC">
        <w:rPr>
          <w:lang w:val="en-CA"/>
        </w:rPr>
        <w:t>-</w:t>
      </w:r>
      <w:r w:rsidRPr="005945EC">
        <w:rPr>
          <w:lang w:val="en-CA"/>
        </w:rPr>
        <w:t>spoke network of the airline industry</w:t>
      </w:r>
      <w:r w:rsidR="00D941FF" w:rsidRPr="005945EC">
        <w:rPr>
          <w:lang w:val="en-CA"/>
        </w:rPr>
        <w:t>, which it saw as a key</w:t>
      </w:r>
      <w:r w:rsidRPr="005945EC">
        <w:rPr>
          <w:lang w:val="en-CA"/>
        </w:rPr>
        <w:t xml:space="preserve"> benefit. However, beginning in 2015, point-to-point flights</w:t>
      </w:r>
      <w:r w:rsidR="00D941FF" w:rsidRPr="005945EC">
        <w:rPr>
          <w:lang w:val="en-CA"/>
        </w:rPr>
        <w:t xml:space="preserve"> seemed to be increasingly popular</w:t>
      </w:r>
      <w:r w:rsidRPr="005945EC">
        <w:rPr>
          <w:lang w:val="en-CA"/>
        </w:rPr>
        <w:t xml:space="preserve">, </w:t>
      </w:r>
      <w:r w:rsidR="00D941FF" w:rsidRPr="005945EC">
        <w:rPr>
          <w:lang w:val="en-CA"/>
        </w:rPr>
        <w:t>e</w:t>
      </w:r>
      <w:r w:rsidRPr="005945EC">
        <w:rPr>
          <w:lang w:val="en-CA"/>
        </w:rPr>
        <w:t>specially ultra</w:t>
      </w:r>
      <w:r w:rsidR="009F3389" w:rsidRPr="005945EC">
        <w:rPr>
          <w:lang w:val="en-CA"/>
        </w:rPr>
        <w:t xml:space="preserve"> </w:t>
      </w:r>
      <w:r w:rsidRPr="005945EC">
        <w:rPr>
          <w:lang w:val="en-CA"/>
        </w:rPr>
        <w:t>long-haul flights (LHF).</w:t>
      </w:r>
      <w:r w:rsidRPr="005945EC">
        <w:rPr>
          <w:rStyle w:val="EndnoteReference"/>
          <w:lang w:val="en-CA"/>
        </w:rPr>
        <w:endnoteReference w:id="34"/>
      </w:r>
    </w:p>
    <w:p w14:paraId="00F406D7" w14:textId="77777777" w:rsidR="00E867DA" w:rsidRPr="005945EC" w:rsidRDefault="00E867DA" w:rsidP="00E867DA">
      <w:pPr>
        <w:pStyle w:val="BodyTextMain"/>
        <w:rPr>
          <w:lang w:val="en-CA"/>
        </w:rPr>
      </w:pPr>
    </w:p>
    <w:p w14:paraId="53A4709D" w14:textId="0E4BF597" w:rsidR="00FF60EF" w:rsidRPr="005945EC" w:rsidRDefault="00E867DA" w:rsidP="00E867DA">
      <w:pPr>
        <w:pStyle w:val="BodyTextMain"/>
        <w:rPr>
          <w:lang w:val="en-CA"/>
        </w:rPr>
      </w:pPr>
      <w:r w:rsidRPr="005945EC">
        <w:rPr>
          <w:lang w:val="en-CA"/>
        </w:rPr>
        <w:t xml:space="preserve">With the </w:t>
      </w:r>
      <w:r w:rsidR="00D941FF" w:rsidRPr="005945EC">
        <w:rPr>
          <w:lang w:val="en-CA"/>
        </w:rPr>
        <w:t xml:space="preserve">outbreak of the </w:t>
      </w:r>
      <w:r w:rsidRPr="005945EC">
        <w:rPr>
          <w:lang w:val="en-CA"/>
        </w:rPr>
        <w:t>C</w:t>
      </w:r>
      <w:r w:rsidR="00FF7282" w:rsidRPr="005945EC">
        <w:rPr>
          <w:lang w:val="en-CA"/>
        </w:rPr>
        <w:t>OVID</w:t>
      </w:r>
      <w:r w:rsidRPr="005945EC">
        <w:rPr>
          <w:lang w:val="en-CA"/>
        </w:rPr>
        <w:t xml:space="preserve">-19 pandemic, the advantages </w:t>
      </w:r>
      <w:r w:rsidR="00D941FF" w:rsidRPr="005945EC">
        <w:rPr>
          <w:lang w:val="en-CA"/>
        </w:rPr>
        <w:t>of</w:t>
      </w:r>
      <w:r w:rsidRPr="005945EC">
        <w:rPr>
          <w:lang w:val="en-CA"/>
        </w:rPr>
        <w:t xml:space="preserve"> LHFs </w:t>
      </w:r>
      <w:r w:rsidR="00D941FF" w:rsidRPr="005945EC">
        <w:rPr>
          <w:lang w:val="en-CA"/>
        </w:rPr>
        <w:t xml:space="preserve">became </w:t>
      </w:r>
      <w:r w:rsidRPr="005945EC">
        <w:rPr>
          <w:lang w:val="en-CA"/>
        </w:rPr>
        <w:t>increas</w:t>
      </w:r>
      <w:r w:rsidR="00D941FF" w:rsidRPr="005945EC">
        <w:rPr>
          <w:lang w:val="en-CA"/>
        </w:rPr>
        <w:t>ingly evident for two reasons</w:t>
      </w:r>
      <w:r w:rsidRPr="005945EC">
        <w:rPr>
          <w:lang w:val="en-CA"/>
        </w:rPr>
        <w:t xml:space="preserve">. </w:t>
      </w:r>
      <w:bookmarkStart w:id="0" w:name="_Hlk59450018"/>
      <w:r w:rsidRPr="005945EC">
        <w:rPr>
          <w:lang w:val="en-CA"/>
        </w:rPr>
        <w:t>First, unlike with the hub</w:t>
      </w:r>
      <w:r w:rsidR="00D941FF" w:rsidRPr="005945EC">
        <w:rPr>
          <w:lang w:val="en-CA"/>
        </w:rPr>
        <w:t>-</w:t>
      </w:r>
      <w:r w:rsidRPr="005945EC">
        <w:rPr>
          <w:lang w:val="en-CA"/>
        </w:rPr>
        <w:t>and</w:t>
      </w:r>
      <w:r w:rsidR="00D941FF" w:rsidRPr="005945EC">
        <w:rPr>
          <w:lang w:val="en-CA"/>
        </w:rPr>
        <w:t>-</w:t>
      </w:r>
      <w:r w:rsidRPr="005945EC">
        <w:rPr>
          <w:lang w:val="en-CA"/>
        </w:rPr>
        <w:t>spoke system, point-to-point networks</w:t>
      </w:r>
      <w:r w:rsidR="00D941FF" w:rsidRPr="005945EC">
        <w:rPr>
          <w:lang w:val="en-CA"/>
        </w:rPr>
        <w:t xml:space="preserve"> allowed</w:t>
      </w:r>
      <w:r w:rsidRPr="005945EC">
        <w:rPr>
          <w:lang w:val="en-CA"/>
        </w:rPr>
        <w:t xml:space="preserve"> airlines</w:t>
      </w:r>
      <w:r w:rsidR="00D941FF" w:rsidRPr="005945EC">
        <w:rPr>
          <w:lang w:val="en-CA"/>
        </w:rPr>
        <w:t xml:space="preserve"> the choice of</w:t>
      </w:r>
      <w:r w:rsidRPr="005945EC">
        <w:rPr>
          <w:lang w:val="en-CA"/>
        </w:rPr>
        <w:t xml:space="preserve"> fly</w:t>
      </w:r>
      <w:r w:rsidR="00D941FF" w:rsidRPr="005945EC">
        <w:rPr>
          <w:lang w:val="en-CA"/>
        </w:rPr>
        <w:t>ing</w:t>
      </w:r>
      <w:r w:rsidRPr="005945EC">
        <w:rPr>
          <w:lang w:val="en-CA"/>
        </w:rPr>
        <w:t xml:space="preserve"> only the most economically viable routes</w:t>
      </w:r>
      <w:r w:rsidR="00D941FF" w:rsidRPr="005945EC">
        <w:rPr>
          <w:lang w:val="en-CA"/>
        </w:rPr>
        <w:t>, without</w:t>
      </w:r>
      <w:r w:rsidRPr="005945EC">
        <w:rPr>
          <w:lang w:val="en-CA"/>
        </w:rPr>
        <w:t xml:space="preserve"> health and safety concerns </w:t>
      </w:r>
      <w:r w:rsidR="00D941FF" w:rsidRPr="005945EC">
        <w:rPr>
          <w:lang w:val="en-CA"/>
        </w:rPr>
        <w:t>from</w:t>
      </w:r>
      <w:r w:rsidRPr="005945EC">
        <w:rPr>
          <w:lang w:val="en-CA"/>
        </w:rPr>
        <w:t xml:space="preserve"> layovers</w:t>
      </w:r>
      <w:bookmarkEnd w:id="0"/>
      <w:r w:rsidRPr="005945EC">
        <w:rPr>
          <w:lang w:val="en-CA"/>
        </w:rPr>
        <w:t xml:space="preserve">. </w:t>
      </w:r>
      <w:bookmarkStart w:id="1" w:name="_Hlk59450179"/>
      <w:r w:rsidRPr="005945EC">
        <w:rPr>
          <w:lang w:val="en-CA"/>
        </w:rPr>
        <w:t xml:space="preserve">Second, by the late 2010s, new planes were being developed </w:t>
      </w:r>
      <w:r w:rsidR="00FF60EF" w:rsidRPr="005945EC">
        <w:rPr>
          <w:lang w:val="en-CA"/>
        </w:rPr>
        <w:t>for</w:t>
      </w:r>
      <w:r w:rsidRPr="005945EC">
        <w:rPr>
          <w:lang w:val="en-CA"/>
        </w:rPr>
        <w:t xml:space="preserve"> non-stop ultra LHFs. </w:t>
      </w:r>
    </w:p>
    <w:p w14:paraId="005A3416" w14:textId="77777777" w:rsidR="00FF60EF" w:rsidRPr="005945EC" w:rsidRDefault="00FF60EF" w:rsidP="00E867DA">
      <w:pPr>
        <w:pStyle w:val="BodyTextMain"/>
        <w:rPr>
          <w:lang w:val="en-CA"/>
        </w:rPr>
      </w:pPr>
    </w:p>
    <w:p w14:paraId="2CB714B6" w14:textId="3B7824F9" w:rsidR="00E867DA" w:rsidRPr="00A92DE3" w:rsidRDefault="00FF60EF" w:rsidP="00E867DA">
      <w:pPr>
        <w:pStyle w:val="BodyTextMain"/>
        <w:rPr>
          <w:spacing w:val="-4"/>
          <w:kern w:val="22"/>
          <w:lang w:val="en-CA"/>
        </w:rPr>
      </w:pPr>
      <w:r w:rsidRPr="00A92DE3">
        <w:rPr>
          <w:spacing w:val="-4"/>
          <w:kern w:val="22"/>
          <w:lang w:val="en-CA"/>
        </w:rPr>
        <w:t>However, d</w:t>
      </w:r>
      <w:r w:rsidR="00E867DA" w:rsidRPr="00A92DE3">
        <w:rPr>
          <w:spacing w:val="-4"/>
          <w:kern w:val="22"/>
          <w:lang w:val="en-CA"/>
        </w:rPr>
        <w:t xml:space="preserve">espite these advantages, LHFs </w:t>
      </w:r>
      <w:r w:rsidRPr="00A92DE3">
        <w:rPr>
          <w:spacing w:val="-4"/>
          <w:kern w:val="22"/>
          <w:lang w:val="en-CA"/>
        </w:rPr>
        <w:t>still</w:t>
      </w:r>
      <w:r w:rsidR="00E867DA" w:rsidRPr="00A92DE3">
        <w:rPr>
          <w:spacing w:val="-4"/>
          <w:kern w:val="22"/>
          <w:lang w:val="en-CA"/>
        </w:rPr>
        <w:t xml:space="preserve"> had two major limitations. First, due to the long-distance nature of the</w:t>
      </w:r>
      <w:r w:rsidRPr="00A92DE3">
        <w:rPr>
          <w:spacing w:val="-4"/>
          <w:kern w:val="22"/>
          <w:lang w:val="en-CA"/>
        </w:rPr>
        <w:t>ir</w:t>
      </w:r>
      <w:r w:rsidR="00E867DA" w:rsidRPr="00A92DE3">
        <w:rPr>
          <w:spacing w:val="-4"/>
          <w:kern w:val="22"/>
          <w:lang w:val="en-CA"/>
        </w:rPr>
        <w:t xml:space="preserve"> routes, the profitability for airlines was even more vulnerable to </w:t>
      </w:r>
      <w:r w:rsidRPr="00A92DE3">
        <w:rPr>
          <w:spacing w:val="-4"/>
          <w:kern w:val="22"/>
          <w:lang w:val="en-CA"/>
        </w:rPr>
        <w:t>extreme</w:t>
      </w:r>
      <w:r w:rsidR="00E867DA" w:rsidRPr="00A92DE3">
        <w:rPr>
          <w:spacing w:val="-4"/>
          <w:kern w:val="22"/>
          <w:lang w:val="en-CA"/>
        </w:rPr>
        <w:t xml:space="preserve"> fuel price</w:t>
      </w:r>
      <w:r w:rsidRPr="00A92DE3">
        <w:rPr>
          <w:spacing w:val="-4"/>
          <w:kern w:val="22"/>
          <w:lang w:val="en-CA"/>
        </w:rPr>
        <w:t xml:space="preserve"> fluctuation</w:t>
      </w:r>
      <w:r w:rsidR="00E867DA" w:rsidRPr="00A92DE3">
        <w:rPr>
          <w:spacing w:val="-4"/>
          <w:kern w:val="22"/>
          <w:lang w:val="en-CA"/>
        </w:rPr>
        <w:t xml:space="preserve">s. Second, fatigue posed a serious health threat to passengers, </w:t>
      </w:r>
      <w:r w:rsidRPr="00A92DE3">
        <w:rPr>
          <w:spacing w:val="-4"/>
          <w:kern w:val="22"/>
          <w:lang w:val="en-CA"/>
        </w:rPr>
        <w:t xml:space="preserve">flight </w:t>
      </w:r>
      <w:r w:rsidR="00E867DA" w:rsidRPr="00A92DE3">
        <w:rPr>
          <w:spacing w:val="-4"/>
          <w:kern w:val="22"/>
          <w:lang w:val="en-CA"/>
        </w:rPr>
        <w:t>crew</w:t>
      </w:r>
      <w:r w:rsidRPr="00A92DE3">
        <w:rPr>
          <w:spacing w:val="-4"/>
          <w:kern w:val="22"/>
          <w:lang w:val="en-CA"/>
        </w:rPr>
        <w:t>s</w:t>
      </w:r>
      <w:r w:rsidR="00E867DA" w:rsidRPr="00A92DE3">
        <w:rPr>
          <w:spacing w:val="-4"/>
          <w:kern w:val="22"/>
          <w:lang w:val="en-CA"/>
        </w:rPr>
        <w:t xml:space="preserve">, and pilots </w:t>
      </w:r>
      <w:r w:rsidRPr="00A92DE3">
        <w:rPr>
          <w:spacing w:val="-4"/>
          <w:kern w:val="22"/>
          <w:lang w:val="en-CA"/>
        </w:rPr>
        <w:t>on</w:t>
      </w:r>
      <w:r w:rsidR="00E867DA" w:rsidRPr="00A92DE3">
        <w:rPr>
          <w:spacing w:val="-4"/>
          <w:kern w:val="22"/>
          <w:lang w:val="en-CA"/>
        </w:rPr>
        <w:t xml:space="preserve"> these routes</w:t>
      </w:r>
      <w:bookmarkEnd w:id="1"/>
      <w:r w:rsidR="00E867DA" w:rsidRPr="00A92DE3">
        <w:rPr>
          <w:spacing w:val="-4"/>
          <w:kern w:val="22"/>
          <w:lang w:val="en-CA"/>
        </w:rPr>
        <w:t>.</w:t>
      </w:r>
      <w:r w:rsidR="00E867DA" w:rsidRPr="00A92DE3">
        <w:rPr>
          <w:rStyle w:val="EndnoteReference"/>
          <w:spacing w:val="-4"/>
          <w:kern w:val="22"/>
          <w:lang w:val="en-CA"/>
        </w:rPr>
        <w:endnoteReference w:id="35"/>
      </w:r>
      <w:r w:rsidR="00E867DA" w:rsidRPr="00A92DE3">
        <w:rPr>
          <w:spacing w:val="-4"/>
          <w:kern w:val="22"/>
          <w:lang w:val="en-CA"/>
        </w:rPr>
        <w:t xml:space="preserve"> </w:t>
      </w:r>
    </w:p>
    <w:p w14:paraId="06A26336" w14:textId="12926B4B" w:rsidR="00E867DA" w:rsidRPr="005945EC" w:rsidRDefault="00E867DA" w:rsidP="00E867DA">
      <w:pPr>
        <w:pStyle w:val="BodyTextMain"/>
        <w:rPr>
          <w:lang w:val="en-CA"/>
        </w:rPr>
      </w:pPr>
    </w:p>
    <w:p w14:paraId="162ACBD4" w14:textId="77777777" w:rsidR="00E867DA" w:rsidRPr="005945EC" w:rsidRDefault="00E867DA" w:rsidP="00E867DA">
      <w:pPr>
        <w:pStyle w:val="BodyTextMain"/>
        <w:rPr>
          <w:lang w:val="en-CA"/>
        </w:rPr>
      </w:pPr>
    </w:p>
    <w:p w14:paraId="1EC4CC79" w14:textId="77777777" w:rsidR="00E867DA" w:rsidRPr="005945EC" w:rsidRDefault="00E867DA" w:rsidP="00E867DA">
      <w:pPr>
        <w:pStyle w:val="Casehead1"/>
        <w:rPr>
          <w:lang w:val="en-CA"/>
        </w:rPr>
      </w:pPr>
      <w:r w:rsidRPr="005945EC">
        <w:rPr>
          <w:lang w:val="en-CA"/>
        </w:rPr>
        <w:lastRenderedPageBreak/>
        <w:t>The Pandemic</w:t>
      </w:r>
    </w:p>
    <w:p w14:paraId="7EE5027A" w14:textId="77777777" w:rsidR="00E867DA" w:rsidRPr="005945EC" w:rsidRDefault="00E867DA" w:rsidP="00E867DA">
      <w:pPr>
        <w:pStyle w:val="BodyTextMain"/>
        <w:rPr>
          <w:sz w:val="24"/>
          <w:szCs w:val="24"/>
          <w:lang w:val="en-CA"/>
        </w:rPr>
      </w:pPr>
    </w:p>
    <w:p w14:paraId="329CF393" w14:textId="3128A8CC" w:rsidR="00E867DA" w:rsidRPr="005945EC" w:rsidRDefault="00226AC8" w:rsidP="00E867DA">
      <w:pPr>
        <w:pStyle w:val="BodyTextMain"/>
        <w:rPr>
          <w:lang w:val="en-CA"/>
        </w:rPr>
      </w:pPr>
      <w:r w:rsidRPr="005945EC">
        <w:rPr>
          <w:lang w:val="en-CA"/>
        </w:rPr>
        <w:t>The greatest</w:t>
      </w:r>
      <w:r w:rsidR="00E867DA" w:rsidRPr="005945EC">
        <w:rPr>
          <w:lang w:val="en-CA"/>
        </w:rPr>
        <w:t xml:space="preserve"> challenge for the airline industry</w:t>
      </w:r>
      <w:r w:rsidRPr="005945EC">
        <w:rPr>
          <w:lang w:val="en-CA"/>
        </w:rPr>
        <w:t>, however, was the</w:t>
      </w:r>
      <w:r w:rsidR="00E867DA" w:rsidRPr="005945EC">
        <w:rPr>
          <w:lang w:val="en-CA"/>
        </w:rPr>
        <w:t xml:space="preserve"> C</w:t>
      </w:r>
      <w:r w:rsidR="00FF7282" w:rsidRPr="005945EC">
        <w:rPr>
          <w:lang w:val="en-CA"/>
        </w:rPr>
        <w:t>OVID</w:t>
      </w:r>
      <w:r w:rsidR="00E867DA" w:rsidRPr="005945EC">
        <w:rPr>
          <w:lang w:val="en-CA"/>
        </w:rPr>
        <w:t>-19</w:t>
      </w:r>
      <w:r w:rsidRPr="005945EC">
        <w:rPr>
          <w:lang w:val="en-CA"/>
        </w:rPr>
        <w:t xml:space="preserve"> pandemic</w:t>
      </w:r>
      <w:r w:rsidR="00E867DA" w:rsidRPr="005945EC">
        <w:rPr>
          <w:lang w:val="en-CA"/>
        </w:rPr>
        <w:t xml:space="preserve">. The crisis </w:t>
      </w:r>
      <w:r w:rsidRPr="005945EC">
        <w:rPr>
          <w:lang w:val="en-CA"/>
        </w:rPr>
        <w:t>was</w:t>
      </w:r>
      <w:r w:rsidR="00E867DA" w:rsidRPr="005945EC">
        <w:rPr>
          <w:lang w:val="en-CA"/>
        </w:rPr>
        <w:t xml:space="preserve"> expected </w:t>
      </w:r>
      <w:r w:rsidRPr="005945EC">
        <w:rPr>
          <w:lang w:val="en-CA"/>
        </w:rPr>
        <w:t xml:space="preserve">to reach a </w:t>
      </w:r>
      <w:r w:rsidR="00E867DA" w:rsidRPr="005945EC">
        <w:rPr>
          <w:lang w:val="en-CA"/>
        </w:rPr>
        <w:t xml:space="preserve">total loss of $84.3 billion for the industry in 2020, with passenger demand falling </w:t>
      </w:r>
      <w:r w:rsidRPr="005945EC">
        <w:rPr>
          <w:lang w:val="en-CA"/>
        </w:rPr>
        <w:t xml:space="preserve">to </w:t>
      </w:r>
      <w:r w:rsidR="00E867DA" w:rsidRPr="005945EC">
        <w:rPr>
          <w:lang w:val="en-CA"/>
        </w:rPr>
        <w:t>54</w:t>
      </w:r>
      <w:r w:rsidRPr="005945EC">
        <w:rPr>
          <w:lang w:val="en-CA"/>
        </w:rPr>
        <w:t xml:space="preserve"> per cent</w:t>
      </w:r>
      <w:r w:rsidR="00E867DA" w:rsidRPr="005945EC">
        <w:rPr>
          <w:lang w:val="en-CA"/>
        </w:rPr>
        <w:t xml:space="preserve"> globally (</w:t>
      </w:r>
      <w:r w:rsidRPr="005945EC">
        <w:rPr>
          <w:lang w:val="en-CA"/>
        </w:rPr>
        <w:t xml:space="preserve">see </w:t>
      </w:r>
      <w:r w:rsidR="00E867DA" w:rsidRPr="005945EC">
        <w:rPr>
          <w:bCs/>
          <w:lang w:val="en-CA"/>
        </w:rPr>
        <w:t>Exhibit 7</w:t>
      </w:r>
      <w:r w:rsidR="00E867DA" w:rsidRPr="005945EC">
        <w:rPr>
          <w:lang w:val="en-CA"/>
        </w:rPr>
        <w:t xml:space="preserve">). </w:t>
      </w:r>
      <w:r w:rsidRPr="005945EC">
        <w:rPr>
          <w:lang w:val="en-CA"/>
        </w:rPr>
        <w:t>During the early months of the pandemic, f</w:t>
      </w:r>
      <w:r w:rsidR="00E867DA" w:rsidRPr="005945EC">
        <w:rPr>
          <w:lang w:val="en-CA"/>
        </w:rPr>
        <w:t>rom January to July 2020, over 7.5 million flights were cancel</w:t>
      </w:r>
      <w:r w:rsidRPr="005945EC">
        <w:rPr>
          <w:lang w:val="en-CA"/>
        </w:rPr>
        <w:t>l</w:t>
      </w:r>
      <w:r w:rsidR="00E867DA" w:rsidRPr="005945EC">
        <w:rPr>
          <w:lang w:val="en-CA"/>
        </w:rPr>
        <w:t>ed</w:t>
      </w:r>
      <w:r w:rsidRPr="005945EC">
        <w:rPr>
          <w:lang w:val="en-CA"/>
        </w:rPr>
        <w:t>. In April 2020,</w:t>
      </w:r>
      <w:r w:rsidR="00E867DA" w:rsidRPr="005945EC">
        <w:rPr>
          <w:lang w:val="en-CA"/>
        </w:rPr>
        <w:t xml:space="preserve"> 64</w:t>
      </w:r>
      <w:r w:rsidRPr="005945EC">
        <w:rPr>
          <w:lang w:val="en-CA"/>
        </w:rPr>
        <w:t xml:space="preserve"> per cent</w:t>
      </w:r>
      <w:r w:rsidR="00E867DA" w:rsidRPr="005945EC">
        <w:rPr>
          <w:lang w:val="en-CA"/>
        </w:rPr>
        <w:t xml:space="preserve"> of all planes </w:t>
      </w:r>
      <w:r w:rsidRPr="005945EC">
        <w:rPr>
          <w:lang w:val="en-CA"/>
        </w:rPr>
        <w:t xml:space="preserve">around the </w:t>
      </w:r>
      <w:r w:rsidR="00E867DA" w:rsidRPr="005945EC">
        <w:rPr>
          <w:lang w:val="en-CA"/>
        </w:rPr>
        <w:t>world were grounded.</w:t>
      </w:r>
      <w:r w:rsidR="00E867DA" w:rsidRPr="005945EC">
        <w:rPr>
          <w:vertAlign w:val="superscript"/>
          <w:lang w:val="en-CA"/>
        </w:rPr>
        <w:endnoteReference w:id="36"/>
      </w:r>
      <w:r w:rsidR="00E867DA" w:rsidRPr="005945EC">
        <w:rPr>
          <w:lang w:val="en-CA"/>
        </w:rPr>
        <w:t xml:space="preserve"> The </w:t>
      </w:r>
      <w:proofErr w:type="gramStart"/>
      <w:r w:rsidR="00E867DA" w:rsidRPr="005945EC">
        <w:rPr>
          <w:lang w:val="en-CA"/>
        </w:rPr>
        <w:t>drop in</w:t>
      </w:r>
      <w:proofErr w:type="gramEnd"/>
      <w:r w:rsidR="00E867DA" w:rsidRPr="005945EC">
        <w:rPr>
          <w:lang w:val="en-CA"/>
        </w:rPr>
        <w:t xml:space="preserve"> demand and </w:t>
      </w:r>
      <w:r w:rsidR="00BE1AD9" w:rsidRPr="005945EC">
        <w:rPr>
          <w:lang w:val="en-CA"/>
        </w:rPr>
        <w:t xml:space="preserve">required </w:t>
      </w:r>
      <w:r w:rsidR="00E867DA" w:rsidRPr="005945EC">
        <w:rPr>
          <w:lang w:val="en-CA"/>
        </w:rPr>
        <w:t xml:space="preserve">social distancing in seat </w:t>
      </w:r>
      <w:r w:rsidR="00BE1AD9" w:rsidRPr="005945EC">
        <w:rPr>
          <w:lang w:val="en-CA"/>
        </w:rPr>
        <w:t>assignment</w:t>
      </w:r>
      <w:r w:rsidR="00E867DA" w:rsidRPr="005945EC">
        <w:rPr>
          <w:lang w:val="en-CA"/>
        </w:rPr>
        <w:t xml:space="preserve"> led to a decline in </w:t>
      </w:r>
      <w:r w:rsidR="00BE1AD9" w:rsidRPr="005945EC">
        <w:rPr>
          <w:lang w:val="en-CA"/>
        </w:rPr>
        <w:t xml:space="preserve">passenger </w:t>
      </w:r>
      <w:r w:rsidR="00E867DA" w:rsidRPr="005945EC">
        <w:rPr>
          <w:lang w:val="en-CA"/>
        </w:rPr>
        <w:t>load</w:t>
      </w:r>
      <w:r w:rsidR="00BE1AD9" w:rsidRPr="005945EC">
        <w:rPr>
          <w:lang w:val="en-CA"/>
        </w:rPr>
        <w:t xml:space="preserve"> for those</w:t>
      </w:r>
      <w:r w:rsidR="00E867DA" w:rsidRPr="005945EC">
        <w:rPr>
          <w:lang w:val="en-CA"/>
        </w:rPr>
        <w:t xml:space="preserve"> f</w:t>
      </w:r>
      <w:r w:rsidR="00BE1AD9" w:rsidRPr="005945EC">
        <w:rPr>
          <w:lang w:val="en-CA"/>
        </w:rPr>
        <w:t>l</w:t>
      </w:r>
      <w:r w:rsidR="00E867DA" w:rsidRPr="005945EC">
        <w:rPr>
          <w:lang w:val="en-CA"/>
        </w:rPr>
        <w:t xml:space="preserve">ights </w:t>
      </w:r>
      <w:r w:rsidR="00BE1AD9" w:rsidRPr="005945EC">
        <w:rPr>
          <w:lang w:val="en-CA"/>
        </w:rPr>
        <w:t>that were not cancelled</w:t>
      </w:r>
      <w:r w:rsidR="00E867DA" w:rsidRPr="005945EC">
        <w:rPr>
          <w:lang w:val="en-CA"/>
        </w:rPr>
        <w:t xml:space="preserve">. </w:t>
      </w:r>
      <w:r w:rsidR="00BE1AD9" w:rsidRPr="005945EC">
        <w:rPr>
          <w:lang w:val="en-CA"/>
        </w:rPr>
        <w:t xml:space="preserve">In </w:t>
      </w:r>
      <w:r w:rsidR="00E867DA" w:rsidRPr="005945EC">
        <w:rPr>
          <w:lang w:val="en-CA"/>
        </w:rPr>
        <w:t>add</w:t>
      </w:r>
      <w:r w:rsidR="00BE1AD9" w:rsidRPr="005945EC">
        <w:rPr>
          <w:lang w:val="en-CA"/>
        </w:rPr>
        <w:t>ition, new</w:t>
      </w:r>
      <w:r w:rsidR="00E867DA" w:rsidRPr="005945EC">
        <w:rPr>
          <w:lang w:val="en-CA"/>
        </w:rPr>
        <w:t xml:space="preserve"> safety and health compliance </w:t>
      </w:r>
      <w:r w:rsidR="00BE1AD9" w:rsidRPr="005945EC">
        <w:rPr>
          <w:lang w:val="en-CA"/>
        </w:rPr>
        <w:t>costs promised to have a serious impact on</w:t>
      </w:r>
      <w:r w:rsidR="00E867DA" w:rsidRPr="005945EC">
        <w:rPr>
          <w:lang w:val="en-CA"/>
        </w:rPr>
        <w:t xml:space="preserve"> the cost structure of </w:t>
      </w:r>
      <w:r w:rsidR="00BE1AD9" w:rsidRPr="005945EC">
        <w:rPr>
          <w:lang w:val="en-CA"/>
        </w:rPr>
        <w:t xml:space="preserve">all </w:t>
      </w:r>
      <w:r w:rsidR="00E867DA" w:rsidRPr="005945EC">
        <w:rPr>
          <w:lang w:val="en-CA"/>
        </w:rPr>
        <w:t>airlines.</w:t>
      </w:r>
    </w:p>
    <w:p w14:paraId="4A392A30" w14:textId="77777777" w:rsidR="00E867DA" w:rsidRPr="005945EC" w:rsidRDefault="00E867DA" w:rsidP="00E867DA">
      <w:pPr>
        <w:pStyle w:val="BodyTextMain"/>
        <w:rPr>
          <w:lang w:val="en-CA"/>
        </w:rPr>
      </w:pPr>
    </w:p>
    <w:p w14:paraId="0E1460D6" w14:textId="7FE076A4" w:rsidR="00E867DA" w:rsidRPr="005945EC" w:rsidRDefault="00E867DA" w:rsidP="00E867DA">
      <w:pPr>
        <w:pStyle w:val="BodyTextMain"/>
        <w:rPr>
          <w:lang w:val="en-CA"/>
        </w:rPr>
      </w:pPr>
      <w:r w:rsidRPr="005945EC">
        <w:rPr>
          <w:lang w:val="en-CA"/>
        </w:rPr>
        <w:t xml:space="preserve">Before the </w:t>
      </w:r>
      <w:r w:rsidR="00F3799F" w:rsidRPr="005945EC">
        <w:rPr>
          <w:lang w:val="en-CA"/>
        </w:rPr>
        <w:t>COVID-19 outbreak</w:t>
      </w:r>
      <w:r w:rsidRPr="005945EC">
        <w:rPr>
          <w:lang w:val="en-CA"/>
        </w:rPr>
        <w:t xml:space="preserve">, the airline industry </w:t>
      </w:r>
      <w:r w:rsidR="00F3799F" w:rsidRPr="005945EC">
        <w:rPr>
          <w:lang w:val="en-CA"/>
        </w:rPr>
        <w:t>was</w:t>
      </w:r>
      <w:r w:rsidRPr="005945EC">
        <w:rPr>
          <w:lang w:val="en-CA"/>
        </w:rPr>
        <w:t xml:space="preserve"> projected to </w:t>
      </w:r>
      <w:proofErr w:type="gramStart"/>
      <w:r w:rsidRPr="005945EC">
        <w:rPr>
          <w:lang w:val="en-CA"/>
        </w:rPr>
        <w:t xml:space="preserve">continue </w:t>
      </w:r>
      <w:r w:rsidR="00F3799F" w:rsidRPr="005945EC">
        <w:rPr>
          <w:lang w:val="en-CA"/>
        </w:rPr>
        <w:t>on</w:t>
      </w:r>
      <w:proofErr w:type="gramEnd"/>
      <w:r w:rsidR="00F3799F" w:rsidRPr="005945EC">
        <w:rPr>
          <w:lang w:val="en-CA"/>
        </w:rPr>
        <w:t xml:space="preserve"> </w:t>
      </w:r>
      <w:r w:rsidRPr="005945EC">
        <w:rPr>
          <w:lang w:val="en-CA"/>
        </w:rPr>
        <w:t xml:space="preserve">its course of </w:t>
      </w:r>
      <w:r w:rsidR="00F3799F" w:rsidRPr="005945EC">
        <w:rPr>
          <w:lang w:val="en-CA"/>
        </w:rPr>
        <w:t>consistent</w:t>
      </w:r>
      <w:r w:rsidRPr="005945EC">
        <w:rPr>
          <w:lang w:val="en-CA"/>
        </w:rPr>
        <w:t xml:space="preserve"> growth. In most emerging market</w:t>
      </w:r>
      <w:r w:rsidR="00F3799F" w:rsidRPr="005945EC">
        <w:rPr>
          <w:lang w:val="en-CA"/>
        </w:rPr>
        <w:t>s</w:t>
      </w:r>
      <w:r w:rsidRPr="005945EC">
        <w:rPr>
          <w:lang w:val="en-CA"/>
        </w:rPr>
        <w:t xml:space="preserve"> and developed countries, trips per capita w</w:t>
      </w:r>
      <w:r w:rsidR="005F2935" w:rsidRPr="005945EC">
        <w:rPr>
          <w:lang w:val="en-CA"/>
        </w:rPr>
        <w:t>ere</w:t>
      </w:r>
      <w:r w:rsidRPr="005945EC">
        <w:rPr>
          <w:lang w:val="en-CA"/>
        </w:rPr>
        <w:t xml:space="preserve"> expected to increase </w:t>
      </w:r>
      <w:r w:rsidR="00F3799F" w:rsidRPr="005945EC">
        <w:rPr>
          <w:lang w:val="en-CA"/>
        </w:rPr>
        <w:t xml:space="preserve">steadily </w:t>
      </w:r>
      <w:r w:rsidRPr="005945EC">
        <w:rPr>
          <w:lang w:val="en-CA"/>
        </w:rPr>
        <w:t>from 201</w:t>
      </w:r>
      <w:r w:rsidR="00C95EBF" w:rsidRPr="005945EC">
        <w:rPr>
          <w:lang w:val="en-CA"/>
        </w:rPr>
        <w:t>9</w:t>
      </w:r>
      <w:r w:rsidR="00F3799F" w:rsidRPr="005945EC">
        <w:rPr>
          <w:lang w:val="en-CA"/>
        </w:rPr>
        <w:t xml:space="preserve"> to </w:t>
      </w:r>
      <w:r w:rsidRPr="005945EC">
        <w:rPr>
          <w:lang w:val="en-CA"/>
        </w:rPr>
        <w:t xml:space="preserve">2038. </w:t>
      </w:r>
      <w:r w:rsidR="00F3799F" w:rsidRPr="005945EC">
        <w:rPr>
          <w:lang w:val="en-CA"/>
        </w:rPr>
        <w:t>P</w:t>
      </w:r>
      <w:r w:rsidRPr="005945EC">
        <w:rPr>
          <w:lang w:val="en-CA"/>
        </w:rPr>
        <w:t>opular regional routes were</w:t>
      </w:r>
      <w:r w:rsidR="00F3799F" w:rsidRPr="005945EC">
        <w:rPr>
          <w:lang w:val="en-CA"/>
        </w:rPr>
        <w:t xml:space="preserve"> also</w:t>
      </w:r>
      <w:r w:rsidRPr="005945EC">
        <w:rPr>
          <w:lang w:val="en-CA"/>
        </w:rPr>
        <w:t xml:space="preserve"> expected to see st</w:t>
      </w:r>
      <w:r w:rsidR="00F3799F" w:rsidRPr="005945EC">
        <w:rPr>
          <w:lang w:val="en-CA"/>
        </w:rPr>
        <w:t>rong</w:t>
      </w:r>
      <w:r w:rsidRPr="005945EC">
        <w:rPr>
          <w:lang w:val="en-CA"/>
        </w:rPr>
        <w:t xml:space="preserve"> passenger growth. The </w:t>
      </w:r>
      <w:r w:rsidR="00F3799F" w:rsidRPr="005945EC">
        <w:rPr>
          <w:lang w:val="en-CA"/>
        </w:rPr>
        <w:t>high</w:t>
      </w:r>
      <w:r w:rsidRPr="005945EC">
        <w:rPr>
          <w:lang w:val="en-CA"/>
        </w:rPr>
        <w:t>est</w:t>
      </w:r>
      <w:r w:rsidR="00F3799F" w:rsidRPr="005945EC">
        <w:rPr>
          <w:lang w:val="en-CA"/>
        </w:rPr>
        <w:t xml:space="preserve"> rate of</w:t>
      </w:r>
      <w:r w:rsidRPr="005945EC">
        <w:rPr>
          <w:lang w:val="en-CA"/>
        </w:rPr>
        <w:t xml:space="preserve"> growth was expected between the Middle East and the U</w:t>
      </w:r>
      <w:r w:rsidR="00F3799F" w:rsidRPr="005945EC">
        <w:rPr>
          <w:lang w:val="en-CA"/>
        </w:rPr>
        <w:t xml:space="preserve">nited </w:t>
      </w:r>
      <w:r w:rsidRPr="005945EC">
        <w:rPr>
          <w:lang w:val="en-CA"/>
        </w:rPr>
        <w:t>S</w:t>
      </w:r>
      <w:r w:rsidR="00F3799F" w:rsidRPr="005945EC">
        <w:rPr>
          <w:lang w:val="en-CA"/>
        </w:rPr>
        <w:t>tates</w:t>
      </w:r>
      <w:r w:rsidRPr="005945EC">
        <w:rPr>
          <w:lang w:val="en-CA"/>
        </w:rPr>
        <w:t xml:space="preserve">, with </w:t>
      </w:r>
      <w:r w:rsidR="005F2935" w:rsidRPr="005945EC">
        <w:rPr>
          <w:lang w:val="en-CA"/>
        </w:rPr>
        <w:t xml:space="preserve">a </w:t>
      </w:r>
      <w:r w:rsidRPr="005945EC">
        <w:rPr>
          <w:lang w:val="en-CA"/>
        </w:rPr>
        <w:t xml:space="preserve">projected passenger traffic </w:t>
      </w:r>
      <w:r w:rsidR="003516D1" w:rsidRPr="005945EC">
        <w:rPr>
          <w:lang w:val="en-CA"/>
        </w:rPr>
        <w:t>increase</w:t>
      </w:r>
      <w:r w:rsidRPr="005945EC">
        <w:rPr>
          <w:lang w:val="en-CA"/>
        </w:rPr>
        <w:t xml:space="preserve"> of 5.5</w:t>
      </w:r>
      <w:r w:rsidR="003516D1" w:rsidRPr="005945EC">
        <w:rPr>
          <w:lang w:val="en-CA"/>
        </w:rPr>
        <w:t xml:space="preserve"> per cent</w:t>
      </w:r>
      <w:r w:rsidRPr="005945EC">
        <w:rPr>
          <w:lang w:val="en-CA"/>
        </w:rPr>
        <w:t xml:space="preserve"> </w:t>
      </w:r>
      <w:r w:rsidR="003516D1" w:rsidRPr="005945EC">
        <w:rPr>
          <w:lang w:val="en-CA"/>
        </w:rPr>
        <w:t xml:space="preserve">annually </w:t>
      </w:r>
      <w:r w:rsidRPr="005945EC">
        <w:rPr>
          <w:lang w:val="en-CA"/>
        </w:rPr>
        <w:t>from 201</w:t>
      </w:r>
      <w:r w:rsidR="00C95EBF" w:rsidRPr="005945EC">
        <w:rPr>
          <w:lang w:val="en-CA"/>
        </w:rPr>
        <w:t>9</w:t>
      </w:r>
      <w:r w:rsidR="003516D1" w:rsidRPr="005945EC">
        <w:rPr>
          <w:lang w:val="en-CA"/>
        </w:rPr>
        <w:t xml:space="preserve"> to </w:t>
      </w:r>
      <w:r w:rsidRPr="005945EC">
        <w:rPr>
          <w:lang w:val="en-CA"/>
        </w:rPr>
        <w:t>2038.</w:t>
      </w:r>
      <w:r w:rsidRPr="005945EC">
        <w:rPr>
          <w:vertAlign w:val="superscript"/>
          <w:lang w:val="en-CA"/>
        </w:rPr>
        <w:endnoteReference w:id="37"/>
      </w:r>
      <w:r w:rsidRPr="005945EC">
        <w:rPr>
          <w:vertAlign w:val="superscript"/>
          <w:lang w:val="en-CA"/>
        </w:rPr>
        <w:t xml:space="preserve"> </w:t>
      </w:r>
    </w:p>
    <w:p w14:paraId="3ED3ACB6" w14:textId="77777777" w:rsidR="00E867DA" w:rsidRPr="005945EC" w:rsidRDefault="00E867DA" w:rsidP="00E867DA">
      <w:pPr>
        <w:pStyle w:val="BodyTextMain"/>
        <w:rPr>
          <w:lang w:val="en-CA"/>
        </w:rPr>
      </w:pPr>
    </w:p>
    <w:p w14:paraId="59959A15" w14:textId="1148554B" w:rsidR="00E867DA" w:rsidRPr="005945EC" w:rsidRDefault="00E867DA" w:rsidP="00E867DA">
      <w:pPr>
        <w:pStyle w:val="BodyTextMain"/>
        <w:rPr>
          <w:lang w:val="en-CA"/>
        </w:rPr>
      </w:pPr>
      <w:r w:rsidRPr="005945EC">
        <w:rPr>
          <w:lang w:val="en-CA"/>
        </w:rPr>
        <w:t>In response to the new C</w:t>
      </w:r>
      <w:r w:rsidR="00FF7282" w:rsidRPr="005945EC">
        <w:rPr>
          <w:lang w:val="en-CA"/>
        </w:rPr>
        <w:t>OVID</w:t>
      </w:r>
      <w:r w:rsidRPr="005945EC">
        <w:rPr>
          <w:lang w:val="en-CA"/>
        </w:rPr>
        <w:t xml:space="preserve">-19 travel restrictions, airlines </w:t>
      </w:r>
      <w:r w:rsidR="00C95EBF" w:rsidRPr="005945EC">
        <w:rPr>
          <w:lang w:val="en-CA"/>
        </w:rPr>
        <w:t>designated new</w:t>
      </w:r>
      <w:r w:rsidRPr="005945EC">
        <w:rPr>
          <w:lang w:val="en-CA"/>
        </w:rPr>
        <w:t xml:space="preserve"> routes between certain countries</w:t>
      </w:r>
      <w:r w:rsidR="00C95EBF" w:rsidRPr="005945EC">
        <w:rPr>
          <w:lang w:val="en-CA"/>
        </w:rPr>
        <w:t xml:space="preserve"> that were labelled “corridors</w:t>
      </w:r>
      <w:r w:rsidRPr="005945EC">
        <w:rPr>
          <w:lang w:val="en-CA"/>
        </w:rPr>
        <w:t>.</w:t>
      </w:r>
      <w:r w:rsidR="00C95EBF" w:rsidRPr="005945EC">
        <w:rPr>
          <w:lang w:val="en-CA"/>
        </w:rPr>
        <w:t>”</w:t>
      </w:r>
      <w:r w:rsidRPr="005945EC">
        <w:rPr>
          <w:lang w:val="en-CA"/>
        </w:rPr>
        <w:t xml:space="preserve"> Many national governments also expanded investments in their country’s airlines, or provided other forms of support such as unemployment </w:t>
      </w:r>
      <w:r w:rsidR="00CD2A7A" w:rsidRPr="005945EC">
        <w:rPr>
          <w:lang w:val="en-CA"/>
        </w:rPr>
        <w:t>benefits</w:t>
      </w:r>
      <w:r w:rsidRPr="005945EC">
        <w:rPr>
          <w:lang w:val="en-CA"/>
        </w:rPr>
        <w:t xml:space="preserve">. There was </w:t>
      </w:r>
      <w:r w:rsidR="00CD2A7A" w:rsidRPr="005945EC">
        <w:rPr>
          <w:lang w:val="en-CA"/>
        </w:rPr>
        <w:t>great</w:t>
      </w:r>
      <w:r w:rsidRPr="005945EC">
        <w:rPr>
          <w:lang w:val="en-CA"/>
        </w:rPr>
        <w:t xml:space="preserve"> uncertainty about how the pandemic would evolve and how businesses worldwide would respond. Travel projections f</w:t>
      </w:r>
      <w:r w:rsidR="00CD2A7A" w:rsidRPr="005945EC">
        <w:rPr>
          <w:lang w:val="en-CA"/>
        </w:rPr>
        <w:t>rom</w:t>
      </w:r>
      <w:r w:rsidRPr="005945EC">
        <w:rPr>
          <w:lang w:val="en-CA"/>
        </w:rPr>
        <w:t xml:space="preserve"> organizations </w:t>
      </w:r>
      <w:r w:rsidR="00CD2A7A" w:rsidRPr="005945EC">
        <w:rPr>
          <w:lang w:val="en-CA"/>
        </w:rPr>
        <w:t>such as the International Air Transport Association</w:t>
      </w:r>
      <w:r w:rsidRPr="005945EC">
        <w:rPr>
          <w:lang w:val="en-CA"/>
        </w:rPr>
        <w:t xml:space="preserve"> changed often</w:t>
      </w:r>
      <w:r w:rsidR="00CD2A7A" w:rsidRPr="005945EC">
        <w:rPr>
          <w:lang w:val="en-CA"/>
        </w:rPr>
        <w:t xml:space="preserve"> with new information related to the COVID-19 virus</w:t>
      </w:r>
      <w:r w:rsidRPr="005945EC">
        <w:rPr>
          <w:lang w:val="en-CA"/>
        </w:rPr>
        <w:t xml:space="preserve">. In June 2020, passenger levels </w:t>
      </w:r>
      <w:r w:rsidR="005F2935" w:rsidRPr="005945EC">
        <w:rPr>
          <w:lang w:val="en-CA"/>
        </w:rPr>
        <w:t xml:space="preserve">were forecasted to </w:t>
      </w:r>
      <w:r w:rsidRPr="005945EC">
        <w:rPr>
          <w:lang w:val="en-CA"/>
        </w:rPr>
        <w:t>not recover to pre-</w:t>
      </w:r>
      <w:r w:rsidR="00CD2A7A" w:rsidRPr="005945EC">
        <w:rPr>
          <w:lang w:val="en-CA"/>
        </w:rPr>
        <w:t>pandemic</w:t>
      </w:r>
      <w:r w:rsidRPr="005945EC">
        <w:rPr>
          <w:lang w:val="en-CA"/>
        </w:rPr>
        <w:t xml:space="preserve"> levels until 2025</w:t>
      </w:r>
      <w:r w:rsidR="005F2935" w:rsidRPr="005945EC">
        <w:rPr>
          <w:lang w:val="en-CA"/>
        </w:rPr>
        <w:t>,</w:t>
      </w:r>
      <w:r w:rsidRPr="005945EC">
        <w:rPr>
          <w:lang w:val="en-CA"/>
        </w:rPr>
        <w:t xml:space="preserve"> and the global fleet in service might not recover until 2022.</w:t>
      </w:r>
      <w:r w:rsidRPr="005945EC">
        <w:rPr>
          <w:vertAlign w:val="superscript"/>
          <w:lang w:val="en-CA"/>
        </w:rPr>
        <w:endnoteReference w:id="38"/>
      </w:r>
      <w:r w:rsidRPr="005945EC">
        <w:rPr>
          <w:lang w:val="en-CA"/>
        </w:rPr>
        <w:t xml:space="preserve"> Th</w:t>
      </w:r>
      <w:r w:rsidR="00432F3B" w:rsidRPr="005945EC">
        <w:rPr>
          <w:lang w:val="en-CA"/>
        </w:rPr>
        <w:t>e crisis</w:t>
      </w:r>
      <w:r w:rsidRPr="005945EC">
        <w:rPr>
          <w:lang w:val="en-CA"/>
        </w:rPr>
        <w:t xml:space="preserve"> affected </w:t>
      </w:r>
      <w:r w:rsidR="00432F3B" w:rsidRPr="005945EC">
        <w:rPr>
          <w:lang w:val="en-CA"/>
        </w:rPr>
        <w:t xml:space="preserve">all global </w:t>
      </w:r>
      <w:r w:rsidRPr="005945EC">
        <w:rPr>
          <w:lang w:val="en-CA"/>
        </w:rPr>
        <w:t>airlines</w:t>
      </w:r>
      <w:r w:rsidR="00432F3B" w:rsidRPr="005945EC">
        <w:rPr>
          <w:lang w:val="en-CA"/>
        </w:rPr>
        <w:t xml:space="preserve"> and had a major impact on the world’s two main</w:t>
      </w:r>
      <w:r w:rsidRPr="005945EC">
        <w:rPr>
          <w:lang w:val="en-CA"/>
        </w:rPr>
        <w:t xml:space="preserve"> aircraft manufacture</w:t>
      </w:r>
      <w:r w:rsidR="005F2935" w:rsidRPr="005945EC">
        <w:rPr>
          <w:lang w:val="en-CA"/>
        </w:rPr>
        <w:t>r</w:t>
      </w:r>
      <w:r w:rsidRPr="005945EC">
        <w:rPr>
          <w:lang w:val="en-CA"/>
        </w:rPr>
        <w:t>s</w:t>
      </w:r>
      <w:r w:rsidR="00432F3B" w:rsidRPr="005945EC">
        <w:rPr>
          <w:lang w:val="en-CA"/>
        </w:rPr>
        <w:t>,</w:t>
      </w:r>
      <w:r w:rsidRPr="005945EC">
        <w:rPr>
          <w:lang w:val="en-CA"/>
        </w:rPr>
        <w:t xml:space="preserve"> Boeing</w:t>
      </w:r>
      <w:r w:rsidR="00432F3B" w:rsidRPr="005945EC">
        <w:rPr>
          <w:lang w:val="en-CA"/>
        </w:rPr>
        <w:t xml:space="preserve"> Company</w:t>
      </w:r>
      <w:r w:rsidRPr="005945EC">
        <w:rPr>
          <w:lang w:val="en-CA"/>
        </w:rPr>
        <w:t xml:space="preserve"> and Airbus</w:t>
      </w:r>
      <w:r w:rsidR="00432F3B" w:rsidRPr="005945EC">
        <w:rPr>
          <w:lang w:val="en-CA"/>
        </w:rPr>
        <w:t xml:space="preserve"> SE</w:t>
      </w:r>
      <w:r w:rsidRPr="005945EC">
        <w:rPr>
          <w:lang w:val="en-CA"/>
        </w:rPr>
        <w:t xml:space="preserve">. Major airlines were expected to </w:t>
      </w:r>
      <w:r w:rsidR="00432F3B" w:rsidRPr="005945EC">
        <w:rPr>
          <w:lang w:val="en-CA"/>
        </w:rPr>
        <w:t xml:space="preserve">significantly reduce their </w:t>
      </w:r>
      <w:r w:rsidRPr="005945EC">
        <w:rPr>
          <w:lang w:val="en-CA"/>
        </w:rPr>
        <w:t xml:space="preserve">purchase </w:t>
      </w:r>
      <w:r w:rsidR="00432F3B" w:rsidRPr="005945EC">
        <w:rPr>
          <w:lang w:val="en-CA"/>
        </w:rPr>
        <w:t>of</w:t>
      </w:r>
      <w:r w:rsidRPr="005945EC">
        <w:rPr>
          <w:lang w:val="en-CA"/>
        </w:rPr>
        <w:t xml:space="preserve"> new aircraft during </w:t>
      </w:r>
      <w:r w:rsidR="00432F3B" w:rsidRPr="005945EC">
        <w:rPr>
          <w:lang w:val="en-CA"/>
        </w:rPr>
        <w:t xml:space="preserve">the </w:t>
      </w:r>
      <w:r w:rsidRPr="005945EC">
        <w:rPr>
          <w:lang w:val="en-CA"/>
        </w:rPr>
        <w:t>2020</w:t>
      </w:r>
      <w:r w:rsidR="00432F3B" w:rsidRPr="005945EC">
        <w:rPr>
          <w:lang w:val="en-CA"/>
        </w:rPr>
        <w:t>–</w:t>
      </w:r>
      <w:r w:rsidRPr="005945EC">
        <w:rPr>
          <w:lang w:val="en-CA"/>
        </w:rPr>
        <w:t>2025</w:t>
      </w:r>
      <w:r w:rsidR="00432F3B" w:rsidRPr="005945EC">
        <w:rPr>
          <w:lang w:val="en-CA"/>
        </w:rPr>
        <w:t xml:space="preserve"> period by as much as 6,000 fewer products</w:t>
      </w:r>
      <w:r w:rsidRPr="005945EC">
        <w:rPr>
          <w:lang w:val="en-CA"/>
        </w:rPr>
        <w:t xml:space="preserve"> than had been projected</w:t>
      </w:r>
      <w:r w:rsidR="005F2935" w:rsidRPr="005945EC">
        <w:rPr>
          <w:lang w:val="en-CA"/>
        </w:rPr>
        <w:t>—</w:t>
      </w:r>
      <w:r w:rsidRPr="005945EC">
        <w:rPr>
          <w:lang w:val="en-CA"/>
        </w:rPr>
        <w:t>a</w:t>
      </w:r>
      <w:r w:rsidR="00432F3B" w:rsidRPr="005945EC">
        <w:rPr>
          <w:lang w:val="en-CA"/>
        </w:rPr>
        <w:t>n</w:t>
      </w:r>
      <w:r w:rsidRPr="005945EC">
        <w:rPr>
          <w:lang w:val="en-CA"/>
        </w:rPr>
        <w:t xml:space="preserve"> annual reduction in purchases</w:t>
      </w:r>
      <w:r w:rsidR="00432F3B" w:rsidRPr="005945EC">
        <w:rPr>
          <w:lang w:val="en-CA"/>
        </w:rPr>
        <w:t xml:space="preserve"> of 66 per cent</w:t>
      </w:r>
      <w:r w:rsidRPr="005945EC">
        <w:rPr>
          <w:lang w:val="en-CA"/>
        </w:rPr>
        <w:t>.</w:t>
      </w:r>
      <w:r w:rsidRPr="005945EC">
        <w:rPr>
          <w:rStyle w:val="EndnoteReference"/>
          <w:lang w:val="en-CA"/>
        </w:rPr>
        <w:endnoteReference w:id="39"/>
      </w:r>
    </w:p>
    <w:p w14:paraId="7D290BBC" w14:textId="77777777" w:rsidR="00EE77FF" w:rsidRPr="005945EC" w:rsidRDefault="00EE77FF" w:rsidP="00E867DA">
      <w:pPr>
        <w:pStyle w:val="BodyTextMain"/>
        <w:rPr>
          <w:lang w:val="en-CA"/>
        </w:rPr>
      </w:pPr>
    </w:p>
    <w:p w14:paraId="5F88F1C5" w14:textId="77777777" w:rsidR="00530EB6" w:rsidRPr="005945EC" w:rsidRDefault="00530EB6" w:rsidP="00E867DA">
      <w:pPr>
        <w:pStyle w:val="Casehead2"/>
        <w:rPr>
          <w:lang w:val="en-CA"/>
        </w:rPr>
      </w:pPr>
    </w:p>
    <w:p w14:paraId="005A89FA" w14:textId="77FB285E" w:rsidR="00E867DA" w:rsidRPr="005945EC" w:rsidRDefault="00E867DA" w:rsidP="00E867DA">
      <w:pPr>
        <w:pStyle w:val="Casehead2"/>
        <w:rPr>
          <w:lang w:val="en-CA"/>
        </w:rPr>
      </w:pPr>
      <w:r w:rsidRPr="005945EC">
        <w:rPr>
          <w:lang w:val="en-CA"/>
        </w:rPr>
        <w:t>Individual Airline Responses</w:t>
      </w:r>
    </w:p>
    <w:p w14:paraId="2C6BDA51" w14:textId="77777777" w:rsidR="00E867DA" w:rsidRPr="005945EC" w:rsidRDefault="00E867DA" w:rsidP="00E867DA">
      <w:pPr>
        <w:pStyle w:val="BodyTextMain"/>
        <w:rPr>
          <w:lang w:val="en-CA"/>
        </w:rPr>
      </w:pPr>
    </w:p>
    <w:p w14:paraId="40A32C7F" w14:textId="50C0737E" w:rsidR="00E867DA" w:rsidRPr="00A92DE3" w:rsidRDefault="00E867DA" w:rsidP="00E867DA">
      <w:pPr>
        <w:pStyle w:val="BodyTextMain"/>
        <w:rPr>
          <w:spacing w:val="-2"/>
          <w:kern w:val="2"/>
          <w:lang w:val="en-CA"/>
        </w:rPr>
      </w:pPr>
      <w:r w:rsidRPr="00A92DE3">
        <w:rPr>
          <w:spacing w:val="-2"/>
          <w:kern w:val="2"/>
          <w:lang w:val="en-CA"/>
        </w:rPr>
        <w:t xml:space="preserve">The first major response </w:t>
      </w:r>
      <w:r w:rsidR="00A36C18" w:rsidRPr="00A92DE3">
        <w:rPr>
          <w:spacing w:val="-2"/>
          <w:kern w:val="2"/>
          <w:lang w:val="en-CA"/>
        </w:rPr>
        <w:t>by</w:t>
      </w:r>
      <w:r w:rsidRPr="00A92DE3">
        <w:rPr>
          <w:spacing w:val="-2"/>
          <w:kern w:val="2"/>
          <w:lang w:val="en-CA"/>
        </w:rPr>
        <w:t xml:space="preserve"> the </w:t>
      </w:r>
      <w:r w:rsidR="00A36C18" w:rsidRPr="00A92DE3">
        <w:rPr>
          <w:spacing w:val="-2"/>
          <w:kern w:val="2"/>
          <w:lang w:val="en-CA"/>
        </w:rPr>
        <w:t xml:space="preserve">world’s </w:t>
      </w:r>
      <w:r w:rsidRPr="00A92DE3">
        <w:rPr>
          <w:spacing w:val="-2"/>
          <w:kern w:val="2"/>
          <w:lang w:val="en-CA"/>
        </w:rPr>
        <w:t xml:space="preserve">airlines was to lobby for increased </w:t>
      </w:r>
      <w:r w:rsidR="00A36C18" w:rsidRPr="00A92DE3">
        <w:rPr>
          <w:spacing w:val="-2"/>
          <w:kern w:val="2"/>
          <w:lang w:val="en-CA"/>
        </w:rPr>
        <w:t>government</w:t>
      </w:r>
      <w:r w:rsidRPr="00A92DE3">
        <w:rPr>
          <w:spacing w:val="-2"/>
          <w:kern w:val="2"/>
          <w:lang w:val="en-CA"/>
        </w:rPr>
        <w:t xml:space="preserve"> support and funding. By August 2020, governments around the world had </w:t>
      </w:r>
      <w:r w:rsidR="00A36C18" w:rsidRPr="00A92DE3">
        <w:rPr>
          <w:spacing w:val="-2"/>
          <w:kern w:val="2"/>
          <w:lang w:val="en-CA"/>
        </w:rPr>
        <w:t>provided</w:t>
      </w:r>
      <w:r w:rsidRPr="00A92DE3">
        <w:rPr>
          <w:spacing w:val="-2"/>
          <w:kern w:val="2"/>
          <w:lang w:val="en-CA"/>
        </w:rPr>
        <w:t xml:space="preserve"> over $125 billion in </w:t>
      </w:r>
      <w:r w:rsidR="00A36C18" w:rsidRPr="00A92DE3">
        <w:rPr>
          <w:spacing w:val="-2"/>
          <w:kern w:val="2"/>
          <w:lang w:val="en-CA"/>
        </w:rPr>
        <w:t>financing</w:t>
      </w:r>
      <w:r w:rsidRPr="00A92DE3">
        <w:rPr>
          <w:spacing w:val="-2"/>
          <w:kern w:val="2"/>
          <w:lang w:val="en-CA"/>
        </w:rPr>
        <w:t xml:space="preserve"> for domestic airlines, </w:t>
      </w:r>
      <w:r w:rsidR="00A36C18" w:rsidRPr="00A92DE3">
        <w:rPr>
          <w:spacing w:val="-2"/>
          <w:kern w:val="2"/>
          <w:lang w:val="en-CA"/>
        </w:rPr>
        <w:t xml:space="preserve">with </w:t>
      </w:r>
      <w:r w:rsidRPr="00A92DE3">
        <w:rPr>
          <w:spacing w:val="-2"/>
          <w:kern w:val="2"/>
          <w:lang w:val="en-CA"/>
        </w:rPr>
        <w:t xml:space="preserve">an additional $30 billion expected in the </w:t>
      </w:r>
      <w:r w:rsidR="00A36C18" w:rsidRPr="00A92DE3">
        <w:rPr>
          <w:spacing w:val="-2"/>
          <w:kern w:val="2"/>
          <w:lang w:val="en-CA"/>
        </w:rPr>
        <w:t>coming</w:t>
      </w:r>
      <w:r w:rsidRPr="00A92DE3">
        <w:rPr>
          <w:spacing w:val="-2"/>
          <w:kern w:val="2"/>
          <w:lang w:val="en-CA"/>
        </w:rPr>
        <w:t xml:space="preserve"> months. The US government</w:t>
      </w:r>
      <w:proofErr w:type="gramStart"/>
      <w:r w:rsidRPr="00A92DE3">
        <w:rPr>
          <w:spacing w:val="-2"/>
          <w:kern w:val="2"/>
          <w:lang w:val="en-CA"/>
        </w:rPr>
        <w:t>, in particular, had</w:t>
      </w:r>
      <w:proofErr w:type="gramEnd"/>
      <w:r w:rsidRPr="00A92DE3">
        <w:rPr>
          <w:spacing w:val="-2"/>
          <w:kern w:val="2"/>
          <w:lang w:val="en-CA"/>
        </w:rPr>
        <w:t xml:space="preserve"> </w:t>
      </w:r>
      <w:r w:rsidR="00A36C18" w:rsidRPr="00A92DE3">
        <w:rPr>
          <w:spacing w:val="-2"/>
          <w:kern w:val="2"/>
          <w:lang w:val="en-CA"/>
        </w:rPr>
        <w:t>provided</w:t>
      </w:r>
      <w:r w:rsidRPr="00A92DE3">
        <w:rPr>
          <w:spacing w:val="-2"/>
          <w:kern w:val="2"/>
          <w:lang w:val="en-CA"/>
        </w:rPr>
        <w:t xml:space="preserve"> $58 billion through the </w:t>
      </w:r>
      <w:r w:rsidRPr="00A92DE3">
        <w:rPr>
          <w:i/>
          <w:spacing w:val="-2"/>
          <w:kern w:val="2"/>
          <w:lang w:val="en-CA"/>
        </w:rPr>
        <w:t>C</w:t>
      </w:r>
      <w:r w:rsidR="00A36C18" w:rsidRPr="00A92DE3">
        <w:rPr>
          <w:i/>
          <w:spacing w:val="-2"/>
          <w:kern w:val="2"/>
          <w:lang w:val="en-CA"/>
        </w:rPr>
        <w:t>oronavirus Aid, Relief, and Economic Security</w:t>
      </w:r>
      <w:r w:rsidRPr="00A92DE3">
        <w:rPr>
          <w:i/>
          <w:spacing w:val="-2"/>
          <w:kern w:val="2"/>
          <w:lang w:val="en-CA"/>
        </w:rPr>
        <w:t xml:space="preserve"> Act</w:t>
      </w:r>
      <w:r w:rsidRPr="00A92DE3">
        <w:rPr>
          <w:spacing w:val="-2"/>
          <w:kern w:val="2"/>
          <w:lang w:val="en-CA"/>
        </w:rPr>
        <w:t xml:space="preserve"> in March 2020, with an additional $25 billion expected before the end of the year. Of this aid, $25 billion was given in the form of loans for general expenses and an additional $25 billion was </w:t>
      </w:r>
      <w:r w:rsidR="003E2DB7" w:rsidRPr="00A92DE3">
        <w:rPr>
          <w:spacing w:val="-2"/>
          <w:kern w:val="2"/>
          <w:lang w:val="en-CA"/>
        </w:rPr>
        <w:t>provided</w:t>
      </w:r>
      <w:r w:rsidRPr="00A92DE3">
        <w:rPr>
          <w:spacing w:val="-2"/>
          <w:kern w:val="2"/>
          <w:lang w:val="en-CA"/>
        </w:rPr>
        <w:t xml:space="preserve"> in the form of grants to cover payroll expenses. These loans were extended with rather severe conditions placed on executive pay and dividends.</w:t>
      </w:r>
      <w:r w:rsidRPr="00A92DE3">
        <w:rPr>
          <w:spacing w:val="-2"/>
          <w:kern w:val="2"/>
          <w:vertAlign w:val="superscript"/>
          <w:lang w:val="en-CA"/>
        </w:rPr>
        <w:endnoteReference w:id="40"/>
      </w:r>
    </w:p>
    <w:p w14:paraId="4EEEC88C" w14:textId="77777777" w:rsidR="00E867DA" w:rsidRPr="005945EC" w:rsidRDefault="00E867DA" w:rsidP="00E867DA">
      <w:pPr>
        <w:pStyle w:val="BodyTextMain"/>
        <w:rPr>
          <w:lang w:val="en-CA"/>
        </w:rPr>
      </w:pPr>
    </w:p>
    <w:p w14:paraId="3990767B" w14:textId="58FEFAD4" w:rsidR="00E867DA" w:rsidRPr="005945EC" w:rsidRDefault="00E867DA" w:rsidP="00E867DA">
      <w:pPr>
        <w:pStyle w:val="BodyTextMain"/>
        <w:rPr>
          <w:lang w:val="en-CA"/>
        </w:rPr>
      </w:pPr>
      <w:r w:rsidRPr="005945EC">
        <w:rPr>
          <w:lang w:val="en-CA"/>
        </w:rPr>
        <w:t>This aid was not extensive enough to prevent massive airline layoffs after the support period was over, as passenger demand continued to falter throughout 2020. The three largest airlines in the United States</w:t>
      </w:r>
      <w:r w:rsidR="009931B6" w:rsidRPr="005945EC">
        <w:rPr>
          <w:lang w:val="en-CA"/>
        </w:rPr>
        <w:t>—</w:t>
      </w:r>
      <w:r w:rsidRPr="005945EC">
        <w:rPr>
          <w:lang w:val="en-CA"/>
        </w:rPr>
        <w:t xml:space="preserve">each </w:t>
      </w:r>
      <w:r w:rsidR="009931B6" w:rsidRPr="005945EC">
        <w:rPr>
          <w:lang w:val="en-CA"/>
        </w:rPr>
        <w:t xml:space="preserve">one </w:t>
      </w:r>
      <w:r w:rsidRPr="005945EC">
        <w:rPr>
          <w:lang w:val="en-CA"/>
        </w:rPr>
        <w:t>a founding member of Star</w:t>
      </w:r>
      <w:r w:rsidR="009931B6" w:rsidRPr="005945EC">
        <w:rPr>
          <w:lang w:val="en-CA"/>
        </w:rPr>
        <w:t xml:space="preserve"> Alliance</w:t>
      </w:r>
      <w:r w:rsidRPr="005945EC">
        <w:rPr>
          <w:lang w:val="en-CA"/>
        </w:rPr>
        <w:t xml:space="preserve">, </w:t>
      </w:r>
      <w:proofErr w:type="spellStart"/>
      <w:r w:rsidRPr="005945EC">
        <w:rPr>
          <w:lang w:val="en-CA"/>
        </w:rPr>
        <w:t>Oneworld</w:t>
      </w:r>
      <w:proofErr w:type="spellEnd"/>
      <w:r w:rsidRPr="005945EC">
        <w:rPr>
          <w:lang w:val="en-CA"/>
        </w:rPr>
        <w:t>, or SkyTeam</w:t>
      </w:r>
      <w:r w:rsidR="009931B6" w:rsidRPr="005945EC">
        <w:rPr>
          <w:lang w:val="en-CA"/>
        </w:rPr>
        <w:t>—</w:t>
      </w:r>
      <w:r w:rsidRPr="005945EC">
        <w:rPr>
          <w:lang w:val="en-CA"/>
        </w:rPr>
        <w:t xml:space="preserve">announced record layoffs as </w:t>
      </w:r>
      <w:r w:rsidR="009931B6" w:rsidRPr="005945EC">
        <w:rPr>
          <w:lang w:val="en-CA"/>
        </w:rPr>
        <w:t>the government’s financial support</w:t>
      </w:r>
      <w:r w:rsidRPr="005945EC">
        <w:rPr>
          <w:lang w:val="en-CA"/>
        </w:rPr>
        <w:t xml:space="preserve"> ran out. In the summer of 2020, American</w:t>
      </w:r>
      <w:r w:rsidR="00F9195A">
        <w:rPr>
          <w:lang w:val="en-CA"/>
        </w:rPr>
        <w:t xml:space="preserve"> Airlines Inc.</w:t>
      </w:r>
      <w:r w:rsidR="009931B6" w:rsidRPr="005945EC">
        <w:rPr>
          <w:lang w:val="en-CA"/>
        </w:rPr>
        <w:t xml:space="preserve"> </w:t>
      </w:r>
      <w:r w:rsidRPr="005945EC">
        <w:rPr>
          <w:lang w:val="en-CA"/>
        </w:rPr>
        <w:t>released over 19,000 employees, representing almost 20</w:t>
      </w:r>
      <w:r w:rsidR="009931B6" w:rsidRPr="005945EC">
        <w:rPr>
          <w:lang w:val="en-CA"/>
        </w:rPr>
        <w:t xml:space="preserve"> per cent</w:t>
      </w:r>
      <w:r w:rsidRPr="005945EC">
        <w:rPr>
          <w:lang w:val="en-CA"/>
        </w:rPr>
        <w:t xml:space="preserve"> of the company’s workforce</w:t>
      </w:r>
      <w:r w:rsidR="009931B6" w:rsidRPr="005945EC">
        <w:rPr>
          <w:lang w:val="en-CA"/>
        </w:rPr>
        <w:t>,</w:t>
      </w:r>
      <w:r w:rsidRPr="005945EC">
        <w:rPr>
          <w:lang w:val="en-CA"/>
        </w:rPr>
        <w:t xml:space="preserve"> and Delta planned to </w:t>
      </w:r>
      <w:r w:rsidR="009931B6" w:rsidRPr="005945EC">
        <w:rPr>
          <w:lang w:val="en-CA"/>
        </w:rPr>
        <w:t>lay off</w:t>
      </w:r>
      <w:r w:rsidRPr="005945EC">
        <w:rPr>
          <w:lang w:val="en-CA"/>
        </w:rPr>
        <w:t xml:space="preserve"> almost 2,000 pilots. United announced that it </w:t>
      </w:r>
      <w:r w:rsidR="009931B6" w:rsidRPr="005945EC">
        <w:rPr>
          <w:lang w:val="en-CA"/>
        </w:rPr>
        <w:t>expected</w:t>
      </w:r>
      <w:r w:rsidRPr="005945EC">
        <w:rPr>
          <w:lang w:val="en-CA"/>
        </w:rPr>
        <w:t xml:space="preserve"> to </w:t>
      </w:r>
      <w:r w:rsidR="009931B6" w:rsidRPr="005945EC">
        <w:rPr>
          <w:lang w:val="en-CA"/>
        </w:rPr>
        <w:t>lay off</w:t>
      </w:r>
      <w:r w:rsidRPr="005945EC">
        <w:rPr>
          <w:lang w:val="en-CA"/>
        </w:rPr>
        <w:t xml:space="preserve"> up to 36,000 employees by October</w:t>
      </w:r>
      <w:r w:rsidR="009931B6" w:rsidRPr="005945EC">
        <w:rPr>
          <w:lang w:val="en-CA"/>
        </w:rPr>
        <w:t xml:space="preserve"> 2020</w:t>
      </w:r>
      <w:r w:rsidRPr="005945EC">
        <w:rPr>
          <w:lang w:val="en-CA"/>
        </w:rPr>
        <w:t>.</w:t>
      </w:r>
      <w:r w:rsidRPr="005945EC">
        <w:rPr>
          <w:vertAlign w:val="superscript"/>
          <w:lang w:val="en-CA"/>
        </w:rPr>
        <w:endnoteReference w:id="41"/>
      </w:r>
      <w:r w:rsidRPr="005945EC">
        <w:rPr>
          <w:lang w:val="en-CA"/>
        </w:rPr>
        <w:t xml:space="preserve"> </w:t>
      </w:r>
    </w:p>
    <w:p w14:paraId="0E1DB9AF" w14:textId="77777777" w:rsidR="009931B6" w:rsidRPr="005945EC" w:rsidRDefault="009931B6" w:rsidP="00E867DA">
      <w:pPr>
        <w:pStyle w:val="BodyTextMain"/>
        <w:rPr>
          <w:lang w:val="en-CA"/>
        </w:rPr>
      </w:pPr>
    </w:p>
    <w:p w14:paraId="396B3C9C" w14:textId="674353D5" w:rsidR="003D43EB" w:rsidRPr="005945EC" w:rsidRDefault="007F3FE7" w:rsidP="00E867DA">
      <w:pPr>
        <w:pStyle w:val="BodyTextMain"/>
        <w:rPr>
          <w:lang w:val="en-CA"/>
        </w:rPr>
      </w:pPr>
      <w:r w:rsidRPr="005945EC">
        <w:rPr>
          <w:lang w:val="en-CA"/>
        </w:rPr>
        <w:t>T</w:t>
      </w:r>
      <w:r w:rsidR="003D43EB" w:rsidRPr="005945EC">
        <w:rPr>
          <w:lang w:val="en-CA"/>
        </w:rPr>
        <w:t xml:space="preserve">he airline industry was </w:t>
      </w:r>
      <w:r w:rsidRPr="005945EC">
        <w:rPr>
          <w:lang w:val="en-CA"/>
        </w:rPr>
        <w:t xml:space="preserve">clearly </w:t>
      </w:r>
      <w:r w:rsidR="003D43EB" w:rsidRPr="005945EC">
        <w:rPr>
          <w:lang w:val="en-CA"/>
        </w:rPr>
        <w:t xml:space="preserve">retrenching, </w:t>
      </w:r>
      <w:r w:rsidR="009931B6" w:rsidRPr="005945EC">
        <w:rPr>
          <w:lang w:val="en-CA"/>
        </w:rPr>
        <w:t xml:space="preserve">which </w:t>
      </w:r>
      <w:r w:rsidR="003D43EB" w:rsidRPr="005945EC">
        <w:rPr>
          <w:lang w:val="en-CA"/>
        </w:rPr>
        <w:t xml:space="preserve">presented a </w:t>
      </w:r>
      <w:r w:rsidR="009931B6" w:rsidRPr="005945EC">
        <w:rPr>
          <w:lang w:val="en-CA"/>
        </w:rPr>
        <w:t xml:space="preserve">major </w:t>
      </w:r>
      <w:r w:rsidR="003D43EB" w:rsidRPr="005945EC">
        <w:rPr>
          <w:lang w:val="en-CA"/>
        </w:rPr>
        <w:t>challenge for alliance</w:t>
      </w:r>
      <w:r w:rsidR="009931B6" w:rsidRPr="005945EC">
        <w:rPr>
          <w:lang w:val="en-CA"/>
        </w:rPr>
        <w:t xml:space="preserve"> members</w:t>
      </w:r>
      <w:r w:rsidR="00925DCF" w:rsidRPr="005945EC">
        <w:rPr>
          <w:lang w:val="en-CA"/>
        </w:rPr>
        <w:t>: c</w:t>
      </w:r>
      <w:r w:rsidR="009931B6" w:rsidRPr="005945EC">
        <w:rPr>
          <w:lang w:val="en-CA"/>
        </w:rPr>
        <w:t>ould the</w:t>
      </w:r>
      <w:r w:rsidR="00925DCF" w:rsidRPr="005945EC">
        <w:rPr>
          <w:lang w:val="en-CA"/>
        </w:rPr>
        <w:t>y</w:t>
      </w:r>
      <w:r w:rsidR="003D43EB" w:rsidRPr="005945EC">
        <w:rPr>
          <w:lang w:val="en-CA"/>
        </w:rPr>
        <w:t xml:space="preserve"> reduce capacity in a co</w:t>
      </w:r>
      <w:r w:rsidR="009931B6" w:rsidRPr="005945EC">
        <w:rPr>
          <w:lang w:val="en-CA"/>
        </w:rPr>
        <w:t>-</w:t>
      </w:r>
      <w:r w:rsidR="003D43EB" w:rsidRPr="005945EC">
        <w:rPr>
          <w:lang w:val="en-CA"/>
        </w:rPr>
        <w:t xml:space="preserve">operative manner? </w:t>
      </w:r>
      <w:r w:rsidR="009931B6" w:rsidRPr="005945EC">
        <w:rPr>
          <w:lang w:val="en-CA"/>
        </w:rPr>
        <w:t>Another consideration was</w:t>
      </w:r>
      <w:r w:rsidR="003D43EB" w:rsidRPr="005945EC">
        <w:rPr>
          <w:lang w:val="en-CA"/>
        </w:rPr>
        <w:t xml:space="preserve"> the </w:t>
      </w:r>
      <w:r w:rsidR="009931B6" w:rsidRPr="005945EC">
        <w:rPr>
          <w:lang w:val="en-CA"/>
        </w:rPr>
        <w:t>uneven governmental</w:t>
      </w:r>
      <w:r w:rsidR="003D43EB" w:rsidRPr="005945EC">
        <w:rPr>
          <w:lang w:val="en-CA"/>
        </w:rPr>
        <w:t xml:space="preserve"> support for </w:t>
      </w:r>
      <w:r w:rsidR="009931B6" w:rsidRPr="005945EC">
        <w:rPr>
          <w:lang w:val="en-CA"/>
        </w:rPr>
        <w:t xml:space="preserve">global </w:t>
      </w:r>
      <w:r w:rsidR="003D43EB" w:rsidRPr="005945EC">
        <w:rPr>
          <w:lang w:val="en-CA"/>
        </w:rPr>
        <w:t>airlines during the pandemic</w:t>
      </w:r>
      <w:r w:rsidR="009931B6" w:rsidRPr="005945EC">
        <w:rPr>
          <w:lang w:val="en-CA"/>
        </w:rPr>
        <w:t>, with different</w:t>
      </w:r>
      <w:r w:rsidR="003D43EB" w:rsidRPr="005945EC">
        <w:rPr>
          <w:lang w:val="en-CA"/>
        </w:rPr>
        <w:t xml:space="preserve"> governments </w:t>
      </w:r>
      <w:r w:rsidR="009931B6" w:rsidRPr="005945EC">
        <w:rPr>
          <w:lang w:val="en-CA"/>
        </w:rPr>
        <w:t>having different levels of interest</w:t>
      </w:r>
      <w:r w:rsidR="003D43EB" w:rsidRPr="005945EC">
        <w:rPr>
          <w:lang w:val="en-CA"/>
        </w:rPr>
        <w:t xml:space="preserve"> in their national airlines. Some national airlines w</w:t>
      </w:r>
      <w:r w:rsidR="009931B6" w:rsidRPr="005945EC">
        <w:rPr>
          <w:lang w:val="en-CA"/>
        </w:rPr>
        <w:t>ere expected to</w:t>
      </w:r>
      <w:r w:rsidR="003D43EB" w:rsidRPr="005945EC">
        <w:rPr>
          <w:lang w:val="en-CA"/>
        </w:rPr>
        <w:t xml:space="preserve"> survive</w:t>
      </w:r>
      <w:r w:rsidR="009931B6" w:rsidRPr="005945EC">
        <w:rPr>
          <w:lang w:val="en-CA"/>
        </w:rPr>
        <w:t xml:space="preserve"> the crisis</w:t>
      </w:r>
      <w:r w:rsidR="003D43EB" w:rsidRPr="005945EC">
        <w:rPr>
          <w:lang w:val="en-CA"/>
        </w:rPr>
        <w:t xml:space="preserve">, others </w:t>
      </w:r>
      <w:r w:rsidR="006B60A8" w:rsidRPr="005945EC">
        <w:rPr>
          <w:lang w:val="en-CA"/>
        </w:rPr>
        <w:t>w</w:t>
      </w:r>
      <w:r w:rsidR="009931B6" w:rsidRPr="005945EC">
        <w:rPr>
          <w:lang w:val="en-CA"/>
        </w:rPr>
        <w:t xml:space="preserve">ould </w:t>
      </w:r>
      <w:r w:rsidR="009931B6" w:rsidRPr="005945EC">
        <w:rPr>
          <w:lang w:val="en-CA"/>
        </w:rPr>
        <w:lastRenderedPageBreak/>
        <w:t>probably</w:t>
      </w:r>
      <w:r w:rsidR="006B60A8" w:rsidRPr="005945EC">
        <w:rPr>
          <w:lang w:val="en-CA"/>
        </w:rPr>
        <w:t xml:space="preserve"> </w:t>
      </w:r>
      <w:r w:rsidR="003D43EB" w:rsidRPr="005945EC">
        <w:rPr>
          <w:lang w:val="en-CA"/>
        </w:rPr>
        <w:t xml:space="preserve">reduce the reach of their network, and </w:t>
      </w:r>
      <w:r w:rsidR="006B60A8" w:rsidRPr="005945EC">
        <w:rPr>
          <w:lang w:val="en-CA"/>
        </w:rPr>
        <w:t xml:space="preserve">most </w:t>
      </w:r>
      <w:r w:rsidR="009931B6" w:rsidRPr="005945EC">
        <w:rPr>
          <w:lang w:val="en-CA"/>
        </w:rPr>
        <w:t>airlines would undoubtedly</w:t>
      </w:r>
      <w:r w:rsidR="006B60A8" w:rsidRPr="005945EC">
        <w:rPr>
          <w:lang w:val="en-CA"/>
        </w:rPr>
        <w:t xml:space="preserve"> be indebted to their </w:t>
      </w:r>
      <w:r w:rsidR="009931B6" w:rsidRPr="005945EC">
        <w:rPr>
          <w:lang w:val="en-CA"/>
        </w:rPr>
        <w:t>respective</w:t>
      </w:r>
      <w:r w:rsidR="006B60A8" w:rsidRPr="005945EC">
        <w:rPr>
          <w:lang w:val="en-CA"/>
        </w:rPr>
        <w:t xml:space="preserve"> </w:t>
      </w:r>
      <w:r w:rsidR="003D43EB" w:rsidRPr="005945EC">
        <w:rPr>
          <w:lang w:val="en-CA"/>
        </w:rPr>
        <w:t xml:space="preserve">government. How would these trends affect </w:t>
      </w:r>
      <w:r w:rsidR="00D01D90" w:rsidRPr="005945EC">
        <w:rPr>
          <w:lang w:val="en-CA"/>
        </w:rPr>
        <w:t xml:space="preserve">the management and membership of </w:t>
      </w:r>
      <w:r w:rsidR="003D43EB" w:rsidRPr="005945EC">
        <w:rPr>
          <w:lang w:val="en-CA"/>
        </w:rPr>
        <w:t xml:space="preserve">global </w:t>
      </w:r>
      <w:r w:rsidR="006B60A8" w:rsidRPr="005945EC">
        <w:rPr>
          <w:lang w:val="en-CA"/>
        </w:rPr>
        <w:t xml:space="preserve">constellations </w:t>
      </w:r>
      <w:r w:rsidR="00D01D90" w:rsidRPr="005945EC">
        <w:rPr>
          <w:lang w:val="en-CA"/>
        </w:rPr>
        <w:t>such as</w:t>
      </w:r>
      <w:r w:rsidR="003D43EB" w:rsidRPr="005945EC">
        <w:rPr>
          <w:lang w:val="en-CA"/>
        </w:rPr>
        <w:t xml:space="preserve"> Star</w:t>
      </w:r>
      <w:r w:rsidR="00D01D90" w:rsidRPr="005945EC">
        <w:rPr>
          <w:lang w:val="en-CA"/>
        </w:rPr>
        <w:t xml:space="preserve"> Alliance</w:t>
      </w:r>
      <w:r w:rsidR="003D43EB" w:rsidRPr="005945EC">
        <w:rPr>
          <w:lang w:val="en-CA"/>
        </w:rPr>
        <w:t>?</w:t>
      </w:r>
    </w:p>
    <w:p w14:paraId="761E1B6E" w14:textId="7D3408D4" w:rsidR="00E867DA" w:rsidRPr="005945EC" w:rsidRDefault="00E867DA" w:rsidP="00E867DA">
      <w:pPr>
        <w:pStyle w:val="BodyTextMain"/>
        <w:rPr>
          <w:lang w:val="en-CA"/>
        </w:rPr>
      </w:pPr>
    </w:p>
    <w:p w14:paraId="5043AC95" w14:textId="77777777" w:rsidR="00E867DA" w:rsidRPr="005945EC" w:rsidRDefault="00E867DA" w:rsidP="00E867DA">
      <w:pPr>
        <w:pStyle w:val="BodyTextMain"/>
        <w:rPr>
          <w:lang w:val="en-CA"/>
        </w:rPr>
      </w:pPr>
    </w:p>
    <w:p w14:paraId="7C0F477D" w14:textId="77777777" w:rsidR="00E867DA" w:rsidRPr="005945EC" w:rsidRDefault="00E867DA" w:rsidP="00E867DA">
      <w:pPr>
        <w:pStyle w:val="Casehead2"/>
        <w:keepNext/>
        <w:rPr>
          <w:lang w:val="en-CA"/>
        </w:rPr>
      </w:pPr>
      <w:r w:rsidRPr="005945EC">
        <w:rPr>
          <w:lang w:val="en-CA"/>
        </w:rPr>
        <w:t>Star Alliance’s Response</w:t>
      </w:r>
    </w:p>
    <w:p w14:paraId="7136826A" w14:textId="77777777" w:rsidR="00E867DA" w:rsidRPr="005945EC" w:rsidRDefault="00E867DA" w:rsidP="00E867DA">
      <w:pPr>
        <w:pStyle w:val="BodyTextMain"/>
        <w:keepNext/>
        <w:rPr>
          <w:lang w:val="en-CA"/>
        </w:rPr>
      </w:pPr>
    </w:p>
    <w:p w14:paraId="53360E06" w14:textId="16D35DD7" w:rsidR="00E867DA" w:rsidRPr="005945EC" w:rsidRDefault="00E867DA" w:rsidP="00E867DA">
      <w:pPr>
        <w:pStyle w:val="BodyTextMain"/>
        <w:keepNext/>
        <w:rPr>
          <w:lang w:val="en-CA"/>
        </w:rPr>
      </w:pPr>
      <w:r w:rsidRPr="005945EC">
        <w:rPr>
          <w:lang w:val="en-CA"/>
        </w:rPr>
        <w:t xml:space="preserve">Alliances played a </w:t>
      </w:r>
      <w:r w:rsidR="00B05E77" w:rsidRPr="005945EC">
        <w:rPr>
          <w:lang w:val="en-CA"/>
        </w:rPr>
        <w:t>key</w:t>
      </w:r>
      <w:r w:rsidRPr="005945EC">
        <w:rPr>
          <w:lang w:val="en-CA"/>
        </w:rPr>
        <w:t xml:space="preserve"> role in the industry’s response to the pandemic. </w:t>
      </w:r>
      <w:r w:rsidR="00B05E77" w:rsidRPr="005945EC">
        <w:rPr>
          <w:lang w:val="en-CA"/>
        </w:rPr>
        <w:t xml:space="preserve">For example, </w:t>
      </w:r>
      <w:r w:rsidRPr="005945EC">
        <w:rPr>
          <w:lang w:val="en-CA"/>
        </w:rPr>
        <w:t xml:space="preserve">Star </w:t>
      </w:r>
      <w:r w:rsidR="00B05E77" w:rsidRPr="005945EC">
        <w:rPr>
          <w:lang w:val="en-CA"/>
        </w:rPr>
        <w:t>A</w:t>
      </w:r>
      <w:r w:rsidRPr="005945EC">
        <w:rPr>
          <w:lang w:val="en-CA"/>
        </w:rPr>
        <w:t xml:space="preserve">lliance created a </w:t>
      </w:r>
      <w:r w:rsidR="00B05E77" w:rsidRPr="005945EC">
        <w:rPr>
          <w:lang w:val="en-CA"/>
        </w:rPr>
        <w:t>t</w:t>
      </w:r>
      <w:r w:rsidRPr="005945EC">
        <w:rPr>
          <w:lang w:val="en-CA"/>
        </w:rPr>
        <w:t xml:space="preserve">ravel </w:t>
      </w:r>
      <w:r w:rsidR="00B05E77" w:rsidRPr="005945EC">
        <w:rPr>
          <w:lang w:val="en-CA"/>
        </w:rPr>
        <w:t>i</w:t>
      </w:r>
      <w:r w:rsidRPr="005945EC">
        <w:rPr>
          <w:lang w:val="en-CA"/>
        </w:rPr>
        <w:t xml:space="preserve">nformation </w:t>
      </w:r>
      <w:r w:rsidR="00B05E77" w:rsidRPr="005945EC">
        <w:rPr>
          <w:lang w:val="en-CA"/>
        </w:rPr>
        <w:t>h</w:t>
      </w:r>
      <w:r w:rsidRPr="005945EC">
        <w:rPr>
          <w:lang w:val="en-CA"/>
        </w:rPr>
        <w:t xml:space="preserve">ub </w:t>
      </w:r>
      <w:r w:rsidR="00B05E77" w:rsidRPr="005945EC">
        <w:rPr>
          <w:lang w:val="en-CA"/>
        </w:rPr>
        <w:t>that provided</w:t>
      </w:r>
      <w:r w:rsidRPr="005945EC">
        <w:rPr>
          <w:lang w:val="en-CA"/>
        </w:rPr>
        <w:t xml:space="preserve"> health precautions and </w:t>
      </w:r>
      <w:r w:rsidR="00B05E77" w:rsidRPr="005945EC">
        <w:rPr>
          <w:lang w:val="en-CA"/>
        </w:rPr>
        <w:t xml:space="preserve">general </w:t>
      </w:r>
      <w:r w:rsidRPr="005945EC">
        <w:rPr>
          <w:lang w:val="en-CA"/>
        </w:rPr>
        <w:t>information about C</w:t>
      </w:r>
      <w:r w:rsidR="00FF7282" w:rsidRPr="005945EC">
        <w:rPr>
          <w:lang w:val="en-CA"/>
        </w:rPr>
        <w:t>OVID</w:t>
      </w:r>
      <w:r w:rsidRPr="005945EC">
        <w:rPr>
          <w:lang w:val="en-CA"/>
        </w:rPr>
        <w:t>-19</w:t>
      </w:r>
      <w:r w:rsidR="00B05E77" w:rsidRPr="005945EC">
        <w:rPr>
          <w:lang w:val="en-CA"/>
        </w:rPr>
        <w:t xml:space="preserve"> to </w:t>
      </w:r>
      <w:r w:rsidR="00925DCF" w:rsidRPr="005945EC">
        <w:rPr>
          <w:lang w:val="en-CA"/>
        </w:rPr>
        <w:t xml:space="preserve">all </w:t>
      </w:r>
      <w:r w:rsidR="00B05E77" w:rsidRPr="005945EC">
        <w:rPr>
          <w:lang w:val="en-CA"/>
        </w:rPr>
        <w:t>passengers</w:t>
      </w:r>
      <w:r w:rsidRPr="005945EC">
        <w:rPr>
          <w:lang w:val="en-CA"/>
        </w:rPr>
        <w:t xml:space="preserve">. </w:t>
      </w:r>
      <w:r w:rsidR="007F3FE7" w:rsidRPr="005945EC">
        <w:rPr>
          <w:lang w:val="en-CA"/>
        </w:rPr>
        <w:t xml:space="preserve">The alliance </w:t>
      </w:r>
      <w:r w:rsidR="00B05E77" w:rsidRPr="005945EC">
        <w:rPr>
          <w:lang w:val="en-CA"/>
        </w:rPr>
        <w:t>also</w:t>
      </w:r>
      <w:r w:rsidRPr="005945EC">
        <w:rPr>
          <w:lang w:val="en-CA"/>
        </w:rPr>
        <w:t xml:space="preserve"> created a set </w:t>
      </w:r>
      <w:r w:rsidR="00925DCF" w:rsidRPr="005945EC">
        <w:rPr>
          <w:lang w:val="en-CA"/>
        </w:rPr>
        <w:t xml:space="preserve">of </w:t>
      </w:r>
      <w:r w:rsidRPr="005945EC">
        <w:rPr>
          <w:lang w:val="en-CA"/>
        </w:rPr>
        <w:t xml:space="preserve">health and safety procedures </w:t>
      </w:r>
      <w:r w:rsidR="00B05E77" w:rsidRPr="005945EC">
        <w:rPr>
          <w:lang w:val="en-CA"/>
        </w:rPr>
        <w:t>for its</w:t>
      </w:r>
      <w:r w:rsidRPr="005945EC">
        <w:rPr>
          <w:lang w:val="en-CA"/>
        </w:rPr>
        <w:t xml:space="preserve"> member airlines to follow</w:t>
      </w:r>
      <w:r w:rsidR="00B05E77" w:rsidRPr="005945EC">
        <w:rPr>
          <w:lang w:val="en-CA"/>
        </w:rPr>
        <w:t xml:space="preserve"> that</w:t>
      </w:r>
      <w:r w:rsidRPr="005945EC">
        <w:rPr>
          <w:lang w:val="en-CA"/>
        </w:rPr>
        <w:t xml:space="preserve"> included regulations for passenger use of face masks, cleaning and disinfecting requirements, and operating steps </w:t>
      </w:r>
      <w:r w:rsidR="00B05E77" w:rsidRPr="005945EC">
        <w:rPr>
          <w:lang w:val="en-CA"/>
        </w:rPr>
        <w:t>to follow if</w:t>
      </w:r>
      <w:r w:rsidRPr="005945EC">
        <w:rPr>
          <w:lang w:val="en-CA"/>
        </w:rPr>
        <w:t xml:space="preserve"> a passenger developed C</w:t>
      </w:r>
      <w:r w:rsidR="00FF7282" w:rsidRPr="005945EC">
        <w:rPr>
          <w:lang w:val="en-CA"/>
        </w:rPr>
        <w:t>OVID</w:t>
      </w:r>
      <w:r w:rsidRPr="005945EC">
        <w:rPr>
          <w:lang w:val="en-CA"/>
        </w:rPr>
        <w:t>-19</w:t>
      </w:r>
      <w:r w:rsidR="00B05E77" w:rsidRPr="005945EC">
        <w:rPr>
          <w:lang w:val="en-CA"/>
        </w:rPr>
        <w:t xml:space="preserve"> symptoms</w:t>
      </w:r>
      <w:r w:rsidRPr="005945EC">
        <w:rPr>
          <w:lang w:val="en-CA"/>
        </w:rPr>
        <w:t>.</w:t>
      </w:r>
      <w:r w:rsidRPr="005945EC">
        <w:rPr>
          <w:vertAlign w:val="superscript"/>
          <w:lang w:val="en-CA"/>
        </w:rPr>
        <w:endnoteReference w:id="42"/>
      </w:r>
      <w:r w:rsidRPr="005945EC">
        <w:rPr>
          <w:lang w:val="en-CA"/>
        </w:rPr>
        <w:t xml:space="preserve"> These actions were intended to increase the level of comfort of passengers</w:t>
      </w:r>
      <w:r w:rsidR="00B05E77" w:rsidRPr="005945EC">
        <w:rPr>
          <w:lang w:val="en-CA"/>
        </w:rPr>
        <w:t>. However</w:t>
      </w:r>
      <w:r w:rsidRPr="005945EC">
        <w:rPr>
          <w:lang w:val="en-CA"/>
        </w:rPr>
        <w:t xml:space="preserve">, </w:t>
      </w:r>
      <w:r w:rsidR="00B05E77" w:rsidRPr="005945EC">
        <w:rPr>
          <w:lang w:val="en-CA"/>
        </w:rPr>
        <w:t>the normal rate of air travel was not expected to</w:t>
      </w:r>
      <w:r w:rsidRPr="005945EC">
        <w:rPr>
          <w:lang w:val="en-CA"/>
        </w:rPr>
        <w:t xml:space="preserve"> recover for several years after the </w:t>
      </w:r>
      <w:r w:rsidR="00B05E77" w:rsidRPr="005945EC">
        <w:rPr>
          <w:lang w:val="en-CA"/>
        </w:rPr>
        <w:t xml:space="preserve">eventual end of the </w:t>
      </w:r>
      <w:r w:rsidRPr="005945EC">
        <w:rPr>
          <w:lang w:val="en-CA"/>
        </w:rPr>
        <w:t xml:space="preserve">pandemic. </w:t>
      </w:r>
    </w:p>
    <w:p w14:paraId="0E7AFCC1" w14:textId="77777777" w:rsidR="00E867DA" w:rsidRPr="005945EC" w:rsidRDefault="00E867DA" w:rsidP="00E867DA">
      <w:pPr>
        <w:pStyle w:val="BodyTextMain"/>
        <w:rPr>
          <w:lang w:val="en-CA"/>
        </w:rPr>
      </w:pPr>
    </w:p>
    <w:p w14:paraId="2A674313" w14:textId="0E4451A2" w:rsidR="00E867DA" w:rsidRPr="005945EC" w:rsidRDefault="00B05E77" w:rsidP="00E867DA">
      <w:pPr>
        <w:pStyle w:val="BodyTextMain"/>
        <w:rPr>
          <w:lang w:val="en-CA"/>
        </w:rPr>
      </w:pPr>
      <w:r w:rsidRPr="005945EC">
        <w:rPr>
          <w:lang w:val="en-CA"/>
        </w:rPr>
        <w:t>B</w:t>
      </w:r>
      <w:r w:rsidR="00E867DA" w:rsidRPr="005945EC">
        <w:rPr>
          <w:lang w:val="en-CA"/>
        </w:rPr>
        <w:t xml:space="preserve">efore the </w:t>
      </w:r>
      <w:r w:rsidRPr="005945EC">
        <w:rPr>
          <w:lang w:val="en-CA"/>
        </w:rPr>
        <w:t xml:space="preserve">outbreak of the </w:t>
      </w:r>
      <w:r w:rsidR="00E867DA" w:rsidRPr="005945EC">
        <w:rPr>
          <w:lang w:val="en-CA"/>
        </w:rPr>
        <w:t>pandemic, Star</w:t>
      </w:r>
      <w:r w:rsidRPr="005945EC">
        <w:rPr>
          <w:lang w:val="en-CA"/>
        </w:rPr>
        <w:t xml:space="preserve"> Alliance</w:t>
      </w:r>
      <w:r w:rsidR="00E867DA" w:rsidRPr="005945EC">
        <w:rPr>
          <w:lang w:val="en-CA"/>
        </w:rPr>
        <w:t xml:space="preserve"> had been facing </w:t>
      </w:r>
      <w:r w:rsidRPr="005945EC">
        <w:rPr>
          <w:lang w:val="en-CA"/>
        </w:rPr>
        <w:t xml:space="preserve">various </w:t>
      </w:r>
      <w:r w:rsidR="00E867DA" w:rsidRPr="005945EC">
        <w:rPr>
          <w:lang w:val="en-CA"/>
        </w:rPr>
        <w:t xml:space="preserve">questions </w:t>
      </w:r>
      <w:r w:rsidRPr="005945EC">
        <w:rPr>
          <w:lang w:val="en-CA"/>
        </w:rPr>
        <w:t>about its future</w:t>
      </w:r>
      <w:r w:rsidR="00E867DA" w:rsidRPr="005945EC">
        <w:rPr>
          <w:lang w:val="en-CA"/>
        </w:rPr>
        <w:t>.</w:t>
      </w:r>
      <w:r w:rsidR="00E867DA" w:rsidRPr="005945EC">
        <w:rPr>
          <w:rStyle w:val="EndnoteReference"/>
          <w:lang w:val="en-CA"/>
        </w:rPr>
        <w:endnoteReference w:id="43"/>
      </w:r>
      <w:r w:rsidR="00E867DA" w:rsidRPr="005945EC">
        <w:rPr>
          <w:lang w:val="en-CA"/>
        </w:rPr>
        <w:t xml:space="preserve"> </w:t>
      </w:r>
      <w:r w:rsidRPr="005945EC">
        <w:rPr>
          <w:lang w:val="en-CA"/>
        </w:rPr>
        <w:t>For example, the constellation had to determine whether it should</w:t>
      </w:r>
      <w:r w:rsidR="00E867DA" w:rsidRPr="005945EC">
        <w:rPr>
          <w:lang w:val="en-CA"/>
        </w:rPr>
        <w:t xml:space="preserve"> continue to grow</w:t>
      </w:r>
      <w:r w:rsidRPr="005945EC">
        <w:rPr>
          <w:lang w:val="en-CA"/>
        </w:rPr>
        <w:t xml:space="preserve"> by</w:t>
      </w:r>
      <w:r w:rsidR="00E867DA" w:rsidRPr="005945EC">
        <w:rPr>
          <w:lang w:val="en-CA"/>
        </w:rPr>
        <w:t xml:space="preserve"> introduc</w:t>
      </w:r>
      <w:r w:rsidRPr="005945EC">
        <w:rPr>
          <w:lang w:val="en-CA"/>
        </w:rPr>
        <w:t>ing</w:t>
      </w:r>
      <w:r w:rsidR="00E867DA" w:rsidRPr="005945EC">
        <w:rPr>
          <w:lang w:val="en-CA"/>
        </w:rPr>
        <w:t xml:space="preserve"> new services</w:t>
      </w:r>
      <w:r w:rsidRPr="005945EC">
        <w:rPr>
          <w:lang w:val="en-CA"/>
        </w:rPr>
        <w:t xml:space="preserve"> to extend</w:t>
      </w:r>
      <w:r w:rsidR="00E867DA" w:rsidRPr="005945EC">
        <w:rPr>
          <w:lang w:val="en-CA"/>
        </w:rPr>
        <w:t xml:space="preserve"> offerings to </w:t>
      </w:r>
      <w:r w:rsidRPr="005945EC">
        <w:rPr>
          <w:lang w:val="en-CA"/>
        </w:rPr>
        <w:t xml:space="preserve">its </w:t>
      </w:r>
      <w:r w:rsidR="00E867DA" w:rsidRPr="005945EC">
        <w:rPr>
          <w:lang w:val="en-CA"/>
        </w:rPr>
        <w:t>loyal passengers</w:t>
      </w:r>
      <w:r w:rsidRPr="005945EC">
        <w:rPr>
          <w:lang w:val="en-CA"/>
        </w:rPr>
        <w:t>, or maybe allow</w:t>
      </w:r>
      <w:r w:rsidR="00E867DA" w:rsidRPr="005945EC">
        <w:rPr>
          <w:lang w:val="en-CA"/>
        </w:rPr>
        <w:t xml:space="preserve"> individual airlines to operate </w:t>
      </w:r>
      <w:r w:rsidRPr="005945EC">
        <w:rPr>
          <w:lang w:val="en-CA"/>
        </w:rPr>
        <w:t xml:space="preserve">more freely </w:t>
      </w:r>
      <w:r w:rsidR="00E867DA" w:rsidRPr="005945EC">
        <w:rPr>
          <w:lang w:val="en-CA"/>
        </w:rPr>
        <w:t xml:space="preserve">as separate entities under </w:t>
      </w:r>
      <w:r w:rsidRPr="005945EC">
        <w:rPr>
          <w:lang w:val="en-CA"/>
        </w:rPr>
        <w:t>the</w:t>
      </w:r>
      <w:r w:rsidR="00E867DA" w:rsidRPr="005945EC">
        <w:rPr>
          <w:lang w:val="en-CA"/>
        </w:rPr>
        <w:t xml:space="preserve"> umbrella</w:t>
      </w:r>
      <w:r w:rsidRPr="005945EC">
        <w:rPr>
          <w:lang w:val="en-CA"/>
        </w:rPr>
        <w:t xml:space="preserve"> brand.</w:t>
      </w:r>
      <w:r w:rsidR="00E867DA" w:rsidRPr="005945EC">
        <w:rPr>
          <w:lang w:val="en-CA"/>
        </w:rPr>
        <w:t xml:space="preserve"> </w:t>
      </w:r>
      <w:r w:rsidR="00066789" w:rsidRPr="005945EC">
        <w:rPr>
          <w:lang w:val="en-CA"/>
        </w:rPr>
        <w:t>W</w:t>
      </w:r>
      <w:r w:rsidR="00E867DA" w:rsidRPr="005945EC">
        <w:rPr>
          <w:lang w:val="en-CA"/>
        </w:rPr>
        <w:t xml:space="preserve">ithin </w:t>
      </w:r>
      <w:r w:rsidR="00066789" w:rsidRPr="005945EC">
        <w:rPr>
          <w:lang w:val="en-CA"/>
        </w:rPr>
        <w:t>i</w:t>
      </w:r>
      <w:r w:rsidR="00E867DA" w:rsidRPr="005945EC">
        <w:rPr>
          <w:lang w:val="en-CA"/>
        </w:rPr>
        <w:t>t</w:t>
      </w:r>
      <w:r w:rsidR="00066789" w:rsidRPr="005945EC">
        <w:rPr>
          <w:lang w:val="en-CA"/>
        </w:rPr>
        <w:t>s</w:t>
      </w:r>
      <w:r w:rsidR="00E867DA" w:rsidRPr="005945EC">
        <w:rPr>
          <w:lang w:val="en-CA"/>
        </w:rPr>
        <w:t xml:space="preserve"> </w:t>
      </w:r>
      <w:r w:rsidR="00066789" w:rsidRPr="005945EC">
        <w:rPr>
          <w:lang w:val="en-CA"/>
        </w:rPr>
        <w:t xml:space="preserve">network, the </w:t>
      </w:r>
      <w:r w:rsidR="00E867DA" w:rsidRPr="005945EC">
        <w:rPr>
          <w:lang w:val="en-CA"/>
        </w:rPr>
        <w:t>alliance</w:t>
      </w:r>
      <w:r w:rsidR="00066789" w:rsidRPr="005945EC">
        <w:rPr>
          <w:lang w:val="en-CA"/>
        </w:rPr>
        <w:t xml:space="preserve"> had to determine if</w:t>
      </w:r>
      <w:r w:rsidR="00E867DA" w:rsidRPr="005945EC">
        <w:rPr>
          <w:lang w:val="en-CA"/>
        </w:rPr>
        <w:t xml:space="preserve"> </w:t>
      </w:r>
      <w:r w:rsidR="00066789" w:rsidRPr="005945EC">
        <w:rPr>
          <w:lang w:val="en-CA"/>
        </w:rPr>
        <w:t>joint venture partnerships should</w:t>
      </w:r>
      <w:r w:rsidR="00E867DA" w:rsidRPr="005945EC">
        <w:rPr>
          <w:lang w:val="en-CA"/>
        </w:rPr>
        <w:t xml:space="preserve"> continue </w:t>
      </w:r>
      <w:r w:rsidR="007F3FE7" w:rsidRPr="005945EC">
        <w:rPr>
          <w:lang w:val="en-CA"/>
        </w:rPr>
        <w:t xml:space="preserve">to </w:t>
      </w:r>
      <w:r w:rsidR="00E867DA" w:rsidRPr="005945EC">
        <w:rPr>
          <w:lang w:val="en-CA"/>
        </w:rPr>
        <w:t xml:space="preserve">grow or </w:t>
      </w:r>
      <w:r w:rsidR="00066789" w:rsidRPr="005945EC">
        <w:rPr>
          <w:lang w:val="en-CA"/>
        </w:rPr>
        <w:t xml:space="preserve">if </w:t>
      </w:r>
      <w:r w:rsidR="00F9195A">
        <w:rPr>
          <w:lang w:val="en-CA"/>
        </w:rPr>
        <w:t>the</w:t>
      </w:r>
      <w:r w:rsidR="00066789" w:rsidRPr="005945EC">
        <w:rPr>
          <w:lang w:val="en-CA"/>
        </w:rPr>
        <w:t xml:space="preserve"> benefits were no longer relevant.</w:t>
      </w:r>
      <w:r w:rsidR="00E867DA" w:rsidRPr="005945EC">
        <w:rPr>
          <w:lang w:val="en-CA"/>
        </w:rPr>
        <w:t xml:space="preserve"> </w:t>
      </w:r>
    </w:p>
    <w:p w14:paraId="551FC2C5" w14:textId="77777777" w:rsidR="00E867DA" w:rsidRPr="005945EC" w:rsidRDefault="00E867DA" w:rsidP="00E867DA">
      <w:pPr>
        <w:pStyle w:val="BodyTextMain"/>
        <w:rPr>
          <w:lang w:val="en-CA"/>
        </w:rPr>
      </w:pPr>
    </w:p>
    <w:p w14:paraId="687E9C0B" w14:textId="45C3B0AF" w:rsidR="00F96474" w:rsidRPr="00A92DE3" w:rsidRDefault="00066789" w:rsidP="00E867DA">
      <w:pPr>
        <w:pStyle w:val="BodyTextMain"/>
        <w:rPr>
          <w:spacing w:val="-2"/>
          <w:kern w:val="2"/>
          <w:lang w:val="en-CA"/>
        </w:rPr>
      </w:pPr>
      <w:r w:rsidRPr="00A92DE3">
        <w:rPr>
          <w:spacing w:val="-2"/>
          <w:kern w:val="2"/>
          <w:lang w:val="en-CA"/>
        </w:rPr>
        <w:t>However, a</w:t>
      </w:r>
      <w:r w:rsidR="00E867DA" w:rsidRPr="00A92DE3">
        <w:rPr>
          <w:spacing w:val="-2"/>
          <w:kern w:val="2"/>
          <w:lang w:val="en-CA"/>
        </w:rPr>
        <w:t xml:space="preserve">ll questions </w:t>
      </w:r>
      <w:r w:rsidRPr="00A92DE3">
        <w:rPr>
          <w:spacing w:val="-2"/>
          <w:kern w:val="2"/>
          <w:lang w:val="en-CA"/>
        </w:rPr>
        <w:t>about</w:t>
      </w:r>
      <w:r w:rsidR="00E867DA" w:rsidRPr="00A92DE3">
        <w:rPr>
          <w:spacing w:val="-2"/>
          <w:kern w:val="2"/>
          <w:lang w:val="en-CA"/>
        </w:rPr>
        <w:t xml:space="preserve"> structure and strategy </w:t>
      </w:r>
      <w:r w:rsidRPr="00A92DE3">
        <w:rPr>
          <w:spacing w:val="-2"/>
          <w:kern w:val="2"/>
          <w:lang w:val="en-CA"/>
        </w:rPr>
        <w:t>had been set aside</w:t>
      </w:r>
      <w:r w:rsidR="00E867DA" w:rsidRPr="00A92DE3">
        <w:rPr>
          <w:spacing w:val="-2"/>
          <w:kern w:val="2"/>
          <w:lang w:val="en-CA"/>
        </w:rPr>
        <w:t xml:space="preserve"> as the world faced its worst health crisis in over a century. The main question for Star</w:t>
      </w:r>
      <w:r w:rsidRPr="00A92DE3">
        <w:rPr>
          <w:spacing w:val="-2"/>
          <w:kern w:val="2"/>
          <w:lang w:val="en-CA"/>
        </w:rPr>
        <w:t xml:space="preserve"> Alliance</w:t>
      </w:r>
      <w:r w:rsidR="00E867DA" w:rsidRPr="00A92DE3">
        <w:rPr>
          <w:spacing w:val="-2"/>
          <w:kern w:val="2"/>
          <w:lang w:val="en-CA"/>
        </w:rPr>
        <w:t xml:space="preserve"> now became</w:t>
      </w:r>
      <w:r w:rsidRPr="00A92DE3">
        <w:rPr>
          <w:spacing w:val="-2"/>
          <w:kern w:val="2"/>
          <w:lang w:val="en-CA"/>
        </w:rPr>
        <w:t xml:space="preserve"> one of survival.</w:t>
      </w:r>
      <w:r w:rsidR="00E867DA" w:rsidRPr="00A92DE3">
        <w:rPr>
          <w:spacing w:val="-2"/>
          <w:kern w:val="2"/>
          <w:lang w:val="en-CA"/>
        </w:rPr>
        <w:t xml:space="preserve"> What could the alliance do to help its members weather the </w:t>
      </w:r>
      <w:r w:rsidRPr="00A92DE3">
        <w:rPr>
          <w:spacing w:val="-2"/>
          <w:kern w:val="2"/>
          <w:lang w:val="en-CA"/>
        </w:rPr>
        <w:t xml:space="preserve">COVID-19 </w:t>
      </w:r>
      <w:r w:rsidR="00E867DA" w:rsidRPr="00A92DE3">
        <w:rPr>
          <w:spacing w:val="-2"/>
          <w:kern w:val="2"/>
          <w:lang w:val="en-CA"/>
        </w:rPr>
        <w:t xml:space="preserve">crisis? </w:t>
      </w:r>
      <w:r w:rsidR="00A468C7" w:rsidRPr="00A92DE3">
        <w:rPr>
          <w:spacing w:val="-2"/>
          <w:kern w:val="2"/>
          <w:lang w:val="en-CA"/>
        </w:rPr>
        <w:t xml:space="preserve">It clearly did not have the funds to </w:t>
      </w:r>
      <w:r w:rsidRPr="00A92DE3">
        <w:rPr>
          <w:spacing w:val="-2"/>
          <w:kern w:val="2"/>
          <w:lang w:val="en-CA"/>
        </w:rPr>
        <w:t xml:space="preserve">provide </w:t>
      </w:r>
      <w:r w:rsidR="00A468C7" w:rsidRPr="00A92DE3">
        <w:rPr>
          <w:spacing w:val="-2"/>
          <w:kern w:val="2"/>
          <w:lang w:val="en-CA"/>
        </w:rPr>
        <w:t>support</w:t>
      </w:r>
      <w:r w:rsidRPr="00A92DE3">
        <w:rPr>
          <w:spacing w:val="-2"/>
          <w:kern w:val="2"/>
          <w:lang w:val="en-CA"/>
        </w:rPr>
        <w:t>,</w:t>
      </w:r>
      <w:r w:rsidR="00A468C7" w:rsidRPr="00A92DE3">
        <w:rPr>
          <w:spacing w:val="-2"/>
          <w:kern w:val="2"/>
          <w:lang w:val="en-CA"/>
        </w:rPr>
        <w:t xml:space="preserve"> like governments </w:t>
      </w:r>
      <w:r w:rsidRPr="00A92DE3">
        <w:rPr>
          <w:spacing w:val="-2"/>
          <w:kern w:val="2"/>
          <w:lang w:val="en-CA"/>
        </w:rPr>
        <w:t>could</w:t>
      </w:r>
      <w:r w:rsidR="00A468C7" w:rsidRPr="00A92DE3">
        <w:rPr>
          <w:spacing w:val="-2"/>
          <w:kern w:val="2"/>
          <w:lang w:val="en-CA"/>
        </w:rPr>
        <w:t xml:space="preserve">. But </w:t>
      </w:r>
      <w:r w:rsidRPr="00A92DE3">
        <w:rPr>
          <w:spacing w:val="-2"/>
          <w:kern w:val="2"/>
          <w:lang w:val="en-CA"/>
        </w:rPr>
        <w:t xml:space="preserve">it </w:t>
      </w:r>
      <w:r w:rsidR="00A468C7" w:rsidRPr="00A92DE3">
        <w:rPr>
          <w:spacing w:val="-2"/>
          <w:kern w:val="2"/>
          <w:lang w:val="en-CA"/>
        </w:rPr>
        <w:t>c</w:t>
      </w:r>
      <w:r w:rsidR="00E867DA" w:rsidRPr="00A92DE3">
        <w:rPr>
          <w:spacing w:val="-2"/>
          <w:kern w:val="2"/>
          <w:lang w:val="en-CA"/>
        </w:rPr>
        <w:t>ould help rebuild the trust of customers and promote safe travel</w:t>
      </w:r>
      <w:r w:rsidR="00F96474" w:rsidRPr="00A92DE3">
        <w:rPr>
          <w:spacing w:val="-2"/>
          <w:kern w:val="2"/>
          <w:lang w:val="en-CA"/>
        </w:rPr>
        <w:t xml:space="preserve"> arrangements</w:t>
      </w:r>
      <w:r w:rsidRPr="00A92DE3">
        <w:rPr>
          <w:spacing w:val="-2"/>
          <w:kern w:val="2"/>
          <w:lang w:val="en-CA"/>
        </w:rPr>
        <w:t>.</w:t>
      </w:r>
      <w:r w:rsidR="00E867DA" w:rsidRPr="00A92DE3">
        <w:rPr>
          <w:spacing w:val="-2"/>
          <w:kern w:val="2"/>
          <w:lang w:val="en-CA"/>
        </w:rPr>
        <w:t xml:space="preserve"> </w:t>
      </w:r>
      <w:r w:rsidR="00875409" w:rsidRPr="00A92DE3">
        <w:rPr>
          <w:spacing w:val="-2"/>
          <w:kern w:val="2"/>
          <w:lang w:val="en-CA"/>
        </w:rPr>
        <w:t>Beyond that</w:t>
      </w:r>
      <w:r w:rsidRPr="00A92DE3">
        <w:rPr>
          <w:spacing w:val="-2"/>
          <w:kern w:val="2"/>
          <w:lang w:val="en-CA"/>
        </w:rPr>
        <w:t xml:space="preserve"> level of assistance</w:t>
      </w:r>
      <w:r w:rsidR="00875409" w:rsidRPr="00A92DE3">
        <w:rPr>
          <w:spacing w:val="-2"/>
          <w:kern w:val="2"/>
          <w:lang w:val="en-CA"/>
        </w:rPr>
        <w:t>, w</w:t>
      </w:r>
      <w:r w:rsidR="00F96474" w:rsidRPr="00A92DE3">
        <w:rPr>
          <w:spacing w:val="-2"/>
          <w:kern w:val="2"/>
          <w:lang w:val="en-CA"/>
        </w:rPr>
        <w:t>hat would Star</w:t>
      </w:r>
      <w:r w:rsidRPr="00A92DE3">
        <w:rPr>
          <w:spacing w:val="-2"/>
          <w:kern w:val="2"/>
          <w:lang w:val="en-CA"/>
        </w:rPr>
        <w:t xml:space="preserve"> Alliance</w:t>
      </w:r>
      <w:r w:rsidR="00F96474" w:rsidRPr="00A92DE3">
        <w:rPr>
          <w:spacing w:val="-2"/>
          <w:kern w:val="2"/>
          <w:lang w:val="en-CA"/>
        </w:rPr>
        <w:t xml:space="preserve">’s role be </w:t>
      </w:r>
      <w:r w:rsidR="00875409" w:rsidRPr="00A92DE3">
        <w:rPr>
          <w:spacing w:val="-2"/>
          <w:kern w:val="2"/>
          <w:lang w:val="en-CA"/>
        </w:rPr>
        <w:t>a</w:t>
      </w:r>
      <w:r w:rsidR="007F3FE7" w:rsidRPr="00A92DE3">
        <w:rPr>
          <w:spacing w:val="-2"/>
          <w:kern w:val="2"/>
          <w:lang w:val="en-CA"/>
        </w:rPr>
        <w:t>t</w:t>
      </w:r>
      <w:r w:rsidR="00875409" w:rsidRPr="00A92DE3">
        <w:rPr>
          <w:spacing w:val="-2"/>
          <w:kern w:val="2"/>
          <w:lang w:val="en-CA"/>
        </w:rPr>
        <w:t xml:space="preserve"> </w:t>
      </w:r>
      <w:r w:rsidRPr="00A92DE3">
        <w:rPr>
          <w:spacing w:val="-2"/>
          <w:kern w:val="2"/>
          <w:lang w:val="en-CA"/>
        </w:rPr>
        <w:t>the end of the pandemic</w:t>
      </w:r>
      <w:r w:rsidR="00F96474" w:rsidRPr="00A92DE3">
        <w:rPr>
          <w:spacing w:val="-2"/>
          <w:kern w:val="2"/>
          <w:lang w:val="en-CA"/>
        </w:rPr>
        <w:t>?</w:t>
      </w:r>
    </w:p>
    <w:p w14:paraId="6B63398F" w14:textId="4F562067" w:rsidR="00FA578A" w:rsidRDefault="00FA578A">
      <w:pPr>
        <w:spacing w:after="200" w:line="276" w:lineRule="auto"/>
        <w:rPr>
          <w:lang w:val="en-CA"/>
        </w:rPr>
      </w:pPr>
    </w:p>
    <w:p w14:paraId="73CEFBAB" w14:textId="74EFFB45" w:rsidR="00FA578A" w:rsidRDefault="00FA578A">
      <w:pPr>
        <w:spacing w:after="200" w:line="276" w:lineRule="auto"/>
        <w:rPr>
          <w:lang w:val="en-CA"/>
        </w:rPr>
      </w:pPr>
      <w:r w:rsidRPr="00FA578A">
        <w:rPr>
          <w:noProof/>
          <w:lang w:val="en-CA"/>
        </w:rPr>
        <mc:AlternateContent>
          <mc:Choice Requires="wps">
            <w:drawing>
              <wp:inline distT="0" distB="0" distL="0" distR="0" wp14:anchorId="26E0FE23" wp14:editId="3ED7DFDD">
                <wp:extent cx="5985164" cy="243205"/>
                <wp:effectExtent l="0" t="0" r="15875"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164" cy="243205"/>
                        </a:xfrm>
                        <a:prstGeom prst="rect">
                          <a:avLst/>
                        </a:prstGeom>
                        <a:solidFill>
                          <a:srgbClr val="FFFFFF"/>
                        </a:solidFill>
                        <a:ln w="9525">
                          <a:solidFill>
                            <a:srgbClr val="000000"/>
                          </a:solidFill>
                          <a:miter lim="800000"/>
                          <a:headEnd/>
                          <a:tailEnd/>
                        </a:ln>
                      </wps:spPr>
                      <wps:txbx>
                        <w:txbxContent>
                          <w:p w14:paraId="717FCA38" w14:textId="507482EE" w:rsidR="006F5464" w:rsidRDefault="006F5464" w:rsidP="006F5464">
                            <w:pPr>
                              <w:pStyle w:val="Footnote"/>
                              <w:jc w:val="center"/>
                            </w:pPr>
                            <w:r>
                              <w:t>Benjamin Gomes-Casseres is the Peter A. Petri Professor of Business and Society at Brandeis University.</w:t>
                            </w:r>
                          </w:p>
                        </w:txbxContent>
                      </wps:txbx>
                      <wps:bodyPr rot="0" vert="horz" wrap="square" lIns="91440" tIns="45720" rIns="91440" bIns="45720" anchor="t" anchorCtr="0">
                        <a:noAutofit/>
                      </wps:bodyPr>
                    </wps:wsp>
                  </a:graphicData>
                </a:graphic>
              </wp:inline>
            </w:drawing>
          </mc:Choice>
          <mc:Fallback>
            <w:pict>
              <v:shapetype w14:anchorId="26E0FE23" id="_x0000_t202" coordsize="21600,21600" o:spt="202" path="m,l,21600r21600,l21600,xe">
                <v:stroke joinstyle="miter"/>
                <v:path gradientshapeok="t" o:connecttype="rect"/>
              </v:shapetype>
              <v:shape id="Text Box 2" o:spid="_x0000_s1026" type="#_x0000_t202" style="width:471.25pt;height: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WRTJAIAAEY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">
                <v:textbox>
                  <w:txbxContent>
                    <w:p w14:paraId="717FCA38" w14:textId="507482EE" w:rsidR="006F5464" w:rsidRDefault="006F5464" w:rsidP="006F5464">
                      <w:pPr>
                        <w:pStyle w:val="Footnote"/>
                        <w:jc w:val="center"/>
                      </w:pPr>
                      <w:r>
                        <w:t>Benjamin Gomes-Casseres is the Peter A. Petri Professor of Business and Society at Brandeis University.</w:t>
                      </w:r>
                    </w:p>
                  </w:txbxContent>
                </v:textbox>
                <w10:anchorlock/>
              </v:shape>
            </w:pict>
          </mc:Fallback>
        </mc:AlternateContent>
      </w:r>
    </w:p>
    <w:p w14:paraId="1C3AC7ED" w14:textId="770A2C12" w:rsidR="00E867DA" w:rsidRPr="005945EC" w:rsidRDefault="00E867DA">
      <w:pPr>
        <w:spacing w:after="200" w:line="276" w:lineRule="auto"/>
        <w:rPr>
          <w:sz w:val="22"/>
          <w:szCs w:val="22"/>
          <w:lang w:val="en-CA"/>
        </w:rPr>
      </w:pPr>
      <w:r w:rsidRPr="005945EC">
        <w:rPr>
          <w:lang w:val="en-CA"/>
        </w:rPr>
        <w:br w:type="page"/>
      </w:r>
    </w:p>
    <w:p w14:paraId="537C1CDC" w14:textId="77777777" w:rsidR="00294FDD" w:rsidRPr="005945EC" w:rsidRDefault="00294FDD" w:rsidP="00DA335A">
      <w:pPr>
        <w:jc w:val="both"/>
        <w:rPr>
          <w:b/>
          <w:bCs/>
          <w:sz w:val="22"/>
          <w:szCs w:val="22"/>
          <w:lang w:val="en-CA"/>
        </w:rPr>
        <w:sectPr w:rsidR="00294FDD" w:rsidRPr="005945EC" w:rsidSect="00751E0B">
          <w:headerReference w:type="default" r:id="rId9"/>
          <w:endnotePr>
            <w:numFmt w:val="decimal"/>
          </w:endnotePr>
          <w:pgSz w:w="12240" w:h="15840" w:code="1"/>
          <w:pgMar w:top="1080" w:right="1440" w:bottom="1440" w:left="1440" w:header="1080" w:footer="720" w:gutter="0"/>
          <w:cols w:space="720"/>
          <w:titlePg/>
          <w:docGrid w:linePitch="360"/>
        </w:sectPr>
      </w:pPr>
    </w:p>
    <w:p w14:paraId="3D78E842" w14:textId="580BB64B" w:rsidR="00DA335A" w:rsidRPr="005945EC" w:rsidRDefault="00DA335A" w:rsidP="00294FDD">
      <w:pPr>
        <w:pStyle w:val="ExhibitHeading"/>
        <w:rPr>
          <w:lang w:val="en-CA"/>
        </w:rPr>
      </w:pPr>
      <w:r w:rsidRPr="005945EC">
        <w:rPr>
          <w:lang w:val="en-CA"/>
        </w:rPr>
        <w:lastRenderedPageBreak/>
        <w:t>Exhibit 1</w:t>
      </w:r>
      <w:r w:rsidR="00294FDD" w:rsidRPr="005945EC">
        <w:rPr>
          <w:lang w:val="en-CA"/>
        </w:rPr>
        <w:t xml:space="preserve">: </w:t>
      </w:r>
      <w:r w:rsidRPr="005945EC">
        <w:rPr>
          <w:lang w:val="en-CA"/>
        </w:rPr>
        <w:t>Operations of Star Alliance</w:t>
      </w:r>
      <w:r w:rsidR="00B157E8" w:rsidRPr="005945EC">
        <w:rPr>
          <w:lang w:val="en-CA"/>
        </w:rPr>
        <w:t xml:space="preserve"> Member Airlines</w:t>
      </w:r>
      <w:r w:rsidRPr="005945EC">
        <w:rPr>
          <w:lang w:val="en-CA"/>
        </w:rPr>
        <w:t>, 2018</w:t>
      </w:r>
    </w:p>
    <w:p w14:paraId="572199F8" w14:textId="77777777" w:rsidR="003E5A8D" w:rsidRPr="005945EC" w:rsidRDefault="003E5A8D" w:rsidP="00294FDD">
      <w:pPr>
        <w:pStyle w:val="ExhibitHeading"/>
        <w:rPr>
          <w:lang w:val="en-CA"/>
        </w:rPr>
      </w:pPr>
    </w:p>
    <w:tbl>
      <w:tblPr>
        <w:tblW w:w="12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4A0" w:firstRow="1" w:lastRow="0" w:firstColumn="1" w:lastColumn="0" w:noHBand="0" w:noVBand="1"/>
        <w:tblCaption w:val="Exhibit 1"/>
        <w:tblDescription w:val="Table with a list of airlines and their entry into the alliance with information on their respective number of destinations, number of passengers, revenue, and income."/>
      </w:tblPr>
      <w:tblGrid>
        <w:gridCol w:w="2965"/>
        <w:gridCol w:w="900"/>
        <w:gridCol w:w="1260"/>
        <w:gridCol w:w="1260"/>
        <w:gridCol w:w="900"/>
        <w:gridCol w:w="900"/>
        <w:gridCol w:w="1170"/>
        <w:gridCol w:w="1260"/>
        <w:gridCol w:w="1260"/>
        <w:gridCol w:w="1061"/>
      </w:tblGrid>
      <w:tr w:rsidR="00913141" w:rsidRPr="005945EC" w14:paraId="2DBAAFE4" w14:textId="77777777" w:rsidTr="00FA578A">
        <w:trPr>
          <w:trHeight w:val="376"/>
          <w:tblHeader/>
          <w:jc w:val="center"/>
        </w:trPr>
        <w:tc>
          <w:tcPr>
            <w:tcW w:w="2965" w:type="dxa"/>
            <w:shd w:val="clear" w:color="auto" w:fill="auto"/>
            <w:noWrap/>
            <w:vAlign w:val="bottom"/>
            <w:hideMark/>
          </w:tcPr>
          <w:p w14:paraId="62730AC2" w14:textId="77777777" w:rsidR="00DA335A" w:rsidRPr="005945EC" w:rsidRDefault="00DA335A" w:rsidP="003E5A8D">
            <w:pPr>
              <w:jc w:val="center"/>
              <w:rPr>
                <w:rFonts w:ascii="Arial" w:hAnsi="Arial" w:cs="Arial"/>
                <w:b/>
                <w:bCs/>
                <w:szCs w:val="18"/>
                <w:lang w:val="en-CA" w:eastAsia="zh-CN"/>
              </w:rPr>
            </w:pPr>
            <w:r w:rsidRPr="005945EC">
              <w:rPr>
                <w:rFonts w:ascii="Arial" w:hAnsi="Arial" w:cs="Arial"/>
                <w:b/>
                <w:bCs/>
                <w:szCs w:val="18"/>
                <w:lang w:val="en-CA" w:eastAsia="zh-CN"/>
              </w:rPr>
              <w:t xml:space="preserve">Airline </w:t>
            </w:r>
          </w:p>
        </w:tc>
        <w:tc>
          <w:tcPr>
            <w:tcW w:w="900" w:type="dxa"/>
            <w:shd w:val="clear" w:color="auto" w:fill="auto"/>
            <w:vAlign w:val="bottom"/>
            <w:hideMark/>
          </w:tcPr>
          <w:p w14:paraId="7270AC0F" w14:textId="77777777" w:rsidR="00DA335A" w:rsidRPr="005945EC" w:rsidRDefault="00DA335A" w:rsidP="003E5A8D">
            <w:pPr>
              <w:jc w:val="center"/>
              <w:rPr>
                <w:rFonts w:ascii="Arial" w:hAnsi="Arial" w:cs="Arial"/>
                <w:b/>
                <w:bCs/>
                <w:szCs w:val="18"/>
                <w:lang w:val="en-CA" w:eastAsia="zh-CN"/>
              </w:rPr>
            </w:pPr>
            <w:r w:rsidRPr="005945EC">
              <w:rPr>
                <w:rFonts w:ascii="Arial" w:hAnsi="Arial" w:cs="Arial"/>
                <w:b/>
                <w:bCs/>
                <w:szCs w:val="18"/>
                <w:lang w:val="en-CA" w:eastAsia="zh-CN"/>
              </w:rPr>
              <w:t xml:space="preserve">Year of Alliance Entry </w:t>
            </w:r>
          </w:p>
        </w:tc>
        <w:tc>
          <w:tcPr>
            <w:tcW w:w="1260" w:type="dxa"/>
            <w:shd w:val="clear" w:color="auto" w:fill="auto"/>
            <w:vAlign w:val="bottom"/>
            <w:hideMark/>
          </w:tcPr>
          <w:p w14:paraId="6785B7C1" w14:textId="77777777" w:rsidR="00DA335A" w:rsidRPr="005945EC" w:rsidRDefault="00DA335A" w:rsidP="003E5A8D">
            <w:pPr>
              <w:jc w:val="center"/>
              <w:rPr>
                <w:rFonts w:ascii="Arial" w:hAnsi="Arial" w:cs="Arial"/>
                <w:b/>
                <w:bCs/>
                <w:szCs w:val="18"/>
                <w:lang w:val="en-CA" w:eastAsia="zh-CN"/>
              </w:rPr>
            </w:pPr>
            <w:r w:rsidRPr="005945EC">
              <w:rPr>
                <w:rFonts w:ascii="Arial" w:hAnsi="Arial" w:cs="Arial"/>
                <w:b/>
                <w:bCs/>
                <w:szCs w:val="18"/>
                <w:lang w:val="en-CA" w:eastAsia="zh-CN"/>
              </w:rPr>
              <w:t>Number of Destinations</w:t>
            </w:r>
          </w:p>
        </w:tc>
        <w:tc>
          <w:tcPr>
            <w:tcW w:w="1260" w:type="dxa"/>
            <w:shd w:val="clear" w:color="auto" w:fill="auto"/>
            <w:vAlign w:val="bottom"/>
            <w:hideMark/>
          </w:tcPr>
          <w:p w14:paraId="0FE74E25" w14:textId="71EA397B" w:rsidR="00DA335A" w:rsidRPr="005945EC" w:rsidRDefault="00DA335A" w:rsidP="003E5A8D">
            <w:pPr>
              <w:jc w:val="center"/>
              <w:rPr>
                <w:rFonts w:ascii="Arial" w:hAnsi="Arial" w:cs="Arial"/>
                <w:b/>
                <w:bCs/>
                <w:szCs w:val="18"/>
                <w:lang w:val="en-CA" w:eastAsia="zh-CN"/>
              </w:rPr>
            </w:pPr>
            <w:r w:rsidRPr="005945EC">
              <w:rPr>
                <w:rFonts w:ascii="Arial" w:hAnsi="Arial" w:cs="Arial"/>
                <w:b/>
                <w:bCs/>
                <w:szCs w:val="18"/>
                <w:lang w:val="en-CA" w:eastAsia="zh-CN"/>
              </w:rPr>
              <w:t>Number of Passengers (</w:t>
            </w:r>
            <w:r w:rsidR="004B5F3E" w:rsidRPr="005945EC">
              <w:rPr>
                <w:rFonts w:ascii="Arial" w:hAnsi="Arial" w:cs="Arial"/>
                <w:b/>
                <w:bCs/>
                <w:szCs w:val="18"/>
                <w:lang w:val="en-CA" w:eastAsia="zh-CN"/>
              </w:rPr>
              <w:t>in 000</w:t>
            </w:r>
            <w:r w:rsidRPr="005945EC">
              <w:rPr>
                <w:rFonts w:ascii="Arial" w:hAnsi="Arial" w:cs="Arial"/>
                <w:b/>
                <w:bCs/>
                <w:szCs w:val="18"/>
                <w:lang w:val="en-CA" w:eastAsia="zh-CN"/>
              </w:rPr>
              <w:t>)</w:t>
            </w:r>
          </w:p>
        </w:tc>
        <w:tc>
          <w:tcPr>
            <w:tcW w:w="900" w:type="dxa"/>
            <w:shd w:val="clear" w:color="auto" w:fill="auto"/>
            <w:noWrap/>
            <w:vAlign w:val="bottom"/>
            <w:hideMark/>
          </w:tcPr>
          <w:p w14:paraId="37AD8B8D" w14:textId="6FAAA832" w:rsidR="00DA335A" w:rsidRPr="005945EC" w:rsidRDefault="00DA335A" w:rsidP="003E5A8D">
            <w:pPr>
              <w:jc w:val="center"/>
              <w:rPr>
                <w:rFonts w:ascii="Arial" w:hAnsi="Arial" w:cs="Arial"/>
                <w:b/>
                <w:bCs/>
                <w:szCs w:val="18"/>
                <w:lang w:val="en-CA" w:eastAsia="zh-CN"/>
              </w:rPr>
            </w:pPr>
            <w:r w:rsidRPr="005945EC">
              <w:rPr>
                <w:rFonts w:ascii="Arial" w:hAnsi="Arial" w:cs="Arial"/>
                <w:b/>
                <w:bCs/>
                <w:szCs w:val="18"/>
                <w:lang w:val="en-CA" w:eastAsia="zh-CN"/>
              </w:rPr>
              <w:t xml:space="preserve">RPK </w:t>
            </w:r>
            <w:r w:rsidR="004B5F3E" w:rsidRPr="005945EC">
              <w:rPr>
                <w:rFonts w:ascii="Arial" w:hAnsi="Arial" w:cs="Arial"/>
                <w:b/>
                <w:bCs/>
                <w:szCs w:val="18"/>
                <w:lang w:val="en-CA" w:eastAsia="zh-CN"/>
              </w:rPr>
              <w:br/>
            </w:r>
            <w:r w:rsidRPr="005945EC">
              <w:rPr>
                <w:rFonts w:ascii="Arial" w:hAnsi="Arial" w:cs="Arial"/>
                <w:b/>
                <w:bCs/>
                <w:szCs w:val="18"/>
                <w:lang w:val="en-CA" w:eastAsia="zh-CN"/>
              </w:rPr>
              <w:t>(</w:t>
            </w:r>
            <w:r w:rsidR="004B5F3E" w:rsidRPr="005945EC">
              <w:rPr>
                <w:rFonts w:ascii="Arial" w:hAnsi="Arial" w:cs="Arial"/>
                <w:b/>
                <w:bCs/>
                <w:szCs w:val="18"/>
                <w:lang w:val="en-CA" w:eastAsia="zh-CN"/>
              </w:rPr>
              <w:t>in 000</w:t>
            </w:r>
            <w:r w:rsidRPr="005945EC">
              <w:rPr>
                <w:rFonts w:ascii="Arial" w:hAnsi="Arial" w:cs="Arial"/>
                <w:b/>
                <w:bCs/>
                <w:szCs w:val="18"/>
                <w:lang w:val="en-CA" w:eastAsia="zh-CN"/>
              </w:rPr>
              <w:t>)</w:t>
            </w:r>
          </w:p>
        </w:tc>
        <w:tc>
          <w:tcPr>
            <w:tcW w:w="900" w:type="dxa"/>
            <w:shd w:val="clear" w:color="auto" w:fill="auto"/>
            <w:noWrap/>
            <w:vAlign w:val="bottom"/>
            <w:hideMark/>
          </w:tcPr>
          <w:p w14:paraId="17CF7D36" w14:textId="31B0313A" w:rsidR="00DA335A" w:rsidRPr="005945EC" w:rsidRDefault="00DA335A" w:rsidP="003E5A8D">
            <w:pPr>
              <w:jc w:val="center"/>
              <w:rPr>
                <w:rFonts w:ascii="Arial" w:hAnsi="Arial" w:cs="Arial"/>
                <w:b/>
                <w:bCs/>
                <w:szCs w:val="18"/>
                <w:lang w:val="en-CA" w:eastAsia="zh-CN"/>
              </w:rPr>
            </w:pPr>
            <w:r w:rsidRPr="005945EC">
              <w:rPr>
                <w:rFonts w:ascii="Arial" w:hAnsi="Arial" w:cs="Arial"/>
                <w:b/>
                <w:bCs/>
                <w:szCs w:val="18"/>
                <w:lang w:val="en-CA" w:eastAsia="zh-CN"/>
              </w:rPr>
              <w:t xml:space="preserve">ASK </w:t>
            </w:r>
            <w:r w:rsidR="004B5F3E" w:rsidRPr="005945EC">
              <w:rPr>
                <w:rFonts w:ascii="Arial" w:hAnsi="Arial" w:cs="Arial"/>
                <w:b/>
                <w:bCs/>
                <w:szCs w:val="18"/>
                <w:lang w:val="en-CA" w:eastAsia="zh-CN"/>
              </w:rPr>
              <w:br/>
            </w:r>
            <w:r w:rsidRPr="005945EC">
              <w:rPr>
                <w:rFonts w:ascii="Arial" w:hAnsi="Arial" w:cs="Arial"/>
                <w:b/>
                <w:bCs/>
                <w:szCs w:val="18"/>
                <w:lang w:val="en-CA" w:eastAsia="zh-CN"/>
              </w:rPr>
              <w:t>(</w:t>
            </w:r>
            <w:r w:rsidR="004B5F3E" w:rsidRPr="005945EC">
              <w:rPr>
                <w:rFonts w:ascii="Arial" w:hAnsi="Arial" w:cs="Arial"/>
                <w:b/>
                <w:bCs/>
                <w:szCs w:val="18"/>
                <w:lang w:val="en-CA" w:eastAsia="zh-CN"/>
              </w:rPr>
              <w:t>in 000</w:t>
            </w:r>
            <w:r w:rsidRPr="005945EC">
              <w:rPr>
                <w:rFonts w:ascii="Arial" w:hAnsi="Arial" w:cs="Arial"/>
                <w:b/>
                <w:bCs/>
                <w:szCs w:val="18"/>
                <w:lang w:val="en-CA" w:eastAsia="zh-CN"/>
              </w:rPr>
              <w:t>)</w:t>
            </w:r>
          </w:p>
        </w:tc>
        <w:tc>
          <w:tcPr>
            <w:tcW w:w="1170" w:type="dxa"/>
            <w:shd w:val="clear" w:color="auto" w:fill="auto"/>
            <w:noWrap/>
            <w:vAlign w:val="bottom"/>
            <w:hideMark/>
          </w:tcPr>
          <w:p w14:paraId="0E03440E" w14:textId="5649BB38" w:rsidR="00DA335A" w:rsidRPr="005945EC" w:rsidRDefault="00DA335A" w:rsidP="003E5A8D">
            <w:pPr>
              <w:jc w:val="center"/>
              <w:rPr>
                <w:rFonts w:ascii="Arial" w:hAnsi="Arial" w:cs="Arial"/>
                <w:b/>
                <w:bCs/>
                <w:szCs w:val="18"/>
                <w:lang w:val="en-CA" w:eastAsia="zh-CN"/>
              </w:rPr>
            </w:pPr>
            <w:r w:rsidRPr="005945EC">
              <w:rPr>
                <w:rFonts w:ascii="Arial" w:hAnsi="Arial" w:cs="Arial"/>
                <w:b/>
                <w:bCs/>
                <w:szCs w:val="18"/>
                <w:lang w:val="en-CA" w:eastAsia="zh-CN"/>
              </w:rPr>
              <w:t xml:space="preserve">Total Revenue </w:t>
            </w:r>
            <w:r w:rsidR="004B5F3E" w:rsidRPr="005945EC">
              <w:rPr>
                <w:rFonts w:ascii="Arial" w:hAnsi="Arial" w:cs="Arial"/>
                <w:b/>
                <w:bCs/>
                <w:szCs w:val="18"/>
                <w:lang w:val="en-CA" w:eastAsia="zh-CN"/>
              </w:rPr>
              <w:br/>
            </w:r>
            <w:r w:rsidRPr="005945EC">
              <w:rPr>
                <w:rFonts w:ascii="Arial" w:hAnsi="Arial" w:cs="Arial"/>
                <w:b/>
                <w:bCs/>
                <w:szCs w:val="18"/>
                <w:lang w:val="en-CA" w:eastAsia="zh-CN"/>
              </w:rPr>
              <w:t>(</w:t>
            </w:r>
            <w:r w:rsidR="004B5F3E" w:rsidRPr="005945EC">
              <w:rPr>
                <w:rFonts w:ascii="Arial" w:hAnsi="Arial" w:cs="Arial"/>
                <w:b/>
                <w:bCs/>
                <w:szCs w:val="18"/>
                <w:lang w:val="en-CA" w:eastAsia="zh-CN"/>
              </w:rPr>
              <w:t>in US$000</w:t>
            </w:r>
            <w:r w:rsidRPr="005945EC">
              <w:rPr>
                <w:rFonts w:ascii="Arial" w:hAnsi="Arial" w:cs="Arial"/>
                <w:b/>
                <w:bCs/>
                <w:szCs w:val="18"/>
                <w:lang w:val="en-CA" w:eastAsia="zh-CN"/>
              </w:rPr>
              <w:t>)</w:t>
            </w:r>
          </w:p>
        </w:tc>
        <w:tc>
          <w:tcPr>
            <w:tcW w:w="1260" w:type="dxa"/>
            <w:shd w:val="clear" w:color="auto" w:fill="auto"/>
            <w:noWrap/>
            <w:vAlign w:val="bottom"/>
            <w:hideMark/>
          </w:tcPr>
          <w:p w14:paraId="2E5692D8" w14:textId="3BBA2E1B" w:rsidR="00DA335A" w:rsidRPr="005945EC" w:rsidRDefault="00DA335A" w:rsidP="003E5A8D">
            <w:pPr>
              <w:jc w:val="center"/>
              <w:rPr>
                <w:rFonts w:ascii="Arial" w:hAnsi="Arial" w:cs="Arial"/>
                <w:b/>
                <w:bCs/>
                <w:szCs w:val="18"/>
                <w:lang w:val="en-CA" w:eastAsia="zh-CN"/>
              </w:rPr>
            </w:pPr>
            <w:r w:rsidRPr="005945EC">
              <w:rPr>
                <w:rFonts w:ascii="Arial" w:hAnsi="Arial" w:cs="Arial"/>
                <w:b/>
                <w:bCs/>
                <w:szCs w:val="18"/>
                <w:lang w:val="en-CA" w:eastAsia="zh-CN"/>
              </w:rPr>
              <w:t xml:space="preserve">Operating Income </w:t>
            </w:r>
            <w:r w:rsidR="003E5A8D" w:rsidRPr="005945EC">
              <w:rPr>
                <w:rFonts w:ascii="Arial" w:hAnsi="Arial" w:cs="Arial"/>
                <w:b/>
                <w:bCs/>
                <w:szCs w:val="18"/>
                <w:lang w:val="en-CA" w:eastAsia="zh-CN"/>
              </w:rPr>
              <w:br/>
            </w:r>
            <w:r w:rsidRPr="005945EC">
              <w:rPr>
                <w:rFonts w:ascii="Arial" w:hAnsi="Arial" w:cs="Arial"/>
                <w:b/>
                <w:bCs/>
                <w:szCs w:val="18"/>
                <w:lang w:val="en-CA" w:eastAsia="zh-CN"/>
              </w:rPr>
              <w:t>(</w:t>
            </w:r>
            <w:r w:rsidR="004B5F3E" w:rsidRPr="005945EC">
              <w:rPr>
                <w:rFonts w:ascii="Arial" w:hAnsi="Arial" w:cs="Arial"/>
                <w:b/>
                <w:bCs/>
                <w:szCs w:val="18"/>
                <w:lang w:val="en-CA" w:eastAsia="zh-CN"/>
              </w:rPr>
              <w:t>in US$000</w:t>
            </w:r>
            <w:r w:rsidRPr="005945EC">
              <w:rPr>
                <w:rFonts w:ascii="Arial" w:hAnsi="Arial" w:cs="Arial"/>
                <w:b/>
                <w:bCs/>
                <w:szCs w:val="18"/>
                <w:lang w:val="en-CA" w:eastAsia="zh-CN"/>
              </w:rPr>
              <w:t>)</w:t>
            </w:r>
          </w:p>
        </w:tc>
        <w:tc>
          <w:tcPr>
            <w:tcW w:w="1260" w:type="dxa"/>
            <w:shd w:val="clear" w:color="auto" w:fill="auto"/>
            <w:noWrap/>
            <w:vAlign w:val="bottom"/>
            <w:hideMark/>
          </w:tcPr>
          <w:p w14:paraId="4A4C466E" w14:textId="531A9AB3" w:rsidR="00DA335A" w:rsidRPr="005945EC" w:rsidRDefault="00DA335A" w:rsidP="003E5A8D">
            <w:pPr>
              <w:jc w:val="center"/>
              <w:rPr>
                <w:rFonts w:ascii="Arial" w:hAnsi="Arial" w:cs="Arial"/>
                <w:b/>
                <w:bCs/>
                <w:szCs w:val="18"/>
                <w:lang w:val="en-CA" w:eastAsia="zh-CN"/>
              </w:rPr>
            </w:pPr>
            <w:r w:rsidRPr="005945EC">
              <w:rPr>
                <w:rFonts w:ascii="Arial" w:hAnsi="Arial" w:cs="Arial"/>
                <w:b/>
                <w:bCs/>
                <w:szCs w:val="18"/>
                <w:lang w:val="en-CA" w:eastAsia="zh-CN"/>
              </w:rPr>
              <w:t>Net Income (</w:t>
            </w:r>
            <w:r w:rsidR="004B5F3E" w:rsidRPr="005945EC">
              <w:rPr>
                <w:rFonts w:ascii="Arial" w:hAnsi="Arial" w:cs="Arial"/>
                <w:b/>
                <w:bCs/>
                <w:szCs w:val="18"/>
                <w:lang w:val="en-CA" w:eastAsia="zh-CN"/>
              </w:rPr>
              <w:t>in US$000</w:t>
            </w:r>
            <w:r w:rsidRPr="005945EC">
              <w:rPr>
                <w:rFonts w:ascii="Arial" w:hAnsi="Arial" w:cs="Arial"/>
                <w:b/>
                <w:bCs/>
                <w:szCs w:val="18"/>
                <w:lang w:val="en-CA" w:eastAsia="zh-CN"/>
              </w:rPr>
              <w:t>)</w:t>
            </w:r>
          </w:p>
        </w:tc>
        <w:tc>
          <w:tcPr>
            <w:tcW w:w="1061" w:type="dxa"/>
            <w:shd w:val="clear" w:color="auto" w:fill="auto"/>
            <w:noWrap/>
            <w:vAlign w:val="bottom"/>
            <w:hideMark/>
          </w:tcPr>
          <w:p w14:paraId="6B36BB41" w14:textId="1CD6D918" w:rsidR="00DA335A" w:rsidRPr="005945EC" w:rsidRDefault="004B5F3E" w:rsidP="003E5A8D">
            <w:pPr>
              <w:jc w:val="center"/>
              <w:rPr>
                <w:rFonts w:ascii="Arial" w:hAnsi="Arial" w:cs="Arial"/>
                <w:b/>
                <w:bCs/>
                <w:szCs w:val="18"/>
                <w:lang w:val="en-CA" w:eastAsia="zh-CN"/>
              </w:rPr>
            </w:pPr>
            <w:r w:rsidRPr="005945EC">
              <w:rPr>
                <w:rFonts w:ascii="Arial" w:hAnsi="Arial" w:cs="Arial"/>
                <w:b/>
                <w:bCs/>
                <w:szCs w:val="18"/>
                <w:lang w:val="en-CA" w:eastAsia="zh-CN"/>
              </w:rPr>
              <w:t>Operating Income/</w:t>
            </w:r>
            <w:r w:rsidR="003E5A8D" w:rsidRPr="005945EC">
              <w:rPr>
                <w:rFonts w:ascii="Arial" w:hAnsi="Arial" w:cs="Arial"/>
                <w:b/>
                <w:bCs/>
                <w:szCs w:val="18"/>
                <w:lang w:val="en-CA" w:eastAsia="zh-CN"/>
              </w:rPr>
              <w:br/>
            </w:r>
            <w:r w:rsidR="00DA335A" w:rsidRPr="005945EC">
              <w:rPr>
                <w:rFonts w:ascii="Arial" w:hAnsi="Arial" w:cs="Arial"/>
                <w:b/>
                <w:bCs/>
                <w:szCs w:val="18"/>
                <w:lang w:val="en-CA" w:eastAsia="zh-CN"/>
              </w:rPr>
              <w:t>Rev</w:t>
            </w:r>
            <w:r w:rsidRPr="005945EC">
              <w:rPr>
                <w:rFonts w:ascii="Arial" w:hAnsi="Arial" w:cs="Arial"/>
                <w:b/>
                <w:bCs/>
                <w:szCs w:val="18"/>
                <w:lang w:val="en-CA" w:eastAsia="zh-CN"/>
              </w:rPr>
              <w:t>enue</w:t>
            </w:r>
          </w:p>
        </w:tc>
      </w:tr>
      <w:tr w:rsidR="00913141" w:rsidRPr="005945EC" w14:paraId="4B045229" w14:textId="77777777" w:rsidTr="00FA578A">
        <w:trPr>
          <w:trHeight w:val="119"/>
          <w:tblHeader/>
          <w:jc w:val="center"/>
        </w:trPr>
        <w:tc>
          <w:tcPr>
            <w:tcW w:w="2965" w:type="dxa"/>
            <w:shd w:val="clear" w:color="auto" w:fill="auto"/>
            <w:noWrap/>
            <w:vAlign w:val="bottom"/>
            <w:hideMark/>
          </w:tcPr>
          <w:p w14:paraId="6DFA7A4B" w14:textId="503964ED" w:rsidR="00DA335A" w:rsidRPr="005945EC" w:rsidRDefault="00817357" w:rsidP="003E5A8D">
            <w:pPr>
              <w:rPr>
                <w:rFonts w:ascii="Arial" w:hAnsi="Arial" w:cs="Arial"/>
                <w:szCs w:val="18"/>
                <w:lang w:val="en-CA" w:eastAsia="zh-CN"/>
              </w:rPr>
            </w:pPr>
            <w:r w:rsidRPr="005945EC">
              <w:rPr>
                <w:rFonts w:ascii="Arial" w:hAnsi="Arial" w:cs="Arial"/>
                <w:szCs w:val="18"/>
                <w:lang w:val="en-CA" w:eastAsia="zh-CN"/>
              </w:rPr>
              <w:t xml:space="preserve">Deutsche </w:t>
            </w:r>
            <w:r w:rsidR="00DA335A" w:rsidRPr="005945EC">
              <w:rPr>
                <w:rFonts w:ascii="Arial" w:hAnsi="Arial" w:cs="Arial"/>
                <w:szCs w:val="18"/>
                <w:lang w:val="en-CA" w:eastAsia="zh-CN"/>
              </w:rPr>
              <w:t xml:space="preserve">Lufthansa </w:t>
            </w:r>
            <w:r w:rsidRPr="005945EC">
              <w:rPr>
                <w:rFonts w:ascii="Arial" w:hAnsi="Arial" w:cs="Arial"/>
                <w:szCs w:val="18"/>
                <w:lang w:val="en-CA" w:eastAsia="zh-CN"/>
              </w:rPr>
              <w:t>A</w:t>
            </w:r>
            <w:r w:rsidR="00DA335A" w:rsidRPr="005945EC">
              <w:rPr>
                <w:rFonts w:ascii="Arial" w:hAnsi="Arial" w:cs="Arial"/>
                <w:szCs w:val="18"/>
                <w:lang w:val="en-CA" w:eastAsia="zh-CN"/>
              </w:rPr>
              <w:t>G</w:t>
            </w:r>
          </w:p>
        </w:tc>
        <w:tc>
          <w:tcPr>
            <w:tcW w:w="900" w:type="dxa"/>
            <w:shd w:val="clear" w:color="auto" w:fill="auto"/>
            <w:noWrap/>
            <w:vAlign w:val="bottom"/>
            <w:hideMark/>
          </w:tcPr>
          <w:p w14:paraId="3D327F7D"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1997</w:t>
            </w:r>
          </w:p>
        </w:tc>
        <w:tc>
          <w:tcPr>
            <w:tcW w:w="1260" w:type="dxa"/>
            <w:shd w:val="clear" w:color="auto" w:fill="auto"/>
            <w:noWrap/>
            <w:vAlign w:val="bottom"/>
            <w:hideMark/>
          </w:tcPr>
          <w:p w14:paraId="5551BC25"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225</w:t>
            </w:r>
          </w:p>
        </w:tc>
        <w:tc>
          <w:tcPr>
            <w:tcW w:w="1260" w:type="dxa"/>
            <w:shd w:val="clear" w:color="auto" w:fill="auto"/>
            <w:noWrap/>
            <w:vAlign w:val="bottom"/>
            <w:hideMark/>
          </w:tcPr>
          <w:p w14:paraId="3BABBA33"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145</w:t>
            </w:r>
          </w:p>
        </w:tc>
        <w:tc>
          <w:tcPr>
            <w:tcW w:w="900" w:type="dxa"/>
            <w:shd w:val="clear" w:color="auto" w:fill="auto"/>
            <w:noWrap/>
            <w:vAlign w:val="bottom"/>
            <w:hideMark/>
          </w:tcPr>
          <w:p w14:paraId="4612F970"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284,561 </w:t>
            </w:r>
          </w:p>
        </w:tc>
        <w:tc>
          <w:tcPr>
            <w:tcW w:w="900" w:type="dxa"/>
            <w:shd w:val="clear" w:color="auto" w:fill="auto"/>
            <w:noWrap/>
            <w:vAlign w:val="bottom"/>
            <w:hideMark/>
          </w:tcPr>
          <w:p w14:paraId="60F81F64"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349,489 </w:t>
            </w:r>
          </w:p>
        </w:tc>
        <w:tc>
          <w:tcPr>
            <w:tcW w:w="1170" w:type="dxa"/>
            <w:shd w:val="clear" w:color="auto" w:fill="auto"/>
            <w:noWrap/>
            <w:vAlign w:val="bottom"/>
            <w:hideMark/>
          </w:tcPr>
          <w:p w14:paraId="29D93A23"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$42,182</w:t>
            </w:r>
          </w:p>
        </w:tc>
        <w:tc>
          <w:tcPr>
            <w:tcW w:w="1260" w:type="dxa"/>
            <w:shd w:val="clear" w:color="auto" w:fill="auto"/>
            <w:noWrap/>
            <w:vAlign w:val="bottom"/>
            <w:hideMark/>
          </w:tcPr>
          <w:p w14:paraId="0D981F65"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$3,337</w:t>
            </w:r>
          </w:p>
        </w:tc>
        <w:tc>
          <w:tcPr>
            <w:tcW w:w="1260" w:type="dxa"/>
            <w:shd w:val="clear" w:color="auto" w:fill="auto"/>
            <w:noWrap/>
            <w:vAlign w:val="bottom"/>
            <w:hideMark/>
          </w:tcPr>
          <w:p w14:paraId="1FF90E88"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$2,545</w:t>
            </w:r>
          </w:p>
        </w:tc>
        <w:tc>
          <w:tcPr>
            <w:tcW w:w="1061" w:type="dxa"/>
            <w:shd w:val="clear" w:color="auto" w:fill="auto"/>
            <w:noWrap/>
            <w:vAlign w:val="bottom"/>
            <w:hideMark/>
          </w:tcPr>
          <w:p w14:paraId="30AF2AA9"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8%</w:t>
            </w:r>
          </w:p>
        </w:tc>
      </w:tr>
      <w:tr w:rsidR="00913141" w:rsidRPr="005945EC" w14:paraId="7CB141B8" w14:textId="77777777" w:rsidTr="00FA578A">
        <w:trPr>
          <w:trHeight w:val="248"/>
          <w:tblHeader/>
          <w:jc w:val="center"/>
        </w:trPr>
        <w:tc>
          <w:tcPr>
            <w:tcW w:w="2965" w:type="dxa"/>
            <w:shd w:val="clear" w:color="auto" w:fill="auto"/>
            <w:noWrap/>
            <w:vAlign w:val="bottom"/>
            <w:hideMark/>
          </w:tcPr>
          <w:p w14:paraId="7FD0D4A5" w14:textId="292A8658"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 xml:space="preserve">United </w:t>
            </w:r>
            <w:r w:rsidR="00435649" w:rsidRPr="005945EC">
              <w:rPr>
                <w:rFonts w:ascii="Arial" w:hAnsi="Arial" w:cs="Arial"/>
                <w:szCs w:val="18"/>
                <w:lang w:val="en-CA" w:eastAsia="zh-CN"/>
              </w:rPr>
              <w:t>Airlines Inc.</w:t>
            </w:r>
          </w:p>
        </w:tc>
        <w:tc>
          <w:tcPr>
            <w:tcW w:w="900" w:type="dxa"/>
            <w:shd w:val="clear" w:color="auto" w:fill="auto"/>
            <w:noWrap/>
            <w:vAlign w:val="bottom"/>
            <w:hideMark/>
          </w:tcPr>
          <w:p w14:paraId="097AB169"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1997</w:t>
            </w:r>
          </w:p>
        </w:tc>
        <w:tc>
          <w:tcPr>
            <w:tcW w:w="1260" w:type="dxa"/>
            <w:shd w:val="clear" w:color="auto" w:fill="auto"/>
            <w:noWrap/>
            <w:vAlign w:val="bottom"/>
            <w:hideMark/>
          </w:tcPr>
          <w:p w14:paraId="42F4B92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190</w:t>
            </w:r>
          </w:p>
        </w:tc>
        <w:tc>
          <w:tcPr>
            <w:tcW w:w="1260" w:type="dxa"/>
            <w:shd w:val="clear" w:color="auto" w:fill="auto"/>
            <w:noWrap/>
            <w:vAlign w:val="bottom"/>
            <w:hideMark/>
          </w:tcPr>
          <w:p w14:paraId="4170B762"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162</w:t>
            </w:r>
          </w:p>
        </w:tc>
        <w:tc>
          <w:tcPr>
            <w:tcW w:w="900" w:type="dxa"/>
            <w:shd w:val="clear" w:color="auto" w:fill="auto"/>
            <w:noWrap/>
            <w:vAlign w:val="bottom"/>
            <w:hideMark/>
          </w:tcPr>
          <w:p w14:paraId="1C3801BF"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370,319 </w:t>
            </w:r>
          </w:p>
        </w:tc>
        <w:tc>
          <w:tcPr>
            <w:tcW w:w="900" w:type="dxa"/>
            <w:shd w:val="clear" w:color="auto" w:fill="auto"/>
            <w:noWrap/>
            <w:vAlign w:val="bottom"/>
            <w:hideMark/>
          </w:tcPr>
          <w:p w14:paraId="2BA7B961"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442,892 </w:t>
            </w:r>
          </w:p>
        </w:tc>
        <w:tc>
          <w:tcPr>
            <w:tcW w:w="1170" w:type="dxa"/>
            <w:shd w:val="clear" w:color="auto" w:fill="auto"/>
            <w:noWrap/>
            <w:vAlign w:val="bottom"/>
            <w:hideMark/>
          </w:tcPr>
          <w:p w14:paraId="5C7F9288"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41,303</w:t>
            </w:r>
          </w:p>
        </w:tc>
        <w:tc>
          <w:tcPr>
            <w:tcW w:w="1260" w:type="dxa"/>
            <w:shd w:val="clear" w:color="auto" w:fill="auto"/>
            <w:noWrap/>
            <w:vAlign w:val="bottom"/>
            <w:hideMark/>
          </w:tcPr>
          <w:p w14:paraId="25255282"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3,292</w:t>
            </w:r>
          </w:p>
        </w:tc>
        <w:tc>
          <w:tcPr>
            <w:tcW w:w="1260" w:type="dxa"/>
            <w:shd w:val="clear" w:color="auto" w:fill="auto"/>
            <w:noWrap/>
            <w:vAlign w:val="bottom"/>
            <w:hideMark/>
          </w:tcPr>
          <w:p w14:paraId="23DB1CA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2,129</w:t>
            </w:r>
          </w:p>
        </w:tc>
        <w:tc>
          <w:tcPr>
            <w:tcW w:w="1061" w:type="dxa"/>
            <w:shd w:val="clear" w:color="auto" w:fill="auto"/>
            <w:noWrap/>
            <w:vAlign w:val="bottom"/>
            <w:hideMark/>
          </w:tcPr>
          <w:p w14:paraId="27E7A4F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8%</w:t>
            </w:r>
          </w:p>
        </w:tc>
      </w:tr>
      <w:tr w:rsidR="00913141" w:rsidRPr="005945EC" w14:paraId="6911251A" w14:textId="77777777" w:rsidTr="00FA578A">
        <w:trPr>
          <w:trHeight w:val="248"/>
          <w:tblHeader/>
          <w:jc w:val="center"/>
        </w:trPr>
        <w:tc>
          <w:tcPr>
            <w:tcW w:w="2965" w:type="dxa"/>
            <w:shd w:val="clear" w:color="auto" w:fill="auto"/>
            <w:noWrap/>
            <w:vAlign w:val="bottom"/>
            <w:hideMark/>
          </w:tcPr>
          <w:p w14:paraId="37331872" w14:textId="38E407E1"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Air China</w:t>
            </w:r>
            <w:r w:rsidR="00435649" w:rsidRPr="005945EC">
              <w:rPr>
                <w:rFonts w:ascii="Arial" w:hAnsi="Arial" w:cs="Arial"/>
                <w:szCs w:val="18"/>
                <w:lang w:val="en-CA" w:eastAsia="zh-CN"/>
              </w:rPr>
              <w:t xml:space="preserve"> Limited</w:t>
            </w:r>
          </w:p>
        </w:tc>
        <w:tc>
          <w:tcPr>
            <w:tcW w:w="900" w:type="dxa"/>
            <w:shd w:val="clear" w:color="auto" w:fill="auto"/>
            <w:noWrap/>
            <w:vAlign w:val="bottom"/>
            <w:hideMark/>
          </w:tcPr>
          <w:p w14:paraId="3E3D96C5"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2007</w:t>
            </w:r>
          </w:p>
        </w:tc>
        <w:tc>
          <w:tcPr>
            <w:tcW w:w="1260" w:type="dxa"/>
            <w:shd w:val="clear" w:color="auto" w:fill="auto"/>
            <w:noWrap/>
            <w:vAlign w:val="bottom"/>
            <w:hideMark/>
          </w:tcPr>
          <w:p w14:paraId="5BCDD6B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201</w:t>
            </w:r>
          </w:p>
        </w:tc>
        <w:tc>
          <w:tcPr>
            <w:tcW w:w="1260" w:type="dxa"/>
            <w:shd w:val="clear" w:color="auto" w:fill="auto"/>
            <w:noWrap/>
            <w:vAlign w:val="bottom"/>
            <w:hideMark/>
          </w:tcPr>
          <w:p w14:paraId="02B3DBF8"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102</w:t>
            </w:r>
          </w:p>
        </w:tc>
        <w:tc>
          <w:tcPr>
            <w:tcW w:w="900" w:type="dxa"/>
            <w:shd w:val="clear" w:color="auto" w:fill="auto"/>
            <w:noWrap/>
            <w:vAlign w:val="bottom"/>
            <w:hideMark/>
          </w:tcPr>
          <w:p w14:paraId="490A5B43"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161,759 </w:t>
            </w:r>
          </w:p>
        </w:tc>
        <w:tc>
          <w:tcPr>
            <w:tcW w:w="900" w:type="dxa"/>
            <w:shd w:val="clear" w:color="auto" w:fill="auto"/>
            <w:noWrap/>
            <w:vAlign w:val="bottom"/>
            <w:hideMark/>
          </w:tcPr>
          <w:p w14:paraId="2D5BEC97"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201,903 </w:t>
            </w:r>
          </w:p>
        </w:tc>
        <w:tc>
          <w:tcPr>
            <w:tcW w:w="1170" w:type="dxa"/>
            <w:shd w:val="clear" w:color="auto" w:fill="auto"/>
            <w:noWrap/>
            <w:vAlign w:val="bottom"/>
            <w:hideMark/>
          </w:tcPr>
          <w:p w14:paraId="3A901FC4"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20,604</w:t>
            </w:r>
          </w:p>
        </w:tc>
        <w:tc>
          <w:tcPr>
            <w:tcW w:w="1260" w:type="dxa"/>
            <w:shd w:val="clear" w:color="auto" w:fill="auto"/>
            <w:noWrap/>
            <w:vAlign w:val="bottom"/>
            <w:hideMark/>
          </w:tcPr>
          <w:p w14:paraId="461F83E9"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2,161</w:t>
            </w:r>
          </w:p>
        </w:tc>
        <w:tc>
          <w:tcPr>
            <w:tcW w:w="1260" w:type="dxa"/>
            <w:shd w:val="clear" w:color="auto" w:fill="auto"/>
            <w:noWrap/>
            <w:vAlign w:val="bottom"/>
            <w:hideMark/>
          </w:tcPr>
          <w:p w14:paraId="42145617"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1,503</w:t>
            </w:r>
          </w:p>
        </w:tc>
        <w:tc>
          <w:tcPr>
            <w:tcW w:w="1061" w:type="dxa"/>
            <w:shd w:val="clear" w:color="auto" w:fill="auto"/>
            <w:noWrap/>
            <w:vAlign w:val="bottom"/>
            <w:hideMark/>
          </w:tcPr>
          <w:p w14:paraId="21377F08"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10%</w:t>
            </w:r>
          </w:p>
        </w:tc>
      </w:tr>
      <w:tr w:rsidR="00913141" w:rsidRPr="005945EC" w14:paraId="2C6D5BE8" w14:textId="77777777" w:rsidTr="00FA578A">
        <w:trPr>
          <w:trHeight w:val="248"/>
          <w:tblHeader/>
          <w:jc w:val="center"/>
        </w:trPr>
        <w:tc>
          <w:tcPr>
            <w:tcW w:w="2965" w:type="dxa"/>
            <w:shd w:val="clear" w:color="auto" w:fill="auto"/>
            <w:noWrap/>
            <w:vAlign w:val="bottom"/>
            <w:hideMark/>
          </w:tcPr>
          <w:p w14:paraId="51C9566C" w14:textId="2CF27E28"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All Nippon Airways</w:t>
            </w:r>
            <w:r w:rsidR="00435649" w:rsidRPr="005945EC">
              <w:rPr>
                <w:rFonts w:ascii="Arial" w:hAnsi="Arial" w:cs="Arial"/>
                <w:szCs w:val="18"/>
                <w:lang w:val="en-CA" w:eastAsia="zh-CN"/>
              </w:rPr>
              <w:t xml:space="preserve"> Co. Ltd.</w:t>
            </w:r>
          </w:p>
        </w:tc>
        <w:tc>
          <w:tcPr>
            <w:tcW w:w="900" w:type="dxa"/>
            <w:shd w:val="clear" w:color="auto" w:fill="auto"/>
            <w:noWrap/>
            <w:vAlign w:val="bottom"/>
            <w:hideMark/>
          </w:tcPr>
          <w:p w14:paraId="3405505E"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1999</w:t>
            </w:r>
          </w:p>
        </w:tc>
        <w:tc>
          <w:tcPr>
            <w:tcW w:w="1260" w:type="dxa"/>
            <w:shd w:val="clear" w:color="auto" w:fill="auto"/>
            <w:noWrap/>
            <w:vAlign w:val="bottom"/>
            <w:hideMark/>
          </w:tcPr>
          <w:p w14:paraId="4AE8E58A"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75</w:t>
            </w:r>
          </w:p>
        </w:tc>
        <w:tc>
          <w:tcPr>
            <w:tcW w:w="1260" w:type="dxa"/>
            <w:shd w:val="clear" w:color="auto" w:fill="auto"/>
            <w:noWrap/>
            <w:vAlign w:val="bottom"/>
            <w:hideMark/>
          </w:tcPr>
          <w:p w14:paraId="63BAAC3B"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42</w:t>
            </w:r>
          </w:p>
        </w:tc>
        <w:tc>
          <w:tcPr>
            <w:tcW w:w="900" w:type="dxa"/>
            <w:shd w:val="clear" w:color="auto" w:fill="auto"/>
            <w:noWrap/>
            <w:vAlign w:val="bottom"/>
            <w:hideMark/>
          </w:tcPr>
          <w:p w14:paraId="0B6E501E"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91,481 </w:t>
            </w:r>
          </w:p>
        </w:tc>
        <w:tc>
          <w:tcPr>
            <w:tcW w:w="900" w:type="dxa"/>
            <w:shd w:val="clear" w:color="auto" w:fill="auto"/>
            <w:noWrap/>
            <w:vAlign w:val="bottom"/>
            <w:hideMark/>
          </w:tcPr>
          <w:p w14:paraId="22044BF8"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124,451 </w:t>
            </w:r>
          </w:p>
        </w:tc>
        <w:tc>
          <w:tcPr>
            <w:tcW w:w="1170" w:type="dxa"/>
            <w:shd w:val="clear" w:color="auto" w:fill="auto"/>
            <w:noWrap/>
            <w:vAlign w:val="bottom"/>
            <w:hideMark/>
          </w:tcPr>
          <w:p w14:paraId="19E31DFF"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16,343</w:t>
            </w:r>
          </w:p>
        </w:tc>
        <w:tc>
          <w:tcPr>
            <w:tcW w:w="1260" w:type="dxa"/>
            <w:shd w:val="clear" w:color="auto" w:fill="auto"/>
            <w:noWrap/>
            <w:vAlign w:val="bottom"/>
            <w:hideMark/>
          </w:tcPr>
          <w:p w14:paraId="39027C41"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1,446</w:t>
            </w:r>
          </w:p>
        </w:tc>
        <w:tc>
          <w:tcPr>
            <w:tcW w:w="1260" w:type="dxa"/>
            <w:shd w:val="clear" w:color="auto" w:fill="auto"/>
            <w:noWrap/>
            <w:vAlign w:val="bottom"/>
            <w:hideMark/>
          </w:tcPr>
          <w:p w14:paraId="2F65A16E" w14:textId="796A4006"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p>
        </w:tc>
        <w:tc>
          <w:tcPr>
            <w:tcW w:w="1061" w:type="dxa"/>
            <w:shd w:val="clear" w:color="auto" w:fill="auto"/>
            <w:noWrap/>
            <w:vAlign w:val="bottom"/>
            <w:hideMark/>
          </w:tcPr>
          <w:p w14:paraId="68EECE4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9%</w:t>
            </w:r>
          </w:p>
        </w:tc>
      </w:tr>
      <w:tr w:rsidR="00913141" w:rsidRPr="005945EC" w14:paraId="535EE5C5" w14:textId="77777777" w:rsidTr="00FA578A">
        <w:trPr>
          <w:trHeight w:val="248"/>
          <w:tblHeader/>
          <w:jc w:val="center"/>
        </w:trPr>
        <w:tc>
          <w:tcPr>
            <w:tcW w:w="2965" w:type="dxa"/>
            <w:shd w:val="clear" w:color="auto" w:fill="auto"/>
            <w:noWrap/>
            <w:vAlign w:val="bottom"/>
            <w:hideMark/>
          </w:tcPr>
          <w:p w14:paraId="7A6B9763" w14:textId="77777777"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Air Canada</w:t>
            </w:r>
          </w:p>
        </w:tc>
        <w:tc>
          <w:tcPr>
            <w:tcW w:w="900" w:type="dxa"/>
            <w:shd w:val="clear" w:color="auto" w:fill="auto"/>
            <w:noWrap/>
            <w:vAlign w:val="bottom"/>
            <w:hideMark/>
          </w:tcPr>
          <w:p w14:paraId="0C9BB571"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1997</w:t>
            </w:r>
          </w:p>
        </w:tc>
        <w:tc>
          <w:tcPr>
            <w:tcW w:w="1260" w:type="dxa"/>
            <w:shd w:val="clear" w:color="auto" w:fill="auto"/>
            <w:noWrap/>
            <w:vAlign w:val="bottom"/>
            <w:hideMark/>
          </w:tcPr>
          <w:p w14:paraId="4C8C68E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220</w:t>
            </w:r>
          </w:p>
        </w:tc>
        <w:tc>
          <w:tcPr>
            <w:tcW w:w="1260" w:type="dxa"/>
            <w:shd w:val="clear" w:color="auto" w:fill="auto"/>
            <w:noWrap/>
            <w:vAlign w:val="bottom"/>
            <w:hideMark/>
          </w:tcPr>
          <w:p w14:paraId="41A1FA67"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52</w:t>
            </w:r>
          </w:p>
        </w:tc>
        <w:tc>
          <w:tcPr>
            <w:tcW w:w="900" w:type="dxa"/>
            <w:shd w:val="clear" w:color="auto" w:fill="auto"/>
            <w:noWrap/>
            <w:vAlign w:val="bottom"/>
            <w:hideMark/>
          </w:tcPr>
          <w:p w14:paraId="7E1024FF"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148,607 </w:t>
            </w:r>
          </w:p>
        </w:tc>
        <w:tc>
          <w:tcPr>
            <w:tcW w:w="900" w:type="dxa"/>
            <w:shd w:val="clear" w:color="auto" w:fill="auto"/>
            <w:noWrap/>
            <w:vAlign w:val="bottom"/>
            <w:hideMark/>
          </w:tcPr>
          <w:p w14:paraId="4C6833D6"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178,383 </w:t>
            </w:r>
          </w:p>
        </w:tc>
        <w:tc>
          <w:tcPr>
            <w:tcW w:w="1170" w:type="dxa"/>
            <w:shd w:val="clear" w:color="auto" w:fill="auto"/>
            <w:noWrap/>
            <w:vAlign w:val="bottom"/>
            <w:hideMark/>
          </w:tcPr>
          <w:p w14:paraId="5499737B"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13,892</w:t>
            </w:r>
          </w:p>
        </w:tc>
        <w:tc>
          <w:tcPr>
            <w:tcW w:w="1260" w:type="dxa"/>
            <w:shd w:val="clear" w:color="auto" w:fill="auto"/>
            <w:noWrap/>
            <w:vAlign w:val="bottom"/>
            <w:hideMark/>
          </w:tcPr>
          <w:p w14:paraId="1DF00E40"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903</w:t>
            </w:r>
          </w:p>
        </w:tc>
        <w:tc>
          <w:tcPr>
            <w:tcW w:w="1260" w:type="dxa"/>
            <w:shd w:val="clear" w:color="auto" w:fill="auto"/>
            <w:noWrap/>
            <w:vAlign w:val="bottom"/>
            <w:hideMark/>
          </w:tcPr>
          <w:p w14:paraId="1D5F7B8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128</w:t>
            </w:r>
          </w:p>
        </w:tc>
        <w:tc>
          <w:tcPr>
            <w:tcW w:w="1061" w:type="dxa"/>
            <w:shd w:val="clear" w:color="auto" w:fill="auto"/>
            <w:noWrap/>
            <w:vAlign w:val="bottom"/>
            <w:hideMark/>
          </w:tcPr>
          <w:p w14:paraId="7313A2F1"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7%</w:t>
            </w:r>
          </w:p>
        </w:tc>
      </w:tr>
      <w:tr w:rsidR="00913141" w:rsidRPr="005945EC" w14:paraId="780FA17B" w14:textId="77777777" w:rsidTr="00FA578A">
        <w:trPr>
          <w:trHeight w:val="248"/>
          <w:tblHeader/>
          <w:jc w:val="center"/>
        </w:trPr>
        <w:tc>
          <w:tcPr>
            <w:tcW w:w="2965" w:type="dxa"/>
            <w:shd w:val="clear" w:color="auto" w:fill="auto"/>
            <w:noWrap/>
            <w:vAlign w:val="bottom"/>
            <w:hideMark/>
          </w:tcPr>
          <w:p w14:paraId="7AA197E5" w14:textId="77777777"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 xml:space="preserve">Turkish Airlines </w:t>
            </w:r>
          </w:p>
        </w:tc>
        <w:tc>
          <w:tcPr>
            <w:tcW w:w="900" w:type="dxa"/>
            <w:shd w:val="clear" w:color="auto" w:fill="auto"/>
            <w:noWrap/>
            <w:vAlign w:val="bottom"/>
            <w:hideMark/>
          </w:tcPr>
          <w:p w14:paraId="244D2A86"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2008</w:t>
            </w:r>
          </w:p>
        </w:tc>
        <w:tc>
          <w:tcPr>
            <w:tcW w:w="1260" w:type="dxa"/>
            <w:shd w:val="clear" w:color="auto" w:fill="auto"/>
            <w:noWrap/>
            <w:vAlign w:val="bottom"/>
            <w:hideMark/>
          </w:tcPr>
          <w:p w14:paraId="3F6513BF"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294</w:t>
            </w:r>
          </w:p>
        </w:tc>
        <w:tc>
          <w:tcPr>
            <w:tcW w:w="1260" w:type="dxa"/>
            <w:shd w:val="clear" w:color="auto" w:fill="auto"/>
            <w:noWrap/>
            <w:vAlign w:val="bottom"/>
            <w:hideMark/>
          </w:tcPr>
          <w:p w14:paraId="23B361A7"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75</w:t>
            </w:r>
          </w:p>
        </w:tc>
        <w:tc>
          <w:tcPr>
            <w:tcW w:w="900" w:type="dxa"/>
            <w:shd w:val="clear" w:color="auto" w:fill="auto"/>
            <w:noWrap/>
            <w:vAlign w:val="bottom"/>
            <w:hideMark/>
          </w:tcPr>
          <w:p w14:paraId="33B60049"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149,169 </w:t>
            </w:r>
          </w:p>
        </w:tc>
        <w:tc>
          <w:tcPr>
            <w:tcW w:w="900" w:type="dxa"/>
            <w:shd w:val="clear" w:color="auto" w:fill="auto"/>
            <w:noWrap/>
            <w:vAlign w:val="bottom"/>
            <w:hideMark/>
          </w:tcPr>
          <w:p w14:paraId="6835C855"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182,031 </w:t>
            </w:r>
          </w:p>
        </w:tc>
        <w:tc>
          <w:tcPr>
            <w:tcW w:w="1170" w:type="dxa"/>
            <w:shd w:val="clear" w:color="auto" w:fill="auto"/>
            <w:noWrap/>
            <w:vAlign w:val="bottom"/>
            <w:hideMark/>
          </w:tcPr>
          <w:p w14:paraId="72536095"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13,074</w:t>
            </w:r>
          </w:p>
        </w:tc>
        <w:tc>
          <w:tcPr>
            <w:tcW w:w="1260" w:type="dxa"/>
            <w:shd w:val="clear" w:color="auto" w:fill="auto"/>
            <w:noWrap/>
            <w:vAlign w:val="bottom"/>
            <w:hideMark/>
          </w:tcPr>
          <w:p w14:paraId="03AD3010"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1,506</w:t>
            </w:r>
          </w:p>
        </w:tc>
        <w:tc>
          <w:tcPr>
            <w:tcW w:w="1260" w:type="dxa"/>
            <w:shd w:val="clear" w:color="auto" w:fill="auto"/>
            <w:noWrap/>
            <w:vAlign w:val="bottom"/>
            <w:hideMark/>
          </w:tcPr>
          <w:p w14:paraId="26199A13"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831</w:t>
            </w:r>
          </w:p>
        </w:tc>
        <w:tc>
          <w:tcPr>
            <w:tcW w:w="1061" w:type="dxa"/>
            <w:shd w:val="clear" w:color="auto" w:fill="auto"/>
            <w:noWrap/>
            <w:vAlign w:val="bottom"/>
            <w:hideMark/>
          </w:tcPr>
          <w:p w14:paraId="3F389096"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12%</w:t>
            </w:r>
          </w:p>
        </w:tc>
      </w:tr>
      <w:tr w:rsidR="00913141" w:rsidRPr="005945EC" w14:paraId="677F60BA" w14:textId="77777777" w:rsidTr="00FA578A">
        <w:trPr>
          <w:trHeight w:val="248"/>
          <w:tblHeader/>
          <w:jc w:val="center"/>
        </w:trPr>
        <w:tc>
          <w:tcPr>
            <w:tcW w:w="2965" w:type="dxa"/>
            <w:shd w:val="clear" w:color="auto" w:fill="auto"/>
            <w:noWrap/>
            <w:vAlign w:val="bottom"/>
            <w:hideMark/>
          </w:tcPr>
          <w:p w14:paraId="0AB2E778" w14:textId="77777777"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Singapore Airlines</w:t>
            </w:r>
          </w:p>
        </w:tc>
        <w:tc>
          <w:tcPr>
            <w:tcW w:w="900" w:type="dxa"/>
            <w:shd w:val="clear" w:color="auto" w:fill="auto"/>
            <w:noWrap/>
            <w:vAlign w:val="bottom"/>
            <w:hideMark/>
          </w:tcPr>
          <w:p w14:paraId="0C669CC5"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2000</w:t>
            </w:r>
          </w:p>
        </w:tc>
        <w:tc>
          <w:tcPr>
            <w:tcW w:w="1260" w:type="dxa"/>
            <w:shd w:val="clear" w:color="auto" w:fill="auto"/>
            <w:noWrap/>
            <w:vAlign w:val="bottom"/>
            <w:hideMark/>
          </w:tcPr>
          <w:p w14:paraId="5798F18E"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67</w:t>
            </w:r>
          </w:p>
        </w:tc>
        <w:tc>
          <w:tcPr>
            <w:tcW w:w="1260" w:type="dxa"/>
            <w:shd w:val="clear" w:color="auto" w:fill="auto"/>
            <w:noWrap/>
            <w:vAlign w:val="bottom"/>
            <w:hideMark/>
          </w:tcPr>
          <w:p w14:paraId="2177B313"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21</w:t>
            </w:r>
          </w:p>
        </w:tc>
        <w:tc>
          <w:tcPr>
            <w:tcW w:w="900" w:type="dxa"/>
            <w:shd w:val="clear" w:color="auto" w:fill="auto"/>
            <w:noWrap/>
            <w:vAlign w:val="bottom"/>
            <w:hideMark/>
          </w:tcPr>
          <w:p w14:paraId="081D9541"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102,572 </w:t>
            </w:r>
          </w:p>
        </w:tc>
        <w:tc>
          <w:tcPr>
            <w:tcW w:w="900" w:type="dxa"/>
            <w:shd w:val="clear" w:color="auto" w:fill="auto"/>
            <w:noWrap/>
            <w:vAlign w:val="bottom"/>
            <w:hideMark/>
          </w:tcPr>
          <w:p w14:paraId="71F39EA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123,486 </w:t>
            </w:r>
          </w:p>
        </w:tc>
        <w:tc>
          <w:tcPr>
            <w:tcW w:w="1170" w:type="dxa"/>
            <w:shd w:val="clear" w:color="auto" w:fill="auto"/>
            <w:noWrap/>
            <w:vAlign w:val="bottom"/>
            <w:hideMark/>
          </w:tcPr>
          <w:p w14:paraId="2A1B384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9,676</w:t>
            </w:r>
          </w:p>
        </w:tc>
        <w:tc>
          <w:tcPr>
            <w:tcW w:w="1260" w:type="dxa"/>
            <w:shd w:val="clear" w:color="auto" w:fill="auto"/>
            <w:noWrap/>
            <w:vAlign w:val="bottom"/>
            <w:hideMark/>
          </w:tcPr>
          <w:p w14:paraId="714BB9B6"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312</w:t>
            </w:r>
          </w:p>
        </w:tc>
        <w:tc>
          <w:tcPr>
            <w:tcW w:w="1260" w:type="dxa"/>
            <w:shd w:val="clear" w:color="auto" w:fill="auto"/>
            <w:noWrap/>
            <w:vAlign w:val="bottom"/>
            <w:hideMark/>
          </w:tcPr>
          <w:p w14:paraId="01206FD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468</w:t>
            </w:r>
          </w:p>
        </w:tc>
        <w:tc>
          <w:tcPr>
            <w:tcW w:w="1061" w:type="dxa"/>
            <w:shd w:val="clear" w:color="auto" w:fill="auto"/>
            <w:noWrap/>
            <w:vAlign w:val="bottom"/>
            <w:hideMark/>
          </w:tcPr>
          <w:p w14:paraId="546FFE66"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w:t>
            </w:r>
          </w:p>
        </w:tc>
      </w:tr>
      <w:tr w:rsidR="00913141" w:rsidRPr="005945EC" w14:paraId="03B2FDCF" w14:textId="77777777" w:rsidTr="00FA578A">
        <w:trPr>
          <w:trHeight w:val="248"/>
          <w:tblHeader/>
          <w:jc w:val="center"/>
        </w:trPr>
        <w:tc>
          <w:tcPr>
            <w:tcW w:w="2965" w:type="dxa"/>
            <w:shd w:val="clear" w:color="auto" w:fill="auto"/>
            <w:noWrap/>
            <w:vAlign w:val="bottom"/>
            <w:hideMark/>
          </w:tcPr>
          <w:p w14:paraId="1CAEA46D" w14:textId="75092991"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Asiana Airlines</w:t>
            </w:r>
            <w:r w:rsidR="00435649" w:rsidRPr="005945EC">
              <w:rPr>
                <w:rFonts w:ascii="Arial" w:hAnsi="Arial" w:cs="Arial"/>
                <w:szCs w:val="18"/>
                <w:lang w:val="en-CA" w:eastAsia="zh-CN"/>
              </w:rPr>
              <w:t xml:space="preserve"> Inc.</w:t>
            </w:r>
          </w:p>
        </w:tc>
        <w:tc>
          <w:tcPr>
            <w:tcW w:w="900" w:type="dxa"/>
            <w:shd w:val="clear" w:color="auto" w:fill="auto"/>
            <w:noWrap/>
            <w:vAlign w:val="bottom"/>
            <w:hideMark/>
          </w:tcPr>
          <w:p w14:paraId="72E6AFCD"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2003</w:t>
            </w:r>
          </w:p>
        </w:tc>
        <w:tc>
          <w:tcPr>
            <w:tcW w:w="1260" w:type="dxa"/>
            <w:shd w:val="clear" w:color="auto" w:fill="auto"/>
            <w:noWrap/>
            <w:vAlign w:val="bottom"/>
            <w:hideMark/>
          </w:tcPr>
          <w:p w14:paraId="16F3533F"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104</w:t>
            </w:r>
          </w:p>
        </w:tc>
        <w:tc>
          <w:tcPr>
            <w:tcW w:w="1260" w:type="dxa"/>
            <w:shd w:val="clear" w:color="auto" w:fill="auto"/>
            <w:noWrap/>
            <w:vAlign w:val="bottom"/>
            <w:hideMark/>
          </w:tcPr>
          <w:p w14:paraId="0FCD5076" w14:textId="0E4B7214"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p>
        </w:tc>
        <w:tc>
          <w:tcPr>
            <w:tcW w:w="900" w:type="dxa"/>
            <w:shd w:val="clear" w:color="auto" w:fill="auto"/>
            <w:noWrap/>
            <w:vAlign w:val="bottom"/>
            <w:hideMark/>
          </w:tcPr>
          <w:p w14:paraId="529477A9"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46,837 </w:t>
            </w:r>
          </w:p>
        </w:tc>
        <w:tc>
          <w:tcPr>
            <w:tcW w:w="900" w:type="dxa"/>
            <w:shd w:val="clear" w:color="auto" w:fill="auto"/>
            <w:noWrap/>
            <w:vAlign w:val="bottom"/>
            <w:hideMark/>
          </w:tcPr>
          <w:p w14:paraId="24BF8276"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55,598 </w:t>
            </w:r>
          </w:p>
        </w:tc>
        <w:tc>
          <w:tcPr>
            <w:tcW w:w="1170" w:type="dxa"/>
            <w:shd w:val="clear" w:color="auto" w:fill="auto"/>
            <w:noWrap/>
            <w:vAlign w:val="bottom"/>
            <w:hideMark/>
          </w:tcPr>
          <w:p w14:paraId="61FCAA34"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6,231</w:t>
            </w:r>
          </w:p>
        </w:tc>
        <w:tc>
          <w:tcPr>
            <w:tcW w:w="1260" w:type="dxa"/>
            <w:shd w:val="clear" w:color="auto" w:fill="auto"/>
            <w:noWrap/>
            <w:vAlign w:val="bottom"/>
            <w:hideMark/>
          </w:tcPr>
          <w:p w14:paraId="351A75B7"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162</w:t>
            </w:r>
          </w:p>
        </w:tc>
        <w:tc>
          <w:tcPr>
            <w:tcW w:w="1260" w:type="dxa"/>
            <w:shd w:val="clear" w:color="auto" w:fill="auto"/>
            <w:noWrap/>
            <w:vAlign w:val="bottom"/>
            <w:hideMark/>
          </w:tcPr>
          <w:p w14:paraId="5322CBB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(10)</w:t>
            </w:r>
          </w:p>
        </w:tc>
        <w:tc>
          <w:tcPr>
            <w:tcW w:w="1061" w:type="dxa"/>
            <w:shd w:val="clear" w:color="auto" w:fill="auto"/>
            <w:noWrap/>
            <w:vAlign w:val="bottom"/>
            <w:hideMark/>
          </w:tcPr>
          <w:p w14:paraId="78EEFED4"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w:t>
            </w:r>
          </w:p>
        </w:tc>
      </w:tr>
      <w:tr w:rsidR="00913141" w:rsidRPr="005945EC" w14:paraId="5EECF481" w14:textId="77777777" w:rsidTr="00FA578A">
        <w:trPr>
          <w:trHeight w:val="248"/>
          <w:tblHeader/>
          <w:jc w:val="center"/>
        </w:trPr>
        <w:tc>
          <w:tcPr>
            <w:tcW w:w="2965" w:type="dxa"/>
            <w:shd w:val="clear" w:color="auto" w:fill="auto"/>
            <w:noWrap/>
            <w:vAlign w:val="bottom"/>
            <w:hideMark/>
          </w:tcPr>
          <w:p w14:paraId="04BFAC2B" w14:textId="7AA2BDDD"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Thai Airways</w:t>
            </w:r>
            <w:r w:rsidR="00435649" w:rsidRPr="005945EC">
              <w:rPr>
                <w:rFonts w:ascii="Arial" w:hAnsi="Arial" w:cs="Arial"/>
                <w:szCs w:val="18"/>
                <w:lang w:val="en-CA" w:eastAsia="zh-CN"/>
              </w:rPr>
              <w:t xml:space="preserve"> International</w:t>
            </w:r>
          </w:p>
        </w:tc>
        <w:tc>
          <w:tcPr>
            <w:tcW w:w="900" w:type="dxa"/>
            <w:shd w:val="clear" w:color="auto" w:fill="auto"/>
            <w:noWrap/>
            <w:vAlign w:val="bottom"/>
            <w:hideMark/>
          </w:tcPr>
          <w:p w14:paraId="483CA96A"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1997</w:t>
            </w:r>
          </w:p>
        </w:tc>
        <w:tc>
          <w:tcPr>
            <w:tcW w:w="1260" w:type="dxa"/>
            <w:shd w:val="clear" w:color="auto" w:fill="auto"/>
            <w:noWrap/>
            <w:vAlign w:val="bottom"/>
            <w:hideMark/>
          </w:tcPr>
          <w:p w14:paraId="5A3C1F66"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63</w:t>
            </w:r>
          </w:p>
        </w:tc>
        <w:tc>
          <w:tcPr>
            <w:tcW w:w="1260" w:type="dxa"/>
            <w:shd w:val="clear" w:color="auto" w:fill="auto"/>
            <w:noWrap/>
            <w:vAlign w:val="bottom"/>
            <w:hideMark/>
          </w:tcPr>
          <w:p w14:paraId="4F8D685E" w14:textId="6FB786D2"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p>
        </w:tc>
        <w:tc>
          <w:tcPr>
            <w:tcW w:w="900" w:type="dxa"/>
            <w:shd w:val="clear" w:color="auto" w:fill="auto"/>
            <w:noWrap/>
            <w:vAlign w:val="bottom"/>
            <w:hideMark/>
          </w:tcPr>
          <w:p w14:paraId="7EE9AF98"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68,164 </w:t>
            </w:r>
          </w:p>
        </w:tc>
        <w:tc>
          <w:tcPr>
            <w:tcW w:w="900" w:type="dxa"/>
            <w:shd w:val="clear" w:color="auto" w:fill="auto"/>
            <w:noWrap/>
            <w:vAlign w:val="bottom"/>
            <w:hideMark/>
          </w:tcPr>
          <w:p w14:paraId="66024511"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87,290 </w:t>
            </w:r>
          </w:p>
        </w:tc>
        <w:tc>
          <w:tcPr>
            <w:tcW w:w="1170" w:type="dxa"/>
            <w:shd w:val="clear" w:color="auto" w:fill="auto"/>
            <w:noWrap/>
            <w:vAlign w:val="bottom"/>
            <w:hideMark/>
          </w:tcPr>
          <w:p w14:paraId="002077EB"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6,180</w:t>
            </w:r>
          </w:p>
        </w:tc>
        <w:tc>
          <w:tcPr>
            <w:tcW w:w="1260" w:type="dxa"/>
            <w:shd w:val="clear" w:color="auto" w:fill="auto"/>
            <w:noWrap/>
            <w:vAlign w:val="bottom"/>
            <w:hideMark/>
          </w:tcPr>
          <w:p w14:paraId="78A52492"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(281)</w:t>
            </w:r>
          </w:p>
        </w:tc>
        <w:tc>
          <w:tcPr>
            <w:tcW w:w="1260" w:type="dxa"/>
            <w:shd w:val="clear" w:color="auto" w:fill="auto"/>
            <w:noWrap/>
            <w:vAlign w:val="bottom"/>
            <w:hideMark/>
          </w:tcPr>
          <w:p w14:paraId="7278E9B3"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(358)</w:t>
            </w:r>
          </w:p>
        </w:tc>
        <w:tc>
          <w:tcPr>
            <w:tcW w:w="1061" w:type="dxa"/>
            <w:shd w:val="clear" w:color="auto" w:fill="auto"/>
            <w:noWrap/>
            <w:vAlign w:val="bottom"/>
            <w:hideMark/>
          </w:tcPr>
          <w:p w14:paraId="23AA7F93" w14:textId="57D38821"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r w:rsidR="00DA335A" w:rsidRPr="005945EC">
              <w:rPr>
                <w:rFonts w:ascii="Arial" w:hAnsi="Arial" w:cs="Arial"/>
                <w:szCs w:val="18"/>
                <w:lang w:val="en-CA" w:eastAsia="zh-CN"/>
              </w:rPr>
              <w:t>5%</w:t>
            </w:r>
          </w:p>
        </w:tc>
      </w:tr>
      <w:tr w:rsidR="00913141" w:rsidRPr="005945EC" w14:paraId="7823F5AF" w14:textId="77777777" w:rsidTr="00FA578A">
        <w:trPr>
          <w:trHeight w:val="248"/>
          <w:tblHeader/>
          <w:jc w:val="center"/>
        </w:trPr>
        <w:tc>
          <w:tcPr>
            <w:tcW w:w="2965" w:type="dxa"/>
            <w:shd w:val="clear" w:color="auto" w:fill="auto"/>
            <w:noWrap/>
            <w:vAlign w:val="bottom"/>
            <w:hideMark/>
          </w:tcPr>
          <w:p w14:paraId="436CEB5B" w14:textId="21A70643" w:rsidR="00DA335A" w:rsidRPr="005945EC" w:rsidRDefault="00435649" w:rsidP="003E5A8D">
            <w:pPr>
              <w:rPr>
                <w:rFonts w:ascii="Arial" w:hAnsi="Arial" w:cs="Arial"/>
                <w:szCs w:val="18"/>
                <w:lang w:val="en-CA" w:eastAsia="zh-CN"/>
              </w:rPr>
            </w:pPr>
            <w:r w:rsidRPr="005945EC">
              <w:rPr>
                <w:rFonts w:ascii="Arial" w:hAnsi="Arial" w:cs="Arial"/>
                <w:szCs w:val="18"/>
                <w:lang w:val="en-CA" w:eastAsia="zh-CN"/>
              </w:rPr>
              <w:t>Scandinavian Airlines</w:t>
            </w:r>
          </w:p>
        </w:tc>
        <w:tc>
          <w:tcPr>
            <w:tcW w:w="900" w:type="dxa"/>
            <w:shd w:val="clear" w:color="auto" w:fill="auto"/>
            <w:noWrap/>
            <w:vAlign w:val="bottom"/>
            <w:hideMark/>
          </w:tcPr>
          <w:p w14:paraId="448DCA84"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1997</w:t>
            </w:r>
          </w:p>
        </w:tc>
        <w:tc>
          <w:tcPr>
            <w:tcW w:w="1260" w:type="dxa"/>
            <w:shd w:val="clear" w:color="auto" w:fill="auto"/>
            <w:noWrap/>
            <w:vAlign w:val="bottom"/>
            <w:hideMark/>
          </w:tcPr>
          <w:p w14:paraId="0E9EF63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180</w:t>
            </w:r>
          </w:p>
        </w:tc>
        <w:tc>
          <w:tcPr>
            <w:tcW w:w="1260" w:type="dxa"/>
            <w:shd w:val="clear" w:color="auto" w:fill="auto"/>
            <w:noWrap/>
            <w:vAlign w:val="bottom"/>
            <w:hideMark/>
          </w:tcPr>
          <w:p w14:paraId="03590BD4"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29</w:t>
            </w:r>
          </w:p>
        </w:tc>
        <w:tc>
          <w:tcPr>
            <w:tcW w:w="900" w:type="dxa"/>
            <w:shd w:val="clear" w:color="auto" w:fill="auto"/>
            <w:noWrap/>
            <w:vAlign w:val="bottom"/>
            <w:hideMark/>
          </w:tcPr>
          <w:p w14:paraId="0A27880E"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39,821 </w:t>
            </w:r>
          </w:p>
        </w:tc>
        <w:tc>
          <w:tcPr>
            <w:tcW w:w="900" w:type="dxa"/>
            <w:shd w:val="clear" w:color="auto" w:fill="auto"/>
            <w:noWrap/>
            <w:vAlign w:val="bottom"/>
            <w:hideMark/>
          </w:tcPr>
          <w:p w14:paraId="299B31DE"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52,626 </w:t>
            </w:r>
          </w:p>
        </w:tc>
        <w:tc>
          <w:tcPr>
            <w:tcW w:w="1170" w:type="dxa"/>
            <w:shd w:val="clear" w:color="auto" w:fill="auto"/>
            <w:noWrap/>
            <w:vAlign w:val="bottom"/>
            <w:hideMark/>
          </w:tcPr>
          <w:p w14:paraId="41D4CEA4"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5,181</w:t>
            </w:r>
          </w:p>
        </w:tc>
        <w:tc>
          <w:tcPr>
            <w:tcW w:w="1260" w:type="dxa"/>
            <w:shd w:val="clear" w:color="auto" w:fill="auto"/>
            <w:noWrap/>
            <w:vAlign w:val="bottom"/>
            <w:hideMark/>
          </w:tcPr>
          <w:p w14:paraId="1C083DE0"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292</w:t>
            </w:r>
          </w:p>
        </w:tc>
        <w:tc>
          <w:tcPr>
            <w:tcW w:w="1260" w:type="dxa"/>
            <w:shd w:val="clear" w:color="auto" w:fill="auto"/>
            <w:noWrap/>
            <w:vAlign w:val="bottom"/>
            <w:hideMark/>
          </w:tcPr>
          <w:p w14:paraId="033A7B1E"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184</w:t>
            </w:r>
          </w:p>
        </w:tc>
        <w:tc>
          <w:tcPr>
            <w:tcW w:w="1061" w:type="dxa"/>
            <w:shd w:val="clear" w:color="auto" w:fill="auto"/>
            <w:noWrap/>
            <w:vAlign w:val="bottom"/>
            <w:hideMark/>
          </w:tcPr>
          <w:p w14:paraId="7591DEF9"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6%</w:t>
            </w:r>
          </w:p>
        </w:tc>
      </w:tr>
      <w:tr w:rsidR="00913141" w:rsidRPr="005945EC" w14:paraId="0918324D" w14:textId="77777777" w:rsidTr="00FA578A">
        <w:trPr>
          <w:trHeight w:val="248"/>
          <w:tblHeader/>
          <w:jc w:val="center"/>
        </w:trPr>
        <w:tc>
          <w:tcPr>
            <w:tcW w:w="2965" w:type="dxa"/>
            <w:shd w:val="clear" w:color="auto" w:fill="auto"/>
            <w:noWrap/>
            <w:vAlign w:val="bottom"/>
            <w:hideMark/>
          </w:tcPr>
          <w:p w14:paraId="16953BD4" w14:textId="1E5E5FAB"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Avianca</w:t>
            </w:r>
            <w:r w:rsidR="00435649" w:rsidRPr="005945EC">
              <w:rPr>
                <w:rFonts w:ascii="Arial" w:hAnsi="Arial" w:cs="Arial"/>
                <w:szCs w:val="18"/>
                <w:lang w:val="en-CA" w:eastAsia="zh-CN"/>
              </w:rPr>
              <w:t xml:space="preserve"> S.A.</w:t>
            </w:r>
          </w:p>
        </w:tc>
        <w:tc>
          <w:tcPr>
            <w:tcW w:w="900" w:type="dxa"/>
            <w:shd w:val="clear" w:color="auto" w:fill="auto"/>
            <w:noWrap/>
            <w:vAlign w:val="bottom"/>
            <w:hideMark/>
          </w:tcPr>
          <w:p w14:paraId="7624F43A"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2012</w:t>
            </w:r>
          </w:p>
        </w:tc>
        <w:tc>
          <w:tcPr>
            <w:tcW w:w="1260" w:type="dxa"/>
            <w:shd w:val="clear" w:color="auto" w:fill="auto"/>
            <w:noWrap/>
            <w:vAlign w:val="bottom"/>
            <w:hideMark/>
          </w:tcPr>
          <w:p w14:paraId="02BA4877"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80</w:t>
            </w:r>
          </w:p>
        </w:tc>
        <w:tc>
          <w:tcPr>
            <w:tcW w:w="1260" w:type="dxa"/>
            <w:shd w:val="clear" w:color="auto" w:fill="auto"/>
            <w:noWrap/>
            <w:vAlign w:val="bottom"/>
            <w:hideMark/>
          </w:tcPr>
          <w:p w14:paraId="3F7AA637"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31</w:t>
            </w:r>
          </w:p>
        </w:tc>
        <w:tc>
          <w:tcPr>
            <w:tcW w:w="900" w:type="dxa"/>
            <w:shd w:val="clear" w:color="auto" w:fill="auto"/>
            <w:noWrap/>
            <w:vAlign w:val="bottom"/>
            <w:hideMark/>
          </w:tcPr>
          <w:p w14:paraId="5F477388"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43,729 </w:t>
            </w:r>
          </w:p>
        </w:tc>
        <w:tc>
          <w:tcPr>
            <w:tcW w:w="900" w:type="dxa"/>
            <w:shd w:val="clear" w:color="auto" w:fill="auto"/>
            <w:noWrap/>
            <w:vAlign w:val="bottom"/>
            <w:hideMark/>
          </w:tcPr>
          <w:p w14:paraId="53281A4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52,624 </w:t>
            </w:r>
          </w:p>
        </w:tc>
        <w:tc>
          <w:tcPr>
            <w:tcW w:w="1170" w:type="dxa"/>
            <w:shd w:val="clear" w:color="auto" w:fill="auto"/>
            <w:noWrap/>
            <w:vAlign w:val="bottom"/>
            <w:hideMark/>
          </w:tcPr>
          <w:p w14:paraId="4485B30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4,981</w:t>
            </w:r>
          </w:p>
        </w:tc>
        <w:tc>
          <w:tcPr>
            <w:tcW w:w="1260" w:type="dxa"/>
            <w:shd w:val="clear" w:color="auto" w:fill="auto"/>
            <w:noWrap/>
            <w:vAlign w:val="bottom"/>
            <w:hideMark/>
          </w:tcPr>
          <w:p w14:paraId="58329A3E"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232</w:t>
            </w:r>
          </w:p>
        </w:tc>
        <w:tc>
          <w:tcPr>
            <w:tcW w:w="1260" w:type="dxa"/>
            <w:shd w:val="clear" w:color="auto" w:fill="auto"/>
            <w:noWrap/>
            <w:vAlign w:val="bottom"/>
            <w:hideMark/>
          </w:tcPr>
          <w:p w14:paraId="28540FE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w:t>
            </w:r>
          </w:p>
        </w:tc>
        <w:tc>
          <w:tcPr>
            <w:tcW w:w="1061" w:type="dxa"/>
            <w:shd w:val="clear" w:color="auto" w:fill="auto"/>
            <w:noWrap/>
            <w:vAlign w:val="bottom"/>
            <w:hideMark/>
          </w:tcPr>
          <w:p w14:paraId="3BF38A94"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5%</w:t>
            </w:r>
          </w:p>
        </w:tc>
      </w:tr>
      <w:tr w:rsidR="00913141" w:rsidRPr="005945EC" w14:paraId="30B9A0B0" w14:textId="77777777" w:rsidTr="00FA578A">
        <w:trPr>
          <w:trHeight w:val="248"/>
          <w:tblHeader/>
          <w:jc w:val="center"/>
        </w:trPr>
        <w:tc>
          <w:tcPr>
            <w:tcW w:w="2965" w:type="dxa"/>
            <w:shd w:val="clear" w:color="auto" w:fill="auto"/>
            <w:noWrap/>
            <w:vAlign w:val="bottom"/>
            <w:hideMark/>
          </w:tcPr>
          <w:p w14:paraId="004E61FC" w14:textId="7B2C21CB"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EVA Air</w:t>
            </w:r>
            <w:r w:rsidR="00435649" w:rsidRPr="005945EC">
              <w:rPr>
                <w:rFonts w:ascii="Arial" w:hAnsi="Arial" w:cs="Arial"/>
                <w:szCs w:val="18"/>
                <w:lang w:val="en-CA" w:eastAsia="zh-CN"/>
              </w:rPr>
              <w:t>ways Corporation</w:t>
            </w:r>
          </w:p>
        </w:tc>
        <w:tc>
          <w:tcPr>
            <w:tcW w:w="900" w:type="dxa"/>
            <w:shd w:val="clear" w:color="auto" w:fill="auto"/>
            <w:noWrap/>
            <w:vAlign w:val="bottom"/>
            <w:hideMark/>
          </w:tcPr>
          <w:p w14:paraId="5A11A1E4"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2013</w:t>
            </w:r>
          </w:p>
        </w:tc>
        <w:tc>
          <w:tcPr>
            <w:tcW w:w="1260" w:type="dxa"/>
            <w:shd w:val="clear" w:color="auto" w:fill="auto"/>
            <w:noWrap/>
            <w:vAlign w:val="bottom"/>
            <w:hideMark/>
          </w:tcPr>
          <w:p w14:paraId="717C7B26"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64</w:t>
            </w:r>
          </w:p>
        </w:tc>
        <w:tc>
          <w:tcPr>
            <w:tcW w:w="1260" w:type="dxa"/>
            <w:shd w:val="clear" w:color="auto" w:fill="auto"/>
            <w:noWrap/>
            <w:vAlign w:val="bottom"/>
            <w:hideMark/>
          </w:tcPr>
          <w:p w14:paraId="4F8D486E"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12</w:t>
            </w:r>
          </w:p>
        </w:tc>
        <w:tc>
          <w:tcPr>
            <w:tcW w:w="900" w:type="dxa"/>
            <w:shd w:val="clear" w:color="auto" w:fill="auto"/>
            <w:noWrap/>
            <w:vAlign w:val="bottom"/>
            <w:hideMark/>
          </w:tcPr>
          <w:p w14:paraId="7A2085E4"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48,368 </w:t>
            </w:r>
          </w:p>
        </w:tc>
        <w:tc>
          <w:tcPr>
            <w:tcW w:w="900" w:type="dxa"/>
            <w:shd w:val="clear" w:color="auto" w:fill="auto"/>
            <w:noWrap/>
            <w:vAlign w:val="bottom"/>
            <w:hideMark/>
          </w:tcPr>
          <w:p w14:paraId="4CBD652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59,835 </w:t>
            </w:r>
          </w:p>
        </w:tc>
        <w:tc>
          <w:tcPr>
            <w:tcW w:w="1170" w:type="dxa"/>
            <w:shd w:val="clear" w:color="auto" w:fill="auto"/>
            <w:noWrap/>
            <w:vAlign w:val="bottom"/>
            <w:hideMark/>
          </w:tcPr>
          <w:p w14:paraId="18DF582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4,498</w:t>
            </w:r>
          </w:p>
        </w:tc>
        <w:tc>
          <w:tcPr>
            <w:tcW w:w="1260" w:type="dxa"/>
            <w:shd w:val="clear" w:color="auto" w:fill="auto"/>
            <w:noWrap/>
            <w:vAlign w:val="bottom"/>
            <w:hideMark/>
          </w:tcPr>
          <w:p w14:paraId="4B466E3E" w14:textId="4A2852A5"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p>
        </w:tc>
        <w:tc>
          <w:tcPr>
            <w:tcW w:w="1260" w:type="dxa"/>
            <w:shd w:val="clear" w:color="auto" w:fill="auto"/>
            <w:noWrap/>
            <w:vAlign w:val="bottom"/>
            <w:hideMark/>
          </w:tcPr>
          <w:p w14:paraId="68002DB1" w14:textId="31090A89"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p>
        </w:tc>
        <w:tc>
          <w:tcPr>
            <w:tcW w:w="1061" w:type="dxa"/>
            <w:shd w:val="clear" w:color="auto" w:fill="auto"/>
            <w:noWrap/>
            <w:vAlign w:val="bottom"/>
            <w:hideMark/>
          </w:tcPr>
          <w:p w14:paraId="69E5D217" w14:textId="5FABE313"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p>
        </w:tc>
      </w:tr>
      <w:tr w:rsidR="00913141" w:rsidRPr="005945EC" w14:paraId="5AFF96FF" w14:textId="77777777" w:rsidTr="00FA578A">
        <w:trPr>
          <w:trHeight w:val="248"/>
          <w:tblHeader/>
          <w:jc w:val="center"/>
        </w:trPr>
        <w:tc>
          <w:tcPr>
            <w:tcW w:w="2965" w:type="dxa"/>
            <w:shd w:val="clear" w:color="auto" w:fill="auto"/>
            <w:noWrap/>
            <w:vAlign w:val="bottom"/>
            <w:hideMark/>
          </w:tcPr>
          <w:p w14:paraId="5C563BBB" w14:textId="78BC1583"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 xml:space="preserve">Air New Zealand </w:t>
            </w:r>
            <w:r w:rsidR="00435649" w:rsidRPr="005945EC">
              <w:rPr>
                <w:rFonts w:ascii="Arial" w:hAnsi="Arial" w:cs="Arial"/>
                <w:szCs w:val="18"/>
                <w:lang w:val="en-CA" w:eastAsia="zh-CN"/>
              </w:rPr>
              <w:t>Limited</w:t>
            </w:r>
          </w:p>
        </w:tc>
        <w:tc>
          <w:tcPr>
            <w:tcW w:w="900" w:type="dxa"/>
            <w:shd w:val="clear" w:color="auto" w:fill="auto"/>
            <w:noWrap/>
            <w:vAlign w:val="bottom"/>
            <w:hideMark/>
          </w:tcPr>
          <w:p w14:paraId="733E4CD2"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1999</w:t>
            </w:r>
          </w:p>
        </w:tc>
        <w:tc>
          <w:tcPr>
            <w:tcW w:w="1260" w:type="dxa"/>
            <w:shd w:val="clear" w:color="auto" w:fill="auto"/>
            <w:noWrap/>
            <w:vAlign w:val="bottom"/>
            <w:hideMark/>
          </w:tcPr>
          <w:p w14:paraId="381616F7"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50</w:t>
            </w:r>
          </w:p>
        </w:tc>
        <w:tc>
          <w:tcPr>
            <w:tcW w:w="1260" w:type="dxa"/>
            <w:shd w:val="clear" w:color="auto" w:fill="auto"/>
            <w:noWrap/>
            <w:vAlign w:val="bottom"/>
            <w:hideMark/>
          </w:tcPr>
          <w:p w14:paraId="427BD32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17</w:t>
            </w:r>
          </w:p>
        </w:tc>
        <w:tc>
          <w:tcPr>
            <w:tcW w:w="900" w:type="dxa"/>
            <w:shd w:val="clear" w:color="auto" w:fill="auto"/>
            <w:noWrap/>
            <w:vAlign w:val="bottom"/>
            <w:hideMark/>
          </w:tcPr>
          <w:p w14:paraId="23615033"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37,638 </w:t>
            </w:r>
          </w:p>
        </w:tc>
        <w:tc>
          <w:tcPr>
            <w:tcW w:w="900" w:type="dxa"/>
            <w:shd w:val="clear" w:color="auto" w:fill="auto"/>
            <w:noWrap/>
            <w:vAlign w:val="bottom"/>
            <w:hideMark/>
          </w:tcPr>
          <w:p w14:paraId="674E68C0"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45,222 </w:t>
            </w:r>
          </w:p>
        </w:tc>
        <w:tc>
          <w:tcPr>
            <w:tcW w:w="1170" w:type="dxa"/>
            <w:shd w:val="clear" w:color="auto" w:fill="auto"/>
            <w:noWrap/>
            <w:vAlign w:val="bottom"/>
            <w:hideMark/>
          </w:tcPr>
          <w:p w14:paraId="46157EBE"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3,895</w:t>
            </w:r>
          </w:p>
        </w:tc>
        <w:tc>
          <w:tcPr>
            <w:tcW w:w="1260" w:type="dxa"/>
            <w:shd w:val="clear" w:color="auto" w:fill="auto"/>
            <w:noWrap/>
            <w:vAlign w:val="bottom"/>
            <w:hideMark/>
          </w:tcPr>
          <w:p w14:paraId="41AC1591"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383</w:t>
            </w:r>
          </w:p>
        </w:tc>
        <w:tc>
          <w:tcPr>
            <w:tcW w:w="1260" w:type="dxa"/>
            <w:shd w:val="clear" w:color="auto" w:fill="auto"/>
            <w:noWrap/>
            <w:vAlign w:val="bottom"/>
            <w:hideMark/>
          </w:tcPr>
          <w:p w14:paraId="01C42DA7"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277</w:t>
            </w:r>
          </w:p>
        </w:tc>
        <w:tc>
          <w:tcPr>
            <w:tcW w:w="1061" w:type="dxa"/>
            <w:shd w:val="clear" w:color="auto" w:fill="auto"/>
            <w:noWrap/>
            <w:vAlign w:val="bottom"/>
            <w:hideMark/>
          </w:tcPr>
          <w:p w14:paraId="5E180834"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10%</w:t>
            </w:r>
          </w:p>
        </w:tc>
      </w:tr>
      <w:tr w:rsidR="00913141" w:rsidRPr="005945EC" w14:paraId="74ADD929" w14:textId="77777777" w:rsidTr="00FA578A">
        <w:trPr>
          <w:trHeight w:val="248"/>
          <w:tblHeader/>
          <w:jc w:val="center"/>
        </w:trPr>
        <w:tc>
          <w:tcPr>
            <w:tcW w:w="2965" w:type="dxa"/>
            <w:shd w:val="clear" w:color="auto" w:fill="auto"/>
            <w:noWrap/>
            <w:vAlign w:val="bottom"/>
            <w:hideMark/>
          </w:tcPr>
          <w:p w14:paraId="1A5098E5" w14:textId="2122ACED"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 xml:space="preserve">TAP </w:t>
            </w:r>
            <w:r w:rsidR="00435649" w:rsidRPr="005945EC">
              <w:rPr>
                <w:rFonts w:ascii="Arial" w:hAnsi="Arial" w:cs="Arial"/>
                <w:szCs w:val="18"/>
                <w:lang w:val="en-CA" w:eastAsia="zh-CN"/>
              </w:rPr>
              <w:t xml:space="preserve">Air </w:t>
            </w:r>
            <w:r w:rsidRPr="005945EC">
              <w:rPr>
                <w:rFonts w:ascii="Arial" w:hAnsi="Arial" w:cs="Arial"/>
                <w:szCs w:val="18"/>
                <w:lang w:val="en-CA" w:eastAsia="zh-CN"/>
              </w:rPr>
              <w:t>Portugal</w:t>
            </w:r>
          </w:p>
        </w:tc>
        <w:tc>
          <w:tcPr>
            <w:tcW w:w="900" w:type="dxa"/>
            <w:shd w:val="clear" w:color="auto" w:fill="auto"/>
            <w:noWrap/>
            <w:vAlign w:val="bottom"/>
            <w:hideMark/>
          </w:tcPr>
          <w:p w14:paraId="21063E05"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2005</w:t>
            </w:r>
          </w:p>
        </w:tc>
        <w:tc>
          <w:tcPr>
            <w:tcW w:w="1260" w:type="dxa"/>
            <w:shd w:val="clear" w:color="auto" w:fill="auto"/>
            <w:noWrap/>
            <w:vAlign w:val="bottom"/>
            <w:hideMark/>
          </w:tcPr>
          <w:p w14:paraId="0785FB78" w14:textId="77777777" w:rsidR="00DA335A" w:rsidRPr="005945EC" w:rsidRDefault="00DA335A" w:rsidP="003E5A8D">
            <w:pPr>
              <w:jc w:val="right"/>
              <w:rPr>
                <w:rFonts w:ascii="Arial" w:hAnsi="Arial" w:cs="Arial"/>
                <w:szCs w:val="18"/>
                <w:lang w:val="en-CA" w:eastAsia="zh-CN"/>
              </w:rPr>
            </w:pPr>
            <w:bookmarkStart w:id="2" w:name="_GoBack"/>
            <w:bookmarkEnd w:id="2"/>
            <w:r w:rsidRPr="005945EC">
              <w:rPr>
                <w:rFonts w:ascii="Arial" w:hAnsi="Arial" w:cs="Arial"/>
                <w:szCs w:val="18"/>
                <w:lang w:val="en-CA" w:eastAsia="zh-CN"/>
              </w:rPr>
              <w:t>96</w:t>
            </w:r>
          </w:p>
        </w:tc>
        <w:tc>
          <w:tcPr>
            <w:tcW w:w="1260" w:type="dxa"/>
            <w:shd w:val="clear" w:color="auto" w:fill="auto"/>
            <w:noWrap/>
            <w:vAlign w:val="bottom"/>
            <w:hideMark/>
          </w:tcPr>
          <w:p w14:paraId="3A0CE02B"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16</w:t>
            </w:r>
          </w:p>
        </w:tc>
        <w:tc>
          <w:tcPr>
            <w:tcW w:w="900" w:type="dxa"/>
            <w:shd w:val="clear" w:color="auto" w:fill="auto"/>
            <w:noWrap/>
            <w:vAlign w:val="bottom"/>
            <w:hideMark/>
          </w:tcPr>
          <w:p w14:paraId="1B00A698"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38,000 </w:t>
            </w:r>
          </w:p>
        </w:tc>
        <w:tc>
          <w:tcPr>
            <w:tcW w:w="900" w:type="dxa"/>
            <w:shd w:val="clear" w:color="auto" w:fill="auto"/>
            <w:noWrap/>
            <w:vAlign w:val="bottom"/>
            <w:hideMark/>
          </w:tcPr>
          <w:p w14:paraId="0303C7F3"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47,000 </w:t>
            </w:r>
          </w:p>
        </w:tc>
        <w:tc>
          <w:tcPr>
            <w:tcW w:w="1170" w:type="dxa"/>
            <w:shd w:val="clear" w:color="auto" w:fill="auto"/>
            <w:noWrap/>
            <w:vAlign w:val="bottom"/>
            <w:hideMark/>
          </w:tcPr>
          <w:p w14:paraId="431A67A1"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3,768</w:t>
            </w:r>
          </w:p>
        </w:tc>
        <w:tc>
          <w:tcPr>
            <w:tcW w:w="1260" w:type="dxa"/>
            <w:shd w:val="clear" w:color="auto" w:fill="auto"/>
            <w:noWrap/>
            <w:vAlign w:val="bottom"/>
            <w:hideMark/>
          </w:tcPr>
          <w:p w14:paraId="670667BA"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(52)</w:t>
            </w:r>
          </w:p>
        </w:tc>
        <w:tc>
          <w:tcPr>
            <w:tcW w:w="1260" w:type="dxa"/>
            <w:shd w:val="clear" w:color="auto" w:fill="auto"/>
            <w:noWrap/>
            <w:vAlign w:val="bottom"/>
            <w:hideMark/>
          </w:tcPr>
          <w:p w14:paraId="7BC62C0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(139)</w:t>
            </w:r>
          </w:p>
        </w:tc>
        <w:tc>
          <w:tcPr>
            <w:tcW w:w="1061" w:type="dxa"/>
            <w:shd w:val="clear" w:color="auto" w:fill="auto"/>
            <w:noWrap/>
            <w:vAlign w:val="bottom"/>
            <w:hideMark/>
          </w:tcPr>
          <w:p w14:paraId="7C94D49F" w14:textId="16EC537A"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r w:rsidR="00DA335A" w:rsidRPr="005945EC">
              <w:rPr>
                <w:rFonts w:ascii="Arial" w:hAnsi="Arial" w:cs="Arial"/>
                <w:szCs w:val="18"/>
                <w:lang w:val="en-CA" w:eastAsia="zh-CN"/>
              </w:rPr>
              <w:t>1%</w:t>
            </w:r>
          </w:p>
        </w:tc>
      </w:tr>
      <w:tr w:rsidR="00913141" w:rsidRPr="005945EC" w14:paraId="12C9299C" w14:textId="77777777" w:rsidTr="00FA578A">
        <w:trPr>
          <w:trHeight w:val="248"/>
          <w:tblHeader/>
          <w:jc w:val="center"/>
        </w:trPr>
        <w:tc>
          <w:tcPr>
            <w:tcW w:w="2965" w:type="dxa"/>
            <w:shd w:val="clear" w:color="auto" w:fill="auto"/>
            <w:noWrap/>
            <w:vAlign w:val="bottom"/>
            <w:hideMark/>
          </w:tcPr>
          <w:p w14:paraId="4C70EE68" w14:textId="77777777"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Air India</w:t>
            </w:r>
          </w:p>
        </w:tc>
        <w:tc>
          <w:tcPr>
            <w:tcW w:w="900" w:type="dxa"/>
            <w:shd w:val="clear" w:color="auto" w:fill="auto"/>
            <w:noWrap/>
            <w:vAlign w:val="bottom"/>
            <w:hideMark/>
          </w:tcPr>
          <w:p w14:paraId="2376F701"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2014</w:t>
            </w:r>
          </w:p>
        </w:tc>
        <w:tc>
          <w:tcPr>
            <w:tcW w:w="1260" w:type="dxa"/>
            <w:shd w:val="clear" w:color="auto" w:fill="auto"/>
            <w:noWrap/>
            <w:vAlign w:val="bottom"/>
            <w:hideMark/>
          </w:tcPr>
          <w:p w14:paraId="25EEB86F"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102</w:t>
            </w:r>
          </w:p>
        </w:tc>
        <w:tc>
          <w:tcPr>
            <w:tcW w:w="1260" w:type="dxa"/>
            <w:shd w:val="clear" w:color="auto" w:fill="auto"/>
            <w:noWrap/>
            <w:vAlign w:val="bottom"/>
            <w:hideMark/>
          </w:tcPr>
          <w:p w14:paraId="52263059"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21</w:t>
            </w:r>
          </w:p>
        </w:tc>
        <w:tc>
          <w:tcPr>
            <w:tcW w:w="900" w:type="dxa"/>
            <w:shd w:val="clear" w:color="auto" w:fill="auto"/>
            <w:noWrap/>
            <w:vAlign w:val="bottom"/>
            <w:hideMark/>
          </w:tcPr>
          <w:p w14:paraId="1E199EC0"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48,625 </w:t>
            </w:r>
          </w:p>
        </w:tc>
        <w:tc>
          <w:tcPr>
            <w:tcW w:w="900" w:type="dxa"/>
            <w:shd w:val="clear" w:color="auto" w:fill="auto"/>
            <w:noWrap/>
            <w:vAlign w:val="bottom"/>
            <w:hideMark/>
          </w:tcPr>
          <w:p w14:paraId="57EBEC1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61,074 </w:t>
            </w:r>
          </w:p>
        </w:tc>
        <w:tc>
          <w:tcPr>
            <w:tcW w:w="1170" w:type="dxa"/>
            <w:shd w:val="clear" w:color="auto" w:fill="auto"/>
            <w:noWrap/>
            <w:vAlign w:val="bottom"/>
            <w:hideMark/>
          </w:tcPr>
          <w:p w14:paraId="10CDEF80"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3,566</w:t>
            </w:r>
          </w:p>
        </w:tc>
        <w:tc>
          <w:tcPr>
            <w:tcW w:w="1260" w:type="dxa"/>
            <w:shd w:val="clear" w:color="auto" w:fill="auto"/>
            <w:noWrap/>
            <w:vAlign w:val="bottom"/>
            <w:hideMark/>
          </w:tcPr>
          <w:p w14:paraId="4769C89B"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(257)</w:t>
            </w:r>
          </w:p>
        </w:tc>
        <w:tc>
          <w:tcPr>
            <w:tcW w:w="1260" w:type="dxa"/>
            <w:shd w:val="clear" w:color="auto" w:fill="auto"/>
            <w:noWrap/>
            <w:vAlign w:val="bottom"/>
            <w:hideMark/>
          </w:tcPr>
          <w:p w14:paraId="4041CA9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(829)</w:t>
            </w:r>
          </w:p>
        </w:tc>
        <w:tc>
          <w:tcPr>
            <w:tcW w:w="1061" w:type="dxa"/>
            <w:shd w:val="clear" w:color="auto" w:fill="auto"/>
            <w:noWrap/>
            <w:vAlign w:val="bottom"/>
            <w:hideMark/>
          </w:tcPr>
          <w:p w14:paraId="37069684" w14:textId="73832F23"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r w:rsidR="00DA335A" w:rsidRPr="005945EC">
              <w:rPr>
                <w:rFonts w:ascii="Arial" w:hAnsi="Arial" w:cs="Arial"/>
                <w:szCs w:val="18"/>
                <w:lang w:val="en-CA" w:eastAsia="zh-CN"/>
              </w:rPr>
              <w:t>7%</w:t>
            </w:r>
          </w:p>
        </w:tc>
      </w:tr>
      <w:tr w:rsidR="00913141" w:rsidRPr="005945EC" w14:paraId="14732941" w14:textId="77777777" w:rsidTr="00FA578A">
        <w:trPr>
          <w:trHeight w:val="248"/>
          <w:tblHeader/>
          <w:jc w:val="center"/>
        </w:trPr>
        <w:tc>
          <w:tcPr>
            <w:tcW w:w="2965" w:type="dxa"/>
            <w:shd w:val="clear" w:color="auto" w:fill="auto"/>
            <w:noWrap/>
            <w:vAlign w:val="bottom"/>
            <w:hideMark/>
          </w:tcPr>
          <w:p w14:paraId="4A4E0F7A" w14:textId="77777777"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Ethiopian Airlines</w:t>
            </w:r>
          </w:p>
        </w:tc>
        <w:tc>
          <w:tcPr>
            <w:tcW w:w="900" w:type="dxa"/>
            <w:shd w:val="clear" w:color="auto" w:fill="auto"/>
            <w:noWrap/>
            <w:vAlign w:val="bottom"/>
            <w:hideMark/>
          </w:tcPr>
          <w:p w14:paraId="2FB491F0"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2009</w:t>
            </w:r>
          </w:p>
        </w:tc>
        <w:tc>
          <w:tcPr>
            <w:tcW w:w="1260" w:type="dxa"/>
            <w:shd w:val="clear" w:color="auto" w:fill="auto"/>
            <w:noWrap/>
            <w:vAlign w:val="bottom"/>
            <w:hideMark/>
          </w:tcPr>
          <w:p w14:paraId="3D4F7D21"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116</w:t>
            </w:r>
          </w:p>
        </w:tc>
        <w:tc>
          <w:tcPr>
            <w:tcW w:w="1260" w:type="dxa"/>
            <w:shd w:val="clear" w:color="auto" w:fill="auto"/>
            <w:noWrap/>
            <w:vAlign w:val="bottom"/>
            <w:hideMark/>
          </w:tcPr>
          <w:p w14:paraId="2D8025C5"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11</w:t>
            </w:r>
          </w:p>
        </w:tc>
        <w:tc>
          <w:tcPr>
            <w:tcW w:w="900" w:type="dxa"/>
            <w:shd w:val="clear" w:color="auto" w:fill="auto"/>
            <w:noWrap/>
            <w:vAlign w:val="bottom"/>
            <w:hideMark/>
          </w:tcPr>
          <w:p w14:paraId="2835B4AF"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42,624 </w:t>
            </w:r>
          </w:p>
        </w:tc>
        <w:tc>
          <w:tcPr>
            <w:tcW w:w="900" w:type="dxa"/>
            <w:shd w:val="clear" w:color="auto" w:fill="auto"/>
            <w:noWrap/>
            <w:vAlign w:val="bottom"/>
            <w:hideMark/>
          </w:tcPr>
          <w:p w14:paraId="2F61674E"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57,842 </w:t>
            </w:r>
          </w:p>
        </w:tc>
        <w:tc>
          <w:tcPr>
            <w:tcW w:w="1170" w:type="dxa"/>
            <w:shd w:val="clear" w:color="auto" w:fill="auto"/>
            <w:noWrap/>
            <w:vAlign w:val="bottom"/>
            <w:hideMark/>
          </w:tcPr>
          <w:p w14:paraId="46C4EAF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3,318</w:t>
            </w:r>
          </w:p>
        </w:tc>
        <w:tc>
          <w:tcPr>
            <w:tcW w:w="1260" w:type="dxa"/>
            <w:shd w:val="clear" w:color="auto" w:fill="auto"/>
            <w:noWrap/>
            <w:vAlign w:val="bottom"/>
            <w:hideMark/>
          </w:tcPr>
          <w:p w14:paraId="0B77A29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226</w:t>
            </w:r>
          </w:p>
        </w:tc>
        <w:tc>
          <w:tcPr>
            <w:tcW w:w="1260" w:type="dxa"/>
            <w:shd w:val="clear" w:color="auto" w:fill="auto"/>
            <w:noWrap/>
            <w:vAlign w:val="bottom"/>
            <w:hideMark/>
          </w:tcPr>
          <w:p w14:paraId="07A60514"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233</w:t>
            </w:r>
          </w:p>
        </w:tc>
        <w:tc>
          <w:tcPr>
            <w:tcW w:w="1061" w:type="dxa"/>
            <w:shd w:val="clear" w:color="auto" w:fill="auto"/>
            <w:noWrap/>
            <w:vAlign w:val="bottom"/>
            <w:hideMark/>
          </w:tcPr>
          <w:p w14:paraId="071D91E8"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7%</w:t>
            </w:r>
          </w:p>
        </w:tc>
      </w:tr>
      <w:tr w:rsidR="00913141" w:rsidRPr="005945EC" w14:paraId="6C65382A" w14:textId="77777777" w:rsidTr="00FA578A">
        <w:trPr>
          <w:trHeight w:val="213"/>
          <w:tblHeader/>
          <w:jc w:val="center"/>
        </w:trPr>
        <w:tc>
          <w:tcPr>
            <w:tcW w:w="2965" w:type="dxa"/>
            <w:shd w:val="clear" w:color="auto" w:fill="auto"/>
            <w:noWrap/>
            <w:vAlign w:val="bottom"/>
            <w:hideMark/>
          </w:tcPr>
          <w:p w14:paraId="21027064" w14:textId="77777777"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Copa Airlines</w:t>
            </w:r>
          </w:p>
        </w:tc>
        <w:tc>
          <w:tcPr>
            <w:tcW w:w="900" w:type="dxa"/>
            <w:shd w:val="clear" w:color="auto" w:fill="auto"/>
            <w:noWrap/>
            <w:vAlign w:val="bottom"/>
            <w:hideMark/>
          </w:tcPr>
          <w:p w14:paraId="759E74A2"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2012</w:t>
            </w:r>
          </w:p>
        </w:tc>
        <w:tc>
          <w:tcPr>
            <w:tcW w:w="1260" w:type="dxa"/>
            <w:shd w:val="clear" w:color="auto" w:fill="auto"/>
            <w:noWrap/>
            <w:vAlign w:val="bottom"/>
            <w:hideMark/>
          </w:tcPr>
          <w:p w14:paraId="5AED4F8E"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80</w:t>
            </w:r>
          </w:p>
        </w:tc>
        <w:tc>
          <w:tcPr>
            <w:tcW w:w="1260" w:type="dxa"/>
            <w:shd w:val="clear" w:color="auto" w:fill="auto"/>
            <w:noWrap/>
            <w:vAlign w:val="bottom"/>
            <w:hideMark/>
          </w:tcPr>
          <w:p w14:paraId="5D11D938"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14</w:t>
            </w:r>
          </w:p>
        </w:tc>
        <w:tc>
          <w:tcPr>
            <w:tcW w:w="900" w:type="dxa"/>
            <w:shd w:val="clear" w:color="auto" w:fill="auto"/>
            <w:noWrap/>
            <w:vAlign w:val="bottom"/>
            <w:hideMark/>
          </w:tcPr>
          <w:p w14:paraId="10C722FF"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34,639 </w:t>
            </w:r>
          </w:p>
        </w:tc>
        <w:tc>
          <w:tcPr>
            <w:tcW w:w="900" w:type="dxa"/>
            <w:shd w:val="clear" w:color="auto" w:fill="auto"/>
            <w:noWrap/>
            <w:vAlign w:val="bottom"/>
            <w:hideMark/>
          </w:tcPr>
          <w:p w14:paraId="42964875"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41,538 </w:t>
            </w:r>
          </w:p>
        </w:tc>
        <w:tc>
          <w:tcPr>
            <w:tcW w:w="1170" w:type="dxa"/>
            <w:shd w:val="clear" w:color="auto" w:fill="auto"/>
            <w:noWrap/>
            <w:vAlign w:val="bottom"/>
            <w:hideMark/>
          </w:tcPr>
          <w:p w14:paraId="1A6696B5"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2,678</w:t>
            </w:r>
          </w:p>
        </w:tc>
        <w:tc>
          <w:tcPr>
            <w:tcW w:w="1260" w:type="dxa"/>
            <w:shd w:val="clear" w:color="auto" w:fill="auto"/>
            <w:noWrap/>
            <w:vAlign w:val="bottom"/>
            <w:hideMark/>
          </w:tcPr>
          <w:p w14:paraId="6CB06E4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145</w:t>
            </w:r>
          </w:p>
        </w:tc>
        <w:tc>
          <w:tcPr>
            <w:tcW w:w="1260" w:type="dxa"/>
            <w:shd w:val="clear" w:color="auto" w:fill="auto"/>
            <w:noWrap/>
            <w:vAlign w:val="bottom"/>
            <w:hideMark/>
          </w:tcPr>
          <w:p w14:paraId="478463E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88</w:t>
            </w:r>
          </w:p>
        </w:tc>
        <w:tc>
          <w:tcPr>
            <w:tcW w:w="1061" w:type="dxa"/>
            <w:shd w:val="clear" w:color="auto" w:fill="auto"/>
            <w:noWrap/>
            <w:vAlign w:val="bottom"/>
            <w:hideMark/>
          </w:tcPr>
          <w:p w14:paraId="3CFA60E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5%</w:t>
            </w:r>
          </w:p>
        </w:tc>
      </w:tr>
      <w:tr w:rsidR="00913141" w:rsidRPr="005945EC" w14:paraId="04EA71DC" w14:textId="77777777" w:rsidTr="00FA578A">
        <w:trPr>
          <w:trHeight w:val="248"/>
          <w:tblHeader/>
          <w:jc w:val="center"/>
        </w:trPr>
        <w:tc>
          <w:tcPr>
            <w:tcW w:w="2965" w:type="dxa"/>
            <w:shd w:val="clear" w:color="auto" w:fill="auto"/>
            <w:noWrap/>
            <w:vAlign w:val="bottom"/>
            <w:hideMark/>
          </w:tcPr>
          <w:p w14:paraId="02289BD2" w14:textId="77777777" w:rsidR="00DA335A" w:rsidRPr="005945EC" w:rsidRDefault="00DA335A" w:rsidP="003E5A8D">
            <w:pPr>
              <w:rPr>
                <w:rFonts w:ascii="Arial" w:hAnsi="Arial" w:cs="Arial"/>
                <w:szCs w:val="18"/>
                <w:lang w:val="en-CA" w:eastAsia="zh-CN"/>
              </w:rPr>
            </w:pPr>
            <w:r w:rsidRPr="005945EC">
              <w:rPr>
                <w:rFonts w:ascii="Arial" w:hAnsi="Arial" w:cs="Arial"/>
                <w:szCs w:val="18"/>
                <w:lang w:val="en-CA" w:eastAsia="zh-CN"/>
              </w:rPr>
              <w:t>South African Airways</w:t>
            </w:r>
          </w:p>
        </w:tc>
        <w:tc>
          <w:tcPr>
            <w:tcW w:w="900" w:type="dxa"/>
            <w:shd w:val="clear" w:color="auto" w:fill="auto"/>
            <w:noWrap/>
            <w:vAlign w:val="bottom"/>
            <w:hideMark/>
          </w:tcPr>
          <w:p w14:paraId="6AEE84CE" w14:textId="77777777" w:rsidR="00DA335A" w:rsidRPr="005945EC" w:rsidRDefault="00DA335A" w:rsidP="003E5A8D">
            <w:pPr>
              <w:jc w:val="center"/>
              <w:rPr>
                <w:rFonts w:ascii="Arial" w:hAnsi="Arial" w:cs="Arial"/>
                <w:szCs w:val="18"/>
                <w:lang w:val="en-CA" w:eastAsia="zh-CN"/>
              </w:rPr>
            </w:pPr>
            <w:r w:rsidRPr="005945EC">
              <w:rPr>
                <w:rFonts w:ascii="Arial" w:hAnsi="Arial" w:cs="Arial"/>
                <w:szCs w:val="18"/>
                <w:lang w:val="en-CA" w:eastAsia="zh-CN"/>
              </w:rPr>
              <w:t>2006</w:t>
            </w:r>
          </w:p>
        </w:tc>
        <w:tc>
          <w:tcPr>
            <w:tcW w:w="1260" w:type="dxa"/>
            <w:shd w:val="clear" w:color="auto" w:fill="auto"/>
            <w:noWrap/>
            <w:vAlign w:val="bottom"/>
            <w:hideMark/>
          </w:tcPr>
          <w:p w14:paraId="5B69B18C"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57</w:t>
            </w:r>
          </w:p>
        </w:tc>
        <w:tc>
          <w:tcPr>
            <w:tcW w:w="1260" w:type="dxa"/>
            <w:shd w:val="clear" w:color="auto" w:fill="auto"/>
            <w:noWrap/>
            <w:vAlign w:val="bottom"/>
            <w:hideMark/>
          </w:tcPr>
          <w:p w14:paraId="00CD2932"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6.9</w:t>
            </w:r>
          </w:p>
        </w:tc>
        <w:tc>
          <w:tcPr>
            <w:tcW w:w="900" w:type="dxa"/>
            <w:shd w:val="clear" w:color="auto" w:fill="auto"/>
            <w:noWrap/>
            <w:vAlign w:val="bottom"/>
            <w:hideMark/>
          </w:tcPr>
          <w:p w14:paraId="59B214C4"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19,000 </w:t>
            </w:r>
          </w:p>
        </w:tc>
        <w:tc>
          <w:tcPr>
            <w:tcW w:w="900" w:type="dxa"/>
            <w:shd w:val="clear" w:color="auto" w:fill="auto"/>
            <w:noWrap/>
            <w:vAlign w:val="bottom"/>
            <w:hideMark/>
          </w:tcPr>
          <w:p w14:paraId="1FD3867D"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 xml:space="preserve"> 26,000 </w:t>
            </w:r>
          </w:p>
        </w:tc>
        <w:tc>
          <w:tcPr>
            <w:tcW w:w="1170" w:type="dxa"/>
            <w:shd w:val="clear" w:color="auto" w:fill="auto"/>
            <w:noWrap/>
            <w:vAlign w:val="bottom"/>
            <w:hideMark/>
          </w:tcPr>
          <w:p w14:paraId="10DB1BD7" w14:textId="77777777" w:rsidR="00DA335A" w:rsidRPr="005945EC" w:rsidRDefault="00DA335A" w:rsidP="003E5A8D">
            <w:pPr>
              <w:jc w:val="right"/>
              <w:rPr>
                <w:rFonts w:ascii="Arial" w:hAnsi="Arial" w:cs="Arial"/>
                <w:szCs w:val="18"/>
                <w:lang w:val="en-CA" w:eastAsia="zh-CN"/>
              </w:rPr>
            </w:pPr>
            <w:r w:rsidRPr="005945EC">
              <w:rPr>
                <w:rFonts w:ascii="Arial" w:hAnsi="Arial" w:cs="Arial"/>
                <w:szCs w:val="18"/>
                <w:lang w:val="en-CA" w:eastAsia="zh-CN"/>
              </w:rPr>
              <w:t>2,200</w:t>
            </w:r>
          </w:p>
        </w:tc>
        <w:tc>
          <w:tcPr>
            <w:tcW w:w="1260" w:type="dxa"/>
            <w:shd w:val="clear" w:color="auto" w:fill="auto"/>
            <w:noWrap/>
            <w:vAlign w:val="bottom"/>
            <w:hideMark/>
          </w:tcPr>
          <w:p w14:paraId="40C7C3F3" w14:textId="71706546"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p>
        </w:tc>
        <w:tc>
          <w:tcPr>
            <w:tcW w:w="1260" w:type="dxa"/>
            <w:shd w:val="clear" w:color="auto" w:fill="auto"/>
            <w:noWrap/>
            <w:vAlign w:val="bottom"/>
            <w:hideMark/>
          </w:tcPr>
          <w:p w14:paraId="4AB507A2" w14:textId="04D83CF7"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p>
        </w:tc>
        <w:tc>
          <w:tcPr>
            <w:tcW w:w="1061" w:type="dxa"/>
            <w:shd w:val="clear" w:color="auto" w:fill="auto"/>
            <w:noWrap/>
            <w:vAlign w:val="bottom"/>
            <w:hideMark/>
          </w:tcPr>
          <w:p w14:paraId="1DF2C133" w14:textId="29C4506B" w:rsidR="00DA335A" w:rsidRPr="005945EC" w:rsidRDefault="00E50E9A" w:rsidP="003E5A8D">
            <w:pPr>
              <w:jc w:val="right"/>
              <w:rPr>
                <w:rFonts w:ascii="Arial" w:hAnsi="Arial" w:cs="Arial"/>
                <w:szCs w:val="18"/>
                <w:lang w:val="en-CA" w:eastAsia="zh-CN"/>
              </w:rPr>
            </w:pPr>
            <w:r w:rsidRPr="005945EC">
              <w:rPr>
                <w:rFonts w:ascii="Arial" w:hAnsi="Arial" w:cs="Arial"/>
                <w:szCs w:val="18"/>
                <w:lang w:val="en-CA" w:eastAsia="zh-CN"/>
              </w:rPr>
              <w:t>—</w:t>
            </w:r>
          </w:p>
        </w:tc>
      </w:tr>
    </w:tbl>
    <w:p w14:paraId="311EBE78" w14:textId="77777777" w:rsidR="00DA335A" w:rsidRPr="005945EC" w:rsidRDefault="00DA335A" w:rsidP="00DA335A">
      <w:pPr>
        <w:rPr>
          <w:b/>
          <w:bCs/>
          <w:lang w:val="en-CA"/>
        </w:rPr>
      </w:pPr>
    </w:p>
    <w:p w14:paraId="1A604026" w14:textId="3C43CB87" w:rsidR="004B5F3E" w:rsidRPr="005945EC" w:rsidRDefault="004B5F3E" w:rsidP="009E3D79">
      <w:pPr>
        <w:pStyle w:val="Footnote"/>
        <w:rPr>
          <w:lang w:val="en-CA"/>
        </w:rPr>
      </w:pPr>
      <w:r w:rsidRPr="005945EC">
        <w:rPr>
          <w:lang w:val="en-CA"/>
        </w:rPr>
        <w:t xml:space="preserve">Note: RPK = </w:t>
      </w:r>
      <w:r w:rsidR="008143A7" w:rsidRPr="005945EC">
        <w:rPr>
          <w:lang w:val="en-CA"/>
        </w:rPr>
        <w:t>revenue passenger kilometres</w:t>
      </w:r>
      <w:r w:rsidRPr="005945EC">
        <w:rPr>
          <w:lang w:val="en-CA"/>
        </w:rPr>
        <w:t xml:space="preserve">; ASK = </w:t>
      </w:r>
      <w:r w:rsidR="008143A7" w:rsidRPr="005945EC">
        <w:rPr>
          <w:lang w:val="en-CA"/>
        </w:rPr>
        <w:t>available seat kilometres</w:t>
      </w:r>
      <w:r w:rsidR="005945EC" w:rsidRPr="005945EC">
        <w:rPr>
          <w:lang w:val="en-CA"/>
        </w:rPr>
        <w:t>.</w:t>
      </w:r>
      <w:r w:rsidR="008143A7" w:rsidRPr="005945EC">
        <w:rPr>
          <w:lang w:val="en-CA"/>
        </w:rPr>
        <w:t xml:space="preserve"> </w:t>
      </w:r>
    </w:p>
    <w:p w14:paraId="1D1E423A" w14:textId="66A9B025" w:rsidR="00DA335A" w:rsidRPr="005945EC" w:rsidRDefault="00DA335A" w:rsidP="009E3D79">
      <w:pPr>
        <w:pStyle w:val="Footnote"/>
        <w:rPr>
          <w:lang w:val="en-CA"/>
        </w:rPr>
      </w:pPr>
      <w:r w:rsidRPr="005945EC">
        <w:rPr>
          <w:lang w:val="en-CA"/>
        </w:rPr>
        <w:t>Source:</w:t>
      </w:r>
      <w:r w:rsidR="00BD3275" w:rsidRPr="005945EC">
        <w:rPr>
          <w:lang w:val="en-CA"/>
        </w:rPr>
        <w:t xml:space="preserve"> </w:t>
      </w:r>
      <w:r w:rsidR="00C673DC" w:rsidRPr="005945EC">
        <w:rPr>
          <w:lang w:val="en-CA"/>
        </w:rPr>
        <w:t>“</w:t>
      </w:r>
      <w:r w:rsidR="007F3FE7" w:rsidRPr="005945EC">
        <w:rPr>
          <w:lang w:val="en-CA"/>
        </w:rPr>
        <w:t xml:space="preserve">Free Download: Airline Business 2018–2019 Digital Special Edition,” </w:t>
      </w:r>
      <w:proofErr w:type="spellStart"/>
      <w:r w:rsidR="007F3FE7" w:rsidRPr="005945EC">
        <w:rPr>
          <w:lang w:val="en-CA"/>
        </w:rPr>
        <w:t>FlightGlobal</w:t>
      </w:r>
      <w:proofErr w:type="spellEnd"/>
      <w:r w:rsidR="007F3FE7" w:rsidRPr="005945EC">
        <w:rPr>
          <w:lang w:val="en-CA"/>
        </w:rPr>
        <w:t>, accessed December 14, 2020, www.flightglobal.com/strategy/free-download-airline-business-2018-2019-digital-special-edition/130692.article</w:t>
      </w:r>
      <w:r w:rsidR="00BD3275" w:rsidRPr="005945EC">
        <w:rPr>
          <w:lang w:val="en-CA"/>
        </w:rPr>
        <w:t xml:space="preserve">.  </w:t>
      </w:r>
      <w:r w:rsidR="00BD3275" w:rsidRPr="005945EC" w:rsidDel="00BD3275">
        <w:rPr>
          <w:lang w:val="en-CA"/>
        </w:rPr>
        <w:t xml:space="preserve"> </w:t>
      </w:r>
      <w:r w:rsidRPr="005945EC">
        <w:rPr>
          <w:lang w:val="en-CA"/>
        </w:rPr>
        <w:br w:type="page"/>
      </w:r>
    </w:p>
    <w:p w14:paraId="121DBF5A" w14:textId="397D26A4" w:rsidR="009E3D79" w:rsidRPr="005945EC" w:rsidRDefault="00954EEB" w:rsidP="009E3D79">
      <w:pPr>
        <w:pStyle w:val="ExhibitHeading"/>
        <w:rPr>
          <w:lang w:val="en-CA"/>
        </w:rPr>
      </w:pPr>
      <w:r w:rsidRPr="005945EC">
        <w:rPr>
          <w:b w:val="0"/>
          <w:noProof/>
          <w:spacing w:val="-6"/>
          <w:sz w:val="22"/>
          <w:szCs w:val="22"/>
          <w:lang w:val="en-CA" w:eastAsia="en-CA"/>
        </w:rPr>
        <w:lastRenderedPageBreak/>
        <w:drawing>
          <wp:anchor distT="0" distB="0" distL="114300" distR="114300" simplePos="0" relativeHeight="251660288" behindDoc="0" locked="0" layoutInCell="1" allowOverlap="1" wp14:anchorId="7A47BF98" wp14:editId="26F947FC">
            <wp:simplePos x="0" y="0"/>
            <wp:positionH relativeFrom="margin">
              <wp:align>right</wp:align>
            </wp:positionH>
            <wp:positionV relativeFrom="paragraph">
              <wp:posOffset>2602865</wp:posOffset>
            </wp:positionV>
            <wp:extent cx="3656330" cy="2251075"/>
            <wp:effectExtent l="0" t="0" r="1270" b="0"/>
            <wp:wrapTopAndBottom/>
            <wp:docPr id="5" name="Picture 5" descr="Chart depicting Oneworld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1-03 at 11.27.10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995" cy="2252611"/>
                    </a:xfrm>
                    <a:prstGeom prst="rect">
                      <a:avLst/>
                    </a:prstGeom>
                  </pic:spPr>
                </pic:pic>
              </a:graphicData>
            </a:graphic>
            <wp14:sizeRelH relativeFrom="margin">
              <wp14:pctWidth>0</wp14:pctWidth>
            </wp14:sizeRelH>
            <wp14:sizeRelV relativeFrom="margin">
              <wp14:pctHeight>0</wp14:pctHeight>
            </wp14:sizeRelV>
          </wp:anchor>
        </w:drawing>
      </w:r>
      <w:r w:rsidRPr="005945EC">
        <w:rPr>
          <w:b w:val="0"/>
          <w:noProof/>
          <w:spacing w:val="-6"/>
          <w:sz w:val="22"/>
          <w:szCs w:val="22"/>
          <w:lang w:val="en-CA" w:eastAsia="en-CA"/>
        </w:rPr>
        <w:drawing>
          <wp:anchor distT="0" distB="0" distL="114300" distR="114300" simplePos="0" relativeHeight="251658240" behindDoc="0" locked="0" layoutInCell="1" allowOverlap="1" wp14:anchorId="7662E975" wp14:editId="3F6464A1">
            <wp:simplePos x="0" y="0"/>
            <wp:positionH relativeFrom="margin">
              <wp:align>left</wp:align>
            </wp:positionH>
            <wp:positionV relativeFrom="paragraph">
              <wp:posOffset>214630</wp:posOffset>
            </wp:positionV>
            <wp:extent cx="4544060" cy="4639945"/>
            <wp:effectExtent l="0" t="0" r="8890" b="8255"/>
            <wp:wrapTopAndBottom/>
            <wp:docPr id="4" name="Picture 4" descr="Chart depicting Star Alliance membe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1-03 at 11.26.53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3031" cy="4659594"/>
                    </a:xfrm>
                    <a:prstGeom prst="rect">
                      <a:avLst/>
                    </a:prstGeom>
                  </pic:spPr>
                </pic:pic>
              </a:graphicData>
            </a:graphic>
            <wp14:sizeRelH relativeFrom="margin">
              <wp14:pctWidth>0</wp14:pctWidth>
            </wp14:sizeRelH>
            <wp14:sizeRelV relativeFrom="margin">
              <wp14:pctHeight>0</wp14:pctHeight>
            </wp14:sizeRelV>
          </wp:anchor>
        </w:drawing>
      </w:r>
      <w:r w:rsidRPr="005945EC">
        <w:rPr>
          <w:b w:val="0"/>
          <w:noProof/>
          <w:spacing w:val="-6"/>
          <w:sz w:val="22"/>
          <w:szCs w:val="22"/>
          <w:lang w:val="en-CA" w:eastAsia="en-CA"/>
        </w:rPr>
        <w:drawing>
          <wp:anchor distT="0" distB="0" distL="114300" distR="114300" simplePos="0" relativeHeight="251662336" behindDoc="0" locked="0" layoutInCell="1" allowOverlap="1" wp14:anchorId="5889CF64" wp14:editId="7E02D7E8">
            <wp:simplePos x="0" y="0"/>
            <wp:positionH relativeFrom="page">
              <wp:posOffset>5472278</wp:posOffset>
            </wp:positionH>
            <wp:positionV relativeFrom="paragraph">
              <wp:posOffset>234628</wp:posOffset>
            </wp:positionV>
            <wp:extent cx="3692525" cy="2333625"/>
            <wp:effectExtent l="0" t="0" r="3175" b="9525"/>
            <wp:wrapTopAndBottom/>
            <wp:docPr id="2" name="Picture 2" descr="Chart depicting SkyTeam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1-02 at 9.09.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2525" cy="2333625"/>
                    </a:xfrm>
                    <a:prstGeom prst="rect">
                      <a:avLst/>
                    </a:prstGeom>
                  </pic:spPr>
                </pic:pic>
              </a:graphicData>
            </a:graphic>
            <wp14:sizeRelH relativeFrom="margin">
              <wp14:pctWidth>0</wp14:pctWidth>
            </wp14:sizeRelH>
            <wp14:sizeRelV relativeFrom="margin">
              <wp14:pctHeight>0</wp14:pctHeight>
            </wp14:sizeRelV>
          </wp:anchor>
        </w:drawing>
      </w:r>
      <w:r w:rsidR="009E3D79" w:rsidRPr="005945EC">
        <w:rPr>
          <w:lang w:val="en-CA"/>
        </w:rPr>
        <w:t>Exhibit 2: Members of Major Airline Alliances</w:t>
      </w:r>
    </w:p>
    <w:p w14:paraId="1A429845" w14:textId="6B093284" w:rsidR="009E3D79" w:rsidRPr="005945EC" w:rsidRDefault="009E3D79" w:rsidP="009E3D79">
      <w:pPr>
        <w:pStyle w:val="ExhibitText"/>
        <w:rPr>
          <w:lang w:val="en-CA"/>
        </w:rPr>
      </w:pPr>
    </w:p>
    <w:p w14:paraId="69A08AB9" w14:textId="748AE5CC" w:rsidR="0069217E" w:rsidRPr="005945EC" w:rsidRDefault="0069217E">
      <w:pPr>
        <w:pStyle w:val="Footnote"/>
        <w:rPr>
          <w:lang w:val="en-CA"/>
        </w:rPr>
      </w:pPr>
      <w:r w:rsidRPr="005945EC">
        <w:rPr>
          <w:lang w:val="en-CA"/>
        </w:rPr>
        <w:t xml:space="preserve">Note: </w:t>
      </w:r>
      <w:r w:rsidR="00F47966" w:rsidRPr="005945EC">
        <w:rPr>
          <w:lang w:val="en-CA"/>
        </w:rPr>
        <w:t>For a</w:t>
      </w:r>
      <w:r w:rsidRPr="005945EC">
        <w:rPr>
          <w:lang w:val="en-CA"/>
        </w:rPr>
        <w:t xml:space="preserve">ll </w:t>
      </w:r>
      <w:r w:rsidR="00F47966" w:rsidRPr="005945EC">
        <w:rPr>
          <w:lang w:val="en-CA"/>
        </w:rPr>
        <w:t xml:space="preserve">airlines in these three charts, the brand name (rather than full company name) is used. </w:t>
      </w:r>
    </w:p>
    <w:p w14:paraId="363D9E6F" w14:textId="2B13CD4A" w:rsidR="00294FDD" w:rsidRPr="005945EC" w:rsidRDefault="0069217E" w:rsidP="00507B2E">
      <w:pPr>
        <w:pStyle w:val="Footnote"/>
        <w:rPr>
          <w:lang w:val="en-CA"/>
        </w:rPr>
        <w:sectPr w:rsidR="00294FDD" w:rsidRPr="005945EC" w:rsidSect="00294FDD">
          <w:headerReference w:type="default" r:id="rId13"/>
          <w:endnotePr>
            <w:numFmt w:val="decimal"/>
          </w:endnotePr>
          <w:pgSz w:w="15840" w:h="12240" w:orient="landscape" w:code="1"/>
          <w:pgMar w:top="1440" w:right="1440" w:bottom="1440" w:left="1440" w:header="1080" w:footer="720" w:gutter="0"/>
          <w:cols w:space="720"/>
          <w:docGrid w:linePitch="360"/>
        </w:sectPr>
      </w:pPr>
      <w:r w:rsidRPr="005945EC">
        <w:rPr>
          <w:lang w:val="en-CA"/>
        </w:rPr>
        <w:t xml:space="preserve">Source: </w:t>
      </w:r>
      <w:r w:rsidR="00DE203E" w:rsidRPr="005945EC">
        <w:rPr>
          <w:lang w:val="en-CA"/>
        </w:rPr>
        <w:t xml:space="preserve">Prepared by the case </w:t>
      </w:r>
      <w:r w:rsidR="00954EEB" w:rsidRPr="005945EC">
        <w:rPr>
          <w:lang w:val="en-CA"/>
        </w:rPr>
        <w:t xml:space="preserve">authors with information from Graham Dunn, “ANALYSIS: The 20-Year History of Global Airline Alliances,” </w:t>
      </w:r>
      <w:proofErr w:type="spellStart"/>
      <w:r w:rsidR="00954EEB" w:rsidRPr="005945EC">
        <w:rPr>
          <w:lang w:val="en-CA"/>
        </w:rPr>
        <w:t>Flight</w:t>
      </w:r>
      <w:r w:rsidR="00AE0394" w:rsidRPr="005945EC">
        <w:rPr>
          <w:lang w:val="en-CA"/>
        </w:rPr>
        <w:t>G</w:t>
      </w:r>
      <w:r w:rsidR="00954EEB" w:rsidRPr="005945EC">
        <w:rPr>
          <w:lang w:val="en-CA"/>
        </w:rPr>
        <w:t>lobal</w:t>
      </w:r>
      <w:proofErr w:type="spellEnd"/>
      <w:r w:rsidR="00954EEB" w:rsidRPr="005945EC">
        <w:rPr>
          <w:i/>
          <w:lang w:val="en-CA"/>
        </w:rPr>
        <w:t>,</w:t>
      </w:r>
      <w:r w:rsidR="00954EEB" w:rsidRPr="005945EC">
        <w:rPr>
          <w:lang w:val="en-CA"/>
        </w:rPr>
        <w:t xml:space="preserve"> May 15, 2017, accessed December 14, 2020, www.flightglobal.com/analysis/analysis-the-20-year-history-of-global-airline-alliances/123979.article.</w:t>
      </w:r>
    </w:p>
    <w:p w14:paraId="7A9BB6E7" w14:textId="7240D917" w:rsidR="00913141" w:rsidRPr="005945EC" w:rsidRDefault="00913141" w:rsidP="00913141">
      <w:pPr>
        <w:pStyle w:val="ExhibitHeading"/>
        <w:rPr>
          <w:lang w:val="en-CA"/>
        </w:rPr>
      </w:pPr>
      <w:r w:rsidRPr="005945EC">
        <w:rPr>
          <w:lang w:val="en-CA"/>
        </w:rPr>
        <w:lastRenderedPageBreak/>
        <w:t xml:space="preserve">Exhibit </w:t>
      </w:r>
      <w:r w:rsidR="00F470CF" w:rsidRPr="005945EC">
        <w:rPr>
          <w:lang w:val="en-CA"/>
        </w:rPr>
        <w:t>3</w:t>
      </w:r>
      <w:r w:rsidRPr="005945EC">
        <w:rPr>
          <w:lang w:val="en-CA"/>
        </w:rPr>
        <w:t>: Sample of Connections Made for Flights between Frankfurt</w:t>
      </w:r>
      <w:r w:rsidR="00DE203E" w:rsidRPr="005945EC">
        <w:rPr>
          <w:lang w:val="en-CA"/>
        </w:rPr>
        <w:t>, Germany</w:t>
      </w:r>
      <w:r w:rsidRPr="005945EC">
        <w:rPr>
          <w:lang w:val="en-CA"/>
        </w:rPr>
        <w:t xml:space="preserve"> and New York</w:t>
      </w:r>
      <w:r w:rsidR="00DE203E" w:rsidRPr="005945EC">
        <w:rPr>
          <w:lang w:val="en-CA"/>
        </w:rPr>
        <w:t>, United States</w:t>
      </w:r>
    </w:p>
    <w:p w14:paraId="5E299EA7" w14:textId="6573A2E6" w:rsidR="00913141" w:rsidRPr="005945EC" w:rsidRDefault="00913141" w:rsidP="00913141">
      <w:pPr>
        <w:pStyle w:val="Footnote"/>
        <w:rPr>
          <w:lang w:val="en-CA"/>
        </w:rPr>
      </w:pPr>
    </w:p>
    <w:tbl>
      <w:tblPr>
        <w:tblStyle w:val="TableGrid"/>
        <w:tblW w:w="9342" w:type="dxa"/>
        <w:jc w:val="center"/>
        <w:tblLook w:val="04A0" w:firstRow="1" w:lastRow="0" w:firstColumn="1" w:lastColumn="0" w:noHBand="0" w:noVBand="1"/>
        <w:tblCaption w:val="Exhibit 3"/>
        <w:tblDescription w:val="Table depicting sample of connections made for flights between Frankfurt, Germany, and New York, United States"/>
      </w:tblPr>
      <w:tblGrid>
        <w:gridCol w:w="2425"/>
        <w:gridCol w:w="1260"/>
        <w:gridCol w:w="1260"/>
        <w:gridCol w:w="1080"/>
        <w:gridCol w:w="1818"/>
        <w:gridCol w:w="1499"/>
      </w:tblGrid>
      <w:tr w:rsidR="00E50E9A" w:rsidRPr="005945EC" w14:paraId="10F5C472" w14:textId="77777777" w:rsidTr="00FA578A">
        <w:trPr>
          <w:trHeight w:val="428"/>
          <w:tblHeader/>
          <w:jc w:val="center"/>
        </w:trPr>
        <w:tc>
          <w:tcPr>
            <w:tcW w:w="2425" w:type="dxa"/>
            <w:hideMark/>
          </w:tcPr>
          <w:p w14:paraId="4BFC2997" w14:textId="05405D41" w:rsidR="00913141" w:rsidRPr="005945EC" w:rsidRDefault="00913141" w:rsidP="00E50E9A">
            <w:pPr>
              <w:jc w:val="center"/>
              <w:rPr>
                <w:rFonts w:ascii="Arial" w:hAnsi="Arial" w:cs="Arial"/>
                <w:b/>
                <w:bCs/>
                <w:sz w:val="18"/>
                <w:szCs w:val="18"/>
                <w:lang w:val="en-CA" w:eastAsia="zh-CN"/>
              </w:rPr>
            </w:pPr>
            <w:r w:rsidRPr="005945EC">
              <w:rPr>
                <w:rFonts w:ascii="Arial" w:hAnsi="Arial" w:cs="Arial"/>
                <w:b/>
                <w:bCs/>
                <w:sz w:val="18"/>
                <w:szCs w:val="18"/>
                <w:lang w:val="en-CA" w:eastAsia="zh-CN"/>
              </w:rPr>
              <w:t>Airline for Cross-Atlantic Leg</w:t>
            </w:r>
            <w:r w:rsidR="00DE203E" w:rsidRPr="005945EC">
              <w:rPr>
                <w:rFonts w:ascii="Arial" w:hAnsi="Arial" w:cs="Arial"/>
                <w:b/>
                <w:bCs/>
                <w:sz w:val="18"/>
                <w:szCs w:val="18"/>
                <w:lang w:val="en-CA" w:eastAsia="zh-CN"/>
              </w:rPr>
              <w:t>—</w:t>
            </w:r>
            <w:r w:rsidRPr="005945EC">
              <w:rPr>
                <w:rFonts w:ascii="Arial" w:hAnsi="Arial" w:cs="Arial"/>
                <w:b/>
                <w:bCs/>
                <w:sz w:val="18"/>
                <w:szCs w:val="18"/>
                <w:lang w:val="en-CA" w:eastAsia="zh-CN"/>
              </w:rPr>
              <w:t>Frankfurt</w:t>
            </w:r>
            <w:r w:rsidR="00DE203E" w:rsidRPr="005945EC">
              <w:rPr>
                <w:rFonts w:ascii="Arial" w:hAnsi="Arial" w:cs="Arial"/>
                <w:b/>
                <w:bCs/>
                <w:sz w:val="18"/>
                <w:szCs w:val="18"/>
                <w:lang w:val="en-CA" w:eastAsia="zh-CN"/>
              </w:rPr>
              <w:t xml:space="preserve"> to </w:t>
            </w:r>
            <w:r w:rsidR="00E50E9A" w:rsidRPr="005945EC">
              <w:rPr>
                <w:rFonts w:ascii="Arial" w:hAnsi="Arial" w:cs="Arial"/>
                <w:b/>
                <w:bCs/>
                <w:sz w:val="18"/>
                <w:szCs w:val="18"/>
                <w:lang w:val="en-CA" w:eastAsia="zh-CN"/>
              </w:rPr>
              <w:br/>
            </w:r>
            <w:r w:rsidR="00DE203E" w:rsidRPr="005945EC">
              <w:rPr>
                <w:rFonts w:ascii="Arial" w:hAnsi="Arial" w:cs="Arial"/>
                <w:b/>
                <w:bCs/>
                <w:sz w:val="18"/>
                <w:szCs w:val="18"/>
                <w:lang w:val="en-CA" w:eastAsia="zh-CN"/>
              </w:rPr>
              <w:t>New York</w:t>
            </w:r>
          </w:p>
        </w:tc>
        <w:tc>
          <w:tcPr>
            <w:tcW w:w="1260" w:type="dxa"/>
            <w:hideMark/>
          </w:tcPr>
          <w:p w14:paraId="23D46996" w14:textId="77777777" w:rsidR="00913141" w:rsidRPr="005945EC" w:rsidRDefault="00913141" w:rsidP="00913141">
            <w:pPr>
              <w:jc w:val="center"/>
              <w:rPr>
                <w:rFonts w:ascii="Arial" w:hAnsi="Arial" w:cs="Arial"/>
                <w:b/>
                <w:bCs/>
                <w:sz w:val="18"/>
                <w:szCs w:val="18"/>
                <w:lang w:val="en-CA" w:eastAsia="zh-CN"/>
              </w:rPr>
            </w:pPr>
            <w:r w:rsidRPr="005945EC">
              <w:rPr>
                <w:rFonts w:ascii="Arial" w:hAnsi="Arial" w:cs="Arial"/>
                <w:b/>
                <w:bCs/>
                <w:sz w:val="18"/>
                <w:szCs w:val="18"/>
                <w:lang w:val="en-CA" w:eastAsia="zh-CN"/>
              </w:rPr>
              <w:t>Connecting Flights by Leg Type</w:t>
            </w:r>
          </w:p>
        </w:tc>
        <w:tc>
          <w:tcPr>
            <w:tcW w:w="1260" w:type="dxa"/>
            <w:hideMark/>
          </w:tcPr>
          <w:p w14:paraId="26E37044" w14:textId="6748837F" w:rsidR="00913141" w:rsidRPr="005945EC" w:rsidRDefault="00913141" w:rsidP="00913141">
            <w:pPr>
              <w:jc w:val="center"/>
              <w:rPr>
                <w:rFonts w:ascii="Arial" w:hAnsi="Arial" w:cs="Arial"/>
                <w:b/>
                <w:bCs/>
                <w:sz w:val="18"/>
                <w:szCs w:val="18"/>
                <w:lang w:val="en-CA" w:eastAsia="zh-CN"/>
              </w:rPr>
            </w:pPr>
            <w:r w:rsidRPr="005945EC">
              <w:rPr>
                <w:rFonts w:ascii="Arial" w:hAnsi="Arial" w:cs="Arial"/>
                <w:b/>
                <w:bCs/>
                <w:sz w:val="18"/>
                <w:szCs w:val="18"/>
                <w:lang w:val="en-CA" w:eastAsia="zh-CN"/>
              </w:rPr>
              <w:t>Number of Passengers (</w:t>
            </w:r>
            <w:r w:rsidR="00DE203E" w:rsidRPr="005945EC">
              <w:rPr>
                <w:rFonts w:ascii="Arial" w:hAnsi="Arial" w:cs="Arial"/>
                <w:b/>
                <w:bCs/>
                <w:sz w:val="18"/>
                <w:szCs w:val="18"/>
                <w:lang w:val="en-CA" w:eastAsia="zh-CN"/>
              </w:rPr>
              <w:t xml:space="preserve">in </w:t>
            </w:r>
            <w:r w:rsidRPr="005945EC">
              <w:rPr>
                <w:rFonts w:ascii="Arial" w:hAnsi="Arial" w:cs="Arial"/>
                <w:b/>
                <w:bCs/>
                <w:sz w:val="18"/>
                <w:szCs w:val="18"/>
                <w:lang w:val="en-CA" w:eastAsia="zh-CN"/>
              </w:rPr>
              <w:t>000s)</w:t>
            </w:r>
          </w:p>
        </w:tc>
        <w:tc>
          <w:tcPr>
            <w:tcW w:w="1080" w:type="dxa"/>
            <w:hideMark/>
          </w:tcPr>
          <w:p w14:paraId="7E56B332" w14:textId="77777777" w:rsidR="00913141" w:rsidRPr="005945EC" w:rsidRDefault="00913141" w:rsidP="00913141">
            <w:pPr>
              <w:jc w:val="center"/>
              <w:rPr>
                <w:rFonts w:ascii="Arial" w:hAnsi="Arial" w:cs="Arial"/>
                <w:b/>
                <w:bCs/>
                <w:sz w:val="18"/>
                <w:szCs w:val="18"/>
                <w:lang w:val="en-CA" w:eastAsia="zh-CN"/>
              </w:rPr>
            </w:pPr>
            <w:r w:rsidRPr="005945EC">
              <w:rPr>
                <w:rFonts w:ascii="Arial" w:hAnsi="Arial" w:cs="Arial"/>
                <w:b/>
                <w:bCs/>
                <w:sz w:val="18"/>
                <w:szCs w:val="18"/>
                <w:lang w:val="en-CA" w:eastAsia="zh-CN"/>
              </w:rPr>
              <w:t xml:space="preserve">Number of Flights </w:t>
            </w:r>
          </w:p>
        </w:tc>
        <w:tc>
          <w:tcPr>
            <w:tcW w:w="1818" w:type="dxa"/>
            <w:hideMark/>
          </w:tcPr>
          <w:p w14:paraId="5F2584D7" w14:textId="77777777" w:rsidR="00913141" w:rsidRPr="005945EC" w:rsidRDefault="00913141" w:rsidP="00913141">
            <w:pPr>
              <w:jc w:val="center"/>
              <w:rPr>
                <w:rFonts w:ascii="Arial" w:hAnsi="Arial" w:cs="Arial"/>
                <w:b/>
                <w:bCs/>
                <w:sz w:val="18"/>
                <w:szCs w:val="18"/>
                <w:lang w:val="en-CA" w:eastAsia="zh-CN"/>
              </w:rPr>
            </w:pPr>
            <w:r w:rsidRPr="005945EC">
              <w:rPr>
                <w:rFonts w:ascii="Arial" w:hAnsi="Arial" w:cs="Arial"/>
                <w:b/>
                <w:bCs/>
                <w:sz w:val="18"/>
                <w:szCs w:val="18"/>
                <w:lang w:val="en-CA" w:eastAsia="zh-CN"/>
              </w:rPr>
              <w:t xml:space="preserve">Number of Unique Final Destination Airports </w:t>
            </w:r>
          </w:p>
        </w:tc>
        <w:tc>
          <w:tcPr>
            <w:tcW w:w="1499" w:type="dxa"/>
            <w:hideMark/>
          </w:tcPr>
          <w:p w14:paraId="3D6619BA" w14:textId="77777777" w:rsidR="00913141" w:rsidRPr="005945EC" w:rsidRDefault="00913141" w:rsidP="00913141">
            <w:pPr>
              <w:jc w:val="center"/>
              <w:rPr>
                <w:rFonts w:ascii="Arial" w:hAnsi="Arial" w:cs="Arial"/>
                <w:b/>
                <w:bCs/>
                <w:sz w:val="18"/>
                <w:szCs w:val="18"/>
                <w:lang w:val="en-CA" w:eastAsia="zh-CN"/>
              </w:rPr>
            </w:pPr>
            <w:r w:rsidRPr="005945EC">
              <w:rPr>
                <w:rFonts w:ascii="Arial" w:hAnsi="Arial" w:cs="Arial"/>
                <w:b/>
                <w:bCs/>
                <w:sz w:val="18"/>
                <w:szCs w:val="18"/>
                <w:lang w:val="en-CA" w:eastAsia="zh-CN"/>
              </w:rPr>
              <w:t xml:space="preserve">Number of Connecting Airlines </w:t>
            </w:r>
          </w:p>
        </w:tc>
      </w:tr>
      <w:tr w:rsidR="005945EC" w:rsidRPr="005945EC" w14:paraId="1F27AC40" w14:textId="77777777" w:rsidTr="00FA578A">
        <w:trPr>
          <w:trHeight w:val="207"/>
          <w:tblHeader/>
          <w:jc w:val="center"/>
        </w:trPr>
        <w:tc>
          <w:tcPr>
            <w:tcW w:w="9342" w:type="dxa"/>
            <w:gridSpan w:val="6"/>
            <w:noWrap/>
            <w:hideMark/>
          </w:tcPr>
          <w:p w14:paraId="024EABF6" w14:textId="155FBB65" w:rsidR="005945EC" w:rsidRPr="005945EC" w:rsidRDefault="005945EC" w:rsidP="00913141">
            <w:pPr>
              <w:rPr>
                <w:rFonts w:ascii="Arial" w:hAnsi="Arial" w:cs="Arial"/>
                <w:sz w:val="18"/>
                <w:szCs w:val="18"/>
                <w:lang w:val="en-CA" w:eastAsia="zh-CN"/>
              </w:rPr>
            </w:pPr>
            <w:r w:rsidRPr="005945EC">
              <w:rPr>
                <w:rFonts w:ascii="Arial" w:hAnsi="Arial" w:cs="Arial"/>
                <w:sz w:val="18"/>
                <w:szCs w:val="18"/>
                <w:lang w:val="en-CA" w:eastAsia="zh-CN"/>
              </w:rPr>
              <w:t xml:space="preserve">Delta Air Lines Inc. </w:t>
            </w:r>
          </w:p>
        </w:tc>
      </w:tr>
      <w:tr w:rsidR="00E50E9A" w:rsidRPr="005945EC" w14:paraId="6B271217" w14:textId="77777777" w:rsidTr="00FA578A">
        <w:trPr>
          <w:trHeight w:val="207"/>
          <w:tblHeader/>
          <w:jc w:val="center"/>
        </w:trPr>
        <w:tc>
          <w:tcPr>
            <w:tcW w:w="2425" w:type="dxa"/>
            <w:noWrap/>
            <w:hideMark/>
          </w:tcPr>
          <w:p w14:paraId="5007C95A" w14:textId="77777777" w:rsidR="00913141" w:rsidRPr="005945EC" w:rsidRDefault="00913141" w:rsidP="00913141">
            <w:pPr>
              <w:rPr>
                <w:rFonts w:ascii="Arial" w:hAnsi="Arial" w:cs="Arial"/>
                <w:sz w:val="18"/>
                <w:szCs w:val="18"/>
                <w:lang w:val="en-CA" w:eastAsia="zh-CN"/>
              </w:rPr>
            </w:pPr>
          </w:p>
        </w:tc>
        <w:tc>
          <w:tcPr>
            <w:tcW w:w="1260" w:type="dxa"/>
            <w:noWrap/>
            <w:hideMark/>
          </w:tcPr>
          <w:p w14:paraId="55C451B8" w14:textId="17651D7B" w:rsidR="00913141" w:rsidRPr="005945EC" w:rsidRDefault="00913141" w:rsidP="001A11BC">
            <w:pPr>
              <w:jc w:val="center"/>
              <w:rPr>
                <w:rFonts w:ascii="Arial" w:hAnsi="Arial" w:cs="Arial"/>
                <w:sz w:val="18"/>
                <w:szCs w:val="18"/>
                <w:lang w:val="en-CA" w:eastAsia="zh-CN"/>
              </w:rPr>
            </w:pPr>
            <w:r w:rsidRPr="005945EC">
              <w:rPr>
                <w:rFonts w:ascii="Arial" w:hAnsi="Arial" w:cs="Arial"/>
                <w:sz w:val="18"/>
                <w:szCs w:val="18"/>
                <w:lang w:val="en-CA" w:eastAsia="zh-CN"/>
              </w:rPr>
              <w:t>Behind</w:t>
            </w:r>
          </w:p>
        </w:tc>
        <w:tc>
          <w:tcPr>
            <w:tcW w:w="1260" w:type="dxa"/>
            <w:noWrap/>
            <w:hideMark/>
          </w:tcPr>
          <w:p w14:paraId="677FD962"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1,598</w:t>
            </w:r>
          </w:p>
        </w:tc>
        <w:tc>
          <w:tcPr>
            <w:tcW w:w="1080" w:type="dxa"/>
            <w:noWrap/>
            <w:hideMark/>
          </w:tcPr>
          <w:p w14:paraId="2EC360C4"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159 </w:t>
            </w:r>
          </w:p>
        </w:tc>
        <w:tc>
          <w:tcPr>
            <w:tcW w:w="1818" w:type="dxa"/>
            <w:noWrap/>
            <w:hideMark/>
          </w:tcPr>
          <w:p w14:paraId="186402B7"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1</w:t>
            </w:r>
          </w:p>
        </w:tc>
        <w:tc>
          <w:tcPr>
            <w:tcW w:w="1499" w:type="dxa"/>
            <w:noWrap/>
            <w:hideMark/>
          </w:tcPr>
          <w:p w14:paraId="4FC8F335"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4</w:t>
            </w:r>
          </w:p>
        </w:tc>
      </w:tr>
      <w:tr w:rsidR="00E50E9A" w:rsidRPr="005945EC" w14:paraId="15CD0115" w14:textId="77777777" w:rsidTr="00FA578A">
        <w:trPr>
          <w:trHeight w:val="207"/>
          <w:tblHeader/>
          <w:jc w:val="center"/>
        </w:trPr>
        <w:tc>
          <w:tcPr>
            <w:tcW w:w="2425" w:type="dxa"/>
            <w:noWrap/>
            <w:hideMark/>
          </w:tcPr>
          <w:p w14:paraId="54EDF464" w14:textId="77777777" w:rsidR="00913141" w:rsidRPr="005945EC" w:rsidRDefault="00913141" w:rsidP="00913141">
            <w:pPr>
              <w:rPr>
                <w:rFonts w:ascii="Arial" w:hAnsi="Arial" w:cs="Arial"/>
                <w:sz w:val="18"/>
                <w:szCs w:val="18"/>
                <w:lang w:val="en-CA" w:eastAsia="zh-CN"/>
              </w:rPr>
            </w:pPr>
          </w:p>
        </w:tc>
        <w:tc>
          <w:tcPr>
            <w:tcW w:w="1260" w:type="dxa"/>
            <w:noWrap/>
            <w:hideMark/>
          </w:tcPr>
          <w:p w14:paraId="47C579DE" w14:textId="77777777" w:rsidR="00913141" w:rsidRPr="005945EC" w:rsidRDefault="00913141" w:rsidP="001A11BC">
            <w:pPr>
              <w:jc w:val="center"/>
              <w:rPr>
                <w:rFonts w:ascii="Arial" w:hAnsi="Arial" w:cs="Arial"/>
                <w:sz w:val="18"/>
                <w:szCs w:val="18"/>
                <w:lang w:val="en-CA" w:eastAsia="zh-CN"/>
              </w:rPr>
            </w:pPr>
            <w:r w:rsidRPr="005945EC">
              <w:rPr>
                <w:rFonts w:ascii="Arial" w:hAnsi="Arial" w:cs="Arial"/>
                <w:sz w:val="18"/>
                <w:szCs w:val="18"/>
                <w:lang w:val="en-CA" w:eastAsia="zh-CN"/>
              </w:rPr>
              <w:t>Beyond</w:t>
            </w:r>
          </w:p>
        </w:tc>
        <w:tc>
          <w:tcPr>
            <w:tcW w:w="1260" w:type="dxa"/>
            <w:noWrap/>
            <w:hideMark/>
          </w:tcPr>
          <w:p w14:paraId="7DE115CF"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24,517 </w:t>
            </w:r>
          </w:p>
        </w:tc>
        <w:tc>
          <w:tcPr>
            <w:tcW w:w="1080" w:type="dxa"/>
            <w:noWrap/>
            <w:hideMark/>
          </w:tcPr>
          <w:p w14:paraId="3F0E9013"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353 </w:t>
            </w:r>
          </w:p>
        </w:tc>
        <w:tc>
          <w:tcPr>
            <w:tcW w:w="1818" w:type="dxa"/>
            <w:noWrap/>
            <w:hideMark/>
          </w:tcPr>
          <w:p w14:paraId="2CB9F5B5"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192</w:t>
            </w:r>
          </w:p>
        </w:tc>
        <w:tc>
          <w:tcPr>
            <w:tcW w:w="1499" w:type="dxa"/>
            <w:noWrap/>
            <w:hideMark/>
          </w:tcPr>
          <w:p w14:paraId="7513DB32"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17</w:t>
            </w:r>
          </w:p>
        </w:tc>
      </w:tr>
      <w:tr w:rsidR="00E50E9A" w:rsidRPr="005945EC" w14:paraId="3967DDC6" w14:textId="77777777" w:rsidTr="00FA578A">
        <w:trPr>
          <w:trHeight w:val="220"/>
          <w:tblHeader/>
          <w:jc w:val="center"/>
        </w:trPr>
        <w:tc>
          <w:tcPr>
            <w:tcW w:w="2425" w:type="dxa"/>
            <w:noWrap/>
            <w:hideMark/>
          </w:tcPr>
          <w:p w14:paraId="74AF361A" w14:textId="77777777" w:rsidR="00913141" w:rsidRPr="005945EC" w:rsidRDefault="00913141" w:rsidP="00913141">
            <w:pPr>
              <w:rPr>
                <w:rFonts w:ascii="Arial" w:hAnsi="Arial" w:cs="Arial"/>
                <w:sz w:val="18"/>
                <w:szCs w:val="18"/>
                <w:lang w:val="en-CA" w:eastAsia="zh-CN"/>
              </w:rPr>
            </w:pPr>
          </w:p>
        </w:tc>
        <w:tc>
          <w:tcPr>
            <w:tcW w:w="1260" w:type="dxa"/>
            <w:noWrap/>
            <w:hideMark/>
          </w:tcPr>
          <w:p w14:paraId="00BB7B7C" w14:textId="1D28A8C4" w:rsidR="00913141" w:rsidRPr="005945EC" w:rsidRDefault="00913141" w:rsidP="001A11BC">
            <w:pPr>
              <w:jc w:val="center"/>
              <w:rPr>
                <w:rFonts w:ascii="Arial" w:hAnsi="Arial" w:cs="Arial"/>
                <w:sz w:val="18"/>
                <w:szCs w:val="18"/>
                <w:lang w:val="en-CA" w:eastAsia="zh-CN"/>
              </w:rPr>
            </w:pPr>
            <w:r w:rsidRPr="005945EC">
              <w:rPr>
                <w:rFonts w:ascii="Arial" w:hAnsi="Arial" w:cs="Arial"/>
                <w:sz w:val="18"/>
                <w:szCs w:val="18"/>
                <w:lang w:val="en-CA" w:eastAsia="zh-CN"/>
              </w:rPr>
              <w:t>Bridge</w:t>
            </w:r>
          </w:p>
        </w:tc>
        <w:tc>
          <w:tcPr>
            <w:tcW w:w="1260" w:type="dxa"/>
            <w:noWrap/>
            <w:hideMark/>
          </w:tcPr>
          <w:p w14:paraId="337CF739"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913 </w:t>
            </w:r>
          </w:p>
        </w:tc>
        <w:tc>
          <w:tcPr>
            <w:tcW w:w="1080" w:type="dxa"/>
            <w:noWrap/>
            <w:hideMark/>
          </w:tcPr>
          <w:p w14:paraId="5C2521DE"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251 </w:t>
            </w:r>
          </w:p>
        </w:tc>
        <w:tc>
          <w:tcPr>
            <w:tcW w:w="1818" w:type="dxa"/>
            <w:noWrap/>
            <w:hideMark/>
          </w:tcPr>
          <w:p w14:paraId="17913707"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65</w:t>
            </w:r>
          </w:p>
        </w:tc>
        <w:tc>
          <w:tcPr>
            <w:tcW w:w="1499" w:type="dxa"/>
            <w:noWrap/>
            <w:hideMark/>
          </w:tcPr>
          <w:p w14:paraId="38F8BC98"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9</w:t>
            </w:r>
          </w:p>
        </w:tc>
      </w:tr>
      <w:tr w:rsidR="005945EC" w:rsidRPr="005945EC" w14:paraId="3FA07453" w14:textId="77777777" w:rsidTr="00FA578A">
        <w:trPr>
          <w:trHeight w:val="207"/>
          <w:tblHeader/>
          <w:jc w:val="center"/>
        </w:trPr>
        <w:tc>
          <w:tcPr>
            <w:tcW w:w="9342" w:type="dxa"/>
            <w:gridSpan w:val="6"/>
            <w:noWrap/>
            <w:hideMark/>
          </w:tcPr>
          <w:p w14:paraId="3FD73F34" w14:textId="30E85437" w:rsidR="005945EC" w:rsidRPr="005945EC" w:rsidRDefault="005945EC" w:rsidP="00913141">
            <w:pPr>
              <w:rPr>
                <w:rFonts w:ascii="Arial" w:hAnsi="Arial" w:cs="Arial"/>
                <w:sz w:val="18"/>
                <w:szCs w:val="18"/>
                <w:lang w:val="en-CA" w:eastAsia="zh-CN"/>
              </w:rPr>
            </w:pPr>
            <w:r w:rsidRPr="005945EC">
              <w:rPr>
                <w:rFonts w:ascii="Arial" w:hAnsi="Arial" w:cs="Arial"/>
                <w:sz w:val="18"/>
                <w:szCs w:val="18"/>
                <w:lang w:val="en-CA" w:eastAsia="zh-CN"/>
              </w:rPr>
              <w:t>Deutsche Lufthansa AG</w:t>
            </w:r>
          </w:p>
        </w:tc>
      </w:tr>
      <w:tr w:rsidR="00E50E9A" w:rsidRPr="005945EC" w14:paraId="7BA211A9" w14:textId="77777777" w:rsidTr="00FA578A">
        <w:trPr>
          <w:trHeight w:val="207"/>
          <w:tblHeader/>
          <w:jc w:val="center"/>
        </w:trPr>
        <w:tc>
          <w:tcPr>
            <w:tcW w:w="2425" w:type="dxa"/>
            <w:noWrap/>
            <w:hideMark/>
          </w:tcPr>
          <w:p w14:paraId="099B641B" w14:textId="77777777" w:rsidR="00913141" w:rsidRPr="005945EC" w:rsidRDefault="00913141" w:rsidP="00913141">
            <w:pPr>
              <w:rPr>
                <w:rFonts w:ascii="Arial" w:hAnsi="Arial" w:cs="Arial"/>
                <w:sz w:val="18"/>
                <w:szCs w:val="18"/>
                <w:lang w:val="en-CA" w:eastAsia="zh-CN"/>
              </w:rPr>
            </w:pPr>
          </w:p>
        </w:tc>
        <w:tc>
          <w:tcPr>
            <w:tcW w:w="1260" w:type="dxa"/>
            <w:noWrap/>
            <w:hideMark/>
          </w:tcPr>
          <w:p w14:paraId="295C0C05" w14:textId="3BDF19B5" w:rsidR="00913141" w:rsidRPr="005945EC" w:rsidRDefault="00913141" w:rsidP="001A11BC">
            <w:pPr>
              <w:jc w:val="center"/>
              <w:rPr>
                <w:rFonts w:ascii="Arial" w:hAnsi="Arial" w:cs="Arial"/>
                <w:sz w:val="18"/>
                <w:szCs w:val="18"/>
                <w:lang w:val="en-CA" w:eastAsia="zh-CN"/>
              </w:rPr>
            </w:pPr>
            <w:r w:rsidRPr="005945EC">
              <w:rPr>
                <w:rFonts w:ascii="Arial" w:hAnsi="Arial" w:cs="Arial"/>
                <w:sz w:val="18"/>
                <w:szCs w:val="18"/>
                <w:lang w:val="en-CA" w:eastAsia="zh-CN"/>
              </w:rPr>
              <w:t>Behind</w:t>
            </w:r>
          </w:p>
        </w:tc>
        <w:tc>
          <w:tcPr>
            <w:tcW w:w="1260" w:type="dxa"/>
            <w:noWrap/>
            <w:hideMark/>
          </w:tcPr>
          <w:p w14:paraId="4B45D5BC"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169,820 </w:t>
            </w:r>
          </w:p>
        </w:tc>
        <w:tc>
          <w:tcPr>
            <w:tcW w:w="1080" w:type="dxa"/>
            <w:noWrap/>
            <w:hideMark/>
          </w:tcPr>
          <w:p w14:paraId="512576CC"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839 </w:t>
            </w:r>
          </w:p>
        </w:tc>
        <w:tc>
          <w:tcPr>
            <w:tcW w:w="1818" w:type="dxa"/>
            <w:noWrap/>
            <w:hideMark/>
          </w:tcPr>
          <w:p w14:paraId="254B405C"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1</w:t>
            </w:r>
          </w:p>
        </w:tc>
        <w:tc>
          <w:tcPr>
            <w:tcW w:w="1499" w:type="dxa"/>
            <w:noWrap/>
            <w:hideMark/>
          </w:tcPr>
          <w:p w14:paraId="52F0D181"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6</w:t>
            </w:r>
          </w:p>
        </w:tc>
      </w:tr>
      <w:tr w:rsidR="00E50E9A" w:rsidRPr="005945EC" w14:paraId="56DAF0DD" w14:textId="77777777" w:rsidTr="00FA578A">
        <w:trPr>
          <w:trHeight w:val="207"/>
          <w:tblHeader/>
          <w:jc w:val="center"/>
        </w:trPr>
        <w:tc>
          <w:tcPr>
            <w:tcW w:w="2425" w:type="dxa"/>
            <w:noWrap/>
            <w:hideMark/>
          </w:tcPr>
          <w:p w14:paraId="138C6B65" w14:textId="77777777" w:rsidR="00913141" w:rsidRPr="005945EC" w:rsidRDefault="00913141" w:rsidP="00913141">
            <w:pPr>
              <w:rPr>
                <w:rFonts w:ascii="Arial" w:hAnsi="Arial" w:cs="Arial"/>
                <w:sz w:val="18"/>
                <w:szCs w:val="18"/>
                <w:lang w:val="en-CA" w:eastAsia="zh-CN"/>
              </w:rPr>
            </w:pPr>
          </w:p>
        </w:tc>
        <w:tc>
          <w:tcPr>
            <w:tcW w:w="1260" w:type="dxa"/>
            <w:noWrap/>
            <w:hideMark/>
          </w:tcPr>
          <w:p w14:paraId="0D00C3DB" w14:textId="77777777" w:rsidR="00913141" w:rsidRPr="005945EC" w:rsidRDefault="00913141" w:rsidP="001A11BC">
            <w:pPr>
              <w:jc w:val="center"/>
              <w:rPr>
                <w:rFonts w:ascii="Arial" w:hAnsi="Arial" w:cs="Arial"/>
                <w:sz w:val="18"/>
                <w:szCs w:val="18"/>
                <w:lang w:val="en-CA" w:eastAsia="zh-CN"/>
              </w:rPr>
            </w:pPr>
            <w:r w:rsidRPr="005945EC">
              <w:rPr>
                <w:rFonts w:ascii="Arial" w:hAnsi="Arial" w:cs="Arial"/>
                <w:sz w:val="18"/>
                <w:szCs w:val="18"/>
                <w:lang w:val="en-CA" w:eastAsia="zh-CN"/>
              </w:rPr>
              <w:t>Beyond</w:t>
            </w:r>
          </w:p>
        </w:tc>
        <w:tc>
          <w:tcPr>
            <w:tcW w:w="1260" w:type="dxa"/>
            <w:noWrap/>
            <w:hideMark/>
          </w:tcPr>
          <w:p w14:paraId="71666AF1"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1,3260 </w:t>
            </w:r>
          </w:p>
        </w:tc>
        <w:tc>
          <w:tcPr>
            <w:tcW w:w="1080" w:type="dxa"/>
            <w:noWrap/>
            <w:hideMark/>
          </w:tcPr>
          <w:p w14:paraId="01219D36"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264 </w:t>
            </w:r>
          </w:p>
        </w:tc>
        <w:tc>
          <w:tcPr>
            <w:tcW w:w="1818" w:type="dxa"/>
            <w:noWrap/>
            <w:hideMark/>
          </w:tcPr>
          <w:p w14:paraId="0198C543"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136</w:t>
            </w:r>
          </w:p>
        </w:tc>
        <w:tc>
          <w:tcPr>
            <w:tcW w:w="1499" w:type="dxa"/>
            <w:noWrap/>
            <w:hideMark/>
          </w:tcPr>
          <w:p w14:paraId="5CD447FF"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25</w:t>
            </w:r>
          </w:p>
        </w:tc>
      </w:tr>
      <w:tr w:rsidR="00E50E9A" w:rsidRPr="005945EC" w14:paraId="64421EC4" w14:textId="77777777" w:rsidTr="00FA578A">
        <w:trPr>
          <w:trHeight w:val="220"/>
          <w:tblHeader/>
          <w:jc w:val="center"/>
        </w:trPr>
        <w:tc>
          <w:tcPr>
            <w:tcW w:w="2425" w:type="dxa"/>
            <w:noWrap/>
            <w:hideMark/>
          </w:tcPr>
          <w:p w14:paraId="28573D1B" w14:textId="77777777" w:rsidR="00913141" w:rsidRPr="005945EC" w:rsidRDefault="00913141" w:rsidP="00913141">
            <w:pPr>
              <w:rPr>
                <w:rFonts w:ascii="Arial" w:hAnsi="Arial" w:cs="Arial"/>
                <w:sz w:val="18"/>
                <w:szCs w:val="18"/>
                <w:lang w:val="en-CA" w:eastAsia="zh-CN"/>
              </w:rPr>
            </w:pPr>
          </w:p>
        </w:tc>
        <w:tc>
          <w:tcPr>
            <w:tcW w:w="1260" w:type="dxa"/>
            <w:noWrap/>
            <w:hideMark/>
          </w:tcPr>
          <w:p w14:paraId="35D00116" w14:textId="78E9F890" w:rsidR="00913141" w:rsidRPr="005945EC" w:rsidRDefault="00913141" w:rsidP="001A11BC">
            <w:pPr>
              <w:jc w:val="center"/>
              <w:rPr>
                <w:rFonts w:ascii="Arial" w:hAnsi="Arial" w:cs="Arial"/>
                <w:sz w:val="18"/>
                <w:szCs w:val="18"/>
                <w:lang w:val="en-CA" w:eastAsia="zh-CN"/>
              </w:rPr>
            </w:pPr>
            <w:r w:rsidRPr="005945EC">
              <w:rPr>
                <w:rFonts w:ascii="Arial" w:hAnsi="Arial" w:cs="Arial"/>
                <w:sz w:val="18"/>
                <w:szCs w:val="18"/>
                <w:lang w:val="en-CA" w:eastAsia="zh-CN"/>
              </w:rPr>
              <w:t>Bridge</w:t>
            </w:r>
          </w:p>
        </w:tc>
        <w:tc>
          <w:tcPr>
            <w:tcW w:w="1260" w:type="dxa"/>
            <w:noWrap/>
            <w:hideMark/>
          </w:tcPr>
          <w:p w14:paraId="07C67F63"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3,941 </w:t>
            </w:r>
          </w:p>
        </w:tc>
        <w:tc>
          <w:tcPr>
            <w:tcW w:w="1080" w:type="dxa"/>
            <w:noWrap/>
            <w:hideMark/>
          </w:tcPr>
          <w:p w14:paraId="6511BCFF"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1,407 </w:t>
            </w:r>
          </w:p>
        </w:tc>
        <w:tc>
          <w:tcPr>
            <w:tcW w:w="1818" w:type="dxa"/>
            <w:noWrap/>
            <w:hideMark/>
          </w:tcPr>
          <w:p w14:paraId="748C8024"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182</w:t>
            </w:r>
          </w:p>
        </w:tc>
        <w:tc>
          <w:tcPr>
            <w:tcW w:w="1499" w:type="dxa"/>
            <w:noWrap/>
            <w:hideMark/>
          </w:tcPr>
          <w:p w14:paraId="4D1CC86F"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32</w:t>
            </w:r>
          </w:p>
        </w:tc>
      </w:tr>
      <w:tr w:rsidR="005945EC" w:rsidRPr="005945EC" w14:paraId="2F1D7864" w14:textId="77777777" w:rsidTr="00FA578A">
        <w:trPr>
          <w:trHeight w:val="207"/>
          <w:tblHeader/>
          <w:jc w:val="center"/>
        </w:trPr>
        <w:tc>
          <w:tcPr>
            <w:tcW w:w="9342" w:type="dxa"/>
            <w:gridSpan w:val="6"/>
            <w:noWrap/>
            <w:hideMark/>
          </w:tcPr>
          <w:p w14:paraId="57A6A53A" w14:textId="3F5C2846" w:rsidR="005945EC" w:rsidRPr="005945EC" w:rsidRDefault="005945EC" w:rsidP="00913141">
            <w:pPr>
              <w:rPr>
                <w:rFonts w:ascii="Arial" w:hAnsi="Arial" w:cs="Arial"/>
                <w:sz w:val="18"/>
                <w:szCs w:val="18"/>
                <w:lang w:val="en-CA" w:eastAsia="zh-CN"/>
              </w:rPr>
            </w:pPr>
            <w:r w:rsidRPr="005945EC">
              <w:rPr>
                <w:rFonts w:ascii="Arial" w:hAnsi="Arial" w:cs="Arial"/>
                <w:sz w:val="18"/>
                <w:szCs w:val="18"/>
                <w:lang w:val="en-CA" w:eastAsia="zh-CN"/>
              </w:rPr>
              <w:t>Singapore Airlines</w:t>
            </w:r>
          </w:p>
        </w:tc>
      </w:tr>
      <w:tr w:rsidR="00E50E9A" w:rsidRPr="005945EC" w14:paraId="4E377F22" w14:textId="77777777" w:rsidTr="00FA578A">
        <w:trPr>
          <w:trHeight w:val="207"/>
          <w:tblHeader/>
          <w:jc w:val="center"/>
        </w:trPr>
        <w:tc>
          <w:tcPr>
            <w:tcW w:w="2425" w:type="dxa"/>
            <w:noWrap/>
            <w:hideMark/>
          </w:tcPr>
          <w:p w14:paraId="18A05166" w14:textId="77777777" w:rsidR="00913141" w:rsidRPr="005945EC" w:rsidRDefault="00913141" w:rsidP="00913141">
            <w:pPr>
              <w:rPr>
                <w:rFonts w:ascii="Arial" w:hAnsi="Arial" w:cs="Arial"/>
                <w:sz w:val="18"/>
                <w:szCs w:val="18"/>
                <w:lang w:val="en-CA" w:eastAsia="zh-CN"/>
              </w:rPr>
            </w:pPr>
          </w:p>
        </w:tc>
        <w:tc>
          <w:tcPr>
            <w:tcW w:w="1260" w:type="dxa"/>
            <w:noWrap/>
            <w:hideMark/>
          </w:tcPr>
          <w:p w14:paraId="595F6AF4" w14:textId="42F194EA" w:rsidR="00913141" w:rsidRPr="005945EC" w:rsidRDefault="00913141" w:rsidP="001A11BC">
            <w:pPr>
              <w:jc w:val="center"/>
              <w:rPr>
                <w:rFonts w:ascii="Arial" w:hAnsi="Arial" w:cs="Arial"/>
                <w:sz w:val="18"/>
                <w:szCs w:val="18"/>
                <w:lang w:val="en-CA" w:eastAsia="zh-CN"/>
              </w:rPr>
            </w:pPr>
            <w:r w:rsidRPr="005945EC">
              <w:rPr>
                <w:rFonts w:ascii="Arial" w:hAnsi="Arial" w:cs="Arial"/>
                <w:sz w:val="18"/>
                <w:szCs w:val="18"/>
                <w:lang w:val="en-CA" w:eastAsia="zh-CN"/>
              </w:rPr>
              <w:t>Behind</w:t>
            </w:r>
          </w:p>
        </w:tc>
        <w:tc>
          <w:tcPr>
            <w:tcW w:w="1260" w:type="dxa"/>
            <w:noWrap/>
            <w:hideMark/>
          </w:tcPr>
          <w:p w14:paraId="3C96F59F"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35,201 </w:t>
            </w:r>
          </w:p>
        </w:tc>
        <w:tc>
          <w:tcPr>
            <w:tcW w:w="1080" w:type="dxa"/>
            <w:noWrap/>
            <w:hideMark/>
          </w:tcPr>
          <w:p w14:paraId="0659AC95"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322 </w:t>
            </w:r>
          </w:p>
        </w:tc>
        <w:tc>
          <w:tcPr>
            <w:tcW w:w="1818" w:type="dxa"/>
            <w:noWrap/>
            <w:hideMark/>
          </w:tcPr>
          <w:p w14:paraId="393E7F1C"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1</w:t>
            </w:r>
          </w:p>
        </w:tc>
        <w:tc>
          <w:tcPr>
            <w:tcW w:w="1499" w:type="dxa"/>
            <w:noWrap/>
            <w:hideMark/>
          </w:tcPr>
          <w:p w14:paraId="2D9F2ABE"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2</w:t>
            </w:r>
          </w:p>
        </w:tc>
      </w:tr>
      <w:tr w:rsidR="00E50E9A" w:rsidRPr="005945EC" w14:paraId="372DB2D6" w14:textId="77777777" w:rsidTr="00FA578A">
        <w:trPr>
          <w:trHeight w:val="207"/>
          <w:tblHeader/>
          <w:jc w:val="center"/>
        </w:trPr>
        <w:tc>
          <w:tcPr>
            <w:tcW w:w="2425" w:type="dxa"/>
            <w:noWrap/>
            <w:hideMark/>
          </w:tcPr>
          <w:p w14:paraId="42151976" w14:textId="77777777" w:rsidR="00913141" w:rsidRPr="005945EC" w:rsidRDefault="00913141" w:rsidP="00913141">
            <w:pPr>
              <w:rPr>
                <w:rFonts w:ascii="Arial" w:hAnsi="Arial" w:cs="Arial"/>
                <w:sz w:val="18"/>
                <w:szCs w:val="18"/>
                <w:lang w:val="en-CA" w:eastAsia="zh-CN"/>
              </w:rPr>
            </w:pPr>
          </w:p>
        </w:tc>
        <w:tc>
          <w:tcPr>
            <w:tcW w:w="1260" w:type="dxa"/>
            <w:noWrap/>
            <w:hideMark/>
          </w:tcPr>
          <w:p w14:paraId="3E7EA31A" w14:textId="77777777" w:rsidR="00913141" w:rsidRPr="005945EC" w:rsidRDefault="00913141" w:rsidP="001A11BC">
            <w:pPr>
              <w:jc w:val="center"/>
              <w:rPr>
                <w:rFonts w:ascii="Arial" w:hAnsi="Arial" w:cs="Arial"/>
                <w:sz w:val="18"/>
                <w:szCs w:val="18"/>
                <w:lang w:val="en-CA" w:eastAsia="zh-CN"/>
              </w:rPr>
            </w:pPr>
            <w:r w:rsidRPr="005945EC">
              <w:rPr>
                <w:rFonts w:ascii="Arial" w:hAnsi="Arial" w:cs="Arial"/>
                <w:sz w:val="18"/>
                <w:szCs w:val="18"/>
                <w:lang w:val="en-CA" w:eastAsia="zh-CN"/>
              </w:rPr>
              <w:t>Beyond</w:t>
            </w:r>
          </w:p>
        </w:tc>
        <w:tc>
          <w:tcPr>
            <w:tcW w:w="1260" w:type="dxa"/>
            <w:noWrap/>
            <w:hideMark/>
          </w:tcPr>
          <w:p w14:paraId="1B43F11E"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4,715 </w:t>
            </w:r>
          </w:p>
        </w:tc>
        <w:tc>
          <w:tcPr>
            <w:tcW w:w="1080" w:type="dxa"/>
            <w:noWrap/>
            <w:hideMark/>
          </w:tcPr>
          <w:p w14:paraId="1885C91E"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170 </w:t>
            </w:r>
          </w:p>
        </w:tc>
        <w:tc>
          <w:tcPr>
            <w:tcW w:w="1818" w:type="dxa"/>
            <w:noWrap/>
            <w:hideMark/>
          </w:tcPr>
          <w:p w14:paraId="5F8146BC"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91</w:t>
            </w:r>
          </w:p>
        </w:tc>
        <w:tc>
          <w:tcPr>
            <w:tcW w:w="1499" w:type="dxa"/>
            <w:noWrap/>
            <w:hideMark/>
          </w:tcPr>
          <w:p w14:paraId="7D837508"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12</w:t>
            </w:r>
          </w:p>
        </w:tc>
      </w:tr>
      <w:tr w:rsidR="00E50E9A" w:rsidRPr="005945EC" w14:paraId="24FA489E" w14:textId="77777777" w:rsidTr="00FA578A">
        <w:trPr>
          <w:trHeight w:val="233"/>
          <w:tblHeader/>
          <w:jc w:val="center"/>
        </w:trPr>
        <w:tc>
          <w:tcPr>
            <w:tcW w:w="2425" w:type="dxa"/>
            <w:noWrap/>
            <w:hideMark/>
          </w:tcPr>
          <w:p w14:paraId="6F328A31" w14:textId="77777777" w:rsidR="00913141" w:rsidRPr="005945EC" w:rsidRDefault="00913141" w:rsidP="00913141">
            <w:pPr>
              <w:rPr>
                <w:rFonts w:ascii="Arial" w:hAnsi="Arial" w:cs="Arial"/>
                <w:sz w:val="18"/>
                <w:szCs w:val="18"/>
                <w:lang w:val="en-CA" w:eastAsia="zh-CN"/>
              </w:rPr>
            </w:pPr>
          </w:p>
        </w:tc>
        <w:tc>
          <w:tcPr>
            <w:tcW w:w="1260" w:type="dxa"/>
            <w:noWrap/>
            <w:hideMark/>
          </w:tcPr>
          <w:p w14:paraId="00EC5A76" w14:textId="48EA9E5D" w:rsidR="00913141" w:rsidRPr="005945EC" w:rsidRDefault="00913141" w:rsidP="001A11BC">
            <w:pPr>
              <w:jc w:val="center"/>
              <w:rPr>
                <w:rFonts w:ascii="Arial" w:hAnsi="Arial" w:cs="Arial"/>
                <w:sz w:val="18"/>
                <w:szCs w:val="18"/>
                <w:lang w:val="en-CA" w:eastAsia="zh-CN"/>
              </w:rPr>
            </w:pPr>
            <w:r w:rsidRPr="005945EC">
              <w:rPr>
                <w:rFonts w:ascii="Arial" w:hAnsi="Arial" w:cs="Arial"/>
                <w:sz w:val="18"/>
                <w:szCs w:val="18"/>
                <w:lang w:val="en-CA" w:eastAsia="zh-CN"/>
              </w:rPr>
              <w:t>Bridge</w:t>
            </w:r>
          </w:p>
        </w:tc>
        <w:tc>
          <w:tcPr>
            <w:tcW w:w="1260" w:type="dxa"/>
            <w:noWrap/>
            <w:hideMark/>
          </w:tcPr>
          <w:p w14:paraId="065720A3"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5,298 </w:t>
            </w:r>
          </w:p>
        </w:tc>
        <w:tc>
          <w:tcPr>
            <w:tcW w:w="1080" w:type="dxa"/>
            <w:noWrap/>
            <w:hideMark/>
          </w:tcPr>
          <w:p w14:paraId="578BB06E"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 xml:space="preserve"> 849 </w:t>
            </w:r>
          </w:p>
        </w:tc>
        <w:tc>
          <w:tcPr>
            <w:tcW w:w="1818" w:type="dxa"/>
            <w:noWrap/>
            <w:hideMark/>
          </w:tcPr>
          <w:p w14:paraId="24FC5F89"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113</w:t>
            </w:r>
          </w:p>
        </w:tc>
        <w:tc>
          <w:tcPr>
            <w:tcW w:w="1499" w:type="dxa"/>
            <w:noWrap/>
            <w:hideMark/>
          </w:tcPr>
          <w:p w14:paraId="00E9D0C2" w14:textId="77777777" w:rsidR="00913141" w:rsidRPr="005945EC" w:rsidRDefault="00913141" w:rsidP="00913141">
            <w:pPr>
              <w:jc w:val="right"/>
              <w:rPr>
                <w:rFonts w:ascii="Arial" w:hAnsi="Arial" w:cs="Arial"/>
                <w:sz w:val="18"/>
                <w:szCs w:val="18"/>
                <w:lang w:val="en-CA" w:eastAsia="zh-CN"/>
              </w:rPr>
            </w:pPr>
            <w:r w:rsidRPr="005945EC">
              <w:rPr>
                <w:rFonts w:ascii="Arial" w:hAnsi="Arial" w:cs="Arial"/>
                <w:sz w:val="18"/>
                <w:szCs w:val="18"/>
                <w:lang w:val="en-CA" w:eastAsia="zh-CN"/>
              </w:rPr>
              <w:t>22</w:t>
            </w:r>
          </w:p>
        </w:tc>
      </w:tr>
    </w:tbl>
    <w:p w14:paraId="203D3A4F" w14:textId="745D8761" w:rsidR="00913141" w:rsidRPr="005945EC" w:rsidRDefault="00913141" w:rsidP="00913141">
      <w:pPr>
        <w:pStyle w:val="Footnote"/>
        <w:rPr>
          <w:lang w:val="en-CA"/>
        </w:rPr>
      </w:pPr>
    </w:p>
    <w:p w14:paraId="0CA8C992" w14:textId="0CC0B424" w:rsidR="009E3D79" w:rsidRPr="005945EC" w:rsidRDefault="00DE203E" w:rsidP="00507B2E">
      <w:pPr>
        <w:pStyle w:val="Footnote"/>
        <w:rPr>
          <w:lang w:val="en-CA"/>
        </w:rPr>
      </w:pPr>
      <w:r w:rsidRPr="005945EC">
        <w:rPr>
          <w:lang w:val="en-CA"/>
        </w:rPr>
        <w:t xml:space="preserve">Note: </w:t>
      </w:r>
      <w:r w:rsidR="009E3D79" w:rsidRPr="005945EC">
        <w:rPr>
          <w:lang w:val="en-CA"/>
        </w:rPr>
        <w:t>Behind</w:t>
      </w:r>
      <w:r w:rsidRPr="005945EC">
        <w:rPr>
          <w:lang w:val="en-CA"/>
        </w:rPr>
        <w:t xml:space="preserve"> = </w:t>
      </w:r>
      <w:r w:rsidR="009E3D79" w:rsidRPr="005945EC">
        <w:rPr>
          <w:lang w:val="en-CA"/>
        </w:rPr>
        <w:t>domestic flight into a hub</w:t>
      </w:r>
      <w:r w:rsidR="00954EEB" w:rsidRPr="005945EC">
        <w:rPr>
          <w:lang w:val="en-CA"/>
        </w:rPr>
        <w:t xml:space="preserve"> (</w:t>
      </w:r>
      <w:r w:rsidR="009E3D79" w:rsidRPr="005945EC">
        <w:rPr>
          <w:lang w:val="en-CA"/>
        </w:rPr>
        <w:t>e.g., Warsaw to Frankfurt on the way to New York</w:t>
      </w:r>
      <w:r w:rsidR="00954EEB" w:rsidRPr="005945EC">
        <w:rPr>
          <w:lang w:val="en-CA"/>
        </w:rPr>
        <w:t>)</w:t>
      </w:r>
      <w:r w:rsidRPr="005945EC">
        <w:rPr>
          <w:lang w:val="en-CA"/>
        </w:rPr>
        <w:t xml:space="preserve">; </w:t>
      </w:r>
      <w:r w:rsidR="00E50E9A" w:rsidRPr="005945EC">
        <w:rPr>
          <w:lang w:val="en-CA"/>
        </w:rPr>
        <w:t>B</w:t>
      </w:r>
      <w:r w:rsidR="009E3D79" w:rsidRPr="005945EC">
        <w:rPr>
          <w:lang w:val="en-CA"/>
        </w:rPr>
        <w:t>eyond</w:t>
      </w:r>
      <w:r w:rsidRPr="005945EC">
        <w:rPr>
          <w:lang w:val="en-CA"/>
        </w:rPr>
        <w:t xml:space="preserve"> = </w:t>
      </w:r>
      <w:r w:rsidR="009E3D79" w:rsidRPr="005945EC">
        <w:rPr>
          <w:lang w:val="en-CA"/>
        </w:rPr>
        <w:t>domestic flight out of a hub</w:t>
      </w:r>
      <w:r w:rsidR="00954EEB" w:rsidRPr="005945EC">
        <w:rPr>
          <w:lang w:val="en-CA"/>
        </w:rPr>
        <w:t xml:space="preserve"> (</w:t>
      </w:r>
      <w:r w:rsidR="009E3D79" w:rsidRPr="005945EC">
        <w:rPr>
          <w:lang w:val="en-CA"/>
        </w:rPr>
        <w:t>e.g., New York to Cincinnati, after originating in Frankfurt</w:t>
      </w:r>
      <w:r w:rsidR="00954EEB" w:rsidRPr="005945EC">
        <w:rPr>
          <w:lang w:val="en-CA"/>
        </w:rPr>
        <w:t>)</w:t>
      </w:r>
      <w:r w:rsidRPr="005945EC">
        <w:rPr>
          <w:lang w:val="en-CA"/>
        </w:rPr>
        <w:t xml:space="preserve">; </w:t>
      </w:r>
      <w:r w:rsidR="009E3D79" w:rsidRPr="005945EC">
        <w:rPr>
          <w:lang w:val="en-CA"/>
        </w:rPr>
        <w:t>Bridge</w:t>
      </w:r>
      <w:r w:rsidRPr="005945EC">
        <w:rPr>
          <w:lang w:val="en-CA"/>
        </w:rPr>
        <w:t xml:space="preserve"> = </w:t>
      </w:r>
      <w:r w:rsidR="009E3D79" w:rsidRPr="005945EC">
        <w:rPr>
          <w:lang w:val="en-CA"/>
        </w:rPr>
        <w:t>flight that starts behind a hub and continues beyond the connecting hub</w:t>
      </w:r>
      <w:r w:rsidR="00954EEB" w:rsidRPr="005945EC">
        <w:rPr>
          <w:lang w:val="en-CA"/>
        </w:rPr>
        <w:t xml:space="preserve"> (</w:t>
      </w:r>
      <w:r w:rsidR="009E3D79" w:rsidRPr="005945EC">
        <w:rPr>
          <w:lang w:val="en-CA"/>
        </w:rPr>
        <w:t>e.g., Warsaw to Frankfurt, to New York, and then to Cincinnati</w:t>
      </w:r>
      <w:r w:rsidR="00954EEB" w:rsidRPr="005945EC">
        <w:rPr>
          <w:lang w:val="en-CA"/>
        </w:rPr>
        <w:t>)</w:t>
      </w:r>
      <w:r w:rsidR="005945EC" w:rsidRPr="005945EC">
        <w:rPr>
          <w:lang w:val="en-CA"/>
        </w:rPr>
        <w:t>.</w:t>
      </w:r>
    </w:p>
    <w:p w14:paraId="08680B5C" w14:textId="6A542982" w:rsidR="00AA2144" w:rsidRPr="005945EC" w:rsidRDefault="009E3D79" w:rsidP="00AA2144">
      <w:pPr>
        <w:rPr>
          <w:rFonts w:ascii="Arial" w:hAnsi="Arial" w:cs="Arial"/>
          <w:sz w:val="17"/>
          <w:szCs w:val="17"/>
          <w:lang w:val="en-CA" w:eastAsia="zh-CN"/>
        </w:rPr>
      </w:pPr>
      <w:r w:rsidRPr="005945EC">
        <w:rPr>
          <w:rFonts w:ascii="Arial" w:hAnsi="Arial" w:cs="Arial"/>
          <w:sz w:val="17"/>
          <w:szCs w:val="17"/>
          <w:lang w:val="en-CA"/>
        </w:rPr>
        <w:t>Source:</w:t>
      </w:r>
      <w:r w:rsidR="00AA2144" w:rsidRPr="005945EC">
        <w:rPr>
          <w:rFonts w:ascii="Arial" w:hAnsi="Arial" w:cs="Arial"/>
          <w:color w:val="222222"/>
          <w:sz w:val="17"/>
          <w:szCs w:val="17"/>
          <w:shd w:val="clear" w:color="auto" w:fill="FFFFFF"/>
          <w:lang w:val="en-CA" w:eastAsia="zh-CN"/>
        </w:rPr>
        <w:t xml:space="preserve"> Prepared by case authors with information from the Sabre Market Intelligence database of SABRE GLBL Inc., searching with the Origin and Destinations function for final data on routing shown on tickets for flights from Jan 1, 2019 to Dec 31, 2019 between JFK and CDG, GRA, and LHR. Tables shows tickets sold by Delta Air Lines Inc., Deutsche Lufthansa AG and Singapore Airlines</w:t>
      </w:r>
      <w:r w:rsidR="00C848C2" w:rsidRPr="005945EC">
        <w:rPr>
          <w:rFonts w:ascii="Arial" w:hAnsi="Arial" w:cs="Arial"/>
          <w:color w:val="222222"/>
          <w:sz w:val="17"/>
          <w:szCs w:val="17"/>
          <w:shd w:val="clear" w:color="auto" w:fill="FFFFFF"/>
          <w:lang w:val="en-CA" w:eastAsia="zh-CN"/>
        </w:rPr>
        <w:t>, a</w:t>
      </w:r>
      <w:r w:rsidR="00AA2144" w:rsidRPr="005945EC">
        <w:rPr>
          <w:rFonts w:ascii="Arial" w:hAnsi="Arial" w:cs="Arial"/>
          <w:color w:val="222222"/>
          <w:sz w:val="17"/>
          <w:szCs w:val="17"/>
          <w:shd w:val="clear" w:color="auto" w:fill="FFFFFF"/>
          <w:lang w:val="en-CA" w:eastAsia="zh-CN"/>
        </w:rPr>
        <w:t>ccessed on July 14, 2020</w:t>
      </w:r>
      <w:r w:rsidR="005945EC" w:rsidRPr="005945EC">
        <w:rPr>
          <w:rFonts w:ascii="Arial" w:hAnsi="Arial" w:cs="Arial"/>
          <w:color w:val="222222"/>
          <w:sz w:val="17"/>
          <w:szCs w:val="17"/>
          <w:shd w:val="clear" w:color="auto" w:fill="FFFFFF"/>
          <w:lang w:val="en-CA" w:eastAsia="zh-CN"/>
        </w:rPr>
        <w:t>.</w:t>
      </w:r>
    </w:p>
    <w:p w14:paraId="2D0470B4" w14:textId="08445775" w:rsidR="009E3D79" w:rsidRPr="005945EC" w:rsidRDefault="009E3D79" w:rsidP="00913141">
      <w:pPr>
        <w:pStyle w:val="Footnote"/>
        <w:rPr>
          <w:lang w:val="en-CA"/>
        </w:rPr>
      </w:pPr>
    </w:p>
    <w:p w14:paraId="0B86CF5C" w14:textId="6962DF62" w:rsidR="00C673DC" w:rsidRPr="005945EC" w:rsidRDefault="00C673DC" w:rsidP="00913141">
      <w:pPr>
        <w:pStyle w:val="Footnote"/>
        <w:rPr>
          <w:lang w:val="en-CA"/>
        </w:rPr>
      </w:pPr>
    </w:p>
    <w:p w14:paraId="1120B415" w14:textId="2EA93850" w:rsidR="00C673DC" w:rsidRPr="005945EC" w:rsidRDefault="00C673DC" w:rsidP="00913141">
      <w:pPr>
        <w:pStyle w:val="Footnote"/>
        <w:rPr>
          <w:lang w:val="en-CA"/>
        </w:rPr>
      </w:pPr>
    </w:p>
    <w:p w14:paraId="1D33FF35" w14:textId="4A9D6FE8" w:rsidR="009E3D79" w:rsidRPr="005945EC" w:rsidRDefault="009E3D79" w:rsidP="00913141">
      <w:pPr>
        <w:pStyle w:val="ExhibitHeading"/>
        <w:rPr>
          <w:lang w:val="en-CA"/>
        </w:rPr>
      </w:pPr>
      <w:r w:rsidRPr="005945EC">
        <w:rPr>
          <w:lang w:val="en-CA"/>
        </w:rPr>
        <w:t xml:space="preserve">Exhibit </w:t>
      </w:r>
      <w:r w:rsidR="00F470CF" w:rsidRPr="005945EC">
        <w:rPr>
          <w:lang w:val="en-CA"/>
        </w:rPr>
        <w:t>4</w:t>
      </w:r>
      <w:r w:rsidR="00913141" w:rsidRPr="005945EC">
        <w:rPr>
          <w:lang w:val="en-CA"/>
        </w:rPr>
        <w:t xml:space="preserve">: </w:t>
      </w:r>
      <w:r w:rsidRPr="005945EC">
        <w:rPr>
          <w:lang w:val="en-CA"/>
        </w:rPr>
        <w:t>Financial Performance of Airlines by Alliance Affiliation, 2008</w:t>
      </w:r>
      <w:r w:rsidR="009949D1" w:rsidRPr="005945EC">
        <w:rPr>
          <w:lang w:val="en-CA"/>
        </w:rPr>
        <w:t>–</w:t>
      </w:r>
      <w:r w:rsidRPr="005945EC">
        <w:rPr>
          <w:lang w:val="en-CA"/>
        </w:rPr>
        <w:t>2018</w:t>
      </w:r>
    </w:p>
    <w:p w14:paraId="1410E2DE" w14:textId="77777777" w:rsidR="009E3D79" w:rsidRPr="005945EC" w:rsidRDefault="009E3D79" w:rsidP="009E3D79">
      <w:pPr>
        <w:rPr>
          <w:lang w:val="en-CA"/>
        </w:rPr>
      </w:pPr>
    </w:p>
    <w:tbl>
      <w:tblPr>
        <w:tblStyle w:val="TableGrid"/>
        <w:tblpPr w:leftFromText="180" w:rightFromText="180" w:vertAnchor="text" w:horzAnchor="margin" w:tblpY="-30"/>
        <w:tblW w:w="9438" w:type="dxa"/>
        <w:tblCellMar>
          <w:left w:w="58" w:type="dxa"/>
          <w:right w:w="58" w:type="dxa"/>
        </w:tblCellMar>
        <w:tblLook w:val="04A0" w:firstRow="1" w:lastRow="0" w:firstColumn="1" w:lastColumn="0" w:noHBand="0" w:noVBand="1"/>
        <w:tblCaption w:val="Exhibit 4"/>
        <w:tblDescription w:val="Table depicting finanical performance of airlines by alliance affiliation from 2008 to 2018."/>
      </w:tblPr>
      <w:tblGrid>
        <w:gridCol w:w="2335"/>
        <w:gridCol w:w="1170"/>
        <w:gridCol w:w="1170"/>
        <w:gridCol w:w="1350"/>
        <w:gridCol w:w="2354"/>
        <w:gridCol w:w="1059"/>
      </w:tblGrid>
      <w:tr w:rsidR="009E3D79" w:rsidRPr="005945EC" w14:paraId="1F5751D0" w14:textId="77777777" w:rsidTr="00FA578A">
        <w:trPr>
          <w:tblHeader/>
        </w:trPr>
        <w:tc>
          <w:tcPr>
            <w:tcW w:w="2335" w:type="dxa"/>
            <w:noWrap/>
            <w:hideMark/>
          </w:tcPr>
          <w:p w14:paraId="66DC19EA" w14:textId="408973D9" w:rsidR="009E3D79" w:rsidRPr="005945EC" w:rsidRDefault="009E3D79" w:rsidP="00621CA2">
            <w:pPr>
              <w:jc w:val="center"/>
              <w:rPr>
                <w:rFonts w:ascii="Arial" w:hAnsi="Arial" w:cs="Arial"/>
                <w:sz w:val="18"/>
                <w:szCs w:val="18"/>
                <w:lang w:val="en-CA" w:eastAsia="zh-CN"/>
              </w:rPr>
            </w:pPr>
            <w:r w:rsidRPr="005945EC">
              <w:rPr>
                <w:rFonts w:ascii="Arial" w:hAnsi="Arial" w:cs="Arial"/>
                <w:b/>
                <w:bCs/>
                <w:sz w:val="18"/>
                <w:szCs w:val="18"/>
                <w:lang w:val="en-CA" w:eastAsia="zh-CN"/>
              </w:rPr>
              <w:t xml:space="preserve">Results </w:t>
            </w:r>
            <w:r w:rsidR="00182A6C" w:rsidRPr="005945EC">
              <w:rPr>
                <w:rFonts w:ascii="Arial" w:hAnsi="Arial" w:cs="Arial"/>
                <w:b/>
                <w:bCs/>
                <w:sz w:val="18"/>
                <w:szCs w:val="18"/>
                <w:lang w:val="en-CA" w:eastAsia="zh-CN"/>
              </w:rPr>
              <w:t>A</w:t>
            </w:r>
            <w:r w:rsidRPr="005945EC">
              <w:rPr>
                <w:rFonts w:ascii="Arial" w:hAnsi="Arial" w:cs="Arial"/>
                <w:b/>
                <w:bCs/>
                <w:sz w:val="18"/>
                <w:szCs w:val="18"/>
                <w:lang w:val="en-CA" w:eastAsia="zh-CN"/>
              </w:rPr>
              <w:t xml:space="preserve">ggregated by </w:t>
            </w:r>
            <w:r w:rsidR="00182A6C" w:rsidRPr="005945EC">
              <w:rPr>
                <w:rFonts w:ascii="Arial" w:hAnsi="Arial" w:cs="Arial"/>
                <w:b/>
                <w:bCs/>
                <w:sz w:val="18"/>
                <w:szCs w:val="18"/>
                <w:lang w:val="en-CA" w:eastAsia="zh-CN"/>
              </w:rPr>
              <w:t>M</w:t>
            </w:r>
            <w:r w:rsidRPr="005945EC">
              <w:rPr>
                <w:rFonts w:ascii="Arial" w:hAnsi="Arial" w:cs="Arial"/>
                <w:b/>
                <w:bCs/>
                <w:sz w:val="18"/>
                <w:szCs w:val="18"/>
                <w:lang w:val="en-CA" w:eastAsia="zh-CN"/>
              </w:rPr>
              <w:t xml:space="preserve">embership in </w:t>
            </w:r>
            <w:r w:rsidR="00182A6C" w:rsidRPr="005945EC">
              <w:rPr>
                <w:rFonts w:ascii="Arial" w:hAnsi="Arial" w:cs="Arial"/>
                <w:b/>
                <w:bCs/>
                <w:sz w:val="18"/>
                <w:szCs w:val="18"/>
                <w:lang w:val="en-CA" w:eastAsia="zh-CN"/>
              </w:rPr>
              <w:t>A</w:t>
            </w:r>
            <w:r w:rsidRPr="005945EC">
              <w:rPr>
                <w:rFonts w:ascii="Arial" w:hAnsi="Arial" w:cs="Arial"/>
                <w:b/>
                <w:bCs/>
                <w:sz w:val="18"/>
                <w:szCs w:val="18"/>
                <w:lang w:val="en-CA" w:eastAsia="zh-CN"/>
              </w:rPr>
              <w:t xml:space="preserve">lliance </w:t>
            </w:r>
            <w:r w:rsidR="00182A6C" w:rsidRPr="005945EC">
              <w:rPr>
                <w:rFonts w:ascii="Arial" w:hAnsi="Arial" w:cs="Arial"/>
                <w:b/>
                <w:bCs/>
                <w:sz w:val="18"/>
                <w:szCs w:val="18"/>
                <w:lang w:val="en-CA" w:eastAsia="zh-CN"/>
              </w:rPr>
              <w:t>G</w:t>
            </w:r>
            <w:r w:rsidRPr="005945EC">
              <w:rPr>
                <w:rFonts w:ascii="Arial" w:hAnsi="Arial" w:cs="Arial"/>
                <w:b/>
                <w:bCs/>
                <w:sz w:val="18"/>
                <w:szCs w:val="18"/>
                <w:lang w:val="en-CA" w:eastAsia="zh-CN"/>
              </w:rPr>
              <w:t>roupings</w:t>
            </w:r>
          </w:p>
        </w:tc>
        <w:tc>
          <w:tcPr>
            <w:tcW w:w="1170" w:type="dxa"/>
            <w:noWrap/>
            <w:hideMark/>
          </w:tcPr>
          <w:p w14:paraId="24DB19D9" w14:textId="77777777" w:rsidR="009E3D79" w:rsidRPr="005945EC" w:rsidRDefault="009E3D79" w:rsidP="00621CA2">
            <w:pPr>
              <w:jc w:val="center"/>
              <w:rPr>
                <w:rFonts w:ascii="Arial" w:hAnsi="Arial" w:cs="Arial"/>
                <w:b/>
                <w:bCs/>
                <w:sz w:val="18"/>
                <w:szCs w:val="18"/>
                <w:lang w:val="en-CA" w:eastAsia="zh-CN"/>
              </w:rPr>
            </w:pPr>
            <w:r w:rsidRPr="005945EC">
              <w:rPr>
                <w:rFonts w:ascii="Arial" w:hAnsi="Arial" w:cs="Arial"/>
                <w:b/>
                <w:bCs/>
                <w:sz w:val="18"/>
                <w:szCs w:val="18"/>
                <w:lang w:val="en-CA" w:eastAsia="zh-CN"/>
              </w:rPr>
              <w:t>2008</w:t>
            </w:r>
          </w:p>
        </w:tc>
        <w:tc>
          <w:tcPr>
            <w:tcW w:w="1170" w:type="dxa"/>
            <w:noWrap/>
            <w:hideMark/>
          </w:tcPr>
          <w:p w14:paraId="047B6CA2" w14:textId="77777777" w:rsidR="009E3D79" w:rsidRPr="005945EC" w:rsidRDefault="009E3D79" w:rsidP="00621CA2">
            <w:pPr>
              <w:jc w:val="center"/>
              <w:rPr>
                <w:rFonts w:ascii="Arial" w:hAnsi="Arial" w:cs="Arial"/>
                <w:b/>
                <w:bCs/>
                <w:sz w:val="18"/>
                <w:szCs w:val="18"/>
                <w:lang w:val="en-CA" w:eastAsia="zh-CN"/>
              </w:rPr>
            </w:pPr>
            <w:r w:rsidRPr="005945EC">
              <w:rPr>
                <w:rFonts w:ascii="Arial" w:hAnsi="Arial" w:cs="Arial"/>
                <w:b/>
                <w:bCs/>
                <w:sz w:val="18"/>
                <w:szCs w:val="18"/>
                <w:lang w:val="en-CA" w:eastAsia="zh-CN"/>
              </w:rPr>
              <w:t>2018</w:t>
            </w:r>
          </w:p>
        </w:tc>
        <w:tc>
          <w:tcPr>
            <w:tcW w:w="1350" w:type="dxa"/>
          </w:tcPr>
          <w:p w14:paraId="609A8586" w14:textId="77777777" w:rsidR="009E3D79" w:rsidRPr="005945EC" w:rsidRDefault="009E3D79" w:rsidP="00621CA2">
            <w:pPr>
              <w:jc w:val="center"/>
              <w:rPr>
                <w:rFonts w:ascii="Arial" w:hAnsi="Arial" w:cs="Arial"/>
                <w:b/>
                <w:bCs/>
                <w:sz w:val="18"/>
                <w:szCs w:val="18"/>
                <w:lang w:val="en-CA" w:eastAsia="zh-CN"/>
              </w:rPr>
            </w:pPr>
            <w:r w:rsidRPr="005945EC">
              <w:rPr>
                <w:rFonts w:ascii="Arial" w:hAnsi="Arial" w:cs="Arial"/>
                <w:b/>
                <w:bCs/>
                <w:sz w:val="18"/>
                <w:szCs w:val="18"/>
                <w:lang w:val="en-CA" w:eastAsia="zh-CN"/>
              </w:rPr>
              <w:t>Change over the period 2008-2018</w:t>
            </w:r>
          </w:p>
        </w:tc>
        <w:tc>
          <w:tcPr>
            <w:tcW w:w="2354" w:type="dxa"/>
            <w:noWrap/>
            <w:hideMark/>
          </w:tcPr>
          <w:p w14:paraId="23013FBF" w14:textId="77777777" w:rsidR="009E3D79" w:rsidRPr="005945EC" w:rsidRDefault="009E3D79" w:rsidP="00621CA2">
            <w:pPr>
              <w:jc w:val="center"/>
              <w:rPr>
                <w:rFonts w:ascii="Arial" w:hAnsi="Arial" w:cs="Arial"/>
                <w:b/>
                <w:bCs/>
                <w:sz w:val="18"/>
                <w:szCs w:val="18"/>
                <w:lang w:val="en-CA" w:eastAsia="zh-CN"/>
              </w:rPr>
            </w:pPr>
            <w:r w:rsidRPr="005945EC">
              <w:rPr>
                <w:rFonts w:ascii="Arial" w:hAnsi="Arial" w:cs="Arial"/>
                <w:b/>
                <w:bCs/>
                <w:sz w:val="18"/>
                <w:szCs w:val="18"/>
                <w:lang w:val="en-CA" w:eastAsia="zh-CN"/>
              </w:rPr>
              <w:t>Change for 2008-2018</w:t>
            </w:r>
          </w:p>
          <w:p w14:paraId="01F7429B" w14:textId="77777777" w:rsidR="009E3D79" w:rsidRPr="005945EC" w:rsidRDefault="009E3D79" w:rsidP="00621CA2">
            <w:pPr>
              <w:jc w:val="center"/>
              <w:rPr>
                <w:rFonts w:ascii="Arial" w:hAnsi="Arial" w:cs="Arial"/>
                <w:b/>
                <w:bCs/>
                <w:sz w:val="18"/>
                <w:szCs w:val="18"/>
                <w:lang w:val="en-CA" w:eastAsia="zh-CN"/>
              </w:rPr>
            </w:pPr>
            <w:r w:rsidRPr="005945EC">
              <w:rPr>
                <w:rFonts w:ascii="Arial" w:hAnsi="Arial" w:cs="Arial"/>
                <w:b/>
                <w:bCs/>
                <w:sz w:val="18"/>
                <w:szCs w:val="18"/>
                <w:lang w:val="en-CA" w:eastAsia="zh-CN"/>
              </w:rPr>
              <w:t>including only members present for the full period</w:t>
            </w:r>
          </w:p>
        </w:tc>
        <w:tc>
          <w:tcPr>
            <w:tcW w:w="1059" w:type="dxa"/>
            <w:noWrap/>
            <w:hideMark/>
          </w:tcPr>
          <w:p w14:paraId="05C2DAFA" w14:textId="77777777" w:rsidR="009E3D79" w:rsidRPr="005945EC" w:rsidRDefault="009E3D79" w:rsidP="00621CA2">
            <w:pPr>
              <w:jc w:val="center"/>
              <w:rPr>
                <w:rFonts w:ascii="Arial" w:hAnsi="Arial" w:cs="Arial"/>
                <w:b/>
                <w:bCs/>
                <w:sz w:val="18"/>
                <w:szCs w:val="18"/>
                <w:lang w:val="en-CA" w:eastAsia="zh-CN"/>
              </w:rPr>
            </w:pPr>
            <w:r w:rsidRPr="005945EC">
              <w:rPr>
                <w:rFonts w:ascii="Arial" w:hAnsi="Arial" w:cs="Arial"/>
                <w:b/>
                <w:bCs/>
                <w:sz w:val="18"/>
                <w:szCs w:val="18"/>
                <w:lang w:val="en-CA" w:eastAsia="zh-CN"/>
              </w:rPr>
              <w:t>2018 Market Share</w:t>
            </w:r>
          </w:p>
        </w:tc>
      </w:tr>
      <w:tr w:rsidR="005945EC" w:rsidRPr="005945EC" w14:paraId="27CDD56D" w14:textId="77777777" w:rsidTr="00FA578A">
        <w:trPr>
          <w:tblHeader/>
        </w:trPr>
        <w:tc>
          <w:tcPr>
            <w:tcW w:w="9438" w:type="dxa"/>
            <w:gridSpan w:val="6"/>
            <w:noWrap/>
            <w:vAlign w:val="center"/>
            <w:hideMark/>
          </w:tcPr>
          <w:p w14:paraId="281E2713" w14:textId="799ACF7E" w:rsidR="005945EC" w:rsidRPr="005945EC" w:rsidRDefault="005945EC" w:rsidP="005945EC">
            <w:pPr>
              <w:rPr>
                <w:rFonts w:ascii="Arial" w:hAnsi="Arial" w:cs="Arial"/>
                <w:sz w:val="18"/>
                <w:szCs w:val="18"/>
                <w:lang w:val="en-CA" w:eastAsia="zh-CN"/>
              </w:rPr>
            </w:pPr>
            <w:r w:rsidRPr="005945EC">
              <w:rPr>
                <w:rFonts w:ascii="Arial" w:hAnsi="Arial" w:cs="Arial"/>
                <w:b/>
                <w:bCs/>
                <w:sz w:val="18"/>
                <w:szCs w:val="18"/>
                <w:lang w:val="en-CA" w:eastAsia="zh-CN"/>
              </w:rPr>
              <w:t xml:space="preserve">Revenue </w:t>
            </w:r>
          </w:p>
        </w:tc>
      </w:tr>
      <w:tr w:rsidR="009E3D79" w:rsidRPr="005945EC" w14:paraId="7858B59D" w14:textId="77777777" w:rsidTr="00FA578A">
        <w:trPr>
          <w:tblHeader/>
        </w:trPr>
        <w:tc>
          <w:tcPr>
            <w:tcW w:w="2335" w:type="dxa"/>
            <w:noWrap/>
            <w:hideMark/>
          </w:tcPr>
          <w:p w14:paraId="1E818D8E"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Star</w:t>
            </w:r>
          </w:p>
        </w:tc>
        <w:tc>
          <w:tcPr>
            <w:tcW w:w="1170" w:type="dxa"/>
            <w:noWrap/>
            <w:hideMark/>
          </w:tcPr>
          <w:p w14:paraId="6B203F56"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$154,346</w:t>
            </w:r>
          </w:p>
        </w:tc>
        <w:tc>
          <w:tcPr>
            <w:tcW w:w="1170" w:type="dxa"/>
            <w:noWrap/>
            <w:hideMark/>
          </w:tcPr>
          <w:p w14:paraId="4F2AB805"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$203,570</w:t>
            </w:r>
          </w:p>
        </w:tc>
        <w:tc>
          <w:tcPr>
            <w:tcW w:w="1350" w:type="dxa"/>
          </w:tcPr>
          <w:p w14:paraId="34E27E18"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32%</w:t>
            </w:r>
          </w:p>
        </w:tc>
        <w:tc>
          <w:tcPr>
            <w:tcW w:w="2354" w:type="dxa"/>
            <w:noWrap/>
            <w:hideMark/>
          </w:tcPr>
          <w:p w14:paraId="700C363B"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20%</w:t>
            </w:r>
          </w:p>
        </w:tc>
        <w:tc>
          <w:tcPr>
            <w:tcW w:w="1059" w:type="dxa"/>
            <w:noWrap/>
            <w:hideMark/>
          </w:tcPr>
          <w:p w14:paraId="1F897BA2"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27%</w:t>
            </w:r>
          </w:p>
        </w:tc>
      </w:tr>
      <w:tr w:rsidR="009E3D79" w:rsidRPr="005945EC" w14:paraId="60EF21DE" w14:textId="77777777" w:rsidTr="00FA578A">
        <w:trPr>
          <w:tblHeader/>
        </w:trPr>
        <w:tc>
          <w:tcPr>
            <w:tcW w:w="2335" w:type="dxa"/>
            <w:noWrap/>
            <w:hideMark/>
          </w:tcPr>
          <w:p w14:paraId="7E3C37F9" w14:textId="77777777" w:rsidR="009E3D79" w:rsidRPr="005945EC" w:rsidRDefault="009E3D79" w:rsidP="00621CA2">
            <w:pPr>
              <w:ind w:firstLineChars="200" w:firstLine="360"/>
              <w:rPr>
                <w:rFonts w:ascii="Arial" w:hAnsi="Arial" w:cs="Arial"/>
                <w:sz w:val="18"/>
                <w:szCs w:val="18"/>
                <w:lang w:val="en-CA" w:eastAsia="zh-CN"/>
              </w:rPr>
            </w:pPr>
            <w:proofErr w:type="spellStart"/>
            <w:r w:rsidRPr="005945EC">
              <w:rPr>
                <w:rFonts w:ascii="Arial" w:hAnsi="Arial" w:cs="Arial"/>
                <w:sz w:val="18"/>
                <w:szCs w:val="18"/>
                <w:lang w:val="en-CA" w:eastAsia="zh-CN"/>
              </w:rPr>
              <w:t>Oneworld</w:t>
            </w:r>
            <w:proofErr w:type="spellEnd"/>
          </w:p>
        </w:tc>
        <w:tc>
          <w:tcPr>
            <w:tcW w:w="1170" w:type="dxa"/>
            <w:noWrap/>
            <w:hideMark/>
          </w:tcPr>
          <w:p w14:paraId="673C5A0B"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100,930</w:t>
            </w:r>
          </w:p>
        </w:tc>
        <w:tc>
          <w:tcPr>
            <w:tcW w:w="1170" w:type="dxa"/>
            <w:noWrap/>
            <w:hideMark/>
          </w:tcPr>
          <w:p w14:paraId="11574B50"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140,491</w:t>
            </w:r>
          </w:p>
        </w:tc>
        <w:tc>
          <w:tcPr>
            <w:tcW w:w="1350" w:type="dxa"/>
          </w:tcPr>
          <w:p w14:paraId="5CF10471"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39%</w:t>
            </w:r>
          </w:p>
        </w:tc>
        <w:tc>
          <w:tcPr>
            <w:tcW w:w="2354" w:type="dxa"/>
            <w:noWrap/>
            <w:hideMark/>
          </w:tcPr>
          <w:p w14:paraId="25444EBA"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21%</w:t>
            </w:r>
          </w:p>
        </w:tc>
        <w:tc>
          <w:tcPr>
            <w:tcW w:w="1059" w:type="dxa"/>
            <w:noWrap/>
            <w:hideMark/>
          </w:tcPr>
          <w:p w14:paraId="488CE9B8"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18%</w:t>
            </w:r>
          </w:p>
        </w:tc>
      </w:tr>
      <w:tr w:rsidR="009E3D79" w:rsidRPr="005945EC" w14:paraId="47BB949E" w14:textId="77777777" w:rsidTr="00FA578A">
        <w:trPr>
          <w:tblHeader/>
        </w:trPr>
        <w:tc>
          <w:tcPr>
            <w:tcW w:w="2335" w:type="dxa"/>
            <w:noWrap/>
            <w:hideMark/>
          </w:tcPr>
          <w:p w14:paraId="50F31C50"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SkyTeam</w:t>
            </w:r>
          </w:p>
        </w:tc>
        <w:tc>
          <w:tcPr>
            <w:tcW w:w="1170" w:type="dxa"/>
            <w:noWrap/>
            <w:hideMark/>
          </w:tcPr>
          <w:p w14:paraId="1991FAA9"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99,886</w:t>
            </w:r>
          </w:p>
        </w:tc>
        <w:tc>
          <w:tcPr>
            <w:tcW w:w="1170" w:type="dxa"/>
            <w:noWrap/>
            <w:hideMark/>
          </w:tcPr>
          <w:p w14:paraId="1049F7D2"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134,431</w:t>
            </w:r>
          </w:p>
        </w:tc>
        <w:tc>
          <w:tcPr>
            <w:tcW w:w="1350" w:type="dxa"/>
          </w:tcPr>
          <w:p w14:paraId="00B4DF47"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35%</w:t>
            </w:r>
          </w:p>
        </w:tc>
        <w:tc>
          <w:tcPr>
            <w:tcW w:w="2354" w:type="dxa"/>
            <w:noWrap/>
            <w:hideMark/>
          </w:tcPr>
          <w:p w14:paraId="35E64BCF"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-6%</w:t>
            </w:r>
          </w:p>
        </w:tc>
        <w:tc>
          <w:tcPr>
            <w:tcW w:w="1059" w:type="dxa"/>
            <w:noWrap/>
            <w:hideMark/>
          </w:tcPr>
          <w:p w14:paraId="5EF713B3"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18%</w:t>
            </w:r>
          </w:p>
        </w:tc>
      </w:tr>
      <w:tr w:rsidR="009E3D79" w:rsidRPr="005945EC" w14:paraId="7F15C018" w14:textId="77777777" w:rsidTr="00FA578A">
        <w:trPr>
          <w:tblHeader/>
        </w:trPr>
        <w:tc>
          <w:tcPr>
            <w:tcW w:w="2335" w:type="dxa"/>
            <w:noWrap/>
            <w:hideMark/>
          </w:tcPr>
          <w:p w14:paraId="02413C08"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 xml:space="preserve">Non-Aligned </w:t>
            </w:r>
          </w:p>
        </w:tc>
        <w:tc>
          <w:tcPr>
            <w:tcW w:w="1170" w:type="dxa"/>
            <w:noWrap/>
            <w:hideMark/>
          </w:tcPr>
          <w:p w14:paraId="1BA8AF16"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185,072</w:t>
            </w:r>
          </w:p>
        </w:tc>
        <w:tc>
          <w:tcPr>
            <w:tcW w:w="1170" w:type="dxa"/>
            <w:noWrap/>
            <w:hideMark/>
          </w:tcPr>
          <w:p w14:paraId="3151B0F8"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288,578</w:t>
            </w:r>
          </w:p>
        </w:tc>
        <w:tc>
          <w:tcPr>
            <w:tcW w:w="1350" w:type="dxa"/>
          </w:tcPr>
          <w:p w14:paraId="25FED9A3"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56%</w:t>
            </w:r>
          </w:p>
        </w:tc>
        <w:tc>
          <w:tcPr>
            <w:tcW w:w="2354" w:type="dxa"/>
            <w:noWrap/>
            <w:hideMark/>
          </w:tcPr>
          <w:p w14:paraId="3CEFF6E4"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5CDF56E7"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38%</w:t>
            </w:r>
          </w:p>
        </w:tc>
      </w:tr>
      <w:tr w:rsidR="005945EC" w:rsidRPr="005945EC" w14:paraId="4D73B4B2" w14:textId="77777777" w:rsidTr="00FA578A">
        <w:trPr>
          <w:tblHeader/>
        </w:trPr>
        <w:tc>
          <w:tcPr>
            <w:tcW w:w="9438" w:type="dxa"/>
            <w:gridSpan w:val="6"/>
            <w:noWrap/>
            <w:vAlign w:val="center"/>
            <w:hideMark/>
          </w:tcPr>
          <w:p w14:paraId="6DF7909C" w14:textId="7E1D1BC8" w:rsidR="005945EC" w:rsidRPr="005945EC" w:rsidRDefault="005945EC" w:rsidP="005945EC">
            <w:pPr>
              <w:rPr>
                <w:rFonts w:ascii="Arial" w:hAnsi="Arial" w:cs="Arial"/>
                <w:sz w:val="18"/>
                <w:szCs w:val="18"/>
                <w:lang w:val="en-CA" w:eastAsia="zh-CN"/>
              </w:rPr>
            </w:pPr>
            <w:r w:rsidRPr="005945EC">
              <w:rPr>
                <w:rFonts w:ascii="Arial" w:hAnsi="Arial" w:cs="Arial"/>
                <w:b/>
                <w:bCs/>
                <w:sz w:val="18"/>
                <w:szCs w:val="18"/>
                <w:lang w:val="en-CA" w:eastAsia="zh-CN"/>
              </w:rPr>
              <w:t xml:space="preserve">Operating Result </w:t>
            </w:r>
          </w:p>
        </w:tc>
      </w:tr>
      <w:tr w:rsidR="009E3D79" w:rsidRPr="005945EC" w14:paraId="2F8D71E8" w14:textId="77777777" w:rsidTr="00FA578A">
        <w:trPr>
          <w:tblHeader/>
        </w:trPr>
        <w:tc>
          <w:tcPr>
            <w:tcW w:w="2335" w:type="dxa"/>
            <w:noWrap/>
            <w:hideMark/>
          </w:tcPr>
          <w:p w14:paraId="6AE7EC99"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Star</w:t>
            </w:r>
          </w:p>
        </w:tc>
        <w:tc>
          <w:tcPr>
            <w:tcW w:w="1170" w:type="dxa"/>
            <w:noWrap/>
            <w:hideMark/>
          </w:tcPr>
          <w:p w14:paraId="5E6CA4EA"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(4,244)</w:t>
            </w:r>
          </w:p>
        </w:tc>
        <w:tc>
          <w:tcPr>
            <w:tcW w:w="1170" w:type="dxa"/>
            <w:noWrap/>
            <w:hideMark/>
          </w:tcPr>
          <w:p w14:paraId="08FF7E40"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13,807</w:t>
            </w:r>
          </w:p>
        </w:tc>
        <w:tc>
          <w:tcPr>
            <w:tcW w:w="1350" w:type="dxa"/>
          </w:tcPr>
          <w:p w14:paraId="4C9B1D8A"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w:t>
            </w:r>
          </w:p>
        </w:tc>
        <w:tc>
          <w:tcPr>
            <w:tcW w:w="2354" w:type="dxa"/>
            <w:noWrap/>
            <w:hideMark/>
          </w:tcPr>
          <w:p w14:paraId="75C90B20"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3CBCBC38"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29%</w:t>
            </w:r>
          </w:p>
        </w:tc>
      </w:tr>
      <w:tr w:rsidR="009E3D79" w:rsidRPr="005945EC" w14:paraId="0CDA292E" w14:textId="77777777" w:rsidTr="00FA578A">
        <w:trPr>
          <w:tblHeader/>
        </w:trPr>
        <w:tc>
          <w:tcPr>
            <w:tcW w:w="2335" w:type="dxa"/>
            <w:noWrap/>
            <w:hideMark/>
          </w:tcPr>
          <w:p w14:paraId="6057A8A5" w14:textId="77777777" w:rsidR="009E3D79" w:rsidRPr="005945EC" w:rsidRDefault="009E3D79" w:rsidP="00621CA2">
            <w:pPr>
              <w:ind w:firstLineChars="200" w:firstLine="360"/>
              <w:rPr>
                <w:rFonts w:ascii="Arial" w:hAnsi="Arial" w:cs="Arial"/>
                <w:sz w:val="18"/>
                <w:szCs w:val="18"/>
                <w:lang w:val="en-CA" w:eastAsia="zh-CN"/>
              </w:rPr>
            </w:pPr>
            <w:proofErr w:type="spellStart"/>
            <w:r w:rsidRPr="005945EC">
              <w:rPr>
                <w:rFonts w:ascii="Arial" w:hAnsi="Arial" w:cs="Arial"/>
                <w:sz w:val="18"/>
                <w:szCs w:val="18"/>
                <w:lang w:val="en-CA" w:eastAsia="zh-CN"/>
              </w:rPr>
              <w:t>Oneworld</w:t>
            </w:r>
            <w:proofErr w:type="spellEnd"/>
          </w:p>
        </w:tc>
        <w:tc>
          <w:tcPr>
            <w:tcW w:w="1170" w:type="dxa"/>
            <w:noWrap/>
            <w:hideMark/>
          </w:tcPr>
          <w:p w14:paraId="1DEDBA34"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(2,105)</w:t>
            </w:r>
          </w:p>
        </w:tc>
        <w:tc>
          <w:tcPr>
            <w:tcW w:w="1170" w:type="dxa"/>
            <w:noWrap/>
            <w:hideMark/>
          </w:tcPr>
          <w:p w14:paraId="440D24D2"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10,139</w:t>
            </w:r>
          </w:p>
        </w:tc>
        <w:tc>
          <w:tcPr>
            <w:tcW w:w="1350" w:type="dxa"/>
          </w:tcPr>
          <w:p w14:paraId="474A7484"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w:t>
            </w:r>
          </w:p>
        </w:tc>
        <w:tc>
          <w:tcPr>
            <w:tcW w:w="2354" w:type="dxa"/>
            <w:noWrap/>
            <w:hideMark/>
          </w:tcPr>
          <w:p w14:paraId="0E64B8D5"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491384CB"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16%</w:t>
            </w:r>
          </w:p>
        </w:tc>
      </w:tr>
      <w:tr w:rsidR="009E3D79" w:rsidRPr="005945EC" w14:paraId="5A33428D" w14:textId="77777777" w:rsidTr="00FA578A">
        <w:trPr>
          <w:tblHeader/>
        </w:trPr>
        <w:tc>
          <w:tcPr>
            <w:tcW w:w="2335" w:type="dxa"/>
            <w:noWrap/>
            <w:hideMark/>
          </w:tcPr>
          <w:p w14:paraId="286A7D7D"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SkyTeam</w:t>
            </w:r>
          </w:p>
        </w:tc>
        <w:tc>
          <w:tcPr>
            <w:tcW w:w="1170" w:type="dxa"/>
            <w:noWrap/>
            <w:hideMark/>
          </w:tcPr>
          <w:p w14:paraId="185CEB98"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(9,244)</w:t>
            </w:r>
          </w:p>
        </w:tc>
        <w:tc>
          <w:tcPr>
            <w:tcW w:w="1170" w:type="dxa"/>
            <w:noWrap/>
            <w:hideMark/>
          </w:tcPr>
          <w:p w14:paraId="3FC6EF20"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9,245</w:t>
            </w:r>
          </w:p>
        </w:tc>
        <w:tc>
          <w:tcPr>
            <w:tcW w:w="1350" w:type="dxa"/>
          </w:tcPr>
          <w:p w14:paraId="4DD06E59"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w:t>
            </w:r>
          </w:p>
        </w:tc>
        <w:tc>
          <w:tcPr>
            <w:tcW w:w="2354" w:type="dxa"/>
            <w:noWrap/>
            <w:hideMark/>
          </w:tcPr>
          <w:p w14:paraId="5026305C"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641A2611"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19%</w:t>
            </w:r>
          </w:p>
        </w:tc>
      </w:tr>
      <w:tr w:rsidR="009E3D79" w:rsidRPr="005945EC" w14:paraId="1BB29030" w14:textId="77777777" w:rsidTr="00FA578A">
        <w:trPr>
          <w:tblHeader/>
        </w:trPr>
        <w:tc>
          <w:tcPr>
            <w:tcW w:w="2335" w:type="dxa"/>
            <w:noWrap/>
            <w:hideMark/>
          </w:tcPr>
          <w:p w14:paraId="7B8CF608"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 xml:space="preserve">Non-Aligned </w:t>
            </w:r>
          </w:p>
        </w:tc>
        <w:tc>
          <w:tcPr>
            <w:tcW w:w="1170" w:type="dxa"/>
            <w:noWrap/>
            <w:hideMark/>
          </w:tcPr>
          <w:p w14:paraId="69C796CD"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287</w:t>
            </w:r>
          </w:p>
        </w:tc>
        <w:tc>
          <w:tcPr>
            <w:tcW w:w="1170" w:type="dxa"/>
            <w:noWrap/>
            <w:hideMark/>
          </w:tcPr>
          <w:p w14:paraId="28F12717"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14,671</w:t>
            </w:r>
          </w:p>
        </w:tc>
        <w:tc>
          <w:tcPr>
            <w:tcW w:w="1350" w:type="dxa"/>
          </w:tcPr>
          <w:p w14:paraId="4675776B"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5012%</w:t>
            </w:r>
          </w:p>
        </w:tc>
        <w:tc>
          <w:tcPr>
            <w:tcW w:w="2354" w:type="dxa"/>
            <w:noWrap/>
            <w:hideMark/>
          </w:tcPr>
          <w:p w14:paraId="23732A73"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14304ACE"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31%</w:t>
            </w:r>
          </w:p>
        </w:tc>
      </w:tr>
      <w:tr w:rsidR="005945EC" w:rsidRPr="005945EC" w14:paraId="3C3FAF5D" w14:textId="77777777" w:rsidTr="00FA578A">
        <w:trPr>
          <w:tblHeader/>
        </w:trPr>
        <w:tc>
          <w:tcPr>
            <w:tcW w:w="9438" w:type="dxa"/>
            <w:gridSpan w:val="6"/>
            <w:noWrap/>
            <w:vAlign w:val="center"/>
            <w:hideMark/>
          </w:tcPr>
          <w:p w14:paraId="66789D84" w14:textId="346E5467" w:rsidR="005945EC" w:rsidRPr="005945EC" w:rsidRDefault="005945EC" w:rsidP="005945EC">
            <w:pPr>
              <w:rPr>
                <w:rFonts w:ascii="Arial" w:hAnsi="Arial" w:cs="Arial"/>
                <w:sz w:val="18"/>
                <w:szCs w:val="18"/>
                <w:lang w:val="en-CA" w:eastAsia="zh-CN"/>
              </w:rPr>
            </w:pPr>
            <w:r w:rsidRPr="005945EC">
              <w:rPr>
                <w:rFonts w:ascii="Arial" w:hAnsi="Arial" w:cs="Arial"/>
                <w:b/>
                <w:bCs/>
                <w:sz w:val="18"/>
                <w:szCs w:val="18"/>
                <w:lang w:val="en-CA" w:eastAsia="zh-CN"/>
              </w:rPr>
              <w:t>Net Result</w:t>
            </w:r>
          </w:p>
        </w:tc>
      </w:tr>
      <w:tr w:rsidR="009E3D79" w:rsidRPr="005945EC" w14:paraId="495BB81B" w14:textId="77777777" w:rsidTr="00FA578A">
        <w:trPr>
          <w:tblHeader/>
        </w:trPr>
        <w:tc>
          <w:tcPr>
            <w:tcW w:w="2335" w:type="dxa"/>
            <w:noWrap/>
            <w:hideMark/>
          </w:tcPr>
          <w:p w14:paraId="72375787"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Star</w:t>
            </w:r>
          </w:p>
        </w:tc>
        <w:tc>
          <w:tcPr>
            <w:tcW w:w="1170" w:type="dxa"/>
            <w:noWrap/>
            <w:hideMark/>
          </w:tcPr>
          <w:p w14:paraId="5025C097"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(9,360)</w:t>
            </w:r>
          </w:p>
        </w:tc>
        <w:tc>
          <w:tcPr>
            <w:tcW w:w="1170" w:type="dxa"/>
            <w:noWrap/>
            <w:hideMark/>
          </w:tcPr>
          <w:p w14:paraId="535A4615"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7,051</w:t>
            </w:r>
          </w:p>
        </w:tc>
        <w:tc>
          <w:tcPr>
            <w:tcW w:w="1350" w:type="dxa"/>
          </w:tcPr>
          <w:p w14:paraId="493F7CAE"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w:t>
            </w:r>
          </w:p>
        </w:tc>
        <w:tc>
          <w:tcPr>
            <w:tcW w:w="2354" w:type="dxa"/>
            <w:noWrap/>
            <w:hideMark/>
          </w:tcPr>
          <w:p w14:paraId="239EEC04"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22D10FE6"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30%</w:t>
            </w:r>
          </w:p>
        </w:tc>
      </w:tr>
      <w:tr w:rsidR="009E3D79" w:rsidRPr="005945EC" w14:paraId="67CE1757" w14:textId="77777777" w:rsidTr="00FA578A">
        <w:trPr>
          <w:tblHeader/>
        </w:trPr>
        <w:tc>
          <w:tcPr>
            <w:tcW w:w="2335" w:type="dxa"/>
            <w:noWrap/>
            <w:hideMark/>
          </w:tcPr>
          <w:p w14:paraId="5EB2BD92" w14:textId="77777777" w:rsidR="009E3D79" w:rsidRPr="005945EC" w:rsidRDefault="009E3D79" w:rsidP="00621CA2">
            <w:pPr>
              <w:ind w:firstLineChars="200" w:firstLine="360"/>
              <w:rPr>
                <w:rFonts w:ascii="Arial" w:hAnsi="Arial" w:cs="Arial"/>
                <w:sz w:val="18"/>
                <w:szCs w:val="18"/>
                <w:lang w:val="en-CA" w:eastAsia="zh-CN"/>
              </w:rPr>
            </w:pPr>
            <w:proofErr w:type="spellStart"/>
            <w:r w:rsidRPr="005945EC">
              <w:rPr>
                <w:rFonts w:ascii="Arial" w:hAnsi="Arial" w:cs="Arial"/>
                <w:sz w:val="18"/>
                <w:szCs w:val="18"/>
                <w:lang w:val="en-CA" w:eastAsia="zh-CN"/>
              </w:rPr>
              <w:t>Oneworld</w:t>
            </w:r>
            <w:proofErr w:type="spellEnd"/>
          </w:p>
        </w:tc>
        <w:tc>
          <w:tcPr>
            <w:tcW w:w="1170" w:type="dxa"/>
            <w:noWrap/>
            <w:hideMark/>
          </w:tcPr>
          <w:p w14:paraId="0A1F7B1C"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(3,263)</w:t>
            </w:r>
          </w:p>
        </w:tc>
        <w:tc>
          <w:tcPr>
            <w:tcW w:w="1170" w:type="dxa"/>
            <w:noWrap/>
            <w:hideMark/>
          </w:tcPr>
          <w:p w14:paraId="74C29851"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4,186</w:t>
            </w:r>
          </w:p>
        </w:tc>
        <w:tc>
          <w:tcPr>
            <w:tcW w:w="1350" w:type="dxa"/>
          </w:tcPr>
          <w:p w14:paraId="685A4FA3"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w:t>
            </w:r>
          </w:p>
        </w:tc>
        <w:tc>
          <w:tcPr>
            <w:tcW w:w="2354" w:type="dxa"/>
            <w:noWrap/>
            <w:hideMark/>
          </w:tcPr>
          <w:p w14:paraId="6BAE15ED"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108C0CA7"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18%</w:t>
            </w:r>
          </w:p>
        </w:tc>
      </w:tr>
      <w:tr w:rsidR="009E3D79" w:rsidRPr="005945EC" w14:paraId="27283836" w14:textId="77777777" w:rsidTr="00FA578A">
        <w:trPr>
          <w:tblHeader/>
        </w:trPr>
        <w:tc>
          <w:tcPr>
            <w:tcW w:w="2335" w:type="dxa"/>
            <w:noWrap/>
            <w:hideMark/>
          </w:tcPr>
          <w:p w14:paraId="6862590B"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SkyTeam</w:t>
            </w:r>
          </w:p>
        </w:tc>
        <w:tc>
          <w:tcPr>
            <w:tcW w:w="1170" w:type="dxa"/>
            <w:noWrap/>
            <w:hideMark/>
          </w:tcPr>
          <w:p w14:paraId="1FFEDF2D"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(12,752)</w:t>
            </w:r>
          </w:p>
        </w:tc>
        <w:tc>
          <w:tcPr>
            <w:tcW w:w="1170" w:type="dxa"/>
            <w:noWrap/>
            <w:hideMark/>
          </w:tcPr>
          <w:p w14:paraId="0FC49592"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4,577</w:t>
            </w:r>
          </w:p>
        </w:tc>
        <w:tc>
          <w:tcPr>
            <w:tcW w:w="1350" w:type="dxa"/>
          </w:tcPr>
          <w:p w14:paraId="03AABBD0"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w:t>
            </w:r>
          </w:p>
        </w:tc>
        <w:tc>
          <w:tcPr>
            <w:tcW w:w="2354" w:type="dxa"/>
            <w:noWrap/>
            <w:hideMark/>
          </w:tcPr>
          <w:p w14:paraId="47F3CFC3"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6F764454"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20%</w:t>
            </w:r>
          </w:p>
        </w:tc>
      </w:tr>
      <w:tr w:rsidR="009E3D79" w:rsidRPr="005945EC" w14:paraId="672D3E7E" w14:textId="77777777" w:rsidTr="00FA578A">
        <w:trPr>
          <w:tblHeader/>
        </w:trPr>
        <w:tc>
          <w:tcPr>
            <w:tcW w:w="2335" w:type="dxa"/>
            <w:noWrap/>
            <w:hideMark/>
          </w:tcPr>
          <w:p w14:paraId="4D014675"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 xml:space="preserve">Non-Aligned </w:t>
            </w:r>
          </w:p>
        </w:tc>
        <w:tc>
          <w:tcPr>
            <w:tcW w:w="1170" w:type="dxa"/>
            <w:noWrap/>
            <w:hideMark/>
          </w:tcPr>
          <w:p w14:paraId="44F8E459"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(7,101)</w:t>
            </w:r>
          </w:p>
        </w:tc>
        <w:tc>
          <w:tcPr>
            <w:tcW w:w="1170" w:type="dxa"/>
            <w:noWrap/>
            <w:hideMark/>
          </w:tcPr>
          <w:p w14:paraId="1B5D0F1D"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7,611</w:t>
            </w:r>
          </w:p>
        </w:tc>
        <w:tc>
          <w:tcPr>
            <w:tcW w:w="1350" w:type="dxa"/>
          </w:tcPr>
          <w:p w14:paraId="5C198AC6"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w:t>
            </w:r>
          </w:p>
        </w:tc>
        <w:tc>
          <w:tcPr>
            <w:tcW w:w="2354" w:type="dxa"/>
            <w:noWrap/>
            <w:hideMark/>
          </w:tcPr>
          <w:p w14:paraId="5AEDB375"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6C0A6E10"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32%</w:t>
            </w:r>
          </w:p>
        </w:tc>
      </w:tr>
      <w:tr w:rsidR="005945EC" w:rsidRPr="005945EC" w14:paraId="6B02922F" w14:textId="77777777" w:rsidTr="00FA578A">
        <w:trPr>
          <w:tblHeader/>
        </w:trPr>
        <w:tc>
          <w:tcPr>
            <w:tcW w:w="9438" w:type="dxa"/>
            <w:gridSpan w:val="6"/>
            <w:noWrap/>
            <w:vAlign w:val="center"/>
            <w:hideMark/>
          </w:tcPr>
          <w:p w14:paraId="728ECAAF" w14:textId="76F482CF" w:rsidR="005945EC" w:rsidRPr="005945EC" w:rsidRDefault="005945EC" w:rsidP="005945EC">
            <w:pPr>
              <w:rPr>
                <w:rFonts w:ascii="Arial" w:hAnsi="Arial" w:cs="Arial"/>
                <w:sz w:val="18"/>
                <w:szCs w:val="18"/>
                <w:lang w:val="en-CA" w:eastAsia="zh-CN"/>
              </w:rPr>
            </w:pPr>
            <w:r w:rsidRPr="005945EC">
              <w:rPr>
                <w:rFonts w:ascii="Arial" w:hAnsi="Arial" w:cs="Arial"/>
                <w:b/>
                <w:bCs/>
                <w:sz w:val="18"/>
                <w:szCs w:val="18"/>
                <w:lang w:val="en-CA" w:eastAsia="zh-CN"/>
              </w:rPr>
              <w:t>Return on Sales</w:t>
            </w:r>
          </w:p>
        </w:tc>
      </w:tr>
      <w:tr w:rsidR="009E3D79" w:rsidRPr="005945EC" w14:paraId="5BA45486" w14:textId="77777777" w:rsidTr="00FA578A">
        <w:trPr>
          <w:tblHeader/>
        </w:trPr>
        <w:tc>
          <w:tcPr>
            <w:tcW w:w="2335" w:type="dxa"/>
            <w:noWrap/>
            <w:hideMark/>
          </w:tcPr>
          <w:p w14:paraId="5CAF0398"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Star</w:t>
            </w:r>
          </w:p>
        </w:tc>
        <w:tc>
          <w:tcPr>
            <w:tcW w:w="1170" w:type="dxa"/>
            <w:noWrap/>
            <w:hideMark/>
          </w:tcPr>
          <w:p w14:paraId="4129B510"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-2.7%</w:t>
            </w:r>
          </w:p>
        </w:tc>
        <w:tc>
          <w:tcPr>
            <w:tcW w:w="1170" w:type="dxa"/>
            <w:noWrap/>
            <w:hideMark/>
          </w:tcPr>
          <w:p w14:paraId="7813EE4A"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4.4%</w:t>
            </w:r>
          </w:p>
        </w:tc>
        <w:tc>
          <w:tcPr>
            <w:tcW w:w="1350" w:type="dxa"/>
          </w:tcPr>
          <w:p w14:paraId="2FA99807"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w:t>
            </w:r>
          </w:p>
        </w:tc>
        <w:tc>
          <w:tcPr>
            <w:tcW w:w="2354" w:type="dxa"/>
            <w:noWrap/>
            <w:hideMark/>
          </w:tcPr>
          <w:p w14:paraId="183A03DC"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04B2D50F"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r>
      <w:tr w:rsidR="009E3D79" w:rsidRPr="005945EC" w14:paraId="585459F9" w14:textId="77777777" w:rsidTr="00FA578A">
        <w:trPr>
          <w:tblHeader/>
        </w:trPr>
        <w:tc>
          <w:tcPr>
            <w:tcW w:w="2335" w:type="dxa"/>
            <w:noWrap/>
            <w:hideMark/>
          </w:tcPr>
          <w:p w14:paraId="4A4B7BBC" w14:textId="77777777" w:rsidR="009E3D79" w:rsidRPr="005945EC" w:rsidRDefault="009E3D79" w:rsidP="00621CA2">
            <w:pPr>
              <w:ind w:firstLineChars="200" w:firstLine="360"/>
              <w:rPr>
                <w:rFonts w:ascii="Arial" w:hAnsi="Arial" w:cs="Arial"/>
                <w:sz w:val="18"/>
                <w:szCs w:val="18"/>
                <w:lang w:val="en-CA" w:eastAsia="zh-CN"/>
              </w:rPr>
            </w:pPr>
            <w:proofErr w:type="spellStart"/>
            <w:r w:rsidRPr="005945EC">
              <w:rPr>
                <w:rFonts w:ascii="Arial" w:hAnsi="Arial" w:cs="Arial"/>
                <w:sz w:val="18"/>
                <w:szCs w:val="18"/>
                <w:lang w:val="en-CA" w:eastAsia="zh-CN"/>
              </w:rPr>
              <w:t>Oneworld</w:t>
            </w:r>
            <w:proofErr w:type="spellEnd"/>
          </w:p>
        </w:tc>
        <w:tc>
          <w:tcPr>
            <w:tcW w:w="1170" w:type="dxa"/>
            <w:noWrap/>
            <w:hideMark/>
          </w:tcPr>
          <w:p w14:paraId="4CD6BA15"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-0.2%</w:t>
            </w:r>
          </w:p>
        </w:tc>
        <w:tc>
          <w:tcPr>
            <w:tcW w:w="1170" w:type="dxa"/>
            <w:noWrap/>
            <w:hideMark/>
          </w:tcPr>
          <w:p w14:paraId="64AD88D9"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6.3%</w:t>
            </w:r>
          </w:p>
        </w:tc>
        <w:tc>
          <w:tcPr>
            <w:tcW w:w="1350" w:type="dxa"/>
          </w:tcPr>
          <w:p w14:paraId="7067E923"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w:t>
            </w:r>
          </w:p>
        </w:tc>
        <w:tc>
          <w:tcPr>
            <w:tcW w:w="2354" w:type="dxa"/>
            <w:noWrap/>
            <w:hideMark/>
          </w:tcPr>
          <w:p w14:paraId="5D67CAAA"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71D6CBC6"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r>
      <w:tr w:rsidR="009E3D79" w:rsidRPr="005945EC" w14:paraId="7D5C9650" w14:textId="77777777" w:rsidTr="00FA578A">
        <w:trPr>
          <w:tblHeader/>
        </w:trPr>
        <w:tc>
          <w:tcPr>
            <w:tcW w:w="2335" w:type="dxa"/>
            <w:noWrap/>
            <w:hideMark/>
          </w:tcPr>
          <w:p w14:paraId="370C86CA"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SkyTeam</w:t>
            </w:r>
          </w:p>
        </w:tc>
        <w:tc>
          <w:tcPr>
            <w:tcW w:w="1170" w:type="dxa"/>
            <w:noWrap/>
            <w:hideMark/>
          </w:tcPr>
          <w:p w14:paraId="769BCB58"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-1.8%</w:t>
            </w:r>
          </w:p>
        </w:tc>
        <w:tc>
          <w:tcPr>
            <w:tcW w:w="1170" w:type="dxa"/>
            <w:noWrap/>
            <w:hideMark/>
          </w:tcPr>
          <w:p w14:paraId="51D4F89C"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3.6%</w:t>
            </w:r>
          </w:p>
        </w:tc>
        <w:tc>
          <w:tcPr>
            <w:tcW w:w="1350" w:type="dxa"/>
          </w:tcPr>
          <w:p w14:paraId="72526C6F"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w:t>
            </w:r>
          </w:p>
        </w:tc>
        <w:tc>
          <w:tcPr>
            <w:tcW w:w="2354" w:type="dxa"/>
            <w:noWrap/>
            <w:hideMark/>
          </w:tcPr>
          <w:p w14:paraId="5F16D083"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094A2AE7"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r>
      <w:tr w:rsidR="009E3D79" w:rsidRPr="005945EC" w14:paraId="4B4E0A99" w14:textId="77777777" w:rsidTr="00FA578A">
        <w:trPr>
          <w:tblHeader/>
        </w:trPr>
        <w:tc>
          <w:tcPr>
            <w:tcW w:w="2335" w:type="dxa"/>
            <w:noWrap/>
            <w:hideMark/>
          </w:tcPr>
          <w:p w14:paraId="63FF7651" w14:textId="77777777" w:rsidR="009E3D79" w:rsidRPr="005945EC" w:rsidRDefault="009E3D79" w:rsidP="00621CA2">
            <w:pPr>
              <w:ind w:firstLineChars="200" w:firstLine="360"/>
              <w:rPr>
                <w:rFonts w:ascii="Arial" w:hAnsi="Arial" w:cs="Arial"/>
                <w:sz w:val="18"/>
                <w:szCs w:val="18"/>
                <w:lang w:val="en-CA" w:eastAsia="zh-CN"/>
              </w:rPr>
            </w:pPr>
            <w:r w:rsidRPr="005945EC">
              <w:rPr>
                <w:rFonts w:ascii="Arial" w:hAnsi="Arial" w:cs="Arial"/>
                <w:sz w:val="18"/>
                <w:szCs w:val="18"/>
                <w:lang w:val="en-CA" w:eastAsia="zh-CN"/>
              </w:rPr>
              <w:t xml:space="preserve">Non-Aligned </w:t>
            </w:r>
          </w:p>
        </w:tc>
        <w:tc>
          <w:tcPr>
            <w:tcW w:w="1170" w:type="dxa"/>
            <w:noWrap/>
            <w:hideMark/>
          </w:tcPr>
          <w:p w14:paraId="5A6AF9FC"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-1.0%</w:t>
            </w:r>
          </w:p>
        </w:tc>
        <w:tc>
          <w:tcPr>
            <w:tcW w:w="1170" w:type="dxa"/>
            <w:noWrap/>
            <w:hideMark/>
          </w:tcPr>
          <w:p w14:paraId="55051C5A" w14:textId="77777777" w:rsidR="009E3D79" w:rsidRPr="005945EC" w:rsidRDefault="009E3D79" w:rsidP="00621CA2">
            <w:pPr>
              <w:jc w:val="right"/>
              <w:rPr>
                <w:rFonts w:ascii="Arial" w:hAnsi="Arial" w:cs="Arial"/>
                <w:sz w:val="18"/>
                <w:szCs w:val="18"/>
                <w:lang w:val="en-CA" w:eastAsia="zh-CN"/>
              </w:rPr>
            </w:pPr>
            <w:r w:rsidRPr="005945EC">
              <w:rPr>
                <w:rFonts w:ascii="Arial" w:hAnsi="Arial" w:cs="Arial"/>
                <w:sz w:val="18"/>
                <w:szCs w:val="18"/>
                <w:lang w:val="en-CA" w:eastAsia="zh-CN"/>
              </w:rPr>
              <w:t>3.5%</w:t>
            </w:r>
          </w:p>
        </w:tc>
        <w:tc>
          <w:tcPr>
            <w:tcW w:w="1350" w:type="dxa"/>
          </w:tcPr>
          <w:p w14:paraId="401D8070"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rPr>
              <w:t>3402%</w:t>
            </w:r>
          </w:p>
        </w:tc>
        <w:tc>
          <w:tcPr>
            <w:tcW w:w="2354" w:type="dxa"/>
            <w:noWrap/>
            <w:hideMark/>
          </w:tcPr>
          <w:p w14:paraId="46D51710"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1059" w:type="dxa"/>
            <w:noWrap/>
            <w:hideMark/>
          </w:tcPr>
          <w:p w14:paraId="77E29A80" w14:textId="77777777" w:rsidR="009E3D79" w:rsidRPr="005945EC" w:rsidRDefault="009E3D79" w:rsidP="00621CA2">
            <w:pPr>
              <w:jc w:val="center"/>
              <w:rPr>
                <w:rFonts w:ascii="Arial" w:hAnsi="Arial" w:cs="Arial"/>
                <w:sz w:val="18"/>
                <w:szCs w:val="18"/>
                <w:lang w:val="en-CA" w:eastAsia="zh-CN"/>
              </w:rPr>
            </w:pPr>
            <w:r w:rsidRPr="005945EC">
              <w:rPr>
                <w:rFonts w:ascii="Arial" w:hAnsi="Arial" w:cs="Arial"/>
                <w:sz w:val="18"/>
                <w:szCs w:val="18"/>
                <w:lang w:val="en-CA" w:eastAsia="zh-CN"/>
              </w:rPr>
              <w:t>-</w:t>
            </w:r>
          </w:p>
        </w:tc>
      </w:tr>
    </w:tbl>
    <w:p w14:paraId="7CC197DD" w14:textId="5CD36FEC" w:rsidR="00913141" w:rsidRPr="005945EC" w:rsidRDefault="009E3D79" w:rsidP="00913141">
      <w:pPr>
        <w:pStyle w:val="Footnote"/>
        <w:rPr>
          <w:lang w:val="en-CA"/>
        </w:rPr>
      </w:pPr>
      <w:r w:rsidRPr="005945EC">
        <w:rPr>
          <w:lang w:val="en-CA"/>
        </w:rPr>
        <w:t>Source:</w:t>
      </w:r>
      <w:r w:rsidR="006F49D0" w:rsidRPr="005945EC">
        <w:rPr>
          <w:lang w:val="en-CA"/>
        </w:rPr>
        <w:t xml:space="preserve"> </w:t>
      </w:r>
      <w:r w:rsidR="009738AF" w:rsidRPr="005945EC">
        <w:rPr>
          <w:lang w:val="en-CA"/>
        </w:rPr>
        <w:t xml:space="preserve">“Free Download: Airline Business 2018–2019 Digital Special Edition,” </w:t>
      </w:r>
      <w:proofErr w:type="spellStart"/>
      <w:r w:rsidR="009738AF" w:rsidRPr="005945EC">
        <w:rPr>
          <w:lang w:val="en-CA"/>
        </w:rPr>
        <w:t>FlightGlobal</w:t>
      </w:r>
      <w:proofErr w:type="spellEnd"/>
      <w:r w:rsidR="009738AF" w:rsidRPr="005945EC">
        <w:rPr>
          <w:lang w:val="en-CA"/>
        </w:rPr>
        <w:t xml:space="preserve">, accessed December 14, 2020, www.flightglobal.com/strategy/free-download-airline-business-2018-2019-digital-special-edition/130692.article.  </w:t>
      </w:r>
      <w:r w:rsidR="009738AF" w:rsidRPr="005945EC" w:rsidDel="00BD3275">
        <w:rPr>
          <w:lang w:val="en-CA"/>
        </w:rPr>
        <w:t xml:space="preserve"> </w:t>
      </w:r>
    </w:p>
    <w:p w14:paraId="45920A4F" w14:textId="77777777" w:rsidR="001A11BC" w:rsidRPr="005945EC" w:rsidRDefault="001A11BC">
      <w:pPr>
        <w:spacing w:after="200" w:line="276" w:lineRule="auto"/>
        <w:rPr>
          <w:rFonts w:ascii="Arial" w:hAnsi="Arial" w:cs="Arial"/>
          <w:b/>
          <w:caps/>
          <w:lang w:val="en-CA"/>
        </w:rPr>
      </w:pPr>
      <w:r w:rsidRPr="005945EC">
        <w:rPr>
          <w:lang w:val="en-CA"/>
        </w:rPr>
        <w:br w:type="page"/>
      </w:r>
    </w:p>
    <w:p w14:paraId="16A62B07" w14:textId="2C95E9C8" w:rsidR="00F470CF" w:rsidRPr="005945EC" w:rsidRDefault="00F470CF" w:rsidP="00F470CF">
      <w:pPr>
        <w:pStyle w:val="ExhibitHeading"/>
        <w:rPr>
          <w:lang w:val="en-CA"/>
        </w:rPr>
      </w:pPr>
      <w:r w:rsidRPr="005945EC">
        <w:rPr>
          <w:lang w:val="en-CA"/>
        </w:rPr>
        <w:lastRenderedPageBreak/>
        <w:t xml:space="preserve">Exhibit 5: </w:t>
      </w:r>
      <w:bookmarkStart w:id="3" w:name="_Hlk59205103"/>
      <w:r w:rsidRPr="005945EC">
        <w:rPr>
          <w:lang w:val="en-CA"/>
        </w:rPr>
        <w:t>Traffic Performance of Airlines by Alliance Affiliation, 2008</w:t>
      </w:r>
      <w:r w:rsidR="009949D1" w:rsidRPr="005945EC">
        <w:rPr>
          <w:lang w:val="en-CA"/>
        </w:rPr>
        <w:t>–</w:t>
      </w:r>
      <w:r w:rsidRPr="005945EC">
        <w:rPr>
          <w:lang w:val="en-CA"/>
        </w:rPr>
        <w:t>2018</w:t>
      </w:r>
      <w:bookmarkEnd w:id="3"/>
    </w:p>
    <w:p w14:paraId="7FCD750B" w14:textId="77777777" w:rsidR="00F470CF" w:rsidRPr="005945EC" w:rsidRDefault="00F470CF" w:rsidP="00F470CF">
      <w:pPr>
        <w:jc w:val="both"/>
        <w:rPr>
          <w:lang w:val="en-CA"/>
        </w:rPr>
      </w:pPr>
    </w:p>
    <w:tbl>
      <w:tblPr>
        <w:tblStyle w:val="TableGrid"/>
        <w:tblW w:w="9355" w:type="dxa"/>
        <w:jc w:val="center"/>
        <w:tblCellMar>
          <w:left w:w="58" w:type="dxa"/>
          <w:right w:w="58" w:type="dxa"/>
        </w:tblCellMar>
        <w:tblLook w:val="04A0" w:firstRow="1" w:lastRow="0" w:firstColumn="1" w:lastColumn="0" w:noHBand="0" w:noVBand="1"/>
        <w:tblCaption w:val="Exhibit 5"/>
        <w:tblDescription w:val="Table depicting the traffic performance of airlines by alliance affiliation from 2008 to 2018."/>
      </w:tblPr>
      <w:tblGrid>
        <w:gridCol w:w="2201"/>
        <w:gridCol w:w="1103"/>
        <w:gridCol w:w="1103"/>
        <w:gridCol w:w="1471"/>
        <w:gridCol w:w="2574"/>
        <w:gridCol w:w="903"/>
      </w:tblGrid>
      <w:tr w:rsidR="00F470CF" w:rsidRPr="005945EC" w14:paraId="420E643C" w14:textId="77777777" w:rsidTr="00FA578A">
        <w:trPr>
          <w:trHeight w:val="687"/>
          <w:tblHeader/>
          <w:jc w:val="center"/>
        </w:trPr>
        <w:tc>
          <w:tcPr>
            <w:tcW w:w="2201" w:type="dxa"/>
            <w:noWrap/>
            <w:hideMark/>
          </w:tcPr>
          <w:p w14:paraId="08102E78" w14:textId="05C6FBEE" w:rsidR="00F470CF" w:rsidRPr="005945EC" w:rsidRDefault="00F470CF" w:rsidP="00057E86">
            <w:pPr>
              <w:jc w:val="center"/>
              <w:rPr>
                <w:rFonts w:ascii="Arial" w:hAnsi="Arial" w:cs="Arial"/>
                <w:sz w:val="18"/>
                <w:szCs w:val="18"/>
                <w:lang w:val="en-CA" w:eastAsia="zh-CN"/>
              </w:rPr>
            </w:pPr>
            <w:r w:rsidRPr="005945EC">
              <w:rPr>
                <w:rFonts w:ascii="Arial" w:hAnsi="Arial" w:cs="Arial"/>
                <w:b/>
                <w:bCs/>
                <w:sz w:val="18"/>
                <w:szCs w:val="18"/>
                <w:lang w:val="en-CA" w:eastAsia="zh-CN"/>
              </w:rPr>
              <w:t xml:space="preserve">Results </w:t>
            </w:r>
            <w:r w:rsidR="00182A6C" w:rsidRPr="005945EC">
              <w:rPr>
                <w:rFonts w:ascii="Arial" w:hAnsi="Arial" w:cs="Arial"/>
                <w:b/>
                <w:bCs/>
                <w:sz w:val="18"/>
                <w:szCs w:val="18"/>
                <w:lang w:val="en-CA" w:eastAsia="zh-CN"/>
              </w:rPr>
              <w:t>A</w:t>
            </w:r>
            <w:r w:rsidRPr="005945EC">
              <w:rPr>
                <w:rFonts w:ascii="Arial" w:hAnsi="Arial" w:cs="Arial"/>
                <w:b/>
                <w:bCs/>
                <w:sz w:val="18"/>
                <w:szCs w:val="18"/>
                <w:lang w:val="en-CA" w:eastAsia="zh-CN"/>
              </w:rPr>
              <w:t xml:space="preserve">ggregated by </w:t>
            </w:r>
            <w:r w:rsidR="00182A6C" w:rsidRPr="005945EC">
              <w:rPr>
                <w:rFonts w:ascii="Arial" w:hAnsi="Arial" w:cs="Arial"/>
                <w:b/>
                <w:bCs/>
                <w:sz w:val="18"/>
                <w:szCs w:val="18"/>
                <w:lang w:val="en-CA" w:eastAsia="zh-CN"/>
              </w:rPr>
              <w:t>M</w:t>
            </w:r>
            <w:r w:rsidRPr="005945EC">
              <w:rPr>
                <w:rFonts w:ascii="Arial" w:hAnsi="Arial" w:cs="Arial"/>
                <w:b/>
                <w:bCs/>
                <w:sz w:val="18"/>
                <w:szCs w:val="18"/>
                <w:lang w:val="en-CA" w:eastAsia="zh-CN"/>
              </w:rPr>
              <w:t xml:space="preserve">embership in </w:t>
            </w:r>
            <w:r w:rsidR="00182A6C" w:rsidRPr="005945EC">
              <w:rPr>
                <w:rFonts w:ascii="Arial" w:hAnsi="Arial" w:cs="Arial"/>
                <w:b/>
                <w:bCs/>
                <w:sz w:val="18"/>
                <w:szCs w:val="18"/>
                <w:lang w:val="en-CA" w:eastAsia="zh-CN"/>
              </w:rPr>
              <w:t>A</w:t>
            </w:r>
            <w:r w:rsidRPr="005945EC">
              <w:rPr>
                <w:rFonts w:ascii="Arial" w:hAnsi="Arial" w:cs="Arial"/>
                <w:b/>
                <w:bCs/>
                <w:sz w:val="18"/>
                <w:szCs w:val="18"/>
                <w:lang w:val="en-CA" w:eastAsia="zh-CN"/>
              </w:rPr>
              <w:t xml:space="preserve">lliance </w:t>
            </w:r>
            <w:r w:rsidR="00182A6C" w:rsidRPr="005945EC">
              <w:rPr>
                <w:rFonts w:ascii="Arial" w:hAnsi="Arial" w:cs="Arial"/>
                <w:b/>
                <w:bCs/>
                <w:sz w:val="18"/>
                <w:szCs w:val="18"/>
                <w:lang w:val="en-CA" w:eastAsia="zh-CN"/>
              </w:rPr>
              <w:t>G</w:t>
            </w:r>
            <w:r w:rsidRPr="005945EC">
              <w:rPr>
                <w:rFonts w:ascii="Arial" w:hAnsi="Arial" w:cs="Arial"/>
                <w:b/>
                <w:bCs/>
                <w:sz w:val="18"/>
                <w:szCs w:val="18"/>
                <w:lang w:val="en-CA" w:eastAsia="zh-CN"/>
              </w:rPr>
              <w:t>roupings</w:t>
            </w:r>
          </w:p>
        </w:tc>
        <w:tc>
          <w:tcPr>
            <w:tcW w:w="1103" w:type="dxa"/>
            <w:noWrap/>
            <w:hideMark/>
          </w:tcPr>
          <w:p w14:paraId="6FD374A7" w14:textId="77777777" w:rsidR="00F470CF" w:rsidRPr="005945EC" w:rsidRDefault="00F470CF" w:rsidP="00057E86">
            <w:pPr>
              <w:jc w:val="center"/>
              <w:rPr>
                <w:rFonts w:ascii="Arial" w:hAnsi="Arial" w:cs="Arial"/>
                <w:b/>
                <w:bCs/>
                <w:sz w:val="18"/>
                <w:szCs w:val="18"/>
                <w:lang w:val="en-CA" w:eastAsia="zh-CN"/>
              </w:rPr>
            </w:pPr>
            <w:r w:rsidRPr="005945EC">
              <w:rPr>
                <w:rFonts w:ascii="Arial" w:hAnsi="Arial" w:cs="Arial"/>
                <w:b/>
                <w:bCs/>
                <w:sz w:val="18"/>
                <w:szCs w:val="18"/>
                <w:lang w:val="en-CA" w:eastAsia="zh-CN"/>
              </w:rPr>
              <w:t>2008</w:t>
            </w:r>
          </w:p>
        </w:tc>
        <w:tc>
          <w:tcPr>
            <w:tcW w:w="1103" w:type="dxa"/>
            <w:noWrap/>
            <w:hideMark/>
          </w:tcPr>
          <w:p w14:paraId="1E2F1A50" w14:textId="77777777" w:rsidR="00F470CF" w:rsidRPr="005945EC" w:rsidRDefault="00F470CF" w:rsidP="00057E86">
            <w:pPr>
              <w:jc w:val="center"/>
              <w:rPr>
                <w:rFonts w:ascii="Arial" w:hAnsi="Arial" w:cs="Arial"/>
                <w:b/>
                <w:bCs/>
                <w:sz w:val="18"/>
                <w:szCs w:val="18"/>
                <w:lang w:val="en-CA" w:eastAsia="zh-CN"/>
              </w:rPr>
            </w:pPr>
            <w:r w:rsidRPr="005945EC">
              <w:rPr>
                <w:rFonts w:ascii="Arial" w:hAnsi="Arial" w:cs="Arial"/>
                <w:b/>
                <w:bCs/>
                <w:sz w:val="18"/>
                <w:szCs w:val="18"/>
                <w:lang w:val="en-CA" w:eastAsia="zh-CN"/>
              </w:rPr>
              <w:t>2018</w:t>
            </w:r>
          </w:p>
        </w:tc>
        <w:tc>
          <w:tcPr>
            <w:tcW w:w="1471" w:type="dxa"/>
          </w:tcPr>
          <w:p w14:paraId="10113B6B" w14:textId="4611F480" w:rsidR="00F470CF" w:rsidRPr="005945EC" w:rsidRDefault="00F470CF" w:rsidP="00057E86">
            <w:pPr>
              <w:jc w:val="center"/>
              <w:rPr>
                <w:rFonts w:ascii="Arial" w:hAnsi="Arial" w:cs="Arial"/>
                <w:b/>
                <w:bCs/>
                <w:sz w:val="18"/>
                <w:szCs w:val="18"/>
                <w:lang w:val="en-CA" w:eastAsia="zh-CN"/>
              </w:rPr>
            </w:pPr>
            <w:r w:rsidRPr="005945EC">
              <w:rPr>
                <w:rFonts w:ascii="Arial" w:hAnsi="Arial" w:cs="Arial"/>
                <w:b/>
                <w:bCs/>
                <w:sz w:val="18"/>
                <w:szCs w:val="18"/>
                <w:lang w:val="en-CA" w:eastAsia="zh-CN"/>
              </w:rPr>
              <w:t xml:space="preserve">Change over the </w:t>
            </w:r>
            <w:r w:rsidR="00182A6C" w:rsidRPr="005945EC">
              <w:rPr>
                <w:rFonts w:ascii="Arial" w:hAnsi="Arial" w:cs="Arial"/>
                <w:b/>
                <w:bCs/>
                <w:sz w:val="18"/>
                <w:szCs w:val="18"/>
                <w:lang w:val="en-CA" w:eastAsia="zh-CN"/>
              </w:rPr>
              <w:t>P</w:t>
            </w:r>
            <w:r w:rsidRPr="005945EC">
              <w:rPr>
                <w:rFonts w:ascii="Arial" w:hAnsi="Arial" w:cs="Arial"/>
                <w:b/>
                <w:bCs/>
                <w:sz w:val="18"/>
                <w:szCs w:val="18"/>
                <w:lang w:val="en-CA" w:eastAsia="zh-CN"/>
              </w:rPr>
              <w:t>eriod 2008</w:t>
            </w:r>
            <w:r w:rsidR="00182A6C" w:rsidRPr="005945EC">
              <w:rPr>
                <w:rFonts w:ascii="Arial" w:hAnsi="Arial" w:cs="Arial"/>
                <w:b/>
                <w:bCs/>
                <w:sz w:val="18"/>
                <w:szCs w:val="18"/>
                <w:lang w:val="en-CA" w:eastAsia="zh-CN"/>
              </w:rPr>
              <w:t>–</w:t>
            </w:r>
            <w:r w:rsidRPr="005945EC">
              <w:rPr>
                <w:rFonts w:ascii="Arial" w:hAnsi="Arial" w:cs="Arial"/>
                <w:b/>
                <w:bCs/>
                <w:sz w:val="18"/>
                <w:szCs w:val="18"/>
                <w:lang w:val="en-CA" w:eastAsia="zh-CN"/>
              </w:rPr>
              <w:t>2018</w:t>
            </w:r>
          </w:p>
        </w:tc>
        <w:tc>
          <w:tcPr>
            <w:tcW w:w="2574" w:type="dxa"/>
          </w:tcPr>
          <w:p w14:paraId="00212EDF" w14:textId="1C06B624" w:rsidR="00F470CF" w:rsidRPr="005945EC" w:rsidRDefault="00F470CF" w:rsidP="00057E86">
            <w:pPr>
              <w:jc w:val="center"/>
              <w:rPr>
                <w:rFonts w:ascii="Arial" w:hAnsi="Arial" w:cs="Arial"/>
                <w:b/>
                <w:bCs/>
                <w:sz w:val="18"/>
                <w:szCs w:val="18"/>
                <w:lang w:val="en-CA" w:eastAsia="zh-CN"/>
              </w:rPr>
            </w:pPr>
            <w:r w:rsidRPr="005945EC">
              <w:rPr>
                <w:rFonts w:ascii="Arial" w:hAnsi="Arial" w:cs="Arial"/>
                <w:b/>
                <w:bCs/>
                <w:sz w:val="18"/>
                <w:szCs w:val="18"/>
                <w:lang w:val="en-CA" w:eastAsia="zh-CN"/>
              </w:rPr>
              <w:t>Change for 2008</w:t>
            </w:r>
            <w:r w:rsidR="001A11BC" w:rsidRPr="005945EC">
              <w:rPr>
                <w:rFonts w:ascii="Arial" w:hAnsi="Arial" w:cs="Arial"/>
                <w:b/>
                <w:bCs/>
                <w:sz w:val="18"/>
                <w:szCs w:val="18"/>
                <w:lang w:val="en-CA" w:eastAsia="zh-CN"/>
              </w:rPr>
              <w:t>–</w:t>
            </w:r>
            <w:r w:rsidRPr="005945EC">
              <w:rPr>
                <w:rFonts w:ascii="Arial" w:hAnsi="Arial" w:cs="Arial"/>
                <w:b/>
                <w:bCs/>
                <w:sz w:val="18"/>
                <w:szCs w:val="18"/>
                <w:lang w:val="en-CA" w:eastAsia="zh-CN"/>
              </w:rPr>
              <w:t>2018</w:t>
            </w:r>
          </w:p>
          <w:p w14:paraId="140FE0EE" w14:textId="655D6E61" w:rsidR="00F470CF" w:rsidRPr="005945EC" w:rsidRDefault="00182A6C" w:rsidP="00057E86">
            <w:pPr>
              <w:jc w:val="center"/>
              <w:rPr>
                <w:rFonts w:ascii="Arial" w:hAnsi="Arial" w:cs="Arial"/>
                <w:b/>
                <w:bCs/>
                <w:sz w:val="18"/>
                <w:szCs w:val="18"/>
                <w:lang w:val="en-CA" w:eastAsia="zh-CN"/>
              </w:rPr>
            </w:pPr>
            <w:r w:rsidRPr="005945EC">
              <w:rPr>
                <w:rFonts w:ascii="Arial" w:hAnsi="Arial" w:cs="Arial"/>
                <w:b/>
                <w:bCs/>
                <w:sz w:val="18"/>
                <w:szCs w:val="18"/>
                <w:lang w:val="en-CA" w:eastAsia="zh-CN"/>
              </w:rPr>
              <w:t>I</w:t>
            </w:r>
            <w:r w:rsidR="00F470CF" w:rsidRPr="005945EC">
              <w:rPr>
                <w:rFonts w:ascii="Arial" w:hAnsi="Arial" w:cs="Arial"/>
                <w:b/>
                <w:bCs/>
                <w:sz w:val="18"/>
                <w:szCs w:val="18"/>
                <w:lang w:val="en-CA" w:eastAsia="zh-CN"/>
              </w:rPr>
              <w:t xml:space="preserve">ncluding </w:t>
            </w:r>
            <w:r w:rsidRPr="005945EC">
              <w:rPr>
                <w:rFonts w:ascii="Arial" w:hAnsi="Arial" w:cs="Arial"/>
                <w:b/>
                <w:bCs/>
                <w:sz w:val="18"/>
                <w:szCs w:val="18"/>
                <w:lang w:val="en-CA" w:eastAsia="zh-CN"/>
              </w:rPr>
              <w:t>O</w:t>
            </w:r>
            <w:r w:rsidR="00F470CF" w:rsidRPr="005945EC">
              <w:rPr>
                <w:rFonts w:ascii="Arial" w:hAnsi="Arial" w:cs="Arial"/>
                <w:b/>
                <w:bCs/>
                <w:sz w:val="18"/>
                <w:szCs w:val="18"/>
                <w:lang w:val="en-CA" w:eastAsia="zh-CN"/>
              </w:rPr>
              <w:t xml:space="preserve">nly </w:t>
            </w:r>
            <w:r w:rsidRPr="005945EC">
              <w:rPr>
                <w:rFonts w:ascii="Arial" w:hAnsi="Arial" w:cs="Arial"/>
                <w:b/>
                <w:bCs/>
                <w:sz w:val="18"/>
                <w:szCs w:val="18"/>
                <w:lang w:val="en-CA" w:eastAsia="zh-CN"/>
              </w:rPr>
              <w:t>M</w:t>
            </w:r>
            <w:r w:rsidR="00F470CF" w:rsidRPr="005945EC">
              <w:rPr>
                <w:rFonts w:ascii="Arial" w:hAnsi="Arial" w:cs="Arial"/>
                <w:b/>
                <w:bCs/>
                <w:sz w:val="18"/>
                <w:szCs w:val="18"/>
                <w:lang w:val="en-CA" w:eastAsia="zh-CN"/>
              </w:rPr>
              <w:t xml:space="preserve">embers </w:t>
            </w:r>
            <w:r w:rsidRPr="005945EC">
              <w:rPr>
                <w:rFonts w:ascii="Arial" w:hAnsi="Arial" w:cs="Arial"/>
                <w:b/>
                <w:bCs/>
                <w:sz w:val="18"/>
                <w:szCs w:val="18"/>
                <w:lang w:val="en-CA" w:eastAsia="zh-CN"/>
              </w:rPr>
              <w:t>P</w:t>
            </w:r>
            <w:r w:rsidR="00F470CF" w:rsidRPr="005945EC">
              <w:rPr>
                <w:rFonts w:ascii="Arial" w:hAnsi="Arial" w:cs="Arial"/>
                <w:b/>
                <w:bCs/>
                <w:sz w:val="18"/>
                <w:szCs w:val="18"/>
                <w:lang w:val="en-CA" w:eastAsia="zh-CN"/>
              </w:rPr>
              <w:t xml:space="preserve">resent for the </w:t>
            </w:r>
            <w:r w:rsidRPr="005945EC">
              <w:rPr>
                <w:rFonts w:ascii="Arial" w:hAnsi="Arial" w:cs="Arial"/>
                <w:b/>
                <w:bCs/>
                <w:sz w:val="18"/>
                <w:szCs w:val="18"/>
                <w:lang w:val="en-CA" w:eastAsia="zh-CN"/>
              </w:rPr>
              <w:t>F</w:t>
            </w:r>
            <w:r w:rsidR="00F470CF" w:rsidRPr="005945EC">
              <w:rPr>
                <w:rFonts w:ascii="Arial" w:hAnsi="Arial" w:cs="Arial"/>
                <w:b/>
                <w:bCs/>
                <w:sz w:val="18"/>
                <w:szCs w:val="18"/>
                <w:lang w:val="en-CA" w:eastAsia="zh-CN"/>
              </w:rPr>
              <w:t xml:space="preserve">ull </w:t>
            </w:r>
            <w:r w:rsidRPr="005945EC">
              <w:rPr>
                <w:rFonts w:ascii="Arial" w:hAnsi="Arial" w:cs="Arial"/>
                <w:b/>
                <w:bCs/>
                <w:sz w:val="18"/>
                <w:szCs w:val="18"/>
                <w:lang w:val="en-CA" w:eastAsia="zh-CN"/>
              </w:rPr>
              <w:t>P</w:t>
            </w:r>
            <w:r w:rsidR="00F470CF" w:rsidRPr="005945EC">
              <w:rPr>
                <w:rFonts w:ascii="Arial" w:hAnsi="Arial" w:cs="Arial"/>
                <w:b/>
                <w:bCs/>
                <w:sz w:val="18"/>
                <w:szCs w:val="18"/>
                <w:lang w:val="en-CA" w:eastAsia="zh-CN"/>
              </w:rPr>
              <w:t>eriod</w:t>
            </w:r>
          </w:p>
        </w:tc>
        <w:tc>
          <w:tcPr>
            <w:tcW w:w="903" w:type="dxa"/>
            <w:noWrap/>
            <w:hideMark/>
          </w:tcPr>
          <w:p w14:paraId="4034BB9E" w14:textId="77777777" w:rsidR="00F470CF" w:rsidRPr="005945EC" w:rsidRDefault="00F470CF" w:rsidP="00057E86">
            <w:pPr>
              <w:jc w:val="center"/>
              <w:rPr>
                <w:rFonts w:ascii="Arial" w:hAnsi="Arial" w:cs="Arial"/>
                <w:b/>
                <w:bCs/>
                <w:sz w:val="18"/>
                <w:szCs w:val="18"/>
                <w:lang w:val="en-CA" w:eastAsia="zh-CN"/>
              </w:rPr>
            </w:pPr>
            <w:r w:rsidRPr="005945EC">
              <w:rPr>
                <w:rFonts w:ascii="Arial" w:hAnsi="Arial" w:cs="Arial"/>
                <w:b/>
                <w:bCs/>
                <w:sz w:val="18"/>
                <w:szCs w:val="18"/>
                <w:lang w:val="en-CA" w:eastAsia="zh-CN"/>
              </w:rPr>
              <w:t>2018 Market Share</w:t>
            </w:r>
          </w:p>
        </w:tc>
      </w:tr>
      <w:tr w:rsidR="005945EC" w:rsidRPr="005945EC" w14:paraId="6C6BDAAC" w14:textId="77777777" w:rsidTr="00FA578A">
        <w:trPr>
          <w:trHeight w:val="238"/>
          <w:tblHeader/>
          <w:jc w:val="center"/>
        </w:trPr>
        <w:tc>
          <w:tcPr>
            <w:tcW w:w="9355" w:type="dxa"/>
            <w:gridSpan w:val="6"/>
            <w:noWrap/>
            <w:vAlign w:val="center"/>
            <w:hideMark/>
          </w:tcPr>
          <w:p w14:paraId="38DF5FD2" w14:textId="35CE0271" w:rsidR="005945EC" w:rsidRPr="005945EC" w:rsidRDefault="005945EC" w:rsidP="005945EC">
            <w:pPr>
              <w:rPr>
                <w:rFonts w:ascii="Arial" w:hAnsi="Arial" w:cs="Arial"/>
                <w:sz w:val="18"/>
                <w:szCs w:val="18"/>
                <w:lang w:val="en-CA" w:eastAsia="zh-CN"/>
              </w:rPr>
            </w:pPr>
            <w:r w:rsidRPr="005945EC">
              <w:rPr>
                <w:rFonts w:ascii="Arial" w:hAnsi="Arial" w:cs="Arial"/>
                <w:b/>
                <w:bCs/>
                <w:sz w:val="18"/>
                <w:szCs w:val="18"/>
                <w:lang w:val="en-CA" w:eastAsia="zh-CN"/>
              </w:rPr>
              <w:t>RPK</w:t>
            </w:r>
          </w:p>
        </w:tc>
      </w:tr>
      <w:tr w:rsidR="00F470CF" w:rsidRPr="005945EC" w14:paraId="02FB207F" w14:textId="77777777" w:rsidTr="00FA578A">
        <w:trPr>
          <w:trHeight w:val="223"/>
          <w:tblHeader/>
          <w:jc w:val="center"/>
        </w:trPr>
        <w:tc>
          <w:tcPr>
            <w:tcW w:w="2201" w:type="dxa"/>
            <w:noWrap/>
            <w:hideMark/>
          </w:tcPr>
          <w:p w14:paraId="00B0DB18"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Star</w:t>
            </w:r>
          </w:p>
        </w:tc>
        <w:tc>
          <w:tcPr>
            <w:tcW w:w="1103" w:type="dxa"/>
            <w:noWrap/>
            <w:hideMark/>
          </w:tcPr>
          <w:p w14:paraId="1BD1DCB2"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974,991</w:t>
            </w:r>
          </w:p>
        </w:tc>
        <w:tc>
          <w:tcPr>
            <w:tcW w:w="1103" w:type="dxa"/>
            <w:noWrap/>
            <w:hideMark/>
          </w:tcPr>
          <w:p w14:paraId="5D0C5C40"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1,792,884</w:t>
            </w:r>
          </w:p>
        </w:tc>
        <w:tc>
          <w:tcPr>
            <w:tcW w:w="1471" w:type="dxa"/>
          </w:tcPr>
          <w:p w14:paraId="3E3BE272"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84%</w:t>
            </w:r>
          </w:p>
        </w:tc>
        <w:tc>
          <w:tcPr>
            <w:tcW w:w="2574" w:type="dxa"/>
          </w:tcPr>
          <w:p w14:paraId="1A6B13D2"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58%</w:t>
            </w:r>
          </w:p>
        </w:tc>
        <w:tc>
          <w:tcPr>
            <w:tcW w:w="903" w:type="dxa"/>
            <w:noWrap/>
            <w:hideMark/>
          </w:tcPr>
          <w:p w14:paraId="18E4220E"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25%</w:t>
            </w:r>
          </w:p>
        </w:tc>
      </w:tr>
      <w:tr w:rsidR="00F470CF" w:rsidRPr="005945EC" w14:paraId="2AFE2E19" w14:textId="77777777" w:rsidTr="00FA578A">
        <w:trPr>
          <w:trHeight w:val="223"/>
          <w:tblHeader/>
          <w:jc w:val="center"/>
        </w:trPr>
        <w:tc>
          <w:tcPr>
            <w:tcW w:w="2201" w:type="dxa"/>
            <w:noWrap/>
            <w:hideMark/>
          </w:tcPr>
          <w:p w14:paraId="771A5E75" w14:textId="77777777" w:rsidR="00F470CF" w:rsidRPr="005945EC" w:rsidRDefault="00F470CF" w:rsidP="00057E86">
            <w:pPr>
              <w:ind w:firstLineChars="200" w:firstLine="360"/>
              <w:rPr>
                <w:rFonts w:ascii="Arial" w:hAnsi="Arial" w:cs="Arial"/>
                <w:sz w:val="18"/>
                <w:szCs w:val="18"/>
                <w:lang w:val="en-CA" w:eastAsia="zh-CN"/>
              </w:rPr>
            </w:pPr>
            <w:proofErr w:type="spellStart"/>
            <w:r w:rsidRPr="005945EC">
              <w:rPr>
                <w:rFonts w:ascii="Arial" w:hAnsi="Arial" w:cs="Arial"/>
                <w:sz w:val="18"/>
                <w:szCs w:val="18"/>
                <w:lang w:val="en-CA" w:eastAsia="zh-CN"/>
              </w:rPr>
              <w:t>Oneworld</w:t>
            </w:r>
            <w:proofErr w:type="spellEnd"/>
          </w:p>
        </w:tc>
        <w:tc>
          <w:tcPr>
            <w:tcW w:w="1103" w:type="dxa"/>
            <w:noWrap/>
            <w:hideMark/>
          </w:tcPr>
          <w:p w14:paraId="49A6A2CB"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704,956</w:t>
            </w:r>
          </w:p>
        </w:tc>
        <w:tc>
          <w:tcPr>
            <w:tcW w:w="1103" w:type="dxa"/>
            <w:noWrap/>
            <w:hideMark/>
          </w:tcPr>
          <w:p w14:paraId="18C03312"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1,184,244</w:t>
            </w:r>
          </w:p>
        </w:tc>
        <w:tc>
          <w:tcPr>
            <w:tcW w:w="1471" w:type="dxa"/>
          </w:tcPr>
          <w:p w14:paraId="2073ED8B"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68%</w:t>
            </w:r>
          </w:p>
        </w:tc>
        <w:tc>
          <w:tcPr>
            <w:tcW w:w="2574" w:type="dxa"/>
          </w:tcPr>
          <w:p w14:paraId="1A6CA339"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32%</w:t>
            </w:r>
          </w:p>
        </w:tc>
        <w:tc>
          <w:tcPr>
            <w:tcW w:w="903" w:type="dxa"/>
            <w:noWrap/>
            <w:hideMark/>
          </w:tcPr>
          <w:p w14:paraId="54BE7E40"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17%</w:t>
            </w:r>
          </w:p>
        </w:tc>
      </w:tr>
      <w:tr w:rsidR="00F470CF" w:rsidRPr="005945EC" w14:paraId="659573C2" w14:textId="77777777" w:rsidTr="00FA578A">
        <w:trPr>
          <w:trHeight w:val="238"/>
          <w:tblHeader/>
          <w:jc w:val="center"/>
        </w:trPr>
        <w:tc>
          <w:tcPr>
            <w:tcW w:w="2201" w:type="dxa"/>
            <w:noWrap/>
            <w:hideMark/>
          </w:tcPr>
          <w:p w14:paraId="743B4E8B"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SkyTeam</w:t>
            </w:r>
          </w:p>
        </w:tc>
        <w:tc>
          <w:tcPr>
            <w:tcW w:w="1103" w:type="dxa"/>
            <w:noWrap/>
            <w:hideMark/>
          </w:tcPr>
          <w:p w14:paraId="2241260E"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928,210</w:t>
            </w:r>
          </w:p>
        </w:tc>
        <w:tc>
          <w:tcPr>
            <w:tcW w:w="1103" w:type="dxa"/>
            <w:noWrap/>
            <w:hideMark/>
          </w:tcPr>
          <w:p w14:paraId="385DAECB"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1,470,212</w:t>
            </w:r>
          </w:p>
        </w:tc>
        <w:tc>
          <w:tcPr>
            <w:tcW w:w="1471" w:type="dxa"/>
          </w:tcPr>
          <w:p w14:paraId="7D077510"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58%</w:t>
            </w:r>
          </w:p>
        </w:tc>
        <w:tc>
          <w:tcPr>
            <w:tcW w:w="2574" w:type="dxa"/>
          </w:tcPr>
          <w:p w14:paraId="2222E66B"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22%</w:t>
            </w:r>
          </w:p>
        </w:tc>
        <w:tc>
          <w:tcPr>
            <w:tcW w:w="903" w:type="dxa"/>
            <w:noWrap/>
            <w:hideMark/>
          </w:tcPr>
          <w:p w14:paraId="2FEE573C"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21%</w:t>
            </w:r>
          </w:p>
        </w:tc>
      </w:tr>
      <w:tr w:rsidR="00F470CF" w:rsidRPr="005945EC" w14:paraId="1FFE1AA1" w14:textId="77777777" w:rsidTr="00FA578A">
        <w:trPr>
          <w:trHeight w:val="223"/>
          <w:tblHeader/>
          <w:jc w:val="center"/>
        </w:trPr>
        <w:tc>
          <w:tcPr>
            <w:tcW w:w="2201" w:type="dxa"/>
            <w:noWrap/>
            <w:hideMark/>
          </w:tcPr>
          <w:p w14:paraId="3186C6F3"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 xml:space="preserve">Non-Aligned </w:t>
            </w:r>
          </w:p>
        </w:tc>
        <w:tc>
          <w:tcPr>
            <w:tcW w:w="1103" w:type="dxa"/>
            <w:noWrap/>
            <w:hideMark/>
          </w:tcPr>
          <w:p w14:paraId="1A8B1A38"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1,483,701</w:t>
            </w:r>
          </w:p>
        </w:tc>
        <w:tc>
          <w:tcPr>
            <w:tcW w:w="1103" w:type="dxa"/>
            <w:noWrap/>
            <w:hideMark/>
          </w:tcPr>
          <w:p w14:paraId="657983D3"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2,707,064</w:t>
            </w:r>
          </w:p>
        </w:tc>
        <w:tc>
          <w:tcPr>
            <w:tcW w:w="1471" w:type="dxa"/>
          </w:tcPr>
          <w:p w14:paraId="01C31950"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82%</w:t>
            </w:r>
          </w:p>
        </w:tc>
        <w:tc>
          <w:tcPr>
            <w:tcW w:w="2574" w:type="dxa"/>
          </w:tcPr>
          <w:p w14:paraId="34AEB581"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903" w:type="dxa"/>
            <w:noWrap/>
            <w:hideMark/>
          </w:tcPr>
          <w:p w14:paraId="2D75EC7C"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38%</w:t>
            </w:r>
          </w:p>
        </w:tc>
      </w:tr>
      <w:tr w:rsidR="005945EC" w:rsidRPr="005945EC" w14:paraId="153F0A96" w14:textId="77777777" w:rsidTr="00FA578A">
        <w:trPr>
          <w:trHeight w:val="223"/>
          <w:tblHeader/>
          <w:jc w:val="center"/>
        </w:trPr>
        <w:tc>
          <w:tcPr>
            <w:tcW w:w="9355" w:type="dxa"/>
            <w:gridSpan w:val="6"/>
            <w:noWrap/>
            <w:vAlign w:val="center"/>
            <w:hideMark/>
          </w:tcPr>
          <w:p w14:paraId="25D5C6F9" w14:textId="5BDF8454" w:rsidR="005945EC" w:rsidRPr="005945EC" w:rsidRDefault="005945EC" w:rsidP="005945EC">
            <w:pPr>
              <w:rPr>
                <w:rFonts w:ascii="Arial" w:hAnsi="Arial" w:cs="Arial"/>
                <w:sz w:val="18"/>
                <w:szCs w:val="18"/>
                <w:lang w:val="en-CA" w:eastAsia="zh-CN"/>
              </w:rPr>
            </w:pPr>
            <w:r w:rsidRPr="005945EC">
              <w:rPr>
                <w:rFonts w:ascii="Arial" w:hAnsi="Arial" w:cs="Arial"/>
                <w:b/>
                <w:bCs/>
                <w:sz w:val="18"/>
                <w:szCs w:val="18"/>
                <w:lang w:val="en-CA" w:eastAsia="zh-CN"/>
              </w:rPr>
              <w:t>ASK</w:t>
            </w:r>
          </w:p>
        </w:tc>
      </w:tr>
      <w:tr w:rsidR="00F470CF" w:rsidRPr="005945EC" w14:paraId="3A6AE2A9" w14:textId="77777777" w:rsidTr="00FA578A">
        <w:trPr>
          <w:trHeight w:val="238"/>
          <w:tblHeader/>
          <w:jc w:val="center"/>
        </w:trPr>
        <w:tc>
          <w:tcPr>
            <w:tcW w:w="2201" w:type="dxa"/>
            <w:noWrap/>
            <w:hideMark/>
          </w:tcPr>
          <w:p w14:paraId="2E85E4F3"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Star</w:t>
            </w:r>
          </w:p>
        </w:tc>
        <w:tc>
          <w:tcPr>
            <w:tcW w:w="1103" w:type="dxa"/>
            <w:noWrap/>
            <w:hideMark/>
          </w:tcPr>
          <w:p w14:paraId="61AD0A8D"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1,267,902</w:t>
            </w:r>
          </w:p>
        </w:tc>
        <w:tc>
          <w:tcPr>
            <w:tcW w:w="1103" w:type="dxa"/>
            <w:noWrap/>
            <w:hideMark/>
          </w:tcPr>
          <w:p w14:paraId="467ABFFA"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2,215,516</w:t>
            </w:r>
          </w:p>
        </w:tc>
        <w:tc>
          <w:tcPr>
            <w:tcW w:w="1471" w:type="dxa"/>
          </w:tcPr>
          <w:p w14:paraId="6E23C437"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75%</w:t>
            </w:r>
          </w:p>
        </w:tc>
        <w:tc>
          <w:tcPr>
            <w:tcW w:w="2574" w:type="dxa"/>
          </w:tcPr>
          <w:p w14:paraId="6D2B6F7C"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49%</w:t>
            </w:r>
          </w:p>
        </w:tc>
        <w:tc>
          <w:tcPr>
            <w:tcW w:w="903" w:type="dxa"/>
            <w:noWrap/>
            <w:hideMark/>
          </w:tcPr>
          <w:p w14:paraId="3660CB7A"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26%</w:t>
            </w:r>
          </w:p>
        </w:tc>
      </w:tr>
      <w:tr w:rsidR="00F470CF" w:rsidRPr="005945EC" w14:paraId="22E9CF3C" w14:textId="77777777" w:rsidTr="00FA578A">
        <w:trPr>
          <w:trHeight w:val="223"/>
          <w:tblHeader/>
          <w:jc w:val="center"/>
        </w:trPr>
        <w:tc>
          <w:tcPr>
            <w:tcW w:w="2201" w:type="dxa"/>
            <w:noWrap/>
            <w:hideMark/>
          </w:tcPr>
          <w:p w14:paraId="318630FB" w14:textId="77777777" w:rsidR="00F470CF" w:rsidRPr="005945EC" w:rsidRDefault="00F470CF" w:rsidP="00057E86">
            <w:pPr>
              <w:ind w:firstLineChars="200" w:firstLine="360"/>
              <w:rPr>
                <w:rFonts w:ascii="Arial" w:hAnsi="Arial" w:cs="Arial"/>
                <w:sz w:val="18"/>
                <w:szCs w:val="18"/>
                <w:lang w:val="en-CA" w:eastAsia="zh-CN"/>
              </w:rPr>
            </w:pPr>
            <w:proofErr w:type="spellStart"/>
            <w:r w:rsidRPr="005945EC">
              <w:rPr>
                <w:rFonts w:ascii="Arial" w:hAnsi="Arial" w:cs="Arial"/>
                <w:sz w:val="18"/>
                <w:szCs w:val="18"/>
                <w:lang w:val="en-CA" w:eastAsia="zh-CN"/>
              </w:rPr>
              <w:t>Oneworld</w:t>
            </w:r>
            <w:proofErr w:type="spellEnd"/>
          </w:p>
        </w:tc>
        <w:tc>
          <w:tcPr>
            <w:tcW w:w="1103" w:type="dxa"/>
            <w:noWrap/>
            <w:hideMark/>
          </w:tcPr>
          <w:p w14:paraId="0411E0E2"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913,177</w:t>
            </w:r>
          </w:p>
        </w:tc>
        <w:tc>
          <w:tcPr>
            <w:tcW w:w="1103" w:type="dxa"/>
            <w:noWrap/>
            <w:hideMark/>
          </w:tcPr>
          <w:p w14:paraId="3CECED75"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1,484,113</w:t>
            </w:r>
          </w:p>
        </w:tc>
        <w:tc>
          <w:tcPr>
            <w:tcW w:w="1471" w:type="dxa"/>
          </w:tcPr>
          <w:p w14:paraId="685E738C"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63%</w:t>
            </w:r>
          </w:p>
        </w:tc>
        <w:tc>
          <w:tcPr>
            <w:tcW w:w="2574" w:type="dxa"/>
          </w:tcPr>
          <w:p w14:paraId="0A83BE18"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24%</w:t>
            </w:r>
          </w:p>
        </w:tc>
        <w:tc>
          <w:tcPr>
            <w:tcW w:w="903" w:type="dxa"/>
            <w:noWrap/>
            <w:hideMark/>
          </w:tcPr>
          <w:p w14:paraId="7B205856"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17%</w:t>
            </w:r>
          </w:p>
        </w:tc>
      </w:tr>
      <w:tr w:rsidR="00F470CF" w:rsidRPr="005945EC" w14:paraId="1F1DF008" w14:textId="77777777" w:rsidTr="00FA578A">
        <w:trPr>
          <w:trHeight w:val="223"/>
          <w:tblHeader/>
          <w:jc w:val="center"/>
        </w:trPr>
        <w:tc>
          <w:tcPr>
            <w:tcW w:w="2201" w:type="dxa"/>
            <w:noWrap/>
            <w:hideMark/>
          </w:tcPr>
          <w:p w14:paraId="7EBFEB2A"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SkyTeam</w:t>
            </w:r>
          </w:p>
        </w:tc>
        <w:tc>
          <w:tcPr>
            <w:tcW w:w="1103" w:type="dxa"/>
            <w:noWrap/>
            <w:hideMark/>
          </w:tcPr>
          <w:p w14:paraId="23AD9735"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1,180,172</w:t>
            </w:r>
          </w:p>
        </w:tc>
        <w:tc>
          <w:tcPr>
            <w:tcW w:w="1103" w:type="dxa"/>
            <w:noWrap/>
            <w:hideMark/>
          </w:tcPr>
          <w:p w14:paraId="558E83ED"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1,677,225</w:t>
            </w:r>
          </w:p>
        </w:tc>
        <w:tc>
          <w:tcPr>
            <w:tcW w:w="1471" w:type="dxa"/>
          </w:tcPr>
          <w:p w14:paraId="5767F35D"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42%</w:t>
            </w:r>
          </w:p>
        </w:tc>
        <w:tc>
          <w:tcPr>
            <w:tcW w:w="2574" w:type="dxa"/>
          </w:tcPr>
          <w:p w14:paraId="49F00F93"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14%</w:t>
            </w:r>
          </w:p>
        </w:tc>
        <w:tc>
          <w:tcPr>
            <w:tcW w:w="903" w:type="dxa"/>
            <w:noWrap/>
            <w:hideMark/>
          </w:tcPr>
          <w:p w14:paraId="19925D9C"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19%</w:t>
            </w:r>
          </w:p>
        </w:tc>
      </w:tr>
      <w:tr w:rsidR="00F470CF" w:rsidRPr="005945EC" w14:paraId="2B104426" w14:textId="77777777" w:rsidTr="00FA578A">
        <w:trPr>
          <w:trHeight w:val="238"/>
          <w:tblHeader/>
          <w:jc w:val="center"/>
        </w:trPr>
        <w:tc>
          <w:tcPr>
            <w:tcW w:w="2201" w:type="dxa"/>
            <w:noWrap/>
            <w:hideMark/>
          </w:tcPr>
          <w:p w14:paraId="5A8E2BE3"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 xml:space="preserve">Non-Aligned </w:t>
            </w:r>
          </w:p>
        </w:tc>
        <w:tc>
          <w:tcPr>
            <w:tcW w:w="1103" w:type="dxa"/>
            <w:noWrap/>
            <w:hideMark/>
          </w:tcPr>
          <w:p w14:paraId="1B367A29"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1,932,450</w:t>
            </w:r>
          </w:p>
        </w:tc>
        <w:tc>
          <w:tcPr>
            <w:tcW w:w="1103" w:type="dxa"/>
            <w:noWrap/>
            <w:hideMark/>
          </w:tcPr>
          <w:p w14:paraId="13F93071"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3,232,377</w:t>
            </w:r>
          </w:p>
        </w:tc>
        <w:tc>
          <w:tcPr>
            <w:tcW w:w="1471" w:type="dxa"/>
          </w:tcPr>
          <w:p w14:paraId="59C425B5"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67%</w:t>
            </w:r>
          </w:p>
        </w:tc>
        <w:tc>
          <w:tcPr>
            <w:tcW w:w="2574" w:type="dxa"/>
          </w:tcPr>
          <w:p w14:paraId="54E7759B" w14:textId="40363E54" w:rsidR="00F470CF" w:rsidRPr="005945EC" w:rsidRDefault="002B44B3" w:rsidP="00057E86">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903" w:type="dxa"/>
            <w:noWrap/>
            <w:hideMark/>
          </w:tcPr>
          <w:p w14:paraId="4E97A7E1"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38%</w:t>
            </w:r>
          </w:p>
        </w:tc>
      </w:tr>
      <w:tr w:rsidR="005945EC" w:rsidRPr="005945EC" w14:paraId="00260AEF" w14:textId="77777777" w:rsidTr="00FA578A">
        <w:trPr>
          <w:trHeight w:val="223"/>
          <w:tblHeader/>
          <w:jc w:val="center"/>
        </w:trPr>
        <w:tc>
          <w:tcPr>
            <w:tcW w:w="9355" w:type="dxa"/>
            <w:gridSpan w:val="6"/>
            <w:noWrap/>
            <w:vAlign w:val="center"/>
            <w:hideMark/>
          </w:tcPr>
          <w:p w14:paraId="09B5024D" w14:textId="1518BF31" w:rsidR="005945EC" w:rsidRPr="005945EC" w:rsidRDefault="005945EC" w:rsidP="005945EC">
            <w:pPr>
              <w:rPr>
                <w:rFonts w:ascii="Arial" w:hAnsi="Arial" w:cs="Arial"/>
                <w:sz w:val="18"/>
                <w:szCs w:val="18"/>
                <w:lang w:val="en-CA" w:eastAsia="zh-CN"/>
              </w:rPr>
            </w:pPr>
            <w:r w:rsidRPr="005945EC">
              <w:rPr>
                <w:rFonts w:ascii="Arial" w:hAnsi="Arial" w:cs="Arial"/>
                <w:b/>
                <w:bCs/>
                <w:sz w:val="18"/>
                <w:szCs w:val="18"/>
                <w:lang w:val="en-CA" w:eastAsia="zh-CN"/>
              </w:rPr>
              <w:t xml:space="preserve">Load Factor </w:t>
            </w:r>
          </w:p>
        </w:tc>
      </w:tr>
      <w:tr w:rsidR="00F470CF" w:rsidRPr="005945EC" w14:paraId="6D771DB1" w14:textId="77777777" w:rsidTr="00FA578A">
        <w:trPr>
          <w:trHeight w:val="223"/>
          <w:tblHeader/>
          <w:jc w:val="center"/>
        </w:trPr>
        <w:tc>
          <w:tcPr>
            <w:tcW w:w="2201" w:type="dxa"/>
            <w:noWrap/>
            <w:hideMark/>
          </w:tcPr>
          <w:p w14:paraId="4E7E26D3"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Star</w:t>
            </w:r>
          </w:p>
        </w:tc>
        <w:tc>
          <w:tcPr>
            <w:tcW w:w="1103" w:type="dxa"/>
            <w:noWrap/>
            <w:hideMark/>
          </w:tcPr>
          <w:p w14:paraId="58A448BD"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74.7%</w:t>
            </w:r>
          </w:p>
        </w:tc>
        <w:tc>
          <w:tcPr>
            <w:tcW w:w="1103" w:type="dxa"/>
            <w:noWrap/>
            <w:hideMark/>
          </w:tcPr>
          <w:p w14:paraId="31876BF4"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79.7%</w:t>
            </w:r>
          </w:p>
        </w:tc>
        <w:tc>
          <w:tcPr>
            <w:tcW w:w="1471" w:type="dxa"/>
          </w:tcPr>
          <w:p w14:paraId="33453BB2"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7%</w:t>
            </w:r>
          </w:p>
        </w:tc>
        <w:tc>
          <w:tcPr>
            <w:tcW w:w="2574" w:type="dxa"/>
          </w:tcPr>
          <w:p w14:paraId="020FDD28"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7%</w:t>
            </w:r>
          </w:p>
        </w:tc>
        <w:tc>
          <w:tcPr>
            <w:tcW w:w="903" w:type="dxa"/>
            <w:noWrap/>
            <w:hideMark/>
          </w:tcPr>
          <w:p w14:paraId="35A3F191" w14:textId="5F0DFBA9" w:rsidR="00F470CF" w:rsidRPr="005945EC" w:rsidRDefault="002B44B3" w:rsidP="00057E86">
            <w:pPr>
              <w:jc w:val="center"/>
              <w:rPr>
                <w:rFonts w:ascii="Arial" w:hAnsi="Arial" w:cs="Arial"/>
                <w:sz w:val="18"/>
                <w:szCs w:val="18"/>
                <w:lang w:val="en-CA" w:eastAsia="zh-CN"/>
              </w:rPr>
            </w:pPr>
            <w:r w:rsidRPr="005945EC">
              <w:rPr>
                <w:rFonts w:ascii="Arial" w:hAnsi="Arial" w:cs="Arial"/>
                <w:sz w:val="18"/>
                <w:szCs w:val="18"/>
                <w:lang w:val="en-CA" w:eastAsia="zh-CN"/>
              </w:rPr>
              <w:t>—</w:t>
            </w:r>
          </w:p>
        </w:tc>
      </w:tr>
      <w:tr w:rsidR="00F470CF" w:rsidRPr="005945EC" w14:paraId="22E39548" w14:textId="77777777" w:rsidTr="00FA578A">
        <w:trPr>
          <w:trHeight w:val="238"/>
          <w:tblHeader/>
          <w:jc w:val="center"/>
        </w:trPr>
        <w:tc>
          <w:tcPr>
            <w:tcW w:w="2201" w:type="dxa"/>
            <w:noWrap/>
            <w:hideMark/>
          </w:tcPr>
          <w:p w14:paraId="0DBB143A" w14:textId="77777777" w:rsidR="00F470CF" w:rsidRPr="005945EC" w:rsidRDefault="00F470CF" w:rsidP="00057E86">
            <w:pPr>
              <w:ind w:firstLineChars="200" w:firstLine="360"/>
              <w:rPr>
                <w:rFonts w:ascii="Arial" w:hAnsi="Arial" w:cs="Arial"/>
                <w:sz w:val="18"/>
                <w:szCs w:val="18"/>
                <w:lang w:val="en-CA" w:eastAsia="zh-CN"/>
              </w:rPr>
            </w:pPr>
            <w:proofErr w:type="spellStart"/>
            <w:r w:rsidRPr="005945EC">
              <w:rPr>
                <w:rFonts w:ascii="Arial" w:hAnsi="Arial" w:cs="Arial"/>
                <w:sz w:val="18"/>
                <w:szCs w:val="18"/>
                <w:lang w:val="en-CA" w:eastAsia="zh-CN"/>
              </w:rPr>
              <w:t>Oneworld</w:t>
            </w:r>
            <w:proofErr w:type="spellEnd"/>
          </w:p>
        </w:tc>
        <w:tc>
          <w:tcPr>
            <w:tcW w:w="1103" w:type="dxa"/>
            <w:noWrap/>
            <w:hideMark/>
          </w:tcPr>
          <w:p w14:paraId="5D03B189"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76.7%</w:t>
            </w:r>
          </w:p>
        </w:tc>
        <w:tc>
          <w:tcPr>
            <w:tcW w:w="1103" w:type="dxa"/>
            <w:noWrap/>
            <w:hideMark/>
          </w:tcPr>
          <w:p w14:paraId="71BEC502"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80.2%</w:t>
            </w:r>
          </w:p>
        </w:tc>
        <w:tc>
          <w:tcPr>
            <w:tcW w:w="1471" w:type="dxa"/>
          </w:tcPr>
          <w:p w14:paraId="3E98E1AD"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5%</w:t>
            </w:r>
          </w:p>
        </w:tc>
        <w:tc>
          <w:tcPr>
            <w:tcW w:w="2574" w:type="dxa"/>
          </w:tcPr>
          <w:p w14:paraId="0A167EBF"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8%</w:t>
            </w:r>
          </w:p>
        </w:tc>
        <w:tc>
          <w:tcPr>
            <w:tcW w:w="903" w:type="dxa"/>
            <w:noWrap/>
            <w:hideMark/>
          </w:tcPr>
          <w:p w14:paraId="1C091126" w14:textId="58BE5D07" w:rsidR="00F470CF" w:rsidRPr="005945EC" w:rsidRDefault="002B44B3" w:rsidP="00057E86">
            <w:pPr>
              <w:jc w:val="center"/>
              <w:rPr>
                <w:rFonts w:ascii="Arial" w:hAnsi="Arial" w:cs="Arial"/>
                <w:sz w:val="18"/>
                <w:szCs w:val="18"/>
                <w:lang w:val="en-CA" w:eastAsia="zh-CN"/>
              </w:rPr>
            </w:pPr>
            <w:r w:rsidRPr="005945EC">
              <w:rPr>
                <w:rFonts w:ascii="Arial" w:hAnsi="Arial" w:cs="Arial"/>
                <w:sz w:val="18"/>
                <w:szCs w:val="18"/>
                <w:lang w:val="en-CA" w:eastAsia="zh-CN"/>
              </w:rPr>
              <w:t>—</w:t>
            </w:r>
          </w:p>
        </w:tc>
      </w:tr>
      <w:tr w:rsidR="00F470CF" w:rsidRPr="005945EC" w14:paraId="57326A3C" w14:textId="77777777" w:rsidTr="00FA578A">
        <w:trPr>
          <w:trHeight w:val="223"/>
          <w:tblHeader/>
          <w:jc w:val="center"/>
        </w:trPr>
        <w:tc>
          <w:tcPr>
            <w:tcW w:w="2201" w:type="dxa"/>
            <w:noWrap/>
            <w:hideMark/>
          </w:tcPr>
          <w:p w14:paraId="0FE2A0A9"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SkyTeam</w:t>
            </w:r>
          </w:p>
        </w:tc>
        <w:tc>
          <w:tcPr>
            <w:tcW w:w="1103" w:type="dxa"/>
            <w:noWrap/>
            <w:hideMark/>
          </w:tcPr>
          <w:p w14:paraId="043A1B09"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75.9%</w:t>
            </w:r>
          </w:p>
        </w:tc>
        <w:tc>
          <w:tcPr>
            <w:tcW w:w="1103" w:type="dxa"/>
            <w:noWrap/>
            <w:hideMark/>
          </w:tcPr>
          <w:p w14:paraId="442BDF1E"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80.5%</w:t>
            </w:r>
          </w:p>
        </w:tc>
        <w:tc>
          <w:tcPr>
            <w:tcW w:w="1471" w:type="dxa"/>
          </w:tcPr>
          <w:p w14:paraId="621B5A3D"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6%</w:t>
            </w:r>
          </w:p>
        </w:tc>
        <w:tc>
          <w:tcPr>
            <w:tcW w:w="2574" w:type="dxa"/>
          </w:tcPr>
          <w:p w14:paraId="4E61B5EB"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8%</w:t>
            </w:r>
          </w:p>
        </w:tc>
        <w:tc>
          <w:tcPr>
            <w:tcW w:w="903" w:type="dxa"/>
            <w:noWrap/>
            <w:hideMark/>
          </w:tcPr>
          <w:p w14:paraId="158CD775" w14:textId="49148F9B" w:rsidR="00F470CF" w:rsidRPr="005945EC" w:rsidRDefault="002B44B3" w:rsidP="00057E86">
            <w:pPr>
              <w:jc w:val="center"/>
              <w:rPr>
                <w:rFonts w:ascii="Arial" w:hAnsi="Arial" w:cs="Arial"/>
                <w:sz w:val="18"/>
                <w:szCs w:val="18"/>
                <w:lang w:val="en-CA" w:eastAsia="zh-CN"/>
              </w:rPr>
            </w:pPr>
            <w:r w:rsidRPr="005945EC">
              <w:rPr>
                <w:rFonts w:ascii="Arial" w:hAnsi="Arial" w:cs="Arial"/>
                <w:sz w:val="18"/>
                <w:szCs w:val="18"/>
                <w:lang w:val="en-CA" w:eastAsia="zh-CN"/>
              </w:rPr>
              <w:t>—</w:t>
            </w:r>
          </w:p>
        </w:tc>
      </w:tr>
      <w:tr w:rsidR="00F470CF" w:rsidRPr="005945EC" w14:paraId="1871AE70" w14:textId="77777777" w:rsidTr="00FA578A">
        <w:trPr>
          <w:trHeight w:val="223"/>
          <w:tblHeader/>
          <w:jc w:val="center"/>
        </w:trPr>
        <w:tc>
          <w:tcPr>
            <w:tcW w:w="2201" w:type="dxa"/>
            <w:noWrap/>
            <w:hideMark/>
          </w:tcPr>
          <w:p w14:paraId="44226B9E"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 xml:space="preserve">Non-Aligned </w:t>
            </w:r>
          </w:p>
        </w:tc>
        <w:tc>
          <w:tcPr>
            <w:tcW w:w="1103" w:type="dxa"/>
            <w:noWrap/>
            <w:hideMark/>
          </w:tcPr>
          <w:p w14:paraId="778774D8"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76.6%</w:t>
            </w:r>
          </w:p>
        </w:tc>
        <w:tc>
          <w:tcPr>
            <w:tcW w:w="1103" w:type="dxa"/>
            <w:noWrap/>
            <w:hideMark/>
          </w:tcPr>
          <w:p w14:paraId="229A8A9E"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83.9%</w:t>
            </w:r>
          </w:p>
        </w:tc>
        <w:tc>
          <w:tcPr>
            <w:tcW w:w="1471" w:type="dxa"/>
          </w:tcPr>
          <w:p w14:paraId="1DC48486"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10%</w:t>
            </w:r>
          </w:p>
        </w:tc>
        <w:tc>
          <w:tcPr>
            <w:tcW w:w="2574" w:type="dxa"/>
          </w:tcPr>
          <w:p w14:paraId="171CDA34" w14:textId="4315C0D3" w:rsidR="00F470CF" w:rsidRPr="005945EC" w:rsidRDefault="002B44B3" w:rsidP="00057E86">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903" w:type="dxa"/>
            <w:noWrap/>
            <w:hideMark/>
          </w:tcPr>
          <w:p w14:paraId="48EBC858" w14:textId="4313DFB5" w:rsidR="00F470CF" w:rsidRPr="005945EC" w:rsidRDefault="002B44B3" w:rsidP="00057E86">
            <w:pPr>
              <w:jc w:val="center"/>
              <w:rPr>
                <w:rFonts w:ascii="Arial" w:hAnsi="Arial" w:cs="Arial"/>
                <w:sz w:val="18"/>
                <w:szCs w:val="18"/>
                <w:lang w:val="en-CA" w:eastAsia="zh-CN"/>
              </w:rPr>
            </w:pPr>
            <w:r w:rsidRPr="005945EC">
              <w:rPr>
                <w:rFonts w:ascii="Arial" w:hAnsi="Arial" w:cs="Arial"/>
                <w:sz w:val="18"/>
                <w:szCs w:val="18"/>
                <w:lang w:val="en-CA" w:eastAsia="zh-CN"/>
              </w:rPr>
              <w:t>—</w:t>
            </w:r>
          </w:p>
        </w:tc>
      </w:tr>
      <w:tr w:rsidR="005945EC" w:rsidRPr="005945EC" w14:paraId="4DE13ED9" w14:textId="77777777" w:rsidTr="00FA578A">
        <w:trPr>
          <w:trHeight w:val="238"/>
          <w:tblHeader/>
          <w:jc w:val="center"/>
        </w:trPr>
        <w:tc>
          <w:tcPr>
            <w:tcW w:w="9355" w:type="dxa"/>
            <w:gridSpan w:val="6"/>
            <w:noWrap/>
            <w:vAlign w:val="center"/>
            <w:hideMark/>
          </w:tcPr>
          <w:p w14:paraId="214ACE83" w14:textId="1C55F3DB" w:rsidR="005945EC" w:rsidRPr="005945EC" w:rsidRDefault="005945EC" w:rsidP="005945EC">
            <w:pPr>
              <w:rPr>
                <w:rFonts w:ascii="Arial" w:hAnsi="Arial" w:cs="Arial"/>
                <w:sz w:val="18"/>
                <w:szCs w:val="18"/>
                <w:lang w:val="en-CA" w:eastAsia="zh-CN"/>
              </w:rPr>
            </w:pPr>
            <w:r w:rsidRPr="005945EC">
              <w:rPr>
                <w:rFonts w:ascii="Arial" w:hAnsi="Arial" w:cs="Arial"/>
                <w:b/>
                <w:bCs/>
                <w:sz w:val="18"/>
                <w:szCs w:val="18"/>
                <w:lang w:val="en-CA" w:eastAsia="zh-CN"/>
              </w:rPr>
              <w:t>Passengers (in 000)</w:t>
            </w:r>
          </w:p>
        </w:tc>
      </w:tr>
      <w:tr w:rsidR="00F470CF" w:rsidRPr="005945EC" w14:paraId="51A3B264" w14:textId="77777777" w:rsidTr="00FA578A">
        <w:trPr>
          <w:trHeight w:val="223"/>
          <w:tblHeader/>
          <w:jc w:val="center"/>
        </w:trPr>
        <w:tc>
          <w:tcPr>
            <w:tcW w:w="2201" w:type="dxa"/>
            <w:noWrap/>
            <w:hideMark/>
          </w:tcPr>
          <w:p w14:paraId="5534DAB4"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Star</w:t>
            </w:r>
          </w:p>
        </w:tc>
        <w:tc>
          <w:tcPr>
            <w:tcW w:w="1103" w:type="dxa"/>
            <w:noWrap/>
            <w:hideMark/>
          </w:tcPr>
          <w:p w14:paraId="67B71D5B"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442</w:t>
            </w:r>
          </w:p>
        </w:tc>
        <w:tc>
          <w:tcPr>
            <w:tcW w:w="1103" w:type="dxa"/>
            <w:noWrap/>
            <w:hideMark/>
          </w:tcPr>
          <w:p w14:paraId="76EE1076"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798</w:t>
            </w:r>
          </w:p>
        </w:tc>
        <w:tc>
          <w:tcPr>
            <w:tcW w:w="1471" w:type="dxa"/>
          </w:tcPr>
          <w:p w14:paraId="25FA67FE"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81%</w:t>
            </w:r>
          </w:p>
        </w:tc>
        <w:tc>
          <w:tcPr>
            <w:tcW w:w="2574" w:type="dxa"/>
          </w:tcPr>
          <w:p w14:paraId="12744F1F"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49%</w:t>
            </w:r>
          </w:p>
        </w:tc>
        <w:tc>
          <w:tcPr>
            <w:tcW w:w="903" w:type="dxa"/>
            <w:noWrap/>
            <w:hideMark/>
          </w:tcPr>
          <w:p w14:paraId="130C158E"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23%</w:t>
            </w:r>
          </w:p>
        </w:tc>
      </w:tr>
      <w:tr w:rsidR="00F470CF" w:rsidRPr="005945EC" w14:paraId="700A9FB2" w14:textId="77777777" w:rsidTr="00FA578A">
        <w:trPr>
          <w:trHeight w:val="223"/>
          <w:tblHeader/>
          <w:jc w:val="center"/>
        </w:trPr>
        <w:tc>
          <w:tcPr>
            <w:tcW w:w="2201" w:type="dxa"/>
            <w:noWrap/>
            <w:hideMark/>
          </w:tcPr>
          <w:p w14:paraId="0FFF7CF3" w14:textId="77777777" w:rsidR="00F470CF" w:rsidRPr="005945EC" w:rsidRDefault="00F470CF" w:rsidP="00057E86">
            <w:pPr>
              <w:ind w:firstLineChars="200" w:firstLine="360"/>
              <w:rPr>
                <w:rFonts w:ascii="Arial" w:hAnsi="Arial" w:cs="Arial"/>
                <w:sz w:val="18"/>
                <w:szCs w:val="18"/>
                <w:lang w:val="en-CA" w:eastAsia="zh-CN"/>
              </w:rPr>
            </w:pPr>
            <w:proofErr w:type="spellStart"/>
            <w:r w:rsidRPr="005945EC">
              <w:rPr>
                <w:rFonts w:ascii="Arial" w:hAnsi="Arial" w:cs="Arial"/>
                <w:sz w:val="18"/>
                <w:szCs w:val="18"/>
                <w:lang w:val="en-CA" w:eastAsia="zh-CN"/>
              </w:rPr>
              <w:t>Oneworld</w:t>
            </w:r>
            <w:proofErr w:type="spellEnd"/>
          </w:p>
        </w:tc>
        <w:tc>
          <w:tcPr>
            <w:tcW w:w="1103" w:type="dxa"/>
            <w:noWrap/>
            <w:hideMark/>
          </w:tcPr>
          <w:p w14:paraId="576928DA"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287</w:t>
            </w:r>
          </w:p>
        </w:tc>
        <w:tc>
          <w:tcPr>
            <w:tcW w:w="1103" w:type="dxa"/>
            <w:noWrap/>
            <w:hideMark/>
          </w:tcPr>
          <w:p w14:paraId="78512455"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449</w:t>
            </w:r>
          </w:p>
        </w:tc>
        <w:tc>
          <w:tcPr>
            <w:tcW w:w="1471" w:type="dxa"/>
          </w:tcPr>
          <w:p w14:paraId="5BEBDBB8"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56%</w:t>
            </w:r>
          </w:p>
        </w:tc>
        <w:tc>
          <w:tcPr>
            <w:tcW w:w="2574" w:type="dxa"/>
          </w:tcPr>
          <w:p w14:paraId="02591204"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42%</w:t>
            </w:r>
          </w:p>
        </w:tc>
        <w:tc>
          <w:tcPr>
            <w:tcW w:w="903" w:type="dxa"/>
            <w:noWrap/>
            <w:hideMark/>
          </w:tcPr>
          <w:p w14:paraId="2E14D3B5"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13%</w:t>
            </w:r>
          </w:p>
        </w:tc>
      </w:tr>
      <w:tr w:rsidR="00F470CF" w:rsidRPr="005945EC" w14:paraId="53EAD91F" w14:textId="77777777" w:rsidTr="00FA578A">
        <w:trPr>
          <w:trHeight w:val="238"/>
          <w:tblHeader/>
          <w:jc w:val="center"/>
        </w:trPr>
        <w:tc>
          <w:tcPr>
            <w:tcW w:w="2201" w:type="dxa"/>
            <w:noWrap/>
            <w:hideMark/>
          </w:tcPr>
          <w:p w14:paraId="629D5172"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SkyTeam</w:t>
            </w:r>
          </w:p>
        </w:tc>
        <w:tc>
          <w:tcPr>
            <w:tcW w:w="1103" w:type="dxa"/>
            <w:noWrap/>
            <w:hideMark/>
          </w:tcPr>
          <w:p w14:paraId="484A5DE7"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439</w:t>
            </w:r>
          </w:p>
        </w:tc>
        <w:tc>
          <w:tcPr>
            <w:tcW w:w="1103" w:type="dxa"/>
            <w:noWrap/>
            <w:hideMark/>
          </w:tcPr>
          <w:p w14:paraId="68013870"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588</w:t>
            </w:r>
          </w:p>
        </w:tc>
        <w:tc>
          <w:tcPr>
            <w:tcW w:w="1471" w:type="dxa"/>
          </w:tcPr>
          <w:p w14:paraId="11DF1282"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34%</w:t>
            </w:r>
          </w:p>
        </w:tc>
        <w:tc>
          <w:tcPr>
            <w:tcW w:w="2574" w:type="dxa"/>
          </w:tcPr>
          <w:p w14:paraId="35D5B555"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15%</w:t>
            </w:r>
          </w:p>
        </w:tc>
        <w:tc>
          <w:tcPr>
            <w:tcW w:w="903" w:type="dxa"/>
            <w:noWrap/>
            <w:hideMark/>
          </w:tcPr>
          <w:p w14:paraId="629A48E1"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17%</w:t>
            </w:r>
          </w:p>
        </w:tc>
      </w:tr>
      <w:tr w:rsidR="00F470CF" w:rsidRPr="005945EC" w14:paraId="277F21EA" w14:textId="77777777" w:rsidTr="00FA578A">
        <w:trPr>
          <w:trHeight w:val="223"/>
          <w:tblHeader/>
          <w:jc w:val="center"/>
        </w:trPr>
        <w:tc>
          <w:tcPr>
            <w:tcW w:w="2201" w:type="dxa"/>
            <w:noWrap/>
            <w:hideMark/>
          </w:tcPr>
          <w:p w14:paraId="73985DFD" w14:textId="77777777" w:rsidR="00F470CF" w:rsidRPr="005945EC" w:rsidRDefault="00F470CF" w:rsidP="00057E86">
            <w:pPr>
              <w:ind w:firstLineChars="200" w:firstLine="360"/>
              <w:rPr>
                <w:rFonts w:ascii="Arial" w:hAnsi="Arial" w:cs="Arial"/>
                <w:sz w:val="18"/>
                <w:szCs w:val="18"/>
                <w:lang w:val="en-CA" w:eastAsia="zh-CN"/>
              </w:rPr>
            </w:pPr>
            <w:r w:rsidRPr="005945EC">
              <w:rPr>
                <w:rFonts w:ascii="Arial" w:hAnsi="Arial" w:cs="Arial"/>
                <w:sz w:val="18"/>
                <w:szCs w:val="18"/>
                <w:lang w:val="en-CA" w:eastAsia="zh-CN"/>
              </w:rPr>
              <w:t xml:space="preserve">Non-Aligned </w:t>
            </w:r>
          </w:p>
        </w:tc>
        <w:tc>
          <w:tcPr>
            <w:tcW w:w="1103" w:type="dxa"/>
            <w:noWrap/>
            <w:hideMark/>
          </w:tcPr>
          <w:p w14:paraId="375AAA0C"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849</w:t>
            </w:r>
          </w:p>
        </w:tc>
        <w:tc>
          <w:tcPr>
            <w:tcW w:w="1103" w:type="dxa"/>
            <w:noWrap/>
            <w:hideMark/>
          </w:tcPr>
          <w:p w14:paraId="2C3A6102" w14:textId="77777777" w:rsidR="00F470CF" w:rsidRPr="005945EC" w:rsidRDefault="00F470CF" w:rsidP="002B44B3">
            <w:pPr>
              <w:jc w:val="right"/>
              <w:rPr>
                <w:rFonts w:ascii="Arial" w:hAnsi="Arial" w:cs="Arial"/>
                <w:sz w:val="18"/>
                <w:szCs w:val="18"/>
                <w:lang w:val="en-CA" w:eastAsia="zh-CN"/>
              </w:rPr>
            </w:pPr>
            <w:r w:rsidRPr="005945EC">
              <w:rPr>
                <w:rFonts w:ascii="Arial" w:hAnsi="Arial" w:cs="Arial"/>
                <w:sz w:val="18"/>
                <w:szCs w:val="18"/>
                <w:lang w:val="en-CA" w:eastAsia="zh-CN"/>
              </w:rPr>
              <w:t>1,575</w:t>
            </w:r>
          </w:p>
        </w:tc>
        <w:tc>
          <w:tcPr>
            <w:tcW w:w="1471" w:type="dxa"/>
          </w:tcPr>
          <w:p w14:paraId="56A84A9D"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86%</w:t>
            </w:r>
          </w:p>
        </w:tc>
        <w:tc>
          <w:tcPr>
            <w:tcW w:w="2574" w:type="dxa"/>
          </w:tcPr>
          <w:p w14:paraId="11434E6B" w14:textId="144280E0" w:rsidR="00F470CF" w:rsidRPr="005945EC" w:rsidRDefault="002B44B3" w:rsidP="00057E86">
            <w:pPr>
              <w:jc w:val="center"/>
              <w:rPr>
                <w:rFonts w:ascii="Arial" w:hAnsi="Arial" w:cs="Arial"/>
                <w:sz w:val="18"/>
                <w:szCs w:val="18"/>
                <w:lang w:val="en-CA" w:eastAsia="zh-CN"/>
              </w:rPr>
            </w:pPr>
            <w:r w:rsidRPr="005945EC">
              <w:rPr>
                <w:rFonts w:ascii="Arial" w:hAnsi="Arial" w:cs="Arial"/>
                <w:sz w:val="18"/>
                <w:szCs w:val="18"/>
                <w:lang w:val="en-CA" w:eastAsia="zh-CN"/>
              </w:rPr>
              <w:t>—</w:t>
            </w:r>
          </w:p>
        </w:tc>
        <w:tc>
          <w:tcPr>
            <w:tcW w:w="903" w:type="dxa"/>
            <w:noWrap/>
            <w:hideMark/>
          </w:tcPr>
          <w:p w14:paraId="5E240921" w14:textId="77777777" w:rsidR="00F470CF" w:rsidRPr="005945EC" w:rsidRDefault="00F470CF" w:rsidP="00057E86">
            <w:pPr>
              <w:jc w:val="center"/>
              <w:rPr>
                <w:rFonts w:ascii="Arial" w:hAnsi="Arial" w:cs="Arial"/>
                <w:sz w:val="18"/>
                <w:szCs w:val="18"/>
                <w:lang w:val="en-CA" w:eastAsia="zh-CN"/>
              </w:rPr>
            </w:pPr>
            <w:r w:rsidRPr="005945EC">
              <w:rPr>
                <w:rFonts w:ascii="Arial" w:hAnsi="Arial" w:cs="Arial"/>
                <w:sz w:val="18"/>
                <w:szCs w:val="18"/>
                <w:lang w:val="en-CA" w:eastAsia="zh-CN"/>
              </w:rPr>
              <w:t>46%</w:t>
            </w:r>
          </w:p>
        </w:tc>
      </w:tr>
    </w:tbl>
    <w:p w14:paraId="5344C933" w14:textId="77777777" w:rsidR="00F470CF" w:rsidRPr="005945EC" w:rsidRDefault="00F470CF" w:rsidP="00F470CF">
      <w:pPr>
        <w:pStyle w:val="Footnote"/>
        <w:rPr>
          <w:lang w:val="en-CA"/>
        </w:rPr>
      </w:pPr>
    </w:p>
    <w:p w14:paraId="50372272" w14:textId="77777777" w:rsidR="001B20AE" w:rsidRPr="005945EC" w:rsidRDefault="001B20AE" w:rsidP="001B20AE">
      <w:pPr>
        <w:pStyle w:val="Footnote"/>
        <w:rPr>
          <w:lang w:val="en-CA"/>
        </w:rPr>
      </w:pPr>
      <w:r w:rsidRPr="005945EC">
        <w:rPr>
          <w:lang w:val="en-CA"/>
        </w:rPr>
        <w:t xml:space="preserve">Note: RPK = revenue passenger kilometres; ASK = available seat kilometres </w:t>
      </w:r>
    </w:p>
    <w:p w14:paraId="25F5F656" w14:textId="74F0B93B" w:rsidR="001A11BC" w:rsidRPr="005945EC" w:rsidRDefault="001A11BC" w:rsidP="001A11BC">
      <w:pPr>
        <w:pStyle w:val="Footnote"/>
        <w:rPr>
          <w:lang w:val="en-CA"/>
        </w:rPr>
      </w:pPr>
      <w:r w:rsidRPr="005945EC">
        <w:rPr>
          <w:lang w:val="en-CA"/>
        </w:rPr>
        <w:t xml:space="preserve">Source: </w:t>
      </w:r>
      <w:r w:rsidR="00EA715B" w:rsidRPr="005945EC">
        <w:rPr>
          <w:lang w:val="en-CA"/>
        </w:rPr>
        <w:t xml:space="preserve">“Free Download: Airline Business 2018–2019 Digital Special Edition,” </w:t>
      </w:r>
      <w:proofErr w:type="spellStart"/>
      <w:r w:rsidR="00EA715B" w:rsidRPr="005945EC">
        <w:rPr>
          <w:lang w:val="en-CA"/>
        </w:rPr>
        <w:t>FlightGlobal</w:t>
      </w:r>
      <w:proofErr w:type="spellEnd"/>
      <w:r w:rsidR="00EA715B" w:rsidRPr="005945EC">
        <w:rPr>
          <w:lang w:val="en-CA"/>
        </w:rPr>
        <w:t xml:space="preserve">, accessed December 14, 2020, www.flightglobal.com/strategy/free-download-airline-business-2018-2019-digital-special-edition/130692.article.  </w:t>
      </w:r>
      <w:r w:rsidR="00EA715B" w:rsidRPr="005945EC" w:rsidDel="00BD3275">
        <w:rPr>
          <w:lang w:val="en-CA"/>
        </w:rPr>
        <w:t xml:space="preserve"> </w:t>
      </w:r>
      <w:r w:rsidR="006F49D0" w:rsidRPr="005945EC">
        <w:rPr>
          <w:lang w:val="en-CA"/>
        </w:rPr>
        <w:t xml:space="preserve"> </w:t>
      </w:r>
    </w:p>
    <w:p w14:paraId="6BD99E98" w14:textId="3F0E0C67" w:rsidR="00F470CF" w:rsidRPr="005945EC" w:rsidRDefault="00F470CF">
      <w:pPr>
        <w:spacing w:after="200" w:line="276" w:lineRule="auto"/>
        <w:rPr>
          <w:rFonts w:ascii="Arial" w:hAnsi="Arial" w:cs="Arial"/>
          <w:b/>
          <w:caps/>
          <w:lang w:val="en-CA"/>
        </w:rPr>
      </w:pPr>
    </w:p>
    <w:p w14:paraId="312265B0" w14:textId="01F33F8C" w:rsidR="009E3D79" w:rsidRPr="005945EC" w:rsidRDefault="009E3D79" w:rsidP="00913141">
      <w:pPr>
        <w:pStyle w:val="ExhibitHeading"/>
        <w:rPr>
          <w:lang w:val="en-CA"/>
        </w:rPr>
      </w:pPr>
      <w:r w:rsidRPr="005945EC">
        <w:rPr>
          <w:lang w:val="en-CA"/>
        </w:rPr>
        <w:t>Exhibit 6</w:t>
      </w:r>
      <w:r w:rsidR="00913141" w:rsidRPr="005945EC">
        <w:rPr>
          <w:lang w:val="en-CA"/>
        </w:rPr>
        <w:t xml:space="preserve">: </w:t>
      </w:r>
      <w:r w:rsidRPr="005945EC">
        <w:rPr>
          <w:lang w:val="en-CA"/>
        </w:rPr>
        <w:t>Star Alliance Membership and Structure, 2019</w:t>
      </w:r>
    </w:p>
    <w:p w14:paraId="0FA3D38D" w14:textId="77777777" w:rsidR="009E3D79" w:rsidRPr="005945EC" w:rsidRDefault="009E3D79" w:rsidP="00913141">
      <w:pPr>
        <w:pStyle w:val="ExhibitText"/>
        <w:rPr>
          <w:lang w:val="en-CA"/>
        </w:rPr>
      </w:pPr>
    </w:p>
    <w:p w14:paraId="1AF78E0F" w14:textId="77777777" w:rsidR="009E3D79" w:rsidRPr="005945EC" w:rsidRDefault="009E3D79" w:rsidP="00913141">
      <w:pPr>
        <w:pStyle w:val="Casehead2"/>
        <w:rPr>
          <w:lang w:val="en-CA"/>
        </w:rPr>
      </w:pPr>
      <w:r w:rsidRPr="005945EC">
        <w:rPr>
          <w:lang w:val="en-CA"/>
        </w:rPr>
        <w:t>Membership</w:t>
      </w:r>
    </w:p>
    <w:p w14:paraId="26119404" w14:textId="77777777" w:rsidR="009E3D79" w:rsidRPr="005945EC" w:rsidRDefault="009E3D79" w:rsidP="00913141">
      <w:pPr>
        <w:pStyle w:val="ExhibitText"/>
        <w:rPr>
          <w:lang w:val="en-CA"/>
        </w:rPr>
      </w:pPr>
    </w:p>
    <w:p w14:paraId="0B682AA2" w14:textId="027C1D0A" w:rsidR="009E3D79" w:rsidRPr="005945EC" w:rsidRDefault="009E3D79" w:rsidP="00913141">
      <w:pPr>
        <w:pStyle w:val="ExhibitText"/>
        <w:numPr>
          <w:ilvl w:val="0"/>
          <w:numId w:val="16"/>
        </w:numPr>
        <w:rPr>
          <w:lang w:val="en-CA"/>
        </w:rPr>
      </w:pPr>
      <w:r w:rsidRPr="005945EC">
        <w:rPr>
          <w:lang w:val="en-CA"/>
        </w:rPr>
        <w:t xml:space="preserve">New members are accepted into the alliance by a vote of the </w:t>
      </w:r>
      <w:r w:rsidR="00FA0094" w:rsidRPr="005945EC">
        <w:rPr>
          <w:lang w:val="en-CA"/>
        </w:rPr>
        <w:t>c</w:t>
      </w:r>
      <w:r w:rsidRPr="005945EC">
        <w:rPr>
          <w:lang w:val="en-CA"/>
        </w:rPr>
        <w:t xml:space="preserve">hief </w:t>
      </w:r>
      <w:r w:rsidR="00FA0094" w:rsidRPr="005945EC">
        <w:rPr>
          <w:lang w:val="en-CA"/>
        </w:rPr>
        <w:t>e</w:t>
      </w:r>
      <w:r w:rsidRPr="005945EC">
        <w:rPr>
          <w:lang w:val="en-CA"/>
        </w:rPr>
        <w:t xml:space="preserve">xecutive </w:t>
      </w:r>
      <w:r w:rsidR="00FA0094" w:rsidRPr="005945EC">
        <w:rPr>
          <w:lang w:val="en-CA"/>
        </w:rPr>
        <w:t>b</w:t>
      </w:r>
      <w:r w:rsidRPr="005945EC">
        <w:rPr>
          <w:lang w:val="en-CA"/>
        </w:rPr>
        <w:t>oard. </w:t>
      </w:r>
    </w:p>
    <w:p w14:paraId="26F36E3E" w14:textId="77777777" w:rsidR="009E3D79" w:rsidRPr="005945EC" w:rsidRDefault="009E3D79" w:rsidP="00913141">
      <w:pPr>
        <w:pStyle w:val="ExhibitText"/>
        <w:numPr>
          <w:ilvl w:val="0"/>
          <w:numId w:val="16"/>
        </w:numPr>
        <w:rPr>
          <w:lang w:val="en-CA"/>
        </w:rPr>
      </w:pPr>
      <w:r w:rsidRPr="005945EC">
        <w:rPr>
          <w:lang w:val="en-CA"/>
        </w:rPr>
        <w:t>In addition to an entry fee based on size, new members are required to complete the integration process by fulfilling membership standards. </w:t>
      </w:r>
    </w:p>
    <w:p w14:paraId="155A7292" w14:textId="5FFBB2C0" w:rsidR="009E3D79" w:rsidRPr="005945EC" w:rsidRDefault="009E3D79" w:rsidP="00913141">
      <w:pPr>
        <w:pStyle w:val="ExhibitText"/>
        <w:numPr>
          <w:ilvl w:val="0"/>
          <w:numId w:val="16"/>
        </w:numPr>
        <w:rPr>
          <w:lang w:val="en-CA"/>
        </w:rPr>
      </w:pPr>
      <w:r w:rsidRPr="005945EC">
        <w:rPr>
          <w:lang w:val="en-CA"/>
        </w:rPr>
        <w:t>A member may withdraw voluntarily from the alliance, but membership may be terminated in certain events such as bankruptcy or loss of operating licen</w:t>
      </w:r>
      <w:r w:rsidR="008F13B9" w:rsidRPr="005945EC">
        <w:rPr>
          <w:lang w:val="en-CA"/>
        </w:rPr>
        <w:t>c</w:t>
      </w:r>
      <w:r w:rsidRPr="005945EC">
        <w:rPr>
          <w:lang w:val="en-CA"/>
        </w:rPr>
        <w:t>e. An exit fee may apply.</w:t>
      </w:r>
    </w:p>
    <w:p w14:paraId="33318478" w14:textId="77777777" w:rsidR="009E3D79" w:rsidRPr="005945EC" w:rsidRDefault="009E3D79" w:rsidP="00913141">
      <w:pPr>
        <w:pStyle w:val="ExhibitText"/>
        <w:numPr>
          <w:ilvl w:val="0"/>
          <w:numId w:val="16"/>
        </w:numPr>
        <w:rPr>
          <w:lang w:val="en-CA"/>
        </w:rPr>
      </w:pPr>
      <w:r w:rsidRPr="005945EC">
        <w:rPr>
          <w:lang w:val="en-CA"/>
        </w:rPr>
        <w:t>Each member must comply with the standards of membership and is subject to annual audits for compliance.</w:t>
      </w:r>
    </w:p>
    <w:p w14:paraId="0DB3B38F" w14:textId="77777777" w:rsidR="009E3D79" w:rsidRPr="005945EC" w:rsidRDefault="009E3D79" w:rsidP="00913141">
      <w:pPr>
        <w:pStyle w:val="ExhibitText"/>
        <w:rPr>
          <w:lang w:val="en-CA"/>
        </w:rPr>
      </w:pPr>
    </w:p>
    <w:p w14:paraId="41FC1EC2" w14:textId="77777777" w:rsidR="009E3D79" w:rsidRPr="005945EC" w:rsidRDefault="009E3D79" w:rsidP="00913141">
      <w:pPr>
        <w:pStyle w:val="Casehead2"/>
        <w:rPr>
          <w:lang w:val="en-CA"/>
        </w:rPr>
      </w:pPr>
      <w:r w:rsidRPr="005945EC">
        <w:rPr>
          <w:lang w:val="en-CA"/>
        </w:rPr>
        <w:t>Structure</w:t>
      </w:r>
    </w:p>
    <w:p w14:paraId="0034DFF5" w14:textId="77777777" w:rsidR="009E3D79" w:rsidRPr="005945EC" w:rsidRDefault="009E3D79" w:rsidP="00913141">
      <w:pPr>
        <w:pStyle w:val="ExhibitText"/>
        <w:rPr>
          <w:lang w:val="en-CA"/>
        </w:rPr>
      </w:pPr>
    </w:p>
    <w:p w14:paraId="07806790" w14:textId="073EC987" w:rsidR="009E3D79" w:rsidRPr="005945EC" w:rsidRDefault="009E3D79" w:rsidP="00913141">
      <w:pPr>
        <w:pStyle w:val="ExhibitText"/>
        <w:numPr>
          <w:ilvl w:val="0"/>
          <w:numId w:val="17"/>
        </w:numPr>
        <w:rPr>
          <w:lang w:val="en-CA"/>
        </w:rPr>
      </w:pPr>
      <w:r w:rsidRPr="005945EC">
        <w:rPr>
          <w:lang w:val="en-CA"/>
        </w:rPr>
        <w:t xml:space="preserve">The two governing boards are the </w:t>
      </w:r>
      <w:r w:rsidR="00FA0094" w:rsidRPr="005945EC">
        <w:rPr>
          <w:lang w:val="en-CA"/>
        </w:rPr>
        <w:t>c</w:t>
      </w:r>
      <w:r w:rsidRPr="005945EC">
        <w:rPr>
          <w:lang w:val="en-CA"/>
        </w:rPr>
        <w:t xml:space="preserve">hief </w:t>
      </w:r>
      <w:r w:rsidR="00FA0094" w:rsidRPr="005945EC">
        <w:rPr>
          <w:lang w:val="en-CA"/>
        </w:rPr>
        <w:t>e</w:t>
      </w:r>
      <w:r w:rsidRPr="005945EC">
        <w:rPr>
          <w:lang w:val="en-CA"/>
        </w:rPr>
        <w:t xml:space="preserve">xecutive </w:t>
      </w:r>
      <w:r w:rsidR="00FA0094" w:rsidRPr="005945EC">
        <w:rPr>
          <w:lang w:val="en-CA"/>
        </w:rPr>
        <w:t>b</w:t>
      </w:r>
      <w:r w:rsidRPr="005945EC">
        <w:rPr>
          <w:lang w:val="en-CA"/>
        </w:rPr>
        <w:t xml:space="preserve">oard and the </w:t>
      </w:r>
      <w:r w:rsidR="00FA0094" w:rsidRPr="005945EC">
        <w:rPr>
          <w:lang w:val="en-CA"/>
        </w:rPr>
        <w:t>a</w:t>
      </w:r>
      <w:r w:rsidRPr="005945EC">
        <w:rPr>
          <w:lang w:val="en-CA"/>
        </w:rPr>
        <w:t xml:space="preserve">lliance </w:t>
      </w:r>
      <w:r w:rsidR="00FA0094" w:rsidRPr="005945EC">
        <w:rPr>
          <w:lang w:val="en-CA"/>
        </w:rPr>
        <w:t>m</w:t>
      </w:r>
      <w:r w:rsidRPr="005945EC">
        <w:rPr>
          <w:lang w:val="en-CA"/>
        </w:rPr>
        <w:t xml:space="preserve">anagement </w:t>
      </w:r>
      <w:r w:rsidR="00FA0094" w:rsidRPr="005945EC">
        <w:rPr>
          <w:lang w:val="en-CA"/>
        </w:rPr>
        <w:t>b</w:t>
      </w:r>
      <w:r w:rsidRPr="005945EC">
        <w:rPr>
          <w:lang w:val="en-CA"/>
        </w:rPr>
        <w:t>oard.</w:t>
      </w:r>
    </w:p>
    <w:p w14:paraId="1888B277" w14:textId="4ED0295A" w:rsidR="009E3D79" w:rsidRPr="005945EC" w:rsidRDefault="009E3D79" w:rsidP="00913141">
      <w:pPr>
        <w:pStyle w:val="ExhibitText"/>
        <w:numPr>
          <w:ilvl w:val="0"/>
          <w:numId w:val="17"/>
        </w:numPr>
        <w:rPr>
          <w:lang w:val="en-CA"/>
        </w:rPr>
      </w:pPr>
      <w:r w:rsidRPr="005945EC">
        <w:rPr>
          <w:lang w:val="en-CA"/>
        </w:rPr>
        <w:t xml:space="preserve">The </w:t>
      </w:r>
      <w:r w:rsidR="00FA0094" w:rsidRPr="005945EC">
        <w:rPr>
          <w:lang w:val="en-CA"/>
        </w:rPr>
        <w:t>b</w:t>
      </w:r>
      <w:r w:rsidRPr="005945EC">
        <w:rPr>
          <w:lang w:val="en-CA"/>
        </w:rPr>
        <w:t>oards are supported by various committees and expert groups.</w:t>
      </w:r>
    </w:p>
    <w:p w14:paraId="7C7D40C8" w14:textId="065A861D" w:rsidR="009E3D79" w:rsidRPr="005945EC" w:rsidRDefault="009E3D79" w:rsidP="00913141">
      <w:pPr>
        <w:pStyle w:val="ExhibitText"/>
        <w:numPr>
          <w:ilvl w:val="0"/>
          <w:numId w:val="17"/>
        </w:numPr>
        <w:rPr>
          <w:lang w:val="en-CA"/>
        </w:rPr>
      </w:pPr>
      <w:r w:rsidRPr="005945EC">
        <w:rPr>
          <w:lang w:val="en-CA"/>
        </w:rPr>
        <w:t xml:space="preserve">The </w:t>
      </w:r>
      <w:r w:rsidR="00FA0094" w:rsidRPr="005945EC">
        <w:rPr>
          <w:lang w:val="en-CA"/>
        </w:rPr>
        <w:t>a</w:t>
      </w:r>
      <w:r w:rsidRPr="005945EC">
        <w:rPr>
          <w:lang w:val="en-CA"/>
        </w:rPr>
        <w:t>lliance is managed by a management team.</w:t>
      </w:r>
    </w:p>
    <w:p w14:paraId="6C2B3376" w14:textId="77777777" w:rsidR="009E3D79" w:rsidRPr="005945EC" w:rsidRDefault="009E3D79" w:rsidP="00913141">
      <w:pPr>
        <w:pStyle w:val="ExhibitText"/>
        <w:rPr>
          <w:lang w:val="en-CA"/>
        </w:rPr>
      </w:pPr>
    </w:p>
    <w:p w14:paraId="115465D6" w14:textId="50E18C4A" w:rsidR="009E3D79" w:rsidRPr="005945EC" w:rsidRDefault="009E3D79" w:rsidP="00913141">
      <w:pPr>
        <w:pStyle w:val="Footnote"/>
        <w:rPr>
          <w:lang w:val="en-CA" w:eastAsia="zh-CN"/>
        </w:rPr>
      </w:pPr>
      <w:r w:rsidRPr="002771BE">
        <w:rPr>
          <w:spacing w:val="-6"/>
          <w:lang w:val="en-CA"/>
        </w:rPr>
        <w:t>Source:</w:t>
      </w:r>
      <w:r w:rsidR="00CF7103" w:rsidRPr="002771BE">
        <w:rPr>
          <w:spacing w:val="-6"/>
          <w:lang w:val="en-CA"/>
        </w:rPr>
        <w:t xml:space="preserve"> </w:t>
      </w:r>
      <w:r w:rsidRPr="002771BE">
        <w:rPr>
          <w:shd w:val="clear" w:color="auto" w:fill="FFFFFF"/>
          <w:lang w:val="en-CA" w:eastAsia="zh-CN"/>
        </w:rPr>
        <w:t>From</w:t>
      </w:r>
      <w:r w:rsidR="002771BE">
        <w:rPr>
          <w:shd w:val="clear" w:color="auto" w:fill="FFFFFF"/>
          <w:lang w:val="en-CA" w:eastAsia="zh-CN"/>
        </w:rPr>
        <w:t xml:space="preserve"> author’s</w:t>
      </w:r>
      <w:r w:rsidRPr="002771BE">
        <w:rPr>
          <w:shd w:val="clear" w:color="auto" w:fill="FFFFFF"/>
          <w:lang w:val="en-CA" w:eastAsia="zh-CN"/>
        </w:rPr>
        <w:t xml:space="preserve"> personal conversation with Star Alliance staff. </w:t>
      </w:r>
      <w:r w:rsidR="002771BE">
        <w:rPr>
          <w:shd w:val="clear" w:color="auto" w:fill="FFFFFF"/>
          <w:lang w:val="en-CA" w:eastAsia="zh-CN"/>
        </w:rPr>
        <w:t xml:space="preserve">Reproduced with company permission. </w:t>
      </w:r>
    </w:p>
    <w:p w14:paraId="6DD37EFB" w14:textId="43BD2362" w:rsidR="002771BE" w:rsidRDefault="002771BE">
      <w:pPr>
        <w:spacing w:after="200" w:line="276" w:lineRule="auto"/>
        <w:rPr>
          <w:rFonts w:ascii="Arial" w:hAnsi="Arial" w:cs="Arial"/>
          <w:lang w:val="en-CA"/>
        </w:rPr>
      </w:pPr>
      <w:r>
        <w:rPr>
          <w:rFonts w:ascii="Arial" w:hAnsi="Arial" w:cs="Arial"/>
          <w:lang w:val="en-CA"/>
        </w:rPr>
        <w:br w:type="page"/>
      </w:r>
    </w:p>
    <w:p w14:paraId="611A1C20" w14:textId="74D8E48D" w:rsidR="009E3D79" w:rsidRPr="005945EC" w:rsidRDefault="009E3D79" w:rsidP="00913141">
      <w:pPr>
        <w:pStyle w:val="ExhibitHeading"/>
        <w:rPr>
          <w:lang w:val="en-CA"/>
        </w:rPr>
      </w:pPr>
      <w:r w:rsidRPr="005945EC">
        <w:rPr>
          <w:lang w:val="en-CA"/>
        </w:rPr>
        <w:lastRenderedPageBreak/>
        <w:t>Exhibit 7</w:t>
      </w:r>
      <w:r w:rsidR="00913141" w:rsidRPr="005945EC">
        <w:rPr>
          <w:lang w:val="en-CA"/>
        </w:rPr>
        <w:t xml:space="preserve">: </w:t>
      </w:r>
      <w:r w:rsidRPr="005945EC">
        <w:rPr>
          <w:lang w:val="en-CA"/>
        </w:rPr>
        <w:t>Global</w:t>
      </w:r>
      <w:r w:rsidR="001A072E" w:rsidRPr="005945EC">
        <w:rPr>
          <w:lang w:val="en-CA"/>
        </w:rPr>
        <w:t xml:space="preserve"> Air Travel Passengers </w:t>
      </w:r>
      <w:r w:rsidRPr="005945EC">
        <w:rPr>
          <w:lang w:val="en-CA"/>
        </w:rPr>
        <w:t>Forecast</w:t>
      </w:r>
    </w:p>
    <w:p w14:paraId="010A6B1C" w14:textId="77777777" w:rsidR="009E3D79" w:rsidRPr="005945EC" w:rsidRDefault="009E3D79" w:rsidP="009E3D79">
      <w:pPr>
        <w:pStyle w:val="ColorfulList-Accent11"/>
        <w:ind w:left="0"/>
        <w:contextualSpacing/>
        <w:rPr>
          <w:b/>
          <w:spacing w:val="-6"/>
          <w:sz w:val="24"/>
          <w:szCs w:val="24"/>
          <w:lang w:val="en-CA"/>
        </w:rPr>
      </w:pPr>
    </w:p>
    <w:p w14:paraId="77042E4B" w14:textId="1D46FC6C" w:rsidR="001A072E" w:rsidRPr="005945EC" w:rsidRDefault="001A072E" w:rsidP="00913141">
      <w:pPr>
        <w:pStyle w:val="Casehead2"/>
        <w:rPr>
          <w:lang w:val="en-CA"/>
        </w:rPr>
      </w:pPr>
      <w:r w:rsidRPr="005945EC">
        <w:rPr>
          <w:noProof/>
          <w:lang w:val="en-CA" w:eastAsia="en-CA"/>
        </w:rPr>
        <w:drawing>
          <wp:inline distT="0" distB="0" distL="0" distR="0" wp14:anchorId="74B2A06F" wp14:editId="5814ECD4">
            <wp:extent cx="5943600" cy="3376930"/>
            <wp:effectExtent l="0" t="0" r="12700" b="13970"/>
            <wp:docPr id="6" name="Chart 6" descr="Graph showing global air travel passengers forecast">
              <a:extLst xmlns:a="http://schemas.openxmlformats.org/drawingml/2006/main">
                <a:ext uri="{FF2B5EF4-FFF2-40B4-BE49-F238E27FC236}">
                  <a16:creationId xmlns:a16="http://schemas.microsoft.com/office/drawing/2014/main" id="{CA5EF17A-D050-2A4D-91B1-8C76679A62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5472E9" w14:textId="222DE543" w:rsidR="009E3D79" w:rsidRPr="005945EC" w:rsidRDefault="009E3D79" w:rsidP="009E3D79">
      <w:pPr>
        <w:pStyle w:val="ColorfulList-Accent11"/>
        <w:ind w:left="0"/>
        <w:contextualSpacing/>
        <w:rPr>
          <w:b/>
          <w:spacing w:val="-6"/>
          <w:sz w:val="24"/>
          <w:szCs w:val="24"/>
          <w:lang w:val="en-CA"/>
        </w:rPr>
      </w:pPr>
    </w:p>
    <w:p w14:paraId="4335AAC0" w14:textId="3ADACDB6" w:rsidR="009E3D79" w:rsidRPr="005945EC" w:rsidRDefault="009E3D79" w:rsidP="00913141">
      <w:pPr>
        <w:pStyle w:val="Footnote"/>
        <w:rPr>
          <w:lang w:val="en-CA"/>
        </w:rPr>
      </w:pPr>
      <w:bookmarkStart w:id="4" w:name="OLE_LINK1"/>
      <w:r w:rsidRPr="005945EC">
        <w:rPr>
          <w:lang w:val="en-CA"/>
        </w:rPr>
        <w:t xml:space="preserve">Source: </w:t>
      </w:r>
      <w:r w:rsidR="001B20AE" w:rsidRPr="005945EC">
        <w:rPr>
          <w:lang w:val="en-CA"/>
        </w:rPr>
        <w:t>Prepared by the case authors with information from I</w:t>
      </w:r>
      <w:r w:rsidR="00921497" w:rsidRPr="005945EC">
        <w:rPr>
          <w:lang w:val="en-CA"/>
        </w:rPr>
        <w:t>ATA [I</w:t>
      </w:r>
      <w:r w:rsidR="001B20AE" w:rsidRPr="005945EC">
        <w:rPr>
          <w:lang w:val="en-CA"/>
        </w:rPr>
        <w:t>nternational Air Transport Association</w:t>
      </w:r>
      <w:r w:rsidR="00921497" w:rsidRPr="005945EC">
        <w:rPr>
          <w:lang w:val="en-CA"/>
        </w:rPr>
        <w:t>]</w:t>
      </w:r>
      <w:r w:rsidR="001B20AE" w:rsidRPr="005945EC">
        <w:rPr>
          <w:lang w:val="en-CA"/>
        </w:rPr>
        <w:t xml:space="preserve">, </w:t>
      </w:r>
      <w:bookmarkEnd w:id="4"/>
      <w:r w:rsidR="001B20AE" w:rsidRPr="005945EC">
        <w:rPr>
          <w:i/>
          <w:lang w:val="en-CA"/>
        </w:rPr>
        <w:t>Air Passenger Market Analysis</w:t>
      </w:r>
      <w:r w:rsidR="00921497" w:rsidRPr="005945EC">
        <w:rPr>
          <w:i/>
          <w:lang w:val="en-CA"/>
        </w:rPr>
        <w:t>: Domestic Air Travel Continues to Drive the Recovery in June</w:t>
      </w:r>
      <w:r w:rsidR="001B20AE" w:rsidRPr="005945EC">
        <w:rPr>
          <w:i/>
          <w:lang w:val="en-CA"/>
        </w:rPr>
        <w:t>,</w:t>
      </w:r>
      <w:r w:rsidR="001B20AE" w:rsidRPr="005945EC">
        <w:rPr>
          <w:lang w:val="en-CA"/>
        </w:rPr>
        <w:t xml:space="preserve"> </w:t>
      </w:r>
      <w:r w:rsidRPr="005945EC">
        <w:rPr>
          <w:lang w:val="en-CA"/>
        </w:rPr>
        <w:t>June 2020</w:t>
      </w:r>
      <w:r w:rsidR="001B20AE" w:rsidRPr="005945EC">
        <w:rPr>
          <w:lang w:val="en-CA"/>
        </w:rPr>
        <w:t>, accessed December 14, 2020, www.iata.org/en/iata-repository/publications/economic-reports/air-passenger-monthly-analysis---june-20202.</w:t>
      </w:r>
    </w:p>
    <w:p w14:paraId="6B414FF2" w14:textId="6B216F8E" w:rsidR="009E3D79" w:rsidRPr="005945EC" w:rsidRDefault="009E3D79" w:rsidP="009E3D79">
      <w:pPr>
        <w:spacing w:after="200" w:line="276" w:lineRule="auto"/>
        <w:rPr>
          <w:rFonts w:ascii="Arial" w:hAnsi="Arial" w:cs="Arial"/>
          <w:b/>
          <w:caps/>
          <w:lang w:val="en-CA"/>
        </w:rPr>
      </w:pPr>
      <w:r w:rsidRPr="005945EC">
        <w:rPr>
          <w:lang w:val="en-CA"/>
        </w:rPr>
        <w:br w:type="page"/>
      </w:r>
    </w:p>
    <w:p w14:paraId="124D00F8" w14:textId="39A0DCBF" w:rsidR="00E867DA" w:rsidRPr="005945EC" w:rsidRDefault="00DA335A" w:rsidP="009E3D79">
      <w:pPr>
        <w:pStyle w:val="Casehead1"/>
        <w:rPr>
          <w:lang w:val="en-CA"/>
        </w:rPr>
      </w:pPr>
      <w:r w:rsidRPr="005945EC">
        <w:rPr>
          <w:lang w:val="en-CA"/>
        </w:rPr>
        <w:lastRenderedPageBreak/>
        <w:t>Endnotes</w:t>
      </w:r>
    </w:p>
    <w:sectPr w:rsidR="00E867DA" w:rsidRPr="005945EC" w:rsidSect="00294FDD">
      <w:headerReference w:type="default" r:id="rId15"/>
      <w:endnotePr>
        <w:numFmt w:val="decimal"/>
      </w:endnotePr>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5908" w16cex:dateUtc="2021-01-25T19:49:00Z"/>
  <w16cex:commentExtensible w16cex:durableId="23B9596F" w16cex:dateUtc="2021-01-25T19:51:00Z"/>
  <w16cex:commentExtensible w16cex:durableId="23BA5B8D" w16cex:dateUtc="2021-01-26T14:12:00Z"/>
  <w16cex:commentExtensible w16cex:durableId="23B95939" w16cex:dateUtc="2021-01-25T19:50:00Z"/>
  <w16cex:commentExtensible w16cex:durableId="23B95947" w16cex:dateUtc="2021-01-25T19:50:00Z"/>
  <w16cex:commentExtensible w16cex:durableId="23BA5D93" w16cex:dateUtc="2021-01-26T14:2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F0078" w14:textId="77777777" w:rsidR="006F5464" w:rsidRDefault="006F5464" w:rsidP="00D75295">
      <w:r>
        <w:separator/>
      </w:r>
    </w:p>
  </w:endnote>
  <w:endnote w:type="continuationSeparator" w:id="0">
    <w:p w14:paraId="1CF6A6A6" w14:textId="77777777" w:rsidR="006F5464" w:rsidRDefault="006F5464" w:rsidP="00D75295">
      <w:r>
        <w:continuationSeparator/>
      </w:r>
    </w:p>
  </w:endnote>
  <w:endnote w:id="1">
    <w:p w14:paraId="6952BDBE" w14:textId="1F29A4B0" w:rsidR="006F5464" w:rsidRPr="00C6167C" w:rsidRDefault="006F5464" w:rsidP="00E867DA">
      <w:pPr>
        <w:pStyle w:val="Footnote"/>
      </w:pPr>
      <w:r w:rsidRPr="00C6167C">
        <w:rPr>
          <w:rStyle w:val="EndnoteReference"/>
        </w:rPr>
        <w:endnoteRef/>
      </w:r>
      <w:r w:rsidRPr="00C6167C">
        <w:t xml:space="preserve"> This case study has been written on the basis of published sources only. Consequently, the interpretation and perspectives presented in this case are not necessarily those of Star Alliance or any of its employees. This case study revises the 2000 Brandeis University case by Sarah Marchand, </w:t>
      </w:r>
      <w:r w:rsidRPr="00C6167C">
        <w:rPr>
          <w:i/>
        </w:rPr>
        <w:t>Star Alliance, 2000</w:t>
      </w:r>
      <w:r>
        <w:t xml:space="preserve">, Brandeis University: International Business School, February 23, 2004, accessed December 14, 2020, </w:t>
      </w:r>
      <w:r w:rsidRPr="00C6167C">
        <w:t xml:space="preserve">https://alliancestrategy.com/wp-content/uploads/BGC-Star-IBSCase04.pdf. The separate publication, </w:t>
      </w:r>
      <w:r w:rsidRPr="00507B2E">
        <w:rPr>
          <w:i/>
        </w:rPr>
        <w:t>Note on the Global Airline Industry in 2020</w:t>
      </w:r>
      <w:r w:rsidRPr="00C6167C">
        <w:t>, is intended to be taught in conjunction with this case study and serves as additional background.</w:t>
      </w:r>
    </w:p>
  </w:endnote>
  <w:endnote w:id="2">
    <w:p w14:paraId="7593CF33" w14:textId="3B08EE56" w:rsidR="006F5464" w:rsidRPr="00C6167C" w:rsidRDefault="006F5464" w:rsidP="00E867DA">
      <w:pPr>
        <w:pStyle w:val="Footnote"/>
      </w:pPr>
      <w:r w:rsidRPr="00C6167C">
        <w:rPr>
          <w:rStyle w:val="EndnoteReference"/>
        </w:rPr>
        <w:endnoteRef/>
      </w:r>
      <w:r w:rsidRPr="00C6167C">
        <w:t xml:space="preserve"> “About Star Alliance: Star Alliance Leads the Way,” Star Alliance, accessed November 15, 2020, www.staralliance.com/en/about.</w:t>
      </w:r>
    </w:p>
  </w:endnote>
  <w:endnote w:id="3">
    <w:p w14:paraId="4280DAA7" w14:textId="1997B325" w:rsidR="006F5464" w:rsidRPr="00C6167C" w:rsidRDefault="006F5464" w:rsidP="00E867DA">
      <w:pPr>
        <w:pStyle w:val="Footnote"/>
      </w:pPr>
      <w:r w:rsidRPr="00C6167C">
        <w:rPr>
          <w:rStyle w:val="EndnoteReference"/>
        </w:rPr>
        <w:endnoteRef/>
      </w:r>
      <w:r w:rsidRPr="00C6167C">
        <w:t xml:space="preserve"> “Deregulation: A Watershed Event,” Smithsonian National Air and Space Museum, accessed November 15, 2020, https://airandspace.si.edu/exhibitions/america-by-air/online/jetage/jetage08.cfm.</w:t>
      </w:r>
    </w:p>
  </w:endnote>
  <w:endnote w:id="4">
    <w:p w14:paraId="74107084" w14:textId="4A938C5F" w:rsidR="006F5464" w:rsidRPr="00C6167C" w:rsidRDefault="006F5464" w:rsidP="007770AA">
      <w:pPr>
        <w:pStyle w:val="Footnote"/>
      </w:pPr>
      <w:r w:rsidRPr="00C6167C">
        <w:rPr>
          <w:rStyle w:val="EndnoteReference"/>
        </w:rPr>
        <w:endnoteRef/>
      </w:r>
      <w:r w:rsidRPr="00C6167C">
        <w:t xml:space="preserve"> A relevant definition and discussion of constellation as a form of multi-organizational network</w:t>
      </w:r>
      <w:r>
        <w:t>s</w:t>
      </w:r>
      <w:r w:rsidRPr="00C6167C">
        <w:t xml:space="preserve"> is featured in Benjamin Gomes-Casseres, </w:t>
      </w:r>
      <w:r w:rsidRPr="00C6167C">
        <w:rPr>
          <w:i/>
          <w:iCs/>
        </w:rPr>
        <w:t>Remix Strategy: The Three Laws of Business Combination</w:t>
      </w:r>
      <w:r w:rsidRPr="00C6167C">
        <w:t xml:space="preserve"> (Boston, MA: Harvard Business Review Press, 2015), 89–93.</w:t>
      </w:r>
    </w:p>
  </w:endnote>
  <w:endnote w:id="5">
    <w:p w14:paraId="64510DB6" w14:textId="0AEF6A21" w:rsidR="006F5464" w:rsidRPr="00C6167C" w:rsidRDefault="006F5464" w:rsidP="00E867DA">
      <w:pPr>
        <w:pStyle w:val="Footnote"/>
      </w:pPr>
      <w:r w:rsidRPr="00C6167C">
        <w:rPr>
          <w:rStyle w:val="EndnoteReference"/>
        </w:rPr>
        <w:endnoteRef/>
      </w:r>
      <w:r w:rsidRPr="00C6167C">
        <w:t xml:space="preserve"> Chris McGinnis. “A Guide to Global Airline Alliances,” BBC Travel, accessed November 16, 2020, www.bbc.com/travel/story/20111130-a-guide-to-global-airline-alliances.</w:t>
      </w:r>
    </w:p>
  </w:endnote>
  <w:endnote w:id="6">
    <w:p w14:paraId="3B8995F1" w14:textId="2A5E2448" w:rsidR="006F5464" w:rsidRPr="00C6167C" w:rsidRDefault="006F5464" w:rsidP="00E867DA">
      <w:pPr>
        <w:pStyle w:val="Footnote"/>
      </w:pPr>
      <w:r w:rsidRPr="00C6167C">
        <w:rPr>
          <w:rStyle w:val="EndnoteReference"/>
        </w:rPr>
        <w:endnoteRef/>
      </w:r>
      <w:r w:rsidRPr="00C6167C">
        <w:t xml:space="preserve"> Bruce McDonald “Antitrust for Airlines,” The United States Department of Justice, July 3, 2005, transcript of remarks, accessed December 14, 2020, www.justice.gov/atr/speech/antitrust-airlines. </w:t>
      </w:r>
    </w:p>
  </w:endnote>
  <w:endnote w:id="7">
    <w:p w14:paraId="284A1B2A" w14:textId="1AFEF71C" w:rsidR="006F5464" w:rsidRPr="00C6167C" w:rsidRDefault="006F5464" w:rsidP="00E867DA">
      <w:pPr>
        <w:pStyle w:val="Footnote"/>
      </w:pPr>
      <w:r w:rsidRPr="00C6167C">
        <w:rPr>
          <w:rStyle w:val="EndnoteReference"/>
        </w:rPr>
        <w:endnoteRef/>
      </w:r>
      <w:r w:rsidRPr="00C6167C">
        <w:t xml:space="preserve"> Graham Dunn and Linda Moore, “Alliances, Codeshares and Beyond,” </w:t>
      </w:r>
      <w:r w:rsidRPr="00C6167C">
        <w:rPr>
          <w:i/>
        </w:rPr>
        <w:t xml:space="preserve">Airlines Business </w:t>
      </w:r>
      <w:r w:rsidRPr="00C6167C">
        <w:t xml:space="preserve">32, no. 7 (2016). </w:t>
      </w:r>
    </w:p>
  </w:endnote>
  <w:endnote w:id="8">
    <w:p w14:paraId="3E00E137" w14:textId="58BDC9F8" w:rsidR="006F5464" w:rsidRPr="00C6167C" w:rsidRDefault="006F5464" w:rsidP="00E867DA">
      <w:pPr>
        <w:pStyle w:val="Footnote"/>
      </w:pPr>
      <w:r w:rsidRPr="00C6167C">
        <w:rPr>
          <w:rStyle w:val="EndnoteReference"/>
        </w:rPr>
        <w:endnoteRef/>
      </w:r>
      <w:r w:rsidRPr="00C6167C">
        <w:t xml:space="preserve"> McGinnis, op. cit. </w:t>
      </w:r>
    </w:p>
  </w:endnote>
  <w:endnote w:id="9">
    <w:p w14:paraId="42CCD558" w14:textId="28AED25F" w:rsidR="006F5464" w:rsidRPr="00C6167C" w:rsidRDefault="006F5464" w:rsidP="00E867DA">
      <w:pPr>
        <w:pStyle w:val="Footnote"/>
      </w:pPr>
      <w:r w:rsidRPr="00C6167C">
        <w:rPr>
          <w:rStyle w:val="EndnoteReference"/>
        </w:rPr>
        <w:endnoteRef/>
      </w:r>
      <w:r w:rsidRPr="00C6167C">
        <w:t xml:space="preserve"> Graham Dunn, “ANALYSIS: The 20-Year History of Global Airline Alliances,” </w:t>
      </w:r>
      <w:r w:rsidRPr="00507B2E">
        <w:t>FlightGlobal,</w:t>
      </w:r>
      <w:r w:rsidRPr="00C6167C">
        <w:t xml:space="preserve"> May 15, 2017, accessed December 14, 2020, www.flightglobal.com/analysis/analysis-the-20-year-history-of-global-airline-alliances/123979.article.</w:t>
      </w:r>
    </w:p>
  </w:endnote>
  <w:endnote w:id="10">
    <w:p w14:paraId="47216D0E" w14:textId="32AC3CAE" w:rsidR="006F5464" w:rsidRPr="00C6167C" w:rsidRDefault="006F5464" w:rsidP="00E867DA">
      <w:pPr>
        <w:pStyle w:val="Footnote"/>
      </w:pPr>
      <w:r w:rsidRPr="00C6167C">
        <w:rPr>
          <w:rStyle w:val="EndnoteReference"/>
        </w:rPr>
        <w:endnoteRef/>
      </w:r>
      <w:r w:rsidRPr="00C6167C">
        <w:t xml:space="preserve"> Mihiro Sasaki</w:t>
      </w:r>
      <w:r>
        <w:t>,</w:t>
      </w:r>
      <w:r w:rsidRPr="00C6167C">
        <w:t xml:space="preserve"> Atsuo Suzuki, and Zvi Drezner, “On the Selection of Hub Airports for an Airline Hub-and-Spoke System,” </w:t>
      </w:r>
      <w:r w:rsidRPr="00507B2E">
        <w:rPr>
          <w:i/>
        </w:rPr>
        <w:t>Computers and Operations Research</w:t>
      </w:r>
      <w:r w:rsidRPr="00C6167C">
        <w:t xml:space="preserve"> 26, no. 14 (1999): 1411–1422. </w:t>
      </w:r>
    </w:p>
  </w:endnote>
  <w:endnote w:id="11">
    <w:p w14:paraId="686194FD" w14:textId="38373C3B" w:rsidR="006F5464" w:rsidRPr="00C6167C" w:rsidRDefault="006F5464" w:rsidP="00E867DA">
      <w:pPr>
        <w:pStyle w:val="Footnote"/>
      </w:pPr>
      <w:r w:rsidRPr="00C6167C">
        <w:rPr>
          <w:rStyle w:val="EndnoteReference"/>
        </w:rPr>
        <w:endnoteRef/>
      </w:r>
      <w:r w:rsidRPr="00C6167C">
        <w:t xml:space="preserve"> “About Connecting Partners,” Star Alliance, accessed November 14, 2020, www.staralliance.com/en/cp-overview.</w:t>
      </w:r>
    </w:p>
  </w:endnote>
  <w:endnote w:id="12">
    <w:p w14:paraId="61A4CB6C" w14:textId="66FE7295" w:rsidR="006F5464" w:rsidRPr="00C6167C" w:rsidRDefault="006F5464">
      <w:pPr>
        <w:pStyle w:val="EndnoteText"/>
        <w:rPr>
          <w:rFonts w:ascii="Arial" w:hAnsi="Arial" w:cs="Arial"/>
          <w:sz w:val="17"/>
          <w:szCs w:val="17"/>
          <w:lang w:val="en-CA"/>
        </w:rPr>
      </w:pPr>
      <w:r w:rsidRPr="00C6167C">
        <w:rPr>
          <w:rStyle w:val="EndnoteReference"/>
          <w:rFonts w:ascii="Arial" w:hAnsi="Arial" w:cs="Arial"/>
          <w:sz w:val="17"/>
          <w:szCs w:val="17"/>
        </w:rPr>
        <w:endnoteRef/>
      </w:r>
      <w:r w:rsidRPr="00C6167C">
        <w:rPr>
          <w:rFonts w:ascii="Arial" w:hAnsi="Arial" w:cs="Arial"/>
          <w:sz w:val="17"/>
          <w:szCs w:val="17"/>
        </w:rPr>
        <w:t xml:space="preserve"> </w:t>
      </w:r>
      <w:r w:rsidRPr="00C6167C">
        <w:rPr>
          <w:rFonts w:ascii="Arial" w:hAnsi="Arial" w:cs="Arial"/>
          <w:sz w:val="17"/>
          <w:szCs w:val="17"/>
          <w:lang w:val="en-CA"/>
        </w:rPr>
        <w:t>All currency amounts are in US$ unless otherwise specified.</w:t>
      </w:r>
    </w:p>
  </w:endnote>
  <w:endnote w:id="13">
    <w:p w14:paraId="029DA520" w14:textId="3B519AC1" w:rsidR="006F5464" w:rsidRPr="00C6167C" w:rsidRDefault="006F5464" w:rsidP="00E867DA">
      <w:pPr>
        <w:pStyle w:val="Footnote"/>
      </w:pPr>
      <w:r w:rsidRPr="00C6167C">
        <w:rPr>
          <w:rStyle w:val="EndnoteReference"/>
        </w:rPr>
        <w:endnoteRef/>
      </w:r>
      <w:r w:rsidRPr="00C6167C">
        <w:t xml:space="preserve"> “About Star Alliance</w:t>
      </w:r>
      <w:r>
        <w:t>,</w:t>
      </w:r>
      <w:r w:rsidRPr="00C6167C">
        <w:t xml:space="preserve">” op. cit. </w:t>
      </w:r>
    </w:p>
  </w:endnote>
  <w:endnote w:id="14">
    <w:p w14:paraId="6569C8D6" w14:textId="44AAA6CB" w:rsidR="006F5464" w:rsidRPr="00C6167C" w:rsidRDefault="006F5464" w:rsidP="00E867DA">
      <w:pPr>
        <w:pStyle w:val="Footnote"/>
      </w:pPr>
      <w:r w:rsidRPr="00C6167C">
        <w:rPr>
          <w:rStyle w:val="EndnoteReference"/>
        </w:rPr>
        <w:endnoteRef/>
      </w:r>
      <w:r w:rsidRPr="00C6167C">
        <w:t xml:space="preserve"> </w:t>
      </w:r>
      <w:r w:rsidRPr="00E31ACF">
        <w:rPr>
          <w:lang w:val="en-GB"/>
        </w:rPr>
        <w:t>FlightGlobal, “Airline Alliance Survey</w:t>
      </w:r>
      <w:r>
        <w:rPr>
          <w:lang w:val="en-GB"/>
        </w:rPr>
        <w:t>,”</w:t>
      </w:r>
      <w:r w:rsidRPr="00E31ACF">
        <w:rPr>
          <w:lang w:val="en-GB"/>
        </w:rPr>
        <w:t xml:space="preserve"> </w:t>
      </w:r>
      <w:r w:rsidRPr="006A4C11">
        <w:rPr>
          <w:i/>
        </w:rPr>
        <w:t>Airline Business</w:t>
      </w:r>
      <w:r w:rsidRPr="006A4C11">
        <w:t>, June, 1999</w:t>
      </w:r>
      <w:r w:rsidRPr="006A4C11">
        <w:rPr>
          <w:lang w:val="en-GB"/>
        </w:rPr>
        <w:t>.</w:t>
      </w:r>
      <w:r>
        <w:rPr>
          <w:lang w:val="en-GB"/>
        </w:rPr>
        <w:t xml:space="preserve"> </w:t>
      </w:r>
    </w:p>
  </w:endnote>
  <w:endnote w:id="15">
    <w:p w14:paraId="5C18BE61" w14:textId="645FF34F" w:rsidR="006F5464" w:rsidRPr="00C6167C" w:rsidRDefault="006F5464" w:rsidP="00246A77">
      <w:pPr>
        <w:pStyle w:val="Footnote"/>
      </w:pPr>
      <w:r w:rsidRPr="00C6167C">
        <w:rPr>
          <w:rStyle w:val="EndnoteReference"/>
        </w:rPr>
        <w:endnoteRef/>
      </w:r>
      <w:r w:rsidRPr="00C6167C">
        <w:t xml:space="preserve"> </w:t>
      </w:r>
      <w:r w:rsidRPr="003053FF">
        <w:t>Chris Jasper</w:t>
      </w:r>
      <w:r>
        <w:t xml:space="preserve">, </w:t>
      </w:r>
      <w:r w:rsidRPr="00C6167C">
        <w:t>“Rising Star</w:t>
      </w:r>
      <w:r>
        <w:t>,</w:t>
      </w:r>
      <w:r w:rsidRPr="00C6167C">
        <w:t>” FlightGlobal</w:t>
      </w:r>
      <w:r>
        <w:t xml:space="preserve">, </w:t>
      </w:r>
      <w:r w:rsidRPr="003053FF">
        <w:t>May</w:t>
      </w:r>
      <w:r>
        <w:t xml:space="preserve"> 18,</w:t>
      </w:r>
      <w:r w:rsidRPr="003053FF">
        <w:t xml:space="preserve"> 1999</w:t>
      </w:r>
      <w:r>
        <w:t>, a</w:t>
      </w:r>
      <w:r w:rsidRPr="00C6167C">
        <w:t>ccessed November 16, 2020</w:t>
      </w:r>
      <w:r>
        <w:t xml:space="preserve">, </w:t>
      </w:r>
      <w:r w:rsidRPr="00C6167C">
        <w:t>www.flightglobal.com/rising-star/26260.article</w:t>
      </w:r>
      <w:r>
        <w:t>.</w:t>
      </w:r>
    </w:p>
  </w:endnote>
  <w:endnote w:id="16">
    <w:p w14:paraId="186B1184" w14:textId="61CD9AED" w:rsidR="006F5464" w:rsidRPr="00C6167C" w:rsidRDefault="006F5464" w:rsidP="00E867DA">
      <w:pPr>
        <w:pStyle w:val="Footnote"/>
      </w:pPr>
      <w:r w:rsidRPr="00C6167C">
        <w:rPr>
          <w:rStyle w:val="EndnoteReference"/>
        </w:rPr>
        <w:endnoteRef/>
      </w:r>
      <w:r w:rsidRPr="00C6167C">
        <w:t xml:space="preserve"> “We </w:t>
      </w:r>
      <w:r>
        <w:t>M</w:t>
      </w:r>
      <w:r w:rsidRPr="00C6167C">
        <w:t xml:space="preserve">ove under </w:t>
      </w:r>
      <w:r>
        <w:t>O</w:t>
      </w:r>
      <w:r w:rsidRPr="00C6167C">
        <w:t xml:space="preserve">ne </w:t>
      </w:r>
      <w:r>
        <w:t>R</w:t>
      </w:r>
      <w:r w:rsidRPr="00C6167C">
        <w:t xml:space="preserve">oof, so </w:t>
      </w:r>
      <w:r>
        <w:t>Y</w:t>
      </w:r>
      <w:r w:rsidRPr="00C6167C">
        <w:t xml:space="preserve">ou </w:t>
      </w:r>
      <w:r>
        <w:t>M</w:t>
      </w:r>
      <w:r w:rsidRPr="00C6167C">
        <w:t xml:space="preserve">ove </w:t>
      </w:r>
      <w:r>
        <w:t>L</w:t>
      </w:r>
      <w:r w:rsidRPr="00C6167C">
        <w:t>ess</w:t>
      </w:r>
      <w:r>
        <w:t>,</w:t>
      </w:r>
      <w:r w:rsidRPr="00C6167C">
        <w:t>” Star Alliance</w:t>
      </w:r>
      <w:r>
        <w:t>, a</w:t>
      </w:r>
      <w:r w:rsidRPr="00C6167C">
        <w:t>ccessed November 15, 2020</w:t>
      </w:r>
      <w:r>
        <w:t>,</w:t>
      </w:r>
      <w:r w:rsidRPr="00C6167C">
        <w:t xml:space="preserve"> www.staralliance.com/en/connectingyou</w:t>
      </w:r>
      <w:r>
        <w:t>.</w:t>
      </w:r>
    </w:p>
  </w:endnote>
  <w:endnote w:id="17">
    <w:p w14:paraId="5E8BB4CA" w14:textId="7E295BB3" w:rsidR="006F5464" w:rsidRPr="00C6167C" w:rsidRDefault="006F5464" w:rsidP="00E867DA">
      <w:pPr>
        <w:pStyle w:val="Footnote"/>
      </w:pPr>
      <w:r w:rsidRPr="00C6167C">
        <w:rPr>
          <w:rStyle w:val="EndnoteReference"/>
        </w:rPr>
        <w:endnoteRef/>
      </w:r>
      <w:r w:rsidRPr="00C6167C">
        <w:t xml:space="preserve"> Dunn, op. cit.</w:t>
      </w:r>
    </w:p>
  </w:endnote>
  <w:endnote w:id="18">
    <w:p w14:paraId="30A3A04C" w14:textId="157D2567" w:rsidR="006F5464" w:rsidRPr="00C6167C" w:rsidRDefault="006F5464" w:rsidP="00E867DA">
      <w:pPr>
        <w:pStyle w:val="Footnote"/>
      </w:pPr>
      <w:r w:rsidRPr="00C6167C">
        <w:rPr>
          <w:rStyle w:val="EndnoteReference"/>
        </w:rPr>
        <w:endnoteRef/>
      </w:r>
      <w:r w:rsidRPr="00C6167C">
        <w:t xml:space="preserve"> “Star Alliance Connection Service</w:t>
      </w:r>
      <w:r>
        <w:t>,</w:t>
      </w:r>
      <w:r w:rsidRPr="00C6167C">
        <w:t>” Star Alliance</w:t>
      </w:r>
      <w:r>
        <w:t xml:space="preserve">, </w:t>
      </w:r>
      <w:r w:rsidRPr="00C6167C">
        <w:t>2020</w:t>
      </w:r>
      <w:r>
        <w:t>, a</w:t>
      </w:r>
      <w:r w:rsidRPr="00C6167C">
        <w:t>ccessed November 15, 2020. www.staralliance.com/en/connection-service</w:t>
      </w:r>
    </w:p>
  </w:endnote>
  <w:endnote w:id="19">
    <w:p w14:paraId="247F3472" w14:textId="7DA69A64" w:rsidR="006F5464" w:rsidRPr="00C6167C" w:rsidRDefault="006F5464" w:rsidP="00774B93">
      <w:pPr>
        <w:pStyle w:val="Footnote"/>
      </w:pPr>
      <w:r w:rsidRPr="00C6167C">
        <w:rPr>
          <w:rStyle w:val="EndnoteReference"/>
        </w:rPr>
        <w:endnoteRef/>
      </w:r>
      <w:r w:rsidRPr="00C6167C">
        <w:t xml:space="preserve"> “Frequent Flyers</w:t>
      </w:r>
      <w:r>
        <w:t>,</w:t>
      </w:r>
      <w:r w:rsidRPr="00C6167C">
        <w:t>” Star Alliance</w:t>
      </w:r>
      <w:r>
        <w:t>, a</w:t>
      </w:r>
      <w:r w:rsidRPr="00C6167C">
        <w:t>ccessed November 16, 2020</w:t>
      </w:r>
      <w:r>
        <w:t xml:space="preserve">, </w:t>
      </w:r>
      <w:r w:rsidRPr="00C6167C">
        <w:t>www.staralliance.com/en/frequent-flyers</w:t>
      </w:r>
      <w:r>
        <w:t>.</w:t>
      </w:r>
    </w:p>
  </w:endnote>
  <w:endnote w:id="20">
    <w:p w14:paraId="15219D7F" w14:textId="129464E8" w:rsidR="006F5464" w:rsidRPr="00C6167C" w:rsidRDefault="006F5464" w:rsidP="006641CB">
      <w:pPr>
        <w:pStyle w:val="Footnote"/>
      </w:pPr>
      <w:r w:rsidRPr="00C6167C">
        <w:rPr>
          <w:rStyle w:val="EndnoteReference"/>
        </w:rPr>
        <w:endnoteRef/>
      </w:r>
      <w:r w:rsidRPr="00C6167C">
        <w:t xml:space="preserve"> Ibid.</w:t>
      </w:r>
    </w:p>
  </w:endnote>
  <w:endnote w:id="21">
    <w:p w14:paraId="392490E7" w14:textId="4C5AA6C8" w:rsidR="006F5464" w:rsidRPr="00C6167C" w:rsidRDefault="006F5464" w:rsidP="006641CB">
      <w:pPr>
        <w:pStyle w:val="Footnote"/>
      </w:pPr>
      <w:r w:rsidRPr="00C6167C">
        <w:rPr>
          <w:rStyle w:val="EndnoteReference"/>
        </w:rPr>
        <w:endnoteRef/>
      </w:r>
      <w:r w:rsidRPr="00C6167C">
        <w:t xml:space="preserve"> Ibid</w:t>
      </w:r>
      <w:r>
        <w:t>.</w:t>
      </w:r>
    </w:p>
  </w:endnote>
  <w:endnote w:id="22">
    <w:p w14:paraId="65572734" w14:textId="6ED8505F" w:rsidR="006F5464" w:rsidRPr="00C6167C" w:rsidRDefault="006F5464" w:rsidP="00E867DA">
      <w:pPr>
        <w:pStyle w:val="Footnote"/>
      </w:pPr>
      <w:r w:rsidRPr="00C6167C">
        <w:rPr>
          <w:rStyle w:val="EndnoteReference"/>
        </w:rPr>
        <w:endnoteRef/>
      </w:r>
      <w:r w:rsidRPr="00C6167C">
        <w:t xml:space="preserve"> </w:t>
      </w:r>
      <w:r>
        <w:t xml:space="preserve">Ben </w:t>
      </w:r>
      <w:r w:rsidRPr="00C6167C">
        <w:t xml:space="preserve">Schlappig, </w:t>
      </w:r>
      <w:r>
        <w:t>“</w:t>
      </w:r>
      <w:r w:rsidRPr="00C6167C">
        <w:t>Interline Agreements Vs. Codeshare Agreements Vs. Alliances Vs. Joint Ventures</w:t>
      </w:r>
      <w:r>
        <w:t>,”</w:t>
      </w:r>
      <w:r w:rsidRPr="00C6167C">
        <w:t xml:space="preserve"> </w:t>
      </w:r>
      <w:r w:rsidRPr="00507B2E">
        <w:t>One Mile at a Time</w:t>
      </w:r>
      <w:r>
        <w:t xml:space="preserve">, October 12, 2017, </w:t>
      </w:r>
      <w:r w:rsidRPr="00C6167C">
        <w:t>accessed December 14, 2020,</w:t>
      </w:r>
      <w:r>
        <w:t xml:space="preserve"> </w:t>
      </w:r>
      <w:r w:rsidRPr="00FD2A98">
        <w:t>https://onemileatatime.com/interline-codeshare-alliances-joint-ventures</w:t>
      </w:r>
      <w:r>
        <w:t>.</w:t>
      </w:r>
    </w:p>
  </w:endnote>
  <w:endnote w:id="23">
    <w:p w14:paraId="5B87E263" w14:textId="507044AD" w:rsidR="006F5464" w:rsidRPr="00C6167C" w:rsidRDefault="006F5464" w:rsidP="00E867DA">
      <w:pPr>
        <w:pStyle w:val="Footnote"/>
      </w:pPr>
      <w:r w:rsidRPr="00C6167C">
        <w:rPr>
          <w:rStyle w:val="EndnoteReference"/>
        </w:rPr>
        <w:endnoteRef/>
      </w:r>
      <w:r w:rsidRPr="00C6167C">
        <w:t xml:space="preserve"> Max Kingsley-Jones, “ANALYSIS: Why Etihad's James Hogan Is Empire Building,” October 21, 2013, accessed December 14, 2020, www.flightglobal.com/analysis-why-etihads-james-hogan-is-empire-building/111357.article.</w:t>
      </w:r>
    </w:p>
  </w:endnote>
  <w:endnote w:id="24">
    <w:p w14:paraId="32618304" w14:textId="0FA977CF" w:rsidR="006F5464" w:rsidRPr="00507B2E" w:rsidRDefault="006F5464">
      <w:pPr>
        <w:pStyle w:val="EndnoteText"/>
        <w:rPr>
          <w:rFonts w:ascii="Arial" w:hAnsi="Arial" w:cs="Arial"/>
          <w:sz w:val="17"/>
          <w:szCs w:val="17"/>
          <w:lang w:val="en-CA"/>
        </w:rPr>
      </w:pPr>
      <w:r w:rsidRPr="00C6167C">
        <w:rPr>
          <w:rStyle w:val="EndnoteReference"/>
          <w:rFonts w:ascii="Arial" w:hAnsi="Arial" w:cs="Arial"/>
          <w:sz w:val="17"/>
          <w:szCs w:val="17"/>
        </w:rPr>
        <w:endnoteRef/>
      </w:r>
      <w:r>
        <w:rPr>
          <w:rFonts w:ascii="Arial" w:hAnsi="Arial" w:cs="Arial"/>
          <w:sz w:val="17"/>
          <w:szCs w:val="17"/>
          <w:lang w:val="en-US"/>
        </w:rPr>
        <w:t xml:space="preserve"> FlightGlobal, “Airline Alliance Survey”, </w:t>
      </w:r>
      <w:r w:rsidRPr="00E31ACF">
        <w:rPr>
          <w:rFonts w:ascii="Arial" w:hAnsi="Arial" w:cs="Arial"/>
          <w:i/>
          <w:iCs/>
          <w:sz w:val="17"/>
          <w:szCs w:val="17"/>
          <w:lang w:val="en-US"/>
        </w:rPr>
        <w:t>Airline Business</w:t>
      </w:r>
      <w:r>
        <w:rPr>
          <w:rFonts w:ascii="Arial" w:hAnsi="Arial" w:cs="Arial"/>
          <w:sz w:val="17"/>
          <w:szCs w:val="17"/>
          <w:lang w:val="en-US"/>
        </w:rPr>
        <w:t xml:space="preserve">, 2012. </w:t>
      </w:r>
    </w:p>
  </w:endnote>
  <w:endnote w:id="25">
    <w:p w14:paraId="0704CA68" w14:textId="44EED360" w:rsidR="006F5464" w:rsidRPr="00C6167C" w:rsidRDefault="006F5464" w:rsidP="00E867DA">
      <w:pPr>
        <w:pStyle w:val="Footnote"/>
      </w:pPr>
      <w:r w:rsidRPr="00C6167C">
        <w:rPr>
          <w:rStyle w:val="EndnoteReference"/>
        </w:rPr>
        <w:endnoteRef/>
      </w:r>
      <w:r w:rsidRPr="00C6167C">
        <w:t xml:space="preserve"> </w:t>
      </w:r>
      <w:r w:rsidRPr="00E31ACF">
        <w:rPr>
          <w:lang w:val="en-GB"/>
        </w:rPr>
        <w:t xml:space="preserve">FlightGlobal, </w:t>
      </w:r>
      <w:r w:rsidRPr="006A4C11">
        <w:t>“Airline Alliance Survey”</w:t>
      </w:r>
      <w:r>
        <w:t>,</w:t>
      </w:r>
      <w:r w:rsidRPr="006A4C11">
        <w:t xml:space="preserve"> </w:t>
      </w:r>
      <w:r w:rsidRPr="006A4C11">
        <w:rPr>
          <w:i/>
        </w:rPr>
        <w:t>Airline Business</w:t>
      </w:r>
      <w:r w:rsidRPr="006A4C11">
        <w:t xml:space="preserve">, </w:t>
      </w:r>
      <w:r w:rsidRPr="00E31ACF">
        <w:t xml:space="preserve">2018. </w:t>
      </w:r>
    </w:p>
  </w:endnote>
  <w:endnote w:id="26">
    <w:p w14:paraId="5DD5B479" w14:textId="10A1E0CD" w:rsidR="006F5464" w:rsidRPr="00C6167C" w:rsidRDefault="006F5464" w:rsidP="00E867DA">
      <w:pPr>
        <w:pStyle w:val="Footnote"/>
      </w:pPr>
      <w:r w:rsidRPr="00C6167C">
        <w:rPr>
          <w:rStyle w:val="EndnoteReference"/>
        </w:rPr>
        <w:endnoteRef/>
      </w:r>
      <w:r w:rsidRPr="00C6167C">
        <w:t xml:space="preserve"> </w:t>
      </w:r>
      <w:r w:rsidRPr="00B13534">
        <w:t xml:space="preserve">William </w:t>
      </w:r>
      <w:r w:rsidRPr="00C6167C">
        <w:t>Gillespie</w:t>
      </w:r>
      <w:r w:rsidRPr="00B13534">
        <w:t xml:space="preserve"> and Oliver M. Richard</w:t>
      </w:r>
      <w:r>
        <w:t>,</w:t>
      </w:r>
      <w:r w:rsidRPr="00C6167C">
        <w:t xml:space="preserve"> </w:t>
      </w:r>
      <w:r w:rsidRPr="00507B2E">
        <w:rPr>
          <w:i/>
        </w:rPr>
        <w:t>Antitrust Immunity and International Airline Alliances</w:t>
      </w:r>
      <w:r>
        <w:t>,</w:t>
      </w:r>
      <w:r w:rsidRPr="00C6167C">
        <w:t xml:space="preserve"> </w:t>
      </w:r>
      <w:r>
        <w:t xml:space="preserve">The </w:t>
      </w:r>
      <w:r w:rsidRPr="00507B2E">
        <w:t>United States Department of Justice</w:t>
      </w:r>
      <w:r>
        <w:t xml:space="preserve">, </w:t>
      </w:r>
      <w:r w:rsidRPr="00B13534">
        <w:t xml:space="preserve">economic analysis group discussion paper, </w:t>
      </w:r>
      <w:r>
        <w:t xml:space="preserve">February 1, 2011, </w:t>
      </w:r>
      <w:r w:rsidRPr="00B13534">
        <w:t xml:space="preserve">accessed December </w:t>
      </w:r>
      <w:r>
        <w:t>14</w:t>
      </w:r>
      <w:r w:rsidRPr="00B13534">
        <w:t>, 2020, www.justice.gov/atr/antitrust-immunity-and-international-airline-alliances</w:t>
      </w:r>
      <w:r>
        <w:t>.</w:t>
      </w:r>
    </w:p>
  </w:endnote>
  <w:endnote w:id="27">
    <w:p w14:paraId="6A7964BD" w14:textId="4CBD22D1" w:rsidR="006F5464" w:rsidRPr="00507B2E" w:rsidRDefault="006F5464" w:rsidP="00E867DA">
      <w:pPr>
        <w:pStyle w:val="Footnote"/>
        <w:rPr>
          <w:rStyle w:val="EndnoteReference"/>
        </w:rPr>
      </w:pPr>
      <w:r w:rsidRPr="00C6167C">
        <w:rPr>
          <w:rStyle w:val="EndnoteReference"/>
        </w:rPr>
        <w:endnoteRef/>
      </w:r>
      <w:r w:rsidRPr="00C6167C">
        <w:t xml:space="preserve"> </w:t>
      </w:r>
      <w:r>
        <w:t xml:space="preserve">Ben </w:t>
      </w:r>
      <w:r w:rsidRPr="00C6167C">
        <w:t xml:space="preserve">Schlappig, </w:t>
      </w:r>
      <w:r>
        <w:t>“</w:t>
      </w:r>
      <w:r w:rsidRPr="00C6167C">
        <w:t>Is Delta Air Lines’ Global Strategy Backfiring?</w:t>
      </w:r>
      <w:r>
        <w:t>”</w:t>
      </w:r>
      <w:r w:rsidRPr="00B13534">
        <w:t xml:space="preserve"> </w:t>
      </w:r>
      <w:r w:rsidRPr="00507B2E">
        <w:t>One Mile at a Time</w:t>
      </w:r>
      <w:r>
        <w:t xml:space="preserve">, April 2, 2020, </w:t>
      </w:r>
      <w:r w:rsidRPr="00B13534">
        <w:t xml:space="preserve">accessed December </w:t>
      </w:r>
      <w:r>
        <w:t>14</w:t>
      </w:r>
      <w:r w:rsidRPr="00B13534">
        <w:t>, 2020,</w:t>
      </w:r>
      <w:r>
        <w:t xml:space="preserve"> </w:t>
      </w:r>
      <w:r w:rsidRPr="00B13534">
        <w:t>https://onemileatatime.com/delta-air-lines-global-strategy-backfiring</w:t>
      </w:r>
      <w:r>
        <w:t>.</w:t>
      </w:r>
      <w:r w:rsidRPr="00507B2E">
        <w:rPr>
          <w:rStyle w:val="EndnoteReference"/>
        </w:rPr>
        <w:t xml:space="preserve">   </w:t>
      </w:r>
    </w:p>
  </w:endnote>
  <w:endnote w:id="28">
    <w:p w14:paraId="4E1A9E3F" w14:textId="04B928A7" w:rsidR="006F5464" w:rsidRPr="00C6167C" w:rsidRDefault="006F5464" w:rsidP="00E867DA">
      <w:pPr>
        <w:pStyle w:val="Footnote"/>
      </w:pPr>
      <w:r w:rsidRPr="00C6167C">
        <w:rPr>
          <w:rStyle w:val="EndnoteReference"/>
        </w:rPr>
        <w:endnoteRef/>
      </w:r>
      <w:r w:rsidRPr="00C6167C">
        <w:t xml:space="preserve"> Chris Jasper, “Rising Star,” May 18, 1999, accessed December 14, 2020, www.flightglobal.com/rising-star/26260.article?adredir=1.</w:t>
      </w:r>
    </w:p>
  </w:endnote>
  <w:endnote w:id="29">
    <w:p w14:paraId="5F13BB20" w14:textId="3A2CCC5E" w:rsidR="006F5464" w:rsidRPr="00E31ACF" w:rsidRDefault="006F5464">
      <w:pPr>
        <w:pStyle w:val="EndnoteText"/>
        <w:rPr>
          <w:lang w:val="en-US"/>
        </w:rPr>
      </w:pPr>
      <w:r>
        <w:rPr>
          <w:rStyle w:val="EndnoteReference"/>
        </w:rPr>
        <w:endnoteRef/>
      </w:r>
      <w:r>
        <w:t xml:space="preserve"> </w:t>
      </w:r>
      <w:r w:rsidRPr="00E31ACF">
        <w:rPr>
          <w:rFonts w:ascii="Arial" w:hAnsi="Arial" w:cs="Arial"/>
          <w:sz w:val="17"/>
          <w:szCs w:val="17"/>
        </w:rPr>
        <w:t>“About Star Alliance: Star Alliance Leads The Way”</w:t>
      </w:r>
      <w:r>
        <w:rPr>
          <w:rFonts w:ascii="Arial" w:hAnsi="Arial" w:cs="Arial"/>
          <w:sz w:val="17"/>
          <w:szCs w:val="17"/>
          <w:lang w:val="en-US"/>
        </w:rPr>
        <w:t>,</w:t>
      </w:r>
      <w:r w:rsidRPr="00E31ACF">
        <w:rPr>
          <w:rFonts w:ascii="Arial" w:hAnsi="Arial" w:cs="Arial"/>
          <w:sz w:val="17"/>
          <w:szCs w:val="17"/>
        </w:rPr>
        <w:t xml:space="preserve"> Star Alliance</w:t>
      </w:r>
      <w:r>
        <w:rPr>
          <w:rFonts w:ascii="Arial" w:hAnsi="Arial" w:cs="Arial"/>
          <w:sz w:val="17"/>
          <w:szCs w:val="17"/>
          <w:lang w:val="en-US"/>
        </w:rPr>
        <w:t>,</w:t>
      </w:r>
      <w:r w:rsidRPr="00E31ACF">
        <w:rPr>
          <w:rFonts w:ascii="Arial" w:hAnsi="Arial" w:cs="Arial"/>
          <w:sz w:val="17"/>
          <w:szCs w:val="17"/>
        </w:rPr>
        <w:t xml:space="preserve"> 2020</w:t>
      </w:r>
      <w:r>
        <w:rPr>
          <w:rFonts w:ascii="Arial" w:hAnsi="Arial" w:cs="Arial"/>
          <w:sz w:val="17"/>
          <w:szCs w:val="17"/>
          <w:lang w:val="en-US"/>
        </w:rPr>
        <w:t>,</w:t>
      </w:r>
      <w:r w:rsidRPr="00E31ACF">
        <w:rPr>
          <w:rFonts w:ascii="Arial" w:hAnsi="Arial" w:cs="Arial"/>
          <w:sz w:val="17"/>
          <w:szCs w:val="17"/>
        </w:rPr>
        <w:t xml:space="preserve"> </w:t>
      </w:r>
      <w:r w:rsidRPr="000A4AB1">
        <w:rPr>
          <w:rFonts w:ascii="Arial" w:hAnsi="Arial" w:cs="Arial"/>
          <w:sz w:val="17"/>
          <w:szCs w:val="17"/>
        </w:rPr>
        <w:t>accessed</w:t>
      </w:r>
      <w:r w:rsidRPr="00E31ACF">
        <w:rPr>
          <w:rFonts w:ascii="Arial" w:hAnsi="Arial" w:cs="Arial"/>
          <w:sz w:val="17"/>
          <w:szCs w:val="17"/>
        </w:rPr>
        <w:t xml:space="preserve"> </w:t>
      </w:r>
      <w:r w:rsidRPr="00E31ACF">
        <w:rPr>
          <w:rFonts w:ascii="Arial" w:hAnsi="Arial" w:cs="Arial"/>
          <w:sz w:val="17"/>
          <w:szCs w:val="17"/>
          <w:lang w:val="en-US"/>
        </w:rPr>
        <w:t>December</w:t>
      </w:r>
      <w:r w:rsidRPr="00E31ACF">
        <w:rPr>
          <w:rFonts w:ascii="Arial" w:hAnsi="Arial" w:cs="Arial"/>
          <w:sz w:val="17"/>
          <w:szCs w:val="17"/>
        </w:rPr>
        <w:t xml:space="preserve"> </w:t>
      </w:r>
      <w:r w:rsidRPr="00E31ACF">
        <w:rPr>
          <w:rFonts w:ascii="Arial" w:hAnsi="Arial" w:cs="Arial"/>
          <w:sz w:val="17"/>
          <w:szCs w:val="17"/>
          <w:lang w:val="en-US"/>
        </w:rPr>
        <w:t>21</w:t>
      </w:r>
      <w:r w:rsidRPr="00E31ACF">
        <w:rPr>
          <w:rFonts w:ascii="Arial" w:hAnsi="Arial" w:cs="Arial"/>
          <w:sz w:val="17"/>
          <w:szCs w:val="17"/>
        </w:rPr>
        <w:t>, 2020</w:t>
      </w:r>
      <w:r>
        <w:rPr>
          <w:rFonts w:ascii="Arial" w:hAnsi="Arial" w:cs="Arial"/>
          <w:sz w:val="17"/>
          <w:szCs w:val="17"/>
          <w:lang w:val="en-GB"/>
        </w:rPr>
        <w:t xml:space="preserve">, </w:t>
      </w:r>
      <w:r w:rsidRPr="00E31ACF">
        <w:rPr>
          <w:rFonts w:ascii="Arial" w:hAnsi="Arial" w:cs="Arial"/>
          <w:sz w:val="17"/>
          <w:szCs w:val="17"/>
        </w:rPr>
        <w:t>www.staralliance.com/en/about</w:t>
      </w:r>
      <w:r>
        <w:rPr>
          <w:rFonts w:ascii="Arial" w:hAnsi="Arial" w:cs="Arial"/>
          <w:sz w:val="17"/>
          <w:szCs w:val="17"/>
          <w:lang w:val="en-US"/>
        </w:rPr>
        <w:t>.</w:t>
      </w:r>
    </w:p>
  </w:endnote>
  <w:endnote w:id="30">
    <w:p w14:paraId="140414B1" w14:textId="4A2BFB95" w:rsidR="006F5464" w:rsidRPr="000A4AB1" w:rsidRDefault="006F5464">
      <w:pPr>
        <w:pStyle w:val="EndnoteText"/>
      </w:pPr>
      <w:r>
        <w:rPr>
          <w:rStyle w:val="EndnoteReference"/>
        </w:rPr>
        <w:endnoteRef/>
      </w:r>
      <w:r>
        <w:t xml:space="preserve"> </w:t>
      </w:r>
      <w:r w:rsidRPr="00E31ACF">
        <w:rPr>
          <w:rFonts w:ascii="Arial" w:hAnsi="Arial" w:cs="Arial"/>
          <w:sz w:val="17"/>
          <w:szCs w:val="17"/>
          <w:lang w:val="en-US"/>
        </w:rPr>
        <w:t>Simon Mills</w:t>
      </w:r>
      <w:r>
        <w:rPr>
          <w:rFonts w:ascii="Arial" w:hAnsi="Arial" w:cs="Arial"/>
          <w:sz w:val="17"/>
          <w:szCs w:val="17"/>
          <w:lang w:val="en-US"/>
        </w:rPr>
        <w:t>,</w:t>
      </w:r>
      <w:r w:rsidRPr="00E31ACF">
        <w:rPr>
          <w:rFonts w:ascii="Arial" w:hAnsi="Arial" w:cs="Arial"/>
          <w:sz w:val="17"/>
          <w:szCs w:val="17"/>
          <w:lang w:val="en-US"/>
        </w:rPr>
        <w:t xml:space="preserve"> </w:t>
      </w:r>
      <w:r>
        <w:rPr>
          <w:rFonts w:ascii="Arial" w:hAnsi="Arial" w:cs="Arial"/>
          <w:sz w:val="17"/>
          <w:szCs w:val="17"/>
          <w:lang w:val="en-US"/>
        </w:rPr>
        <w:t>“</w:t>
      </w:r>
      <w:r w:rsidRPr="00E31ACF">
        <w:rPr>
          <w:rFonts w:ascii="Arial" w:hAnsi="Arial" w:cs="Arial"/>
          <w:sz w:val="17"/>
          <w:szCs w:val="17"/>
          <w:lang w:val="en-US"/>
        </w:rPr>
        <w:t>Airline Alliance Survey</w:t>
      </w:r>
      <w:r>
        <w:rPr>
          <w:rFonts w:ascii="Arial" w:hAnsi="Arial" w:cs="Arial"/>
          <w:sz w:val="17"/>
          <w:szCs w:val="17"/>
          <w:lang w:val="en-US"/>
        </w:rPr>
        <w:t>”,</w:t>
      </w:r>
      <w:r w:rsidRPr="00E31ACF">
        <w:rPr>
          <w:rFonts w:ascii="Arial" w:hAnsi="Arial" w:cs="Arial"/>
          <w:sz w:val="17"/>
          <w:szCs w:val="17"/>
          <w:lang w:val="en-US"/>
        </w:rPr>
        <w:t xml:space="preserve"> </w:t>
      </w:r>
      <w:r w:rsidRPr="00E31ACF">
        <w:rPr>
          <w:rFonts w:ascii="Arial" w:hAnsi="Arial" w:cs="Arial"/>
          <w:i/>
          <w:iCs/>
          <w:sz w:val="17"/>
          <w:szCs w:val="17"/>
          <w:lang w:val="en-US"/>
        </w:rPr>
        <w:t>Airline Business</w:t>
      </w:r>
      <w:r>
        <w:rPr>
          <w:rFonts w:ascii="Arial" w:hAnsi="Arial" w:cs="Arial"/>
          <w:sz w:val="17"/>
          <w:szCs w:val="17"/>
          <w:lang w:val="en-US"/>
        </w:rPr>
        <w:t xml:space="preserve">, September, 2011, 1-42. </w:t>
      </w:r>
    </w:p>
  </w:endnote>
  <w:endnote w:id="31">
    <w:p w14:paraId="1C3427F8" w14:textId="63A903D2" w:rsidR="006F5464" w:rsidRPr="00E31ACF" w:rsidRDefault="006F5464" w:rsidP="00E867DA">
      <w:pPr>
        <w:pStyle w:val="Footnote"/>
        <w:rPr>
          <w:lang w:eastAsia="zh-CN"/>
        </w:rPr>
      </w:pPr>
      <w:r w:rsidRPr="00E31ACF">
        <w:rPr>
          <w:rStyle w:val="EndnoteReference"/>
        </w:rPr>
        <w:endnoteRef/>
      </w:r>
      <w:r w:rsidRPr="00E31ACF">
        <w:t xml:space="preserve"> </w:t>
      </w:r>
      <w:r w:rsidRPr="000A4AB1">
        <w:t>“</w:t>
      </w:r>
      <w:r w:rsidRPr="001771A3">
        <w:t>Products &amp; Services. Creating the Star Alliance Travel Experience</w:t>
      </w:r>
      <w:r>
        <w:t>,</w:t>
      </w:r>
      <w:r w:rsidRPr="001771A3">
        <w:t>”</w:t>
      </w:r>
      <w:r w:rsidRPr="000A4AB1">
        <w:t xml:space="preserve"> Star Alliance</w:t>
      </w:r>
      <w:r>
        <w:t>,</w:t>
      </w:r>
      <w:r w:rsidRPr="000A4AB1">
        <w:t xml:space="preserve"> </w:t>
      </w:r>
      <w:r w:rsidRPr="001771A3">
        <w:t>2020</w:t>
      </w:r>
      <w:r>
        <w:t>,</w:t>
      </w:r>
      <w:r w:rsidRPr="000A4AB1">
        <w:t xml:space="preserve"> </w:t>
      </w:r>
      <w:r>
        <w:t>a</w:t>
      </w:r>
      <w:r w:rsidRPr="000A4AB1">
        <w:t>ccessed December 21, 2020</w:t>
      </w:r>
      <w:r>
        <w:t>,</w:t>
      </w:r>
      <w:r w:rsidRPr="000A4AB1">
        <w:t xml:space="preserve"> https://portal.staralliance.com/stardesk/publications/P_S_Brochure.pdf</w:t>
      </w:r>
      <w:r>
        <w:t>.</w:t>
      </w:r>
      <w:r w:rsidRPr="00E31ACF" w:rsidDel="001771A3">
        <w:rPr>
          <w:color w:val="222222"/>
          <w:shd w:val="clear" w:color="auto" w:fill="FFFFFF"/>
          <w:lang w:eastAsia="zh-CN"/>
        </w:rPr>
        <w:t xml:space="preserve"> </w:t>
      </w:r>
      <w:r w:rsidRPr="00E31ACF">
        <w:rPr>
          <w:color w:val="222222"/>
          <w:shd w:val="clear" w:color="auto" w:fill="FFFFFF"/>
          <w:lang w:eastAsia="zh-CN"/>
        </w:rPr>
        <w:t xml:space="preserve"> </w:t>
      </w:r>
    </w:p>
  </w:endnote>
  <w:endnote w:id="32">
    <w:p w14:paraId="251E746F" w14:textId="2FE0F971" w:rsidR="006F5464" w:rsidRPr="00C6167C" w:rsidRDefault="006F5464" w:rsidP="00E867DA">
      <w:pPr>
        <w:pStyle w:val="Footnote"/>
        <w:rPr>
          <w:lang w:eastAsia="zh-CN"/>
        </w:rPr>
      </w:pPr>
      <w:r w:rsidRPr="00E31ACF">
        <w:rPr>
          <w:rStyle w:val="EndnoteReference"/>
        </w:rPr>
        <w:endnoteRef/>
      </w:r>
      <w:r w:rsidRPr="00E31ACF">
        <w:t xml:space="preserve"> </w:t>
      </w:r>
      <w:r w:rsidRPr="000A4AB1">
        <w:t>“Star Alliance and</w:t>
      </w:r>
      <w:r w:rsidRPr="00C83AEF">
        <w:t xml:space="preserve"> NEC Corporation Sign Partnership Agreement to Enhance Passenger Experience </w:t>
      </w:r>
      <w:r>
        <w:t>t</w:t>
      </w:r>
      <w:r w:rsidRPr="00C83AEF">
        <w:t>hrough Biometric Data Recognition</w:t>
      </w:r>
      <w:r>
        <w:t xml:space="preserve"> </w:t>
      </w:r>
      <w:r w:rsidRPr="000A4AB1">
        <w:t>Techno</w:t>
      </w:r>
      <w:r w:rsidRPr="00C83AEF">
        <w:t>logy</w:t>
      </w:r>
      <w:r>
        <w:t>,</w:t>
      </w:r>
      <w:r w:rsidRPr="00C83AEF">
        <w:t>”</w:t>
      </w:r>
      <w:r>
        <w:t xml:space="preserve"> </w:t>
      </w:r>
      <w:r w:rsidRPr="000A4AB1">
        <w:t>NEC Corporation</w:t>
      </w:r>
      <w:r>
        <w:t xml:space="preserve">, </w:t>
      </w:r>
      <w:r w:rsidRPr="000A4AB1">
        <w:t>2019</w:t>
      </w:r>
      <w:r>
        <w:t>, a</w:t>
      </w:r>
      <w:r w:rsidRPr="000A4AB1">
        <w:t>ccessed December 22, 2020</w:t>
      </w:r>
      <w:r>
        <w:t>,</w:t>
      </w:r>
      <w:r w:rsidRPr="000A4AB1">
        <w:t xml:space="preserve"> www.nec.com/en/pr</w:t>
      </w:r>
      <w:r w:rsidRPr="00C83AEF">
        <w:t>ess/201907/global_20190726_01.html</w:t>
      </w:r>
      <w:r>
        <w:t>.</w:t>
      </w:r>
      <w:r w:rsidRPr="003940D1" w:rsidDel="001771A3">
        <w:rPr>
          <w:color w:val="222222"/>
          <w:highlight w:val="yellow"/>
          <w:shd w:val="clear" w:color="auto" w:fill="FFFFFF"/>
          <w:lang w:eastAsia="zh-CN"/>
        </w:rPr>
        <w:t xml:space="preserve"> </w:t>
      </w:r>
    </w:p>
  </w:endnote>
  <w:endnote w:id="33">
    <w:p w14:paraId="1C658125" w14:textId="55155D6D" w:rsidR="006F5464" w:rsidRPr="00C6167C" w:rsidRDefault="006F5464" w:rsidP="00E867DA">
      <w:pPr>
        <w:pStyle w:val="Footnote"/>
      </w:pPr>
      <w:r w:rsidRPr="00C6167C">
        <w:rPr>
          <w:rStyle w:val="EndnoteReference"/>
        </w:rPr>
        <w:endnoteRef/>
      </w:r>
      <w:r>
        <w:rPr>
          <w:lang w:val="en-GB"/>
        </w:rPr>
        <w:t xml:space="preserve"> </w:t>
      </w:r>
      <w:r w:rsidRPr="00CA562D">
        <w:rPr>
          <w:lang w:val="en-GB"/>
        </w:rPr>
        <w:t>Flight</w:t>
      </w:r>
      <w:r>
        <w:rPr>
          <w:lang w:val="en-GB"/>
        </w:rPr>
        <w:t>G</w:t>
      </w:r>
      <w:r w:rsidRPr="00CA562D">
        <w:rPr>
          <w:lang w:val="en-GB"/>
        </w:rPr>
        <w:t>lobal</w:t>
      </w:r>
      <w:r w:rsidRPr="00E31ACF">
        <w:rPr>
          <w:lang w:val="en-GB"/>
        </w:rPr>
        <w:t xml:space="preserve">, </w:t>
      </w:r>
      <w:r w:rsidRPr="00E31ACF">
        <w:t>“Airline Alliance Survey</w:t>
      </w:r>
      <w:r>
        <w:t>,</w:t>
      </w:r>
      <w:r w:rsidRPr="00E31ACF">
        <w:t>”</w:t>
      </w:r>
      <w:r w:rsidRPr="00CA562D">
        <w:t xml:space="preserve"> </w:t>
      </w:r>
      <w:r w:rsidRPr="00CA562D">
        <w:rPr>
          <w:i/>
        </w:rPr>
        <w:t>Airline Business</w:t>
      </w:r>
      <w:r w:rsidRPr="00CA562D">
        <w:t>, January 1999</w:t>
      </w:r>
      <w:r w:rsidRPr="00E31ACF">
        <w:t xml:space="preserve">. </w:t>
      </w:r>
    </w:p>
  </w:endnote>
  <w:endnote w:id="34">
    <w:p w14:paraId="7D183278" w14:textId="053EABF2" w:rsidR="006F5464" w:rsidRPr="00C6167C" w:rsidRDefault="006F5464" w:rsidP="00E867DA">
      <w:pPr>
        <w:pStyle w:val="Footnote"/>
      </w:pPr>
      <w:r w:rsidRPr="00C6167C">
        <w:rPr>
          <w:rStyle w:val="EndnoteReference"/>
        </w:rPr>
        <w:endnoteRef/>
      </w:r>
      <w:r w:rsidRPr="00C6167C">
        <w:t xml:space="preserve"> “The Rise of the Ultra-Long-Haul Flight,” </w:t>
      </w:r>
      <w:r w:rsidRPr="00507B2E">
        <w:rPr>
          <w:i/>
        </w:rPr>
        <w:t>The Economist</w:t>
      </w:r>
      <w:r w:rsidRPr="00C6167C">
        <w:t xml:space="preserve">, </w:t>
      </w:r>
      <w:r w:rsidRPr="00B13534">
        <w:t>Mar</w:t>
      </w:r>
      <w:r>
        <w:t>ch</w:t>
      </w:r>
      <w:r w:rsidRPr="00B13534">
        <w:t xml:space="preserve"> 27</w:t>
      </w:r>
      <w:r>
        <w:t>,</w:t>
      </w:r>
      <w:r w:rsidRPr="00B13534">
        <w:t xml:space="preserve"> 2018</w:t>
      </w:r>
      <w:r>
        <w:t xml:space="preserve">, </w:t>
      </w:r>
      <w:r w:rsidRPr="00C6167C">
        <w:t>accessed November 16, 2020, www.economist.com/graphic-detail/2018/03/27/the-rise-of-the-ultra-long-haul-flight.</w:t>
      </w:r>
    </w:p>
  </w:endnote>
  <w:endnote w:id="35">
    <w:p w14:paraId="2455111E" w14:textId="146FF382" w:rsidR="006F5464" w:rsidRPr="00C6167C" w:rsidRDefault="006F5464" w:rsidP="00E867DA">
      <w:pPr>
        <w:pStyle w:val="Footnote"/>
      </w:pPr>
      <w:r w:rsidRPr="00C6167C">
        <w:rPr>
          <w:rStyle w:val="EndnoteReference"/>
        </w:rPr>
        <w:endnoteRef/>
      </w:r>
      <w:r w:rsidRPr="00C6167C">
        <w:t xml:space="preserve"> Bloch Bauer and Rico Merkert, “Ultra Long-Haul: An Emerging Business Model Accelerated by COVID-19,” </w:t>
      </w:r>
      <w:r w:rsidRPr="00C6167C">
        <w:rPr>
          <w:i/>
        </w:rPr>
        <w:t>Journal of Air Transport Management</w:t>
      </w:r>
      <w:r w:rsidRPr="00C6167C">
        <w:t xml:space="preserve"> 89 (2020): 1–8.</w:t>
      </w:r>
    </w:p>
  </w:endnote>
  <w:endnote w:id="36">
    <w:p w14:paraId="6E7E788C" w14:textId="3F549B8B" w:rsidR="006F5464" w:rsidRPr="00C6167C" w:rsidRDefault="006F5464" w:rsidP="00E867DA">
      <w:pPr>
        <w:pStyle w:val="Footnote"/>
      </w:pPr>
      <w:r w:rsidRPr="00C6167C">
        <w:rPr>
          <w:rStyle w:val="EndnoteReference"/>
        </w:rPr>
        <w:endnoteRef/>
      </w:r>
      <w:r>
        <w:t xml:space="preserve"> “Industry Losses to Top $84 Billion in 2020,” </w:t>
      </w:r>
      <w:r w:rsidRPr="00C6167C">
        <w:t>I</w:t>
      </w:r>
      <w:r>
        <w:t>ATA [I</w:t>
      </w:r>
      <w:r w:rsidRPr="00C6167C">
        <w:t>nternational Air Transport Association</w:t>
      </w:r>
      <w:r>
        <w:t>]</w:t>
      </w:r>
      <w:r w:rsidRPr="00C6167C">
        <w:t xml:space="preserve">, </w:t>
      </w:r>
      <w:r>
        <w:t xml:space="preserve">June 9, 2020, </w:t>
      </w:r>
      <w:r w:rsidRPr="00C6167C">
        <w:t xml:space="preserve">accessed December 14, 2020, </w:t>
      </w:r>
      <w:r w:rsidRPr="007813BE">
        <w:t>www.iata.org/en/pressroom/pr/2020-06-09-01/</w:t>
      </w:r>
      <w:r>
        <w:t xml:space="preserve">. </w:t>
      </w:r>
    </w:p>
  </w:endnote>
  <w:endnote w:id="37">
    <w:p w14:paraId="04E38C19" w14:textId="5E7089FE" w:rsidR="006F5464" w:rsidRPr="00C6167C" w:rsidRDefault="006F5464" w:rsidP="00E867DA">
      <w:pPr>
        <w:pStyle w:val="Footnote"/>
      </w:pPr>
      <w:r w:rsidRPr="00C6167C">
        <w:rPr>
          <w:rStyle w:val="EndnoteReference"/>
        </w:rPr>
        <w:endnoteRef/>
      </w:r>
      <w:r w:rsidRPr="00C6167C">
        <w:t xml:space="preserve"> “Global Market Forecast 2019–2038,” Airbus, accessed December 14, 2020, www.airbus.com/aircraft/market/global-market-forecast.html.</w:t>
      </w:r>
    </w:p>
  </w:endnote>
  <w:endnote w:id="38">
    <w:p w14:paraId="28824AAA" w14:textId="2BDFEE93" w:rsidR="006F5464" w:rsidRPr="00C6167C" w:rsidRDefault="006F5464" w:rsidP="00E867DA">
      <w:pPr>
        <w:pStyle w:val="Footnote"/>
      </w:pPr>
      <w:r w:rsidRPr="00C6167C">
        <w:rPr>
          <w:rStyle w:val="EndnoteReference"/>
        </w:rPr>
        <w:endnoteRef/>
      </w:r>
      <w:r w:rsidRPr="00C6167C">
        <w:t xml:space="preserve"> Matt Driskill, “</w:t>
      </w:r>
      <w:r>
        <w:t xml:space="preserve">Updated: </w:t>
      </w:r>
      <w:r w:rsidRPr="00C6167C">
        <w:t>IATA Says 2020 Losses Will Be Biggest in Aviation History as COVID-19 Lays Waste to Travel,” Asian Aviation</w:t>
      </w:r>
      <w:r>
        <w:t xml:space="preserve">, </w:t>
      </w:r>
      <w:r w:rsidRPr="00C6167C">
        <w:t>June 9, 2020, accessed December 14, 2020, https://asianaviation.com/iata-says-2020-losses-will-be-biggest-in-aviation-history.</w:t>
      </w:r>
    </w:p>
  </w:endnote>
  <w:endnote w:id="39">
    <w:p w14:paraId="29771C59" w14:textId="46AE816E" w:rsidR="006F5464" w:rsidRPr="00C6167C" w:rsidRDefault="006F5464" w:rsidP="00E867DA">
      <w:pPr>
        <w:pStyle w:val="Footnote"/>
      </w:pPr>
      <w:r w:rsidRPr="00C6167C">
        <w:rPr>
          <w:rStyle w:val="EndnoteReference"/>
        </w:rPr>
        <w:endnoteRef/>
      </w:r>
      <w:r w:rsidRPr="00C6167C">
        <w:t xml:space="preserve"> “Industry Losses to Top $84 Billion in 2020,” I</w:t>
      </w:r>
      <w:r>
        <w:t>ATA [I</w:t>
      </w:r>
      <w:r w:rsidRPr="00C6167C">
        <w:t>nternational Air Transport Association</w:t>
      </w:r>
      <w:r>
        <w:t>]</w:t>
      </w:r>
      <w:r w:rsidRPr="00C6167C">
        <w:t>,</w:t>
      </w:r>
      <w:r>
        <w:t xml:space="preserve"> press release,</w:t>
      </w:r>
      <w:r w:rsidRPr="00C6167C">
        <w:t xml:space="preserve"> </w:t>
      </w:r>
      <w:r>
        <w:t xml:space="preserve">June 9, 2020, </w:t>
      </w:r>
      <w:r w:rsidRPr="00C6167C">
        <w:t>accessed November 14, 2020, www.iata.org/en/pressroom/pr/2020-06-09-01.</w:t>
      </w:r>
    </w:p>
  </w:endnote>
  <w:endnote w:id="40">
    <w:p w14:paraId="59874BD6" w14:textId="7BB576EF" w:rsidR="006F5464" w:rsidRPr="00C6167C" w:rsidRDefault="006F5464" w:rsidP="00E867DA">
      <w:pPr>
        <w:pStyle w:val="Footnote"/>
      </w:pPr>
      <w:r w:rsidRPr="00C6167C">
        <w:rPr>
          <w:rStyle w:val="EndnoteReference"/>
        </w:rPr>
        <w:endnoteRef/>
      </w:r>
      <w:r w:rsidRPr="00C6167C">
        <w:t xml:space="preserve"> </w:t>
      </w:r>
      <w:r w:rsidRPr="00ED4D60">
        <w:t>Eduardo Mariz</w:t>
      </w:r>
      <w:r>
        <w:t>, “</w:t>
      </w:r>
      <w:r w:rsidRPr="00ED4D60">
        <w:t>Covid-19 Bailouts: Seven Carriers Get $2.8bn in New and Additional Aid</w:t>
      </w:r>
      <w:r>
        <w:t>,”</w:t>
      </w:r>
      <w:r w:rsidRPr="00C6167C">
        <w:t xml:space="preserve"> Ishka, August</w:t>
      </w:r>
      <w:r>
        <w:t xml:space="preserve"> 20</w:t>
      </w:r>
      <w:r w:rsidRPr="00C6167C">
        <w:t>, 2020</w:t>
      </w:r>
      <w:r>
        <w:t>,</w:t>
      </w:r>
      <w:r w:rsidRPr="00C6167C">
        <w:t xml:space="preserve"> accessed </w:t>
      </w:r>
      <w:r>
        <w:t>Dec</w:t>
      </w:r>
      <w:r w:rsidRPr="00C6167C">
        <w:t>ember 14, 2020,</w:t>
      </w:r>
      <w:r>
        <w:t xml:space="preserve"> </w:t>
      </w:r>
      <w:r w:rsidRPr="00ED4D60">
        <w:t>www.ishkaglobal.com/News/Article/6264/Covid-19-bailouts-Seven-carriers-get-2-8bn-in-new-and-additional-aid</w:t>
      </w:r>
      <w:r w:rsidRPr="00C6167C">
        <w:t>.</w:t>
      </w:r>
    </w:p>
  </w:endnote>
  <w:endnote w:id="41">
    <w:p w14:paraId="367531DA" w14:textId="7BA0A655" w:rsidR="006F5464" w:rsidRPr="00C6167C" w:rsidRDefault="006F5464" w:rsidP="00E867DA">
      <w:pPr>
        <w:pStyle w:val="Footnote"/>
      </w:pPr>
      <w:r w:rsidRPr="00C6167C">
        <w:rPr>
          <w:rStyle w:val="EndnoteReference"/>
        </w:rPr>
        <w:endnoteRef/>
      </w:r>
      <w:r w:rsidRPr="00C6167C">
        <w:t xml:space="preserve"> </w:t>
      </w:r>
      <w:r>
        <w:t xml:space="preserve">Jack </w:t>
      </w:r>
      <w:r w:rsidRPr="00C6167C">
        <w:t xml:space="preserve">Kelly, </w:t>
      </w:r>
      <w:r>
        <w:t>“</w:t>
      </w:r>
      <w:r w:rsidRPr="00C6167C">
        <w:t>Two Major Airlines Have Announced Massive Layoffs</w:t>
      </w:r>
      <w:r>
        <w:t>,”</w:t>
      </w:r>
      <w:r w:rsidRPr="00C6167C">
        <w:t xml:space="preserve"> </w:t>
      </w:r>
      <w:r w:rsidRPr="00C6167C">
        <w:rPr>
          <w:i/>
        </w:rPr>
        <w:t>Forbes</w:t>
      </w:r>
      <w:r>
        <w:t xml:space="preserve">, August 26, 2020, accessed December 14, 2020, </w:t>
      </w:r>
      <w:r w:rsidRPr="00ED4D60">
        <w:t>www.forbes.com/sites/jackkelly/2020/08/26/two-major-airlines-have-announced-massive-layoffs/?sh=3e94a48b235f</w:t>
      </w:r>
      <w:r>
        <w:t>.</w:t>
      </w:r>
      <w:r w:rsidRPr="00C6167C">
        <w:t xml:space="preserve"> </w:t>
      </w:r>
    </w:p>
  </w:endnote>
  <w:endnote w:id="42">
    <w:p w14:paraId="49063B42" w14:textId="498A0900" w:rsidR="006F5464" w:rsidRPr="00C6167C" w:rsidRDefault="006F5464" w:rsidP="00E867DA">
      <w:pPr>
        <w:pStyle w:val="Footnote"/>
      </w:pPr>
      <w:r w:rsidRPr="00C6167C">
        <w:rPr>
          <w:rStyle w:val="EndnoteReference"/>
        </w:rPr>
        <w:endnoteRef/>
      </w:r>
      <w:r w:rsidRPr="00C6167C">
        <w:t xml:space="preserve"> </w:t>
      </w:r>
      <w:r>
        <w:t>“26 Member Airlines. All Committed to Keeping You Safe,”</w:t>
      </w:r>
      <w:r w:rsidRPr="00ED4D60">
        <w:t xml:space="preserve"> </w:t>
      </w:r>
      <w:r>
        <w:t xml:space="preserve">Star Alliance, accessed December 14, 2020, </w:t>
      </w:r>
      <w:r w:rsidRPr="00C6167C">
        <w:t>www.staralliance.com</w:t>
      </w:r>
      <w:r>
        <w:t>/en/commitments.</w:t>
      </w:r>
    </w:p>
  </w:endnote>
  <w:endnote w:id="43">
    <w:p w14:paraId="0F1C1C42" w14:textId="32561A6D" w:rsidR="006F5464" w:rsidRPr="00C6167C" w:rsidRDefault="006F5464" w:rsidP="00E867DA">
      <w:pPr>
        <w:pStyle w:val="Footnote"/>
      </w:pPr>
      <w:r w:rsidRPr="00C6167C">
        <w:rPr>
          <w:rStyle w:val="EndnoteReference"/>
        </w:rPr>
        <w:endnoteRef/>
      </w:r>
      <w:r w:rsidRPr="00C6167C">
        <w:t xml:space="preserve"> Antonio Tugores-Garcia</w:t>
      </w:r>
      <w:r>
        <w:t>,</w:t>
      </w:r>
      <w:r w:rsidRPr="00C6167C">
        <w:t xml:space="preserve"> </w:t>
      </w:r>
      <w:r w:rsidRPr="00507B2E">
        <w:rPr>
          <w:i/>
        </w:rPr>
        <w:t>Analysis of Global Airline Alliances as a Strategy for International Network Development</w:t>
      </w:r>
      <w:r>
        <w:t>,</w:t>
      </w:r>
      <w:r w:rsidRPr="00C6167C">
        <w:t xml:space="preserve"> Massachusetts Institute of Technology</w:t>
      </w:r>
      <w:r>
        <w:t xml:space="preserve">, thesis paper, May 14, 2012, accessed December 14, 2020, </w:t>
      </w:r>
      <w:r w:rsidRPr="00ED4D60">
        <w:t>https://core.ac.uk/download/pdf/10127599.pdf</w:t>
      </w:r>
      <w:r w:rsidRPr="00C6167C">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ZWAdobeF">
    <w:altName w:val="Calibri"/>
    <w:panose1 w:val="00000000000000000000"/>
    <w:charset w:val="00"/>
    <w:family w:val="auto"/>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B7D4C" w14:textId="77777777" w:rsidR="006F5464" w:rsidRDefault="006F5464" w:rsidP="00D75295">
      <w:r>
        <w:separator/>
      </w:r>
    </w:p>
  </w:footnote>
  <w:footnote w:type="continuationSeparator" w:id="0">
    <w:p w14:paraId="6963D4C7" w14:textId="77777777" w:rsidR="006F5464" w:rsidRDefault="006F5464"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F94C1FF" w:rsidR="006F5464" w:rsidRPr="00C92CC4" w:rsidRDefault="006F546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9</w:t>
    </w:r>
    <w:r>
      <w:rPr>
        <w:rFonts w:ascii="Arial" w:hAnsi="Arial"/>
        <w:b/>
      </w:rPr>
      <w:fldChar w:fldCharType="end"/>
    </w:r>
    <w:r>
      <w:rPr>
        <w:rFonts w:ascii="Arial" w:hAnsi="Arial"/>
        <w:b/>
      </w:rPr>
      <w:tab/>
      <w:t>9B21M010</w:t>
    </w:r>
  </w:p>
  <w:p w14:paraId="2B53C0A0" w14:textId="77777777" w:rsidR="006F5464" w:rsidRDefault="006F5464" w:rsidP="00D13667">
    <w:pPr>
      <w:pStyle w:val="Header"/>
      <w:tabs>
        <w:tab w:val="clear" w:pos="4680"/>
      </w:tabs>
      <w:rPr>
        <w:sz w:val="18"/>
        <w:szCs w:val="18"/>
      </w:rPr>
    </w:pPr>
  </w:p>
  <w:p w14:paraId="47119730" w14:textId="77777777" w:rsidR="006F5464" w:rsidRPr="00C92CC4" w:rsidRDefault="006F5464"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C4D13" w14:textId="0C9B991D" w:rsidR="006F5464" w:rsidRPr="00C92CC4" w:rsidRDefault="006F5464" w:rsidP="00294FDD">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t>9B21M010</w:t>
    </w:r>
  </w:p>
  <w:p w14:paraId="17D5A1B4" w14:textId="77777777" w:rsidR="006F5464" w:rsidRDefault="006F5464" w:rsidP="00294FDD">
    <w:pPr>
      <w:pStyle w:val="Header"/>
      <w:tabs>
        <w:tab w:val="clear" w:pos="4680"/>
        <w:tab w:val="clear" w:pos="9360"/>
        <w:tab w:val="right" w:pos="12960"/>
      </w:tabs>
      <w:rPr>
        <w:sz w:val="18"/>
        <w:szCs w:val="18"/>
      </w:rPr>
    </w:pPr>
  </w:p>
  <w:p w14:paraId="79A93B06" w14:textId="77777777" w:rsidR="006F5464" w:rsidRPr="00C92CC4" w:rsidRDefault="006F5464" w:rsidP="00294FDD">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AD70E" w14:textId="3378DEDB" w:rsidR="006F5464" w:rsidRPr="00C92CC4" w:rsidRDefault="006F5464" w:rsidP="00294FDD">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16</w:t>
    </w:r>
    <w:r>
      <w:rPr>
        <w:rFonts w:ascii="Arial" w:hAnsi="Arial"/>
        <w:b/>
      </w:rPr>
      <w:fldChar w:fldCharType="end"/>
    </w:r>
    <w:r>
      <w:rPr>
        <w:rFonts w:ascii="Arial" w:hAnsi="Arial"/>
        <w:b/>
      </w:rPr>
      <w:tab/>
      <w:t>9B21M010</w:t>
    </w:r>
  </w:p>
  <w:p w14:paraId="72D90B60" w14:textId="77777777" w:rsidR="006F5464" w:rsidRDefault="006F5464" w:rsidP="00294FDD">
    <w:pPr>
      <w:pStyle w:val="Header"/>
      <w:tabs>
        <w:tab w:val="clear" w:pos="4680"/>
      </w:tabs>
      <w:rPr>
        <w:sz w:val="18"/>
        <w:szCs w:val="18"/>
      </w:rPr>
    </w:pPr>
  </w:p>
  <w:p w14:paraId="0B96532C" w14:textId="77777777" w:rsidR="006F5464" w:rsidRPr="00C92CC4" w:rsidRDefault="006F5464" w:rsidP="00294FDD">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773"/>
    <w:multiLevelType w:val="hybridMultilevel"/>
    <w:tmpl w:val="A3F2E2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10645D3"/>
    <w:multiLevelType w:val="hybridMultilevel"/>
    <w:tmpl w:val="FCDE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9B02D4"/>
    <w:multiLevelType w:val="hybridMultilevel"/>
    <w:tmpl w:val="7CDA1B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4862DD"/>
    <w:multiLevelType w:val="hybridMultilevel"/>
    <w:tmpl w:val="F8B6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A83124"/>
    <w:multiLevelType w:val="hybridMultilevel"/>
    <w:tmpl w:val="D454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5"/>
  </w:num>
  <w:num w:numId="4">
    <w:abstractNumId w:val="14"/>
  </w:num>
  <w:num w:numId="5">
    <w:abstractNumId w:val="6"/>
  </w:num>
  <w:num w:numId="6">
    <w:abstractNumId w:val="12"/>
  </w:num>
  <w:num w:numId="7">
    <w:abstractNumId w:val="2"/>
  </w:num>
  <w:num w:numId="8">
    <w:abstractNumId w:val="16"/>
  </w:num>
  <w:num w:numId="9">
    <w:abstractNumId w:val="13"/>
  </w:num>
  <w:num w:numId="10">
    <w:abstractNumId w:val="4"/>
  </w:num>
  <w:num w:numId="11">
    <w:abstractNumId w:val="10"/>
  </w:num>
  <w:num w:numId="12">
    <w:abstractNumId w:val="11"/>
  </w:num>
  <w:num w:numId="13">
    <w:abstractNumId w:val="1"/>
  </w:num>
  <w:num w:numId="14">
    <w:abstractNumId w:val="9"/>
  </w:num>
  <w:num w:numId="15">
    <w:abstractNumId w:val="7"/>
  </w:num>
  <w:num w:numId="16">
    <w:abstractNumId w:val="0"/>
  </w:num>
  <w:num w:numId="1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2691"/>
    <w:rsid w:val="00003C5A"/>
    <w:rsid w:val="00013360"/>
    <w:rsid w:val="00016759"/>
    <w:rsid w:val="00021117"/>
    <w:rsid w:val="000216CE"/>
    <w:rsid w:val="00024ED4"/>
    <w:rsid w:val="00025DC7"/>
    <w:rsid w:val="00033E8F"/>
    <w:rsid w:val="00035F09"/>
    <w:rsid w:val="00044ECC"/>
    <w:rsid w:val="00051A0C"/>
    <w:rsid w:val="000531D3"/>
    <w:rsid w:val="00054F1C"/>
    <w:rsid w:val="00055B7A"/>
    <w:rsid w:val="0005646B"/>
    <w:rsid w:val="00057E86"/>
    <w:rsid w:val="000615D1"/>
    <w:rsid w:val="0006208D"/>
    <w:rsid w:val="00066789"/>
    <w:rsid w:val="00066D5A"/>
    <w:rsid w:val="0008102D"/>
    <w:rsid w:val="00086B26"/>
    <w:rsid w:val="00094C0E"/>
    <w:rsid w:val="000A146D"/>
    <w:rsid w:val="000A4AB1"/>
    <w:rsid w:val="000B3727"/>
    <w:rsid w:val="000D1149"/>
    <w:rsid w:val="000D2A2F"/>
    <w:rsid w:val="000D33D4"/>
    <w:rsid w:val="000D4DB3"/>
    <w:rsid w:val="000D6CA4"/>
    <w:rsid w:val="000D7091"/>
    <w:rsid w:val="000D7CF4"/>
    <w:rsid w:val="000E4887"/>
    <w:rsid w:val="000F0C22"/>
    <w:rsid w:val="000F1C38"/>
    <w:rsid w:val="000F6B09"/>
    <w:rsid w:val="000F6FDC"/>
    <w:rsid w:val="00104567"/>
    <w:rsid w:val="00104916"/>
    <w:rsid w:val="00104AA7"/>
    <w:rsid w:val="0010548C"/>
    <w:rsid w:val="00106D1E"/>
    <w:rsid w:val="00113C6E"/>
    <w:rsid w:val="0012732D"/>
    <w:rsid w:val="00130755"/>
    <w:rsid w:val="00143F25"/>
    <w:rsid w:val="0015019E"/>
    <w:rsid w:val="00152682"/>
    <w:rsid w:val="00154FC9"/>
    <w:rsid w:val="001719EB"/>
    <w:rsid w:val="0017701F"/>
    <w:rsid w:val="001771A3"/>
    <w:rsid w:val="00180739"/>
    <w:rsid w:val="00182A6C"/>
    <w:rsid w:val="001901C0"/>
    <w:rsid w:val="0019241A"/>
    <w:rsid w:val="00192A18"/>
    <w:rsid w:val="001976A6"/>
    <w:rsid w:val="001A072E"/>
    <w:rsid w:val="001A11BC"/>
    <w:rsid w:val="001A22D1"/>
    <w:rsid w:val="001A752D"/>
    <w:rsid w:val="001A757E"/>
    <w:rsid w:val="001B20AE"/>
    <w:rsid w:val="001B5032"/>
    <w:rsid w:val="001C32A2"/>
    <w:rsid w:val="001C603D"/>
    <w:rsid w:val="001C7777"/>
    <w:rsid w:val="001D344B"/>
    <w:rsid w:val="001D4ACD"/>
    <w:rsid w:val="001E1954"/>
    <w:rsid w:val="001E364F"/>
    <w:rsid w:val="001E4A8E"/>
    <w:rsid w:val="001E5DED"/>
    <w:rsid w:val="001F4222"/>
    <w:rsid w:val="00203AA1"/>
    <w:rsid w:val="00207DFE"/>
    <w:rsid w:val="00213E98"/>
    <w:rsid w:val="002263C6"/>
    <w:rsid w:val="00226AC8"/>
    <w:rsid w:val="00230150"/>
    <w:rsid w:val="0023081A"/>
    <w:rsid w:val="00233111"/>
    <w:rsid w:val="00246A77"/>
    <w:rsid w:val="00265FA8"/>
    <w:rsid w:val="002771BE"/>
    <w:rsid w:val="002832B5"/>
    <w:rsid w:val="00287585"/>
    <w:rsid w:val="00294FDD"/>
    <w:rsid w:val="002A3C2C"/>
    <w:rsid w:val="002A7088"/>
    <w:rsid w:val="002B0935"/>
    <w:rsid w:val="002B10E8"/>
    <w:rsid w:val="002B40FF"/>
    <w:rsid w:val="002B44B3"/>
    <w:rsid w:val="002B468D"/>
    <w:rsid w:val="002C0BB9"/>
    <w:rsid w:val="002C4E29"/>
    <w:rsid w:val="002D7D08"/>
    <w:rsid w:val="002F460C"/>
    <w:rsid w:val="002F48D6"/>
    <w:rsid w:val="002F55D6"/>
    <w:rsid w:val="003047E3"/>
    <w:rsid w:val="00304A2B"/>
    <w:rsid w:val="003053FF"/>
    <w:rsid w:val="00317391"/>
    <w:rsid w:val="00326216"/>
    <w:rsid w:val="00326DDF"/>
    <w:rsid w:val="003304BF"/>
    <w:rsid w:val="0033072B"/>
    <w:rsid w:val="00336580"/>
    <w:rsid w:val="00341E2E"/>
    <w:rsid w:val="003516D1"/>
    <w:rsid w:val="00354899"/>
    <w:rsid w:val="00355FD6"/>
    <w:rsid w:val="00364A5C"/>
    <w:rsid w:val="00373FB1"/>
    <w:rsid w:val="003940D1"/>
    <w:rsid w:val="00396C76"/>
    <w:rsid w:val="003A5366"/>
    <w:rsid w:val="003B30D8"/>
    <w:rsid w:val="003B7EF2"/>
    <w:rsid w:val="003C3FA4"/>
    <w:rsid w:val="003D0BA1"/>
    <w:rsid w:val="003D3E14"/>
    <w:rsid w:val="003D43EB"/>
    <w:rsid w:val="003E0A1B"/>
    <w:rsid w:val="003E2DB7"/>
    <w:rsid w:val="003E5A8D"/>
    <w:rsid w:val="003F2B0C"/>
    <w:rsid w:val="00406D2B"/>
    <w:rsid w:val="004105B2"/>
    <w:rsid w:val="0041145A"/>
    <w:rsid w:val="00412900"/>
    <w:rsid w:val="00415542"/>
    <w:rsid w:val="004221E4"/>
    <w:rsid w:val="004273F8"/>
    <w:rsid w:val="00432F3B"/>
    <w:rsid w:val="004355A3"/>
    <w:rsid w:val="00435649"/>
    <w:rsid w:val="004419E7"/>
    <w:rsid w:val="00446546"/>
    <w:rsid w:val="00452769"/>
    <w:rsid w:val="00454FA7"/>
    <w:rsid w:val="00463201"/>
    <w:rsid w:val="00465348"/>
    <w:rsid w:val="00492351"/>
    <w:rsid w:val="004951AE"/>
    <w:rsid w:val="004979A5"/>
    <w:rsid w:val="004A25E0"/>
    <w:rsid w:val="004A495B"/>
    <w:rsid w:val="004B1CCB"/>
    <w:rsid w:val="004B5F3E"/>
    <w:rsid w:val="004B632F"/>
    <w:rsid w:val="004C08C6"/>
    <w:rsid w:val="004D3FB1"/>
    <w:rsid w:val="004D6F21"/>
    <w:rsid w:val="004D73A5"/>
    <w:rsid w:val="004F6EDF"/>
    <w:rsid w:val="00507B2E"/>
    <w:rsid w:val="005160F1"/>
    <w:rsid w:val="00524F2F"/>
    <w:rsid w:val="00527E5C"/>
    <w:rsid w:val="00530EB6"/>
    <w:rsid w:val="0053144B"/>
    <w:rsid w:val="00532CF5"/>
    <w:rsid w:val="005528CB"/>
    <w:rsid w:val="00566771"/>
    <w:rsid w:val="00575CE1"/>
    <w:rsid w:val="00581E2E"/>
    <w:rsid w:val="00584F15"/>
    <w:rsid w:val="005945EC"/>
    <w:rsid w:val="0059514B"/>
    <w:rsid w:val="005A0C1E"/>
    <w:rsid w:val="005A1B0F"/>
    <w:rsid w:val="005B4210"/>
    <w:rsid w:val="005B4CE6"/>
    <w:rsid w:val="005B5EFE"/>
    <w:rsid w:val="005F1198"/>
    <w:rsid w:val="005F2935"/>
    <w:rsid w:val="00615E06"/>
    <w:rsid w:val="006163F7"/>
    <w:rsid w:val="00617CC8"/>
    <w:rsid w:val="00621CA2"/>
    <w:rsid w:val="00626EFF"/>
    <w:rsid w:val="00627C63"/>
    <w:rsid w:val="0063350B"/>
    <w:rsid w:val="006466C9"/>
    <w:rsid w:val="00652606"/>
    <w:rsid w:val="00653C28"/>
    <w:rsid w:val="006641CB"/>
    <w:rsid w:val="00672D2A"/>
    <w:rsid w:val="0069217E"/>
    <w:rsid w:val="006946EE"/>
    <w:rsid w:val="006A3EB3"/>
    <w:rsid w:val="006A4C11"/>
    <w:rsid w:val="006A58A9"/>
    <w:rsid w:val="006A606D"/>
    <w:rsid w:val="006B1505"/>
    <w:rsid w:val="006B60A8"/>
    <w:rsid w:val="006C0371"/>
    <w:rsid w:val="006C08B6"/>
    <w:rsid w:val="006C0B1A"/>
    <w:rsid w:val="006C6065"/>
    <w:rsid w:val="006C7F9F"/>
    <w:rsid w:val="006D4978"/>
    <w:rsid w:val="006E2F6D"/>
    <w:rsid w:val="006E58F6"/>
    <w:rsid w:val="006E77E1"/>
    <w:rsid w:val="006F011E"/>
    <w:rsid w:val="006F131D"/>
    <w:rsid w:val="006F49D0"/>
    <w:rsid w:val="006F5464"/>
    <w:rsid w:val="00711642"/>
    <w:rsid w:val="00712C65"/>
    <w:rsid w:val="00712E59"/>
    <w:rsid w:val="00713610"/>
    <w:rsid w:val="007234E2"/>
    <w:rsid w:val="007507C6"/>
    <w:rsid w:val="00751E0B"/>
    <w:rsid w:val="00752753"/>
    <w:rsid w:val="00752BCD"/>
    <w:rsid w:val="0076469D"/>
    <w:rsid w:val="00766DA1"/>
    <w:rsid w:val="00774B93"/>
    <w:rsid w:val="007766CB"/>
    <w:rsid w:val="007770AA"/>
    <w:rsid w:val="00780D94"/>
    <w:rsid w:val="007813BE"/>
    <w:rsid w:val="00784A12"/>
    <w:rsid w:val="007866A6"/>
    <w:rsid w:val="007902B6"/>
    <w:rsid w:val="00795F62"/>
    <w:rsid w:val="007A130D"/>
    <w:rsid w:val="007A52CE"/>
    <w:rsid w:val="007D1A2D"/>
    <w:rsid w:val="007D32E6"/>
    <w:rsid w:val="007D3E12"/>
    <w:rsid w:val="007D4102"/>
    <w:rsid w:val="007E54A7"/>
    <w:rsid w:val="007F3FE7"/>
    <w:rsid w:val="007F43B7"/>
    <w:rsid w:val="00801C68"/>
    <w:rsid w:val="008143A7"/>
    <w:rsid w:val="00817357"/>
    <w:rsid w:val="00821FFC"/>
    <w:rsid w:val="00822A04"/>
    <w:rsid w:val="008271CA"/>
    <w:rsid w:val="008326BC"/>
    <w:rsid w:val="00833A5E"/>
    <w:rsid w:val="0084009C"/>
    <w:rsid w:val="008423E0"/>
    <w:rsid w:val="00844085"/>
    <w:rsid w:val="008467D5"/>
    <w:rsid w:val="00875409"/>
    <w:rsid w:val="00882A3A"/>
    <w:rsid w:val="008A4DC4"/>
    <w:rsid w:val="008A5190"/>
    <w:rsid w:val="008B438C"/>
    <w:rsid w:val="008B6946"/>
    <w:rsid w:val="008D06CA"/>
    <w:rsid w:val="008D3A46"/>
    <w:rsid w:val="008D58E2"/>
    <w:rsid w:val="008E4766"/>
    <w:rsid w:val="008F13B9"/>
    <w:rsid w:val="008F1C28"/>
    <w:rsid w:val="008F2385"/>
    <w:rsid w:val="008F352E"/>
    <w:rsid w:val="009067A4"/>
    <w:rsid w:val="00913141"/>
    <w:rsid w:val="00921497"/>
    <w:rsid w:val="00925DCF"/>
    <w:rsid w:val="00930885"/>
    <w:rsid w:val="00933D68"/>
    <w:rsid w:val="009340DB"/>
    <w:rsid w:val="00940CE4"/>
    <w:rsid w:val="0094618C"/>
    <w:rsid w:val="00954EEB"/>
    <w:rsid w:val="0095684B"/>
    <w:rsid w:val="00970D45"/>
    <w:rsid w:val="00972498"/>
    <w:rsid w:val="009738AF"/>
    <w:rsid w:val="0097481F"/>
    <w:rsid w:val="00974CC6"/>
    <w:rsid w:val="0097553B"/>
    <w:rsid w:val="00976AD4"/>
    <w:rsid w:val="00976D01"/>
    <w:rsid w:val="00976D95"/>
    <w:rsid w:val="009931B6"/>
    <w:rsid w:val="009949D1"/>
    <w:rsid w:val="00995547"/>
    <w:rsid w:val="009A312F"/>
    <w:rsid w:val="009A5348"/>
    <w:rsid w:val="009B09B6"/>
    <w:rsid w:val="009B0AB7"/>
    <w:rsid w:val="009C76D5"/>
    <w:rsid w:val="009E1122"/>
    <w:rsid w:val="009E3D79"/>
    <w:rsid w:val="009F3389"/>
    <w:rsid w:val="009F7AA4"/>
    <w:rsid w:val="00A10AD7"/>
    <w:rsid w:val="00A323B0"/>
    <w:rsid w:val="00A36C18"/>
    <w:rsid w:val="00A468C7"/>
    <w:rsid w:val="00A53EC5"/>
    <w:rsid w:val="00A559DB"/>
    <w:rsid w:val="00A569EA"/>
    <w:rsid w:val="00A60168"/>
    <w:rsid w:val="00A676A0"/>
    <w:rsid w:val="00A84F8C"/>
    <w:rsid w:val="00A92DE3"/>
    <w:rsid w:val="00A936D7"/>
    <w:rsid w:val="00AA0BE1"/>
    <w:rsid w:val="00AA2144"/>
    <w:rsid w:val="00AB67A2"/>
    <w:rsid w:val="00AD25A1"/>
    <w:rsid w:val="00AE0394"/>
    <w:rsid w:val="00AE5A5B"/>
    <w:rsid w:val="00AE5D07"/>
    <w:rsid w:val="00AF35FC"/>
    <w:rsid w:val="00AF5556"/>
    <w:rsid w:val="00B03639"/>
    <w:rsid w:val="00B05E77"/>
    <w:rsid w:val="00B0652A"/>
    <w:rsid w:val="00B11F78"/>
    <w:rsid w:val="00B13534"/>
    <w:rsid w:val="00B157E8"/>
    <w:rsid w:val="00B31F52"/>
    <w:rsid w:val="00B36FF9"/>
    <w:rsid w:val="00B40937"/>
    <w:rsid w:val="00B423EF"/>
    <w:rsid w:val="00B453DE"/>
    <w:rsid w:val="00B62497"/>
    <w:rsid w:val="00B72597"/>
    <w:rsid w:val="00B76326"/>
    <w:rsid w:val="00B87DC0"/>
    <w:rsid w:val="00B901F9"/>
    <w:rsid w:val="00B927DB"/>
    <w:rsid w:val="00BB01D4"/>
    <w:rsid w:val="00BC4D98"/>
    <w:rsid w:val="00BC52BD"/>
    <w:rsid w:val="00BD3275"/>
    <w:rsid w:val="00BD6EFB"/>
    <w:rsid w:val="00BE1AD9"/>
    <w:rsid w:val="00BE3DF5"/>
    <w:rsid w:val="00BF5EAB"/>
    <w:rsid w:val="00C02410"/>
    <w:rsid w:val="00C1584D"/>
    <w:rsid w:val="00C15BE2"/>
    <w:rsid w:val="00C24774"/>
    <w:rsid w:val="00C266D6"/>
    <w:rsid w:val="00C3447F"/>
    <w:rsid w:val="00C34EB2"/>
    <w:rsid w:val="00C370A3"/>
    <w:rsid w:val="00C42242"/>
    <w:rsid w:val="00C4303E"/>
    <w:rsid w:val="00C4440F"/>
    <w:rsid w:val="00C44714"/>
    <w:rsid w:val="00C517E4"/>
    <w:rsid w:val="00C53E2F"/>
    <w:rsid w:val="00C6167C"/>
    <w:rsid w:val="00C67102"/>
    <w:rsid w:val="00C673DC"/>
    <w:rsid w:val="00C72DF5"/>
    <w:rsid w:val="00C800F3"/>
    <w:rsid w:val="00C81491"/>
    <w:rsid w:val="00C81676"/>
    <w:rsid w:val="00C826CB"/>
    <w:rsid w:val="00C848C2"/>
    <w:rsid w:val="00C85C5D"/>
    <w:rsid w:val="00C92CC4"/>
    <w:rsid w:val="00C95EBF"/>
    <w:rsid w:val="00C96C29"/>
    <w:rsid w:val="00CA0AFB"/>
    <w:rsid w:val="00CA2CE1"/>
    <w:rsid w:val="00CA3976"/>
    <w:rsid w:val="00CA50E3"/>
    <w:rsid w:val="00CA562D"/>
    <w:rsid w:val="00CA7055"/>
    <w:rsid w:val="00CA757B"/>
    <w:rsid w:val="00CC1787"/>
    <w:rsid w:val="00CC182C"/>
    <w:rsid w:val="00CD0824"/>
    <w:rsid w:val="00CD2908"/>
    <w:rsid w:val="00CD2A7A"/>
    <w:rsid w:val="00CD46BE"/>
    <w:rsid w:val="00CE4BCE"/>
    <w:rsid w:val="00CF7103"/>
    <w:rsid w:val="00D01D90"/>
    <w:rsid w:val="00D03A82"/>
    <w:rsid w:val="00D10601"/>
    <w:rsid w:val="00D13667"/>
    <w:rsid w:val="00D15344"/>
    <w:rsid w:val="00D157D8"/>
    <w:rsid w:val="00D23F57"/>
    <w:rsid w:val="00D31BEC"/>
    <w:rsid w:val="00D47792"/>
    <w:rsid w:val="00D56240"/>
    <w:rsid w:val="00D63150"/>
    <w:rsid w:val="00D636BA"/>
    <w:rsid w:val="00D64A32"/>
    <w:rsid w:val="00D64EFC"/>
    <w:rsid w:val="00D75295"/>
    <w:rsid w:val="00D76CE9"/>
    <w:rsid w:val="00D82B21"/>
    <w:rsid w:val="00D941FF"/>
    <w:rsid w:val="00D97F12"/>
    <w:rsid w:val="00DA2C1D"/>
    <w:rsid w:val="00DA335A"/>
    <w:rsid w:val="00DA5AF7"/>
    <w:rsid w:val="00DA6095"/>
    <w:rsid w:val="00DA679A"/>
    <w:rsid w:val="00DA6B2E"/>
    <w:rsid w:val="00DB369D"/>
    <w:rsid w:val="00DB42E7"/>
    <w:rsid w:val="00DC09D8"/>
    <w:rsid w:val="00DC4497"/>
    <w:rsid w:val="00DC77B2"/>
    <w:rsid w:val="00DE01A6"/>
    <w:rsid w:val="00DE1F10"/>
    <w:rsid w:val="00DE203E"/>
    <w:rsid w:val="00DE59F7"/>
    <w:rsid w:val="00DE7A98"/>
    <w:rsid w:val="00DF223B"/>
    <w:rsid w:val="00DF32C2"/>
    <w:rsid w:val="00E11575"/>
    <w:rsid w:val="00E27598"/>
    <w:rsid w:val="00E30434"/>
    <w:rsid w:val="00E30720"/>
    <w:rsid w:val="00E31ACF"/>
    <w:rsid w:val="00E471A7"/>
    <w:rsid w:val="00E50C64"/>
    <w:rsid w:val="00E50E9A"/>
    <w:rsid w:val="00E525FE"/>
    <w:rsid w:val="00E56971"/>
    <w:rsid w:val="00E635CF"/>
    <w:rsid w:val="00E867DA"/>
    <w:rsid w:val="00EA715B"/>
    <w:rsid w:val="00EB1E3B"/>
    <w:rsid w:val="00EB3D08"/>
    <w:rsid w:val="00EC6E0A"/>
    <w:rsid w:val="00ED43E9"/>
    <w:rsid w:val="00ED4D60"/>
    <w:rsid w:val="00ED4E18"/>
    <w:rsid w:val="00ED7922"/>
    <w:rsid w:val="00ED7C28"/>
    <w:rsid w:val="00EE02C4"/>
    <w:rsid w:val="00EE1F37"/>
    <w:rsid w:val="00EE77FF"/>
    <w:rsid w:val="00EF0382"/>
    <w:rsid w:val="00F00F27"/>
    <w:rsid w:val="00F0159C"/>
    <w:rsid w:val="00F02469"/>
    <w:rsid w:val="00F05F66"/>
    <w:rsid w:val="00F105B7"/>
    <w:rsid w:val="00F12ADB"/>
    <w:rsid w:val="00F13220"/>
    <w:rsid w:val="00F17A21"/>
    <w:rsid w:val="00F255B1"/>
    <w:rsid w:val="00F3001B"/>
    <w:rsid w:val="00F3112E"/>
    <w:rsid w:val="00F36FC2"/>
    <w:rsid w:val="00F3799F"/>
    <w:rsid w:val="00F37B27"/>
    <w:rsid w:val="00F41DB1"/>
    <w:rsid w:val="00F45AA7"/>
    <w:rsid w:val="00F46556"/>
    <w:rsid w:val="00F470CF"/>
    <w:rsid w:val="00F47966"/>
    <w:rsid w:val="00F50E91"/>
    <w:rsid w:val="00F51E2C"/>
    <w:rsid w:val="00F55C4A"/>
    <w:rsid w:val="00F56799"/>
    <w:rsid w:val="00F57D29"/>
    <w:rsid w:val="00F60786"/>
    <w:rsid w:val="00F62663"/>
    <w:rsid w:val="00F725E2"/>
    <w:rsid w:val="00F7550E"/>
    <w:rsid w:val="00F82A1A"/>
    <w:rsid w:val="00F9195A"/>
    <w:rsid w:val="00F91BC7"/>
    <w:rsid w:val="00F96201"/>
    <w:rsid w:val="00F96474"/>
    <w:rsid w:val="00FA0094"/>
    <w:rsid w:val="00FA1BBC"/>
    <w:rsid w:val="00FA578A"/>
    <w:rsid w:val="00FB53C4"/>
    <w:rsid w:val="00FC7FBC"/>
    <w:rsid w:val="00FD0B18"/>
    <w:rsid w:val="00FD2A98"/>
    <w:rsid w:val="00FD2FAD"/>
    <w:rsid w:val="00FE714F"/>
    <w:rsid w:val="00FF3731"/>
    <w:rsid w:val="00FF60EF"/>
    <w:rsid w:val="00FF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6DEEA3AB-5BE4-4BF2-AF98-B1E464FE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ColorfulList-Accent11">
    <w:name w:val="Colorful List - Accent 11"/>
    <w:basedOn w:val="Normal"/>
    <w:uiPriority w:val="34"/>
    <w:qFormat/>
    <w:rsid w:val="00E867DA"/>
    <w:pPr>
      <w:ind w:left="720"/>
    </w:pPr>
  </w:style>
  <w:style w:type="paragraph" w:customStyle="1" w:styleId="ColorfulShading-Accent11">
    <w:name w:val="Colorful Shading - Accent 11"/>
    <w:hidden/>
    <w:uiPriority w:val="99"/>
    <w:semiHidden/>
    <w:rsid w:val="009E3D79"/>
    <w:pPr>
      <w:spacing w:after="0" w:line="240" w:lineRule="auto"/>
    </w:pPr>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sid w:val="00781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698168">
      <w:bodyDiv w:val="1"/>
      <w:marLeft w:val="0"/>
      <w:marRight w:val="0"/>
      <w:marTop w:val="0"/>
      <w:marBottom w:val="0"/>
      <w:divBdr>
        <w:top w:val="none" w:sz="0" w:space="0" w:color="auto"/>
        <w:left w:val="none" w:sz="0" w:space="0" w:color="auto"/>
        <w:bottom w:val="none" w:sz="0" w:space="0" w:color="auto"/>
        <w:right w:val="none" w:sz="0" w:space="0" w:color="auto"/>
      </w:divBdr>
    </w:div>
    <w:div w:id="152963719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07537593">
      <w:bodyDiv w:val="1"/>
      <w:marLeft w:val="0"/>
      <w:marRight w:val="0"/>
      <w:marTop w:val="0"/>
      <w:marBottom w:val="0"/>
      <w:divBdr>
        <w:top w:val="none" w:sz="0" w:space="0" w:color="auto"/>
        <w:left w:val="none" w:sz="0" w:space="0" w:color="auto"/>
        <w:bottom w:val="none" w:sz="0" w:space="0" w:color="auto"/>
        <w:right w:val="none" w:sz="0" w:space="0" w:color="auto"/>
      </w:divBdr>
    </w:div>
    <w:div w:id="2005426437">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juddjacob\Desktop\Exhibit%207%20Measure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Passengers</c:v>
          </c:tx>
          <c:spPr>
            <a:ln w="28575" cap="rnd">
              <a:solidFill>
                <a:schemeClr val="accent1"/>
              </a:solidFill>
              <a:round/>
            </a:ln>
            <a:effectLst/>
          </c:spPr>
          <c:marker>
            <c:symbol val="none"/>
          </c:marker>
          <c:cat>
            <c:numRef>
              <c:f>'New Exhibit'!$A$2:$A$19</c:f>
              <c:numCache>
                <c:formatCode>General</c:formatCode>
                <c:ptCount val="18"/>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pt idx="14">
                  <c:v>2022</c:v>
                </c:pt>
                <c:pt idx="15">
                  <c:v>2023</c:v>
                </c:pt>
                <c:pt idx="16">
                  <c:v>2024</c:v>
                </c:pt>
                <c:pt idx="17">
                  <c:v>2025</c:v>
                </c:pt>
              </c:numCache>
            </c:numRef>
          </c:cat>
          <c:val>
            <c:numRef>
              <c:f>'New Exhibit'!$B$2:$B$19</c:f>
              <c:numCache>
                <c:formatCode>General</c:formatCode>
                <c:ptCount val="18"/>
                <c:pt idx="0">
                  <c:v>2250</c:v>
                </c:pt>
                <c:pt idx="1">
                  <c:v>2200</c:v>
                </c:pt>
                <c:pt idx="2">
                  <c:v>2400</c:v>
                </c:pt>
                <c:pt idx="3">
                  <c:v>2525</c:v>
                </c:pt>
                <c:pt idx="4">
                  <c:v>2650</c:v>
                </c:pt>
                <c:pt idx="5">
                  <c:v>2800</c:v>
                </c:pt>
                <c:pt idx="6">
                  <c:v>2900</c:v>
                </c:pt>
                <c:pt idx="7">
                  <c:v>3100</c:v>
                </c:pt>
                <c:pt idx="8">
                  <c:v>3250</c:v>
                </c:pt>
                <c:pt idx="9">
                  <c:v>3500</c:v>
                </c:pt>
                <c:pt idx="10">
                  <c:v>3750</c:v>
                </c:pt>
                <c:pt idx="11">
                  <c:v>3950</c:v>
                </c:pt>
                <c:pt idx="12">
                  <c:v>1750</c:v>
                </c:pt>
                <c:pt idx="13">
                  <c:v>2900</c:v>
                </c:pt>
                <c:pt idx="14">
                  <c:v>3700</c:v>
                </c:pt>
                <c:pt idx="15">
                  <c:v>4050</c:v>
                </c:pt>
                <c:pt idx="16">
                  <c:v>4400</c:v>
                </c:pt>
                <c:pt idx="17">
                  <c:v>4700</c:v>
                </c:pt>
              </c:numCache>
            </c:numRef>
          </c:val>
          <c:smooth val="0"/>
          <c:extLst>
            <c:ext xmlns:c16="http://schemas.microsoft.com/office/drawing/2014/chart" uri="{C3380CC4-5D6E-409C-BE32-E72D297353CC}">
              <c16:uniqueId val="{00000000-2F73-FE4E-B538-8AFEBA09248A}"/>
            </c:ext>
          </c:extLst>
        </c:ser>
        <c:dLbls>
          <c:showLegendKey val="0"/>
          <c:showVal val="0"/>
          <c:showCatName val="0"/>
          <c:showSerName val="0"/>
          <c:showPercent val="0"/>
          <c:showBubbleSize val="0"/>
        </c:dLbls>
        <c:smooth val="0"/>
        <c:axId val="190033920"/>
        <c:axId val="155436160"/>
      </c:lineChart>
      <c:catAx>
        <c:axId val="1900339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36160"/>
        <c:crosses val="autoZero"/>
        <c:auto val="1"/>
        <c:lblAlgn val="ctr"/>
        <c:lblOffset val="100"/>
        <c:noMultiLvlLbl val="0"/>
      </c:catAx>
      <c:valAx>
        <c:axId val="15543616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Passengers Flown Globally (Millions)</a:t>
                </a:r>
              </a:p>
            </c:rich>
          </c:tx>
          <c:overlay val="0"/>
          <c:spPr>
            <a:noFill/>
            <a:ln>
              <a:noFill/>
            </a:ln>
            <a:effectLst/>
          </c:spPr>
        </c:title>
        <c:numFmt formatCode="General" sourceLinked="1"/>
        <c:majorTickMark val="out"/>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33920"/>
        <c:crosses val="autoZero"/>
        <c:crossBetween val="between"/>
      </c:valAx>
      <c:spPr>
        <a:noFill/>
        <a:ln>
          <a:noFill/>
        </a:ln>
        <a:effectLst/>
      </c:spPr>
    </c:plotArea>
    <c:legend>
      <c:legendPos val="t"/>
      <c:layout>
        <c:manualLayout>
          <c:xMode val="edge"/>
          <c:yMode val="edge"/>
          <c:x val="0.16531984712808981"/>
          <c:y val="0.12078152753108348"/>
          <c:w val="0.19105556305966295"/>
          <c:h val="0.216252639823219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740E6-16EC-44FE-87EE-4CC3EF81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5875</Words>
  <Characters>33492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Harnett, Kira</cp:lastModifiedBy>
  <cp:revision>5</cp:revision>
  <cp:lastPrinted>2015-03-04T20:34:00Z</cp:lastPrinted>
  <dcterms:created xsi:type="dcterms:W3CDTF">2021-01-28T14:33:00Z</dcterms:created>
  <dcterms:modified xsi:type="dcterms:W3CDTF">2021-01-28T15:25:00Z</dcterms:modified>
</cp:coreProperties>
</file>