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66B42EA9" w:rsidR="003A5366" w:rsidRPr="000C27AA" w:rsidRDefault="00CE78A8" w:rsidP="00C02410">
      <w:pPr>
        <w:pBdr>
          <w:bottom w:val="single" w:sz="18" w:space="1" w:color="auto"/>
        </w:pBdr>
        <w:tabs>
          <w:tab w:val="left" w:pos="-1440"/>
          <w:tab w:val="left" w:pos="-720"/>
          <w:tab w:val="left" w:pos="1"/>
        </w:tabs>
        <w:jc w:val="both"/>
        <w:rPr>
          <w:rFonts w:ascii="Arial" w:hAnsi="Arial"/>
          <w:b/>
          <w:sz w:val="24"/>
          <w:lang w:val="en-CA"/>
        </w:rPr>
      </w:pPr>
      <w:r w:rsidRPr="00A569EA">
        <w:rPr>
          <w:rFonts w:ascii="Arial" w:hAnsi="Arial"/>
          <w:b/>
          <w:noProof/>
          <w:sz w:val="24"/>
          <w:lang w:val="en-CA" w:eastAsia="en-CA"/>
        </w:rPr>
        <w:drawing>
          <wp:inline distT="0" distB="0" distL="0" distR="0" wp14:anchorId="296EFB70" wp14:editId="21B0BCB3">
            <wp:extent cx="2613804" cy="551245"/>
            <wp:effectExtent l="0" t="0" r="0" b="127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D7CAA23" w:rsidR="00C02410" w:rsidRPr="000C27AA" w:rsidRDefault="0094358C" w:rsidP="00C02410">
      <w:pPr>
        <w:pStyle w:val="ProductNumber"/>
        <w:rPr>
          <w:lang w:val="en-CA"/>
        </w:rPr>
      </w:pPr>
      <w:r>
        <w:rPr>
          <w:lang w:val="en-CA"/>
        </w:rPr>
        <w:t>9B21M011</w:t>
      </w:r>
    </w:p>
    <w:p w14:paraId="4E057522" w14:textId="7A113CB1" w:rsidR="00D75295" w:rsidRPr="000C27AA" w:rsidRDefault="00D75295" w:rsidP="00D75295">
      <w:pPr>
        <w:jc w:val="right"/>
        <w:rPr>
          <w:rFonts w:ascii="Arial" w:hAnsi="Arial"/>
          <w:b/>
          <w:lang w:val="en-CA"/>
        </w:rPr>
      </w:pPr>
    </w:p>
    <w:p w14:paraId="02524312" w14:textId="77777777" w:rsidR="001901C0" w:rsidRPr="000C27AA" w:rsidRDefault="001901C0" w:rsidP="00D75295">
      <w:pPr>
        <w:jc w:val="right"/>
        <w:rPr>
          <w:rFonts w:ascii="Arial" w:hAnsi="Arial"/>
          <w:b/>
          <w:lang w:val="en-CA"/>
        </w:rPr>
      </w:pPr>
    </w:p>
    <w:p w14:paraId="2F03D26A" w14:textId="3D4122CB" w:rsidR="00013360" w:rsidRPr="000C27AA" w:rsidRDefault="00FC7374" w:rsidP="00013360">
      <w:pPr>
        <w:pStyle w:val="CaseTitle"/>
        <w:spacing w:after="0" w:line="240" w:lineRule="auto"/>
        <w:rPr>
          <w:sz w:val="20"/>
          <w:szCs w:val="20"/>
          <w:lang w:val="en-CA"/>
        </w:rPr>
      </w:pPr>
      <w:r w:rsidRPr="000C27AA">
        <w:rPr>
          <w:rFonts w:eastAsia="Arial"/>
          <w:iCs/>
          <w:lang w:val="en-CA"/>
        </w:rPr>
        <w:t>Note on the Global Airline Industry in 2020</w:t>
      </w:r>
    </w:p>
    <w:p w14:paraId="40ABF6FD" w14:textId="2FC7F45C" w:rsidR="00CA3976" w:rsidRPr="000C27AA" w:rsidRDefault="00CA3976" w:rsidP="00013360">
      <w:pPr>
        <w:pStyle w:val="CaseTitle"/>
        <w:spacing w:after="0" w:line="240" w:lineRule="auto"/>
        <w:rPr>
          <w:sz w:val="20"/>
          <w:szCs w:val="20"/>
          <w:lang w:val="en-CA"/>
        </w:rPr>
      </w:pPr>
    </w:p>
    <w:p w14:paraId="202F1085" w14:textId="77777777" w:rsidR="00013360" w:rsidRPr="000C27AA" w:rsidRDefault="00013360" w:rsidP="00013360">
      <w:pPr>
        <w:pStyle w:val="CaseTitle"/>
        <w:spacing w:after="0" w:line="240" w:lineRule="auto"/>
        <w:rPr>
          <w:sz w:val="20"/>
          <w:szCs w:val="20"/>
          <w:lang w:val="en-CA"/>
        </w:rPr>
      </w:pPr>
    </w:p>
    <w:p w14:paraId="58B0C73F" w14:textId="4479933A" w:rsidR="00086B26" w:rsidRPr="000C27AA" w:rsidRDefault="00FC7374" w:rsidP="00086B26">
      <w:pPr>
        <w:pStyle w:val="StyleCopyrightStatementAfter0ptBottomSinglesolidline1"/>
        <w:rPr>
          <w:lang w:val="en-CA"/>
        </w:rPr>
      </w:pPr>
      <w:r w:rsidRPr="000C27AA">
        <w:rPr>
          <w:lang w:val="en-CA"/>
        </w:rPr>
        <w:t>Professor Benjamin Gomes-Casseres and Jacob Judd</w:t>
      </w:r>
      <w:r w:rsidR="00ED7922" w:rsidRPr="000C27AA">
        <w:rPr>
          <w:rFonts w:cs="Arial"/>
          <w:szCs w:val="16"/>
          <w:lang w:val="en-CA"/>
        </w:rPr>
        <w:t xml:space="preserve"> </w:t>
      </w:r>
      <w:r w:rsidR="00086B26" w:rsidRPr="000C27AA">
        <w:rPr>
          <w:lang w:val="en-CA"/>
        </w:rPr>
        <w:t xml:space="preserve">wrote this </w:t>
      </w:r>
      <w:r w:rsidRPr="000C27AA">
        <w:rPr>
          <w:lang w:val="en-CA"/>
        </w:rPr>
        <w:t>note</w:t>
      </w:r>
      <w:r w:rsidR="00086B26" w:rsidRPr="000C27AA">
        <w:rPr>
          <w:lang w:val="en-CA"/>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0C27AA" w:rsidRDefault="00086B26" w:rsidP="00086B26">
      <w:pPr>
        <w:pStyle w:val="StyleCopyrightStatementAfter0ptBottomSinglesolidline1"/>
        <w:rPr>
          <w:lang w:val="en-CA"/>
        </w:rPr>
      </w:pPr>
    </w:p>
    <w:p w14:paraId="1EEEBFE5" w14:textId="13B8B2DF" w:rsidR="00A323B0" w:rsidRPr="000C27AA" w:rsidRDefault="00CE78A8" w:rsidP="00A323B0">
      <w:pPr>
        <w:pStyle w:val="StyleStyleCopyrightStatementAfter0ptBottomSinglesolid"/>
        <w:rPr>
          <w:rFonts w:cs="Arial"/>
          <w:szCs w:val="16"/>
          <w:lang w:val="en-CA"/>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3A5366" w:rsidRPr="000C27AA" w:rsidRDefault="003A5366" w:rsidP="00A323B0">
      <w:pPr>
        <w:pStyle w:val="StyleStyleCopyrightStatementAfter0ptBottomSinglesolid"/>
        <w:rPr>
          <w:rFonts w:cs="Arial"/>
          <w:szCs w:val="16"/>
          <w:lang w:val="en-CA"/>
        </w:rPr>
      </w:pPr>
    </w:p>
    <w:p w14:paraId="3922E14F" w14:textId="66EF837D" w:rsidR="00751E0B" w:rsidRPr="000C27AA" w:rsidRDefault="00CE78A8" w:rsidP="00A323B0">
      <w:pPr>
        <w:pStyle w:val="StyleStyleCopyrightStatementAfter0ptBottomSinglesolid"/>
        <w:rPr>
          <w:rFonts w:cs="Arial"/>
          <w:szCs w:val="16"/>
          <w:lang w:val="en-CA"/>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0C27AA">
        <w:rPr>
          <w:rFonts w:cs="Arial"/>
          <w:iCs w:val="0"/>
          <w:color w:val="auto"/>
          <w:szCs w:val="16"/>
          <w:lang w:val="en-CA"/>
        </w:rPr>
        <w:tab/>
        <w:t xml:space="preserve">Version: </w:t>
      </w:r>
      <w:r w:rsidR="00026DB0" w:rsidRPr="000C27AA">
        <w:rPr>
          <w:rFonts w:cs="Arial"/>
          <w:iCs w:val="0"/>
          <w:color w:val="auto"/>
          <w:szCs w:val="16"/>
          <w:lang w:val="en-CA"/>
        </w:rPr>
        <w:t>2021</w:t>
      </w:r>
      <w:r w:rsidR="00042E72" w:rsidRPr="000C27AA">
        <w:rPr>
          <w:rFonts w:cs="Arial"/>
          <w:iCs w:val="0"/>
          <w:color w:val="auto"/>
          <w:szCs w:val="16"/>
          <w:lang w:val="en-CA"/>
        </w:rPr>
        <w:t>-</w:t>
      </w:r>
      <w:r w:rsidR="004819F4" w:rsidRPr="000C27AA">
        <w:rPr>
          <w:rFonts w:cs="Arial"/>
          <w:iCs w:val="0"/>
          <w:color w:val="auto"/>
          <w:szCs w:val="16"/>
          <w:lang w:val="en-CA"/>
        </w:rPr>
        <w:t>01-</w:t>
      </w:r>
      <w:r w:rsidR="0094358C" w:rsidRPr="000C27AA">
        <w:rPr>
          <w:rFonts w:cs="Arial"/>
          <w:iCs w:val="0"/>
          <w:color w:val="auto"/>
          <w:szCs w:val="16"/>
          <w:lang w:val="en-CA"/>
        </w:rPr>
        <w:t>2</w:t>
      </w:r>
      <w:r w:rsidR="0094358C">
        <w:rPr>
          <w:rFonts w:cs="Arial"/>
          <w:iCs w:val="0"/>
          <w:color w:val="auto"/>
          <w:szCs w:val="16"/>
          <w:lang w:val="en-CA"/>
        </w:rPr>
        <w:t>8</w:t>
      </w:r>
    </w:p>
    <w:p w14:paraId="0A2A54E4" w14:textId="58C83FC5" w:rsidR="00751E0B" w:rsidRPr="00CE78A8" w:rsidRDefault="00751E0B" w:rsidP="00751E0B">
      <w:pPr>
        <w:pStyle w:val="StyleCopyrightStatementAfter0ptBottomSinglesolidline1"/>
        <w:rPr>
          <w:rFonts w:ascii="Times New Roman" w:hAnsi="Times New Roman"/>
          <w:sz w:val="20"/>
          <w:szCs w:val="16"/>
          <w:lang w:val="en-CA"/>
        </w:rPr>
      </w:pPr>
    </w:p>
    <w:p w14:paraId="15435451" w14:textId="77777777" w:rsidR="00D41428" w:rsidRPr="00CE78A8" w:rsidRDefault="00D41428" w:rsidP="00751E0B">
      <w:pPr>
        <w:pStyle w:val="StyleCopyrightStatementAfter0ptBottomSinglesolidline1"/>
        <w:rPr>
          <w:rFonts w:ascii="Times New Roman" w:hAnsi="Times New Roman"/>
          <w:sz w:val="20"/>
          <w:szCs w:val="16"/>
          <w:lang w:val="en-CA"/>
        </w:rPr>
      </w:pPr>
    </w:p>
    <w:p w14:paraId="3420C613" w14:textId="1B1CAD3A" w:rsidR="00FC7374" w:rsidRPr="000C27AA" w:rsidRDefault="0081005E" w:rsidP="00711885">
      <w:pPr>
        <w:pStyle w:val="BodyTextMain"/>
        <w:rPr>
          <w:spacing w:val="-4"/>
          <w:kern w:val="22"/>
          <w:lang w:val="en-CA"/>
        </w:rPr>
      </w:pPr>
      <w:r w:rsidRPr="000C27AA">
        <w:rPr>
          <w:spacing w:val="-4"/>
          <w:kern w:val="22"/>
          <w:lang w:val="en-CA"/>
        </w:rPr>
        <w:t>In 2019, t</w:t>
      </w:r>
      <w:r w:rsidR="00FC7374" w:rsidRPr="000C27AA">
        <w:rPr>
          <w:spacing w:val="-4"/>
          <w:kern w:val="22"/>
          <w:lang w:val="en-CA"/>
        </w:rPr>
        <w:t xml:space="preserve">he </w:t>
      </w:r>
      <w:r w:rsidR="005849C0" w:rsidRPr="000C27AA">
        <w:rPr>
          <w:spacing w:val="-4"/>
          <w:kern w:val="22"/>
          <w:lang w:val="en-CA"/>
        </w:rPr>
        <w:t xml:space="preserve">global </w:t>
      </w:r>
      <w:r w:rsidR="00FC7374" w:rsidRPr="000C27AA">
        <w:rPr>
          <w:spacing w:val="-4"/>
          <w:kern w:val="22"/>
          <w:lang w:val="en-CA"/>
        </w:rPr>
        <w:t xml:space="preserve">airline industry generated revenues of over </w:t>
      </w:r>
      <w:r w:rsidR="00D05854" w:rsidRPr="000C27AA">
        <w:rPr>
          <w:spacing w:val="-4"/>
          <w:kern w:val="22"/>
          <w:lang w:val="en-CA"/>
        </w:rPr>
        <w:t>US</w:t>
      </w:r>
      <w:r w:rsidR="00FC7374" w:rsidRPr="000C27AA">
        <w:rPr>
          <w:spacing w:val="-4"/>
          <w:kern w:val="22"/>
          <w:lang w:val="en-CA"/>
        </w:rPr>
        <w:t>$880 billion.</w:t>
      </w:r>
      <w:r w:rsidR="00D05854" w:rsidRPr="000C27AA">
        <w:rPr>
          <w:rStyle w:val="EndnoteReference"/>
          <w:spacing w:val="-4"/>
          <w:kern w:val="22"/>
          <w:lang w:val="en-CA"/>
        </w:rPr>
        <w:endnoteReference w:id="1"/>
      </w:r>
      <w:r w:rsidR="00FC7374" w:rsidRPr="000C27AA">
        <w:rPr>
          <w:spacing w:val="-4"/>
          <w:kern w:val="22"/>
          <w:lang w:val="en-CA"/>
        </w:rPr>
        <w:t xml:space="preserve"> One year later, as the C</w:t>
      </w:r>
      <w:r w:rsidR="00711885" w:rsidRPr="000C27AA">
        <w:rPr>
          <w:spacing w:val="-4"/>
          <w:kern w:val="22"/>
          <w:lang w:val="en-CA"/>
        </w:rPr>
        <w:t>OVID</w:t>
      </w:r>
      <w:r w:rsidR="00FC7374" w:rsidRPr="000C27AA">
        <w:rPr>
          <w:spacing w:val="-4"/>
          <w:kern w:val="22"/>
          <w:lang w:val="en-CA"/>
        </w:rPr>
        <w:t>-19 pandemic raged, demand had fallen to half of its previous level and airlines faced tough challenges.</w:t>
      </w:r>
      <w:r w:rsidR="00FC7374" w:rsidRPr="000C27AA">
        <w:rPr>
          <w:rStyle w:val="EndnoteReference"/>
          <w:bCs/>
          <w:spacing w:val="-4"/>
          <w:kern w:val="22"/>
          <w:lang w:val="en-CA"/>
        </w:rPr>
        <w:endnoteReference w:id="2"/>
      </w:r>
      <w:r w:rsidR="00FC7374" w:rsidRPr="000C27AA">
        <w:rPr>
          <w:spacing w:val="-4"/>
          <w:kern w:val="22"/>
          <w:lang w:val="en-CA"/>
        </w:rPr>
        <w:t xml:space="preserve"> </w:t>
      </w:r>
      <w:r w:rsidR="00711885" w:rsidRPr="000C27AA">
        <w:rPr>
          <w:spacing w:val="-4"/>
          <w:kern w:val="22"/>
          <w:lang w:val="en-CA"/>
        </w:rPr>
        <w:t xml:space="preserve">The COVID-19 pandemic was a new and severe </w:t>
      </w:r>
      <w:r w:rsidR="005849C0" w:rsidRPr="000C27AA">
        <w:rPr>
          <w:spacing w:val="-4"/>
          <w:kern w:val="22"/>
          <w:lang w:val="en-CA"/>
        </w:rPr>
        <w:t>crisis. T</w:t>
      </w:r>
      <w:r w:rsidR="00711885" w:rsidRPr="000C27AA">
        <w:rPr>
          <w:spacing w:val="-4"/>
          <w:kern w:val="22"/>
          <w:lang w:val="en-CA"/>
        </w:rPr>
        <w:t>he responses of airlines and their alliances depended on the fundamental economics and structure of the industry. To devise new strategies for their futures, global airlines had to consider</w:t>
      </w:r>
      <w:r w:rsidR="00FC7374" w:rsidRPr="000C27AA">
        <w:rPr>
          <w:spacing w:val="-4"/>
          <w:kern w:val="22"/>
          <w:lang w:val="en-CA"/>
        </w:rPr>
        <w:t xml:space="preserve"> the economics and market structure of the</w:t>
      </w:r>
      <w:r w:rsidR="00711885" w:rsidRPr="000C27AA">
        <w:rPr>
          <w:spacing w:val="-4"/>
          <w:kern w:val="22"/>
          <w:lang w:val="en-CA"/>
        </w:rPr>
        <w:t>ir</w:t>
      </w:r>
      <w:r w:rsidR="00FC7374" w:rsidRPr="000C27AA">
        <w:rPr>
          <w:spacing w:val="-4"/>
          <w:kern w:val="22"/>
          <w:lang w:val="en-CA"/>
        </w:rPr>
        <w:t xml:space="preserve"> industry. Would the fundamental economics of the airline industry be forever affected? Would the industry return to a “new normal” at some point?</w:t>
      </w:r>
      <w:r w:rsidR="00711885" w:rsidRPr="000C27AA">
        <w:rPr>
          <w:spacing w:val="-4"/>
          <w:kern w:val="22"/>
          <w:lang w:val="en-CA"/>
        </w:rPr>
        <w:t xml:space="preserve"> </w:t>
      </w:r>
    </w:p>
    <w:p w14:paraId="685BA28A" w14:textId="77777777" w:rsidR="00FC7374" w:rsidRPr="00CE78A8" w:rsidRDefault="00FC7374" w:rsidP="00FC7374">
      <w:pPr>
        <w:pStyle w:val="BodyTextMain"/>
        <w:rPr>
          <w:lang w:val="en-CA"/>
        </w:rPr>
      </w:pPr>
    </w:p>
    <w:p w14:paraId="2666763F" w14:textId="12C9F487" w:rsidR="00711885" w:rsidRPr="00CE78A8" w:rsidRDefault="00711885" w:rsidP="00FC7374">
      <w:pPr>
        <w:pStyle w:val="BodyTextMain"/>
        <w:rPr>
          <w:lang w:val="en-CA"/>
        </w:rPr>
      </w:pPr>
    </w:p>
    <w:p w14:paraId="68B6901E" w14:textId="7693B50D" w:rsidR="003B1C6F" w:rsidRPr="000C27AA" w:rsidRDefault="003B1C6F" w:rsidP="004819F4">
      <w:pPr>
        <w:pStyle w:val="Casehead1"/>
        <w:rPr>
          <w:lang w:val="en-CA"/>
        </w:rPr>
      </w:pPr>
      <w:r w:rsidRPr="000C27AA">
        <w:rPr>
          <w:lang w:val="en-CA"/>
        </w:rPr>
        <w:t>The GLOBAL AIRLINE INDUSTRY</w:t>
      </w:r>
    </w:p>
    <w:p w14:paraId="145015F5" w14:textId="77777777" w:rsidR="00711885" w:rsidRPr="00CE78A8" w:rsidRDefault="00711885" w:rsidP="00FC7374">
      <w:pPr>
        <w:pStyle w:val="BodyTextMain"/>
        <w:rPr>
          <w:lang w:val="en-CA"/>
        </w:rPr>
      </w:pPr>
    </w:p>
    <w:p w14:paraId="1E776798" w14:textId="24F64C0F" w:rsidR="00FC7374" w:rsidRPr="000C27AA" w:rsidRDefault="00FC7374" w:rsidP="00FC7374">
      <w:pPr>
        <w:pStyle w:val="BodyTextMain"/>
        <w:rPr>
          <w:lang w:val="en-CA"/>
        </w:rPr>
      </w:pPr>
      <w:r w:rsidRPr="000C27AA">
        <w:rPr>
          <w:lang w:val="en-CA"/>
        </w:rPr>
        <w:t>The global airline business had historically been highly regulated and safeguarded by domestic governments who saw airlines as national entities. In the 1970s and 1980s, a wave of deregulation paved the way for increased consolidation and the formation of airline alliances</w:t>
      </w:r>
      <w:r w:rsidR="00711885" w:rsidRPr="000C27AA">
        <w:rPr>
          <w:lang w:val="en-CA"/>
        </w:rPr>
        <w:t>, known in the industry as</w:t>
      </w:r>
      <w:r w:rsidRPr="000C27AA">
        <w:rPr>
          <w:lang w:val="en-CA"/>
        </w:rPr>
        <w:t xml:space="preserve"> “constellations</w:t>
      </w:r>
      <w:r w:rsidR="00711885" w:rsidRPr="000C27AA">
        <w:rPr>
          <w:lang w:val="en-CA"/>
        </w:rPr>
        <w:t>.</w:t>
      </w:r>
      <w:r w:rsidRPr="000C27AA">
        <w:rPr>
          <w:lang w:val="en-CA"/>
        </w:rPr>
        <w:t>”</w:t>
      </w:r>
      <w:r w:rsidRPr="000C27AA">
        <w:rPr>
          <w:vertAlign w:val="superscript"/>
          <w:lang w:val="en-CA"/>
        </w:rPr>
        <w:endnoteReference w:id="3"/>
      </w:r>
      <w:r w:rsidR="00711885" w:rsidRPr="000C27AA">
        <w:rPr>
          <w:lang w:val="en-CA"/>
        </w:rPr>
        <w:t xml:space="preserve"> Three such alliances connected their members across the globe</w:t>
      </w:r>
      <w:r w:rsidR="0081005E" w:rsidRPr="000C27AA">
        <w:rPr>
          <w:lang w:val="en-CA"/>
        </w:rPr>
        <w:t>: Star Allian</w:t>
      </w:r>
      <w:r w:rsidR="00131244" w:rsidRPr="000C27AA">
        <w:rPr>
          <w:lang w:val="en-CA"/>
        </w:rPr>
        <w:t>c</w:t>
      </w:r>
      <w:r w:rsidR="0081005E" w:rsidRPr="000C27AA">
        <w:rPr>
          <w:lang w:val="en-CA"/>
        </w:rPr>
        <w:t>e, Oneworld, and Sky</w:t>
      </w:r>
      <w:r w:rsidR="008E4AB2" w:rsidRPr="000C27AA">
        <w:rPr>
          <w:lang w:val="en-CA"/>
        </w:rPr>
        <w:t>Team</w:t>
      </w:r>
      <w:r w:rsidR="00711885" w:rsidRPr="000C27AA">
        <w:rPr>
          <w:lang w:val="en-CA"/>
        </w:rPr>
        <w:t>.</w:t>
      </w:r>
      <w:r w:rsidRPr="000C27AA">
        <w:rPr>
          <w:lang w:val="en-CA"/>
        </w:rPr>
        <w:t xml:space="preserve"> Member airlines </w:t>
      </w:r>
      <w:r w:rsidR="0081005E" w:rsidRPr="000C27AA">
        <w:rPr>
          <w:lang w:val="en-CA"/>
        </w:rPr>
        <w:t xml:space="preserve">of these constellations </w:t>
      </w:r>
      <w:r w:rsidRPr="000C27AA">
        <w:rPr>
          <w:lang w:val="en-CA"/>
        </w:rPr>
        <w:t xml:space="preserve">shared passengers with each other when making connections across different countries. This </w:t>
      </w:r>
      <w:r w:rsidR="0027410D" w:rsidRPr="000C27AA">
        <w:rPr>
          <w:lang w:val="en-CA"/>
        </w:rPr>
        <w:t xml:space="preserve">connection </w:t>
      </w:r>
      <w:r w:rsidRPr="000C27AA">
        <w:rPr>
          <w:lang w:val="en-CA"/>
        </w:rPr>
        <w:t>was part of a hub</w:t>
      </w:r>
      <w:r w:rsidR="00711885" w:rsidRPr="000C27AA">
        <w:rPr>
          <w:lang w:val="en-CA"/>
        </w:rPr>
        <w:t>-</w:t>
      </w:r>
      <w:r w:rsidRPr="000C27AA">
        <w:rPr>
          <w:lang w:val="en-CA"/>
        </w:rPr>
        <w:t>and</w:t>
      </w:r>
      <w:r w:rsidR="00711885" w:rsidRPr="000C27AA">
        <w:rPr>
          <w:lang w:val="en-CA"/>
        </w:rPr>
        <w:t>-</w:t>
      </w:r>
      <w:r w:rsidRPr="000C27AA">
        <w:rPr>
          <w:lang w:val="en-CA"/>
        </w:rPr>
        <w:t>spoke system, in which major airports served as hubs connecting the localities around them.</w:t>
      </w:r>
    </w:p>
    <w:p w14:paraId="16A32CAC" w14:textId="40A9C602" w:rsidR="00FC7374" w:rsidRPr="00CE78A8" w:rsidRDefault="00FC7374" w:rsidP="00FC7374">
      <w:pPr>
        <w:pStyle w:val="BodyTextMain"/>
        <w:rPr>
          <w:lang w:val="en-CA"/>
        </w:rPr>
      </w:pPr>
    </w:p>
    <w:p w14:paraId="4C1E201B" w14:textId="77777777" w:rsidR="00FC7374" w:rsidRPr="00CE78A8" w:rsidRDefault="00FC7374" w:rsidP="00FC7374">
      <w:pPr>
        <w:pStyle w:val="BodyTextMain"/>
        <w:rPr>
          <w:lang w:val="en-CA"/>
        </w:rPr>
      </w:pPr>
    </w:p>
    <w:p w14:paraId="0CF592A9" w14:textId="77777777" w:rsidR="00FC7374" w:rsidRPr="000C27AA" w:rsidRDefault="00FC7374" w:rsidP="00FC7374">
      <w:pPr>
        <w:pStyle w:val="Casehead1"/>
        <w:rPr>
          <w:lang w:val="en-CA"/>
        </w:rPr>
      </w:pPr>
      <w:r w:rsidRPr="000C27AA">
        <w:rPr>
          <w:lang w:val="en-CA"/>
        </w:rPr>
        <w:t>Economics of Airlines</w:t>
      </w:r>
    </w:p>
    <w:p w14:paraId="44081E82" w14:textId="77777777" w:rsidR="00FC7374" w:rsidRPr="00CE78A8" w:rsidRDefault="00FC7374" w:rsidP="00FC7374">
      <w:pPr>
        <w:pStyle w:val="BodyTextMain"/>
        <w:rPr>
          <w:lang w:val="en-CA"/>
        </w:rPr>
      </w:pPr>
    </w:p>
    <w:p w14:paraId="4371FE5C" w14:textId="6B84B997" w:rsidR="00131244" w:rsidRPr="000C27AA" w:rsidRDefault="00FC7374" w:rsidP="00FC7374">
      <w:pPr>
        <w:pStyle w:val="BodyTextMain"/>
        <w:rPr>
          <w:lang w:val="en-CA"/>
        </w:rPr>
      </w:pPr>
      <w:r w:rsidRPr="000C27AA">
        <w:rPr>
          <w:lang w:val="en-CA"/>
        </w:rPr>
        <w:t xml:space="preserve">The profitability of an airline typically depended upon a small number of key cost and revenue drivers, </w:t>
      </w:r>
      <w:r w:rsidR="0081005E" w:rsidRPr="000C27AA">
        <w:rPr>
          <w:lang w:val="en-CA"/>
        </w:rPr>
        <w:t>which</w:t>
      </w:r>
      <w:r w:rsidRPr="000C27AA">
        <w:rPr>
          <w:lang w:val="en-CA"/>
        </w:rPr>
        <w:t xml:space="preserve"> the industry used specific formulas to track (</w:t>
      </w:r>
      <w:r w:rsidR="00131244" w:rsidRPr="000C27AA">
        <w:rPr>
          <w:lang w:val="en-CA"/>
        </w:rPr>
        <w:t xml:space="preserve">see </w:t>
      </w:r>
      <w:r w:rsidRPr="000C27AA">
        <w:rPr>
          <w:lang w:val="en-CA"/>
        </w:rPr>
        <w:t xml:space="preserve">Exhibit 1). The key revenue drivers were capacity, load factor, and passenger yield. The unit of analysis for measuring capacity of a given flight was </w:t>
      </w:r>
      <w:r w:rsidR="00131244" w:rsidRPr="000C27AA">
        <w:rPr>
          <w:lang w:val="en-CA"/>
        </w:rPr>
        <w:t>referred to as</w:t>
      </w:r>
      <w:r w:rsidRPr="000C27AA">
        <w:rPr>
          <w:lang w:val="en-CA"/>
        </w:rPr>
        <w:t xml:space="preserve"> seat kilometr</w:t>
      </w:r>
      <w:r w:rsidR="00131244" w:rsidRPr="000C27AA">
        <w:rPr>
          <w:lang w:val="en-CA"/>
        </w:rPr>
        <w:t>es, which calculated</w:t>
      </w:r>
      <w:r w:rsidRPr="000C27AA">
        <w:rPr>
          <w:lang w:val="en-CA"/>
        </w:rPr>
        <w:t xml:space="preserve"> the number of seats multiplied by the distance flown. </w:t>
      </w:r>
    </w:p>
    <w:p w14:paraId="04F9F82A" w14:textId="77777777" w:rsidR="00131244" w:rsidRPr="00CE78A8" w:rsidRDefault="00131244" w:rsidP="00FC7374">
      <w:pPr>
        <w:pStyle w:val="BodyTextMain"/>
        <w:rPr>
          <w:lang w:val="en-CA"/>
        </w:rPr>
      </w:pPr>
    </w:p>
    <w:p w14:paraId="2B91CCDC" w14:textId="1E471BB2" w:rsidR="00FC7374" w:rsidRDefault="00FC7374" w:rsidP="00FC7374">
      <w:pPr>
        <w:pStyle w:val="BodyTextMain"/>
        <w:rPr>
          <w:lang w:val="en-CA"/>
        </w:rPr>
      </w:pPr>
      <w:r w:rsidRPr="000C27AA">
        <w:rPr>
          <w:lang w:val="en-CA"/>
        </w:rPr>
        <w:t>Available seat kilometr</w:t>
      </w:r>
      <w:r w:rsidR="00131244" w:rsidRPr="000C27AA">
        <w:rPr>
          <w:lang w:val="en-CA"/>
        </w:rPr>
        <w:t>e</w:t>
      </w:r>
      <w:r w:rsidRPr="000C27AA">
        <w:rPr>
          <w:lang w:val="en-CA"/>
        </w:rPr>
        <w:t>s (ASK) on a flight</w:t>
      </w:r>
      <w:r w:rsidR="00131244" w:rsidRPr="000C27AA">
        <w:rPr>
          <w:lang w:val="en-CA"/>
        </w:rPr>
        <w:t xml:space="preserve"> represented</w:t>
      </w:r>
      <w:r w:rsidRPr="000C27AA">
        <w:rPr>
          <w:lang w:val="en-CA"/>
        </w:rPr>
        <w:t xml:space="preserve"> the number of total seats</w:t>
      </w:r>
      <w:r w:rsidR="005849C0" w:rsidRPr="000C27AA">
        <w:rPr>
          <w:lang w:val="en-CA"/>
        </w:rPr>
        <w:t>. R</w:t>
      </w:r>
      <w:r w:rsidRPr="000C27AA">
        <w:rPr>
          <w:lang w:val="en-CA"/>
        </w:rPr>
        <w:t xml:space="preserve">evenue </w:t>
      </w:r>
      <w:r w:rsidR="00D8624C" w:rsidRPr="000C27AA">
        <w:rPr>
          <w:lang w:val="en-CA"/>
        </w:rPr>
        <w:t>passenger</w:t>
      </w:r>
      <w:r w:rsidRPr="000C27AA">
        <w:rPr>
          <w:lang w:val="en-CA"/>
        </w:rPr>
        <w:t xml:space="preserve"> kilometr</w:t>
      </w:r>
      <w:r w:rsidR="00131244" w:rsidRPr="000C27AA">
        <w:rPr>
          <w:lang w:val="en-CA"/>
        </w:rPr>
        <w:t>e</w:t>
      </w:r>
      <w:r w:rsidRPr="000C27AA">
        <w:rPr>
          <w:lang w:val="en-CA"/>
        </w:rPr>
        <w:t>s (RPK)</w:t>
      </w:r>
      <w:r w:rsidR="00131244" w:rsidRPr="000C27AA">
        <w:rPr>
          <w:lang w:val="en-CA"/>
        </w:rPr>
        <w:t xml:space="preserve"> represented</w:t>
      </w:r>
      <w:r w:rsidRPr="000C27AA">
        <w:rPr>
          <w:lang w:val="en-CA"/>
        </w:rPr>
        <w:t xml:space="preserve"> seats filled with paying passengers.</w:t>
      </w:r>
      <w:r w:rsidR="00131244" w:rsidRPr="000C27AA">
        <w:rPr>
          <w:lang w:val="en-CA"/>
        </w:rPr>
        <w:t xml:space="preserve"> </w:t>
      </w:r>
      <w:r w:rsidRPr="000C27AA">
        <w:rPr>
          <w:lang w:val="en-CA"/>
        </w:rPr>
        <w:t>The ratio</w:t>
      </w:r>
      <w:r w:rsidR="00131244" w:rsidRPr="000C27AA">
        <w:rPr>
          <w:lang w:val="en-CA"/>
        </w:rPr>
        <w:t xml:space="preserve"> of</w:t>
      </w:r>
      <w:r w:rsidRPr="000C27AA">
        <w:rPr>
          <w:lang w:val="en-CA"/>
        </w:rPr>
        <w:t xml:space="preserve"> RPK over ASK determined the load</w:t>
      </w:r>
      <w:r w:rsidR="00131244" w:rsidRPr="000C27AA">
        <w:rPr>
          <w:lang w:val="en-CA"/>
        </w:rPr>
        <w:t xml:space="preserve"> factor </w:t>
      </w:r>
      <w:r w:rsidRPr="000C27AA">
        <w:rPr>
          <w:lang w:val="en-CA"/>
        </w:rPr>
        <w:t xml:space="preserve">of the flight, </w:t>
      </w:r>
      <w:r w:rsidR="00131244" w:rsidRPr="000C27AA">
        <w:rPr>
          <w:lang w:val="en-CA"/>
        </w:rPr>
        <w:t>which referred to</w:t>
      </w:r>
      <w:r w:rsidRPr="000C27AA">
        <w:rPr>
          <w:lang w:val="en-CA"/>
        </w:rPr>
        <w:t xml:space="preserve"> the capacity u</w:t>
      </w:r>
      <w:r w:rsidR="0027410D" w:rsidRPr="000C27AA">
        <w:rPr>
          <w:lang w:val="en-CA"/>
        </w:rPr>
        <w:t>se</w:t>
      </w:r>
      <w:r w:rsidRPr="000C27AA">
        <w:rPr>
          <w:lang w:val="en-CA"/>
        </w:rPr>
        <w:t xml:space="preserve"> for </w:t>
      </w:r>
      <w:r w:rsidR="00131244" w:rsidRPr="000C27AA">
        <w:rPr>
          <w:lang w:val="en-CA"/>
        </w:rPr>
        <w:t xml:space="preserve">a </w:t>
      </w:r>
      <w:proofErr w:type="gramStart"/>
      <w:r w:rsidR="00131244" w:rsidRPr="000C27AA">
        <w:rPr>
          <w:lang w:val="en-CA"/>
        </w:rPr>
        <w:t>particular</w:t>
      </w:r>
      <w:r w:rsidRPr="000C27AA">
        <w:rPr>
          <w:lang w:val="en-CA"/>
        </w:rPr>
        <w:t xml:space="preserve"> flight</w:t>
      </w:r>
      <w:proofErr w:type="gramEnd"/>
      <w:r w:rsidRPr="000C27AA">
        <w:rPr>
          <w:lang w:val="en-CA"/>
        </w:rPr>
        <w:t xml:space="preserve">. When aggregated over time and across the flights of an airline, </w:t>
      </w:r>
      <w:r w:rsidR="00131244" w:rsidRPr="000C27AA">
        <w:rPr>
          <w:lang w:val="en-CA"/>
        </w:rPr>
        <w:t xml:space="preserve">these measurements allowed </w:t>
      </w:r>
      <w:r w:rsidRPr="000C27AA">
        <w:rPr>
          <w:lang w:val="en-CA"/>
        </w:rPr>
        <w:t xml:space="preserve">industry analysts </w:t>
      </w:r>
      <w:r w:rsidR="00131244" w:rsidRPr="000C27AA">
        <w:rPr>
          <w:lang w:val="en-CA"/>
        </w:rPr>
        <w:t>to calculate</w:t>
      </w:r>
      <w:r w:rsidRPr="000C27AA">
        <w:rPr>
          <w:lang w:val="en-CA"/>
        </w:rPr>
        <w:t xml:space="preserve"> the </w:t>
      </w:r>
      <w:r w:rsidRPr="000C27AA">
        <w:rPr>
          <w:lang w:val="en-CA"/>
        </w:rPr>
        <w:lastRenderedPageBreak/>
        <w:t xml:space="preserve">overall size and load of an airline company’s business. </w:t>
      </w:r>
      <w:r w:rsidR="00131244" w:rsidRPr="000C27AA">
        <w:rPr>
          <w:lang w:val="en-CA"/>
        </w:rPr>
        <w:t>A h</w:t>
      </w:r>
      <w:r w:rsidRPr="000C27AA">
        <w:rPr>
          <w:lang w:val="en-CA"/>
        </w:rPr>
        <w:t>igh load factor in an airline’s traffic performance w</w:t>
      </w:r>
      <w:r w:rsidR="00131244" w:rsidRPr="000C27AA">
        <w:rPr>
          <w:lang w:val="en-CA"/>
        </w:rPr>
        <w:t>as</w:t>
      </w:r>
      <w:r w:rsidRPr="000C27AA">
        <w:rPr>
          <w:lang w:val="en-CA"/>
        </w:rPr>
        <w:t xml:space="preserve"> usually correlated with higher operating margins and return</w:t>
      </w:r>
      <w:r w:rsidR="00131244" w:rsidRPr="000C27AA">
        <w:rPr>
          <w:lang w:val="en-CA"/>
        </w:rPr>
        <w:t>s</w:t>
      </w:r>
      <w:r w:rsidRPr="000C27AA">
        <w:rPr>
          <w:lang w:val="en-CA"/>
        </w:rPr>
        <w:t xml:space="preserve"> on sales (</w:t>
      </w:r>
      <w:r w:rsidR="00131244" w:rsidRPr="000C27AA">
        <w:rPr>
          <w:lang w:val="en-CA"/>
        </w:rPr>
        <w:t xml:space="preserve">see </w:t>
      </w:r>
      <w:r w:rsidRPr="000C27AA">
        <w:rPr>
          <w:lang w:val="en-CA"/>
        </w:rPr>
        <w:t>Exhibit 2).</w:t>
      </w:r>
    </w:p>
    <w:p w14:paraId="28FE42C6" w14:textId="77777777" w:rsidR="000C27AA" w:rsidRPr="00CE78A8" w:rsidRDefault="000C27AA" w:rsidP="00FC7374">
      <w:pPr>
        <w:pStyle w:val="BodyTextMain"/>
        <w:rPr>
          <w:lang w:val="en-CA"/>
        </w:rPr>
      </w:pPr>
    </w:p>
    <w:p w14:paraId="509D8E34" w14:textId="7B37A445" w:rsidR="00CB1F6A" w:rsidRPr="000C27AA" w:rsidRDefault="00FC7374" w:rsidP="00FC7374">
      <w:pPr>
        <w:pStyle w:val="BodyTextMain"/>
        <w:rPr>
          <w:lang w:val="en-CA"/>
        </w:rPr>
      </w:pPr>
      <w:r w:rsidRPr="000C27AA">
        <w:rPr>
          <w:lang w:val="en-CA"/>
        </w:rPr>
        <w:t>Airlines had to balance capacity and load factor in the deployment of their fleet and pricing of their flights. In 2018, American Airlines</w:t>
      </w:r>
      <w:r w:rsidR="00CB1F6A" w:rsidRPr="000C27AA">
        <w:rPr>
          <w:lang w:val="en-CA"/>
        </w:rPr>
        <w:t xml:space="preserve"> Inc. (American)</w:t>
      </w:r>
      <w:r w:rsidRPr="000C27AA">
        <w:rPr>
          <w:lang w:val="en-CA"/>
        </w:rPr>
        <w:t xml:space="preserve"> flew 454 billion ASKs</w:t>
      </w:r>
      <w:r w:rsidR="00CB1F6A" w:rsidRPr="000C27AA">
        <w:rPr>
          <w:lang w:val="en-CA"/>
        </w:rPr>
        <w:t>.</w:t>
      </w:r>
      <w:r w:rsidRPr="000C27AA">
        <w:rPr>
          <w:lang w:val="en-CA"/>
        </w:rPr>
        <w:t xml:space="preserve"> </w:t>
      </w:r>
      <w:r w:rsidR="00CB1F6A" w:rsidRPr="000C27AA">
        <w:rPr>
          <w:lang w:val="en-CA"/>
        </w:rPr>
        <w:t xml:space="preserve">In </w:t>
      </w:r>
      <w:r w:rsidRPr="000C27AA">
        <w:rPr>
          <w:lang w:val="en-CA"/>
        </w:rPr>
        <w:t>compar</w:t>
      </w:r>
      <w:r w:rsidR="00CB1F6A" w:rsidRPr="000C27AA">
        <w:rPr>
          <w:lang w:val="en-CA"/>
        </w:rPr>
        <w:t>ison,</w:t>
      </w:r>
      <w:r w:rsidRPr="000C27AA">
        <w:rPr>
          <w:lang w:val="en-CA"/>
        </w:rPr>
        <w:t xml:space="preserve"> </w:t>
      </w:r>
      <w:r w:rsidR="00CB1F6A" w:rsidRPr="000C27AA">
        <w:rPr>
          <w:lang w:val="en-CA"/>
        </w:rPr>
        <w:t>Delta Air Lines Inc. (</w:t>
      </w:r>
      <w:r w:rsidRPr="000C27AA">
        <w:rPr>
          <w:lang w:val="en-CA"/>
        </w:rPr>
        <w:t>Delta</w:t>
      </w:r>
      <w:r w:rsidR="00CB1F6A" w:rsidRPr="000C27AA">
        <w:rPr>
          <w:lang w:val="en-CA"/>
        </w:rPr>
        <w:t>) flew only</w:t>
      </w:r>
      <w:r w:rsidRPr="000C27AA">
        <w:rPr>
          <w:lang w:val="en-CA"/>
        </w:rPr>
        <w:t xml:space="preserve"> 424 billion</w:t>
      </w:r>
      <w:r w:rsidR="00CB1F6A" w:rsidRPr="000C27AA">
        <w:rPr>
          <w:lang w:val="en-CA"/>
        </w:rPr>
        <w:t xml:space="preserve"> ASKs</w:t>
      </w:r>
      <w:r w:rsidRPr="000C27AA">
        <w:rPr>
          <w:lang w:val="en-CA"/>
        </w:rPr>
        <w:t>. However, Delta</w:t>
      </w:r>
      <w:r w:rsidR="00CB1F6A" w:rsidRPr="000C27AA">
        <w:rPr>
          <w:lang w:val="en-CA"/>
        </w:rPr>
        <w:t xml:space="preserve"> had a load factor of</w:t>
      </w:r>
      <w:r w:rsidRPr="000C27AA">
        <w:rPr>
          <w:lang w:val="en-CA"/>
        </w:rPr>
        <w:t xml:space="preserve"> 86</w:t>
      </w:r>
      <w:r w:rsidR="00CB1F6A" w:rsidRPr="000C27AA">
        <w:rPr>
          <w:lang w:val="en-CA"/>
        </w:rPr>
        <w:t xml:space="preserve"> per cent,</w:t>
      </w:r>
      <w:r w:rsidRPr="000C27AA">
        <w:rPr>
          <w:lang w:val="en-CA"/>
        </w:rPr>
        <w:t xml:space="preserve"> compared to American’s </w:t>
      </w:r>
      <w:r w:rsidR="00CB1F6A" w:rsidRPr="000C27AA">
        <w:rPr>
          <w:lang w:val="en-CA"/>
        </w:rPr>
        <w:t xml:space="preserve">load factor of only </w:t>
      </w:r>
      <w:r w:rsidRPr="000C27AA">
        <w:rPr>
          <w:lang w:val="en-CA"/>
        </w:rPr>
        <w:t>82</w:t>
      </w:r>
      <w:r w:rsidR="00CB1F6A" w:rsidRPr="000C27AA">
        <w:rPr>
          <w:lang w:val="en-CA"/>
        </w:rPr>
        <w:t xml:space="preserve"> per cent. Therefore</w:t>
      </w:r>
      <w:r w:rsidRPr="000C27AA">
        <w:rPr>
          <w:lang w:val="en-CA"/>
        </w:rPr>
        <w:t>, Delta recorded a net profit of $3.9 billion</w:t>
      </w:r>
      <w:r w:rsidR="00CB1F6A" w:rsidRPr="000C27AA">
        <w:rPr>
          <w:lang w:val="en-CA"/>
        </w:rPr>
        <w:t>,</w:t>
      </w:r>
      <w:r w:rsidRPr="000C27AA">
        <w:rPr>
          <w:lang w:val="en-CA"/>
        </w:rPr>
        <w:t xml:space="preserve"> compared to American’s </w:t>
      </w:r>
      <w:r w:rsidR="00CB1F6A" w:rsidRPr="000C27AA">
        <w:rPr>
          <w:lang w:val="en-CA"/>
        </w:rPr>
        <w:t xml:space="preserve">net profit of </w:t>
      </w:r>
      <w:r w:rsidR="004000D6" w:rsidRPr="000C27AA">
        <w:rPr>
          <w:lang w:val="en-CA"/>
        </w:rPr>
        <w:t xml:space="preserve">only </w:t>
      </w:r>
      <w:r w:rsidRPr="000C27AA">
        <w:rPr>
          <w:lang w:val="en-CA"/>
        </w:rPr>
        <w:t>$1.4 billion.</w:t>
      </w:r>
      <w:r w:rsidRPr="000C27AA">
        <w:rPr>
          <w:vertAlign w:val="superscript"/>
          <w:lang w:val="en-CA"/>
        </w:rPr>
        <w:endnoteReference w:id="4"/>
      </w:r>
      <w:r w:rsidRPr="000C27AA">
        <w:rPr>
          <w:lang w:val="en-CA"/>
        </w:rPr>
        <w:t xml:space="preserve"> </w:t>
      </w:r>
    </w:p>
    <w:p w14:paraId="1450E9AA" w14:textId="77777777" w:rsidR="00CB1F6A" w:rsidRPr="00CE78A8" w:rsidRDefault="00CB1F6A" w:rsidP="00FC7374">
      <w:pPr>
        <w:pStyle w:val="BodyTextMain"/>
        <w:rPr>
          <w:lang w:val="en-CA"/>
        </w:rPr>
      </w:pPr>
    </w:p>
    <w:p w14:paraId="136CEAEB" w14:textId="7BF4B43F" w:rsidR="00FC7374" w:rsidRPr="000C27AA" w:rsidRDefault="00FC7374" w:rsidP="00FC7374">
      <w:pPr>
        <w:pStyle w:val="BodyTextMain"/>
        <w:rPr>
          <w:lang w:val="en-CA"/>
        </w:rPr>
      </w:pPr>
      <w:r w:rsidRPr="000C27AA">
        <w:rPr>
          <w:lang w:val="en-CA"/>
        </w:rPr>
        <w:t xml:space="preserve">To maintain a high load factor, Delta often decreased capacity. In 2012, Delta’s </w:t>
      </w:r>
      <w:r w:rsidR="008E4AB2" w:rsidRPr="000C27AA">
        <w:rPr>
          <w:lang w:val="en-CA"/>
        </w:rPr>
        <w:t xml:space="preserve">chief executive officer </w:t>
      </w:r>
      <w:r w:rsidRPr="000C27AA">
        <w:rPr>
          <w:lang w:val="en-CA"/>
        </w:rPr>
        <w:t>declared that “capacity discipline is our key lever.” That year, Delta cut capacity by 7</w:t>
      </w:r>
      <w:r w:rsidR="008E4AB2" w:rsidRPr="000C27AA">
        <w:rPr>
          <w:lang w:val="en-CA"/>
        </w:rPr>
        <w:t xml:space="preserve"> per cent</w:t>
      </w:r>
      <w:r w:rsidRPr="000C27AA">
        <w:rPr>
          <w:lang w:val="en-CA"/>
        </w:rPr>
        <w:t xml:space="preserve"> on its North Atlantic routes</w:t>
      </w:r>
      <w:r w:rsidR="008E4AB2" w:rsidRPr="000C27AA">
        <w:rPr>
          <w:lang w:val="en-CA"/>
        </w:rPr>
        <w:t>. A</w:t>
      </w:r>
      <w:r w:rsidRPr="000C27AA">
        <w:rPr>
          <w:lang w:val="en-CA"/>
        </w:rPr>
        <w:t>s a result, its load factor improved and its unit revenues increased</w:t>
      </w:r>
      <w:r w:rsidR="008E4AB2" w:rsidRPr="000C27AA">
        <w:rPr>
          <w:lang w:val="en-CA"/>
        </w:rPr>
        <w:t xml:space="preserve"> by</w:t>
      </w:r>
      <w:r w:rsidRPr="000C27AA">
        <w:rPr>
          <w:lang w:val="en-CA"/>
        </w:rPr>
        <w:t xml:space="preserve"> 9</w:t>
      </w:r>
      <w:r w:rsidR="008E4AB2" w:rsidRPr="000C27AA">
        <w:rPr>
          <w:lang w:val="en-CA"/>
        </w:rPr>
        <w:t xml:space="preserve"> per cent</w:t>
      </w:r>
      <w:r w:rsidRPr="000C27AA">
        <w:rPr>
          <w:lang w:val="en-CA"/>
        </w:rPr>
        <w:t>.</w:t>
      </w:r>
      <w:r w:rsidRPr="000C27AA">
        <w:rPr>
          <w:rStyle w:val="EndnoteReference"/>
          <w:lang w:val="en-CA"/>
        </w:rPr>
        <w:endnoteReference w:id="5"/>
      </w:r>
      <w:r w:rsidRPr="000C27AA">
        <w:rPr>
          <w:lang w:val="en-CA"/>
        </w:rPr>
        <w:t xml:space="preserve"> </w:t>
      </w:r>
    </w:p>
    <w:p w14:paraId="547CE86D" w14:textId="77777777" w:rsidR="00FC7374" w:rsidRPr="00CE78A8" w:rsidRDefault="00FC7374" w:rsidP="00FC7374">
      <w:pPr>
        <w:pStyle w:val="BodyTextMain"/>
        <w:rPr>
          <w:lang w:val="en-CA"/>
        </w:rPr>
      </w:pPr>
    </w:p>
    <w:p w14:paraId="56ED7A22" w14:textId="1FF26205" w:rsidR="00FC7374" w:rsidRPr="000C27AA" w:rsidRDefault="00FC7374" w:rsidP="00FC7374">
      <w:pPr>
        <w:pStyle w:val="BodyTextMain"/>
        <w:rPr>
          <w:lang w:val="en-CA"/>
        </w:rPr>
      </w:pPr>
      <w:r w:rsidRPr="000C27AA">
        <w:rPr>
          <w:lang w:val="en-CA"/>
        </w:rPr>
        <w:t xml:space="preserve">The final main driver of revenue for an airline was passenger yield. This </w:t>
      </w:r>
      <w:r w:rsidR="0027410D" w:rsidRPr="000C27AA">
        <w:rPr>
          <w:lang w:val="en-CA"/>
        </w:rPr>
        <w:t xml:space="preserve">yield </w:t>
      </w:r>
      <w:r w:rsidRPr="000C27AA">
        <w:rPr>
          <w:lang w:val="en-CA"/>
        </w:rPr>
        <w:t>was measured as the revenue per passenger per kilometr</w:t>
      </w:r>
      <w:r w:rsidR="008E4AB2" w:rsidRPr="000C27AA">
        <w:rPr>
          <w:lang w:val="en-CA"/>
        </w:rPr>
        <w:t>e</w:t>
      </w:r>
      <w:r w:rsidRPr="000C27AA">
        <w:rPr>
          <w:lang w:val="en-CA"/>
        </w:rPr>
        <w:t>. Passenger yield was strongly determined by the route being flown. Airlines competed heavily for the most profitable routes, most notably flights between Western Europe and North America</w:t>
      </w:r>
      <w:r w:rsidR="008E4AB2" w:rsidRPr="000C27AA">
        <w:rPr>
          <w:lang w:val="en-CA"/>
        </w:rPr>
        <w:t>, which</w:t>
      </w:r>
      <w:r w:rsidRPr="000C27AA">
        <w:rPr>
          <w:lang w:val="en-CA"/>
        </w:rPr>
        <w:t xml:space="preserve"> were popular with business trave</w:t>
      </w:r>
      <w:r w:rsidR="008E4AB2" w:rsidRPr="000C27AA">
        <w:rPr>
          <w:lang w:val="en-CA"/>
        </w:rPr>
        <w:t>l</w:t>
      </w:r>
      <w:r w:rsidRPr="000C27AA">
        <w:rPr>
          <w:lang w:val="en-CA"/>
        </w:rPr>
        <w:t>lers.</w:t>
      </w:r>
      <w:r w:rsidRPr="000C27AA">
        <w:rPr>
          <w:rStyle w:val="EndnoteReference"/>
          <w:lang w:val="en-CA"/>
        </w:rPr>
        <w:endnoteReference w:id="6"/>
      </w:r>
    </w:p>
    <w:p w14:paraId="6F7350B3" w14:textId="77777777" w:rsidR="00FC7374" w:rsidRPr="00CE78A8" w:rsidRDefault="00FC7374" w:rsidP="00FC7374">
      <w:pPr>
        <w:pStyle w:val="BodyTextMain"/>
        <w:rPr>
          <w:lang w:val="en-CA"/>
        </w:rPr>
      </w:pPr>
    </w:p>
    <w:p w14:paraId="35EBE7E0" w14:textId="560EEA74" w:rsidR="00FC7374" w:rsidRPr="000C27AA" w:rsidRDefault="00FC7374" w:rsidP="000C27AA">
      <w:pPr>
        <w:pStyle w:val="BodyTextMain"/>
      </w:pPr>
      <w:r w:rsidRPr="000C27AA">
        <w:rPr>
          <w:lang w:val="en-CA"/>
        </w:rPr>
        <w:t xml:space="preserve">In addition, each route had varying levels of competition, which would affect pricing. In 2019, </w:t>
      </w:r>
      <w:r w:rsidR="00284FCB" w:rsidRPr="000C27AA">
        <w:rPr>
          <w:lang w:val="en-CA"/>
        </w:rPr>
        <w:t xml:space="preserve">the </w:t>
      </w:r>
      <w:r w:rsidR="007C226E" w:rsidRPr="000C27AA">
        <w:rPr>
          <w:lang w:val="en-CA"/>
        </w:rPr>
        <w:t xml:space="preserve">airline constellation </w:t>
      </w:r>
      <w:r w:rsidRPr="000C27AA">
        <w:rPr>
          <w:lang w:val="en-CA"/>
        </w:rPr>
        <w:t>Oneworld controlled 71</w:t>
      </w:r>
      <w:r w:rsidR="007C226E" w:rsidRPr="000C27AA">
        <w:rPr>
          <w:lang w:val="en-CA"/>
        </w:rPr>
        <w:t xml:space="preserve"> per cent</w:t>
      </w:r>
      <w:r w:rsidRPr="000C27AA">
        <w:rPr>
          <w:lang w:val="en-CA"/>
        </w:rPr>
        <w:t xml:space="preserve"> of the flights from London’s Heathrow Airport to New York’s J</w:t>
      </w:r>
      <w:r w:rsidR="007C226E" w:rsidRPr="000C27AA">
        <w:rPr>
          <w:lang w:val="en-CA"/>
        </w:rPr>
        <w:t xml:space="preserve">ohn F. Kennedy International </w:t>
      </w:r>
      <w:r w:rsidRPr="000C27AA">
        <w:rPr>
          <w:lang w:val="en-CA"/>
        </w:rPr>
        <w:t xml:space="preserve">Airport, </w:t>
      </w:r>
      <w:r w:rsidR="007C226E" w:rsidRPr="000C27AA">
        <w:rPr>
          <w:lang w:val="en-CA"/>
        </w:rPr>
        <w:t>mainly due to</w:t>
      </w:r>
      <w:r w:rsidRPr="000C27AA">
        <w:rPr>
          <w:lang w:val="en-CA"/>
        </w:rPr>
        <w:t xml:space="preserve"> British Airways control</w:t>
      </w:r>
      <w:r w:rsidR="007C226E" w:rsidRPr="000C27AA">
        <w:rPr>
          <w:lang w:val="en-CA"/>
        </w:rPr>
        <w:t>ling</w:t>
      </w:r>
      <w:r w:rsidRPr="000C27AA">
        <w:rPr>
          <w:lang w:val="en-CA"/>
        </w:rPr>
        <w:t xml:space="preserve"> many of the slots available for flights to and from London. </w:t>
      </w:r>
      <w:r w:rsidR="007C226E" w:rsidRPr="000C27AA">
        <w:rPr>
          <w:lang w:val="en-CA"/>
        </w:rPr>
        <w:t>S</w:t>
      </w:r>
      <w:r w:rsidRPr="000C27AA">
        <w:rPr>
          <w:lang w:val="en-CA"/>
        </w:rPr>
        <w:t>imilar</w:t>
      </w:r>
      <w:r w:rsidR="007C226E" w:rsidRPr="000C27AA">
        <w:rPr>
          <w:lang w:val="en-CA"/>
        </w:rPr>
        <w:t>ly</w:t>
      </w:r>
      <w:r w:rsidRPr="000C27AA">
        <w:rPr>
          <w:lang w:val="en-CA"/>
        </w:rPr>
        <w:t xml:space="preserve">, </w:t>
      </w:r>
      <w:r w:rsidR="007C226E" w:rsidRPr="000C27AA">
        <w:rPr>
          <w:lang w:val="en-CA"/>
        </w:rPr>
        <w:t xml:space="preserve">the airline constellation </w:t>
      </w:r>
      <w:r w:rsidRPr="000C27AA">
        <w:rPr>
          <w:lang w:val="en-CA"/>
        </w:rPr>
        <w:t xml:space="preserve">SkyTeam had a large market share in the </w:t>
      </w:r>
      <w:r w:rsidR="007C226E" w:rsidRPr="000C27AA">
        <w:rPr>
          <w:lang w:val="en-CA"/>
        </w:rPr>
        <w:t xml:space="preserve">airline route from </w:t>
      </w:r>
      <w:r w:rsidRPr="000C27AA">
        <w:rPr>
          <w:lang w:val="en-CA"/>
        </w:rPr>
        <w:t>Paris</w:t>
      </w:r>
      <w:r w:rsidR="007C226E" w:rsidRPr="000C27AA">
        <w:rPr>
          <w:lang w:val="en-CA"/>
        </w:rPr>
        <w:t xml:space="preserve">, France </w:t>
      </w:r>
      <w:r w:rsidRPr="000C27AA">
        <w:rPr>
          <w:lang w:val="en-CA"/>
        </w:rPr>
        <w:t>to</w:t>
      </w:r>
      <w:r w:rsidR="007C226E" w:rsidRPr="000C27AA">
        <w:rPr>
          <w:lang w:val="en-CA"/>
        </w:rPr>
        <w:t xml:space="preserve"> New York</w:t>
      </w:r>
      <w:r w:rsidRPr="000C27AA">
        <w:rPr>
          <w:lang w:val="en-CA"/>
        </w:rPr>
        <w:t xml:space="preserve">, </w:t>
      </w:r>
      <w:r w:rsidR="007C226E" w:rsidRPr="000C27AA">
        <w:rPr>
          <w:lang w:val="en-CA"/>
        </w:rPr>
        <w:t>U</w:t>
      </w:r>
      <w:r w:rsidR="004000D6" w:rsidRPr="000C27AA">
        <w:rPr>
          <w:lang w:val="en-CA"/>
        </w:rPr>
        <w:t xml:space="preserve">nited </w:t>
      </w:r>
      <w:r w:rsidR="007C226E" w:rsidRPr="000C27AA">
        <w:rPr>
          <w:lang w:val="en-CA"/>
        </w:rPr>
        <w:t>S</w:t>
      </w:r>
      <w:r w:rsidR="004000D6" w:rsidRPr="000C27AA">
        <w:rPr>
          <w:lang w:val="en-CA"/>
        </w:rPr>
        <w:t>tates</w:t>
      </w:r>
      <w:r w:rsidR="007C226E" w:rsidRPr="000C27AA">
        <w:rPr>
          <w:lang w:val="en-CA"/>
        </w:rPr>
        <w:t>, whereas</w:t>
      </w:r>
      <w:r w:rsidRPr="000C27AA">
        <w:rPr>
          <w:lang w:val="en-CA"/>
        </w:rPr>
        <w:t xml:space="preserve"> Star Alliance </w:t>
      </w:r>
      <w:r w:rsidR="007C226E" w:rsidRPr="000C27AA">
        <w:rPr>
          <w:lang w:val="en-CA"/>
        </w:rPr>
        <w:t>controlled the route from</w:t>
      </w:r>
      <w:r w:rsidRPr="000C27AA">
        <w:rPr>
          <w:lang w:val="en-CA"/>
        </w:rPr>
        <w:t xml:space="preserve"> Frankfurt</w:t>
      </w:r>
      <w:r w:rsidR="007C226E" w:rsidRPr="000C27AA">
        <w:rPr>
          <w:lang w:val="en-CA"/>
        </w:rPr>
        <w:t>, Germany to New York, U</w:t>
      </w:r>
      <w:r w:rsidR="004000D6" w:rsidRPr="000C27AA">
        <w:rPr>
          <w:lang w:val="en-CA"/>
        </w:rPr>
        <w:t xml:space="preserve">nited </w:t>
      </w:r>
      <w:r w:rsidR="007C226E" w:rsidRPr="000C27AA">
        <w:rPr>
          <w:lang w:val="en-CA"/>
        </w:rPr>
        <w:t>S</w:t>
      </w:r>
      <w:r w:rsidR="004000D6" w:rsidRPr="000C27AA">
        <w:rPr>
          <w:lang w:val="en-CA"/>
        </w:rPr>
        <w:t>tates</w:t>
      </w:r>
      <w:r w:rsidRPr="000C27AA">
        <w:rPr>
          <w:lang w:val="en-CA"/>
        </w:rPr>
        <w:t>. In each case, these routes served as cross-</w:t>
      </w:r>
      <w:r w:rsidRPr="000C27AA">
        <w:t xml:space="preserve">Atlantic pipelines </w:t>
      </w:r>
      <w:r w:rsidR="007C226E" w:rsidRPr="000C27AA">
        <w:t xml:space="preserve">that </w:t>
      </w:r>
      <w:r w:rsidR="00161980" w:rsidRPr="000C27AA">
        <w:t>funneled</w:t>
      </w:r>
      <w:r w:rsidRPr="000C27AA">
        <w:t xml:space="preserve"> traffic from destinations that lay behind or beyond one of the hubs.</w:t>
      </w:r>
      <w:r w:rsidRPr="000C27AA">
        <w:rPr>
          <w:rStyle w:val="EndnoteReference"/>
        </w:rPr>
        <w:endnoteReference w:id="7"/>
      </w:r>
    </w:p>
    <w:p w14:paraId="362B582A" w14:textId="1171111E" w:rsidR="00FC7374" w:rsidRPr="00CE78A8" w:rsidRDefault="00FC7374" w:rsidP="000C27AA">
      <w:pPr>
        <w:pStyle w:val="BodyTextMain"/>
      </w:pPr>
      <w:r w:rsidRPr="00CE78A8">
        <w:fldChar w:fldCharType="begin"/>
      </w:r>
      <w:r w:rsidRPr="00CE78A8">
        <w:instrText xml:space="preserve"> QUOTE  </w:instrText>
      </w:r>
      <w:r w:rsidRPr="00CE78A8">
        <w:fldChar w:fldCharType="end"/>
      </w:r>
    </w:p>
    <w:p w14:paraId="1DDFEA7B" w14:textId="0B10974B" w:rsidR="006733EE" w:rsidRPr="000C27AA" w:rsidRDefault="00FC7374" w:rsidP="000C27AA">
      <w:pPr>
        <w:pStyle w:val="BodyTextMain"/>
        <w:rPr>
          <w:spacing w:val="-4"/>
          <w:kern w:val="22"/>
          <w:lang w:val="en-CA"/>
        </w:rPr>
      </w:pPr>
      <w:r w:rsidRPr="000C27AA">
        <w:t>The key</w:t>
      </w:r>
      <w:r w:rsidRPr="000C27AA">
        <w:rPr>
          <w:spacing w:val="-4"/>
          <w:kern w:val="22"/>
          <w:lang w:val="en-CA"/>
        </w:rPr>
        <w:t xml:space="preserve"> cost drivers for airlines were labo</w:t>
      </w:r>
      <w:r w:rsidR="007C226E" w:rsidRPr="000C27AA">
        <w:rPr>
          <w:spacing w:val="-4"/>
          <w:kern w:val="22"/>
          <w:lang w:val="en-CA"/>
        </w:rPr>
        <w:t>u</w:t>
      </w:r>
      <w:r w:rsidRPr="000C27AA">
        <w:rPr>
          <w:spacing w:val="-4"/>
          <w:kern w:val="22"/>
          <w:lang w:val="en-CA"/>
        </w:rPr>
        <w:t>r, fuel, and advertising. The largest cost that airlines typically faced was labo</w:t>
      </w:r>
      <w:r w:rsidR="007C226E" w:rsidRPr="000C27AA">
        <w:rPr>
          <w:spacing w:val="-4"/>
          <w:kern w:val="22"/>
          <w:lang w:val="en-CA"/>
        </w:rPr>
        <w:t>u</w:t>
      </w:r>
      <w:r w:rsidRPr="000C27AA">
        <w:rPr>
          <w:spacing w:val="-4"/>
          <w:kern w:val="22"/>
          <w:lang w:val="en-CA"/>
        </w:rPr>
        <w:t xml:space="preserve">r, which accounted for </w:t>
      </w:r>
      <w:r w:rsidR="007C226E" w:rsidRPr="000C27AA">
        <w:rPr>
          <w:spacing w:val="-4"/>
          <w:kern w:val="22"/>
          <w:lang w:val="en-CA"/>
        </w:rPr>
        <w:t>app</w:t>
      </w:r>
      <w:r w:rsidRPr="000C27AA">
        <w:rPr>
          <w:spacing w:val="-4"/>
          <w:kern w:val="22"/>
          <w:lang w:val="en-CA"/>
        </w:rPr>
        <w:t>ro</w:t>
      </w:r>
      <w:r w:rsidR="007C226E" w:rsidRPr="000C27AA">
        <w:rPr>
          <w:spacing w:val="-4"/>
          <w:kern w:val="22"/>
          <w:lang w:val="en-CA"/>
        </w:rPr>
        <w:t>ximate</w:t>
      </w:r>
      <w:r w:rsidRPr="000C27AA">
        <w:rPr>
          <w:spacing w:val="-4"/>
          <w:kern w:val="22"/>
          <w:lang w:val="en-CA"/>
        </w:rPr>
        <w:t>ly 40</w:t>
      </w:r>
      <w:r w:rsidR="007C226E" w:rsidRPr="000C27AA">
        <w:rPr>
          <w:spacing w:val="-4"/>
          <w:kern w:val="22"/>
          <w:lang w:val="en-CA"/>
        </w:rPr>
        <w:t xml:space="preserve"> per cent</w:t>
      </w:r>
      <w:r w:rsidRPr="000C27AA">
        <w:rPr>
          <w:spacing w:val="-4"/>
          <w:kern w:val="22"/>
          <w:lang w:val="en-CA"/>
        </w:rPr>
        <w:t xml:space="preserve"> of total costs in 2018. In years where prices were particularly high, fuel could overtake labo</w:t>
      </w:r>
      <w:r w:rsidR="007C226E" w:rsidRPr="000C27AA">
        <w:rPr>
          <w:spacing w:val="-4"/>
          <w:kern w:val="22"/>
          <w:lang w:val="en-CA"/>
        </w:rPr>
        <w:t>u</w:t>
      </w:r>
      <w:r w:rsidRPr="000C27AA">
        <w:rPr>
          <w:spacing w:val="-4"/>
          <w:kern w:val="22"/>
          <w:lang w:val="en-CA"/>
        </w:rPr>
        <w:t>r</w:t>
      </w:r>
      <w:r w:rsidR="007C226E" w:rsidRPr="000C27AA">
        <w:rPr>
          <w:spacing w:val="-4"/>
          <w:kern w:val="22"/>
          <w:lang w:val="en-CA"/>
        </w:rPr>
        <w:t xml:space="preserve"> cost</w:t>
      </w:r>
      <w:r w:rsidRPr="000C27AA">
        <w:rPr>
          <w:spacing w:val="-4"/>
          <w:kern w:val="22"/>
          <w:lang w:val="en-CA"/>
        </w:rPr>
        <w:t xml:space="preserve"> as the largest unit </w:t>
      </w:r>
      <w:r w:rsidR="007C226E" w:rsidRPr="000C27AA">
        <w:rPr>
          <w:spacing w:val="-4"/>
          <w:kern w:val="22"/>
          <w:lang w:val="en-CA"/>
        </w:rPr>
        <w:t>expense</w:t>
      </w:r>
      <w:r w:rsidRPr="000C27AA">
        <w:rPr>
          <w:spacing w:val="-4"/>
          <w:kern w:val="22"/>
          <w:lang w:val="en-CA"/>
        </w:rPr>
        <w:t>. In 2018, fuel accounted for 24</w:t>
      </w:r>
      <w:r w:rsidR="007C226E" w:rsidRPr="000C27AA">
        <w:rPr>
          <w:spacing w:val="-4"/>
          <w:kern w:val="22"/>
          <w:lang w:val="en-CA"/>
        </w:rPr>
        <w:t xml:space="preserve"> per cent</w:t>
      </w:r>
      <w:r w:rsidRPr="000C27AA">
        <w:rPr>
          <w:spacing w:val="-4"/>
          <w:kern w:val="22"/>
          <w:lang w:val="en-CA"/>
        </w:rPr>
        <w:t xml:space="preserve"> of total costs.</w:t>
      </w:r>
      <w:r w:rsidRPr="000C27AA">
        <w:rPr>
          <w:spacing w:val="-4"/>
          <w:kern w:val="22"/>
          <w:vertAlign w:val="superscript"/>
          <w:lang w:val="en-CA"/>
        </w:rPr>
        <w:endnoteReference w:id="8"/>
      </w:r>
      <w:r w:rsidRPr="000C27AA">
        <w:rPr>
          <w:spacing w:val="-4"/>
          <w:kern w:val="22"/>
          <w:lang w:val="en-CA"/>
        </w:rPr>
        <w:t xml:space="preserve"> The volatility of fuel prices led to large differences year-to-year in overall cost structures</w:t>
      </w:r>
      <w:r w:rsidR="007C226E" w:rsidRPr="000C27AA">
        <w:rPr>
          <w:spacing w:val="-4"/>
          <w:kern w:val="22"/>
          <w:lang w:val="en-CA"/>
        </w:rPr>
        <w:t xml:space="preserve"> (see Exhibit 3)</w:t>
      </w:r>
      <w:r w:rsidRPr="000C27AA">
        <w:rPr>
          <w:spacing w:val="-4"/>
          <w:kern w:val="22"/>
          <w:lang w:val="en-CA"/>
        </w:rPr>
        <w:t xml:space="preserve">. Ticketing and promotion also represented a large share of costs. Major airlines were dedicated to reducing marketing costs by cutting commissions, introducing online booking, and establishing their own online reservation systems. With </w:t>
      </w:r>
      <w:r w:rsidR="007C226E" w:rsidRPr="000C27AA">
        <w:rPr>
          <w:spacing w:val="-4"/>
          <w:kern w:val="22"/>
          <w:lang w:val="en-CA"/>
        </w:rPr>
        <w:t>wide</w:t>
      </w:r>
      <w:r w:rsidRPr="000C27AA">
        <w:rPr>
          <w:spacing w:val="-4"/>
          <w:kern w:val="22"/>
          <w:lang w:val="en-CA"/>
        </w:rPr>
        <w:t xml:space="preserve">spread </w:t>
      </w:r>
      <w:r w:rsidR="007C226E" w:rsidRPr="000C27AA">
        <w:rPr>
          <w:spacing w:val="-4"/>
          <w:kern w:val="22"/>
          <w:lang w:val="en-CA"/>
        </w:rPr>
        <w:t xml:space="preserve">use </w:t>
      </w:r>
      <w:r w:rsidRPr="000C27AA">
        <w:rPr>
          <w:spacing w:val="-4"/>
          <w:kern w:val="22"/>
          <w:lang w:val="en-CA"/>
        </w:rPr>
        <w:t>of the Internet</w:t>
      </w:r>
      <w:r w:rsidR="007C226E" w:rsidRPr="000C27AA">
        <w:rPr>
          <w:spacing w:val="-4"/>
          <w:kern w:val="22"/>
          <w:lang w:val="en-CA"/>
        </w:rPr>
        <w:t xml:space="preserve"> for booking air travel</w:t>
      </w:r>
      <w:r w:rsidRPr="000C27AA">
        <w:rPr>
          <w:spacing w:val="-4"/>
          <w:kern w:val="22"/>
          <w:lang w:val="en-CA"/>
        </w:rPr>
        <w:t xml:space="preserve">, airlines were devoting larger amounts to advertising online </w:t>
      </w:r>
      <w:proofErr w:type="gramStart"/>
      <w:r w:rsidRPr="000C27AA">
        <w:rPr>
          <w:spacing w:val="-4"/>
          <w:kern w:val="22"/>
          <w:lang w:val="en-CA"/>
        </w:rPr>
        <w:t>in an attempt to</w:t>
      </w:r>
      <w:proofErr w:type="gramEnd"/>
      <w:r w:rsidRPr="000C27AA">
        <w:rPr>
          <w:spacing w:val="-4"/>
          <w:kern w:val="22"/>
          <w:lang w:val="en-CA"/>
        </w:rPr>
        <w:t xml:space="preserve"> increase their load factor.</w:t>
      </w:r>
      <w:r w:rsidRPr="000C27AA">
        <w:rPr>
          <w:rStyle w:val="EndnoteReference"/>
          <w:spacing w:val="-4"/>
          <w:kern w:val="22"/>
          <w:lang w:val="en-CA"/>
        </w:rPr>
        <w:endnoteReference w:id="9"/>
      </w:r>
      <w:r w:rsidRPr="000C27AA">
        <w:rPr>
          <w:spacing w:val="-4"/>
          <w:kern w:val="22"/>
          <w:lang w:val="en-CA"/>
        </w:rPr>
        <w:t xml:space="preserve"> </w:t>
      </w:r>
    </w:p>
    <w:p w14:paraId="70523B4E" w14:textId="77777777" w:rsidR="006733EE" w:rsidRPr="00CE78A8" w:rsidRDefault="006733EE" w:rsidP="007C226E">
      <w:pPr>
        <w:pStyle w:val="BodyTextMain"/>
        <w:rPr>
          <w:lang w:val="en-CA"/>
        </w:rPr>
      </w:pPr>
    </w:p>
    <w:p w14:paraId="397607F2" w14:textId="244156AA" w:rsidR="00FC7374" w:rsidRPr="000C27AA" w:rsidRDefault="006733EE" w:rsidP="005B0FAC">
      <w:pPr>
        <w:pStyle w:val="BodyTextMain"/>
        <w:rPr>
          <w:lang w:val="en-CA"/>
        </w:rPr>
      </w:pPr>
      <w:r w:rsidRPr="000C27AA">
        <w:rPr>
          <w:lang w:val="en-CA"/>
        </w:rPr>
        <w:t>One notable example of a global airline’s financial information was</w:t>
      </w:r>
      <w:r w:rsidR="007C226E" w:rsidRPr="000C27AA">
        <w:rPr>
          <w:lang w:val="en-CA"/>
        </w:rPr>
        <w:t xml:space="preserve"> </w:t>
      </w:r>
      <w:r w:rsidR="00FC7374" w:rsidRPr="000C27AA">
        <w:rPr>
          <w:lang w:val="en-CA"/>
        </w:rPr>
        <w:t>United Airlines</w:t>
      </w:r>
      <w:r w:rsidR="0027410D" w:rsidRPr="000C27AA">
        <w:rPr>
          <w:lang w:val="en-CA"/>
        </w:rPr>
        <w:t>—</w:t>
      </w:r>
      <w:r w:rsidR="00FC7374" w:rsidRPr="000C27AA">
        <w:rPr>
          <w:lang w:val="en-CA"/>
        </w:rPr>
        <w:t xml:space="preserve">the largest </w:t>
      </w:r>
      <w:r w:rsidR="007C226E" w:rsidRPr="000C27AA">
        <w:rPr>
          <w:lang w:val="en-CA"/>
        </w:rPr>
        <w:t xml:space="preserve">member </w:t>
      </w:r>
      <w:r w:rsidR="00FC7374" w:rsidRPr="000C27AA">
        <w:rPr>
          <w:lang w:val="en-CA"/>
        </w:rPr>
        <w:t xml:space="preserve">airline in the Star Alliance </w:t>
      </w:r>
      <w:r w:rsidR="007C226E" w:rsidRPr="000C27AA">
        <w:rPr>
          <w:lang w:val="en-CA"/>
        </w:rPr>
        <w:t>constellation</w:t>
      </w:r>
      <w:r w:rsidRPr="000C27AA">
        <w:rPr>
          <w:lang w:val="en-CA"/>
        </w:rPr>
        <w:t xml:space="preserve">. In 2018, the airline earned over $2 billion in net income (see Exhibit 4) </w:t>
      </w:r>
      <w:r w:rsidR="00A55A22" w:rsidRPr="000C27AA">
        <w:rPr>
          <w:lang w:val="en-CA"/>
        </w:rPr>
        <w:t>and recorded</w:t>
      </w:r>
      <w:r w:rsidRPr="000C27AA">
        <w:rPr>
          <w:lang w:val="en-CA"/>
        </w:rPr>
        <w:t xml:space="preserve"> over $44 billion in total assets</w:t>
      </w:r>
      <w:r w:rsidR="007C226E" w:rsidRPr="000C27AA">
        <w:rPr>
          <w:lang w:val="en-CA"/>
        </w:rPr>
        <w:t xml:space="preserve"> (see Exhibit 5)</w:t>
      </w:r>
      <w:r w:rsidR="00FC7374" w:rsidRPr="000C27AA">
        <w:rPr>
          <w:lang w:val="en-CA"/>
        </w:rPr>
        <w:t xml:space="preserve">. </w:t>
      </w:r>
    </w:p>
    <w:p w14:paraId="001BB259" w14:textId="7C716EAC" w:rsidR="00FC7374" w:rsidRPr="00CE78A8" w:rsidRDefault="00FC7374" w:rsidP="00FC7374">
      <w:pPr>
        <w:pStyle w:val="BodyTextMain"/>
        <w:rPr>
          <w:lang w:val="en-CA"/>
        </w:rPr>
      </w:pPr>
    </w:p>
    <w:p w14:paraId="26AFC17C" w14:textId="77777777" w:rsidR="00FC7374" w:rsidRPr="00CE78A8" w:rsidRDefault="00FC7374" w:rsidP="00FC7374">
      <w:pPr>
        <w:pStyle w:val="BodyTextMain"/>
        <w:rPr>
          <w:lang w:val="en-CA"/>
        </w:rPr>
      </w:pPr>
    </w:p>
    <w:p w14:paraId="4195B53B" w14:textId="77777777" w:rsidR="00FC7374" w:rsidRPr="000C27AA" w:rsidRDefault="00FC7374" w:rsidP="00FC7374">
      <w:pPr>
        <w:pStyle w:val="Casehead2"/>
        <w:rPr>
          <w:lang w:val="en-CA"/>
        </w:rPr>
      </w:pPr>
      <w:r w:rsidRPr="000C27AA">
        <w:rPr>
          <w:lang w:val="en-CA"/>
        </w:rPr>
        <w:t>Mileage Loyalty Programs</w:t>
      </w:r>
    </w:p>
    <w:p w14:paraId="27567B6B" w14:textId="77777777" w:rsidR="00FC7374" w:rsidRPr="00CE78A8" w:rsidRDefault="00FC7374" w:rsidP="00FC7374">
      <w:pPr>
        <w:pStyle w:val="BodyTextMain"/>
        <w:rPr>
          <w:lang w:val="en-CA"/>
        </w:rPr>
      </w:pPr>
    </w:p>
    <w:p w14:paraId="3BC977B6" w14:textId="3D262651" w:rsidR="00FC7374" w:rsidRPr="000C27AA" w:rsidRDefault="00FC7374" w:rsidP="00FC7374">
      <w:pPr>
        <w:pStyle w:val="BodyTextMain"/>
        <w:rPr>
          <w:lang w:val="en-CA"/>
        </w:rPr>
      </w:pPr>
      <w:r w:rsidRPr="000C27AA">
        <w:rPr>
          <w:lang w:val="en-CA"/>
        </w:rPr>
        <w:t xml:space="preserve">To promote customer loyalty and develop future business, airlines used mileage programs, in which passengers could accumulate points toward future travel. Over time, the airlines </w:t>
      </w:r>
      <w:r w:rsidR="00D25809" w:rsidRPr="000C27AA">
        <w:rPr>
          <w:lang w:val="en-CA"/>
        </w:rPr>
        <w:t>began</w:t>
      </w:r>
      <w:r w:rsidRPr="000C27AA">
        <w:rPr>
          <w:lang w:val="en-CA"/>
        </w:rPr>
        <w:t xml:space="preserve"> sell</w:t>
      </w:r>
      <w:r w:rsidR="00D25809" w:rsidRPr="000C27AA">
        <w:rPr>
          <w:lang w:val="en-CA"/>
        </w:rPr>
        <w:t>ing some of their</w:t>
      </w:r>
      <w:r w:rsidRPr="000C27AA">
        <w:rPr>
          <w:lang w:val="en-CA"/>
        </w:rPr>
        <w:t xml:space="preserve"> mileage points to credit card companies, which </w:t>
      </w:r>
      <w:r w:rsidR="00D25809" w:rsidRPr="000C27AA">
        <w:rPr>
          <w:lang w:val="en-CA"/>
        </w:rPr>
        <w:t xml:space="preserve">in turn </w:t>
      </w:r>
      <w:r w:rsidRPr="000C27AA">
        <w:rPr>
          <w:lang w:val="en-CA"/>
        </w:rPr>
        <w:t xml:space="preserve">offered them as promotion to their </w:t>
      </w:r>
      <w:r w:rsidR="00D25809" w:rsidRPr="000C27AA">
        <w:rPr>
          <w:lang w:val="en-CA"/>
        </w:rPr>
        <w:t>c</w:t>
      </w:r>
      <w:r w:rsidRPr="000C27AA">
        <w:rPr>
          <w:lang w:val="en-CA"/>
        </w:rPr>
        <w:t>us</w:t>
      </w:r>
      <w:r w:rsidR="00D25809" w:rsidRPr="000C27AA">
        <w:rPr>
          <w:lang w:val="en-CA"/>
        </w:rPr>
        <w:t>tom</w:t>
      </w:r>
      <w:r w:rsidRPr="000C27AA">
        <w:rPr>
          <w:lang w:val="en-CA"/>
        </w:rPr>
        <w:t xml:space="preserve">ers. </w:t>
      </w:r>
      <w:r w:rsidR="00D25809" w:rsidRPr="000C27AA">
        <w:rPr>
          <w:lang w:val="en-CA"/>
        </w:rPr>
        <w:t>Con</w:t>
      </w:r>
      <w:r w:rsidRPr="000C27AA">
        <w:rPr>
          <w:lang w:val="en-CA"/>
        </w:rPr>
        <w:t>s</w:t>
      </w:r>
      <w:r w:rsidR="00D25809" w:rsidRPr="000C27AA">
        <w:rPr>
          <w:lang w:val="en-CA"/>
        </w:rPr>
        <w:t>u</w:t>
      </w:r>
      <w:r w:rsidRPr="000C27AA">
        <w:rPr>
          <w:lang w:val="en-CA"/>
        </w:rPr>
        <w:t>mer</w:t>
      </w:r>
      <w:r w:rsidR="00D25809" w:rsidRPr="000C27AA">
        <w:rPr>
          <w:lang w:val="en-CA"/>
        </w:rPr>
        <w:t>s</w:t>
      </w:r>
      <w:r w:rsidRPr="000C27AA">
        <w:rPr>
          <w:lang w:val="en-CA"/>
        </w:rPr>
        <w:t xml:space="preserve"> could earn </w:t>
      </w:r>
      <w:r w:rsidR="00D25809" w:rsidRPr="000C27AA">
        <w:rPr>
          <w:lang w:val="en-CA"/>
        </w:rPr>
        <w:t xml:space="preserve">travel </w:t>
      </w:r>
      <w:r w:rsidRPr="000C27AA">
        <w:rPr>
          <w:lang w:val="en-CA"/>
        </w:rPr>
        <w:t>miles by using the credit card</w:t>
      </w:r>
      <w:r w:rsidR="00D25809" w:rsidRPr="000C27AA">
        <w:rPr>
          <w:lang w:val="en-CA"/>
        </w:rPr>
        <w:t>s</w:t>
      </w:r>
      <w:r w:rsidRPr="000C27AA">
        <w:rPr>
          <w:lang w:val="en-CA"/>
        </w:rPr>
        <w:t xml:space="preserve"> and </w:t>
      </w:r>
      <w:r w:rsidR="00D25809" w:rsidRPr="000C27AA">
        <w:rPr>
          <w:lang w:val="en-CA"/>
        </w:rPr>
        <w:t>use them toward the purchase of flight</w:t>
      </w:r>
      <w:r w:rsidRPr="000C27AA">
        <w:rPr>
          <w:lang w:val="en-CA"/>
        </w:rPr>
        <w:t xml:space="preserve"> ticket</w:t>
      </w:r>
      <w:r w:rsidR="00D25809" w:rsidRPr="000C27AA">
        <w:rPr>
          <w:lang w:val="en-CA"/>
        </w:rPr>
        <w:t>s</w:t>
      </w:r>
      <w:r w:rsidRPr="000C27AA">
        <w:rPr>
          <w:lang w:val="en-CA"/>
        </w:rPr>
        <w:t xml:space="preserve">. </w:t>
      </w:r>
      <w:r w:rsidR="00D25809" w:rsidRPr="000C27AA">
        <w:rPr>
          <w:lang w:val="en-CA"/>
        </w:rPr>
        <w:t>Recurring</w:t>
      </w:r>
      <w:r w:rsidRPr="000C27AA">
        <w:rPr>
          <w:lang w:val="en-CA"/>
        </w:rPr>
        <w:t xml:space="preserve"> customers </w:t>
      </w:r>
      <w:r w:rsidR="00D25809" w:rsidRPr="000C27AA">
        <w:rPr>
          <w:lang w:val="en-CA"/>
        </w:rPr>
        <w:t>and</w:t>
      </w:r>
      <w:r w:rsidRPr="000C27AA">
        <w:rPr>
          <w:lang w:val="en-CA"/>
        </w:rPr>
        <w:t xml:space="preserve"> business travel</w:t>
      </w:r>
      <w:r w:rsidR="00D25809" w:rsidRPr="000C27AA">
        <w:rPr>
          <w:lang w:val="en-CA"/>
        </w:rPr>
        <w:t>l</w:t>
      </w:r>
      <w:r w:rsidRPr="000C27AA">
        <w:rPr>
          <w:lang w:val="en-CA"/>
        </w:rPr>
        <w:t xml:space="preserve">ers </w:t>
      </w:r>
      <w:r w:rsidR="00D25809" w:rsidRPr="000C27AA">
        <w:rPr>
          <w:lang w:val="en-CA"/>
        </w:rPr>
        <w:t>could</w:t>
      </w:r>
      <w:r w:rsidRPr="000C27AA">
        <w:rPr>
          <w:lang w:val="en-CA"/>
        </w:rPr>
        <w:t xml:space="preserve"> benefit</w:t>
      </w:r>
      <w:r w:rsidR="00D25809" w:rsidRPr="000C27AA">
        <w:rPr>
          <w:lang w:val="en-CA"/>
        </w:rPr>
        <w:t xml:space="preserve"> from their loyalty</w:t>
      </w:r>
      <w:r w:rsidRPr="000C27AA">
        <w:rPr>
          <w:lang w:val="en-CA"/>
        </w:rPr>
        <w:t xml:space="preserve"> status</w:t>
      </w:r>
      <w:r w:rsidR="00D25809" w:rsidRPr="000C27AA">
        <w:rPr>
          <w:lang w:val="en-CA"/>
        </w:rPr>
        <w:t xml:space="preserve"> by receiving</w:t>
      </w:r>
      <w:r w:rsidRPr="000C27AA">
        <w:rPr>
          <w:lang w:val="en-CA"/>
        </w:rPr>
        <w:t xml:space="preserve"> lounge access and free upgrades. Each airline had its own</w:t>
      </w:r>
      <w:r w:rsidR="00D25809" w:rsidRPr="000C27AA">
        <w:rPr>
          <w:lang w:val="en-CA"/>
        </w:rPr>
        <w:t xml:space="preserve"> type of</w:t>
      </w:r>
      <w:r w:rsidRPr="000C27AA">
        <w:rPr>
          <w:lang w:val="en-CA"/>
        </w:rPr>
        <w:t xml:space="preserve"> </w:t>
      </w:r>
      <w:r w:rsidR="00D25809" w:rsidRPr="000C27AA">
        <w:rPr>
          <w:lang w:val="en-CA"/>
        </w:rPr>
        <w:t>f</w:t>
      </w:r>
      <w:r w:rsidRPr="000C27AA">
        <w:rPr>
          <w:lang w:val="en-CA"/>
        </w:rPr>
        <w:t xml:space="preserve">requent </w:t>
      </w:r>
      <w:r w:rsidR="00D25809" w:rsidRPr="000C27AA">
        <w:rPr>
          <w:lang w:val="en-CA"/>
        </w:rPr>
        <w:t>f</w:t>
      </w:r>
      <w:r w:rsidRPr="000C27AA">
        <w:rPr>
          <w:lang w:val="en-CA"/>
        </w:rPr>
        <w:t xml:space="preserve">lyer </w:t>
      </w:r>
      <w:r w:rsidR="00D25809" w:rsidRPr="000C27AA">
        <w:rPr>
          <w:lang w:val="en-CA"/>
        </w:rPr>
        <w:t>p</w:t>
      </w:r>
      <w:r w:rsidRPr="000C27AA">
        <w:rPr>
          <w:lang w:val="en-CA"/>
        </w:rPr>
        <w:t xml:space="preserve">rogram. </w:t>
      </w:r>
      <w:r w:rsidR="00D25809" w:rsidRPr="000C27AA">
        <w:rPr>
          <w:lang w:val="en-CA"/>
        </w:rPr>
        <w:t>Withi</w:t>
      </w:r>
      <w:r w:rsidRPr="000C27AA">
        <w:rPr>
          <w:lang w:val="en-CA"/>
        </w:rPr>
        <w:t xml:space="preserve">n an alliance, </w:t>
      </w:r>
      <w:r w:rsidR="00D25809" w:rsidRPr="000C27AA">
        <w:rPr>
          <w:lang w:val="en-CA"/>
        </w:rPr>
        <w:t>use of</w:t>
      </w:r>
      <w:r w:rsidRPr="000C27AA">
        <w:rPr>
          <w:lang w:val="en-CA"/>
        </w:rPr>
        <w:t xml:space="preserve"> these programs</w:t>
      </w:r>
      <w:r w:rsidR="00D25809" w:rsidRPr="000C27AA">
        <w:rPr>
          <w:lang w:val="en-CA"/>
        </w:rPr>
        <w:t xml:space="preserve"> was often shared by the member airlines, who</w:t>
      </w:r>
      <w:r w:rsidRPr="000C27AA">
        <w:rPr>
          <w:lang w:val="en-CA"/>
        </w:rPr>
        <w:t xml:space="preserve"> </w:t>
      </w:r>
      <w:r w:rsidR="00D25809" w:rsidRPr="000C27AA">
        <w:rPr>
          <w:lang w:val="en-CA"/>
        </w:rPr>
        <w:t xml:space="preserve">would </w:t>
      </w:r>
      <w:r w:rsidRPr="000C27AA">
        <w:rPr>
          <w:lang w:val="en-CA"/>
        </w:rPr>
        <w:t xml:space="preserve">accept each other’s </w:t>
      </w:r>
      <w:r w:rsidR="00D25809" w:rsidRPr="000C27AA">
        <w:rPr>
          <w:lang w:val="en-CA"/>
        </w:rPr>
        <w:t xml:space="preserve">travel </w:t>
      </w:r>
      <w:r w:rsidRPr="000C27AA">
        <w:rPr>
          <w:lang w:val="en-CA"/>
        </w:rPr>
        <w:t>miles.</w:t>
      </w:r>
    </w:p>
    <w:p w14:paraId="6303CAB6" w14:textId="7BAE37BF" w:rsidR="00FC7374" w:rsidRPr="000C27AA" w:rsidRDefault="00FC7374" w:rsidP="00FC7374">
      <w:pPr>
        <w:pStyle w:val="BodyTextMain"/>
        <w:rPr>
          <w:lang w:val="en-CA"/>
        </w:rPr>
      </w:pPr>
      <w:r w:rsidRPr="000C27AA">
        <w:rPr>
          <w:lang w:val="en-CA"/>
        </w:rPr>
        <w:lastRenderedPageBreak/>
        <w:t xml:space="preserve">The economic benefit of mileage loyalty programs depended on two key factors. First, loyalty programs provided airlines with a way to connect with and retain their most loyal customer base. Second, loyalty programs provided a source of liquidity </w:t>
      </w:r>
      <w:r w:rsidR="00D25809" w:rsidRPr="000C27AA">
        <w:rPr>
          <w:lang w:val="en-CA"/>
        </w:rPr>
        <w:t>that</w:t>
      </w:r>
      <w:r w:rsidRPr="000C27AA">
        <w:rPr>
          <w:lang w:val="en-CA"/>
        </w:rPr>
        <w:t xml:space="preserve"> could be used during times of uncertainty. </w:t>
      </w:r>
      <w:r w:rsidR="00D25809" w:rsidRPr="000C27AA">
        <w:rPr>
          <w:lang w:val="en-CA"/>
        </w:rPr>
        <w:t>Each</w:t>
      </w:r>
      <w:r w:rsidRPr="000C27AA">
        <w:rPr>
          <w:lang w:val="en-CA"/>
        </w:rPr>
        <w:t xml:space="preserve"> credit card compan</w:t>
      </w:r>
      <w:r w:rsidR="00D25809" w:rsidRPr="000C27AA">
        <w:rPr>
          <w:lang w:val="en-CA"/>
        </w:rPr>
        <w:t>y</w:t>
      </w:r>
      <w:r w:rsidRPr="000C27AA">
        <w:rPr>
          <w:lang w:val="en-CA"/>
        </w:rPr>
        <w:t xml:space="preserve"> paid </w:t>
      </w:r>
      <w:r w:rsidR="00D25809" w:rsidRPr="000C27AA">
        <w:rPr>
          <w:lang w:val="en-CA"/>
        </w:rPr>
        <w:t xml:space="preserve">the </w:t>
      </w:r>
      <w:r w:rsidRPr="000C27AA">
        <w:rPr>
          <w:lang w:val="en-CA"/>
        </w:rPr>
        <w:t xml:space="preserve">airlines for the miles accumulated by customers using their card. In return, airlines accumulated liabilities in the form of unclaimed miles. </w:t>
      </w:r>
      <w:r w:rsidR="00D25809" w:rsidRPr="000C27AA">
        <w:rPr>
          <w:lang w:val="en-CA"/>
        </w:rPr>
        <w:t>Most accumulated travel</w:t>
      </w:r>
      <w:r w:rsidRPr="000C27AA">
        <w:rPr>
          <w:lang w:val="en-CA"/>
        </w:rPr>
        <w:t xml:space="preserve"> miles were claimed within two years </w:t>
      </w:r>
      <w:r w:rsidR="00D25809" w:rsidRPr="000C27AA">
        <w:rPr>
          <w:lang w:val="en-CA"/>
        </w:rPr>
        <w:t>but</w:t>
      </w:r>
      <w:r w:rsidRPr="000C27AA">
        <w:rPr>
          <w:lang w:val="en-CA"/>
        </w:rPr>
        <w:t xml:space="preserve"> redemption </w:t>
      </w:r>
      <w:r w:rsidR="00D25809" w:rsidRPr="000C27AA">
        <w:rPr>
          <w:lang w:val="en-CA"/>
        </w:rPr>
        <w:t xml:space="preserve">was largely unpredictable, which </w:t>
      </w:r>
      <w:r w:rsidRPr="000C27AA">
        <w:rPr>
          <w:lang w:val="en-CA"/>
        </w:rPr>
        <w:t>added a layer of risk to loyalty programs.</w:t>
      </w:r>
      <w:r w:rsidRPr="000C27AA">
        <w:rPr>
          <w:rStyle w:val="EndnoteReference"/>
          <w:lang w:val="en-CA"/>
        </w:rPr>
        <w:endnoteReference w:id="10"/>
      </w:r>
    </w:p>
    <w:p w14:paraId="23848DCC" w14:textId="77777777" w:rsidR="00FC7374" w:rsidRPr="00CE78A8" w:rsidRDefault="00FC7374" w:rsidP="00FC7374">
      <w:pPr>
        <w:pStyle w:val="BodyTextMain"/>
        <w:rPr>
          <w:sz w:val="18"/>
          <w:lang w:val="en-CA"/>
        </w:rPr>
      </w:pPr>
    </w:p>
    <w:p w14:paraId="2F40913E" w14:textId="609C40BE" w:rsidR="00FC7374" w:rsidRPr="000C27AA" w:rsidRDefault="00FC7374" w:rsidP="00FC7374">
      <w:pPr>
        <w:pStyle w:val="BodyTextMain"/>
        <w:rPr>
          <w:lang w:val="en-CA"/>
        </w:rPr>
      </w:pPr>
      <w:r w:rsidRPr="000C27AA">
        <w:rPr>
          <w:lang w:val="en-CA"/>
        </w:rPr>
        <w:t xml:space="preserve">The form and operation of </w:t>
      </w:r>
      <w:r w:rsidR="005B0FAC" w:rsidRPr="000C27AA">
        <w:rPr>
          <w:lang w:val="en-CA"/>
        </w:rPr>
        <w:t>loyalty</w:t>
      </w:r>
      <w:r w:rsidRPr="000C27AA">
        <w:rPr>
          <w:lang w:val="en-CA"/>
        </w:rPr>
        <w:t xml:space="preserve"> programs varied</w:t>
      </w:r>
      <w:r w:rsidR="005B0FAC" w:rsidRPr="000C27AA">
        <w:rPr>
          <w:lang w:val="en-CA"/>
        </w:rPr>
        <w:t xml:space="preserve"> considerably. However, t</w:t>
      </w:r>
      <w:r w:rsidRPr="000C27AA">
        <w:rPr>
          <w:lang w:val="en-CA"/>
        </w:rPr>
        <w:t xml:space="preserve">he traditional form was best exemplified by the partnership between </w:t>
      </w:r>
      <w:r w:rsidR="005B0FAC" w:rsidRPr="000C27AA">
        <w:rPr>
          <w:lang w:val="en-CA"/>
        </w:rPr>
        <w:t xml:space="preserve">the airline Delta and the </w:t>
      </w:r>
      <w:r w:rsidRPr="000C27AA">
        <w:rPr>
          <w:lang w:val="en-CA"/>
        </w:rPr>
        <w:t xml:space="preserve">American Express </w:t>
      </w:r>
      <w:r w:rsidR="005B0FAC" w:rsidRPr="000C27AA">
        <w:rPr>
          <w:lang w:val="en-CA"/>
        </w:rPr>
        <w:t>credit card</w:t>
      </w:r>
      <w:r w:rsidRPr="000C27AA">
        <w:rPr>
          <w:lang w:val="en-CA"/>
        </w:rPr>
        <w:t>. The partnership began in 1996 and was extended for 11 years in 2019. The main benefit of the partnership was renewed investment in Delta</w:t>
      </w:r>
      <w:r w:rsidR="005B0FAC" w:rsidRPr="000C27AA">
        <w:rPr>
          <w:lang w:val="en-CA"/>
        </w:rPr>
        <w:t>’s</w:t>
      </w:r>
      <w:r w:rsidRPr="000C27AA">
        <w:rPr>
          <w:lang w:val="en-CA"/>
        </w:rPr>
        <w:t xml:space="preserve"> SkyMiles credit card.</w:t>
      </w:r>
      <w:r w:rsidRPr="000C27AA">
        <w:rPr>
          <w:vertAlign w:val="superscript"/>
          <w:lang w:val="en-CA"/>
        </w:rPr>
        <w:endnoteReference w:id="11"/>
      </w:r>
      <w:r w:rsidRPr="000C27AA">
        <w:rPr>
          <w:lang w:val="en-CA"/>
        </w:rPr>
        <w:t xml:space="preserve"> In 2018, Delta estimated the annual benefit from its partnership with American Express </w:t>
      </w:r>
      <w:r w:rsidR="005B0FAC" w:rsidRPr="000C27AA">
        <w:rPr>
          <w:lang w:val="en-CA"/>
        </w:rPr>
        <w:t>a</w:t>
      </w:r>
      <w:r w:rsidRPr="000C27AA">
        <w:rPr>
          <w:lang w:val="en-CA"/>
        </w:rPr>
        <w:t xml:space="preserve">t $3.4 billion. With the new deal, this annual benefit was expected to increase to </w:t>
      </w:r>
      <w:r w:rsidR="005B0FAC" w:rsidRPr="000C27AA">
        <w:rPr>
          <w:lang w:val="en-CA"/>
        </w:rPr>
        <w:t>app</w:t>
      </w:r>
      <w:r w:rsidRPr="000C27AA">
        <w:rPr>
          <w:lang w:val="en-CA"/>
        </w:rPr>
        <w:t>ro</w:t>
      </w:r>
      <w:r w:rsidR="005B0FAC" w:rsidRPr="000C27AA">
        <w:rPr>
          <w:lang w:val="en-CA"/>
        </w:rPr>
        <w:t>ximate</w:t>
      </w:r>
      <w:r w:rsidRPr="000C27AA">
        <w:rPr>
          <w:lang w:val="en-CA"/>
        </w:rPr>
        <w:t>ly $7 billion by 2023.</w:t>
      </w:r>
      <w:r w:rsidRPr="000C27AA">
        <w:rPr>
          <w:vertAlign w:val="superscript"/>
          <w:lang w:val="en-CA"/>
        </w:rPr>
        <w:endnoteReference w:id="12"/>
      </w:r>
      <w:r w:rsidRPr="000C27AA">
        <w:rPr>
          <w:lang w:val="en-CA"/>
        </w:rPr>
        <w:t xml:space="preserve"> </w:t>
      </w:r>
    </w:p>
    <w:p w14:paraId="5B10D1F6" w14:textId="77777777" w:rsidR="00FC7374" w:rsidRPr="00CE78A8" w:rsidRDefault="00FC7374" w:rsidP="00FC7374">
      <w:pPr>
        <w:pStyle w:val="BodyTextMain"/>
        <w:rPr>
          <w:sz w:val="18"/>
          <w:lang w:val="en-CA"/>
        </w:rPr>
      </w:pPr>
    </w:p>
    <w:p w14:paraId="2F53AD6C" w14:textId="611F53E2" w:rsidR="00FC7374" w:rsidRPr="000C27AA" w:rsidRDefault="005B0FAC" w:rsidP="00FC7374">
      <w:pPr>
        <w:pStyle w:val="BodyTextMain"/>
        <w:rPr>
          <w:b/>
          <w:lang w:val="en-CA"/>
        </w:rPr>
      </w:pPr>
      <w:r w:rsidRPr="000C27AA">
        <w:rPr>
          <w:lang w:val="en-CA"/>
        </w:rPr>
        <w:t>In contrast to</w:t>
      </w:r>
      <w:r w:rsidR="00FC7374" w:rsidRPr="000C27AA">
        <w:rPr>
          <w:lang w:val="en-CA"/>
        </w:rPr>
        <w:t xml:space="preserve"> the traditional partnership</w:t>
      </w:r>
      <w:r w:rsidRPr="000C27AA">
        <w:rPr>
          <w:lang w:val="en-CA"/>
        </w:rPr>
        <w:t xml:space="preserve"> of Delta and American Express</w:t>
      </w:r>
      <w:r w:rsidR="00FC7374" w:rsidRPr="000C27AA">
        <w:rPr>
          <w:lang w:val="en-CA"/>
        </w:rPr>
        <w:t>, Air Canada took a novel approach by spinning off its loyalty program Aeroplan</w:t>
      </w:r>
      <w:r w:rsidRPr="000C27AA">
        <w:rPr>
          <w:lang w:val="en-CA"/>
        </w:rPr>
        <w:t xml:space="preserve"> into</w:t>
      </w:r>
      <w:r w:rsidR="00FC7374" w:rsidRPr="000C27AA">
        <w:rPr>
          <w:lang w:val="en-CA"/>
        </w:rPr>
        <w:t xml:space="preserve"> a separate corporation</w:t>
      </w:r>
      <w:r w:rsidRPr="000C27AA">
        <w:rPr>
          <w:lang w:val="en-CA"/>
        </w:rPr>
        <w:t>.</w:t>
      </w:r>
      <w:r w:rsidR="00FC7374" w:rsidRPr="000C27AA">
        <w:rPr>
          <w:lang w:val="en-CA"/>
        </w:rPr>
        <w:t xml:space="preserve"> </w:t>
      </w:r>
      <w:r w:rsidR="001014A9" w:rsidRPr="000C27AA">
        <w:rPr>
          <w:lang w:val="en-CA"/>
        </w:rPr>
        <w:t>The newly independent company</w:t>
      </w:r>
      <w:r w:rsidR="00FC7374" w:rsidRPr="000C27AA">
        <w:rPr>
          <w:lang w:val="en-CA"/>
        </w:rPr>
        <w:t xml:space="preserve"> went public in 2005, under the name Groupe Aeroplan. </w:t>
      </w:r>
      <w:r w:rsidRPr="000C27AA">
        <w:rPr>
          <w:lang w:val="en-CA"/>
        </w:rPr>
        <w:t>In 2008, the company was r</w:t>
      </w:r>
      <w:r w:rsidR="00FC7374" w:rsidRPr="000C27AA">
        <w:rPr>
          <w:lang w:val="en-CA"/>
        </w:rPr>
        <w:t>enamed Aimia</w:t>
      </w:r>
      <w:r w:rsidRPr="000C27AA">
        <w:rPr>
          <w:lang w:val="en-CA"/>
        </w:rPr>
        <w:t xml:space="preserve"> and</w:t>
      </w:r>
      <w:r w:rsidR="00FC7374" w:rsidRPr="000C27AA">
        <w:rPr>
          <w:lang w:val="en-CA"/>
        </w:rPr>
        <w:t xml:space="preserve"> began invest</w:t>
      </w:r>
      <w:r w:rsidRPr="000C27AA">
        <w:rPr>
          <w:lang w:val="en-CA"/>
        </w:rPr>
        <w:t>ing</w:t>
      </w:r>
      <w:r w:rsidR="00FC7374" w:rsidRPr="000C27AA">
        <w:rPr>
          <w:lang w:val="en-CA"/>
        </w:rPr>
        <w:t xml:space="preserve"> in </w:t>
      </w:r>
      <w:r w:rsidRPr="000C27AA">
        <w:rPr>
          <w:lang w:val="en-CA"/>
        </w:rPr>
        <w:t xml:space="preserve">the </w:t>
      </w:r>
      <w:r w:rsidR="00FC7374" w:rsidRPr="000C27AA">
        <w:rPr>
          <w:lang w:val="en-CA"/>
        </w:rPr>
        <w:t>loyalty programs of other airlines, including Aero</w:t>
      </w:r>
      <w:r w:rsidR="001014A9" w:rsidRPr="000C27AA">
        <w:rPr>
          <w:lang w:val="en-CA"/>
        </w:rPr>
        <w:t>vías de México, S.A. de C.V. (</w:t>
      </w:r>
      <w:r w:rsidR="007C09A6" w:rsidRPr="000C27AA">
        <w:rPr>
          <w:lang w:val="en-CA"/>
        </w:rPr>
        <w:t xml:space="preserve">commonly known as </w:t>
      </w:r>
      <w:r w:rsidR="001014A9" w:rsidRPr="000C27AA">
        <w:rPr>
          <w:lang w:val="en-CA"/>
        </w:rPr>
        <w:t>Aeromé</w:t>
      </w:r>
      <w:r w:rsidR="00FC7374" w:rsidRPr="000C27AA">
        <w:rPr>
          <w:lang w:val="en-CA"/>
        </w:rPr>
        <w:t>xico</w:t>
      </w:r>
      <w:r w:rsidR="001014A9" w:rsidRPr="000C27AA">
        <w:rPr>
          <w:lang w:val="en-CA"/>
        </w:rPr>
        <w:t>)</w:t>
      </w:r>
      <w:r w:rsidR="00FC7374" w:rsidRPr="000C27AA">
        <w:rPr>
          <w:lang w:val="en-CA"/>
        </w:rPr>
        <w:t xml:space="preserve"> and AirAsia</w:t>
      </w:r>
      <w:r w:rsidR="001014A9" w:rsidRPr="000C27AA">
        <w:rPr>
          <w:lang w:val="en-CA"/>
        </w:rPr>
        <w:t xml:space="preserve"> Berhad</w:t>
      </w:r>
      <w:r w:rsidR="00FC7374" w:rsidRPr="000C27AA">
        <w:rPr>
          <w:lang w:val="en-CA"/>
        </w:rPr>
        <w:t xml:space="preserve">. </w:t>
      </w:r>
      <w:r w:rsidR="001014A9" w:rsidRPr="000C27AA">
        <w:rPr>
          <w:lang w:val="en-CA"/>
        </w:rPr>
        <w:t>However, a</w:t>
      </w:r>
      <w:r w:rsidR="00FC7374" w:rsidRPr="000C27AA">
        <w:rPr>
          <w:lang w:val="en-CA"/>
        </w:rPr>
        <w:t xml:space="preserve">fter 13 years of separation from its </w:t>
      </w:r>
      <w:r w:rsidR="001014A9" w:rsidRPr="000C27AA">
        <w:rPr>
          <w:lang w:val="en-CA"/>
        </w:rPr>
        <w:t xml:space="preserve">own </w:t>
      </w:r>
      <w:r w:rsidR="00FC7374" w:rsidRPr="000C27AA">
        <w:rPr>
          <w:lang w:val="en-CA"/>
        </w:rPr>
        <w:t>loyalty program,</w:t>
      </w:r>
      <w:r w:rsidR="001014A9" w:rsidRPr="000C27AA">
        <w:rPr>
          <w:lang w:val="en-CA"/>
        </w:rPr>
        <w:t xml:space="preserve"> </w:t>
      </w:r>
      <w:r w:rsidR="00FC7374" w:rsidRPr="000C27AA">
        <w:rPr>
          <w:lang w:val="en-CA"/>
        </w:rPr>
        <w:t xml:space="preserve">Air Canada </w:t>
      </w:r>
      <w:r w:rsidR="001014A9" w:rsidRPr="000C27AA">
        <w:rPr>
          <w:lang w:val="en-CA"/>
        </w:rPr>
        <w:t xml:space="preserve">decided to </w:t>
      </w:r>
      <w:r w:rsidR="00FC7374" w:rsidRPr="000C27AA">
        <w:rPr>
          <w:lang w:val="en-CA"/>
        </w:rPr>
        <w:t>repurchase</w:t>
      </w:r>
      <w:r w:rsidR="001014A9" w:rsidRPr="000C27AA">
        <w:rPr>
          <w:lang w:val="en-CA"/>
        </w:rPr>
        <w:t xml:space="preserve"> the</w:t>
      </w:r>
      <w:r w:rsidR="00FC7374" w:rsidRPr="000C27AA">
        <w:rPr>
          <w:lang w:val="en-CA"/>
        </w:rPr>
        <w:t xml:space="preserve"> Aeroplan </w:t>
      </w:r>
      <w:r w:rsidR="001014A9" w:rsidRPr="000C27AA">
        <w:rPr>
          <w:lang w:val="en-CA"/>
        </w:rPr>
        <w:t xml:space="preserve">business </w:t>
      </w:r>
      <w:r w:rsidR="00FC7374" w:rsidRPr="000C27AA">
        <w:rPr>
          <w:lang w:val="en-CA"/>
        </w:rPr>
        <w:t xml:space="preserve">from </w:t>
      </w:r>
      <w:r w:rsidR="001014A9" w:rsidRPr="000C27AA">
        <w:rPr>
          <w:lang w:val="en-CA"/>
        </w:rPr>
        <w:t>the independe</w:t>
      </w:r>
      <w:r w:rsidR="007C09A6" w:rsidRPr="000C27AA">
        <w:rPr>
          <w:lang w:val="en-CA"/>
        </w:rPr>
        <w:t>n</w:t>
      </w:r>
      <w:r w:rsidR="001014A9" w:rsidRPr="000C27AA">
        <w:rPr>
          <w:lang w:val="en-CA"/>
        </w:rPr>
        <w:t xml:space="preserve">t company </w:t>
      </w:r>
      <w:r w:rsidR="00FC7374" w:rsidRPr="000C27AA">
        <w:rPr>
          <w:lang w:val="en-CA"/>
        </w:rPr>
        <w:t>Aimia in 2018 (</w:t>
      </w:r>
      <w:r w:rsidR="001014A9" w:rsidRPr="000C27AA">
        <w:rPr>
          <w:lang w:val="en-CA"/>
        </w:rPr>
        <w:t xml:space="preserve">see </w:t>
      </w:r>
      <w:r w:rsidR="00FC7374" w:rsidRPr="000C27AA">
        <w:rPr>
          <w:lang w:val="en-CA"/>
        </w:rPr>
        <w:t>Exhibit 6).</w:t>
      </w:r>
      <w:r w:rsidR="00FC7374" w:rsidRPr="000C27AA">
        <w:rPr>
          <w:vertAlign w:val="superscript"/>
          <w:lang w:val="en-CA"/>
        </w:rPr>
        <w:endnoteReference w:id="13"/>
      </w:r>
    </w:p>
    <w:p w14:paraId="3830E705" w14:textId="77777777" w:rsidR="00FC7374" w:rsidRPr="00CE78A8" w:rsidRDefault="00FC7374" w:rsidP="00FC7374">
      <w:pPr>
        <w:pStyle w:val="BodyTextMain"/>
        <w:rPr>
          <w:sz w:val="18"/>
          <w:lang w:val="en-CA"/>
        </w:rPr>
      </w:pPr>
    </w:p>
    <w:p w14:paraId="471B7C0A" w14:textId="77777777" w:rsidR="00FC7374" w:rsidRPr="00CE78A8" w:rsidRDefault="00FC7374" w:rsidP="00FC7374">
      <w:pPr>
        <w:pStyle w:val="BodyTextMain"/>
        <w:rPr>
          <w:sz w:val="18"/>
          <w:lang w:val="en-CA"/>
        </w:rPr>
      </w:pPr>
    </w:p>
    <w:p w14:paraId="04726194" w14:textId="77777777" w:rsidR="00FC7374" w:rsidRPr="000C27AA" w:rsidRDefault="00FC7374" w:rsidP="00FC7374">
      <w:pPr>
        <w:pStyle w:val="Casehead1"/>
        <w:rPr>
          <w:lang w:val="en-CA"/>
        </w:rPr>
      </w:pPr>
      <w:r w:rsidRPr="000C27AA">
        <w:rPr>
          <w:lang w:val="en-CA"/>
        </w:rPr>
        <w:t xml:space="preserve">Regulated Competition in the Global Airline Industry </w:t>
      </w:r>
    </w:p>
    <w:p w14:paraId="33162B5B" w14:textId="77777777" w:rsidR="00FC7374" w:rsidRPr="00CE78A8" w:rsidRDefault="00FC7374" w:rsidP="00FC7374">
      <w:pPr>
        <w:pStyle w:val="BodyTextMain"/>
        <w:rPr>
          <w:sz w:val="18"/>
          <w:lang w:val="en-CA"/>
        </w:rPr>
      </w:pPr>
    </w:p>
    <w:p w14:paraId="748A0B8F" w14:textId="010F58DC" w:rsidR="00FC7374" w:rsidRPr="000C27AA" w:rsidRDefault="00FC7374" w:rsidP="00FC7374">
      <w:pPr>
        <w:pStyle w:val="BodyTextMain"/>
        <w:rPr>
          <w:lang w:val="en-CA"/>
        </w:rPr>
      </w:pPr>
      <w:r w:rsidRPr="000C27AA">
        <w:rPr>
          <w:lang w:val="en-CA"/>
        </w:rPr>
        <w:t xml:space="preserve">Air travel was a huge industry operating on a global scale. In 2019, the </w:t>
      </w:r>
      <w:proofErr w:type="gramStart"/>
      <w:r w:rsidRPr="000C27AA">
        <w:rPr>
          <w:lang w:val="en-CA"/>
        </w:rPr>
        <w:t>290 member</w:t>
      </w:r>
      <w:proofErr w:type="gramEnd"/>
      <w:r w:rsidRPr="000C27AA">
        <w:rPr>
          <w:lang w:val="en-CA"/>
        </w:rPr>
        <w:t xml:space="preserve"> airlines in the International Air Transport Association together transported over 4.5 billion passengers and had </w:t>
      </w:r>
      <w:r w:rsidR="006A520C" w:rsidRPr="000C27AA">
        <w:rPr>
          <w:lang w:val="en-CA"/>
        </w:rPr>
        <w:t xml:space="preserve">total </w:t>
      </w:r>
      <w:r w:rsidRPr="000C27AA">
        <w:rPr>
          <w:lang w:val="en-CA"/>
        </w:rPr>
        <w:t>operating revenues of $838 billion. At that time, revenues had been growing at 3.2</w:t>
      </w:r>
      <w:r w:rsidR="006A520C" w:rsidRPr="000C27AA">
        <w:rPr>
          <w:lang w:val="en-CA"/>
        </w:rPr>
        <w:t xml:space="preserve"> per cent</w:t>
      </w:r>
      <w:r w:rsidRPr="000C27AA">
        <w:rPr>
          <w:lang w:val="en-CA"/>
        </w:rPr>
        <w:t xml:space="preserve"> per year and projections were for more of the same.</w:t>
      </w:r>
      <w:r w:rsidRPr="000C27AA">
        <w:rPr>
          <w:vertAlign w:val="superscript"/>
          <w:lang w:val="en-CA"/>
        </w:rPr>
        <w:endnoteReference w:id="14"/>
      </w:r>
      <w:r w:rsidRPr="000C27AA">
        <w:rPr>
          <w:lang w:val="en-CA"/>
        </w:rPr>
        <w:t xml:space="preserve"> Company performance in the airline industry was cyclical, </w:t>
      </w:r>
      <w:r w:rsidR="006A520C" w:rsidRPr="000C27AA">
        <w:rPr>
          <w:lang w:val="en-CA"/>
        </w:rPr>
        <w:t>based on</w:t>
      </w:r>
      <w:r w:rsidRPr="000C27AA">
        <w:rPr>
          <w:lang w:val="en-CA"/>
        </w:rPr>
        <w:t xml:space="preserve"> changing consumer demand and the price of inputs, particularly labo</w:t>
      </w:r>
      <w:r w:rsidR="006A520C" w:rsidRPr="000C27AA">
        <w:rPr>
          <w:lang w:val="en-CA"/>
        </w:rPr>
        <w:t>u</w:t>
      </w:r>
      <w:r w:rsidRPr="000C27AA">
        <w:rPr>
          <w:lang w:val="en-CA"/>
        </w:rPr>
        <w:t>r and fuel.</w:t>
      </w:r>
    </w:p>
    <w:p w14:paraId="6EEA746B" w14:textId="77777777" w:rsidR="00FC7374" w:rsidRPr="00CE78A8" w:rsidRDefault="00FC7374" w:rsidP="00FC7374">
      <w:pPr>
        <w:pStyle w:val="BodyTextMain"/>
        <w:rPr>
          <w:sz w:val="18"/>
          <w:lang w:val="en-CA"/>
        </w:rPr>
      </w:pPr>
    </w:p>
    <w:p w14:paraId="3381164C" w14:textId="1DD9FC3C" w:rsidR="00FC7374" w:rsidRPr="000C27AA" w:rsidRDefault="00FC7374" w:rsidP="00FC7374">
      <w:pPr>
        <w:pStyle w:val="BodyTextMain"/>
        <w:rPr>
          <w:lang w:val="en-CA"/>
        </w:rPr>
      </w:pPr>
      <w:r w:rsidRPr="000C27AA">
        <w:rPr>
          <w:lang w:val="en-CA"/>
        </w:rPr>
        <w:t xml:space="preserve">Soaring fuel prices </w:t>
      </w:r>
      <w:r w:rsidR="006A520C" w:rsidRPr="000C27AA">
        <w:rPr>
          <w:lang w:val="en-CA"/>
        </w:rPr>
        <w:t xml:space="preserve">in </w:t>
      </w:r>
      <w:r w:rsidR="00DE1FA7" w:rsidRPr="000C27AA">
        <w:rPr>
          <w:lang w:val="en-CA"/>
        </w:rPr>
        <w:t xml:space="preserve">the </w:t>
      </w:r>
      <w:r w:rsidR="006A520C" w:rsidRPr="000C27AA">
        <w:rPr>
          <w:lang w:val="en-CA"/>
        </w:rPr>
        <w:t xml:space="preserve">early 1990s, </w:t>
      </w:r>
      <w:r w:rsidRPr="000C27AA">
        <w:rPr>
          <w:lang w:val="en-CA"/>
        </w:rPr>
        <w:t>during the Gulf War</w:t>
      </w:r>
      <w:r w:rsidR="006A520C" w:rsidRPr="000C27AA">
        <w:rPr>
          <w:lang w:val="en-CA"/>
        </w:rPr>
        <w:t>, caused</w:t>
      </w:r>
      <w:r w:rsidRPr="000C27AA">
        <w:rPr>
          <w:lang w:val="en-CA"/>
        </w:rPr>
        <w:t xml:space="preserve"> many </w:t>
      </w:r>
      <w:r w:rsidR="006A520C" w:rsidRPr="000C27AA">
        <w:rPr>
          <w:lang w:val="en-CA"/>
        </w:rPr>
        <w:t xml:space="preserve">airline </w:t>
      </w:r>
      <w:r w:rsidRPr="000C27AA">
        <w:rPr>
          <w:lang w:val="en-CA"/>
        </w:rPr>
        <w:t>companies to suffer considerable losses</w:t>
      </w:r>
      <w:r w:rsidR="006A520C" w:rsidRPr="000C27AA">
        <w:rPr>
          <w:lang w:val="en-CA"/>
        </w:rPr>
        <w:t>. O</w:t>
      </w:r>
      <w:r w:rsidRPr="000C27AA">
        <w:rPr>
          <w:lang w:val="en-CA"/>
        </w:rPr>
        <w:t>verall</w:t>
      </w:r>
      <w:r w:rsidR="006A520C" w:rsidRPr="000C27AA">
        <w:rPr>
          <w:lang w:val="en-CA"/>
        </w:rPr>
        <w:t>, the</w:t>
      </w:r>
      <w:r w:rsidRPr="000C27AA">
        <w:rPr>
          <w:lang w:val="en-CA"/>
        </w:rPr>
        <w:t xml:space="preserve"> industry lost $16 billion from 1990 to 1993. </w:t>
      </w:r>
      <w:r w:rsidR="006A520C" w:rsidRPr="000C27AA">
        <w:rPr>
          <w:lang w:val="en-CA"/>
        </w:rPr>
        <w:t>However,</w:t>
      </w:r>
      <w:r w:rsidRPr="000C27AA">
        <w:rPr>
          <w:lang w:val="en-CA"/>
        </w:rPr>
        <w:t xml:space="preserve"> the next five years were profitable. Similarly, the industry experienced a downturn after </w:t>
      </w:r>
      <w:r w:rsidR="006A520C" w:rsidRPr="000C27AA">
        <w:rPr>
          <w:lang w:val="en-CA"/>
        </w:rPr>
        <w:t xml:space="preserve">the </w:t>
      </w:r>
      <w:r w:rsidRPr="000C27AA">
        <w:rPr>
          <w:lang w:val="en-CA"/>
        </w:rPr>
        <w:t>9/11</w:t>
      </w:r>
      <w:r w:rsidR="006A520C" w:rsidRPr="000C27AA">
        <w:rPr>
          <w:lang w:val="en-CA"/>
        </w:rPr>
        <w:t xml:space="preserve"> terrorist attacks on the World Trade Center</w:t>
      </w:r>
      <w:r w:rsidRPr="000C27AA">
        <w:rPr>
          <w:lang w:val="en-CA"/>
        </w:rPr>
        <w:t xml:space="preserve">, but consolidation and higher passenger yields </w:t>
      </w:r>
      <w:r w:rsidR="006A520C" w:rsidRPr="000C27AA">
        <w:rPr>
          <w:lang w:val="en-CA"/>
        </w:rPr>
        <w:t xml:space="preserve">again </w:t>
      </w:r>
      <w:r w:rsidRPr="000C27AA">
        <w:rPr>
          <w:lang w:val="en-CA"/>
        </w:rPr>
        <w:t xml:space="preserve">led to robust profitability </w:t>
      </w:r>
      <w:r w:rsidR="006A520C" w:rsidRPr="000C27AA">
        <w:rPr>
          <w:lang w:val="en-CA"/>
        </w:rPr>
        <w:t>by the 2010s</w:t>
      </w:r>
      <w:r w:rsidRPr="000C27AA">
        <w:rPr>
          <w:lang w:val="en-CA"/>
        </w:rPr>
        <w:t xml:space="preserve">. Airlines introduced a slew of fees for services and often made millions of dollars in profit on just ticket change fees. </w:t>
      </w:r>
      <w:r w:rsidR="006A520C" w:rsidRPr="000C27AA">
        <w:rPr>
          <w:lang w:val="en-CA"/>
        </w:rPr>
        <w:t>Another industry boon in</w:t>
      </w:r>
      <w:r w:rsidRPr="000C27AA">
        <w:rPr>
          <w:lang w:val="en-CA"/>
        </w:rPr>
        <w:t xml:space="preserve"> </w:t>
      </w:r>
      <w:r w:rsidR="00DE1FA7" w:rsidRPr="000C27AA">
        <w:rPr>
          <w:lang w:val="en-CA"/>
        </w:rPr>
        <w:t xml:space="preserve">the </w:t>
      </w:r>
      <w:r w:rsidRPr="000C27AA">
        <w:rPr>
          <w:lang w:val="en-CA"/>
        </w:rPr>
        <w:t xml:space="preserve">late 2010s </w:t>
      </w:r>
      <w:r w:rsidR="006A520C" w:rsidRPr="000C27AA">
        <w:rPr>
          <w:lang w:val="en-CA"/>
        </w:rPr>
        <w:t>was</w:t>
      </w:r>
      <w:r w:rsidRPr="000C27AA">
        <w:rPr>
          <w:lang w:val="en-CA"/>
        </w:rPr>
        <w:t xml:space="preserve"> a decline in fuel prices.</w:t>
      </w:r>
      <w:r w:rsidRPr="000C27AA">
        <w:rPr>
          <w:rStyle w:val="EndnoteReference"/>
          <w:lang w:val="en-CA"/>
        </w:rPr>
        <w:endnoteReference w:id="15"/>
      </w:r>
      <w:r w:rsidRPr="000C27AA">
        <w:rPr>
          <w:lang w:val="en-CA"/>
        </w:rPr>
        <w:t xml:space="preserve"> By 2019, the future of the </w:t>
      </w:r>
      <w:r w:rsidR="006A520C" w:rsidRPr="000C27AA">
        <w:rPr>
          <w:lang w:val="en-CA"/>
        </w:rPr>
        <w:t xml:space="preserve">global airline </w:t>
      </w:r>
      <w:r w:rsidRPr="000C27AA">
        <w:rPr>
          <w:lang w:val="en-CA"/>
        </w:rPr>
        <w:t xml:space="preserve">industry seemed strong, </w:t>
      </w:r>
      <w:r w:rsidR="006A520C" w:rsidRPr="000C27AA">
        <w:rPr>
          <w:lang w:val="en-CA"/>
        </w:rPr>
        <w:t>al</w:t>
      </w:r>
      <w:r w:rsidRPr="000C27AA">
        <w:rPr>
          <w:lang w:val="en-CA"/>
        </w:rPr>
        <w:t xml:space="preserve">though a down cycle was looming as the economic expansion </w:t>
      </w:r>
      <w:r w:rsidR="006A520C" w:rsidRPr="000C27AA">
        <w:rPr>
          <w:lang w:val="en-CA"/>
        </w:rPr>
        <w:t>that was evident</w:t>
      </w:r>
      <w:r w:rsidRPr="000C27AA">
        <w:rPr>
          <w:lang w:val="en-CA"/>
        </w:rPr>
        <w:t xml:space="preserve"> in those years began to slow. </w:t>
      </w:r>
    </w:p>
    <w:p w14:paraId="7A412AF6" w14:textId="044E1FDE" w:rsidR="00FC7374" w:rsidRPr="00CE78A8" w:rsidRDefault="00FC7374" w:rsidP="00FC7374">
      <w:pPr>
        <w:pStyle w:val="BodyTextMain"/>
        <w:rPr>
          <w:sz w:val="18"/>
          <w:lang w:val="en-CA"/>
        </w:rPr>
      </w:pPr>
    </w:p>
    <w:p w14:paraId="442940D2" w14:textId="77777777" w:rsidR="00FC7374" w:rsidRPr="00CE78A8" w:rsidRDefault="00FC7374" w:rsidP="00FC7374">
      <w:pPr>
        <w:pStyle w:val="BodyTextMain"/>
        <w:rPr>
          <w:sz w:val="18"/>
          <w:lang w:val="en-CA"/>
        </w:rPr>
      </w:pPr>
    </w:p>
    <w:p w14:paraId="311A18E7" w14:textId="097FC9A9" w:rsidR="00FC7374" w:rsidRPr="000C27AA" w:rsidRDefault="00FC7374" w:rsidP="00FC7374">
      <w:pPr>
        <w:pStyle w:val="Casehead2"/>
        <w:rPr>
          <w:lang w:val="en-CA"/>
        </w:rPr>
      </w:pPr>
      <w:r w:rsidRPr="000C27AA">
        <w:rPr>
          <w:lang w:val="en-CA"/>
        </w:rPr>
        <w:t>Regulation and Deregulation</w:t>
      </w:r>
      <w:r w:rsidR="00540205">
        <w:rPr>
          <w:rStyle w:val="EndnoteReference"/>
          <w:lang w:val="en-CA"/>
        </w:rPr>
        <w:endnoteReference w:id="16"/>
      </w:r>
    </w:p>
    <w:p w14:paraId="513A215F" w14:textId="77777777" w:rsidR="00FC7374" w:rsidRPr="00CE78A8" w:rsidRDefault="00FC7374" w:rsidP="00FC7374">
      <w:pPr>
        <w:pStyle w:val="BodyTextMain"/>
        <w:rPr>
          <w:iCs/>
          <w:sz w:val="18"/>
          <w:lang w:val="en-CA"/>
        </w:rPr>
      </w:pPr>
    </w:p>
    <w:p w14:paraId="3E1F0FFB" w14:textId="2631A377" w:rsidR="00FC7374" w:rsidRPr="000C27AA" w:rsidRDefault="00FC7374" w:rsidP="00FC7374">
      <w:pPr>
        <w:pStyle w:val="BodyTextMain"/>
        <w:rPr>
          <w:lang w:val="en-CA"/>
        </w:rPr>
      </w:pPr>
      <w:r w:rsidRPr="000C27AA">
        <w:rPr>
          <w:lang w:val="en-CA"/>
        </w:rPr>
        <w:t>Since its birth in the mid-20</w:t>
      </w:r>
      <w:r w:rsidR="00FA77BD" w:rsidRPr="000C27AA">
        <w:rPr>
          <w:lang w:val="en-CA"/>
        </w:rPr>
        <w:t>th</w:t>
      </w:r>
      <w:r w:rsidRPr="000C27AA">
        <w:rPr>
          <w:lang w:val="en-CA"/>
        </w:rPr>
        <w:t xml:space="preserve"> century, the commercial airline industry had been regulated by national governments in a multitude of ways. For the most part, routes had to be approved and licensed by government agencies, prices were set by negotiation between governments and by national authorities, foreign ownership was restricted in national airlines, and airlines were restricted to flying only to and from their home countries. International rules </w:t>
      </w:r>
      <w:r w:rsidR="007C09A6" w:rsidRPr="000C27AA">
        <w:rPr>
          <w:lang w:val="en-CA"/>
        </w:rPr>
        <w:t xml:space="preserve">such as </w:t>
      </w:r>
      <w:r w:rsidR="007C09A6" w:rsidRPr="000C27AA">
        <w:rPr>
          <w:i/>
          <w:lang w:val="en-CA"/>
        </w:rPr>
        <w:t>cabotage</w:t>
      </w:r>
      <w:r w:rsidR="007C09A6" w:rsidRPr="000C27AA">
        <w:rPr>
          <w:lang w:val="en-CA"/>
        </w:rPr>
        <w:t xml:space="preserve">, </w:t>
      </w:r>
      <w:r w:rsidRPr="000C27AA">
        <w:rPr>
          <w:lang w:val="en-CA"/>
        </w:rPr>
        <w:t>restricted airlines from operating domestic flights in countries other than their home base</w:t>
      </w:r>
      <w:r w:rsidR="00FA77BD" w:rsidRPr="000C27AA">
        <w:rPr>
          <w:lang w:val="en-CA"/>
        </w:rPr>
        <w:t>.</w:t>
      </w:r>
      <w:r w:rsidRPr="000C27AA">
        <w:rPr>
          <w:lang w:val="en-CA"/>
        </w:rPr>
        <w:t xml:space="preserve"> In other words, a German airliner </w:t>
      </w:r>
      <w:proofErr w:type="gramStart"/>
      <w:r w:rsidRPr="000C27AA">
        <w:rPr>
          <w:lang w:val="en-CA"/>
        </w:rPr>
        <w:t>was allowed to</w:t>
      </w:r>
      <w:proofErr w:type="gramEnd"/>
      <w:r w:rsidRPr="000C27AA">
        <w:rPr>
          <w:lang w:val="en-CA"/>
        </w:rPr>
        <w:t xml:space="preserve"> fly from Germany to the United States and back, picking up passengers at each end-point, but was not allowed to fly passengers between two cities in the United States.</w:t>
      </w:r>
    </w:p>
    <w:p w14:paraId="5D499375" w14:textId="34911811" w:rsidR="00FC7374" w:rsidRPr="000C27AA" w:rsidRDefault="00FC7374" w:rsidP="00FC7374">
      <w:pPr>
        <w:pStyle w:val="BodyTextMain"/>
        <w:rPr>
          <w:lang w:val="en-CA"/>
        </w:rPr>
      </w:pPr>
      <w:r w:rsidRPr="000C27AA">
        <w:rPr>
          <w:lang w:val="en-CA"/>
        </w:rPr>
        <w:lastRenderedPageBreak/>
        <w:t>Starting in the United States in 1978 and spreading to the European Union (EU) in 1993, a wave of deregulation and liberalization loosened restrictions on pricing and routes. With the creation of a single European aviation market, EU airlines were permitted to fly to and from all international destinations within the EU region. However, travel to and from non-EU countries was still subject to bilateral negotiations between individual European countries and the non-EU country. The rules of cabotage remained in effect for the important trans-Atlantic and Asian routes.</w:t>
      </w:r>
    </w:p>
    <w:p w14:paraId="1BD5AA5D" w14:textId="77777777" w:rsidR="006A520C" w:rsidRPr="00CE78A8" w:rsidRDefault="006A520C" w:rsidP="00FC7374">
      <w:pPr>
        <w:pStyle w:val="BodyTextMain"/>
        <w:rPr>
          <w:lang w:val="en-CA"/>
        </w:rPr>
      </w:pPr>
    </w:p>
    <w:p w14:paraId="36767592" w14:textId="09E296BE" w:rsidR="00FC7374" w:rsidRPr="000C27AA" w:rsidRDefault="00FC7374" w:rsidP="00FC7374">
      <w:pPr>
        <w:pStyle w:val="BodyTextMain"/>
        <w:rPr>
          <w:spacing w:val="-4"/>
          <w:kern w:val="2"/>
          <w:lang w:val="en-CA"/>
        </w:rPr>
      </w:pPr>
      <w:r w:rsidRPr="000C27AA">
        <w:rPr>
          <w:spacing w:val="-4"/>
          <w:kern w:val="2"/>
          <w:lang w:val="en-CA"/>
        </w:rPr>
        <w:t>Beginning in 1992, the governments of the U</w:t>
      </w:r>
      <w:r w:rsidR="00FA77BD" w:rsidRPr="000C27AA">
        <w:rPr>
          <w:spacing w:val="-4"/>
          <w:kern w:val="2"/>
          <w:lang w:val="en-CA"/>
        </w:rPr>
        <w:t xml:space="preserve">nited </w:t>
      </w:r>
      <w:r w:rsidRPr="000C27AA">
        <w:rPr>
          <w:spacing w:val="-4"/>
          <w:kern w:val="2"/>
          <w:lang w:val="en-CA"/>
        </w:rPr>
        <w:t>S</w:t>
      </w:r>
      <w:r w:rsidR="00FA77BD" w:rsidRPr="000C27AA">
        <w:rPr>
          <w:spacing w:val="-4"/>
          <w:kern w:val="2"/>
          <w:lang w:val="en-CA"/>
        </w:rPr>
        <w:t>tates</w:t>
      </w:r>
      <w:r w:rsidRPr="000C27AA">
        <w:rPr>
          <w:spacing w:val="-4"/>
          <w:kern w:val="2"/>
          <w:lang w:val="en-CA"/>
        </w:rPr>
        <w:t xml:space="preserve"> and the Netherlands signed an Open Skies bilateral air treaty that allowed </w:t>
      </w:r>
      <w:r w:rsidR="000C27AA" w:rsidRPr="000C27AA">
        <w:rPr>
          <w:spacing w:val="-4"/>
          <w:kern w:val="2"/>
          <w:lang w:val="en-CA"/>
        </w:rPr>
        <w:t>US</w:t>
      </w:r>
      <w:r w:rsidRPr="000C27AA">
        <w:rPr>
          <w:spacing w:val="-4"/>
          <w:kern w:val="2"/>
          <w:lang w:val="en-CA"/>
        </w:rPr>
        <w:t xml:space="preserve"> airlines to fly without restrictions to Dutch cities, and the reverse. The treaty also granted KLM</w:t>
      </w:r>
      <w:r w:rsidR="00FA77BD" w:rsidRPr="000C27AA">
        <w:rPr>
          <w:spacing w:val="-4"/>
          <w:kern w:val="2"/>
          <w:lang w:val="en-CA"/>
        </w:rPr>
        <w:t xml:space="preserve"> Royal Dutch Airlines</w:t>
      </w:r>
      <w:r w:rsidRPr="000C27AA">
        <w:rPr>
          <w:spacing w:val="-4"/>
          <w:kern w:val="2"/>
          <w:lang w:val="en-CA"/>
        </w:rPr>
        <w:t xml:space="preserve"> and Northwest </w:t>
      </w:r>
      <w:r w:rsidR="00FA77BD" w:rsidRPr="000C27AA">
        <w:rPr>
          <w:spacing w:val="-4"/>
          <w:kern w:val="2"/>
          <w:lang w:val="en-CA"/>
        </w:rPr>
        <w:t xml:space="preserve">Airlines Corp. </w:t>
      </w:r>
      <w:r w:rsidRPr="000C27AA">
        <w:rPr>
          <w:spacing w:val="-4"/>
          <w:kern w:val="2"/>
          <w:lang w:val="en-CA"/>
        </w:rPr>
        <w:t xml:space="preserve">full antitrust immunity to pursue an alliance </w:t>
      </w:r>
      <w:r w:rsidR="00FA77BD" w:rsidRPr="000C27AA">
        <w:rPr>
          <w:spacing w:val="-4"/>
          <w:kern w:val="2"/>
          <w:lang w:val="en-CA"/>
        </w:rPr>
        <w:t>al</w:t>
      </w:r>
      <w:r w:rsidRPr="000C27AA">
        <w:rPr>
          <w:spacing w:val="-4"/>
          <w:kern w:val="2"/>
          <w:lang w:val="en-CA"/>
        </w:rPr>
        <w:t>though they were not allowed to merge ownership. By 2016, the U</w:t>
      </w:r>
      <w:r w:rsidR="00FA77BD" w:rsidRPr="000C27AA">
        <w:rPr>
          <w:spacing w:val="-4"/>
          <w:kern w:val="2"/>
          <w:lang w:val="en-CA"/>
        </w:rPr>
        <w:t xml:space="preserve">nited </w:t>
      </w:r>
      <w:r w:rsidRPr="000C27AA">
        <w:rPr>
          <w:spacing w:val="-4"/>
          <w:kern w:val="2"/>
          <w:lang w:val="en-CA"/>
        </w:rPr>
        <w:t>S</w:t>
      </w:r>
      <w:r w:rsidR="00FA77BD" w:rsidRPr="000C27AA">
        <w:rPr>
          <w:spacing w:val="-4"/>
          <w:kern w:val="2"/>
          <w:lang w:val="en-CA"/>
        </w:rPr>
        <w:t>tates</w:t>
      </w:r>
      <w:r w:rsidRPr="000C27AA">
        <w:rPr>
          <w:spacing w:val="-4"/>
          <w:kern w:val="2"/>
          <w:lang w:val="en-CA"/>
        </w:rPr>
        <w:t xml:space="preserve"> had made similar agreements with 120 other countries. Among the benefits that countries received in signing an agreement with the U</w:t>
      </w:r>
      <w:r w:rsidR="00FA77BD" w:rsidRPr="000C27AA">
        <w:rPr>
          <w:spacing w:val="-4"/>
          <w:kern w:val="2"/>
          <w:lang w:val="en-CA"/>
        </w:rPr>
        <w:t xml:space="preserve">nited </w:t>
      </w:r>
      <w:r w:rsidRPr="000C27AA">
        <w:rPr>
          <w:spacing w:val="-4"/>
          <w:kern w:val="2"/>
          <w:lang w:val="en-CA"/>
        </w:rPr>
        <w:t>S</w:t>
      </w:r>
      <w:r w:rsidR="00FA77BD" w:rsidRPr="000C27AA">
        <w:rPr>
          <w:spacing w:val="-4"/>
          <w:kern w:val="2"/>
          <w:lang w:val="en-CA"/>
        </w:rPr>
        <w:t>tates</w:t>
      </w:r>
      <w:r w:rsidRPr="000C27AA">
        <w:rPr>
          <w:spacing w:val="-4"/>
          <w:kern w:val="2"/>
          <w:lang w:val="en-CA"/>
        </w:rPr>
        <w:t xml:space="preserve"> was permission for US national airlines to set their own routes and pricing between countries.</w:t>
      </w:r>
    </w:p>
    <w:p w14:paraId="79893488" w14:textId="77777777" w:rsidR="00FC7374" w:rsidRPr="000C27AA" w:rsidRDefault="00FC7374" w:rsidP="00FC7374">
      <w:pPr>
        <w:pStyle w:val="BodyTextMain"/>
        <w:rPr>
          <w:sz w:val="14"/>
          <w:szCs w:val="14"/>
          <w:lang w:val="en-CA"/>
        </w:rPr>
      </w:pPr>
    </w:p>
    <w:p w14:paraId="1FB14516" w14:textId="529919E5" w:rsidR="00FC7374" w:rsidRPr="000C27AA" w:rsidRDefault="00FC7374" w:rsidP="00FC7374">
      <w:pPr>
        <w:pStyle w:val="BodyTextMain"/>
        <w:rPr>
          <w:lang w:val="en-CA"/>
        </w:rPr>
      </w:pPr>
      <w:r w:rsidRPr="000C27AA">
        <w:rPr>
          <w:lang w:val="en-CA"/>
        </w:rPr>
        <w:t xml:space="preserve">But </w:t>
      </w:r>
      <w:r w:rsidR="000C27AA" w:rsidRPr="000C27AA">
        <w:rPr>
          <w:lang w:val="en-CA"/>
        </w:rPr>
        <w:t>US</w:t>
      </w:r>
      <w:r w:rsidRPr="000C27AA">
        <w:rPr>
          <w:lang w:val="en-CA"/>
        </w:rPr>
        <w:t xml:space="preserve"> airlines still could not fly within the EU or within any other countries. An Open Skies agreement still did not grant </w:t>
      </w:r>
      <w:r w:rsidR="000C27AA" w:rsidRPr="000C27AA">
        <w:rPr>
          <w:lang w:val="en-CA"/>
        </w:rPr>
        <w:t>US</w:t>
      </w:r>
      <w:r w:rsidRPr="000C27AA">
        <w:rPr>
          <w:lang w:val="en-CA"/>
        </w:rPr>
        <w:t xml:space="preserve"> carriers the right to </w:t>
      </w:r>
      <w:r w:rsidRPr="000C27AA">
        <w:rPr>
          <w:iCs/>
          <w:lang w:val="en-CA"/>
        </w:rPr>
        <w:t>cabotage</w:t>
      </w:r>
      <w:r w:rsidRPr="000C27AA">
        <w:rPr>
          <w:lang w:val="en-CA"/>
        </w:rPr>
        <w:t xml:space="preserve"> in the foreign country’s domestic market. However, by forming an alliance with a domestic partner in the EU or any country, a </w:t>
      </w:r>
      <w:r w:rsidR="000C27AA" w:rsidRPr="000C27AA">
        <w:rPr>
          <w:lang w:val="en-CA"/>
        </w:rPr>
        <w:t>US</w:t>
      </w:r>
      <w:r w:rsidRPr="000C27AA">
        <w:rPr>
          <w:lang w:val="en-CA"/>
        </w:rPr>
        <w:t xml:space="preserve"> carrier could connect more effectively to the domestic route structure operated by the foreign airline.</w:t>
      </w:r>
    </w:p>
    <w:p w14:paraId="6EB4243F" w14:textId="526A1AD2" w:rsidR="00FC7374" w:rsidRPr="00CE78A8" w:rsidRDefault="00FC7374" w:rsidP="00FC7374">
      <w:pPr>
        <w:pStyle w:val="BodyTextMain"/>
        <w:rPr>
          <w:lang w:val="en-CA"/>
        </w:rPr>
      </w:pPr>
    </w:p>
    <w:p w14:paraId="4B93C301" w14:textId="77777777" w:rsidR="00FC7374" w:rsidRPr="00CE78A8" w:rsidRDefault="00FC7374" w:rsidP="00FC7374">
      <w:pPr>
        <w:pStyle w:val="BodyTextMain"/>
        <w:rPr>
          <w:lang w:val="en-CA"/>
        </w:rPr>
      </w:pPr>
    </w:p>
    <w:p w14:paraId="0FDF7B20" w14:textId="558102D4" w:rsidR="00FC7374" w:rsidRPr="000C27AA" w:rsidRDefault="00FC7374" w:rsidP="00FC7374">
      <w:pPr>
        <w:pStyle w:val="Casehead2"/>
        <w:rPr>
          <w:lang w:val="en-CA"/>
        </w:rPr>
      </w:pPr>
      <w:r w:rsidRPr="000C27AA">
        <w:rPr>
          <w:lang w:val="en-CA"/>
        </w:rPr>
        <w:t xml:space="preserve">National Ownership and Antitrust </w:t>
      </w:r>
    </w:p>
    <w:p w14:paraId="0B834662" w14:textId="77777777" w:rsidR="00FC7374" w:rsidRPr="00CE78A8" w:rsidRDefault="00FC7374" w:rsidP="00FC7374">
      <w:pPr>
        <w:pStyle w:val="BodyTextMain"/>
        <w:rPr>
          <w:i/>
          <w:iCs/>
          <w:lang w:val="en-CA"/>
        </w:rPr>
      </w:pPr>
    </w:p>
    <w:p w14:paraId="462FC337" w14:textId="4AA5406E" w:rsidR="00FC7374" w:rsidRPr="000C27AA" w:rsidRDefault="00FC7374" w:rsidP="00FC7374">
      <w:pPr>
        <w:pStyle w:val="BodyTextMain"/>
        <w:rPr>
          <w:lang w:val="en-CA"/>
        </w:rPr>
      </w:pPr>
      <w:r w:rsidRPr="000C27AA">
        <w:rPr>
          <w:lang w:val="en-CA"/>
        </w:rPr>
        <w:t>The traditional form of alliance in the industry had been one of loose ties between two partners, with no equity cross-participation. There were a few exceptions, such as British Airways and Delta, which were likely to take an equity interest in their partners.</w:t>
      </w:r>
      <w:r w:rsidRPr="000C27AA">
        <w:rPr>
          <w:rStyle w:val="EndnoteReference"/>
          <w:lang w:val="en-CA"/>
        </w:rPr>
        <w:endnoteReference w:id="17"/>
      </w:r>
      <w:r w:rsidRPr="000C27AA">
        <w:rPr>
          <w:lang w:val="en-CA"/>
        </w:rPr>
        <w:t xml:space="preserve"> One of the important features of these alliances </w:t>
      </w:r>
      <w:r w:rsidR="00FA77BD" w:rsidRPr="000C27AA">
        <w:rPr>
          <w:lang w:val="en-CA"/>
        </w:rPr>
        <w:t>wa</w:t>
      </w:r>
      <w:r w:rsidRPr="000C27AA">
        <w:rPr>
          <w:lang w:val="en-CA"/>
        </w:rPr>
        <w:t>s that they enabled the partners to overcome some of the restrictions imposed by national regulations.</w:t>
      </w:r>
    </w:p>
    <w:p w14:paraId="3160F5DD" w14:textId="77777777" w:rsidR="00FC7374" w:rsidRPr="00CE78A8" w:rsidRDefault="00FC7374" w:rsidP="00FC7374">
      <w:pPr>
        <w:pStyle w:val="BodyTextMain"/>
        <w:rPr>
          <w:lang w:val="en-CA"/>
        </w:rPr>
      </w:pPr>
    </w:p>
    <w:p w14:paraId="6FC4F3CD" w14:textId="305EAEB9" w:rsidR="00FC7374" w:rsidRPr="000C27AA" w:rsidRDefault="00FA77BD" w:rsidP="00FC7374">
      <w:pPr>
        <w:pStyle w:val="BodyTextMain"/>
        <w:rPr>
          <w:lang w:val="en-CA"/>
        </w:rPr>
      </w:pPr>
      <w:r w:rsidRPr="000C27AA">
        <w:rPr>
          <w:lang w:val="en-CA"/>
        </w:rPr>
        <w:t>Alt</w:t>
      </w:r>
      <w:r w:rsidR="00FC7374" w:rsidRPr="000C27AA">
        <w:rPr>
          <w:lang w:val="en-CA"/>
        </w:rPr>
        <w:t xml:space="preserve">hough many industries had seen the decline or elimination of </w:t>
      </w:r>
      <w:r w:rsidRPr="000C27AA">
        <w:rPr>
          <w:lang w:val="en-CA"/>
        </w:rPr>
        <w:t xml:space="preserve">so-called </w:t>
      </w:r>
      <w:r w:rsidR="00FC7374" w:rsidRPr="000C27AA">
        <w:rPr>
          <w:lang w:val="en-CA"/>
        </w:rPr>
        <w:t xml:space="preserve">“national champions” in the 1980s and 1990s, this did not happen to the same extent with airlines. In many countries, national airline companies were either state-owned or protected by the government. In Europe, even after the creation of the single European market in 1992, the rule was generally that no foreign investor </w:t>
      </w:r>
      <w:proofErr w:type="gramStart"/>
      <w:r w:rsidR="00FC7374" w:rsidRPr="000C27AA">
        <w:rPr>
          <w:lang w:val="en-CA"/>
        </w:rPr>
        <w:t>was allowed to</w:t>
      </w:r>
      <w:proofErr w:type="gramEnd"/>
      <w:r w:rsidR="00FC7374" w:rsidRPr="000C27AA">
        <w:rPr>
          <w:lang w:val="en-CA"/>
        </w:rPr>
        <w:t xml:space="preserve"> own more than 49.9</w:t>
      </w:r>
      <w:r w:rsidRPr="000C27AA">
        <w:rPr>
          <w:lang w:val="en-CA"/>
        </w:rPr>
        <w:t xml:space="preserve"> per cent</w:t>
      </w:r>
      <w:r w:rsidR="00FC7374" w:rsidRPr="000C27AA">
        <w:rPr>
          <w:lang w:val="en-CA"/>
        </w:rPr>
        <w:t xml:space="preserve"> of the capital in a national airline. In the United States, the threshold </w:t>
      </w:r>
      <w:r w:rsidRPr="000C27AA">
        <w:rPr>
          <w:lang w:val="en-CA"/>
        </w:rPr>
        <w:t>wa</w:t>
      </w:r>
      <w:r w:rsidR="00FC7374" w:rsidRPr="000C27AA">
        <w:rPr>
          <w:lang w:val="en-CA"/>
        </w:rPr>
        <w:t>s even lower</w:t>
      </w:r>
      <w:r w:rsidR="00DE1FA7" w:rsidRPr="000C27AA">
        <w:rPr>
          <w:lang w:val="en-CA"/>
        </w:rPr>
        <w:t>—</w:t>
      </w:r>
      <w:r w:rsidRPr="000C27AA">
        <w:rPr>
          <w:lang w:val="en-CA"/>
        </w:rPr>
        <w:t xml:space="preserve">no more than </w:t>
      </w:r>
      <w:r w:rsidR="00FC7374" w:rsidRPr="000C27AA">
        <w:rPr>
          <w:lang w:val="en-CA"/>
        </w:rPr>
        <w:t>25</w:t>
      </w:r>
      <w:r w:rsidRPr="000C27AA">
        <w:rPr>
          <w:lang w:val="en-CA"/>
        </w:rPr>
        <w:t xml:space="preserve"> per cent</w:t>
      </w:r>
      <w:r w:rsidR="00FC7374" w:rsidRPr="000C27AA">
        <w:rPr>
          <w:lang w:val="en-CA"/>
        </w:rPr>
        <w:t xml:space="preserve"> foreign participation.</w:t>
      </w:r>
      <w:r w:rsidR="00FC7374" w:rsidRPr="000C27AA">
        <w:rPr>
          <w:rStyle w:val="EndnoteReference"/>
          <w:lang w:val="en-CA"/>
        </w:rPr>
        <w:endnoteReference w:id="18"/>
      </w:r>
      <w:r w:rsidR="00FC7374" w:rsidRPr="000C27AA">
        <w:rPr>
          <w:lang w:val="en-CA"/>
        </w:rPr>
        <w:t xml:space="preserve"> Airlines were widely regarded as national assets.</w:t>
      </w:r>
    </w:p>
    <w:p w14:paraId="71C9FB7A" w14:textId="2DEF1583" w:rsidR="00FC7374" w:rsidRPr="00CE78A8" w:rsidRDefault="00FC7374" w:rsidP="00FC7374">
      <w:pPr>
        <w:pStyle w:val="BodyTextMain"/>
        <w:rPr>
          <w:lang w:val="en-CA"/>
        </w:rPr>
      </w:pPr>
    </w:p>
    <w:p w14:paraId="6CC168D6" w14:textId="790C75E6" w:rsidR="00FC7374" w:rsidRPr="000C27AA" w:rsidRDefault="00FC7374" w:rsidP="00FC7374">
      <w:pPr>
        <w:pStyle w:val="BodyTextMain"/>
        <w:rPr>
          <w:lang w:val="en-CA"/>
        </w:rPr>
      </w:pPr>
      <w:r w:rsidRPr="000C27AA">
        <w:rPr>
          <w:lang w:val="en-CA"/>
        </w:rPr>
        <w:t>Starting in the 1990s, pairs or small groups of airlines were able to form joint ventures (JV)</w:t>
      </w:r>
      <w:r w:rsidR="00FA77BD" w:rsidRPr="000C27AA">
        <w:rPr>
          <w:lang w:val="en-CA"/>
        </w:rPr>
        <w:t>, which differed from typical</w:t>
      </w:r>
      <w:r w:rsidRPr="000C27AA">
        <w:rPr>
          <w:lang w:val="en-CA"/>
        </w:rPr>
        <w:t xml:space="preserve"> JVs in other industries</w:t>
      </w:r>
      <w:r w:rsidR="00FA77BD" w:rsidRPr="000C27AA">
        <w:rPr>
          <w:lang w:val="en-CA"/>
        </w:rPr>
        <w:t xml:space="preserve"> that involved</w:t>
      </w:r>
      <w:r w:rsidRPr="000C27AA">
        <w:rPr>
          <w:lang w:val="en-CA"/>
        </w:rPr>
        <w:t xml:space="preserve"> joint equity ownership. In an airline JV, the partners would be given antitrust immunity by the two governments, allowing them to coordinate prices and capacity on a specific route, and share profits. The structure thus acted like a </w:t>
      </w:r>
      <w:r w:rsidR="00FA77BD" w:rsidRPr="000C27AA">
        <w:rPr>
          <w:lang w:val="en-CA"/>
        </w:rPr>
        <w:t xml:space="preserve">typical </w:t>
      </w:r>
      <w:r w:rsidRPr="000C27AA">
        <w:rPr>
          <w:lang w:val="en-CA"/>
        </w:rPr>
        <w:t xml:space="preserve">JV but was purely a contractual arrangement, with the all-important antitrust immunity at its root. Outside of those JVs, the partners were still expected and required to </w:t>
      </w:r>
      <w:proofErr w:type="gramStart"/>
      <w:r w:rsidRPr="000C27AA">
        <w:rPr>
          <w:lang w:val="en-CA"/>
        </w:rPr>
        <w:t>compete with each other</w:t>
      </w:r>
      <w:proofErr w:type="gramEnd"/>
      <w:r w:rsidRPr="000C27AA">
        <w:rPr>
          <w:lang w:val="en-CA"/>
        </w:rPr>
        <w:t>.</w:t>
      </w:r>
      <w:r w:rsidRPr="000C27AA">
        <w:rPr>
          <w:rStyle w:val="EndnoteReference"/>
          <w:lang w:val="en-CA"/>
        </w:rPr>
        <w:endnoteReference w:id="19"/>
      </w:r>
    </w:p>
    <w:p w14:paraId="52DFBAC6" w14:textId="77777777" w:rsidR="00FC7374" w:rsidRPr="00CE78A8" w:rsidRDefault="00FC7374" w:rsidP="00FC7374">
      <w:pPr>
        <w:pStyle w:val="BodyTextMain"/>
        <w:rPr>
          <w:lang w:val="en-CA"/>
        </w:rPr>
      </w:pPr>
    </w:p>
    <w:p w14:paraId="6C0D2075" w14:textId="74733DAE" w:rsidR="00FC7374" w:rsidRPr="000C27AA" w:rsidRDefault="00FA77BD" w:rsidP="00FC7374">
      <w:pPr>
        <w:pStyle w:val="BodyTextMain"/>
        <w:rPr>
          <w:lang w:val="en-CA"/>
        </w:rPr>
      </w:pPr>
      <w:r w:rsidRPr="000C27AA">
        <w:rPr>
          <w:lang w:val="en-CA"/>
        </w:rPr>
        <w:t>The three major global airline constellations—</w:t>
      </w:r>
      <w:r w:rsidR="00FC7374" w:rsidRPr="000C27AA">
        <w:rPr>
          <w:lang w:val="en-CA"/>
        </w:rPr>
        <w:t xml:space="preserve">Star </w:t>
      </w:r>
      <w:r w:rsidRPr="000C27AA">
        <w:rPr>
          <w:lang w:val="en-CA"/>
        </w:rPr>
        <w:t>Alliance, Oneworld, and SkyTeam—</w:t>
      </w:r>
      <w:r w:rsidR="00FC7374" w:rsidRPr="000C27AA">
        <w:rPr>
          <w:lang w:val="en-CA"/>
        </w:rPr>
        <w:t>did not implement this degree of coordination</w:t>
      </w:r>
      <w:r w:rsidR="00F56674" w:rsidRPr="000C27AA">
        <w:rPr>
          <w:lang w:val="en-CA"/>
        </w:rPr>
        <w:t>,</w:t>
      </w:r>
      <w:r w:rsidR="00FC7374" w:rsidRPr="000C27AA">
        <w:rPr>
          <w:lang w:val="en-CA"/>
        </w:rPr>
        <w:t xml:space="preserve"> and </w:t>
      </w:r>
      <w:r w:rsidR="00F56674" w:rsidRPr="000C27AA">
        <w:rPr>
          <w:lang w:val="en-CA"/>
        </w:rPr>
        <w:t>therefore</w:t>
      </w:r>
      <w:r w:rsidR="00FC7374" w:rsidRPr="000C27AA">
        <w:rPr>
          <w:lang w:val="en-CA"/>
        </w:rPr>
        <w:t xml:space="preserve"> did not need formal antitrust immunity</w:t>
      </w:r>
      <w:r w:rsidR="00F56674" w:rsidRPr="000C27AA">
        <w:rPr>
          <w:lang w:val="en-CA"/>
        </w:rPr>
        <w:t>. However</w:t>
      </w:r>
      <w:r w:rsidR="00FC7374" w:rsidRPr="000C27AA">
        <w:rPr>
          <w:lang w:val="en-CA"/>
        </w:rPr>
        <w:t xml:space="preserve">, </w:t>
      </w:r>
      <w:r w:rsidR="00F56674" w:rsidRPr="000C27AA">
        <w:rPr>
          <w:lang w:val="en-CA"/>
        </w:rPr>
        <w:t xml:space="preserve">the alliance </w:t>
      </w:r>
      <w:r w:rsidR="00FC7374" w:rsidRPr="000C27AA">
        <w:rPr>
          <w:lang w:val="en-CA"/>
        </w:rPr>
        <w:t xml:space="preserve">members </w:t>
      </w:r>
      <w:r w:rsidR="00F56674" w:rsidRPr="000C27AA">
        <w:rPr>
          <w:lang w:val="en-CA"/>
        </w:rPr>
        <w:t>were</w:t>
      </w:r>
      <w:r w:rsidR="00FC7374" w:rsidRPr="000C27AA">
        <w:rPr>
          <w:lang w:val="en-CA"/>
        </w:rPr>
        <w:t xml:space="preserve"> care</w:t>
      </w:r>
      <w:r w:rsidR="00F56674" w:rsidRPr="000C27AA">
        <w:rPr>
          <w:lang w:val="en-CA"/>
        </w:rPr>
        <w:t>ful</w:t>
      </w:r>
      <w:r w:rsidR="00FC7374" w:rsidRPr="000C27AA">
        <w:rPr>
          <w:lang w:val="en-CA"/>
        </w:rPr>
        <w:t xml:space="preserve"> to follow antitrust regulations. On major routes, the alliance groups could conceivably be anti-competitive and would then be subject to being blocked by antitrust authorities. For example, in 2019, </w:t>
      </w:r>
      <w:r w:rsidR="00F56674" w:rsidRPr="000C27AA">
        <w:rPr>
          <w:lang w:val="en-CA"/>
        </w:rPr>
        <w:t xml:space="preserve">the partnership of </w:t>
      </w:r>
      <w:r w:rsidR="00FC7374" w:rsidRPr="000C27AA">
        <w:rPr>
          <w:lang w:val="en-CA"/>
        </w:rPr>
        <w:t>Delta</w:t>
      </w:r>
      <w:r w:rsidR="00F56674" w:rsidRPr="000C27AA">
        <w:rPr>
          <w:lang w:val="en-CA"/>
        </w:rPr>
        <w:t xml:space="preserve"> and </w:t>
      </w:r>
      <w:r w:rsidR="00FC7374" w:rsidRPr="000C27AA">
        <w:rPr>
          <w:lang w:val="en-CA"/>
        </w:rPr>
        <w:t>Air France controlled 93</w:t>
      </w:r>
      <w:r w:rsidR="00F56674" w:rsidRPr="000C27AA">
        <w:rPr>
          <w:lang w:val="en-CA"/>
        </w:rPr>
        <w:t xml:space="preserve"> per cent</w:t>
      </w:r>
      <w:r w:rsidR="00FC7374" w:rsidRPr="000C27AA">
        <w:rPr>
          <w:lang w:val="en-CA"/>
        </w:rPr>
        <w:t xml:space="preserve"> of the Paris</w:t>
      </w:r>
      <w:r w:rsidR="00F56674" w:rsidRPr="000C27AA">
        <w:rPr>
          <w:lang w:val="en-CA"/>
        </w:rPr>
        <w:t>, France</w:t>
      </w:r>
      <w:r w:rsidR="00FC7374" w:rsidRPr="000C27AA">
        <w:rPr>
          <w:lang w:val="en-CA"/>
        </w:rPr>
        <w:t xml:space="preserve"> to New York</w:t>
      </w:r>
      <w:r w:rsidR="00F56674" w:rsidRPr="000C27AA">
        <w:rPr>
          <w:lang w:val="en-CA"/>
        </w:rPr>
        <w:t>, United States</w:t>
      </w:r>
      <w:r w:rsidR="00FC7374" w:rsidRPr="000C27AA">
        <w:rPr>
          <w:lang w:val="en-CA"/>
        </w:rPr>
        <w:t xml:space="preserve"> route</w:t>
      </w:r>
      <w:r w:rsidR="004B43CB" w:rsidRPr="000C27AA">
        <w:rPr>
          <w:lang w:val="en-CA"/>
        </w:rPr>
        <w:t>s;</w:t>
      </w:r>
      <w:r w:rsidR="00F56674" w:rsidRPr="000C27AA">
        <w:rPr>
          <w:lang w:val="en-CA"/>
        </w:rPr>
        <w:t xml:space="preserve"> the partnership of Deutsche </w:t>
      </w:r>
      <w:r w:rsidR="00FC7374" w:rsidRPr="000C27AA">
        <w:rPr>
          <w:lang w:val="en-CA"/>
        </w:rPr>
        <w:t>Lufthansa</w:t>
      </w:r>
      <w:r w:rsidR="00F56674" w:rsidRPr="000C27AA">
        <w:rPr>
          <w:lang w:val="en-CA"/>
        </w:rPr>
        <w:t xml:space="preserve"> AG and </w:t>
      </w:r>
      <w:r w:rsidR="00FC7374" w:rsidRPr="000C27AA">
        <w:rPr>
          <w:lang w:val="en-CA"/>
        </w:rPr>
        <w:t>Singapore Airlines controlled 83</w:t>
      </w:r>
      <w:r w:rsidR="00F56674" w:rsidRPr="000C27AA">
        <w:rPr>
          <w:lang w:val="en-CA"/>
        </w:rPr>
        <w:t xml:space="preserve"> per cent</w:t>
      </w:r>
      <w:r w:rsidR="00FC7374" w:rsidRPr="000C27AA">
        <w:rPr>
          <w:lang w:val="en-CA"/>
        </w:rPr>
        <w:t xml:space="preserve"> of the flights from Frankfurt</w:t>
      </w:r>
      <w:r w:rsidR="00F56674" w:rsidRPr="000C27AA">
        <w:rPr>
          <w:lang w:val="en-CA"/>
        </w:rPr>
        <w:t>, Germany</w:t>
      </w:r>
      <w:r w:rsidR="00FC7374" w:rsidRPr="000C27AA">
        <w:rPr>
          <w:lang w:val="en-CA"/>
        </w:rPr>
        <w:t xml:space="preserve"> to New York</w:t>
      </w:r>
      <w:r w:rsidR="00F56674" w:rsidRPr="000C27AA">
        <w:rPr>
          <w:lang w:val="en-CA"/>
        </w:rPr>
        <w:t>, United States</w:t>
      </w:r>
      <w:r w:rsidR="00FC7374" w:rsidRPr="000C27AA">
        <w:rPr>
          <w:lang w:val="en-CA"/>
        </w:rPr>
        <w:t>.</w:t>
      </w:r>
      <w:r w:rsidR="00FC7374" w:rsidRPr="000C27AA">
        <w:rPr>
          <w:vertAlign w:val="superscript"/>
          <w:lang w:val="en-CA"/>
        </w:rPr>
        <w:endnoteReference w:id="20"/>
      </w:r>
      <w:r w:rsidR="00FC7374" w:rsidRPr="000C27AA">
        <w:rPr>
          <w:lang w:val="en-CA"/>
        </w:rPr>
        <w:t xml:space="preserve"> </w:t>
      </w:r>
    </w:p>
    <w:p w14:paraId="4EA3233C" w14:textId="77777777" w:rsidR="00FC7374" w:rsidRPr="00CE78A8" w:rsidRDefault="00FC7374" w:rsidP="00FC7374">
      <w:pPr>
        <w:pStyle w:val="BodyTextMain"/>
        <w:rPr>
          <w:lang w:val="en-CA"/>
        </w:rPr>
      </w:pPr>
    </w:p>
    <w:p w14:paraId="638BA304" w14:textId="5C31664D" w:rsidR="00FC7374" w:rsidRPr="000C27AA" w:rsidRDefault="00F56674" w:rsidP="00FC7374">
      <w:pPr>
        <w:pStyle w:val="BodyTextMain"/>
        <w:rPr>
          <w:lang w:val="en-CA"/>
        </w:rPr>
      </w:pPr>
      <w:r w:rsidRPr="000C27AA">
        <w:rPr>
          <w:lang w:val="en-CA"/>
        </w:rPr>
        <w:lastRenderedPageBreak/>
        <w:t>Even without</w:t>
      </w:r>
      <w:r w:rsidR="00FC7374" w:rsidRPr="000C27AA">
        <w:rPr>
          <w:lang w:val="en-CA"/>
        </w:rPr>
        <w:t xml:space="preserve"> directly seeking antitrust immunity</w:t>
      </w:r>
      <w:r w:rsidRPr="000C27AA">
        <w:rPr>
          <w:lang w:val="en-CA"/>
        </w:rPr>
        <w:t>,</w:t>
      </w:r>
      <w:r w:rsidR="00FC7374" w:rsidRPr="000C27AA">
        <w:rPr>
          <w:lang w:val="en-CA"/>
        </w:rPr>
        <w:t xml:space="preserve"> like </w:t>
      </w:r>
      <w:r w:rsidRPr="000C27AA">
        <w:rPr>
          <w:lang w:val="en-CA"/>
        </w:rPr>
        <w:t xml:space="preserve">other airline </w:t>
      </w:r>
      <w:r w:rsidR="00FC7374" w:rsidRPr="000C27AA">
        <w:rPr>
          <w:lang w:val="en-CA"/>
        </w:rPr>
        <w:t xml:space="preserve">JVs, </w:t>
      </w:r>
      <w:r w:rsidRPr="000C27AA">
        <w:rPr>
          <w:lang w:val="en-CA"/>
        </w:rPr>
        <w:t xml:space="preserve">the three major </w:t>
      </w:r>
      <w:r w:rsidR="00FC7374" w:rsidRPr="000C27AA">
        <w:rPr>
          <w:lang w:val="en-CA"/>
        </w:rPr>
        <w:t xml:space="preserve">alliances still had to deal with many regulatory barriers. </w:t>
      </w:r>
      <w:r w:rsidRPr="000C27AA">
        <w:rPr>
          <w:lang w:val="en-CA"/>
        </w:rPr>
        <w:t>F</w:t>
      </w:r>
      <w:r w:rsidR="00FC7374" w:rsidRPr="000C27AA">
        <w:rPr>
          <w:lang w:val="en-CA"/>
        </w:rPr>
        <w:t xml:space="preserve">or example, </w:t>
      </w:r>
      <w:r w:rsidRPr="000C27AA">
        <w:rPr>
          <w:lang w:val="en-CA"/>
        </w:rPr>
        <w:t xml:space="preserve">Oneworld </w:t>
      </w:r>
      <w:r w:rsidR="00FC7374" w:rsidRPr="000C27AA">
        <w:rPr>
          <w:lang w:val="en-CA"/>
        </w:rPr>
        <w:t xml:space="preserve">had to satisfy the </w:t>
      </w:r>
      <w:r w:rsidR="000C27AA" w:rsidRPr="000C27AA">
        <w:rPr>
          <w:lang w:val="en-CA"/>
        </w:rPr>
        <w:t>US</w:t>
      </w:r>
      <w:r w:rsidR="00FC7374" w:rsidRPr="000C27AA">
        <w:rPr>
          <w:lang w:val="en-CA"/>
        </w:rPr>
        <w:t xml:space="preserve"> Federal Aviation Administration before formaliz</w:t>
      </w:r>
      <w:r w:rsidR="004B43CB" w:rsidRPr="000C27AA">
        <w:rPr>
          <w:lang w:val="en-CA"/>
        </w:rPr>
        <w:t>ing</w:t>
      </w:r>
      <w:r w:rsidR="00FC7374" w:rsidRPr="000C27AA">
        <w:rPr>
          <w:lang w:val="en-CA"/>
        </w:rPr>
        <w:t xml:space="preserve"> the alliance between American and British Airways.</w:t>
      </w:r>
      <w:r w:rsidR="00FC7374" w:rsidRPr="000C27AA" w:rsidDel="005A5C41">
        <w:rPr>
          <w:lang w:val="en-CA"/>
        </w:rPr>
        <w:t xml:space="preserve"> </w:t>
      </w:r>
      <w:r w:rsidR="00FC7374" w:rsidRPr="000C27AA">
        <w:rPr>
          <w:lang w:val="en-CA"/>
        </w:rPr>
        <w:t>Originally, the</w:t>
      </w:r>
      <w:r w:rsidRPr="000C27AA">
        <w:rPr>
          <w:lang w:val="en-CA"/>
        </w:rPr>
        <w:t xml:space="preserve"> two airlines</w:t>
      </w:r>
      <w:r w:rsidR="00FC7374" w:rsidRPr="000C27AA">
        <w:rPr>
          <w:lang w:val="en-CA"/>
        </w:rPr>
        <w:t xml:space="preserve"> were forced to keep their mileage programs separate for North Atlantic routes. Additionally, the authorities demanded that the partners give up 267 of their slots at congested Heathrow Airport, a condition which they were not ready to accept.</w:t>
      </w:r>
      <w:r w:rsidR="00FC7374" w:rsidRPr="000C27AA">
        <w:rPr>
          <w:rStyle w:val="EndnoteReference"/>
          <w:lang w:val="en-CA"/>
        </w:rPr>
        <w:endnoteReference w:id="21"/>
      </w:r>
    </w:p>
    <w:p w14:paraId="7EF9B1B5" w14:textId="77777777" w:rsidR="00FC7374" w:rsidRPr="00CE78A8" w:rsidRDefault="00FC7374" w:rsidP="00FC7374">
      <w:pPr>
        <w:pStyle w:val="BodyTextMain"/>
        <w:rPr>
          <w:sz w:val="20"/>
          <w:lang w:val="en-CA"/>
        </w:rPr>
      </w:pPr>
    </w:p>
    <w:p w14:paraId="4C23641D" w14:textId="0D1F717B" w:rsidR="00FC7374" w:rsidRPr="000C27AA" w:rsidRDefault="00FC7374" w:rsidP="00FC7374">
      <w:pPr>
        <w:pStyle w:val="BodyTextMain"/>
        <w:rPr>
          <w:lang w:val="en-CA"/>
        </w:rPr>
      </w:pPr>
      <w:r w:rsidRPr="000C27AA">
        <w:rPr>
          <w:lang w:val="en-CA"/>
        </w:rPr>
        <w:t>On routes requiring a connection, alliances appeared more likely to be pro-competitive. Alliances had the potential to offer more frequent flights and shorter connections for secondary destinations at a reasonable price. A</w:t>
      </w:r>
      <w:r w:rsidR="00BE2962" w:rsidRPr="000C27AA">
        <w:rPr>
          <w:lang w:val="en-CA"/>
        </w:rPr>
        <w:t xml:space="preserve"> stud</w:t>
      </w:r>
      <w:r w:rsidR="004B43CB" w:rsidRPr="000C27AA">
        <w:rPr>
          <w:lang w:val="en-CA"/>
        </w:rPr>
        <w:t>y</w:t>
      </w:r>
      <w:r w:rsidR="00BE2962" w:rsidRPr="000C27AA">
        <w:rPr>
          <w:lang w:val="en-CA"/>
        </w:rPr>
        <w:t xml:space="preserve"> conducted in 2000 by </w:t>
      </w:r>
      <w:r w:rsidR="004B43CB" w:rsidRPr="000C27AA">
        <w:rPr>
          <w:lang w:val="en-CA"/>
        </w:rPr>
        <w:t>t</w:t>
      </w:r>
      <w:r w:rsidR="00BE2962" w:rsidRPr="000C27AA">
        <w:rPr>
          <w:lang w:val="en-CA"/>
        </w:rPr>
        <w:t>he</w:t>
      </w:r>
      <w:r w:rsidRPr="000C27AA">
        <w:rPr>
          <w:lang w:val="en-CA"/>
        </w:rPr>
        <w:t xml:space="preserve"> University of </w:t>
      </w:r>
      <w:r w:rsidR="00BE2962" w:rsidRPr="000C27AA">
        <w:rPr>
          <w:lang w:val="en-CA"/>
        </w:rPr>
        <w:t xml:space="preserve">Chicago </w:t>
      </w:r>
      <w:r w:rsidRPr="000C27AA">
        <w:rPr>
          <w:lang w:val="en-CA"/>
        </w:rPr>
        <w:t xml:space="preserve">concluded that average fares on international routes on non-aligned airlines were </w:t>
      </w:r>
      <w:r w:rsidR="009660A6" w:rsidRPr="000C27AA">
        <w:rPr>
          <w:lang w:val="en-CA"/>
        </w:rPr>
        <w:t>25</w:t>
      </w:r>
      <w:r w:rsidR="00F56674" w:rsidRPr="000C27AA">
        <w:rPr>
          <w:lang w:val="en-CA"/>
        </w:rPr>
        <w:t xml:space="preserve"> per cent</w:t>
      </w:r>
      <w:r w:rsidRPr="000C27AA">
        <w:rPr>
          <w:lang w:val="en-CA"/>
        </w:rPr>
        <w:t xml:space="preserve"> higher than fares on airlines that were allied.</w:t>
      </w:r>
      <w:r w:rsidRPr="000C27AA">
        <w:rPr>
          <w:vertAlign w:val="superscript"/>
          <w:lang w:val="en-CA"/>
        </w:rPr>
        <w:endnoteReference w:id="22"/>
      </w:r>
      <w:r w:rsidRPr="000C27AA">
        <w:rPr>
          <w:lang w:val="en-CA"/>
        </w:rPr>
        <w:t xml:space="preserve"> A more recent study by </w:t>
      </w:r>
      <w:r w:rsidR="00946BAC" w:rsidRPr="000C27AA">
        <w:rPr>
          <w:lang w:val="en-CA"/>
        </w:rPr>
        <w:t xml:space="preserve">the </w:t>
      </w:r>
      <w:r w:rsidRPr="000C27AA">
        <w:rPr>
          <w:lang w:val="en-CA"/>
        </w:rPr>
        <w:t>I</w:t>
      </w:r>
      <w:r w:rsidR="00946BAC" w:rsidRPr="000C27AA">
        <w:rPr>
          <w:lang w:val="en-CA"/>
        </w:rPr>
        <w:t>nternational Air Transport Association</w:t>
      </w:r>
      <w:r w:rsidRPr="000C27AA">
        <w:rPr>
          <w:lang w:val="en-CA"/>
        </w:rPr>
        <w:t xml:space="preserve"> in 2012 also confirmed the price advantages of increased airline co</w:t>
      </w:r>
      <w:r w:rsidR="00946BAC" w:rsidRPr="000C27AA">
        <w:rPr>
          <w:lang w:val="en-CA"/>
        </w:rPr>
        <w:t>-</w:t>
      </w:r>
      <w:r w:rsidRPr="000C27AA">
        <w:rPr>
          <w:lang w:val="en-CA"/>
        </w:rPr>
        <w:t>operation for consumers on certain routes.</w:t>
      </w:r>
      <w:r w:rsidRPr="000C27AA">
        <w:rPr>
          <w:vertAlign w:val="superscript"/>
          <w:lang w:val="en-CA"/>
        </w:rPr>
        <w:endnoteReference w:id="23"/>
      </w:r>
      <w:r w:rsidRPr="000C27AA">
        <w:rPr>
          <w:lang w:val="en-CA"/>
        </w:rPr>
        <w:t xml:space="preserve"> </w:t>
      </w:r>
    </w:p>
    <w:p w14:paraId="04C49404" w14:textId="6B459A06" w:rsidR="00FC7374" w:rsidRPr="00CE78A8" w:rsidRDefault="00FC7374" w:rsidP="00FC7374">
      <w:pPr>
        <w:pStyle w:val="BodyTextMain"/>
        <w:rPr>
          <w:sz w:val="20"/>
          <w:lang w:val="en-CA"/>
        </w:rPr>
      </w:pPr>
    </w:p>
    <w:p w14:paraId="6832D216" w14:textId="77777777" w:rsidR="00FC7374" w:rsidRPr="00CE78A8" w:rsidRDefault="00FC7374" w:rsidP="00FC7374">
      <w:pPr>
        <w:pStyle w:val="BodyTextMain"/>
        <w:rPr>
          <w:sz w:val="20"/>
          <w:lang w:val="en-CA"/>
        </w:rPr>
      </w:pPr>
    </w:p>
    <w:p w14:paraId="046F0B03" w14:textId="77777777" w:rsidR="00FC7374" w:rsidRPr="000C27AA" w:rsidRDefault="00FC7374" w:rsidP="00FC7374">
      <w:pPr>
        <w:pStyle w:val="Casehead2"/>
        <w:rPr>
          <w:lang w:val="en-CA"/>
        </w:rPr>
      </w:pPr>
      <w:r w:rsidRPr="000C27AA">
        <w:rPr>
          <w:lang w:val="en-CA"/>
        </w:rPr>
        <w:t>Rising Competition from the Middle East</w:t>
      </w:r>
    </w:p>
    <w:p w14:paraId="3306365A" w14:textId="77777777" w:rsidR="00FC7374" w:rsidRPr="00CE78A8" w:rsidRDefault="00FC7374" w:rsidP="00FC7374">
      <w:pPr>
        <w:pStyle w:val="BodyTextMain"/>
        <w:rPr>
          <w:sz w:val="20"/>
          <w:lang w:val="en-CA"/>
        </w:rPr>
      </w:pPr>
    </w:p>
    <w:p w14:paraId="105FE062" w14:textId="1EA707B9" w:rsidR="00FC7374" w:rsidRPr="000C27AA" w:rsidRDefault="00FC7374" w:rsidP="00FC7374">
      <w:pPr>
        <w:pStyle w:val="BodyTextMain"/>
        <w:rPr>
          <w:spacing w:val="-4"/>
          <w:kern w:val="22"/>
          <w:lang w:val="en-CA"/>
        </w:rPr>
      </w:pPr>
      <w:r w:rsidRPr="000C27AA">
        <w:rPr>
          <w:spacing w:val="-4"/>
          <w:kern w:val="22"/>
          <w:lang w:val="en-CA"/>
        </w:rPr>
        <w:t xml:space="preserve">In the 2010s, </w:t>
      </w:r>
      <w:r w:rsidR="00816E87" w:rsidRPr="000C27AA">
        <w:rPr>
          <w:spacing w:val="-4"/>
          <w:kern w:val="22"/>
          <w:lang w:val="en-CA"/>
        </w:rPr>
        <w:t>several</w:t>
      </w:r>
      <w:r w:rsidRPr="000C27AA">
        <w:rPr>
          <w:spacing w:val="-4"/>
          <w:kern w:val="22"/>
          <w:lang w:val="en-CA"/>
        </w:rPr>
        <w:t xml:space="preserve"> state-supported airlines based in the Middle East emerged in the industry. Etihad </w:t>
      </w:r>
      <w:r w:rsidR="00F70854" w:rsidRPr="000C27AA">
        <w:rPr>
          <w:spacing w:val="-4"/>
          <w:kern w:val="22"/>
          <w:lang w:val="en-CA"/>
        </w:rPr>
        <w:t xml:space="preserve">Airways </w:t>
      </w:r>
      <w:r w:rsidRPr="000C27AA">
        <w:rPr>
          <w:spacing w:val="-4"/>
          <w:kern w:val="22"/>
          <w:lang w:val="en-CA"/>
        </w:rPr>
        <w:t>(based in Abu Dhabi), Emirates (</w:t>
      </w:r>
      <w:r w:rsidR="005604C2" w:rsidRPr="000C27AA">
        <w:rPr>
          <w:spacing w:val="-4"/>
          <w:kern w:val="22"/>
          <w:lang w:val="en-CA"/>
        </w:rPr>
        <w:t xml:space="preserve">based in </w:t>
      </w:r>
      <w:r w:rsidRPr="000C27AA">
        <w:rPr>
          <w:spacing w:val="-4"/>
          <w:kern w:val="22"/>
          <w:lang w:val="en-CA"/>
        </w:rPr>
        <w:t>Dubai)</w:t>
      </w:r>
      <w:r w:rsidR="005604C2" w:rsidRPr="000C27AA">
        <w:rPr>
          <w:spacing w:val="-4"/>
          <w:kern w:val="22"/>
          <w:lang w:val="en-CA"/>
        </w:rPr>
        <w:t>,</w:t>
      </w:r>
      <w:r w:rsidRPr="000C27AA">
        <w:rPr>
          <w:spacing w:val="-4"/>
          <w:kern w:val="22"/>
          <w:lang w:val="en-CA"/>
        </w:rPr>
        <w:t xml:space="preserve"> and Qatar Airways </w:t>
      </w:r>
      <w:r w:rsidR="005604C2" w:rsidRPr="000C27AA">
        <w:rPr>
          <w:spacing w:val="-4"/>
          <w:kern w:val="22"/>
          <w:lang w:val="en-CA"/>
        </w:rPr>
        <w:t xml:space="preserve">Company </w:t>
      </w:r>
      <w:r w:rsidRPr="000C27AA">
        <w:rPr>
          <w:spacing w:val="-4"/>
          <w:kern w:val="22"/>
          <w:lang w:val="en-CA"/>
        </w:rPr>
        <w:t>(</w:t>
      </w:r>
      <w:r w:rsidR="005604C2" w:rsidRPr="000C27AA">
        <w:rPr>
          <w:spacing w:val="-4"/>
          <w:kern w:val="22"/>
          <w:lang w:val="en-CA"/>
        </w:rPr>
        <w:t xml:space="preserve">based in </w:t>
      </w:r>
      <w:r w:rsidRPr="000C27AA">
        <w:rPr>
          <w:spacing w:val="-4"/>
          <w:kern w:val="22"/>
          <w:lang w:val="en-CA"/>
        </w:rPr>
        <w:t xml:space="preserve">Doha) </w:t>
      </w:r>
      <w:r w:rsidR="005604C2" w:rsidRPr="000C27AA">
        <w:rPr>
          <w:spacing w:val="-4"/>
          <w:kern w:val="22"/>
          <w:lang w:val="en-CA"/>
        </w:rPr>
        <w:t>soon</w:t>
      </w:r>
      <w:r w:rsidRPr="000C27AA">
        <w:rPr>
          <w:spacing w:val="-4"/>
          <w:kern w:val="22"/>
          <w:lang w:val="en-CA"/>
        </w:rPr>
        <w:t xml:space="preserve"> became competitors to the major global airlines. State subsidies allowed the Middle Eastern airlines to purchase planes and increase capacity at an unprecedented rate. These carriers also had access to cheap fuel and their home base was strategically located between the United States, Europe, and Asia. They specialized in long flights between the regions, with a stop in the Middle East. Personnel stationed in these home countries benefitted from low personal income taxes. Etihad </w:t>
      </w:r>
      <w:r w:rsidR="005604C2" w:rsidRPr="000C27AA">
        <w:rPr>
          <w:spacing w:val="-4"/>
          <w:kern w:val="22"/>
          <w:lang w:val="en-CA"/>
        </w:rPr>
        <w:t xml:space="preserve">Airways </w:t>
      </w:r>
      <w:r w:rsidRPr="000C27AA">
        <w:rPr>
          <w:spacing w:val="-4"/>
          <w:kern w:val="22"/>
          <w:lang w:val="en-CA"/>
        </w:rPr>
        <w:t>and Emirates were two of the fastest</w:t>
      </w:r>
      <w:r w:rsidR="005604C2" w:rsidRPr="000C27AA">
        <w:rPr>
          <w:spacing w:val="-4"/>
          <w:kern w:val="22"/>
          <w:lang w:val="en-CA"/>
        </w:rPr>
        <w:t>-</w:t>
      </w:r>
      <w:r w:rsidRPr="000C27AA">
        <w:rPr>
          <w:spacing w:val="-4"/>
          <w:kern w:val="22"/>
          <w:lang w:val="en-CA"/>
        </w:rPr>
        <w:t>growing network airlines in the world. In 2011, Emirates passed United Airlines as the largest global airline, based on capacity. Qatar</w:t>
      </w:r>
      <w:r w:rsidR="005604C2" w:rsidRPr="000C27AA">
        <w:rPr>
          <w:spacing w:val="-4"/>
          <w:kern w:val="22"/>
          <w:lang w:val="en-CA"/>
        </w:rPr>
        <w:t xml:space="preserve"> Airways Company</w:t>
      </w:r>
      <w:r w:rsidRPr="000C27AA">
        <w:rPr>
          <w:spacing w:val="-4"/>
          <w:kern w:val="22"/>
          <w:lang w:val="en-CA"/>
        </w:rPr>
        <w:t xml:space="preserve"> and Etihad</w:t>
      </w:r>
      <w:r w:rsidR="005604C2" w:rsidRPr="000C27AA">
        <w:rPr>
          <w:spacing w:val="-4"/>
          <w:kern w:val="22"/>
          <w:lang w:val="en-CA"/>
        </w:rPr>
        <w:t xml:space="preserve"> Airways</w:t>
      </w:r>
      <w:r w:rsidRPr="000C27AA">
        <w:rPr>
          <w:spacing w:val="-4"/>
          <w:kern w:val="22"/>
          <w:lang w:val="en-CA"/>
        </w:rPr>
        <w:t xml:space="preserve"> </w:t>
      </w:r>
      <w:r w:rsidR="005604C2" w:rsidRPr="000C27AA">
        <w:rPr>
          <w:spacing w:val="-4"/>
          <w:kern w:val="22"/>
          <w:lang w:val="en-CA"/>
        </w:rPr>
        <w:t xml:space="preserve">were </w:t>
      </w:r>
      <w:r w:rsidRPr="000C27AA">
        <w:rPr>
          <w:spacing w:val="-4"/>
          <w:kern w:val="22"/>
          <w:lang w:val="en-CA"/>
        </w:rPr>
        <w:t xml:space="preserve">ranked 10th and 13th </w:t>
      </w:r>
      <w:r w:rsidR="005604C2" w:rsidRPr="000C27AA">
        <w:rPr>
          <w:spacing w:val="-4"/>
          <w:kern w:val="22"/>
          <w:lang w:val="en-CA"/>
        </w:rPr>
        <w:t>in size</w:t>
      </w:r>
      <w:r w:rsidR="004B43CB" w:rsidRPr="000C27AA">
        <w:rPr>
          <w:spacing w:val="-4"/>
          <w:kern w:val="22"/>
          <w:lang w:val="en-CA"/>
        </w:rPr>
        <w:t>, respectively,</w:t>
      </w:r>
      <w:r w:rsidR="005604C2" w:rsidRPr="000C27AA">
        <w:rPr>
          <w:spacing w:val="-4"/>
          <w:kern w:val="22"/>
          <w:lang w:val="en-CA"/>
        </w:rPr>
        <w:t xml:space="preserve"> </w:t>
      </w:r>
      <w:r w:rsidRPr="000C27AA">
        <w:rPr>
          <w:spacing w:val="-4"/>
          <w:kern w:val="22"/>
          <w:lang w:val="en-CA"/>
        </w:rPr>
        <w:t>in the world in 2014.</w:t>
      </w:r>
      <w:r w:rsidRPr="000C27AA">
        <w:rPr>
          <w:spacing w:val="-4"/>
          <w:kern w:val="22"/>
          <w:vertAlign w:val="superscript"/>
          <w:lang w:val="en-CA"/>
        </w:rPr>
        <w:endnoteReference w:id="24"/>
      </w:r>
    </w:p>
    <w:p w14:paraId="492FC03B" w14:textId="77777777" w:rsidR="00FC7374" w:rsidRPr="00CE78A8" w:rsidRDefault="00FC7374" w:rsidP="00FC7374">
      <w:pPr>
        <w:pStyle w:val="BodyTextMain"/>
        <w:rPr>
          <w:sz w:val="20"/>
          <w:szCs w:val="14"/>
          <w:lang w:val="en-CA"/>
        </w:rPr>
      </w:pPr>
    </w:p>
    <w:p w14:paraId="47EE6CDA" w14:textId="3EEF50C4" w:rsidR="00FC7374" w:rsidRPr="000C27AA" w:rsidRDefault="00FC7374" w:rsidP="00FC7374">
      <w:pPr>
        <w:pStyle w:val="BodyTextMain"/>
        <w:rPr>
          <w:lang w:val="en-CA"/>
        </w:rPr>
      </w:pPr>
      <w:r w:rsidRPr="000C27AA">
        <w:rPr>
          <w:lang w:val="en-CA"/>
        </w:rPr>
        <w:t>Other than Qatar Airways</w:t>
      </w:r>
      <w:r w:rsidR="005604C2" w:rsidRPr="000C27AA">
        <w:rPr>
          <w:lang w:val="en-CA"/>
        </w:rPr>
        <w:t xml:space="preserve"> Company</w:t>
      </w:r>
      <w:r w:rsidRPr="000C27AA">
        <w:rPr>
          <w:lang w:val="en-CA"/>
        </w:rPr>
        <w:t xml:space="preserve">, which joined </w:t>
      </w:r>
      <w:r w:rsidR="005604C2" w:rsidRPr="000C27AA">
        <w:rPr>
          <w:lang w:val="en-CA"/>
        </w:rPr>
        <w:t xml:space="preserve">the </w:t>
      </w:r>
      <w:r w:rsidRPr="000C27AA">
        <w:rPr>
          <w:lang w:val="en-CA"/>
        </w:rPr>
        <w:t xml:space="preserve">Oneworld </w:t>
      </w:r>
      <w:r w:rsidR="005604C2" w:rsidRPr="000C27AA">
        <w:rPr>
          <w:lang w:val="en-CA"/>
        </w:rPr>
        <w:t xml:space="preserve">constellation </w:t>
      </w:r>
      <w:r w:rsidRPr="000C27AA">
        <w:rPr>
          <w:lang w:val="en-CA"/>
        </w:rPr>
        <w:t xml:space="preserve">in 2013, none of the major Middle Eastern airlines were members of alliances. Etihad </w:t>
      </w:r>
      <w:r w:rsidR="005604C2" w:rsidRPr="000C27AA">
        <w:rPr>
          <w:lang w:val="en-CA"/>
        </w:rPr>
        <w:t xml:space="preserve">Airways </w:t>
      </w:r>
      <w:r w:rsidRPr="000C27AA">
        <w:rPr>
          <w:lang w:val="en-CA"/>
        </w:rPr>
        <w:t>and Emirates did form other types of partnerships</w:t>
      </w:r>
      <w:r w:rsidR="005604C2" w:rsidRPr="000C27AA">
        <w:rPr>
          <w:lang w:val="en-CA"/>
        </w:rPr>
        <w:t>—</w:t>
      </w:r>
      <w:r w:rsidRPr="000C27AA">
        <w:rPr>
          <w:lang w:val="en-CA"/>
        </w:rPr>
        <w:t>they made minority investments in various airlines to create their own constellation. By 2015, Etihad Airways Partners included six airlines: Etihad</w:t>
      </w:r>
      <w:r w:rsidR="005604C2" w:rsidRPr="000C27AA">
        <w:rPr>
          <w:lang w:val="en-CA"/>
        </w:rPr>
        <w:t xml:space="preserve"> Airways</w:t>
      </w:r>
      <w:r w:rsidRPr="000C27AA">
        <w:rPr>
          <w:lang w:val="en-CA"/>
        </w:rPr>
        <w:t>, Al</w:t>
      </w:r>
      <w:r w:rsidR="005604C2" w:rsidRPr="000C27AA">
        <w:rPr>
          <w:lang w:val="en-CA"/>
        </w:rPr>
        <w:t>i</w:t>
      </w:r>
      <w:r w:rsidRPr="000C27AA">
        <w:rPr>
          <w:lang w:val="en-CA"/>
        </w:rPr>
        <w:t>talia</w:t>
      </w:r>
      <w:r w:rsidR="005604C2" w:rsidRPr="000C27AA">
        <w:rPr>
          <w:lang w:val="en-CA"/>
        </w:rPr>
        <w:t xml:space="preserve"> SpA</w:t>
      </w:r>
      <w:r w:rsidRPr="000C27AA">
        <w:rPr>
          <w:lang w:val="en-CA"/>
        </w:rPr>
        <w:t>, Air Berlin</w:t>
      </w:r>
      <w:r w:rsidR="005604C2" w:rsidRPr="000C27AA">
        <w:rPr>
          <w:lang w:val="en-CA"/>
        </w:rPr>
        <w:t xml:space="preserve"> PLC</w:t>
      </w:r>
      <w:r w:rsidRPr="000C27AA">
        <w:rPr>
          <w:lang w:val="en-CA"/>
        </w:rPr>
        <w:t>, Air Serbia, Air Seychelles, Jet Airways</w:t>
      </w:r>
      <w:r w:rsidR="005604C2" w:rsidRPr="000C27AA">
        <w:rPr>
          <w:lang w:val="en-CA"/>
        </w:rPr>
        <w:t xml:space="preserve"> Ltd</w:t>
      </w:r>
      <w:r w:rsidRPr="000C27AA">
        <w:rPr>
          <w:lang w:val="en-CA"/>
        </w:rPr>
        <w:t>, and Darwin Airline</w:t>
      </w:r>
      <w:r w:rsidR="005604C2" w:rsidRPr="000C27AA">
        <w:rPr>
          <w:lang w:val="en-CA"/>
        </w:rPr>
        <w:t xml:space="preserve"> SA</w:t>
      </w:r>
      <w:r w:rsidRPr="000C27AA">
        <w:rPr>
          <w:lang w:val="en-CA"/>
        </w:rPr>
        <w:t>.</w:t>
      </w:r>
      <w:r w:rsidRPr="000C27AA">
        <w:rPr>
          <w:vertAlign w:val="superscript"/>
          <w:lang w:val="en-CA"/>
        </w:rPr>
        <w:endnoteReference w:id="25"/>
      </w:r>
      <w:r w:rsidRPr="000C27AA">
        <w:rPr>
          <w:lang w:val="en-CA"/>
        </w:rPr>
        <w:t xml:space="preserve"> In theory, these investment partnerships could include airlines that were already members of the alliance constellations. However, Star Alliance regulated this </w:t>
      </w:r>
      <w:r w:rsidR="005604C2" w:rsidRPr="000C27AA">
        <w:rPr>
          <w:lang w:val="en-CA"/>
        </w:rPr>
        <w:t xml:space="preserve">feature </w:t>
      </w:r>
      <w:r w:rsidRPr="000C27AA">
        <w:rPr>
          <w:lang w:val="en-CA"/>
        </w:rPr>
        <w:t>through change-of-control clauses in its governance policies, which did not permit members to become part of an investment partnership.</w:t>
      </w:r>
    </w:p>
    <w:p w14:paraId="20D2C3BC" w14:textId="77777777" w:rsidR="00FC7374" w:rsidRPr="00CE78A8" w:rsidRDefault="00FC7374" w:rsidP="000C27AA">
      <w:pPr>
        <w:pStyle w:val="BodyTextMain"/>
        <w:rPr>
          <w:sz w:val="18"/>
        </w:rPr>
      </w:pPr>
    </w:p>
    <w:p w14:paraId="26A45A29" w14:textId="77777777" w:rsidR="005604C2" w:rsidRPr="00CE78A8" w:rsidRDefault="005604C2" w:rsidP="000C27AA">
      <w:pPr>
        <w:pStyle w:val="BodyTextMain"/>
        <w:rPr>
          <w:sz w:val="18"/>
        </w:rPr>
      </w:pPr>
    </w:p>
    <w:p w14:paraId="686FA601" w14:textId="53BA2182" w:rsidR="00FC7374" w:rsidRPr="000C27AA" w:rsidRDefault="00FC7374" w:rsidP="00D21755">
      <w:pPr>
        <w:pStyle w:val="Casehead1"/>
        <w:keepNext/>
        <w:rPr>
          <w:lang w:val="en-CA"/>
        </w:rPr>
      </w:pPr>
      <w:r w:rsidRPr="000C27AA">
        <w:rPr>
          <w:lang w:val="en-CA"/>
        </w:rPr>
        <w:t>The Future of the Airline Industry</w:t>
      </w:r>
    </w:p>
    <w:p w14:paraId="1E405014" w14:textId="77777777" w:rsidR="00FC7374" w:rsidRPr="00CE78A8" w:rsidRDefault="00FC7374" w:rsidP="00D21755">
      <w:pPr>
        <w:pStyle w:val="BodyTextMain"/>
        <w:keepNext/>
        <w:rPr>
          <w:sz w:val="20"/>
          <w:lang w:val="en-CA"/>
        </w:rPr>
      </w:pPr>
    </w:p>
    <w:p w14:paraId="244CCF55" w14:textId="478D907B" w:rsidR="00FC7374" w:rsidRPr="000C27AA" w:rsidRDefault="00FC7374" w:rsidP="00D21755">
      <w:pPr>
        <w:pStyle w:val="Casehead2"/>
        <w:keepNext/>
        <w:rPr>
          <w:lang w:val="en-CA"/>
        </w:rPr>
      </w:pPr>
      <w:r w:rsidRPr="000C27AA">
        <w:rPr>
          <w:lang w:val="en-CA"/>
        </w:rPr>
        <w:t>Industry Consolidation</w:t>
      </w:r>
      <w:r w:rsidR="00540205">
        <w:rPr>
          <w:rStyle w:val="EndnoteReference"/>
          <w:lang w:val="en-CA"/>
        </w:rPr>
        <w:endnoteReference w:id="26"/>
      </w:r>
    </w:p>
    <w:p w14:paraId="31BAAEF8" w14:textId="77777777" w:rsidR="00FC7374" w:rsidRPr="00CE78A8" w:rsidRDefault="00FC7374" w:rsidP="00D21755">
      <w:pPr>
        <w:pStyle w:val="BodyTextMain"/>
        <w:keepNext/>
        <w:rPr>
          <w:sz w:val="20"/>
          <w:lang w:val="en-CA"/>
        </w:rPr>
      </w:pPr>
    </w:p>
    <w:p w14:paraId="61D737AF" w14:textId="7BA400DC" w:rsidR="00FC7374" w:rsidRPr="000C27AA" w:rsidRDefault="00FC7374" w:rsidP="00D21755">
      <w:pPr>
        <w:pStyle w:val="BodyTextMain"/>
        <w:keepNext/>
        <w:rPr>
          <w:lang w:val="en-CA"/>
        </w:rPr>
      </w:pPr>
      <w:r w:rsidRPr="000C27AA">
        <w:rPr>
          <w:lang w:val="en-CA"/>
        </w:rPr>
        <w:t xml:space="preserve">Despite a complex web of regulations, the global airline industry had steadily moved toward long-term consolidation. In the 2000s and early 2010s, consolidation </w:t>
      </w:r>
      <w:r w:rsidR="000B375A" w:rsidRPr="000C27AA">
        <w:rPr>
          <w:lang w:val="en-CA"/>
        </w:rPr>
        <w:t xml:space="preserve">was apparent both </w:t>
      </w:r>
      <w:r w:rsidRPr="000C27AA">
        <w:rPr>
          <w:lang w:val="en-CA"/>
        </w:rPr>
        <w:t xml:space="preserve">in Europe and </w:t>
      </w:r>
      <w:r w:rsidR="000B375A" w:rsidRPr="000C27AA">
        <w:rPr>
          <w:lang w:val="en-CA"/>
        </w:rPr>
        <w:t xml:space="preserve">in </w:t>
      </w:r>
      <w:r w:rsidRPr="000C27AA">
        <w:rPr>
          <w:lang w:val="en-CA"/>
        </w:rPr>
        <w:t>North America. In the United States, Delta merged with Northwest</w:t>
      </w:r>
      <w:r w:rsidR="000B375A" w:rsidRPr="000C27AA">
        <w:rPr>
          <w:lang w:val="en-CA"/>
        </w:rPr>
        <w:t xml:space="preserve"> Airlines Corp.</w:t>
      </w:r>
      <w:r w:rsidRPr="000C27AA">
        <w:rPr>
          <w:lang w:val="en-CA"/>
        </w:rPr>
        <w:t xml:space="preserve">, United </w:t>
      </w:r>
      <w:r w:rsidR="000B375A" w:rsidRPr="000C27AA">
        <w:rPr>
          <w:lang w:val="en-CA"/>
        </w:rPr>
        <w:t xml:space="preserve">Airlines merged </w:t>
      </w:r>
      <w:r w:rsidRPr="000C27AA">
        <w:rPr>
          <w:lang w:val="en-CA"/>
        </w:rPr>
        <w:t>with Continental</w:t>
      </w:r>
      <w:r w:rsidR="000B375A" w:rsidRPr="000C27AA">
        <w:rPr>
          <w:lang w:val="en-CA"/>
        </w:rPr>
        <w:t xml:space="preserve"> Airlines</w:t>
      </w:r>
      <w:r w:rsidRPr="000C27AA">
        <w:rPr>
          <w:lang w:val="en-CA"/>
        </w:rPr>
        <w:t xml:space="preserve">, and US Airways </w:t>
      </w:r>
      <w:r w:rsidR="000B375A" w:rsidRPr="000C27AA">
        <w:rPr>
          <w:lang w:val="en-CA"/>
        </w:rPr>
        <w:t xml:space="preserve">merged </w:t>
      </w:r>
      <w:r w:rsidRPr="000C27AA">
        <w:rPr>
          <w:lang w:val="en-CA"/>
        </w:rPr>
        <w:t>with American. In Europe, British Airways merged with Iberia, Air France merged with KLM</w:t>
      </w:r>
      <w:r w:rsidR="000B375A" w:rsidRPr="000C27AA">
        <w:rPr>
          <w:lang w:val="en-CA"/>
        </w:rPr>
        <w:t xml:space="preserve"> Royal Dutch Airlines</w:t>
      </w:r>
      <w:r w:rsidRPr="000C27AA">
        <w:rPr>
          <w:lang w:val="en-CA"/>
        </w:rPr>
        <w:t xml:space="preserve">, and </w:t>
      </w:r>
      <w:r w:rsidR="000B375A" w:rsidRPr="000C27AA">
        <w:rPr>
          <w:lang w:val="en-CA"/>
        </w:rPr>
        <w:t xml:space="preserve">Deutsche </w:t>
      </w:r>
      <w:r w:rsidRPr="000C27AA">
        <w:rPr>
          <w:lang w:val="en-CA"/>
        </w:rPr>
        <w:t xml:space="preserve">Lufthansa </w:t>
      </w:r>
      <w:r w:rsidR="000B375A" w:rsidRPr="000C27AA">
        <w:rPr>
          <w:lang w:val="en-CA"/>
        </w:rPr>
        <w:t xml:space="preserve">AG </w:t>
      </w:r>
      <w:r w:rsidRPr="000C27AA">
        <w:rPr>
          <w:lang w:val="en-CA"/>
        </w:rPr>
        <w:t>acquired controlling shares in Swiss</w:t>
      </w:r>
      <w:r w:rsidR="000B375A" w:rsidRPr="000C27AA">
        <w:rPr>
          <w:lang w:val="en-CA"/>
        </w:rPr>
        <w:t xml:space="preserve"> International Air Lines AG</w:t>
      </w:r>
      <w:r w:rsidRPr="000C27AA">
        <w:rPr>
          <w:lang w:val="en-CA"/>
        </w:rPr>
        <w:t>, Austrian</w:t>
      </w:r>
      <w:r w:rsidR="000B375A" w:rsidRPr="000C27AA">
        <w:rPr>
          <w:lang w:val="en-CA"/>
        </w:rPr>
        <w:t xml:space="preserve"> Airlines AG,</w:t>
      </w:r>
      <w:r w:rsidRPr="000C27AA">
        <w:rPr>
          <w:lang w:val="en-CA"/>
        </w:rPr>
        <w:t xml:space="preserve"> and Brussels</w:t>
      </w:r>
      <w:r w:rsidR="000B375A" w:rsidRPr="000C27AA">
        <w:rPr>
          <w:lang w:val="en-CA"/>
        </w:rPr>
        <w:t xml:space="preserve"> Airlines</w:t>
      </w:r>
      <w:r w:rsidRPr="000C27AA">
        <w:rPr>
          <w:lang w:val="en-CA"/>
        </w:rPr>
        <w:t>. Sometimes, these mergers affected the membership of the</w:t>
      </w:r>
      <w:r w:rsidR="000B375A" w:rsidRPr="000C27AA">
        <w:rPr>
          <w:lang w:val="en-CA"/>
        </w:rPr>
        <w:t>ir respective</w:t>
      </w:r>
      <w:r w:rsidRPr="000C27AA">
        <w:rPr>
          <w:lang w:val="en-CA"/>
        </w:rPr>
        <w:t xml:space="preserve"> alliances. For example, Continental </w:t>
      </w:r>
      <w:r w:rsidR="000B375A" w:rsidRPr="000C27AA">
        <w:rPr>
          <w:lang w:val="en-CA"/>
        </w:rPr>
        <w:t xml:space="preserve">Airlines </w:t>
      </w:r>
      <w:r w:rsidRPr="000C27AA">
        <w:rPr>
          <w:lang w:val="en-CA"/>
        </w:rPr>
        <w:t xml:space="preserve">left </w:t>
      </w:r>
      <w:r w:rsidR="000B375A" w:rsidRPr="000C27AA">
        <w:rPr>
          <w:lang w:val="en-CA"/>
        </w:rPr>
        <w:t xml:space="preserve">the </w:t>
      </w:r>
      <w:r w:rsidRPr="000C27AA">
        <w:rPr>
          <w:lang w:val="en-CA"/>
        </w:rPr>
        <w:t>SkyTeam</w:t>
      </w:r>
      <w:r w:rsidR="000B375A" w:rsidRPr="000C27AA">
        <w:rPr>
          <w:lang w:val="en-CA"/>
        </w:rPr>
        <w:t xml:space="preserve"> constellation</w:t>
      </w:r>
      <w:r w:rsidRPr="000C27AA">
        <w:rPr>
          <w:lang w:val="en-CA"/>
        </w:rPr>
        <w:t xml:space="preserve"> </w:t>
      </w:r>
      <w:r w:rsidR="000B375A" w:rsidRPr="000C27AA">
        <w:rPr>
          <w:lang w:val="en-CA"/>
        </w:rPr>
        <w:t>and joined</w:t>
      </w:r>
      <w:r w:rsidRPr="000C27AA">
        <w:rPr>
          <w:lang w:val="en-CA"/>
        </w:rPr>
        <w:t xml:space="preserve"> Star</w:t>
      </w:r>
      <w:r w:rsidR="000B375A" w:rsidRPr="000C27AA">
        <w:rPr>
          <w:lang w:val="en-CA"/>
        </w:rPr>
        <w:t xml:space="preserve"> Alliance</w:t>
      </w:r>
      <w:r w:rsidRPr="000C27AA">
        <w:rPr>
          <w:lang w:val="en-CA"/>
        </w:rPr>
        <w:t xml:space="preserve"> after </w:t>
      </w:r>
      <w:r w:rsidR="002E4581" w:rsidRPr="000C27AA">
        <w:rPr>
          <w:lang w:val="en-CA"/>
        </w:rPr>
        <w:t xml:space="preserve">the merger between </w:t>
      </w:r>
      <w:r w:rsidRPr="000C27AA">
        <w:rPr>
          <w:lang w:val="en-CA"/>
        </w:rPr>
        <w:t>Delta and Northwest</w:t>
      </w:r>
      <w:r w:rsidR="000B375A" w:rsidRPr="000C27AA">
        <w:rPr>
          <w:lang w:val="en-CA"/>
        </w:rPr>
        <w:t xml:space="preserve"> Airlines Corp.</w:t>
      </w:r>
      <w:r w:rsidRPr="000C27AA">
        <w:rPr>
          <w:lang w:val="en-CA"/>
        </w:rPr>
        <w:t xml:space="preserve">, </w:t>
      </w:r>
      <w:r w:rsidR="000B375A" w:rsidRPr="000C27AA">
        <w:rPr>
          <w:lang w:val="en-CA"/>
        </w:rPr>
        <w:t>while</w:t>
      </w:r>
      <w:r w:rsidRPr="000C27AA">
        <w:rPr>
          <w:lang w:val="en-CA"/>
        </w:rPr>
        <w:t xml:space="preserve"> Continental </w:t>
      </w:r>
      <w:r w:rsidR="000B375A" w:rsidRPr="000C27AA">
        <w:rPr>
          <w:lang w:val="en-CA"/>
        </w:rPr>
        <w:t>Ai</w:t>
      </w:r>
      <w:r w:rsidR="00412358" w:rsidRPr="000C27AA">
        <w:rPr>
          <w:lang w:val="en-CA"/>
        </w:rPr>
        <w:t>r</w:t>
      </w:r>
      <w:r w:rsidR="000B375A" w:rsidRPr="000C27AA">
        <w:rPr>
          <w:lang w:val="en-CA"/>
        </w:rPr>
        <w:t>lines</w:t>
      </w:r>
      <w:r w:rsidRPr="000C27AA">
        <w:rPr>
          <w:lang w:val="en-CA"/>
        </w:rPr>
        <w:t xml:space="preserve"> </w:t>
      </w:r>
      <w:r w:rsidR="00412358" w:rsidRPr="000C27AA">
        <w:rPr>
          <w:lang w:val="en-CA"/>
        </w:rPr>
        <w:t xml:space="preserve">completed its own </w:t>
      </w:r>
      <w:r w:rsidRPr="000C27AA">
        <w:rPr>
          <w:lang w:val="en-CA"/>
        </w:rPr>
        <w:t>merge</w:t>
      </w:r>
      <w:r w:rsidR="00412358" w:rsidRPr="000C27AA">
        <w:rPr>
          <w:lang w:val="en-CA"/>
        </w:rPr>
        <w:t>r</w:t>
      </w:r>
      <w:r w:rsidRPr="000C27AA">
        <w:rPr>
          <w:lang w:val="en-CA"/>
        </w:rPr>
        <w:t xml:space="preserve"> with United</w:t>
      </w:r>
      <w:r w:rsidR="00412358" w:rsidRPr="000C27AA">
        <w:rPr>
          <w:lang w:val="en-CA"/>
        </w:rPr>
        <w:t xml:space="preserve"> Airlines</w:t>
      </w:r>
      <w:r w:rsidRPr="000C27AA">
        <w:rPr>
          <w:lang w:val="en-CA"/>
        </w:rPr>
        <w:t>.</w:t>
      </w:r>
    </w:p>
    <w:p w14:paraId="18801B61" w14:textId="77777777" w:rsidR="00FC7374" w:rsidRPr="00CE78A8" w:rsidRDefault="00FC7374" w:rsidP="00FC7374">
      <w:pPr>
        <w:pStyle w:val="BodyTextMain"/>
        <w:rPr>
          <w:lang w:val="en-CA"/>
        </w:rPr>
      </w:pPr>
    </w:p>
    <w:p w14:paraId="6FE086BF" w14:textId="6F694E4E" w:rsidR="00FC7374" w:rsidRDefault="00D05108" w:rsidP="00FC7374">
      <w:pPr>
        <w:pStyle w:val="BodyTextMain"/>
        <w:rPr>
          <w:lang w:val="en-CA"/>
        </w:rPr>
      </w:pPr>
      <w:r w:rsidRPr="000C27AA">
        <w:rPr>
          <w:lang w:val="en-CA"/>
        </w:rPr>
        <w:lastRenderedPageBreak/>
        <w:t>A</w:t>
      </w:r>
      <w:r w:rsidR="00FC7374" w:rsidRPr="000C27AA">
        <w:rPr>
          <w:lang w:val="en-CA"/>
        </w:rPr>
        <w:t xml:space="preserve">irline constellations </w:t>
      </w:r>
      <w:r w:rsidRPr="000C27AA">
        <w:rPr>
          <w:lang w:val="en-CA"/>
        </w:rPr>
        <w:t xml:space="preserve">also </w:t>
      </w:r>
      <w:r w:rsidR="00FC7374" w:rsidRPr="000C27AA">
        <w:rPr>
          <w:lang w:val="en-CA"/>
        </w:rPr>
        <w:t>continued expan</w:t>
      </w:r>
      <w:r w:rsidRPr="000C27AA">
        <w:rPr>
          <w:lang w:val="en-CA"/>
        </w:rPr>
        <w:t>sion</w:t>
      </w:r>
      <w:r w:rsidR="00FC7374" w:rsidRPr="000C27AA">
        <w:rPr>
          <w:lang w:val="en-CA"/>
        </w:rPr>
        <w:t xml:space="preserve"> by adding members</w:t>
      </w:r>
      <w:r w:rsidRPr="000C27AA">
        <w:rPr>
          <w:lang w:val="en-CA"/>
        </w:rPr>
        <w:t xml:space="preserve"> to their alliances</w:t>
      </w:r>
      <w:r w:rsidR="00FC7374" w:rsidRPr="000C27AA">
        <w:rPr>
          <w:lang w:val="en-CA"/>
        </w:rPr>
        <w:t>. As additional airlines joined existing constellation</w:t>
      </w:r>
      <w:r w:rsidRPr="000C27AA">
        <w:rPr>
          <w:lang w:val="en-CA"/>
        </w:rPr>
        <w:t>s</w:t>
      </w:r>
      <w:r w:rsidR="00FC7374" w:rsidRPr="000C27AA">
        <w:rPr>
          <w:lang w:val="en-CA"/>
        </w:rPr>
        <w:t xml:space="preserve">, </w:t>
      </w:r>
      <w:r w:rsidRPr="000C27AA">
        <w:rPr>
          <w:lang w:val="en-CA"/>
        </w:rPr>
        <w:t xml:space="preserve">overlap increased in </w:t>
      </w:r>
      <w:r w:rsidR="00FC7374" w:rsidRPr="000C27AA">
        <w:rPr>
          <w:lang w:val="en-CA"/>
        </w:rPr>
        <w:t>route structures of members</w:t>
      </w:r>
      <w:r w:rsidRPr="000C27AA">
        <w:rPr>
          <w:lang w:val="en-CA"/>
        </w:rPr>
        <w:t>, which</w:t>
      </w:r>
      <w:r w:rsidR="00FC7374" w:rsidRPr="000C27AA">
        <w:rPr>
          <w:lang w:val="en-CA"/>
        </w:rPr>
        <w:t xml:space="preserve"> affect</w:t>
      </w:r>
      <w:r w:rsidR="002E4581" w:rsidRPr="000C27AA">
        <w:rPr>
          <w:lang w:val="en-CA"/>
        </w:rPr>
        <w:t>ed</w:t>
      </w:r>
      <w:r w:rsidR="00FC7374" w:rsidRPr="000C27AA">
        <w:rPr>
          <w:lang w:val="en-CA"/>
        </w:rPr>
        <w:t xml:space="preserve"> how incumbent members perceived </w:t>
      </w:r>
      <w:r w:rsidRPr="000C27AA">
        <w:rPr>
          <w:lang w:val="en-CA"/>
        </w:rPr>
        <w:t>the</w:t>
      </w:r>
      <w:r w:rsidR="00FC7374" w:rsidRPr="000C27AA">
        <w:rPr>
          <w:lang w:val="en-CA"/>
        </w:rPr>
        <w:t xml:space="preserve"> applicat</w:t>
      </w:r>
      <w:r w:rsidRPr="000C27AA">
        <w:rPr>
          <w:lang w:val="en-CA"/>
        </w:rPr>
        <w:t>ion of new</w:t>
      </w:r>
      <w:r w:rsidR="00FC7374" w:rsidRPr="000C27AA">
        <w:rPr>
          <w:lang w:val="en-CA"/>
        </w:rPr>
        <w:t xml:space="preserve"> members</w:t>
      </w:r>
      <w:r w:rsidRPr="000C27AA">
        <w:rPr>
          <w:lang w:val="en-CA"/>
        </w:rPr>
        <w:t xml:space="preserve"> to their alliance</w:t>
      </w:r>
      <w:r w:rsidR="00FC7374" w:rsidRPr="000C27AA">
        <w:rPr>
          <w:lang w:val="en-CA"/>
        </w:rPr>
        <w:t>.</w:t>
      </w:r>
      <w:r w:rsidR="000B375A" w:rsidRPr="000C27AA">
        <w:rPr>
          <w:lang w:val="en-CA"/>
        </w:rPr>
        <w:t xml:space="preserve"> </w:t>
      </w:r>
      <w:r w:rsidR="00FC7374" w:rsidRPr="000C27AA">
        <w:rPr>
          <w:lang w:val="en-CA"/>
        </w:rPr>
        <w:t xml:space="preserve">For example, when Singapore Airlines entered Star Alliance, </w:t>
      </w:r>
      <w:r w:rsidRPr="000C27AA">
        <w:rPr>
          <w:lang w:val="en-CA"/>
        </w:rPr>
        <w:t xml:space="preserve">the </w:t>
      </w:r>
      <w:r w:rsidR="00FC7374" w:rsidRPr="000C27AA">
        <w:rPr>
          <w:lang w:val="en-CA"/>
        </w:rPr>
        <w:t xml:space="preserve">financial consultants </w:t>
      </w:r>
      <w:r w:rsidRPr="000C27AA">
        <w:rPr>
          <w:lang w:val="en-CA"/>
        </w:rPr>
        <w:t xml:space="preserve">of Thai Airways International Public Co. Ltd. </w:t>
      </w:r>
      <w:r w:rsidR="00FC7374" w:rsidRPr="000C27AA">
        <w:rPr>
          <w:lang w:val="en-CA"/>
        </w:rPr>
        <w:t xml:space="preserve">wondered </w:t>
      </w:r>
      <w:r w:rsidRPr="000C27AA">
        <w:rPr>
          <w:lang w:val="en-CA"/>
        </w:rPr>
        <w:t>about the effect of its current</w:t>
      </w:r>
      <w:r w:rsidR="00FC7374" w:rsidRPr="000C27AA">
        <w:rPr>
          <w:lang w:val="en-CA"/>
        </w:rPr>
        <w:t xml:space="preserve"> role </w:t>
      </w:r>
      <w:r w:rsidRPr="000C27AA">
        <w:rPr>
          <w:lang w:val="en-CA"/>
        </w:rPr>
        <w:t>as the</w:t>
      </w:r>
      <w:r w:rsidR="00FC7374" w:rsidRPr="000C27AA">
        <w:rPr>
          <w:lang w:val="en-CA"/>
        </w:rPr>
        <w:t xml:space="preserve"> Star</w:t>
      </w:r>
      <w:r w:rsidRPr="000C27AA">
        <w:rPr>
          <w:lang w:val="en-CA"/>
        </w:rPr>
        <w:t xml:space="preserve"> Alliance</w:t>
      </w:r>
      <w:r w:rsidR="00FC7374" w:rsidRPr="000C27AA">
        <w:rPr>
          <w:lang w:val="en-CA"/>
        </w:rPr>
        <w:t xml:space="preserve"> airline that connected European hubs with Southeast Asia. The</w:t>
      </w:r>
      <w:r w:rsidRPr="000C27AA">
        <w:rPr>
          <w:lang w:val="en-CA"/>
        </w:rPr>
        <w:t xml:space="preserve"> consultants</w:t>
      </w:r>
      <w:r w:rsidR="00FC7374" w:rsidRPr="000C27AA">
        <w:rPr>
          <w:lang w:val="en-CA"/>
        </w:rPr>
        <w:t xml:space="preserve"> estimated that Singapore Airlines </w:t>
      </w:r>
      <w:r w:rsidRPr="000C27AA">
        <w:rPr>
          <w:lang w:val="en-CA"/>
        </w:rPr>
        <w:t xml:space="preserve">being added </w:t>
      </w:r>
      <w:r w:rsidR="00FC7374" w:rsidRPr="000C27AA">
        <w:rPr>
          <w:lang w:val="en-CA"/>
        </w:rPr>
        <w:t xml:space="preserve">to the group could cost </w:t>
      </w:r>
      <w:r w:rsidRPr="000C27AA">
        <w:rPr>
          <w:lang w:val="en-CA"/>
        </w:rPr>
        <w:t>their airline</w:t>
      </w:r>
      <w:r w:rsidR="00FC7374" w:rsidRPr="000C27AA">
        <w:rPr>
          <w:lang w:val="en-CA"/>
        </w:rPr>
        <w:t xml:space="preserve"> $10 million annually in lost revenues from code</w:t>
      </w:r>
      <w:r w:rsidR="002E4581" w:rsidRPr="000C27AA">
        <w:rPr>
          <w:lang w:val="en-CA"/>
        </w:rPr>
        <w:t xml:space="preserve"> </w:t>
      </w:r>
      <w:r w:rsidR="00FC7374" w:rsidRPr="000C27AA">
        <w:rPr>
          <w:lang w:val="en-CA"/>
        </w:rPr>
        <w:t xml:space="preserve">sharing </w:t>
      </w:r>
      <w:r w:rsidR="002E4581" w:rsidRPr="000C27AA">
        <w:rPr>
          <w:lang w:val="en-CA"/>
        </w:rPr>
        <w:t xml:space="preserve">in </w:t>
      </w:r>
      <w:r w:rsidR="00FC7374" w:rsidRPr="000C27AA">
        <w:rPr>
          <w:lang w:val="en-CA"/>
        </w:rPr>
        <w:t xml:space="preserve">flights with </w:t>
      </w:r>
      <w:r w:rsidR="000B375A" w:rsidRPr="000C27AA">
        <w:rPr>
          <w:lang w:val="en-CA"/>
        </w:rPr>
        <w:t xml:space="preserve">Deutsche </w:t>
      </w:r>
      <w:r w:rsidR="00FC7374" w:rsidRPr="000C27AA">
        <w:rPr>
          <w:lang w:val="en-CA"/>
        </w:rPr>
        <w:t>Lufthansa</w:t>
      </w:r>
      <w:r w:rsidR="000B375A" w:rsidRPr="000C27AA">
        <w:rPr>
          <w:lang w:val="en-CA"/>
        </w:rPr>
        <w:t xml:space="preserve"> AG</w:t>
      </w:r>
      <w:r w:rsidR="00FC7374" w:rsidRPr="000C27AA">
        <w:rPr>
          <w:lang w:val="en-CA"/>
        </w:rPr>
        <w:t xml:space="preserve">. In addition, Singapore Airlines was </w:t>
      </w:r>
      <w:r w:rsidRPr="000C27AA">
        <w:rPr>
          <w:lang w:val="en-CA"/>
        </w:rPr>
        <w:t xml:space="preserve">the </w:t>
      </w:r>
      <w:r w:rsidR="00FC7374" w:rsidRPr="000C27AA">
        <w:rPr>
          <w:lang w:val="en-CA"/>
        </w:rPr>
        <w:t>most powerful regional rival in Southeast</w:t>
      </w:r>
      <w:r w:rsidRPr="000C27AA">
        <w:rPr>
          <w:lang w:val="en-CA"/>
        </w:rPr>
        <w:t xml:space="preserve"> Asia</w:t>
      </w:r>
      <w:r w:rsidR="00FC7374" w:rsidRPr="000C27AA">
        <w:rPr>
          <w:lang w:val="en-CA"/>
        </w:rPr>
        <w:t>. Nevertheless, the membership was approved by the group and the rival airlines continue</w:t>
      </w:r>
      <w:r w:rsidRPr="000C27AA">
        <w:rPr>
          <w:lang w:val="en-CA"/>
        </w:rPr>
        <w:t>d</w:t>
      </w:r>
      <w:r w:rsidR="00FC7374" w:rsidRPr="000C27AA">
        <w:rPr>
          <w:lang w:val="en-CA"/>
        </w:rPr>
        <w:t xml:space="preserve"> to operate as partners.</w:t>
      </w:r>
    </w:p>
    <w:p w14:paraId="35EDE9C4" w14:textId="77777777" w:rsidR="00CE78A8" w:rsidRPr="000C27AA" w:rsidRDefault="00CE78A8" w:rsidP="00FC7374">
      <w:pPr>
        <w:pStyle w:val="BodyTextMain"/>
        <w:rPr>
          <w:lang w:val="en-CA"/>
        </w:rPr>
      </w:pPr>
    </w:p>
    <w:p w14:paraId="3B0EA7E4" w14:textId="32FDDA4F" w:rsidR="00FC7374" w:rsidRPr="000C27AA" w:rsidRDefault="00FC7374" w:rsidP="00FC7374">
      <w:pPr>
        <w:pStyle w:val="BodyTextMain"/>
        <w:rPr>
          <w:spacing w:val="-4"/>
          <w:lang w:val="en-CA"/>
        </w:rPr>
      </w:pPr>
      <w:r w:rsidRPr="000C27AA">
        <w:rPr>
          <w:lang w:val="en-CA"/>
        </w:rPr>
        <w:t xml:space="preserve">Entry and exit from airline constellations </w:t>
      </w:r>
      <w:proofErr w:type="gramStart"/>
      <w:r w:rsidRPr="000C27AA">
        <w:rPr>
          <w:lang w:val="en-CA"/>
        </w:rPr>
        <w:t>was</w:t>
      </w:r>
      <w:proofErr w:type="gramEnd"/>
      <w:r w:rsidRPr="000C27AA">
        <w:rPr>
          <w:lang w:val="en-CA"/>
        </w:rPr>
        <w:t xml:space="preserve"> governed by terms of their membership. </w:t>
      </w:r>
      <w:r w:rsidR="002E4581" w:rsidRPr="000C27AA">
        <w:rPr>
          <w:lang w:val="en-CA"/>
        </w:rPr>
        <w:t>For example, t</w:t>
      </w:r>
      <w:r w:rsidRPr="000C27AA">
        <w:rPr>
          <w:lang w:val="en-CA"/>
        </w:rPr>
        <w:t>o be accepted for entry</w:t>
      </w:r>
      <w:r w:rsidR="002E4581" w:rsidRPr="000C27AA">
        <w:rPr>
          <w:lang w:val="en-CA"/>
        </w:rPr>
        <w:t xml:space="preserve"> in Star Alliance</w:t>
      </w:r>
      <w:r w:rsidRPr="000C27AA">
        <w:rPr>
          <w:lang w:val="en-CA"/>
        </w:rPr>
        <w:t xml:space="preserve">, an airline had to </w:t>
      </w:r>
      <w:r w:rsidR="004B43CB" w:rsidRPr="000C27AA">
        <w:rPr>
          <w:lang w:val="en-CA"/>
        </w:rPr>
        <w:t>demonstrate its ability to</w:t>
      </w:r>
      <w:r w:rsidRPr="000C27AA">
        <w:rPr>
          <w:lang w:val="en-CA"/>
        </w:rPr>
        <w:t xml:space="preserve"> meet </w:t>
      </w:r>
      <w:r w:rsidR="002E4581" w:rsidRPr="000C27AA">
        <w:rPr>
          <w:lang w:val="en-CA"/>
        </w:rPr>
        <w:t>the a</w:t>
      </w:r>
      <w:r w:rsidR="00D05108" w:rsidRPr="000C27AA">
        <w:rPr>
          <w:lang w:val="en-CA"/>
        </w:rPr>
        <w:t>lliance</w:t>
      </w:r>
      <w:r w:rsidR="002E4581" w:rsidRPr="000C27AA">
        <w:rPr>
          <w:lang w:val="en-CA"/>
        </w:rPr>
        <w:t>’s</w:t>
      </w:r>
      <w:r w:rsidR="00D05108" w:rsidRPr="000C27AA">
        <w:rPr>
          <w:lang w:val="en-CA"/>
        </w:rPr>
        <w:t xml:space="preserve"> </w:t>
      </w:r>
      <w:r w:rsidRPr="000C27AA">
        <w:rPr>
          <w:lang w:val="en-CA"/>
        </w:rPr>
        <w:t xml:space="preserve">standards. Existing members voted on new memberships, just like they did on other major strategic issues. Originally, Star </w:t>
      </w:r>
      <w:r w:rsidR="00D05108" w:rsidRPr="000C27AA">
        <w:rPr>
          <w:lang w:val="en-CA"/>
        </w:rPr>
        <w:t xml:space="preserve">Alliance </w:t>
      </w:r>
      <w:r w:rsidRPr="000C27AA">
        <w:rPr>
          <w:lang w:val="en-CA"/>
        </w:rPr>
        <w:t>had operated under a one-airline, one-vote rule</w:t>
      </w:r>
      <w:r w:rsidR="00D05108" w:rsidRPr="000C27AA">
        <w:rPr>
          <w:lang w:val="en-CA"/>
        </w:rPr>
        <w:t>; however</w:t>
      </w:r>
      <w:r w:rsidRPr="000C27AA">
        <w:rPr>
          <w:lang w:val="en-CA"/>
        </w:rPr>
        <w:t xml:space="preserve">, as membership grew, the organization introduced tiered voting. In 2019, voting shares of members in Star </w:t>
      </w:r>
      <w:r w:rsidR="00D05108" w:rsidRPr="000C27AA">
        <w:rPr>
          <w:lang w:val="en-CA"/>
        </w:rPr>
        <w:t xml:space="preserve">Alliance </w:t>
      </w:r>
      <w:r w:rsidRPr="000C27AA">
        <w:rPr>
          <w:lang w:val="en-CA"/>
        </w:rPr>
        <w:t xml:space="preserve">depended on the size of their business. </w:t>
      </w:r>
      <w:r w:rsidRPr="000C27AA">
        <w:rPr>
          <w:spacing w:val="-4"/>
          <w:lang w:val="en-CA"/>
        </w:rPr>
        <w:t>By 2020, the structure of the airline industry had stabilized, after decades of reorganization. Star Alliance had become a mature alliance organization, with a stable membership and a well-developed set of rules and processes</w:t>
      </w:r>
      <w:r w:rsidR="007F7A9F" w:rsidRPr="000C27AA">
        <w:rPr>
          <w:spacing w:val="-4"/>
          <w:lang w:val="en-CA"/>
        </w:rPr>
        <w:t xml:space="preserve">, and </w:t>
      </w:r>
      <w:r w:rsidRPr="000C27AA">
        <w:rPr>
          <w:spacing w:val="-4"/>
          <w:lang w:val="en-CA"/>
        </w:rPr>
        <w:t>was the largest of the three major airline constellations, which followed similar strategies and comparable structures. The market shares of these groups were similar, and mergers between domestic airliners seemed to have reached a point beyond which further consolidation would be barred by antitrust regulations.</w:t>
      </w:r>
    </w:p>
    <w:p w14:paraId="3C4BB7AF" w14:textId="69523AC2" w:rsidR="00FC7374" w:rsidRPr="00CE78A8" w:rsidRDefault="00FC7374" w:rsidP="00FC7374">
      <w:pPr>
        <w:pStyle w:val="BodyTextMain"/>
        <w:rPr>
          <w:lang w:val="en-CA"/>
        </w:rPr>
      </w:pPr>
    </w:p>
    <w:p w14:paraId="12A51732" w14:textId="77777777" w:rsidR="00FC7374" w:rsidRPr="00CE78A8" w:rsidRDefault="00FC7374" w:rsidP="00FC7374">
      <w:pPr>
        <w:pStyle w:val="BodyTextMain"/>
        <w:rPr>
          <w:lang w:val="en-CA"/>
        </w:rPr>
      </w:pPr>
    </w:p>
    <w:p w14:paraId="3FD296F5" w14:textId="0A1AED9B" w:rsidR="00FC7374" w:rsidRPr="000C27AA" w:rsidRDefault="003746D0" w:rsidP="00FC7374">
      <w:pPr>
        <w:pStyle w:val="Casehead2"/>
        <w:rPr>
          <w:lang w:val="en-CA"/>
        </w:rPr>
      </w:pPr>
      <w:r w:rsidRPr="000C27AA">
        <w:rPr>
          <w:lang w:val="en-CA"/>
        </w:rPr>
        <w:t xml:space="preserve">Potential </w:t>
      </w:r>
      <w:r w:rsidR="00FC7374" w:rsidRPr="000C27AA">
        <w:rPr>
          <w:lang w:val="en-CA"/>
        </w:rPr>
        <w:t>Changes in the Hub</w:t>
      </w:r>
      <w:r w:rsidRPr="000C27AA">
        <w:rPr>
          <w:lang w:val="en-CA"/>
        </w:rPr>
        <w:t>-</w:t>
      </w:r>
      <w:r w:rsidR="00FC7374" w:rsidRPr="000C27AA">
        <w:rPr>
          <w:lang w:val="en-CA"/>
        </w:rPr>
        <w:t>and</w:t>
      </w:r>
      <w:r w:rsidRPr="000C27AA">
        <w:rPr>
          <w:lang w:val="en-CA"/>
        </w:rPr>
        <w:t>-</w:t>
      </w:r>
      <w:r w:rsidR="00FC7374" w:rsidRPr="000C27AA">
        <w:rPr>
          <w:lang w:val="en-CA"/>
        </w:rPr>
        <w:t>Spoke Model</w:t>
      </w:r>
    </w:p>
    <w:p w14:paraId="0CF5FB71" w14:textId="77777777" w:rsidR="00FC7374" w:rsidRPr="00CE78A8" w:rsidRDefault="00FC7374" w:rsidP="00FC7374">
      <w:pPr>
        <w:pStyle w:val="BodyTextMain"/>
        <w:rPr>
          <w:lang w:val="en-CA"/>
        </w:rPr>
      </w:pPr>
    </w:p>
    <w:p w14:paraId="53BBC7A3" w14:textId="62266121" w:rsidR="00FC7374" w:rsidRPr="000C27AA" w:rsidRDefault="00FC7374" w:rsidP="00FC7374">
      <w:pPr>
        <w:pStyle w:val="BodyTextMain"/>
        <w:rPr>
          <w:lang w:val="en-CA"/>
        </w:rPr>
      </w:pPr>
      <w:r w:rsidRPr="000C27AA">
        <w:rPr>
          <w:lang w:val="en-CA"/>
        </w:rPr>
        <w:t xml:space="preserve">Since its inception, </w:t>
      </w:r>
      <w:r w:rsidR="00BC368F" w:rsidRPr="000C27AA">
        <w:rPr>
          <w:lang w:val="en-CA"/>
        </w:rPr>
        <w:t xml:space="preserve">Star Alliance had made it its </w:t>
      </w:r>
      <w:proofErr w:type="gramStart"/>
      <w:r w:rsidR="00BC368F" w:rsidRPr="000C27AA">
        <w:rPr>
          <w:lang w:val="en-CA"/>
        </w:rPr>
        <w:t>main focus</w:t>
      </w:r>
      <w:proofErr w:type="gramEnd"/>
      <w:r w:rsidR="00BC368F" w:rsidRPr="000C27AA">
        <w:rPr>
          <w:lang w:val="en-CA"/>
        </w:rPr>
        <w:t xml:space="preserve"> to </w:t>
      </w:r>
      <w:r w:rsidRPr="000C27AA">
        <w:rPr>
          <w:lang w:val="en-CA"/>
        </w:rPr>
        <w:t>optimiz</w:t>
      </w:r>
      <w:r w:rsidR="00BC368F" w:rsidRPr="000C27AA">
        <w:rPr>
          <w:lang w:val="en-CA"/>
        </w:rPr>
        <w:t>e</w:t>
      </w:r>
      <w:r w:rsidRPr="000C27AA">
        <w:rPr>
          <w:lang w:val="en-CA"/>
        </w:rPr>
        <w:t xml:space="preserve"> the hub</w:t>
      </w:r>
      <w:r w:rsidR="00C703C3" w:rsidRPr="000C27AA">
        <w:rPr>
          <w:lang w:val="en-CA"/>
        </w:rPr>
        <w:t>-</w:t>
      </w:r>
      <w:r w:rsidRPr="000C27AA">
        <w:rPr>
          <w:lang w:val="en-CA"/>
        </w:rPr>
        <w:t>and</w:t>
      </w:r>
      <w:r w:rsidR="00C703C3" w:rsidRPr="000C27AA">
        <w:rPr>
          <w:lang w:val="en-CA"/>
        </w:rPr>
        <w:t>-</w:t>
      </w:r>
      <w:r w:rsidRPr="000C27AA">
        <w:rPr>
          <w:lang w:val="en-CA"/>
        </w:rPr>
        <w:t>spoke network of the airline industry</w:t>
      </w:r>
      <w:r w:rsidR="00BC368F" w:rsidRPr="000C27AA">
        <w:rPr>
          <w:lang w:val="en-CA"/>
        </w:rPr>
        <w:t>, which it saw as a key</w:t>
      </w:r>
      <w:r w:rsidRPr="000C27AA">
        <w:rPr>
          <w:lang w:val="en-CA"/>
        </w:rPr>
        <w:t xml:space="preserve"> benefit. However, beginning in 2015, point-to-point flights became increasingly popular, </w:t>
      </w:r>
      <w:r w:rsidR="00BC368F" w:rsidRPr="000C27AA">
        <w:rPr>
          <w:lang w:val="en-CA"/>
        </w:rPr>
        <w:t xml:space="preserve">especially </w:t>
      </w:r>
      <w:r w:rsidRPr="000C27AA">
        <w:rPr>
          <w:lang w:val="en-CA"/>
        </w:rPr>
        <w:t>ultra long-haul flights (LHF</w:t>
      </w:r>
      <w:r w:rsidR="007F7A9F" w:rsidRPr="000C27AA">
        <w:rPr>
          <w:lang w:val="en-CA"/>
        </w:rPr>
        <w:t>s</w:t>
      </w:r>
      <w:r w:rsidRPr="000C27AA">
        <w:rPr>
          <w:lang w:val="en-CA"/>
        </w:rPr>
        <w:t xml:space="preserve">). </w:t>
      </w:r>
      <w:proofErr w:type="gramStart"/>
      <w:r w:rsidRPr="000C27AA">
        <w:rPr>
          <w:lang w:val="en-CA"/>
        </w:rPr>
        <w:t xml:space="preserve">By definition, </w:t>
      </w:r>
      <w:r w:rsidR="00BC368F" w:rsidRPr="000C27AA">
        <w:rPr>
          <w:lang w:val="en-CA"/>
        </w:rPr>
        <w:t>ultra</w:t>
      </w:r>
      <w:proofErr w:type="gramEnd"/>
      <w:r w:rsidR="00BC368F" w:rsidRPr="000C27AA">
        <w:rPr>
          <w:lang w:val="en-CA"/>
        </w:rPr>
        <w:t xml:space="preserve"> LHF</w:t>
      </w:r>
      <w:r w:rsidR="007F7A9F" w:rsidRPr="000C27AA">
        <w:rPr>
          <w:lang w:val="en-CA"/>
        </w:rPr>
        <w:t>s</w:t>
      </w:r>
      <w:r w:rsidR="00BC368F" w:rsidRPr="000C27AA">
        <w:rPr>
          <w:lang w:val="en-CA"/>
        </w:rPr>
        <w:t xml:space="preserve"> referred to</w:t>
      </w:r>
      <w:r w:rsidRPr="000C27AA">
        <w:rPr>
          <w:lang w:val="en-CA"/>
        </w:rPr>
        <w:t xml:space="preserve"> flights </w:t>
      </w:r>
      <w:r w:rsidR="00BC368F" w:rsidRPr="000C27AA">
        <w:rPr>
          <w:lang w:val="en-CA"/>
        </w:rPr>
        <w:t>that travelled</w:t>
      </w:r>
      <w:r w:rsidRPr="000C27AA">
        <w:rPr>
          <w:lang w:val="en-CA"/>
        </w:rPr>
        <w:t xml:space="preserve"> over 14.5 hours without connections. These point-to-point flights reduced total travel time significantly compared to the hub</w:t>
      </w:r>
      <w:r w:rsidR="00BC368F" w:rsidRPr="000C27AA">
        <w:rPr>
          <w:lang w:val="en-CA"/>
        </w:rPr>
        <w:t>-</w:t>
      </w:r>
      <w:r w:rsidRPr="000C27AA">
        <w:rPr>
          <w:lang w:val="en-CA"/>
        </w:rPr>
        <w:t>and</w:t>
      </w:r>
      <w:r w:rsidR="00BC368F" w:rsidRPr="000C27AA">
        <w:rPr>
          <w:lang w:val="en-CA"/>
        </w:rPr>
        <w:t>-</w:t>
      </w:r>
      <w:r w:rsidRPr="000C27AA">
        <w:rPr>
          <w:lang w:val="en-CA"/>
        </w:rPr>
        <w:t>spoke system</w:t>
      </w:r>
      <w:r w:rsidR="00BC368F" w:rsidRPr="000C27AA">
        <w:rPr>
          <w:lang w:val="en-CA"/>
        </w:rPr>
        <w:t>,</w:t>
      </w:r>
      <w:r w:rsidRPr="000C27AA">
        <w:rPr>
          <w:lang w:val="en-CA"/>
        </w:rPr>
        <w:t xml:space="preserve"> but </w:t>
      </w:r>
      <w:r w:rsidR="00BC368F" w:rsidRPr="000C27AA">
        <w:rPr>
          <w:lang w:val="en-CA"/>
        </w:rPr>
        <w:t xml:space="preserve">they </w:t>
      </w:r>
      <w:r w:rsidRPr="000C27AA">
        <w:rPr>
          <w:lang w:val="en-CA"/>
        </w:rPr>
        <w:t xml:space="preserve">also </w:t>
      </w:r>
      <w:r w:rsidR="00BC368F" w:rsidRPr="000C27AA">
        <w:rPr>
          <w:lang w:val="en-CA"/>
        </w:rPr>
        <w:t>resulted in</w:t>
      </w:r>
      <w:r w:rsidRPr="000C27AA">
        <w:rPr>
          <w:lang w:val="en-CA"/>
        </w:rPr>
        <w:t xml:space="preserve"> cost </w:t>
      </w:r>
      <w:r w:rsidR="00BC368F" w:rsidRPr="000C27AA">
        <w:rPr>
          <w:lang w:val="en-CA"/>
        </w:rPr>
        <w:t>savings</w:t>
      </w:r>
      <w:r w:rsidRPr="000C27AA">
        <w:rPr>
          <w:lang w:val="en-CA"/>
        </w:rPr>
        <w:t xml:space="preserve"> for both travel</w:t>
      </w:r>
      <w:r w:rsidR="00BC368F" w:rsidRPr="000C27AA">
        <w:rPr>
          <w:lang w:val="en-CA"/>
        </w:rPr>
        <w:t>l</w:t>
      </w:r>
      <w:r w:rsidRPr="000C27AA">
        <w:rPr>
          <w:lang w:val="en-CA"/>
        </w:rPr>
        <w:t xml:space="preserve">ers and airlines. Due to </w:t>
      </w:r>
      <w:r w:rsidR="00BC368F" w:rsidRPr="000C27AA">
        <w:rPr>
          <w:lang w:val="en-CA"/>
        </w:rPr>
        <w:t xml:space="preserve">their </w:t>
      </w:r>
      <w:r w:rsidRPr="000C27AA">
        <w:rPr>
          <w:lang w:val="en-CA"/>
        </w:rPr>
        <w:t>higher ticket prices, LHF</w:t>
      </w:r>
      <w:r w:rsidR="007F7A9F" w:rsidRPr="000C27AA">
        <w:rPr>
          <w:lang w:val="en-CA"/>
        </w:rPr>
        <w:t>s</w:t>
      </w:r>
      <w:r w:rsidRPr="000C27AA">
        <w:rPr>
          <w:lang w:val="en-CA"/>
        </w:rPr>
        <w:t xml:space="preserve"> were </w:t>
      </w:r>
      <w:r w:rsidR="00BC368F" w:rsidRPr="000C27AA">
        <w:rPr>
          <w:lang w:val="en-CA"/>
        </w:rPr>
        <w:t xml:space="preserve">less </w:t>
      </w:r>
      <w:r w:rsidR="000862B0" w:rsidRPr="000C27AA">
        <w:rPr>
          <w:lang w:val="en-CA"/>
        </w:rPr>
        <w:t>attractive to</w:t>
      </w:r>
      <w:r w:rsidR="00BC368F" w:rsidRPr="000C27AA">
        <w:rPr>
          <w:lang w:val="en-CA"/>
        </w:rPr>
        <w:t xml:space="preserve"> personal </w:t>
      </w:r>
      <w:r w:rsidR="000862B0" w:rsidRPr="000C27AA">
        <w:rPr>
          <w:lang w:val="en-CA"/>
        </w:rPr>
        <w:t>passengers</w:t>
      </w:r>
      <w:r w:rsidR="00BC368F" w:rsidRPr="000C27AA">
        <w:rPr>
          <w:lang w:val="en-CA"/>
        </w:rPr>
        <w:t xml:space="preserve"> but </w:t>
      </w:r>
      <w:r w:rsidR="007F7A9F" w:rsidRPr="000C27AA">
        <w:rPr>
          <w:lang w:val="en-CA"/>
        </w:rPr>
        <w:t>more</w:t>
      </w:r>
      <w:r w:rsidR="00BC368F" w:rsidRPr="000C27AA">
        <w:rPr>
          <w:lang w:val="en-CA"/>
        </w:rPr>
        <w:t xml:space="preserve"> </w:t>
      </w:r>
      <w:r w:rsidRPr="000C27AA">
        <w:rPr>
          <w:lang w:val="en-CA"/>
        </w:rPr>
        <w:t xml:space="preserve">popular </w:t>
      </w:r>
      <w:r w:rsidR="000862B0" w:rsidRPr="000C27AA">
        <w:rPr>
          <w:lang w:val="en-CA"/>
        </w:rPr>
        <w:t>for</w:t>
      </w:r>
      <w:r w:rsidRPr="000C27AA">
        <w:rPr>
          <w:lang w:val="en-CA"/>
        </w:rPr>
        <w:t xml:space="preserve"> corporate trave</w:t>
      </w:r>
      <w:r w:rsidR="00BC368F" w:rsidRPr="000C27AA">
        <w:rPr>
          <w:lang w:val="en-CA"/>
        </w:rPr>
        <w:t>l</w:t>
      </w:r>
      <w:r w:rsidRPr="000C27AA">
        <w:rPr>
          <w:lang w:val="en-CA"/>
        </w:rPr>
        <w:t>. By 2019, Qantas</w:t>
      </w:r>
      <w:r w:rsidR="00BC368F" w:rsidRPr="000C27AA">
        <w:rPr>
          <w:lang w:val="en-CA"/>
        </w:rPr>
        <w:t xml:space="preserve"> Airways Limited</w:t>
      </w:r>
      <w:r w:rsidRPr="000C27AA">
        <w:rPr>
          <w:lang w:val="en-CA"/>
        </w:rPr>
        <w:t>’s flight from Perth</w:t>
      </w:r>
      <w:r w:rsidR="000862B0" w:rsidRPr="000C27AA">
        <w:rPr>
          <w:lang w:val="en-CA"/>
        </w:rPr>
        <w:t>,</w:t>
      </w:r>
      <w:r w:rsidRPr="000C27AA">
        <w:rPr>
          <w:lang w:val="en-CA"/>
        </w:rPr>
        <w:t xml:space="preserve"> </w:t>
      </w:r>
      <w:r w:rsidR="000862B0" w:rsidRPr="000C27AA">
        <w:rPr>
          <w:lang w:val="en-CA"/>
        </w:rPr>
        <w:t xml:space="preserve">Australia </w:t>
      </w:r>
      <w:r w:rsidRPr="000C27AA">
        <w:rPr>
          <w:lang w:val="en-CA"/>
        </w:rPr>
        <w:t>to London</w:t>
      </w:r>
      <w:r w:rsidR="000862B0" w:rsidRPr="000C27AA">
        <w:rPr>
          <w:lang w:val="en-CA"/>
        </w:rPr>
        <w:t>, United Kingdom</w:t>
      </w:r>
      <w:r w:rsidRPr="000C27AA">
        <w:rPr>
          <w:lang w:val="en-CA"/>
        </w:rPr>
        <w:t xml:space="preserve"> claimed an average load factor above 90</w:t>
      </w:r>
      <w:r w:rsidR="000862B0" w:rsidRPr="000C27AA">
        <w:rPr>
          <w:lang w:val="en-CA"/>
        </w:rPr>
        <w:t xml:space="preserve"> per cent</w:t>
      </w:r>
      <w:r w:rsidRPr="000C27AA">
        <w:rPr>
          <w:lang w:val="en-CA"/>
        </w:rPr>
        <w:t>.</w:t>
      </w:r>
      <w:r w:rsidRPr="000C27AA">
        <w:rPr>
          <w:vertAlign w:val="superscript"/>
          <w:lang w:val="en-CA"/>
        </w:rPr>
        <w:endnoteReference w:id="27"/>
      </w:r>
    </w:p>
    <w:p w14:paraId="65E68AC9" w14:textId="77777777" w:rsidR="00FC7374" w:rsidRPr="00CE78A8" w:rsidRDefault="00FC7374" w:rsidP="00FC7374">
      <w:pPr>
        <w:pStyle w:val="BodyTextMain"/>
        <w:rPr>
          <w:lang w:val="en-CA"/>
        </w:rPr>
      </w:pPr>
    </w:p>
    <w:p w14:paraId="5867214D" w14:textId="7362BE72" w:rsidR="00FC7374" w:rsidRPr="000C27AA" w:rsidRDefault="00FC7374" w:rsidP="00FC7374">
      <w:pPr>
        <w:pStyle w:val="BodyTextMain"/>
        <w:rPr>
          <w:spacing w:val="-4"/>
          <w:kern w:val="22"/>
          <w:lang w:val="en-CA"/>
        </w:rPr>
      </w:pPr>
      <w:r w:rsidRPr="000C27AA">
        <w:rPr>
          <w:spacing w:val="-4"/>
          <w:kern w:val="22"/>
          <w:lang w:val="en-CA"/>
        </w:rPr>
        <w:t xml:space="preserve">With the </w:t>
      </w:r>
      <w:r w:rsidR="000862B0" w:rsidRPr="000C27AA">
        <w:rPr>
          <w:spacing w:val="-4"/>
          <w:kern w:val="22"/>
          <w:lang w:val="en-CA"/>
        </w:rPr>
        <w:t xml:space="preserve">outbreak of the </w:t>
      </w:r>
      <w:r w:rsidRPr="000C27AA">
        <w:rPr>
          <w:spacing w:val="-4"/>
          <w:kern w:val="22"/>
          <w:lang w:val="en-CA"/>
        </w:rPr>
        <w:t>C</w:t>
      </w:r>
      <w:r w:rsidR="000862B0" w:rsidRPr="000C27AA">
        <w:rPr>
          <w:spacing w:val="-4"/>
          <w:kern w:val="22"/>
          <w:lang w:val="en-CA"/>
        </w:rPr>
        <w:t>OVID</w:t>
      </w:r>
      <w:r w:rsidRPr="000C27AA">
        <w:rPr>
          <w:spacing w:val="-4"/>
          <w:kern w:val="22"/>
          <w:lang w:val="en-CA"/>
        </w:rPr>
        <w:t>-19 pandemic, the advantages o</w:t>
      </w:r>
      <w:r w:rsidR="000862B0" w:rsidRPr="000C27AA">
        <w:rPr>
          <w:spacing w:val="-4"/>
          <w:kern w:val="22"/>
          <w:lang w:val="en-CA"/>
        </w:rPr>
        <w:t>f</w:t>
      </w:r>
      <w:r w:rsidRPr="000C27AA">
        <w:rPr>
          <w:spacing w:val="-4"/>
          <w:kern w:val="22"/>
          <w:lang w:val="en-CA"/>
        </w:rPr>
        <w:t xml:space="preserve"> LHFs </w:t>
      </w:r>
      <w:r w:rsidR="000862B0" w:rsidRPr="000C27AA">
        <w:rPr>
          <w:spacing w:val="-4"/>
          <w:kern w:val="22"/>
          <w:lang w:val="en-CA"/>
        </w:rPr>
        <w:t>became increasingly evident for two reasons</w:t>
      </w:r>
      <w:r w:rsidRPr="000C27AA">
        <w:rPr>
          <w:spacing w:val="-4"/>
          <w:kern w:val="22"/>
          <w:lang w:val="en-CA"/>
        </w:rPr>
        <w:t>. First, unlike with the hub</w:t>
      </w:r>
      <w:r w:rsidR="000862B0" w:rsidRPr="000C27AA">
        <w:rPr>
          <w:spacing w:val="-4"/>
          <w:kern w:val="22"/>
          <w:lang w:val="en-CA"/>
        </w:rPr>
        <w:t>-</w:t>
      </w:r>
      <w:r w:rsidRPr="000C27AA">
        <w:rPr>
          <w:spacing w:val="-4"/>
          <w:kern w:val="22"/>
          <w:lang w:val="en-CA"/>
        </w:rPr>
        <w:t>and</w:t>
      </w:r>
      <w:r w:rsidR="000862B0" w:rsidRPr="000C27AA">
        <w:rPr>
          <w:spacing w:val="-4"/>
          <w:kern w:val="22"/>
          <w:lang w:val="en-CA"/>
        </w:rPr>
        <w:t>-</w:t>
      </w:r>
      <w:r w:rsidRPr="000C27AA">
        <w:rPr>
          <w:spacing w:val="-4"/>
          <w:kern w:val="22"/>
          <w:lang w:val="en-CA"/>
        </w:rPr>
        <w:t>spoke system, point-to-point networks</w:t>
      </w:r>
      <w:r w:rsidR="000862B0" w:rsidRPr="000C27AA">
        <w:rPr>
          <w:spacing w:val="-4"/>
          <w:kern w:val="22"/>
          <w:lang w:val="en-CA"/>
        </w:rPr>
        <w:t xml:space="preserve"> allowed</w:t>
      </w:r>
      <w:r w:rsidRPr="000C27AA">
        <w:rPr>
          <w:spacing w:val="-4"/>
          <w:kern w:val="22"/>
          <w:lang w:val="en-CA"/>
        </w:rPr>
        <w:t xml:space="preserve"> airlines </w:t>
      </w:r>
      <w:r w:rsidR="000862B0" w:rsidRPr="000C27AA">
        <w:rPr>
          <w:spacing w:val="-4"/>
          <w:kern w:val="22"/>
          <w:lang w:val="en-CA"/>
        </w:rPr>
        <w:t>the choice of</w:t>
      </w:r>
      <w:r w:rsidRPr="000C27AA">
        <w:rPr>
          <w:spacing w:val="-4"/>
          <w:kern w:val="22"/>
          <w:lang w:val="en-CA"/>
        </w:rPr>
        <w:t xml:space="preserve"> fly</w:t>
      </w:r>
      <w:r w:rsidR="000862B0" w:rsidRPr="000C27AA">
        <w:rPr>
          <w:spacing w:val="-4"/>
          <w:kern w:val="22"/>
          <w:lang w:val="en-CA"/>
        </w:rPr>
        <w:t>ing</w:t>
      </w:r>
      <w:r w:rsidRPr="000C27AA">
        <w:rPr>
          <w:spacing w:val="-4"/>
          <w:kern w:val="22"/>
          <w:lang w:val="en-CA"/>
        </w:rPr>
        <w:t xml:space="preserve"> only the most economically viable routes</w:t>
      </w:r>
      <w:r w:rsidR="000862B0" w:rsidRPr="000C27AA">
        <w:rPr>
          <w:spacing w:val="-4"/>
          <w:kern w:val="22"/>
          <w:lang w:val="en-CA"/>
        </w:rPr>
        <w:t>, without</w:t>
      </w:r>
      <w:r w:rsidRPr="000C27AA">
        <w:rPr>
          <w:spacing w:val="-4"/>
          <w:kern w:val="22"/>
          <w:lang w:val="en-CA"/>
        </w:rPr>
        <w:t xml:space="preserve"> health and safety concerns </w:t>
      </w:r>
      <w:r w:rsidR="000862B0" w:rsidRPr="000C27AA">
        <w:rPr>
          <w:spacing w:val="-4"/>
          <w:kern w:val="22"/>
          <w:lang w:val="en-CA"/>
        </w:rPr>
        <w:t>from</w:t>
      </w:r>
      <w:r w:rsidRPr="000C27AA">
        <w:rPr>
          <w:spacing w:val="-4"/>
          <w:kern w:val="22"/>
          <w:lang w:val="en-CA"/>
        </w:rPr>
        <w:t xml:space="preserve"> layovers</w:t>
      </w:r>
      <w:r w:rsidR="000862B0" w:rsidRPr="000C27AA">
        <w:rPr>
          <w:spacing w:val="-4"/>
          <w:kern w:val="22"/>
          <w:lang w:val="en-CA"/>
        </w:rPr>
        <w:t xml:space="preserve">. This had been the strategy of </w:t>
      </w:r>
      <w:r w:rsidRPr="000C27AA">
        <w:rPr>
          <w:spacing w:val="-4"/>
          <w:kern w:val="22"/>
          <w:lang w:val="en-CA"/>
        </w:rPr>
        <w:t xml:space="preserve">low-cost airlines </w:t>
      </w:r>
      <w:r w:rsidR="000862B0" w:rsidRPr="000C27AA">
        <w:rPr>
          <w:spacing w:val="-4"/>
          <w:kern w:val="22"/>
          <w:lang w:val="en-CA"/>
        </w:rPr>
        <w:t>such as</w:t>
      </w:r>
      <w:r w:rsidRPr="000C27AA">
        <w:rPr>
          <w:spacing w:val="-4"/>
          <w:kern w:val="22"/>
          <w:lang w:val="en-CA"/>
        </w:rPr>
        <w:t xml:space="preserve"> Southwest </w:t>
      </w:r>
      <w:r w:rsidR="000862B0" w:rsidRPr="000C27AA">
        <w:rPr>
          <w:spacing w:val="-4"/>
          <w:kern w:val="22"/>
          <w:lang w:val="en-CA"/>
        </w:rPr>
        <w:t>Airlines Co</w:t>
      </w:r>
      <w:r w:rsidRPr="000C27AA">
        <w:rPr>
          <w:spacing w:val="-4"/>
          <w:kern w:val="22"/>
          <w:lang w:val="en-CA"/>
        </w:rPr>
        <w:t xml:space="preserve"> in domestic markets. </w:t>
      </w:r>
      <w:r w:rsidR="000862B0" w:rsidRPr="000C27AA">
        <w:rPr>
          <w:spacing w:val="-4"/>
          <w:kern w:val="22"/>
          <w:lang w:val="en-CA"/>
        </w:rPr>
        <w:t>I</w:t>
      </w:r>
      <w:r w:rsidRPr="000C27AA">
        <w:rPr>
          <w:spacing w:val="-4"/>
          <w:kern w:val="22"/>
          <w:lang w:val="en-CA"/>
        </w:rPr>
        <w:t xml:space="preserve">nternationally, </w:t>
      </w:r>
      <w:r w:rsidR="000862B0" w:rsidRPr="000C27AA">
        <w:rPr>
          <w:spacing w:val="-4"/>
          <w:kern w:val="22"/>
          <w:lang w:val="en-CA"/>
        </w:rPr>
        <w:t xml:space="preserve">however, </w:t>
      </w:r>
      <w:r w:rsidRPr="000C27AA">
        <w:rPr>
          <w:spacing w:val="-4"/>
          <w:kern w:val="22"/>
          <w:lang w:val="en-CA"/>
        </w:rPr>
        <w:t xml:space="preserve">a trip to the other side of the globe required a stop </w:t>
      </w:r>
      <w:r w:rsidR="000862B0" w:rsidRPr="000C27AA">
        <w:rPr>
          <w:spacing w:val="-4"/>
          <w:kern w:val="22"/>
          <w:lang w:val="en-CA"/>
        </w:rPr>
        <w:t>to</w:t>
      </w:r>
      <w:r w:rsidRPr="000C27AA">
        <w:rPr>
          <w:spacing w:val="-4"/>
          <w:kern w:val="22"/>
          <w:lang w:val="en-CA"/>
        </w:rPr>
        <w:t xml:space="preserve"> refuel. </w:t>
      </w:r>
      <w:r w:rsidR="000862B0" w:rsidRPr="000C27AA">
        <w:rPr>
          <w:spacing w:val="-4"/>
          <w:kern w:val="22"/>
          <w:lang w:val="en-CA"/>
        </w:rPr>
        <w:t>I</w:t>
      </w:r>
      <w:r w:rsidRPr="000C27AA">
        <w:rPr>
          <w:spacing w:val="-4"/>
          <w:kern w:val="22"/>
          <w:lang w:val="en-CA"/>
        </w:rPr>
        <w:t>ntermediate stop</w:t>
      </w:r>
      <w:r w:rsidR="000862B0" w:rsidRPr="000C27AA">
        <w:rPr>
          <w:spacing w:val="-4"/>
          <w:kern w:val="22"/>
          <w:lang w:val="en-CA"/>
        </w:rPr>
        <w:t>s</w:t>
      </w:r>
      <w:r w:rsidRPr="000C27AA">
        <w:rPr>
          <w:spacing w:val="-4"/>
          <w:kern w:val="22"/>
          <w:lang w:val="en-CA"/>
        </w:rPr>
        <w:t xml:space="preserve"> w</w:t>
      </w:r>
      <w:r w:rsidR="000862B0" w:rsidRPr="000C27AA">
        <w:rPr>
          <w:spacing w:val="-4"/>
          <w:kern w:val="22"/>
          <w:lang w:val="en-CA"/>
        </w:rPr>
        <w:t>ere</w:t>
      </w:r>
      <w:r w:rsidRPr="000C27AA">
        <w:rPr>
          <w:spacing w:val="-4"/>
          <w:kern w:val="22"/>
          <w:lang w:val="en-CA"/>
        </w:rPr>
        <w:t xml:space="preserve"> also hub</w:t>
      </w:r>
      <w:r w:rsidR="000862B0" w:rsidRPr="000C27AA">
        <w:rPr>
          <w:spacing w:val="-4"/>
          <w:kern w:val="22"/>
          <w:lang w:val="en-CA"/>
        </w:rPr>
        <w:t>s</w:t>
      </w:r>
      <w:r w:rsidRPr="000C27AA">
        <w:rPr>
          <w:spacing w:val="-4"/>
          <w:kern w:val="22"/>
          <w:lang w:val="en-CA"/>
        </w:rPr>
        <w:t>, and flight</w:t>
      </w:r>
      <w:r w:rsidR="000862B0" w:rsidRPr="000C27AA">
        <w:rPr>
          <w:spacing w:val="-4"/>
          <w:kern w:val="22"/>
          <w:lang w:val="en-CA"/>
        </w:rPr>
        <w:t>s</w:t>
      </w:r>
      <w:r w:rsidRPr="000C27AA">
        <w:rPr>
          <w:spacing w:val="-4"/>
          <w:kern w:val="22"/>
          <w:lang w:val="en-CA"/>
        </w:rPr>
        <w:t xml:space="preserve"> could connect with other incoming flights</w:t>
      </w:r>
      <w:r w:rsidR="000862B0" w:rsidRPr="000C27AA">
        <w:rPr>
          <w:spacing w:val="-4"/>
          <w:kern w:val="22"/>
          <w:lang w:val="en-CA"/>
        </w:rPr>
        <w:t xml:space="preserve"> at those hubs</w:t>
      </w:r>
      <w:r w:rsidRPr="000C27AA">
        <w:rPr>
          <w:spacing w:val="-4"/>
          <w:kern w:val="22"/>
          <w:lang w:val="en-CA"/>
        </w:rPr>
        <w:t xml:space="preserve">. Second, by the late 2010s, new planes were being developed for non-stop ultra LHFs. </w:t>
      </w:r>
      <w:r w:rsidR="00D6598A" w:rsidRPr="000C27AA">
        <w:rPr>
          <w:spacing w:val="-4"/>
          <w:kern w:val="22"/>
          <w:lang w:val="en-CA"/>
        </w:rPr>
        <w:t>For example, t</w:t>
      </w:r>
      <w:r w:rsidRPr="000C27AA">
        <w:rPr>
          <w:spacing w:val="-4"/>
          <w:kern w:val="22"/>
          <w:lang w:val="en-CA"/>
        </w:rPr>
        <w:t>he Boeing 787-9</w:t>
      </w:r>
      <w:r w:rsidRPr="000C27AA">
        <w:rPr>
          <w:rStyle w:val="EndnoteReference"/>
          <w:spacing w:val="-4"/>
          <w:kern w:val="22"/>
          <w:lang w:val="en-CA"/>
        </w:rPr>
        <w:endnoteReference w:id="28"/>
      </w:r>
      <w:r w:rsidRPr="000C27AA">
        <w:rPr>
          <w:spacing w:val="-4"/>
          <w:kern w:val="22"/>
          <w:lang w:val="en-CA"/>
        </w:rPr>
        <w:t xml:space="preserve"> and </w:t>
      </w:r>
      <w:r w:rsidR="00D6598A" w:rsidRPr="000C27AA">
        <w:rPr>
          <w:spacing w:val="-4"/>
          <w:kern w:val="22"/>
          <w:lang w:val="en-CA"/>
        </w:rPr>
        <w:t xml:space="preserve">the </w:t>
      </w:r>
      <w:r w:rsidRPr="000C27AA">
        <w:rPr>
          <w:spacing w:val="-4"/>
          <w:kern w:val="22"/>
          <w:lang w:val="en-CA"/>
        </w:rPr>
        <w:t>Airbus A350</w:t>
      </w:r>
      <w:r w:rsidR="00D6598A" w:rsidRPr="000C27AA">
        <w:rPr>
          <w:spacing w:val="-4"/>
          <w:kern w:val="22"/>
          <w:lang w:val="en-CA"/>
        </w:rPr>
        <w:t>-900</w:t>
      </w:r>
      <w:r w:rsidRPr="000C27AA">
        <w:rPr>
          <w:rStyle w:val="EndnoteReference"/>
          <w:spacing w:val="-4"/>
          <w:kern w:val="22"/>
          <w:lang w:val="en-CA"/>
        </w:rPr>
        <w:endnoteReference w:id="29"/>
      </w:r>
      <w:r w:rsidRPr="000C27AA">
        <w:rPr>
          <w:spacing w:val="-4"/>
          <w:kern w:val="22"/>
          <w:lang w:val="en-CA"/>
        </w:rPr>
        <w:t xml:space="preserve"> aircraft were particularly fuel</w:t>
      </w:r>
      <w:r w:rsidR="00D6598A" w:rsidRPr="000C27AA">
        <w:rPr>
          <w:spacing w:val="-4"/>
          <w:kern w:val="22"/>
          <w:lang w:val="en-CA"/>
        </w:rPr>
        <w:t xml:space="preserve"> </w:t>
      </w:r>
      <w:r w:rsidRPr="000C27AA">
        <w:rPr>
          <w:spacing w:val="-4"/>
          <w:kern w:val="22"/>
          <w:lang w:val="en-CA"/>
        </w:rPr>
        <w:t>efficient</w:t>
      </w:r>
      <w:r w:rsidR="00D6598A" w:rsidRPr="000C27AA">
        <w:rPr>
          <w:spacing w:val="-4"/>
          <w:kern w:val="22"/>
          <w:lang w:val="en-CA"/>
        </w:rPr>
        <w:t>,</w:t>
      </w:r>
      <w:r w:rsidRPr="000C27AA">
        <w:rPr>
          <w:spacing w:val="-4"/>
          <w:kern w:val="22"/>
          <w:lang w:val="en-CA"/>
        </w:rPr>
        <w:t xml:space="preserve"> and </w:t>
      </w:r>
      <w:r w:rsidR="00D6598A" w:rsidRPr="000C27AA">
        <w:rPr>
          <w:spacing w:val="-4"/>
          <w:kern w:val="22"/>
          <w:lang w:val="en-CA"/>
        </w:rPr>
        <w:t xml:space="preserve">therefore </w:t>
      </w:r>
      <w:r w:rsidRPr="000C27AA">
        <w:rPr>
          <w:spacing w:val="-4"/>
          <w:kern w:val="22"/>
          <w:lang w:val="en-CA"/>
        </w:rPr>
        <w:t>made LHFs more commercially viable than ever before.</w:t>
      </w:r>
    </w:p>
    <w:p w14:paraId="0775707A" w14:textId="77777777" w:rsidR="00FC7374" w:rsidRPr="00CE78A8" w:rsidRDefault="00FC7374" w:rsidP="00FC7374">
      <w:pPr>
        <w:pStyle w:val="BodyTextMain"/>
        <w:rPr>
          <w:lang w:val="en-CA"/>
        </w:rPr>
      </w:pPr>
    </w:p>
    <w:p w14:paraId="2C239356" w14:textId="081E1B11" w:rsidR="00FC7374" w:rsidRPr="000C27AA" w:rsidRDefault="00D6598A" w:rsidP="00FC7374">
      <w:pPr>
        <w:pStyle w:val="BodyTextMain"/>
        <w:rPr>
          <w:spacing w:val="-2"/>
          <w:kern w:val="22"/>
          <w:lang w:val="en-CA"/>
        </w:rPr>
      </w:pPr>
      <w:r w:rsidRPr="000C27AA">
        <w:rPr>
          <w:spacing w:val="-2"/>
          <w:kern w:val="22"/>
          <w:lang w:val="en-CA"/>
        </w:rPr>
        <w:t>However, d</w:t>
      </w:r>
      <w:r w:rsidR="00FC7374" w:rsidRPr="000C27AA">
        <w:rPr>
          <w:spacing w:val="-2"/>
          <w:kern w:val="22"/>
          <w:lang w:val="en-CA"/>
        </w:rPr>
        <w:t xml:space="preserve">espite these advantages, LHFs </w:t>
      </w:r>
      <w:r w:rsidRPr="000C27AA">
        <w:rPr>
          <w:spacing w:val="-2"/>
          <w:kern w:val="22"/>
          <w:lang w:val="en-CA"/>
        </w:rPr>
        <w:t>still</w:t>
      </w:r>
      <w:r w:rsidR="00FC7374" w:rsidRPr="000C27AA">
        <w:rPr>
          <w:spacing w:val="-2"/>
          <w:kern w:val="22"/>
          <w:lang w:val="en-CA"/>
        </w:rPr>
        <w:t xml:space="preserve"> had two major limitations. First, due to the long-distance nature of the</w:t>
      </w:r>
      <w:r w:rsidRPr="000C27AA">
        <w:rPr>
          <w:spacing w:val="-2"/>
          <w:kern w:val="22"/>
          <w:lang w:val="en-CA"/>
        </w:rPr>
        <w:t>ir</w:t>
      </w:r>
      <w:r w:rsidR="00FC7374" w:rsidRPr="000C27AA">
        <w:rPr>
          <w:spacing w:val="-2"/>
          <w:kern w:val="22"/>
          <w:lang w:val="en-CA"/>
        </w:rPr>
        <w:t xml:space="preserve"> routes, the profitability for airlines was even more vulnerable to </w:t>
      </w:r>
      <w:r w:rsidRPr="000C27AA">
        <w:rPr>
          <w:spacing w:val="-2"/>
          <w:kern w:val="22"/>
          <w:lang w:val="en-CA"/>
        </w:rPr>
        <w:t>extreme</w:t>
      </w:r>
      <w:r w:rsidR="00FC7374" w:rsidRPr="000C27AA">
        <w:rPr>
          <w:spacing w:val="-2"/>
          <w:kern w:val="22"/>
          <w:lang w:val="en-CA"/>
        </w:rPr>
        <w:t xml:space="preserve"> fuel prices</w:t>
      </w:r>
      <w:r w:rsidRPr="000C27AA">
        <w:rPr>
          <w:spacing w:val="-2"/>
          <w:kern w:val="22"/>
          <w:lang w:val="en-CA"/>
        </w:rPr>
        <w:t xml:space="preserve"> fluctuations</w:t>
      </w:r>
      <w:r w:rsidR="00FC7374" w:rsidRPr="000C27AA">
        <w:rPr>
          <w:spacing w:val="-2"/>
          <w:kern w:val="22"/>
          <w:lang w:val="en-CA"/>
        </w:rPr>
        <w:t xml:space="preserve">. Second, fatigue posed a serious health threat to passengers, </w:t>
      </w:r>
      <w:r w:rsidRPr="000C27AA">
        <w:rPr>
          <w:spacing w:val="-2"/>
          <w:kern w:val="22"/>
          <w:lang w:val="en-CA"/>
        </w:rPr>
        <w:t xml:space="preserve">flight </w:t>
      </w:r>
      <w:r w:rsidR="00FC7374" w:rsidRPr="000C27AA">
        <w:rPr>
          <w:spacing w:val="-2"/>
          <w:kern w:val="22"/>
          <w:lang w:val="en-CA"/>
        </w:rPr>
        <w:t>crew</w:t>
      </w:r>
      <w:r w:rsidRPr="000C27AA">
        <w:rPr>
          <w:spacing w:val="-2"/>
          <w:kern w:val="22"/>
          <w:lang w:val="en-CA"/>
        </w:rPr>
        <w:t>s</w:t>
      </w:r>
      <w:r w:rsidR="00FC7374" w:rsidRPr="000C27AA">
        <w:rPr>
          <w:spacing w:val="-2"/>
          <w:kern w:val="22"/>
          <w:lang w:val="en-CA"/>
        </w:rPr>
        <w:t xml:space="preserve">, and pilots </w:t>
      </w:r>
      <w:r w:rsidRPr="000C27AA">
        <w:rPr>
          <w:spacing w:val="-2"/>
          <w:kern w:val="22"/>
          <w:lang w:val="en-CA"/>
        </w:rPr>
        <w:t>on</w:t>
      </w:r>
      <w:r w:rsidR="00FC7374" w:rsidRPr="000C27AA">
        <w:rPr>
          <w:spacing w:val="-2"/>
          <w:kern w:val="22"/>
          <w:lang w:val="en-CA"/>
        </w:rPr>
        <w:t xml:space="preserve"> these routes. </w:t>
      </w:r>
    </w:p>
    <w:p w14:paraId="6FDA88C1" w14:textId="6C14AC08" w:rsidR="00FC7374" w:rsidRPr="00CE78A8" w:rsidRDefault="00FC7374" w:rsidP="00FC7374">
      <w:pPr>
        <w:pStyle w:val="BodyTextMain"/>
        <w:rPr>
          <w:lang w:val="en-CA"/>
        </w:rPr>
      </w:pPr>
    </w:p>
    <w:p w14:paraId="7018AB49" w14:textId="77777777" w:rsidR="00FC7374" w:rsidRPr="00CE78A8" w:rsidRDefault="00FC7374" w:rsidP="00FC7374">
      <w:pPr>
        <w:pStyle w:val="BodyTextMain"/>
        <w:rPr>
          <w:lang w:val="en-CA"/>
        </w:rPr>
      </w:pPr>
    </w:p>
    <w:p w14:paraId="6BD81A0A" w14:textId="77777777" w:rsidR="00FC7374" w:rsidRPr="000C27AA" w:rsidRDefault="00FC7374" w:rsidP="00CE78A8">
      <w:pPr>
        <w:pStyle w:val="Casehead1"/>
        <w:keepNext/>
        <w:rPr>
          <w:lang w:val="en-CA"/>
        </w:rPr>
      </w:pPr>
      <w:r w:rsidRPr="000C27AA">
        <w:rPr>
          <w:lang w:val="en-CA"/>
        </w:rPr>
        <w:lastRenderedPageBreak/>
        <w:t>Challenges Ahead</w:t>
      </w:r>
    </w:p>
    <w:p w14:paraId="5C6BDCA1" w14:textId="7027E170" w:rsidR="00FC7374" w:rsidRPr="00CE78A8" w:rsidRDefault="00FC7374" w:rsidP="00CE78A8">
      <w:pPr>
        <w:pStyle w:val="BodyTextMain"/>
        <w:keepNext/>
        <w:rPr>
          <w:i/>
          <w:lang w:val="en-CA"/>
        </w:rPr>
      </w:pPr>
    </w:p>
    <w:p w14:paraId="30FBF504" w14:textId="1ACC1E55" w:rsidR="00FC7374" w:rsidRPr="000C27AA" w:rsidRDefault="00FC7374" w:rsidP="00CE78A8">
      <w:pPr>
        <w:pStyle w:val="BodyTextMain"/>
        <w:keepNext/>
        <w:rPr>
          <w:lang w:val="en-CA"/>
        </w:rPr>
      </w:pPr>
      <w:r w:rsidRPr="000C27AA">
        <w:rPr>
          <w:lang w:val="en-CA"/>
        </w:rPr>
        <w:t>By 2020, the global airline industry was at a pivotal point in its history. The rise of powerful airline constellations created a dominant hub</w:t>
      </w:r>
      <w:r w:rsidR="00D6598A" w:rsidRPr="000C27AA">
        <w:rPr>
          <w:lang w:val="en-CA"/>
        </w:rPr>
        <w:t>-</w:t>
      </w:r>
      <w:r w:rsidRPr="000C27AA">
        <w:rPr>
          <w:lang w:val="en-CA"/>
        </w:rPr>
        <w:t>and</w:t>
      </w:r>
      <w:r w:rsidR="00D6598A" w:rsidRPr="000C27AA">
        <w:rPr>
          <w:lang w:val="en-CA"/>
        </w:rPr>
        <w:t>-</w:t>
      </w:r>
      <w:r w:rsidRPr="000C27AA">
        <w:rPr>
          <w:lang w:val="en-CA"/>
        </w:rPr>
        <w:t xml:space="preserve">spoke system </w:t>
      </w:r>
      <w:r w:rsidR="00D6598A" w:rsidRPr="000C27AA">
        <w:rPr>
          <w:lang w:val="en-CA"/>
        </w:rPr>
        <w:t>that</w:t>
      </w:r>
      <w:r w:rsidRPr="000C27AA">
        <w:rPr>
          <w:lang w:val="en-CA"/>
        </w:rPr>
        <w:t xml:space="preserve"> connected member airlines across the world. However, as the world was hit by the novel C</w:t>
      </w:r>
      <w:r w:rsidR="00D6598A" w:rsidRPr="000C27AA">
        <w:rPr>
          <w:lang w:val="en-CA"/>
        </w:rPr>
        <w:t>OVID</w:t>
      </w:r>
      <w:r w:rsidRPr="000C27AA">
        <w:rPr>
          <w:lang w:val="en-CA"/>
        </w:rPr>
        <w:t>-19 virus, these very connections were being threatened</w:t>
      </w:r>
      <w:r w:rsidR="00D6598A" w:rsidRPr="000C27AA">
        <w:rPr>
          <w:lang w:val="en-CA"/>
        </w:rPr>
        <w:t xml:space="preserve"> and</w:t>
      </w:r>
      <w:r w:rsidRPr="000C27AA">
        <w:rPr>
          <w:lang w:val="en-CA"/>
        </w:rPr>
        <w:t xml:space="preserve"> the industry was once again forced to adapt. Would the airline business return to normal after a few years? Would</w:t>
      </w:r>
      <w:r w:rsidR="007F7A9F" w:rsidRPr="000C27AA">
        <w:rPr>
          <w:lang w:val="en-CA"/>
        </w:rPr>
        <w:t xml:space="preserve"> LHFs</w:t>
      </w:r>
      <w:r w:rsidRPr="000C27AA">
        <w:rPr>
          <w:lang w:val="en-CA"/>
        </w:rPr>
        <w:t xml:space="preserve"> replace the hub</w:t>
      </w:r>
      <w:r w:rsidR="00D6598A" w:rsidRPr="000C27AA">
        <w:rPr>
          <w:lang w:val="en-CA"/>
        </w:rPr>
        <w:t>-</w:t>
      </w:r>
      <w:r w:rsidRPr="000C27AA">
        <w:rPr>
          <w:lang w:val="en-CA"/>
        </w:rPr>
        <w:t>and</w:t>
      </w:r>
      <w:r w:rsidR="00D6598A" w:rsidRPr="000C27AA">
        <w:rPr>
          <w:lang w:val="en-CA"/>
        </w:rPr>
        <w:t>-</w:t>
      </w:r>
      <w:r w:rsidRPr="000C27AA">
        <w:rPr>
          <w:lang w:val="en-CA"/>
        </w:rPr>
        <w:t xml:space="preserve">spoke system? How large would the business travel segment be in the future? Would industry consolidation continue to take place or would national governments take back more control over their domestic airline carriers? </w:t>
      </w:r>
    </w:p>
    <w:p w14:paraId="4CF35CD7" w14:textId="77777777" w:rsidR="00FC7374" w:rsidRPr="00CE78A8" w:rsidRDefault="00FC7374" w:rsidP="00FC7374">
      <w:pPr>
        <w:pStyle w:val="BodyTextMain"/>
        <w:rPr>
          <w:lang w:val="en-CA"/>
        </w:rPr>
      </w:pPr>
    </w:p>
    <w:p w14:paraId="1C4A4D67" w14:textId="2AB82853" w:rsidR="00CE78A8" w:rsidRDefault="00FC7374" w:rsidP="000C27AA">
      <w:pPr>
        <w:pStyle w:val="BodyTextMain"/>
        <w:rPr>
          <w:lang w:val="en-CA"/>
        </w:rPr>
      </w:pPr>
      <w:r w:rsidRPr="000C27AA">
        <w:rPr>
          <w:lang w:val="en-CA"/>
        </w:rPr>
        <w:t>Many of these questions were heightened by the C</w:t>
      </w:r>
      <w:r w:rsidR="00D6598A" w:rsidRPr="000C27AA">
        <w:rPr>
          <w:lang w:val="en-CA"/>
        </w:rPr>
        <w:t>OVID</w:t>
      </w:r>
      <w:r w:rsidRPr="000C27AA">
        <w:rPr>
          <w:lang w:val="en-CA"/>
        </w:rPr>
        <w:t xml:space="preserve">-19 pandemic, which </w:t>
      </w:r>
      <w:r w:rsidR="00D6598A" w:rsidRPr="000C27AA">
        <w:rPr>
          <w:lang w:val="en-CA"/>
        </w:rPr>
        <w:t xml:space="preserve">was expected to </w:t>
      </w:r>
      <w:r w:rsidRPr="000C27AA">
        <w:rPr>
          <w:lang w:val="en-CA"/>
        </w:rPr>
        <w:t>decrease revenue by 50</w:t>
      </w:r>
      <w:r w:rsidR="00D6598A" w:rsidRPr="000C27AA">
        <w:rPr>
          <w:lang w:val="en-CA"/>
        </w:rPr>
        <w:t xml:space="preserve"> per cent</w:t>
      </w:r>
      <w:r w:rsidRPr="000C27AA">
        <w:rPr>
          <w:lang w:val="en-CA"/>
        </w:rPr>
        <w:t xml:space="preserve"> and net profit</w:t>
      </w:r>
      <w:r w:rsidR="00D6598A" w:rsidRPr="000C27AA">
        <w:rPr>
          <w:lang w:val="en-CA"/>
        </w:rPr>
        <w:t>s</w:t>
      </w:r>
      <w:r w:rsidRPr="000C27AA">
        <w:rPr>
          <w:lang w:val="en-CA"/>
        </w:rPr>
        <w:t xml:space="preserve"> by $84 billion in 2020 (</w:t>
      </w:r>
      <w:r w:rsidR="00D6598A" w:rsidRPr="000C27AA">
        <w:rPr>
          <w:lang w:val="en-CA"/>
        </w:rPr>
        <w:t xml:space="preserve">see </w:t>
      </w:r>
      <w:r w:rsidRPr="000C27AA">
        <w:rPr>
          <w:lang w:val="en-CA"/>
        </w:rPr>
        <w:t>Exhibit 7). By the end of 2020, the airline industry was in a critical juncture in its short history. An industry once dominated by heavy regulation and complex global constellations was now scrambling to readjust to rapidly changing consumer demand.</w:t>
      </w:r>
    </w:p>
    <w:p w14:paraId="75EFB571" w14:textId="0810A039" w:rsidR="00CE78A8" w:rsidRDefault="00CE78A8" w:rsidP="000C27AA">
      <w:pPr>
        <w:pStyle w:val="BodyTextMain"/>
        <w:rPr>
          <w:lang w:val="en-CA"/>
        </w:rPr>
      </w:pPr>
    </w:p>
    <w:p w14:paraId="00DF5B0A" w14:textId="77777777" w:rsidR="00CE78A8" w:rsidRDefault="00CE78A8" w:rsidP="000C27AA">
      <w:pPr>
        <w:pStyle w:val="BodyTextMain"/>
        <w:rPr>
          <w:lang w:val="en-CA"/>
        </w:rPr>
      </w:pPr>
    </w:p>
    <w:p w14:paraId="2563B4B6" w14:textId="66BBF3CE" w:rsidR="00CE78A8" w:rsidRDefault="00CE78A8" w:rsidP="000C27AA">
      <w:pPr>
        <w:pStyle w:val="BodyTextMain"/>
        <w:rPr>
          <w:lang w:val="en-CA"/>
        </w:rPr>
      </w:pPr>
      <w:r w:rsidRPr="00FA578A">
        <w:rPr>
          <w:noProof/>
          <w:lang w:val="en-CA"/>
        </w:rPr>
        <mc:AlternateContent>
          <mc:Choice Requires="wps">
            <w:drawing>
              <wp:inline distT="0" distB="0" distL="0" distR="0" wp14:anchorId="538521FE" wp14:editId="35FA1632">
                <wp:extent cx="5943600" cy="231569"/>
                <wp:effectExtent l="0" t="0" r="19050"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1569"/>
                        </a:xfrm>
                        <a:prstGeom prst="rect">
                          <a:avLst/>
                        </a:prstGeom>
                        <a:solidFill>
                          <a:srgbClr val="FFFFFF"/>
                        </a:solidFill>
                        <a:ln w="9525">
                          <a:solidFill>
                            <a:srgbClr val="000000"/>
                          </a:solidFill>
                          <a:miter lim="800000"/>
                          <a:headEnd/>
                          <a:tailEnd/>
                        </a:ln>
                      </wps:spPr>
                      <wps:txbx>
                        <w:txbxContent>
                          <w:p w14:paraId="2CD0CA9D" w14:textId="77777777" w:rsidR="00F472EE" w:rsidRDefault="00F472EE" w:rsidP="00CE78A8">
                            <w:pPr>
                              <w:pStyle w:val="Footnote"/>
                              <w:jc w:val="center"/>
                            </w:pPr>
                            <w:r>
                              <w:t>Benjamin Gomes-Casseres is the Peter A. Petri Professor of Business and Society at Brandeis University.</w:t>
                            </w:r>
                          </w:p>
                        </w:txbxContent>
                      </wps:txbx>
                      <wps:bodyPr rot="0" vert="horz" wrap="square" lIns="91440" tIns="45720" rIns="91440" bIns="45720" anchor="t" anchorCtr="0">
                        <a:noAutofit/>
                      </wps:bodyPr>
                    </wps:wsp>
                  </a:graphicData>
                </a:graphic>
              </wp:inline>
            </w:drawing>
          </mc:Choice>
          <mc:Fallback>
            <w:pict>
              <v:shapetype w14:anchorId="538521FE" id="_x0000_t202" coordsize="21600,21600" o:spt="202" path="m,l,21600r21600,l21600,xe">
                <v:stroke joinstyle="miter"/>
                <v:path gradientshapeok="t" o:connecttype="rect"/>
              </v:shapetype>
              <v:shape id="Text Box 2" o:spid="_x0000_s1026" type="#_x0000_t202" style="width:468pt;height: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">
                <v:textbox>
                  <w:txbxContent>
                    <w:p w14:paraId="2CD0CA9D" w14:textId="77777777" w:rsidR="00F472EE" w:rsidRDefault="00F472EE" w:rsidP="00CE78A8">
                      <w:pPr>
                        <w:pStyle w:val="Footnote"/>
                        <w:jc w:val="center"/>
                      </w:pPr>
                      <w:r>
                        <w:t>Benjamin Gomes-Casseres is the Peter A. Petri Professor of Business and Society at Brandeis University.</w:t>
                      </w:r>
                    </w:p>
                  </w:txbxContent>
                </v:textbox>
                <w10:anchorlock/>
              </v:shape>
            </w:pict>
          </mc:Fallback>
        </mc:AlternateContent>
      </w:r>
    </w:p>
    <w:p w14:paraId="060C8CB8" w14:textId="69881A3E" w:rsidR="00D00F8A" w:rsidRPr="000C27AA" w:rsidRDefault="00D00F8A" w:rsidP="000C27AA">
      <w:pPr>
        <w:pStyle w:val="BodyTextMain"/>
        <w:rPr>
          <w:lang w:val="en-CA"/>
        </w:rPr>
      </w:pPr>
      <w:r w:rsidRPr="000C27AA">
        <w:rPr>
          <w:lang w:val="en-CA"/>
        </w:rPr>
        <w:br w:type="page"/>
      </w:r>
    </w:p>
    <w:p w14:paraId="70FC014C" w14:textId="5BD14337" w:rsidR="00BE3625" w:rsidRPr="000C27AA" w:rsidRDefault="00BE3625" w:rsidP="00BE3625">
      <w:pPr>
        <w:pStyle w:val="ExhibitHeading"/>
        <w:rPr>
          <w:lang w:val="en-CA"/>
        </w:rPr>
      </w:pPr>
      <w:r w:rsidRPr="000C27AA">
        <w:rPr>
          <w:lang w:val="en-CA"/>
        </w:rPr>
        <w:lastRenderedPageBreak/>
        <w:t>Exhibit 1: Formulas for Analyzing Airline Economics</w:t>
      </w:r>
    </w:p>
    <w:p w14:paraId="328B7B7A" w14:textId="77777777" w:rsidR="00076BCC" w:rsidRPr="000C27AA" w:rsidRDefault="00076BCC" w:rsidP="009309C5">
      <w:pPr>
        <w:pStyle w:val="BodyTextMain"/>
        <w:rPr>
          <w:lang w:val="en-CA"/>
        </w:rPr>
      </w:pPr>
    </w:p>
    <w:p w14:paraId="13571B40" w14:textId="1DA23631" w:rsidR="00BE3625" w:rsidRPr="000C27AA" w:rsidRDefault="00AC4D26" w:rsidP="00BE3625">
      <w:pPr>
        <w:pStyle w:val="Casehead2"/>
        <w:rPr>
          <w:b w:val="0"/>
          <w:lang w:val="en-CA"/>
        </w:rPr>
      </w:pPr>
      <m:oMathPara>
        <m:oMath>
          <m:r>
            <m:rPr>
              <m:sty m:val="bi"/>
            </m:rPr>
            <w:rPr>
              <w:rFonts w:ascii="Cambria Math" w:hAnsi="Cambria Math"/>
              <w:lang w:val="en-CA"/>
            </w:rPr>
            <m:t>PASK=Yield=</m:t>
          </m:r>
          <m:f>
            <m:fPr>
              <m:ctrlPr>
                <w:rPr>
                  <w:rFonts w:ascii="Cambria Math" w:hAnsi="Cambria Math"/>
                  <w:b w:val="0"/>
                  <w:i/>
                  <w:lang w:val="en-CA"/>
                </w:rPr>
              </m:ctrlPr>
            </m:fPr>
            <m:num>
              <m:r>
                <m:rPr>
                  <m:sty m:val="bi"/>
                </m:rPr>
                <w:rPr>
                  <w:rFonts w:ascii="Cambria Math" w:hAnsi="Cambria Math"/>
                  <w:lang w:val="en-CA"/>
                </w:rPr>
                <m:t>(Average Ticket Price x Number of Seats x Load Factor</m:t>
              </m:r>
            </m:num>
            <m:den>
              <m:r>
                <m:rPr>
                  <m:sty m:val="bi"/>
                </m:rPr>
                <w:rPr>
                  <w:rFonts w:ascii="Cambria Math" w:hAnsi="Cambria Math"/>
                  <w:lang w:val="en-CA"/>
                </w:rPr>
                <m:t>ASK</m:t>
              </m:r>
            </m:den>
          </m:f>
        </m:oMath>
      </m:oMathPara>
    </w:p>
    <w:p w14:paraId="0A98CA99" w14:textId="77777777" w:rsidR="00BE3625" w:rsidRPr="000C27AA" w:rsidRDefault="00BE3625" w:rsidP="00BE3625">
      <w:pPr>
        <w:pStyle w:val="Casehead2"/>
        <w:rPr>
          <w:b w:val="0"/>
          <w:lang w:val="en-CA"/>
        </w:rPr>
      </w:pPr>
    </w:p>
    <w:p w14:paraId="410FC908" w14:textId="77777777" w:rsidR="001B3DEA" w:rsidRPr="000C27AA" w:rsidRDefault="001B3DEA" w:rsidP="00BE3625">
      <w:pPr>
        <w:pStyle w:val="Casehead2"/>
        <w:rPr>
          <w:b w:val="0"/>
          <w:lang w:val="en-CA"/>
        </w:rPr>
      </w:pPr>
    </w:p>
    <w:p w14:paraId="2E05D53D" w14:textId="6944C311" w:rsidR="001B3DEA" w:rsidRPr="000C27AA" w:rsidRDefault="00AC4D26" w:rsidP="00BE3625">
      <w:pPr>
        <w:pStyle w:val="Casehead2"/>
        <w:rPr>
          <w:b w:val="0"/>
          <w:lang w:val="en-CA"/>
        </w:rPr>
      </w:pPr>
      <m:oMathPara>
        <m:oMath>
          <m:r>
            <m:rPr>
              <m:sty m:val="bi"/>
            </m:rPr>
            <w:rPr>
              <w:rFonts w:ascii="Cambria Math" w:hAnsi="Cambria Math"/>
              <w:lang w:val="en-CA"/>
            </w:rPr>
            <m:t>Unit Operating income=</m:t>
          </m:r>
          <m:f>
            <m:fPr>
              <m:ctrlPr>
                <w:rPr>
                  <w:rFonts w:ascii="Cambria Math" w:hAnsi="Cambria Math"/>
                  <w:b w:val="0"/>
                  <w:lang w:val="en-CA"/>
                </w:rPr>
              </m:ctrlPr>
            </m:fPr>
            <m:num>
              <m:r>
                <m:rPr>
                  <m:sty m:val="bi"/>
                </m:rPr>
                <w:rPr>
                  <w:rFonts w:ascii="Cambria Math" w:hAnsi="Cambria Math"/>
                  <w:lang w:val="en-CA"/>
                </w:rPr>
                <m:t>(Average Ticket Price x Number of Seats x Load Factor)</m:t>
              </m:r>
            </m:num>
            <m:den>
              <m:r>
                <m:rPr>
                  <m:sty m:val="bi"/>
                </m:rPr>
                <w:rPr>
                  <w:rFonts w:ascii="Cambria Math" w:hAnsi="Cambria Math"/>
                  <w:lang w:val="en-CA"/>
                </w:rPr>
                <m:t>ASK</m:t>
              </m:r>
            </m:den>
          </m:f>
          <m:r>
            <m:rPr>
              <m:sty m:val="bi"/>
            </m:rPr>
            <w:rPr>
              <w:rFonts w:ascii="Cambria Math" w:hAnsi="Cambria Math"/>
              <w:lang w:val="en-CA"/>
            </w:rPr>
            <m:t>-CASK</m:t>
          </m:r>
        </m:oMath>
      </m:oMathPara>
    </w:p>
    <w:p w14:paraId="528F50B3" w14:textId="77777777" w:rsidR="001B3DEA" w:rsidRPr="000C27AA" w:rsidRDefault="001B3DEA" w:rsidP="00BE3625">
      <w:pPr>
        <w:pStyle w:val="Casehead2"/>
        <w:rPr>
          <w:b w:val="0"/>
          <w:lang w:val="en-CA"/>
        </w:rPr>
      </w:pPr>
    </w:p>
    <w:p w14:paraId="1E6A1287" w14:textId="77777777" w:rsidR="001B3DEA" w:rsidRPr="000C27AA" w:rsidRDefault="001B3DEA" w:rsidP="00BE3625">
      <w:pPr>
        <w:pStyle w:val="Casehead2"/>
        <w:rPr>
          <w:b w:val="0"/>
          <w:lang w:val="en-CA"/>
        </w:rPr>
      </w:pPr>
    </w:p>
    <w:p w14:paraId="29B797D8" w14:textId="3FBF1C4E" w:rsidR="001B3DEA" w:rsidRPr="000C27AA" w:rsidRDefault="00AC4D26" w:rsidP="00BE3625">
      <w:pPr>
        <w:pStyle w:val="Casehead2"/>
        <w:rPr>
          <w:b w:val="0"/>
          <w:lang w:val="en-CA"/>
        </w:rPr>
      </w:pPr>
      <m:oMathPara>
        <m:oMath>
          <m:r>
            <m:rPr>
              <m:sty m:val="bi"/>
            </m:rPr>
            <w:rPr>
              <w:rFonts w:ascii="Cambria Math" w:hAnsi="Cambria Math" w:cs="Cambria Math"/>
              <w:lang w:val="en-CA"/>
            </w:rPr>
            <m:t>Return on Sales</m:t>
          </m:r>
          <m:r>
            <m:rPr>
              <m:sty m:val="b"/>
            </m:rPr>
            <w:rPr>
              <w:rFonts w:ascii="Cambria Math" w:hAnsi="Cambria Math" w:cs="Cambria Math"/>
              <w:lang w:val="en-CA"/>
            </w:rPr>
            <m:t>=</m:t>
          </m:r>
          <m:f>
            <m:fPr>
              <m:ctrlPr>
                <w:rPr>
                  <w:rFonts w:ascii="Cambria Math" w:hAnsi="Cambria Math"/>
                  <w:b w:val="0"/>
                  <w:i/>
                  <w:lang w:val="en-CA"/>
                </w:rPr>
              </m:ctrlPr>
            </m:fPr>
            <m:num>
              <m:r>
                <m:rPr>
                  <m:sty m:val="bi"/>
                </m:rPr>
                <w:rPr>
                  <w:rFonts w:ascii="Cambria Math" w:hAnsi="Cambria Math" w:cs="Cambria Math"/>
                  <w:lang w:val="en-CA"/>
                </w:rPr>
                <m:t>Unit Operating Income</m:t>
              </m:r>
            </m:num>
            <m:den>
              <m:r>
                <m:rPr>
                  <m:sty m:val="bi"/>
                </m:rPr>
                <w:rPr>
                  <w:rFonts w:ascii="Cambria Math" w:hAnsi="Cambria Math" w:cs="Cambria Math"/>
                  <w:lang w:val="en-CA"/>
                </w:rPr>
                <m:t>PASK</m:t>
              </m:r>
            </m:den>
          </m:f>
        </m:oMath>
      </m:oMathPara>
    </w:p>
    <w:p w14:paraId="59E0D251" w14:textId="77777777" w:rsidR="001B3DEA" w:rsidRPr="000C27AA" w:rsidRDefault="001B3DEA" w:rsidP="00BE3625">
      <w:pPr>
        <w:pStyle w:val="Casehead2"/>
        <w:rPr>
          <w:lang w:val="en-CA"/>
        </w:rPr>
      </w:pPr>
    </w:p>
    <w:p w14:paraId="74CE0548" w14:textId="44DFDF51" w:rsidR="00BE3625" w:rsidRPr="000C27AA" w:rsidRDefault="00BE3625" w:rsidP="00BE3625">
      <w:pPr>
        <w:pStyle w:val="Casehead2"/>
        <w:rPr>
          <w:lang w:val="en-CA"/>
        </w:rPr>
      </w:pPr>
    </w:p>
    <w:p w14:paraId="2A744747" w14:textId="2C8CBEA6" w:rsidR="00BE3625" w:rsidRPr="000C27AA" w:rsidRDefault="00D00F8A" w:rsidP="004819F4">
      <w:pPr>
        <w:pStyle w:val="Footnote"/>
        <w:rPr>
          <w:lang w:val="en-CA"/>
        </w:rPr>
      </w:pPr>
      <w:r w:rsidRPr="000C27AA">
        <w:rPr>
          <w:lang w:val="en-CA"/>
        </w:rPr>
        <w:t xml:space="preserve">Note: </w:t>
      </w:r>
      <w:r w:rsidR="00BE3625" w:rsidRPr="000C27AA">
        <w:rPr>
          <w:lang w:val="en-CA"/>
        </w:rPr>
        <w:t xml:space="preserve">ASK </w:t>
      </w:r>
      <w:r w:rsidRPr="000C27AA">
        <w:rPr>
          <w:lang w:val="en-CA"/>
        </w:rPr>
        <w:t>= available seat kilometres (calculated as f</w:t>
      </w:r>
      <w:r w:rsidR="00BE3625" w:rsidRPr="000C27AA">
        <w:rPr>
          <w:lang w:val="en-CA"/>
        </w:rPr>
        <w:t>light kilometr</w:t>
      </w:r>
      <w:r w:rsidRPr="000C27AA">
        <w:rPr>
          <w:lang w:val="en-CA"/>
        </w:rPr>
        <w:t>e</w:t>
      </w:r>
      <w:r w:rsidR="00BE3625" w:rsidRPr="000C27AA">
        <w:rPr>
          <w:lang w:val="en-CA"/>
        </w:rPr>
        <w:t xml:space="preserve">s </w:t>
      </w:r>
      <w:r w:rsidRPr="000C27AA">
        <w:rPr>
          <w:lang w:val="en-CA"/>
        </w:rPr>
        <w:t>×</w:t>
      </w:r>
      <w:r w:rsidR="00BE3625" w:rsidRPr="000C27AA">
        <w:rPr>
          <w:lang w:val="en-CA"/>
        </w:rPr>
        <w:t xml:space="preserve"> number of total seats</w:t>
      </w:r>
      <w:r w:rsidRPr="000C27AA">
        <w:rPr>
          <w:lang w:val="en-CA"/>
        </w:rPr>
        <w:t xml:space="preserve">); </w:t>
      </w:r>
      <w:r w:rsidR="00BE3625" w:rsidRPr="000C27AA">
        <w:rPr>
          <w:lang w:val="en-CA"/>
        </w:rPr>
        <w:t>RPK</w:t>
      </w:r>
      <w:r w:rsidRPr="000C27AA">
        <w:rPr>
          <w:lang w:val="en-CA"/>
        </w:rPr>
        <w:t xml:space="preserve"> = revenue </w:t>
      </w:r>
      <w:r w:rsidR="009806BD" w:rsidRPr="000C27AA">
        <w:rPr>
          <w:lang w:val="en-CA"/>
        </w:rPr>
        <w:t>passenger</w:t>
      </w:r>
      <w:r w:rsidRPr="000C27AA">
        <w:rPr>
          <w:lang w:val="en-CA"/>
        </w:rPr>
        <w:t xml:space="preserve"> kilometres (calculated as f</w:t>
      </w:r>
      <w:r w:rsidR="00BE3625" w:rsidRPr="000C27AA">
        <w:rPr>
          <w:lang w:val="en-CA"/>
        </w:rPr>
        <w:t>light kilometr</w:t>
      </w:r>
      <w:r w:rsidRPr="000C27AA">
        <w:rPr>
          <w:lang w:val="en-CA"/>
        </w:rPr>
        <w:t>e</w:t>
      </w:r>
      <w:r w:rsidR="00BE3625" w:rsidRPr="000C27AA">
        <w:rPr>
          <w:lang w:val="en-CA"/>
        </w:rPr>
        <w:t>s</w:t>
      </w:r>
      <w:r w:rsidRPr="000C27AA">
        <w:rPr>
          <w:lang w:val="en-CA"/>
        </w:rPr>
        <w:t xml:space="preserve"> × </w:t>
      </w:r>
      <w:r w:rsidR="00BE3625" w:rsidRPr="000C27AA">
        <w:rPr>
          <w:lang w:val="en-CA"/>
        </w:rPr>
        <w:t>number of occupied seats</w:t>
      </w:r>
      <w:r w:rsidRPr="000C27AA">
        <w:rPr>
          <w:lang w:val="en-CA"/>
        </w:rPr>
        <w:t xml:space="preserve">); </w:t>
      </w:r>
      <w:r w:rsidR="00AC4D26" w:rsidRPr="000C27AA">
        <w:rPr>
          <w:lang w:val="en-CA"/>
        </w:rPr>
        <w:t>l</w:t>
      </w:r>
      <w:r w:rsidR="00BE3625" w:rsidRPr="000C27AA">
        <w:rPr>
          <w:lang w:val="en-CA"/>
        </w:rPr>
        <w:t xml:space="preserve">oad </w:t>
      </w:r>
      <w:r w:rsidR="00AC4D26" w:rsidRPr="000C27AA">
        <w:rPr>
          <w:lang w:val="en-CA"/>
        </w:rPr>
        <w:t>f</w:t>
      </w:r>
      <w:r w:rsidR="00BE3625" w:rsidRPr="000C27AA">
        <w:rPr>
          <w:lang w:val="en-CA"/>
        </w:rPr>
        <w:t xml:space="preserve">actor </w:t>
      </w:r>
      <w:r w:rsidR="00AC4D26" w:rsidRPr="000C27AA">
        <w:rPr>
          <w:lang w:val="en-CA"/>
        </w:rPr>
        <w:t>= r</w:t>
      </w:r>
      <w:r w:rsidR="00BE3625" w:rsidRPr="000C27AA">
        <w:rPr>
          <w:lang w:val="en-CA"/>
        </w:rPr>
        <w:t xml:space="preserve">atio of RPK </w:t>
      </w:r>
      <w:r w:rsidR="00AC4D26" w:rsidRPr="000C27AA">
        <w:rPr>
          <w:lang w:val="en-CA"/>
        </w:rPr>
        <w:t>t</w:t>
      </w:r>
      <w:r w:rsidR="00BE3625" w:rsidRPr="000C27AA">
        <w:rPr>
          <w:lang w:val="en-CA"/>
        </w:rPr>
        <w:t>o ASK</w:t>
      </w:r>
      <w:r w:rsidR="00AC4D26" w:rsidRPr="000C27AA">
        <w:rPr>
          <w:lang w:val="en-CA"/>
        </w:rPr>
        <w:t xml:space="preserve">; </w:t>
      </w:r>
      <w:r w:rsidR="00BE3625" w:rsidRPr="000C27AA">
        <w:rPr>
          <w:lang w:val="en-CA"/>
        </w:rPr>
        <w:t>PASK</w:t>
      </w:r>
      <w:r w:rsidR="00AC4D26" w:rsidRPr="000C27AA">
        <w:rPr>
          <w:lang w:val="en-CA"/>
        </w:rPr>
        <w:t xml:space="preserve"> =</w:t>
      </w:r>
      <w:r w:rsidR="00BE3625" w:rsidRPr="000C27AA">
        <w:rPr>
          <w:lang w:val="en-CA"/>
        </w:rPr>
        <w:t xml:space="preserve"> </w:t>
      </w:r>
      <w:r w:rsidR="00AC4D26" w:rsidRPr="000C27AA">
        <w:rPr>
          <w:lang w:val="en-CA"/>
        </w:rPr>
        <w:t>p</w:t>
      </w:r>
      <w:r w:rsidR="00BE3625" w:rsidRPr="000C27AA">
        <w:rPr>
          <w:lang w:val="en-CA"/>
        </w:rPr>
        <w:t xml:space="preserve">assenger </w:t>
      </w:r>
      <w:r w:rsidR="00AC4D26" w:rsidRPr="000C27AA">
        <w:rPr>
          <w:lang w:val="en-CA"/>
        </w:rPr>
        <w:t>r</w:t>
      </w:r>
      <w:r w:rsidR="00BE3625" w:rsidRPr="000C27AA">
        <w:rPr>
          <w:lang w:val="en-CA"/>
        </w:rPr>
        <w:t xml:space="preserve">evenue </w:t>
      </w:r>
      <w:r w:rsidR="00AC4D26" w:rsidRPr="000C27AA">
        <w:rPr>
          <w:lang w:val="en-CA"/>
        </w:rPr>
        <w:t>p</w:t>
      </w:r>
      <w:r w:rsidR="00BE3625" w:rsidRPr="000C27AA">
        <w:rPr>
          <w:lang w:val="en-CA"/>
        </w:rPr>
        <w:t>er ASK</w:t>
      </w:r>
      <w:r w:rsidR="00AC4D26" w:rsidRPr="000C27AA">
        <w:rPr>
          <w:lang w:val="en-CA"/>
        </w:rPr>
        <w:t xml:space="preserve">; </w:t>
      </w:r>
      <w:r w:rsidR="00BE3625" w:rsidRPr="000C27AA">
        <w:rPr>
          <w:lang w:val="en-CA"/>
        </w:rPr>
        <w:t>CASK</w:t>
      </w:r>
      <w:r w:rsidR="00AC4D26" w:rsidRPr="000C27AA">
        <w:rPr>
          <w:lang w:val="en-CA"/>
        </w:rPr>
        <w:t xml:space="preserve"> =</w:t>
      </w:r>
      <w:r w:rsidR="00AC3C17" w:rsidRPr="000C27AA">
        <w:rPr>
          <w:lang w:val="en-CA"/>
        </w:rPr>
        <w:t xml:space="preserve"> </w:t>
      </w:r>
      <w:r w:rsidR="00AC4D26" w:rsidRPr="000C27AA">
        <w:rPr>
          <w:lang w:val="en-CA"/>
        </w:rPr>
        <w:t>u</w:t>
      </w:r>
      <w:r w:rsidR="00BE3625" w:rsidRPr="000C27AA">
        <w:rPr>
          <w:lang w:val="en-CA"/>
        </w:rPr>
        <w:t xml:space="preserve">nit </w:t>
      </w:r>
      <w:r w:rsidR="00AC4D26" w:rsidRPr="000C27AA">
        <w:rPr>
          <w:lang w:val="en-CA"/>
        </w:rPr>
        <w:t>c</w:t>
      </w:r>
      <w:r w:rsidR="00BE3625" w:rsidRPr="000C27AA">
        <w:rPr>
          <w:lang w:val="en-CA"/>
        </w:rPr>
        <w:t xml:space="preserve">ost </w:t>
      </w:r>
      <w:r w:rsidR="00AC4D26" w:rsidRPr="000C27AA">
        <w:rPr>
          <w:lang w:val="en-CA"/>
        </w:rPr>
        <w:t>p</w:t>
      </w:r>
      <w:r w:rsidR="00BE3625" w:rsidRPr="000C27AA">
        <w:rPr>
          <w:lang w:val="en-CA"/>
        </w:rPr>
        <w:t>er ASK</w:t>
      </w:r>
      <w:r w:rsidR="00AC4D26" w:rsidRPr="000C27AA">
        <w:rPr>
          <w:lang w:val="en-CA"/>
        </w:rPr>
        <w:t>; u</w:t>
      </w:r>
      <w:r w:rsidR="00AC3C17" w:rsidRPr="000C27AA">
        <w:rPr>
          <w:lang w:val="en-CA"/>
        </w:rPr>
        <w:t xml:space="preserve">nit </w:t>
      </w:r>
      <w:r w:rsidR="00AC4D26" w:rsidRPr="000C27AA">
        <w:rPr>
          <w:lang w:val="en-CA"/>
        </w:rPr>
        <w:t>o</w:t>
      </w:r>
      <w:r w:rsidR="00AC3C17" w:rsidRPr="000C27AA">
        <w:rPr>
          <w:lang w:val="en-CA"/>
        </w:rPr>
        <w:t xml:space="preserve">perating </w:t>
      </w:r>
      <w:r w:rsidR="00AC4D26" w:rsidRPr="000C27AA">
        <w:rPr>
          <w:lang w:val="en-CA"/>
        </w:rPr>
        <w:t>i</w:t>
      </w:r>
      <w:r w:rsidR="00AC3C17" w:rsidRPr="000C27AA">
        <w:rPr>
          <w:lang w:val="en-CA"/>
        </w:rPr>
        <w:t>ncome</w:t>
      </w:r>
      <w:r w:rsidR="00AC4D26" w:rsidRPr="000C27AA">
        <w:rPr>
          <w:lang w:val="en-CA"/>
        </w:rPr>
        <w:t xml:space="preserve"> =</w:t>
      </w:r>
      <w:r w:rsidR="00AC3C17" w:rsidRPr="000C27AA">
        <w:rPr>
          <w:lang w:val="en-CA"/>
        </w:rPr>
        <w:t xml:space="preserve"> </w:t>
      </w:r>
      <w:r w:rsidR="00AC4D26" w:rsidRPr="000C27AA">
        <w:rPr>
          <w:lang w:val="en-CA"/>
        </w:rPr>
        <w:t>o</w:t>
      </w:r>
      <w:r w:rsidR="00BE3625" w:rsidRPr="000C27AA">
        <w:rPr>
          <w:lang w:val="en-CA"/>
        </w:rPr>
        <w:t xml:space="preserve">perating </w:t>
      </w:r>
      <w:r w:rsidR="00AC4D26" w:rsidRPr="000C27AA">
        <w:rPr>
          <w:lang w:val="en-CA"/>
        </w:rPr>
        <w:t>i</w:t>
      </w:r>
      <w:r w:rsidR="00BE3625" w:rsidRPr="000C27AA">
        <w:rPr>
          <w:lang w:val="en-CA"/>
        </w:rPr>
        <w:t xml:space="preserve">ncome </w:t>
      </w:r>
      <w:r w:rsidR="00AC4D26" w:rsidRPr="000C27AA">
        <w:rPr>
          <w:lang w:val="en-CA"/>
        </w:rPr>
        <w:t>p</w:t>
      </w:r>
      <w:r w:rsidR="00BE3625" w:rsidRPr="000C27AA">
        <w:rPr>
          <w:lang w:val="en-CA"/>
        </w:rPr>
        <w:t>er ASK</w:t>
      </w:r>
      <w:r w:rsidR="00AC4D26" w:rsidRPr="000C27AA">
        <w:rPr>
          <w:lang w:val="en-CA"/>
        </w:rPr>
        <w:t>; u</w:t>
      </w:r>
      <w:r w:rsidR="00AC3C17" w:rsidRPr="000C27AA">
        <w:rPr>
          <w:lang w:val="en-CA"/>
        </w:rPr>
        <w:t xml:space="preserve">nit </w:t>
      </w:r>
      <w:r w:rsidR="00AC4D26" w:rsidRPr="000C27AA">
        <w:rPr>
          <w:lang w:val="en-CA"/>
        </w:rPr>
        <w:t>n</w:t>
      </w:r>
      <w:r w:rsidR="00AC3C17" w:rsidRPr="000C27AA">
        <w:rPr>
          <w:lang w:val="en-CA"/>
        </w:rPr>
        <w:t xml:space="preserve">et </w:t>
      </w:r>
      <w:r w:rsidR="00AC4D26" w:rsidRPr="000C27AA">
        <w:rPr>
          <w:lang w:val="en-CA"/>
        </w:rPr>
        <w:t>i</w:t>
      </w:r>
      <w:r w:rsidR="00AC3C17" w:rsidRPr="000C27AA">
        <w:rPr>
          <w:lang w:val="en-CA"/>
        </w:rPr>
        <w:t>ncome</w:t>
      </w:r>
      <w:r w:rsidR="00AC4D26" w:rsidRPr="000C27AA">
        <w:rPr>
          <w:lang w:val="en-CA"/>
        </w:rPr>
        <w:t xml:space="preserve"> =</w:t>
      </w:r>
      <w:r w:rsidR="00AC3C17" w:rsidRPr="000C27AA">
        <w:rPr>
          <w:lang w:val="en-CA"/>
        </w:rPr>
        <w:t xml:space="preserve"> </w:t>
      </w:r>
      <w:r w:rsidR="00AC4D26" w:rsidRPr="000C27AA">
        <w:rPr>
          <w:lang w:val="en-CA"/>
        </w:rPr>
        <w:t>u</w:t>
      </w:r>
      <w:r w:rsidR="00BE3625" w:rsidRPr="000C27AA">
        <w:rPr>
          <w:lang w:val="en-CA"/>
        </w:rPr>
        <w:t>nit operating income minus taxes and interest</w:t>
      </w:r>
      <w:r w:rsidR="00540205">
        <w:rPr>
          <w:lang w:val="en-CA"/>
        </w:rPr>
        <w:t>.</w:t>
      </w:r>
    </w:p>
    <w:p w14:paraId="59A03474" w14:textId="682C7F83" w:rsidR="001E3573" w:rsidRPr="000C27AA" w:rsidRDefault="00BE3625" w:rsidP="00BE3625">
      <w:pPr>
        <w:pStyle w:val="Footnote"/>
        <w:rPr>
          <w:lang w:val="en-CA"/>
        </w:rPr>
      </w:pPr>
      <w:r w:rsidRPr="000C27AA">
        <w:rPr>
          <w:lang w:val="en-CA"/>
        </w:rPr>
        <w:t xml:space="preserve">Source: </w:t>
      </w:r>
      <w:r w:rsidR="00AC4D26" w:rsidRPr="000C27AA">
        <w:rPr>
          <w:lang w:val="en-CA"/>
        </w:rPr>
        <w:t xml:space="preserve">Tom </w:t>
      </w:r>
      <w:r w:rsidRPr="000C27AA">
        <w:rPr>
          <w:lang w:val="en-CA"/>
        </w:rPr>
        <w:t>Stalnaker, Khalid Usman, Aaron Taylor, and Grant Alport</w:t>
      </w:r>
      <w:r w:rsidR="00AC4D26" w:rsidRPr="000C27AA">
        <w:rPr>
          <w:lang w:val="en-CA"/>
        </w:rPr>
        <w:t>,</w:t>
      </w:r>
      <w:r w:rsidRPr="000C27AA">
        <w:rPr>
          <w:lang w:val="en-CA"/>
        </w:rPr>
        <w:t xml:space="preserve"> </w:t>
      </w:r>
      <w:r w:rsidRPr="000C27AA">
        <w:rPr>
          <w:i/>
          <w:lang w:val="en-CA"/>
        </w:rPr>
        <w:t>Airline Economic Analysis</w:t>
      </w:r>
      <w:r w:rsidR="00AC4D26" w:rsidRPr="000C27AA">
        <w:rPr>
          <w:i/>
          <w:lang w:val="en-CA"/>
        </w:rPr>
        <w:t>: 2017–2018 Edition,</w:t>
      </w:r>
      <w:r w:rsidR="00137DA7" w:rsidRPr="000C27AA">
        <w:rPr>
          <w:i/>
          <w:lang w:val="en-CA"/>
        </w:rPr>
        <w:t xml:space="preserve"> </w:t>
      </w:r>
      <w:r w:rsidR="00137DA7" w:rsidRPr="000C27AA">
        <w:rPr>
          <w:lang w:val="en-CA"/>
        </w:rPr>
        <w:t>Oliver Wyman: Marsh &amp; McLennan Companies,</w:t>
      </w:r>
      <w:r w:rsidRPr="000C27AA">
        <w:rPr>
          <w:lang w:val="en-CA"/>
        </w:rPr>
        <w:t xml:space="preserve"> </w:t>
      </w:r>
      <w:r w:rsidR="00137DA7" w:rsidRPr="000C27AA">
        <w:rPr>
          <w:lang w:val="en-CA"/>
        </w:rPr>
        <w:t xml:space="preserve">2018, </w:t>
      </w:r>
      <w:r w:rsidR="00AC4D26" w:rsidRPr="000C27AA">
        <w:rPr>
          <w:lang w:val="en-CA"/>
        </w:rPr>
        <w:t>accessed December 14, 2020, www.oliverwyman.com/content/dam/oliver-wyman/v2/publications/2018/January/Airline_Economic_Analysis_AEA_2017-18_web_FF.pdf</w:t>
      </w:r>
      <w:r w:rsidRPr="000C27AA">
        <w:rPr>
          <w:lang w:val="en-CA"/>
        </w:rPr>
        <w:t>.</w:t>
      </w:r>
    </w:p>
    <w:p w14:paraId="63EE886A" w14:textId="77777777" w:rsidR="001E3573" w:rsidRPr="000C27AA" w:rsidRDefault="001E3573" w:rsidP="00BE3625">
      <w:pPr>
        <w:pStyle w:val="Footnote"/>
        <w:rPr>
          <w:lang w:val="en-CA"/>
        </w:rPr>
      </w:pPr>
    </w:p>
    <w:p w14:paraId="41FDB22D" w14:textId="77777777" w:rsidR="001E3573" w:rsidRPr="000C27AA" w:rsidRDefault="001E3573" w:rsidP="00BE3625">
      <w:pPr>
        <w:pStyle w:val="Footnote"/>
        <w:rPr>
          <w:lang w:val="en-CA"/>
        </w:rPr>
      </w:pPr>
    </w:p>
    <w:p w14:paraId="32ECEF8C" w14:textId="63330F10" w:rsidR="00096564" w:rsidRDefault="00096564" w:rsidP="00076BCC">
      <w:pPr>
        <w:pStyle w:val="ExhibitHeading"/>
        <w:rPr>
          <w:lang w:val="en-CA"/>
        </w:rPr>
      </w:pPr>
      <w:r w:rsidRPr="000C27AA">
        <w:rPr>
          <w:lang w:val="en-CA"/>
        </w:rPr>
        <w:t>Exhibit 2: Load Factor, Return on Sales, and Capacity of Global Airlines, 2018</w:t>
      </w:r>
    </w:p>
    <w:p w14:paraId="38D5CF5A" w14:textId="77777777" w:rsidR="00CE78A8" w:rsidRPr="000C27AA" w:rsidRDefault="00CE78A8" w:rsidP="00CE78A8">
      <w:pPr>
        <w:pStyle w:val="ExhibitText"/>
        <w:rPr>
          <w:lang w:val="en-CA"/>
        </w:rPr>
      </w:pPr>
    </w:p>
    <w:p w14:paraId="46AE8FDF" w14:textId="7AEC6A3F" w:rsidR="00096564" w:rsidRPr="000C27AA" w:rsidRDefault="001E3573" w:rsidP="00CE78A8">
      <w:pPr>
        <w:pStyle w:val="Footnote"/>
        <w:jc w:val="center"/>
        <w:rPr>
          <w:lang w:val="en-CA"/>
        </w:rPr>
      </w:pPr>
      <w:r w:rsidRPr="000C27AA">
        <w:rPr>
          <w:noProof/>
          <w:lang w:val="en-CA" w:eastAsia="en-CA"/>
        </w:rPr>
        <w:drawing>
          <wp:inline distT="0" distB="0" distL="0" distR="0" wp14:anchorId="6E11A7FB" wp14:editId="5DB5345F">
            <wp:extent cx="6254115" cy="2823210"/>
            <wp:effectExtent l="0" t="0" r="0" b="0"/>
            <wp:docPr id="9" name="Chart 1" descr="Chart showing load factor, return on sales, and capacity of global airlines in 2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descr="P668#y1"/>
                    <pic:cNvPicPr>
                      <a:picLocks/>
                    </pic:cNvPicPr>
                  </pic:nvPicPr>
                  <pic:blipFill>
                    <a:blip r:embed="rId9">
                      <a:extLst>
                        <a:ext uri="{28A0092B-C50C-407E-A947-70E740481C1C}">
                          <a14:useLocalDpi xmlns:a14="http://schemas.microsoft.com/office/drawing/2010/main" val="0"/>
                        </a:ext>
                      </a:extLst>
                    </a:blip>
                    <a:srcRect l="2217" t="12201" r="1425" b="3546"/>
                    <a:stretch>
                      <a:fillRect/>
                    </a:stretch>
                  </pic:blipFill>
                  <pic:spPr bwMode="auto">
                    <a:xfrm>
                      <a:off x="0" y="0"/>
                      <a:ext cx="6254115" cy="2823210"/>
                    </a:xfrm>
                    <a:prstGeom prst="rect">
                      <a:avLst/>
                    </a:prstGeom>
                    <a:noFill/>
                    <a:ln>
                      <a:noFill/>
                    </a:ln>
                  </pic:spPr>
                </pic:pic>
              </a:graphicData>
            </a:graphic>
          </wp:inline>
        </w:drawing>
      </w:r>
    </w:p>
    <w:p w14:paraId="5174CC72" w14:textId="6EC79D5A" w:rsidR="00096564" w:rsidRPr="000C27AA" w:rsidRDefault="00096564" w:rsidP="00076BCC">
      <w:pPr>
        <w:pStyle w:val="ExhibitText"/>
        <w:rPr>
          <w:sz w:val="22"/>
          <w:szCs w:val="22"/>
          <w:lang w:val="en-CA"/>
        </w:rPr>
      </w:pPr>
    </w:p>
    <w:p w14:paraId="1E407E7B" w14:textId="35ED676C" w:rsidR="001E3573" w:rsidRPr="000C27AA" w:rsidRDefault="001E3573" w:rsidP="00096564">
      <w:pPr>
        <w:pStyle w:val="Footnote"/>
        <w:rPr>
          <w:lang w:val="en-CA"/>
        </w:rPr>
      </w:pPr>
      <w:r w:rsidRPr="000C27AA">
        <w:rPr>
          <w:lang w:val="en-CA"/>
        </w:rPr>
        <w:t>Note: ASK = available seat kilometres; r</w:t>
      </w:r>
      <w:r w:rsidR="00096564" w:rsidRPr="000C27AA">
        <w:rPr>
          <w:lang w:val="en-CA"/>
        </w:rPr>
        <w:t>eturn on sales measured as operating income</w:t>
      </w:r>
      <w:r w:rsidRPr="000C27AA">
        <w:rPr>
          <w:lang w:val="en-CA"/>
        </w:rPr>
        <w:t xml:space="preserve"> ÷ </w:t>
      </w:r>
      <w:r w:rsidR="00096564" w:rsidRPr="000C27AA">
        <w:rPr>
          <w:lang w:val="en-CA"/>
        </w:rPr>
        <w:t>revenue</w:t>
      </w:r>
      <w:r w:rsidR="00540205">
        <w:rPr>
          <w:lang w:val="en-CA"/>
        </w:rPr>
        <w:t>.</w:t>
      </w:r>
    </w:p>
    <w:p w14:paraId="1C3BE7C9" w14:textId="0C4613EB" w:rsidR="00096564" w:rsidRPr="000C27AA" w:rsidRDefault="001E3573" w:rsidP="00096564">
      <w:pPr>
        <w:pStyle w:val="Footnote"/>
        <w:rPr>
          <w:b/>
          <w:caps/>
          <w:lang w:val="en-CA"/>
        </w:rPr>
      </w:pPr>
      <w:r w:rsidRPr="000C27AA">
        <w:rPr>
          <w:lang w:val="en-CA"/>
        </w:rPr>
        <w:t>Source: Prepared by the case authors with data from “World Airline Rankings</w:t>
      </w:r>
      <w:r w:rsidR="00137DA7" w:rsidRPr="000C27AA">
        <w:rPr>
          <w:lang w:val="en-CA"/>
        </w:rPr>
        <w:t xml:space="preserve"> 2018,</w:t>
      </w:r>
      <w:r w:rsidRPr="000C27AA">
        <w:rPr>
          <w:lang w:val="en-CA"/>
        </w:rPr>
        <w:t xml:space="preserve">” </w:t>
      </w:r>
      <w:r w:rsidR="00137DA7" w:rsidRPr="000C27AA">
        <w:rPr>
          <w:lang w:val="en-CA"/>
        </w:rPr>
        <w:t>Flight Airline Business, 2018, accessed December 14, 2020, www.sipotra.it/old/wp-content/uploads/2018/11/World-airline-rankings-2018.pdf</w:t>
      </w:r>
      <w:r w:rsidR="00C3419D" w:rsidRPr="000C27AA">
        <w:rPr>
          <w:lang w:val="en-CA"/>
        </w:rPr>
        <w:t>.</w:t>
      </w:r>
      <w:r w:rsidR="00096564" w:rsidRPr="000C27AA">
        <w:rPr>
          <w:lang w:val="en-CA"/>
        </w:rPr>
        <w:br w:type="page"/>
      </w:r>
    </w:p>
    <w:p w14:paraId="714721D3" w14:textId="77777777" w:rsidR="00076BCC" w:rsidRPr="000C27AA" w:rsidRDefault="00076BCC" w:rsidP="002D16AB">
      <w:pPr>
        <w:pStyle w:val="ExhibitHeading"/>
        <w:rPr>
          <w:lang w:val="en-CA"/>
        </w:rPr>
        <w:sectPr w:rsidR="00076BCC" w:rsidRPr="000C27AA" w:rsidSect="00436F14">
          <w:headerReference w:type="default" r:id="rId10"/>
          <w:endnotePr>
            <w:numFmt w:val="decimal"/>
          </w:endnotePr>
          <w:pgSz w:w="12240" w:h="15840" w:code="1"/>
          <w:pgMar w:top="1440" w:right="1440" w:bottom="1440" w:left="1440" w:header="1080" w:footer="720" w:gutter="0"/>
          <w:cols w:space="720"/>
          <w:titlePg/>
          <w:docGrid w:linePitch="360"/>
        </w:sectPr>
      </w:pPr>
    </w:p>
    <w:p w14:paraId="75EF90FF" w14:textId="65D8D762" w:rsidR="002D16AB" w:rsidRPr="000C27AA" w:rsidRDefault="002D16AB" w:rsidP="00076BCC">
      <w:pPr>
        <w:pStyle w:val="ExhibitHeading"/>
        <w:rPr>
          <w:lang w:val="en-CA"/>
        </w:rPr>
      </w:pPr>
      <w:r w:rsidRPr="000C27AA">
        <w:rPr>
          <w:lang w:val="en-CA"/>
        </w:rPr>
        <w:lastRenderedPageBreak/>
        <w:t>Exhibit 3: Cost Structure of Major Global Airlines</w:t>
      </w:r>
      <w:r w:rsidR="001E3573" w:rsidRPr="000C27AA">
        <w:rPr>
          <w:lang w:val="en-CA"/>
        </w:rPr>
        <w:t xml:space="preserve"> (in US$)</w:t>
      </w:r>
    </w:p>
    <w:p w14:paraId="7B5F2CDB" w14:textId="77777777" w:rsidR="002D16AB" w:rsidRPr="000C27AA" w:rsidRDefault="002D16AB" w:rsidP="002D16AB">
      <w:pPr>
        <w:pStyle w:val="ExhibitText"/>
        <w:rPr>
          <w:lang w:val="en-CA"/>
        </w:rPr>
      </w:pPr>
    </w:p>
    <w:p w14:paraId="0D48BA83" w14:textId="2CDA14D4" w:rsidR="002D16AB" w:rsidRPr="000C27AA" w:rsidRDefault="002D16AB" w:rsidP="004819F4">
      <w:pPr>
        <w:pStyle w:val="Casehead2"/>
        <w:jc w:val="center"/>
        <w:rPr>
          <w:lang w:val="en-CA"/>
        </w:rPr>
      </w:pPr>
      <w:r w:rsidRPr="000C27AA">
        <w:rPr>
          <w:lang w:val="en-CA"/>
        </w:rPr>
        <w:t xml:space="preserve">Average </w:t>
      </w:r>
      <w:r w:rsidR="00024467" w:rsidRPr="000C27AA">
        <w:rPr>
          <w:lang w:val="en-CA"/>
        </w:rPr>
        <w:t>C</w:t>
      </w:r>
      <w:r w:rsidRPr="000C27AA">
        <w:rPr>
          <w:lang w:val="en-CA"/>
        </w:rPr>
        <w:t xml:space="preserve">osts per </w:t>
      </w:r>
      <w:r w:rsidR="00024467" w:rsidRPr="000C27AA">
        <w:rPr>
          <w:lang w:val="en-CA"/>
        </w:rPr>
        <w:t>F</w:t>
      </w:r>
      <w:r w:rsidRPr="000C27AA">
        <w:rPr>
          <w:lang w:val="en-CA"/>
        </w:rPr>
        <w:t>light</w:t>
      </w:r>
    </w:p>
    <w:p w14:paraId="3A27DBD4" w14:textId="77777777" w:rsidR="002D16AB" w:rsidRPr="000C27AA" w:rsidRDefault="002D16AB" w:rsidP="002D16AB">
      <w:pPr>
        <w:pStyle w:val="ExhibitText"/>
        <w:rPr>
          <w:b/>
          <w:bCs/>
          <w:lang w:val="en-CA"/>
        </w:rPr>
      </w:pPr>
    </w:p>
    <w:tbl>
      <w:tblPr>
        <w:tblW w:w="5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hibit 3"/>
        <w:tblDescription w:val="Average costs per flight"/>
      </w:tblPr>
      <w:tblGrid>
        <w:gridCol w:w="4519"/>
        <w:gridCol w:w="1366"/>
      </w:tblGrid>
      <w:tr w:rsidR="00024467" w:rsidRPr="000C27AA" w14:paraId="54067DB6" w14:textId="77777777" w:rsidTr="00F472EE">
        <w:trPr>
          <w:trHeight w:val="255"/>
          <w:tblHeader/>
          <w:jc w:val="center"/>
        </w:trPr>
        <w:tc>
          <w:tcPr>
            <w:tcW w:w="4519" w:type="dxa"/>
            <w:shd w:val="clear" w:color="auto" w:fill="auto"/>
            <w:noWrap/>
            <w:vAlign w:val="bottom"/>
          </w:tcPr>
          <w:p w14:paraId="67232A62" w14:textId="2235052A" w:rsidR="00024467" w:rsidRPr="000C27AA" w:rsidRDefault="00024467" w:rsidP="00024467">
            <w:pPr>
              <w:pStyle w:val="ExhibitText"/>
              <w:jc w:val="center"/>
              <w:rPr>
                <w:b/>
                <w:lang w:val="en-CA"/>
              </w:rPr>
            </w:pPr>
            <w:bookmarkStart w:id="0" w:name="_GoBack"/>
            <w:r w:rsidRPr="000C27AA">
              <w:rPr>
                <w:b/>
                <w:lang w:val="en-CA"/>
              </w:rPr>
              <w:t>Item</w:t>
            </w:r>
          </w:p>
        </w:tc>
        <w:tc>
          <w:tcPr>
            <w:tcW w:w="1366" w:type="dxa"/>
            <w:shd w:val="clear" w:color="auto" w:fill="auto"/>
            <w:noWrap/>
            <w:vAlign w:val="bottom"/>
          </w:tcPr>
          <w:p w14:paraId="4B1DDF25" w14:textId="6F6DD2D3" w:rsidR="00024467" w:rsidRPr="000C27AA" w:rsidRDefault="00024467" w:rsidP="00024467">
            <w:pPr>
              <w:pStyle w:val="ExhibitText"/>
              <w:jc w:val="center"/>
              <w:rPr>
                <w:b/>
                <w:lang w:val="en-CA"/>
              </w:rPr>
            </w:pPr>
            <w:r w:rsidRPr="000C27AA">
              <w:rPr>
                <w:b/>
                <w:lang w:val="en-CA"/>
              </w:rPr>
              <w:t>Cost</w:t>
            </w:r>
          </w:p>
        </w:tc>
      </w:tr>
      <w:tr w:rsidR="002D16AB" w:rsidRPr="000C27AA" w14:paraId="75C60884" w14:textId="77777777" w:rsidTr="00F472EE">
        <w:trPr>
          <w:trHeight w:val="255"/>
          <w:tblHeader/>
          <w:jc w:val="center"/>
        </w:trPr>
        <w:tc>
          <w:tcPr>
            <w:tcW w:w="4519" w:type="dxa"/>
            <w:shd w:val="clear" w:color="auto" w:fill="auto"/>
            <w:noWrap/>
            <w:vAlign w:val="bottom"/>
            <w:hideMark/>
          </w:tcPr>
          <w:p w14:paraId="26291C40" w14:textId="6163DF0C" w:rsidR="002D16AB" w:rsidRPr="000C27AA" w:rsidRDefault="002D16AB" w:rsidP="002D16AB">
            <w:pPr>
              <w:pStyle w:val="ExhibitText"/>
              <w:rPr>
                <w:lang w:val="en-CA"/>
              </w:rPr>
            </w:pPr>
            <w:r w:rsidRPr="000C27AA">
              <w:rPr>
                <w:lang w:val="en-CA"/>
              </w:rPr>
              <w:t xml:space="preserve">Aircraft </w:t>
            </w:r>
            <w:r w:rsidR="00024467" w:rsidRPr="000C27AA">
              <w:rPr>
                <w:lang w:val="en-CA"/>
              </w:rPr>
              <w:t xml:space="preserve">(per </w:t>
            </w:r>
            <w:r w:rsidRPr="000C27AA">
              <w:rPr>
                <w:lang w:val="en-CA"/>
              </w:rPr>
              <w:t>month</w:t>
            </w:r>
            <w:r w:rsidR="00024467" w:rsidRPr="000C27AA">
              <w:rPr>
                <w:lang w:val="en-CA"/>
              </w:rPr>
              <w:t>)</w:t>
            </w:r>
          </w:p>
        </w:tc>
        <w:tc>
          <w:tcPr>
            <w:tcW w:w="1366" w:type="dxa"/>
            <w:shd w:val="clear" w:color="auto" w:fill="auto"/>
            <w:noWrap/>
            <w:vAlign w:val="bottom"/>
            <w:hideMark/>
          </w:tcPr>
          <w:p w14:paraId="122D7AA0" w14:textId="77777777" w:rsidR="002D16AB" w:rsidRPr="000C27AA" w:rsidRDefault="002D16AB" w:rsidP="00024467">
            <w:pPr>
              <w:pStyle w:val="ExhibitText"/>
              <w:jc w:val="right"/>
              <w:rPr>
                <w:lang w:val="en-CA"/>
              </w:rPr>
            </w:pPr>
            <w:r w:rsidRPr="000C27AA">
              <w:rPr>
                <w:lang w:val="en-CA"/>
              </w:rPr>
              <w:t xml:space="preserve"> $340,000 </w:t>
            </w:r>
          </w:p>
        </w:tc>
      </w:tr>
      <w:tr w:rsidR="002D16AB" w:rsidRPr="000C27AA" w14:paraId="3F25B19C" w14:textId="77777777" w:rsidTr="00F472EE">
        <w:trPr>
          <w:trHeight w:val="255"/>
          <w:tblHeader/>
          <w:jc w:val="center"/>
        </w:trPr>
        <w:tc>
          <w:tcPr>
            <w:tcW w:w="4519" w:type="dxa"/>
            <w:shd w:val="clear" w:color="auto" w:fill="auto"/>
            <w:noWrap/>
            <w:vAlign w:val="bottom"/>
            <w:hideMark/>
          </w:tcPr>
          <w:p w14:paraId="4941993A" w14:textId="095D929E" w:rsidR="002D16AB" w:rsidRPr="000C27AA" w:rsidRDefault="002D16AB" w:rsidP="002D16AB">
            <w:pPr>
              <w:pStyle w:val="ExhibitText"/>
              <w:rPr>
                <w:lang w:val="en-CA"/>
              </w:rPr>
            </w:pPr>
            <w:r w:rsidRPr="000C27AA">
              <w:rPr>
                <w:lang w:val="en-CA"/>
              </w:rPr>
              <w:t>Fuel</w:t>
            </w:r>
            <w:r w:rsidR="00FA38F8" w:rsidRPr="000C27AA">
              <w:rPr>
                <w:lang w:val="en-CA"/>
              </w:rPr>
              <w:t xml:space="preserve"> (per </w:t>
            </w:r>
            <w:r w:rsidRPr="000C27AA">
              <w:rPr>
                <w:lang w:val="en-CA"/>
              </w:rPr>
              <w:t>hour</w:t>
            </w:r>
            <w:r w:rsidR="00FA38F8" w:rsidRPr="000C27AA">
              <w:rPr>
                <w:lang w:val="en-CA"/>
              </w:rPr>
              <w:t>)</w:t>
            </w:r>
            <w:r w:rsidRPr="000C27AA">
              <w:rPr>
                <w:lang w:val="en-CA"/>
              </w:rPr>
              <w:t xml:space="preserve"> </w:t>
            </w:r>
          </w:p>
        </w:tc>
        <w:tc>
          <w:tcPr>
            <w:tcW w:w="1366" w:type="dxa"/>
            <w:shd w:val="clear" w:color="auto" w:fill="auto"/>
            <w:noWrap/>
            <w:vAlign w:val="bottom"/>
            <w:hideMark/>
          </w:tcPr>
          <w:p w14:paraId="74A027D9" w14:textId="77777777" w:rsidR="002D16AB" w:rsidRPr="000C27AA" w:rsidRDefault="002D16AB" w:rsidP="00024467">
            <w:pPr>
              <w:pStyle w:val="ExhibitText"/>
              <w:jc w:val="right"/>
              <w:rPr>
                <w:lang w:val="en-CA"/>
              </w:rPr>
            </w:pPr>
            <w:r w:rsidRPr="000C27AA">
              <w:rPr>
                <w:lang w:val="en-CA"/>
              </w:rPr>
              <w:t xml:space="preserve"> $1,150 </w:t>
            </w:r>
          </w:p>
        </w:tc>
      </w:tr>
      <w:tr w:rsidR="002D16AB" w:rsidRPr="000C27AA" w14:paraId="4C1E4809" w14:textId="77777777" w:rsidTr="00F472EE">
        <w:trPr>
          <w:trHeight w:val="271"/>
          <w:tblHeader/>
          <w:jc w:val="center"/>
        </w:trPr>
        <w:tc>
          <w:tcPr>
            <w:tcW w:w="4519" w:type="dxa"/>
            <w:shd w:val="clear" w:color="auto" w:fill="auto"/>
            <w:noWrap/>
            <w:vAlign w:val="bottom"/>
            <w:hideMark/>
          </w:tcPr>
          <w:p w14:paraId="241B783A" w14:textId="1D5BD41E" w:rsidR="002D16AB" w:rsidRPr="000C27AA" w:rsidRDefault="002D16AB" w:rsidP="002D16AB">
            <w:pPr>
              <w:pStyle w:val="ExhibitText"/>
              <w:rPr>
                <w:lang w:val="en-CA"/>
              </w:rPr>
            </w:pPr>
            <w:r w:rsidRPr="000C27AA">
              <w:rPr>
                <w:lang w:val="en-CA"/>
              </w:rPr>
              <w:t>Maintenance</w:t>
            </w:r>
            <w:r w:rsidR="00FA38F8" w:rsidRPr="000C27AA">
              <w:rPr>
                <w:lang w:val="en-CA"/>
              </w:rPr>
              <w:t xml:space="preserve"> (per </w:t>
            </w:r>
            <w:r w:rsidRPr="000C27AA">
              <w:rPr>
                <w:lang w:val="en-CA"/>
              </w:rPr>
              <w:t>hour</w:t>
            </w:r>
            <w:r w:rsidR="00FA38F8" w:rsidRPr="000C27AA">
              <w:rPr>
                <w:lang w:val="en-CA"/>
              </w:rPr>
              <w:t>)</w:t>
            </w:r>
          </w:p>
        </w:tc>
        <w:tc>
          <w:tcPr>
            <w:tcW w:w="1366" w:type="dxa"/>
            <w:shd w:val="clear" w:color="auto" w:fill="auto"/>
            <w:noWrap/>
            <w:vAlign w:val="bottom"/>
            <w:hideMark/>
          </w:tcPr>
          <w:p w14:paraId="4CE018A5" w14:textId="77777777" w:rsidR="002D16AB" w:rsidRPr="000C27AA" w:rsidRDefault="002D16AB" w:rsidP="00024467">
            <w:pPr>
              <w:pStyle w:val="ExhibitText"/>
              <w:jc w:val="right"/>
              <w:rPr>
                <w:lang w:val="en-CA"/>
              </w:rPr>
            </w:pPr>
            <w:r w:rsidRPr="000C27AA">
              <w:rPr>
                <w:lang w:val="en-CA"/>
              </w:rPr>
              <w:t xml:space="preserve"> $700 </w:t>
            </w:r>
          </w:p>
        </w:tc>
      </w:tr>
      <w:tr w:rsidR="002D16AB" w:rsidRPr="000C27AA" w14:paraId="2EE94C5F" w14:textId="77777777" w:rsidTr="00F472EE">
        <w:trPr>
          <w:trHeight w:val="271"/>
          <w:tblHeader/>
          <w:jc w:val="center"/>
        </w:trPr>
        <w:tc>
          <w:tcPr>
            <w:tcW w:w="4519" w:type="dxa"/>
            <w:shd w:val="clear" w:color="auto" w:fill="auto"/>
            <w:noWrap/>
            <w:vAlign w:val="bottom"/>
            <w:hideMark/>
          </w:tcPr>
          <w:p w14:paraId="40BE4FCB" w14:textId="4C7119D1" w:rsidR="002D16AB" w:rsidRPr="000C27AA" w:rsidRDefault="002D16AB" w:rsidP="002D16AB">
            <w:pPr>
              <w:pStyle w:val="ExhibitText"/>
              <w:rPr>
                <w:i/>
                <w:lang w:val="en-CA"/>
              </w:rPr>
            </w:pPr>
            <w:r w:rsidRPr="000C27AA">
              <w:rPr>
                <w:i/>
                <w:lang w:val="en-CA"/>
              </w:rPr>
              <w:t xml:space="preserve">Cockpit </w:t>
            </w:r>
            <w:r w:rsidR="00FA38F8" w:rsidRPr="000C27AA">
              <w:rPr>
                <w:i/>
                <w:lang w:val="en-CA"/>
              </w:rPr>
              <w:t>c</w:t>
            </w:r>
            <w:r w:rsidRPr="000C27AA">
              <w:rPr>
                <w:i/>
                <w:lang w:val="en-CA"/>
              </w:rPr>
              <w:t>rew</w:t>
            </w:r>
            <w:r w:rsidR="00FA38F8" w:rsidRPr="000C27AA">
              <w:rPr>
                <w:i/>
                <w:lang w:val="en-CA"/>
              </w:rPr>
              <w:t xml:space="preserve"> (per </w:t>
            </w:r>
            <w:r w:rsidRPr="000C27AA">
              <w:rPr>
                <w:i/>
                <w:lang w:val="en-CA"/>
              </w:rPr>
              <w:t>year</w:t>
            </w:r>
            <w:r w:rsidR="00FA38F8" w:rsidRPr="000C27AA">
              <w:rPr>
                <w:i/>
                <w:lang w:val="en-CA"/>
              </w:rPr>
              <w:t>):</w:t>
            </w:r>
          </w:p>
        </w:tc>
        <w:tc>
          <w:tcPr>
            <w:tcW w:w="1366" w:type="dxa"/>
            <w:shd w:val="clear" w:color="auto" w:fill="auto"/>
            <w:noWrap/>
            <w:vAlign w:val="bottom"/>
            <w:hideMark/>
          </w:tcPr>
          <w:p w14:paraId="6008065F" w14:textId="77777777" w:rsidR="002D16AB" w:rsidRPr="000C27AA" w:rsidRDefault="002D16AB" w:rsidP="00024467">
            <w:pPr>
              <w:pStyle w:val="ExhibitText"/>
              <w:jc w:val="right"/>
              <w:rPr>
                <w:lang w:val="en-CA"/>
              </w:rPr>
            </w:pPr>
            <w:r w:rsidRPr="000C27AA">
              <w:rPr>
                <w:lang w:val="en-CA"/>
              </w:rPr>
              <w:t> </w:t>
            </w:r>
          </w:p>
        </w:tc>
      </w:tr>
      <w:tr w:rsidR="002D16AB" w:rsidRPr="000C27AA" w14:paraId="6D35670D" w14:textId="77777777" w:rsidTr="00F472EE">
        <w:trPr>
          <w:trHeight w:val="255"/>
          <w:tblHeader/>
          <w:jc w:val="center"/>
        </w:trPr>
        <w:tc>
          <w:tcPr>
            <w:tcW w:w="4519" w:type="dxa"/>
            <w:shd w:val="clear" w:color="auto" w:fill="auto"/>
            <w:noWrap/>
            <w:vAlign w:val="bottom"/>
            <w:hideMark/>
          </w:tcPr>
          <w:p w14:paraId="47239487" w14:textId="065F375B" w:rsidR="002D16AB" w:rsidRPr="000C27AA" w:rsidRDefault="00FA38F8" w:rsidP="002D16AB">
            <w:pPr>
              <w:pStyle w:val="ExhibitText"/>
              <w:rPr>
                <w:lang w:val="en-CA"/>
              </w:rPr>
            </w:pPr>
            <w:r w:rsidRPr="000C27AA">
              <w:rPr>
                <w:lang w:val="en-CA"/>
              </w:rPr>
              <w:t xml:space="preserve">    </w:t>
            </w:r>
            <w:r w:rsidR="002D16AB" w:rsidRPr="000C27AA">
              <w:rPr>
                <w:lang w:val="en-CA"/>
              </w:rPr>
              <w:t xml:space="preserve">Salary </w:t>
            </w:r>
          </w:p>
        </w:tc>
        <w:tc>
          <w:tcPr>
            <w:tcW w:w="1366" w:type="dxa"/>
            <w:shd w:val="clear" w:color="auto" w:fill="auto"/>
            <w:noWrap/>
            <w:vAlign w:val="bottom"/>
            <w:hideMark/>
          </w:tcPr>
          <w:p w14:paraId="3B05EBD7" w14:textId="77777777" w:rsidR="002D16AB" w:rsidRPr="000C27AA" w:rsidRDefault="002D16AB" w:rsidP="00024467">
            <w:pPr>
              <w:pStyle w:val="ExhibitText"/>
              <w:jc w:val="right"/>
              <w:rPr>
                <w:lang w:val="en-CA"/>
              </w:rPr>
            </w:pPr>
            <w:r w:rsidRPr="000C27AA">
              <w:rPr>
                <w:lang w:val="en-CA"/>
              </w:rPr>
              <w:t xml:space="preserve"> $120,000 </w:t>
            </w:r>
          </w:p>
        </w:tc>
      </w:tr>
      <w:tr w:rsidR="002D16AB" w:rsidRPr="000C27AA" w14:paraId="7497E54D" w14:textId="77777777" w:rsidTr="00F472EE">
        <w:trPr>
          <w:trHeight w:val="255"/>
          <w:tblHeader/>
          <w:jc w:val="center"/>
        </w:trPr>
        <w:tc>
          <w:tcPr>
            <w:tcW w:w="4519" w:type="dxa"/>
            <w:shd w:val="clear" w:color="auto" w:fill="auto"/>
            <w:noWrap/>
            <w:vAlign w:val="bottom"/>
            <w:hideMark/>
          </w:tcPr>
          <w:p w14:paraId="34BF56A8" w14:textId="0341C59C" w:rsidR="002D16AB" w:rsidRPr="000C27AA" w:rsidRDefault="00FA38F8" w:rsidP="002D16AB">
            <w:pPr>
              <w:pStyle w:val="ExhibitText"/>
              <w:rPr>
                <w:lang w:val="en-CA"/>
              </w:rPr>
            </w:pPr>
            <w:r w:rsidRPr="000C27AA">
              <w:rPr>
                <w:lang w:val="en-CA"/>
              </w:rPr>
              <w:t xml:space="preserve">    </w:t>
            </w:r>
            <w:r w:rsidR="002D16AB" w:rsidRPr="000C27AA">
              <w:rPr>
                <w:lang w:val="en-CA"/>
              </w:rPr>
              <w:t xml:space="preserve">Training </w:t>
            </w:r>
          </w:p>
        </w:tc>
        <w:tc>
          <w:tcPr>
            <w:tcW w:w="1366" w:type="dxa"/>
            <w:shd w:val="clear" w:color="auto" w:fill="auto"/>
            <w:noWrap/>
            <w:vAlign w:val="bottom"/>
            <w:hideMark/>
          </w:tcPr>
          <w:p w14:paraId="2B6C4B77" w14:textId="77777777" w:rsidR="002D16AB" w:rsidRPr="000C27AA" w:rsidRDefault="002D16AB" w:rsidP="00024467">
            <w:pPr>
              <w:pStyle w:val="ExhibitText"/>
              <w:jc w:val="right"/>
              <w:rPr>
                <w:lang w:val="en-CA"/>
              </w:rPr>
            </w:pPr>
            <w:r w:rsidRPr="000C27AA">
              <w:rPr>
                <w:lang w:val="en-CA"/>
              </w:rPr>
              <w:t xml:space="preserve"> $15,000 </w:t>
            </w:r>
          </w:p>
        </w:tc>
      </w:tr>
      <w:tr w:rsidR="002D16AB" w:rsidRPr="000C27AA" w14:paraId="5E1B2A19" w14:textId="77777777" w:rsidTr="00F472EE">
        <w:trPr>
          <w:trHeight w:val="255"/>
          <w:tblHeader/>
          <w:jc w:val="center"/>
        </w:trPr>
        <w:tc>
          <w:tcPr>
            <w:tcW w:w="4519" w:type="dxa"/>
            <w:shd w:val="clear" w:color="auto" w:fill="auto"/>
            <w:noWrap/>
            <w:vAlign w:val="bottom"/>
            <w:hideMark/>
          </w:tcPr>
          <w:p w14:paraId="0244A959" w14:textId="6268CEC3" w:rsidR="002D16AB" w:rsidRPr="000C27AA" w:rsidRDefault="002D16AB" w:rsidP="002D16AB">
            <w:pPr>
              <w:pStyle w:val="ExhibitText"/>
              <w:rPr>
                <w:i/>
                <w:lang w:val="en-CA"/>
              </w:rPr>
            </w:pPr>
            <w:r w:rsidRPr="000C27AA">
              <w:rPr>
                <w:i/>
                <w:lang w:val="en-CA"/>
              </w:rPr>
              <w:t xml:space="preserve">Cabin </w:t>
            </w:r>
            <w:r w:rsidR="00FA38F8" w:rsidRPr="000C27AA">
              <w:rPr>
                <w:i/>
                <w:lang w:val="en-CA"/>
              </w:rPr>
              <w:t>c</w:t>
            </w:r>
            <w:r w:rsidRPr="000C27AA">
              <w:rPr>
                <w:i/>
                <w:lang w:val="en-CA"/>
              </w:rPr>
              <w:t>rew</w:t>
            </w:r>
            <w:r w:rsidR="00FA38F8" w:rsidRPr="000C27AA">
              <w:rPr>
                <w:i/>
                <w:lang w:val="en-CA"/>
              </w:rPr>
              <w:t xml:space="preserve"> (per </w:t>
            </w:r>
            <w:r w:rsidRPr="000C27AA">
              <w:rPr>
                <w:i/>
                <w:lang w:val="en-CA"/>
              </w:rPr>
              <w:t>year</w:t>
            </w:r>
            <w:r w:rsidR="00FA38F8" w:rsidRPr="000C27AA">
              <w:rPr>
                <w:i/>
                <w:lang w:val="en-CA"/>
              </w:rPr>
              <w:t>):</w:t>
            </w:r>
          </w:p>
        </w:tc>
        <w:tc>
          <w:tcPr>
            <w:tcW w:w="1366" w:type="dxa"/>
            <w:shd w:val="clear" w:color="auto" w:fill="auto"/>
            <w:noWrap/>
            <w:vAlign w:val="bottom"/>
            <w:hideMark/>
          </w:tcPr>
          <w:p w14:paraId="1F215DE0" w14:textId="77777777" w:rsidR="002D16AB" w:rsidRPr="000C27AA" w:rsidRDefault="002D16AB" w:rsidP="00024467">
            <w:pPr>
              <w:pStyle w:val="ExhibitText"/>
              <w:jc w:val="right"/>
              <w:rPr>
                <w:lang w:val="en-CA"/>
              </w:rPr>
            </w:pPr>
            <w:r w:rsidRPr="000C27AA">
              <w:rPr>
                <w:lang w:val="en-CA"/>
              </w:rPr>
              <w:t> </w:t>
            </w:r>
          </w:p>
        </w:tc>
      </w:tr>
      <w:tr w:rsidR="002D16AB" w:rsidRPr="000C27AA" w14:paraId="0C07E9BD" w14:textId="77777777" w:rsidTr="00F472EE">
        <w:trPr>
          <w:trHeight w:val="255"/>
          <w:tblHeader/>
          <w:jc w:val="center"/>
        </w:trPr>
        <w:tc>
          <w:tcPr>
            <w:tcW w:w="4519" w:type="dxa"/>
            <w:shd w:val="clear" w:color="auto" w:fill="auto"/>
            <w:noWrap/>
            <w:vAlign w:val="bottom"/>
            <w:hideMark/>
          </w:tcPr>
          <w:p w14:paraId="532AFC1D" w14:textId="62E43FD0" w:rsidR="002D16AB" w:rsidRPr="000C27AA" w:rsidRDefault="00FA38F8" w:rsidP="002D16AB">
            <w:pPr>
              <w:pStyle w:val="ExhibitText"/>
              <w:rPr>
                <w:lang w:val="en-CA"/>
              </w:rPr>
            </w:pPr>
            <w:r w:rsidRPr="000C27AA">
              <w:rPr>
                <w:lang w:val="en-CA"/>
              </w:rPr>
              <w:t xml:space="preserve">    </w:t>
            </w:r>
            <w:r w:rsidR="002D16AB" w:rsidRPr="000C27AA">
              <w:rPr>
                <w:lang w:val="en-CA"/>
              </w:rPr>
              <w:t>Salary</w:t>
            </w:r>
          </w:p>
        </w:tc>
        <w:tc>
          <w:tcPr>
            <w:tcW w:w="1366" w:type="dxa"/>
            <w:shd w:val="clear" w:color="auto" w:fill="auto"/>
            <w:noWrap/>
            <w:vAlign w:val="bottom"/>
            <w:hideMark/>
          </w:tcPr>
          <w:p w14:paraId="3316C81E" w14:textId="77777777" w:rsidR="002D16AB" w:rsidRPr="000C27AA" w:rsidRDefault="002D16AB" w:rsidP="00024467">
            <w:pPr>
              <w:pStyle w:val="ExhibitText"/>
              <w:jc w:val="right"/>
              <w:rPr>
                <w:lang w:val="en-CA"/>
              </w:rPr>
            </w:pPr>
            <w:r w:rsidRPr="000C27AA">
              <w:rPr>
                <w:lang w:val="en-CA"/>
              </w:rPr>
              <w:t xml:space="preserve"> $50,000 </w:t>
            </w:r>
          </w:p>
        </w:tc>
      </w:tr>
      <w:tr w:rsidR="002D16AB" w:rsidRPr="000C27AA" w14:paraId="562BB90B" w14:textId="77777777" w:rsidTr="00F472EE">
        <w:trPr>
          <w:trHeight w:val="255"/>
          <w:tblHeader/>
          <w:jc w:val="center"/>
        </w:trPr>
        <w:tc>
          <w:tcPr>
            <w:tcW w:w="4519" w:type="dxa"/>
            <w:shd w:val="clear" w:color="auto" w:fill="auto"/>
            <w:noWrap/>
            <w:vAlign w:val="bottom"/>
            <w:hideMark/>
          </w:tcPr>
          <w:p w14:paraId="269EAC09" w14:textId="01E46757" w:rsidR="002D16AB" w:rsidRPr="000C27AA" w:rsidRDefault="002D16AB" w:rsidP="002D16AB">
            <w:pPr>
              <w:pStyle w:val="ExhibitText"/>
              <w:rPr>
                <w:i/>
                <w:lang w:val="en-CA"/>
              </w:rPr>
            </w:pPr>
            <w:r w:rsidRPr="000C27AA">
              <w:rPr>
                <w:i/>
                <w:lang w:val="en-CA"/>
              </w:rPr>
              <w:t xml:space="preserve">Airport </w:t>
            </w:r>
            <w:r w:rsidR="00FA38F8" w:rsidRPr="000C27AA">
              <w:rPr>
                <w:i/>
                <w:lang w:val="en-CA"/>
              </w:rPr>
              <w:t>f</w:t>
            </w:r>
            <w:r w:rsidRPr="000C27AA">
              <w:rPr>
                <w:i/>
                <w:lang w:val="en-CA"/>
              </w:rPr>
              <w:t>ees</w:t>
            </w:r>
            <w:r w:rsidR="00FA38F8" w:rsidRPr="000C27AA">
              <w:rPr>
                <w:i/>
                <w:lang w:val="en-CA"/>
              </w:rPr>
              <w:t>:</w:t>
            </w:r>
          </w:p>
        </w:tc>
        <w:tc>
          <w:tcPr>
            <w:tcW w:w="1366" w:type="dxa"/>
            <w:shd w:val="clear" w:color="auto" w:fill="auto"/>
            <w:noWrap/>
            <w:vAlign w:val="bottom"/>
            <w:hideMark/>
          </w:tcPr>
          <w:p w14:paraId="303AADD6" w14:textId="77777777" w:rsidR="002D16AB" w:rsidRPr="000C27AA" w:rsidRDefault="002D16AB" w:rsidP="00024467">
            <w:pPr>
              <w:pStyle w:val="ExhibitText"/>
              <w:jc w:val="right"/>
              <w:rPr>
                <w:lang w:val="en-CA"/>
              </w:rPr>
            </w:pPr>
            <w:r w:rsidRPr="000C27AA">
              <w:rPr>
                <w:lang w:val="en-CA"/>
              </w:rPr>
              <w:t> </w:t>
            </w:r>
          </w:p>
        </w:tc>
      </w:tr>
      <w:tr w:rsidR="002D16AB" w:rsidRPr="000C27AA" w14:paraId="3D833B49" w14:textId="77777777" w:rsidTr="00F472EE">
        <w:trPr>
          <w:trHeight w:val="255"/>
          <w:tblHeader/>
          <w:jc w:val="center"/>
        </w:trPr>
        <w:tc>
          <w:tcPr>
            <w:tcW w:w="4519" w:type="dxa"/>
            <w:shd w:val="clear" w:color="auto" w:fill="auto"/>
            <w:noWrap/>
            <w:vAlign w:val="bottom"/>
            <w:hideMark/>
          </w:tcPr>
          <w:p w14:paraId="6666ADB7" w14:textId="55CD517E" w:rsidR="002D16AB" w:rsidRPr="000C27AA" w:rsidRDefault="00FA38F8" w:rsidP="002D16AB">
            <w:pPr>
              <w:pStyle w:val="ExhibitText"/>
              <w:rPr>
                <w:lang w:val="en-CA"/>
              </w:rPr>
            </w:pPr>
            <w:r w:rsidRPr="000C27AA">
              <w:rPr>
                <w:lang w:val="en-CA"/>
              </w:rPr>
              <w:t xml:space="preserve">    A</w:t>
            </w:r>
            <w:r w:rsidR="002D16AB" w:rsidRPr="000C27AA">
              <w:rPr>
                <w:lang w:val="en-CA"/>
              </w:rPr>
              <w:t xml:space="preserve">ircraft </w:t>
            </w:r>
            <w:r w:rsidRPr="000C27AA">
              <w:rPr>
                <w:lang w:val="en-CA"/>
              </w:rPr>
              <w:t>(per turn)</w:t>
            </w:r>
          </w:p>
        </w:tc>
        <w:tc>
          <w:tcPr>
            <w:tcW w:w="1366" w:type="dxa"/>
            <w:shd w:val="clear" w:color="auto" w:fill="auto"/>
            <w:noWrap/>
            <w:vAlign w:val="bottom"/>
            <w:hideMark/>
          </w:tcPr>
          <w:p w14:paraId="0C2333B4" w14:textId="77777777" w:rsidR="002D16AB" w:rsidRPr="000C27AA" w:rsidRDefault="002D16AB" w:rsidP="00024467">
            <w:pPr>
              <w:pStyle w:val="ExhibitText"/>
              <w:jc w:val="right"/>
              <w:rPr>
                <w:lang w:val="en-CA"/>
              </w:rPr>
            </w:pPr>
            <w:r w:rsidRPr="000C27AA">
              <w:rPr>
                <w:lang w:val="en-CA"/>
              </w:rPr>
              <w:t xml:space="preserve"> $2,500 </w:t>
            </w:r>
          </w:p>
        </w:tc>
      </w:tr>
      <w:tr w:rsidR="002D16AB" w:rsidRPr="000C27AA" w14:paraId="78BFB302" w14:textId="77777777" w:rsidTr="00F472EE">
        <w:trPr>
          <w:trHeight w:val="255"/>
          <w:tblHeader/>
          <w:jc w:val="center"/>
        </w:trPr>
        <w:tc>
          <w:tcPr>
            <w:tcW w:w="4519" w:type="dxa"/>
            <w:shd w:val="clear" w:color="auto" w:fill="auto"/>
            <w:noWrap/>
            <w:vAlign w:val="bottom"/>
            <w:hideMark/>
          </w:tcPr>
          <w:p w14:paraId="6E863084" w14:textId="67055200" w:rsidR="002D16AB" w:rsidRPr="000C27AA" w:rsidRDefault="00FA38F8" w:rsidP="002D16AB">
            <w:pPr>
              <w:pStyle w:val="ExhibitText"/>
              <w:rPr>
                <w:lang w:val="en-CA"/>
              </w:rPr>
            </w:pPr>
            <w:r w:rsidRPr="000C27AA">
              <w:rPr>
                <w:lang w:val="en-CA"/>
              </w:rPr>
              <w:t xml:space="preserve">    A</w:t>
            </w:r>
            <w:r w:rsidR="002D16AB" w:rsidRPr="000C27AA">
              <w:rPr>
                <w:lang w:val="en-CA"/>
              </w:rPr>
              <w:t xml:space="preserve">ircraft </w:t>
            </w:r>
            <w:r w:rsidRPr="000C27AA">
              <w:rPr>
                <w:lang w:val="en-CA"/>
              </w:rPr>
              <w:t>(per leg)</w:t>
            </w:r>
          </w:p>
        </w:tc>
        <w:tc>
          <w:tcPr>
            <w:tcW w:w="1366" w:type="dxa"/>
            <w:shd w:val="clear" w:color="auto" w:fill="auto"/>
            <w:noWrap/>
            <w:vAlign w:val="bottom"/>
            <w:hideMark/>
          </w:tcPr>
          <w:p w14:paraId="2D001F5B" w14:textId="77777777" w:rsidR="002D16AB" w:rsidRPr="000C27AA" w:rsidRDefault="002D16AB" w:rsidP="00024467">
            <w:pPr>
              <w:pStyle w:val="ExhibitText"/>
              <w:jc w:val="right"/>
              <w:rPr>
                <w:lang w:val="en-CA"/>
              </w:rPr>
            </w:pPr>
            <w:r w:rsidRPr="000C27AA">
              <w:rPr>
                <w:lang w:val="en-CA"/>
              </w:rPr>
              <w:t xml:space="preserve"> $750 </w:t>
            </w:r>
          </w:p>
        </w:tc>
      </w:tr>
      <w:tr w:rsidR="002D16AB" w:rsidRPr="000C27AA" w14:paraId="3B298809" w14:textId="77777777" w:rsidTr="00F472EE">
        <w:trPr>
          <w:trHeight w:val="255"/>
          <w:tblHeader/>
          <w:jc w:val="center"/>
        </w:trPr>
        <w:tc>
          <w:tcPr>
            <w:tcW w:w="4519" w:type="dxa"/>
            <w:shd w:val="clear" w:color="auto" w:fill="auto"/>
            <w:noWrap/>
            <w:vAlign w:val="bottom"/>
            <w:hideMark/>
          </w:tcPr>
          <w:p w14:paraId="6D434278" w14:textId="1C5DFB67" w:rsidR="002D16AB" w:rsidRPr="000C27AA" w:rsidRDefault="00FA38F8" w:rsidP="002D16AB">
            <w:pPr>
              <w:pStyle w:val="ExhibitText"/>
              <w:rPr>
                <w:lang w:val="en-CA"/>
              </w:rPr>
            </w:pPr>
            <w:r w:rsidRPr="000C27AA">
              <w:rPr>
                <w:lang w:val="en-CA"/>
              </w:rPr>
              <w:t xml:space="preserve">    H</w:t>
            </w:r>
            <w:r w:rsidR="002D16AB" w:rsidRPr="000C27AA">
              <w:rPr>
                <w:lang w:val="en-CA"/>
              </w:rPr>
              <w:t>andling</w:t>
            </w:r>
            <w:r w:rsidRPr="000C27AA">
              <w:rPr>
                <w:lang w:val="en-CA"/>
              </w:rPr>
              <w:t xml:space="preserve"> (per passenger)</w:t>
            </w:r>
          </w:p>
        </w:tc>
        <w:tc>
          <w:tcPr>
            <w:tcW w:w="1366" w:type="dxa"/>
            <w:shd w:val="clear" w:color="auto" w:fill="auto"/>
            <w:noWrap/>
            <w:vAlign w:val="bottom"/>
            <w:hideMark/>
          </w:tcPr>
          <w:p w14:paraId="4859E16A" w14:textId="77777777" w:rsidR="002D16AB" w:rsidRPr="000C27AA" w:rsidRDefault="002D16AB" w:rsidP="00024467">
            <w:pPr>
              <w:pStyle w:val="ExhibitText"/>
              <w:jc w:val="right"/>
              <w:rPr>
                <w:lang w:val="en-CA"/>
              </w:rPr>
            </w:pPr>
            <w:r w:rsidRPr="000C27AA">
              <w:rPr>
                <w:lang w:val="en-CA"/>
              </w:rPr>
              <w:t xml:space="preserve"> $5 </w:t>
            </w:r>
          </w:p>
        </w:tc>
      </w:tr>
      <w:tr w:rsidR="002D16AB" w:rsidRPr="000C27AA" w14:paraId="1B928A15" w14:textId="77777777" w:rsidTr="00F472EE">
        <w:trPr>
          <w:trHeight w:val="255"/>
          <w:tblHeader/>
          <w:jc w:val="center"/>
        </w:trPr>
        <w:tc>
          <w:tcPr>
            <w:tcW w:w="4519" w:type="dxa"/>
            <w:shd w:val="clear" w:color="auto" w:fill="auto"/>
            <w:noWrap/>
            <w:vAlign w:val="bottom"/>
            <w:hideMark/>
          </w:tcPr>
          <w:p w14:paraId="435483A8" w14:textId="46993467" w:rsidR="002D16AB" w:rsidRPr="000C27AA" w:rsidRDefault="002D16AB" w:rsidP="002D16AB">
            <w:pPr>
              <w:pStyle w:val="ExhibitText"/>
              <w:rPr>
                <w:lang w:val="en-CA"/>
              </w:rPr>
            </w:pPr>
            <w:r w:rsidRPr="000C27AA">
              <w:rPr>
                <w:lang w:val="en-CA"/>
              </w:rPr>
              <w:t xml:space="preserve">Number of </w:t>
            </w:r>
            <w:r w:rsidR="00FA38F8" w:rsidRPr="000C27AA">
              <w:rPr>
                <w:lang w:val="en-CA"/>
              </w:rPr>
              <w:t>s</w:t>
            </w:r>
            <w:r w:rsidRPr="000C27AA">
              <w:rPr>
                <w:lang w:val="en-CA"/>
              </w:rPr>
              <w:t>eats</w:t>
            </w:r>
          </w:p>
        </w:tc>
        <w:tc>
          <w:tcPr>
            <w:tcW w:w="1366" w:type="dxa"/>
            <w:shd w:val="clear" w:color="auto" w:fill="auto"/>
            <w:noWrap/>
            <w:vAlign w:val="bottom"/>
            <w:hideMark/>
          </w:tcPr>
          <w:p w14:paraId="1C4B9B53" w14:textId="77777777" w:rsidR="002D16AB" w:rsidRPr="000C27AA" w:rsidRDefault="002D16AB" w:rsidP="00024467">
            <w:pPr>
              <w:pStyle w:val="ExhibitText"/>
              <w:jc w:val="right"/>
              <w:rPr>
                <w:lang w:val="en-CA"/>
              </w:rPr>
            </w:pPr>
            <w:r w:rsidRPr="000C27AA">
              <w:rPr>
                <w:lang w:val="en-CA"/>
              </w:rPr>
              <w:t>156</w:t>
            </w:r>
          </w:p>
        </w:tc>
      </w:tr>
      <w:tr w:rsidR="002D16AB" w:rsidRPr="000C27AA" w14:paraId="58985036" w14:textId="77777777" w:rsidTr="00F472EE">
        <w:trPr>
          <w:trHeight w:val="271"/>
          <w:tblHeader/>
          <w:jc w:val="center"/>
        </w:trPr>
        <w:tc>
          <w:tcPr>
            <w:tcW w:w="4519" w:type="dxa"/>
            <w:shd w:val="clear" w:color="auto" w:fill="auto"/>
            <w:noWrap/>
            <w:vAlign w:val="bottom"/>
            <w:hideMark/>
          </w:tcPr>
          <w:p w14:paraId="5FC813AE" w14:textId="202BFEF2" w:rsidR="002D16AB" w:rsidRPr="000C27AA" w:rsidRDefault="002D16AB" w:rsidP="002D16AB">
            <w:pPr>
              <w:pStyle w:val="ExhibitText"/>
              <w:rPr>
                <w:b/>
                <w:bCs/>
                <w:lang w:val="en-CA"/>
              </w:rPr>
            </w:pPr>
            <w:r w:rsidRPr="000C27AA">
              <w:rPr>
                <w:b/>
                <w:bCs/>
                <w:lang w:val="en-CA"/>
              </w:rPr>
              <w:t xml:space="preserve">Cost </w:t>
            </w:r>
            <w:r w:rsidR="00024467" w:rsidRPr="000C27AA">
              <w:rPr>
                <w:b/>
                <w:bCs/>
                <w:lang w:val="en-CA"/>
              </w:rPr>
              <w:t>p</w:t>
            </w:r>
            <w:r w:rsidRPr="000C27AA">
              <w:rPr>
                <w:b/>
                <w:bCs/>
                <w:lang w:val="en-CA"/>
              </w:rPr>
              <w:t>er ASK</w:t>
            </w:r>
          </w:p>
        </w:tc>
        <w:tc>
          <w:tcPr>
            <w:tcW w:w="1366" w:type="dxa"/>
            <w:shd w:val="clear" w:color="auto" w:fill="auto"/>
            <w:noWrap/>
            <w:vAlign w:val="bottom"/>
            <w:hideMark/>
          </w:tcPr>
          <w:p w14:paraId="19A7E210" w14:textId="77777777" w:rsidR="002D16AB" w:rsidRPr="000C27AA" w:rsidRDefault="002D16AB" w:rsidP="00024467">
            <w:pPr>
              <w:pStyle w:val="ExhibitText"/>
              <w:jc w:val="right"/>
              <w:rPr>
                <w:b/>
                <w:bCs/>
                <w:lang w:val="en-CA"/>
              </w:rPr>
            </w:pPr>
            <w:r w:rsidRPr="000C27AA">
              <w:rPr>
                <w:b/>
                <w:bCs/>
                <w:lang w:val="en-CA"/>
              </w:rPr>
              <w:t xml:space="preserve">$8.19 </w:t>
            </w:r>
          </w:p>
        </w:tc>
      </w:tr>
      <w:bookmarkEnd w:id="0"/>
    </w:tbl>
    <w:p w14:paraId="2561E7E4" w14:textId="77777777" w:rsidR="00024467" w:rsidRPr="000C27AA" w:rsidRDefault="00024467" w:rsidP="002D16AB">
      <w:pPr>
        <w:pStyle w:val="ExhibitText"/>
        <w:rPr>
          <w:vanish/>
          <w:lang w:val="en-CA"/>
        </w:rPr>
      </w:pPr>
    </w:p>
    <w:p w14:paraId="17D8D3CC" w14:textId="5CAA7968" w:rsidR="002D16AB" w:rsidRPr="000C27AA" w:rsidRDefault="002D16AB" w:rsidP="002D16AB">
      <w:pPr>
        <w:pStyle w:val="ExhibitText"/>
        <w:rPr>
          <w:lang w:val="en-CA"/>
        </w:rPr>
      </w:pPr>
    </w:p>
    <w:p w14:paraId="74420934" w14:textId="20FB1077" w:rsidR="002D16AB" w:rsidRPr="000C27AA" w:rsidRDefault="002D16AB" w:rsidP="004819F4">
      <w:pPr>
        <w:pStyle w:val="Casehead2"/>
        <w:jc w:val="center"/>
        <w:rPr>
          <w:lang w:val="en-CA"/>
        </w:rPr>
      </w:pPr>
      <w:r w:rsidRPr="000C27AA">
        <w:rPr>
          <w:lang w:val="en-CA"/>
        </w:rPr>
        <w:t xml:space="preserve">Average </w:t>
      </w:r>
      <w:r w:rsidR="00024467" w:rsidRPr="000C27AA">
        <w:rPr>
          <w:lang w:val="en-CA"/>
        </w:rPr>
        <w:t>P</w:t>
      </w:r>
      <w:r w:rsidRPr="000C27AA">
        <w:rPr>
          <w:lang w:val="en-CA"/>
        </w:rPr>
        <w:t xml:space="preserve">ricing </w:t>
      </w:r>
      <w:r w:rsidR="00FA38F8" w:rsidRPr="000C27AA">
        <w:rPr>
          <w:lang w:val="en-CA"/>
        </w:rPr>
        <w:t>p</w:t>
      </w:r>
      <w:r w:rsidRPr="000C27AA">
        <w:rPr>
          <w:lang w:val="en-CA"/>
        </w:rPr>
        <w:t xml:space="preserve">er </w:t>
      </w:r>
      <w:r w:rsidR="00024467" w:rsidRPr="000C27AA">
        <w:rPr>
          <w:lang w:val="en-CA"/>
        </w:rPr>
        <w:t>F</w:t>
      </w:r>
      <w:r w:rsidRPr="000C27AA">
        <w:rPr>
          <w:lang w:val="en-CA"/>
        </w:rPr>
        <w:t xml:space="preserve">light for </w:t>
      </w:r>
      <w:r w:rsidR="00024467" w:rsidRPr="000C27AA">
        <w:rPr>
          <w:lang w:val="en-CA"/>
        </w:rPr>
        <w:t>S</w:t>
      </w:r>
      <w:r w:rsidRPr="000C27AA">
        <w:rPr>
          <w:lang w:val="en-CA"/>
        </w:rPr>
        <w:t xml:space="preserve">elect </w:t>
      </w:r>
      <w:r w:rsidR="00024467" w:rsidRPr="000C27AA">
        <w:rPr>
          <w:lang w:val="en-CA"/>
        </w:rPr>
        <w:t>R</w:t>
      </w:r>
      <w:r w:rsidRPr="000C27AA">
        <w:rPr>
          <w:lang w:val="en-CA"/>
        </w:rPr>
        <w:t>outes</w:t>
      </w:r>
    </w:p>
    <w:p w14:paraId="246816C3" w14:textId="78D1A3E5" w:rsidR="002D16AB" w:rsidRPr="000C27AA" w:rsidRDefault="002D16AB" w:rsidP="002D16AB">
      <w:pPr>
        <w:pStyle w:val="ExhibitText"/>
        <w:rPr>
          <w:lang w:val="en-CA"/>
        </w:rPr>
      </w:pPr>
    </w:p>
    <w:tbl>
      <w:tblPr>
        <w:tblpPr w:leftFromText="180" w:rightFromText="180" w:vertAnchor="text" w:horzAnchor="margin" w:tblpXSpec="center" w:tblpY="45"/>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hibit 3"/>
        <w:tblDescription w:val="Average pricing flight for select routes"/>
      </w:tblPr>
      <w:tblGrid>
        <w:gridCol w:w="4850"/>
        <w:gridCol w:w="2250"/>
        <w:gridCol w:w="1800"/>
      </w:tblGrid>
      <w:tr w:rsidR="00FA38F8" w:rsidRPr="000C27AA" w14:paraId="54ADFA22" w14:textId="77777777" w:rsidTr="00F472EE">
        <w:trPr>
          <w:trHeight w:val="340"/>
          <w:tblHeader/>
        </w:trPr>
        <w:tc>
          <w:tcPr>
            <w:tcW w:w="4850" w:type="dxa"/>
            <w:shd w:val="clear" w:color="auto" w:fill="auto"/>
            <w:noWrap/>
            <w:vAlign w:val="center"/>
            <w:hideMark/>
          </w:tcPr>
          <w:p w14:paraId="483E0EE1" w14:textId="5500D26E" w:rsidR="002D16AB" w:rsidRPr="000C27AA" w:rsidRDefault="00024467" w:rsidP="00024467">
            <w:pPr>
              <w:pStyle w:val="ExhibitText"/>
              <w:jc w:val="center"/>
              <w:rPr>
                <w:b/>
                <w:bCs/>
                <w:lang w:val="en-CA"/>
              </w:rPr>
            </w:pPr>
            <w:r w:rsidRPr="000C27AA">
              <w:rPr>
                <w:b/>
                <w:bCs/>
                <w:lang w:val="en-CA"/>
              </w:rPr>
              <w:t>Route</w:t>
            </w:r>
          </w:p>
        </w:tc>
        <w:tc>
          <w:tcPr>
            <w:tcW w:w="2250" w:type="dxa"/>
            <w:shd w:val="clear" w:color="auto" w:fill="auto"/>
            <w:vAlign w:val="center"/>
          </w:tcPr>
          <w:p w14:paraId="0FCDB7FD" w14:textId="77777777" w:rsidR="002D16AB" w:rsidRPr="000C27AA" w:rsidRDefault="002D16AB" w:rsidP="00024467">
            <w:pPr>
              <w:pStyle w:val="ExhibitText"/>
              <w:jc w:val="center"/>
              <w:rPr>
                <w:b/>
                <w:bCs/>
                <w:lang w:val="en-CA"/>
              </w:rPr>
            </w:pPr>
            <w:r w:rsidRPr="000C27AA">
              <w:rPr>
                <w:b/>
                <w:bCs/>
                <w:lang w:val="en-CA"/>
              </w:rPr>
              <w:t>Average Ticket Price</w:t>
            </w:r>
          </w:p>
        </w:tc>
        <w:tc>
          <w:tcPr>
            <w:tcW w:w="1800" w:type="dxa"/>
            <w:vAlign w:val="center"/>
          </w:tcPr>
          <w:p w14:paraId="62182E1D" w14:textId="60E9816D" w:rsidR="002D16AB" w:rsidRPr="000C27AA" w:rsidRDefault="002D16AB" w:rsidP="00024467">
            <w:pPr>
              <w:pStyle w:val="ExhibitText"/>
              <w:jc w:val="center"/>
              <w:rPr>
                <w:b/>
                <w:bCs/>
                <w:lang w:val="en-CA"/>
              </w:rPr>
            </w:pPr>
            <w:r w:rsidRPr="000C27AA">
              <w:rPr>
                <w:b/>
                <w:bCs/>
                <w:lang w:val="en-CA"/>
              </w:rPr>
              <w:t>Distance (</w:t>
            </w:r>
            <w:r w:rsidR="00024467" w:rsidRPr="000C27AA">
              <w:rPr>
                <w:b/>
                <w:bCs/>
                <w:lang w:val="en-CA"/>
              </w:rPr>
              <w:t xml:space="preserve">in </w:t>
            </w:r>
            <w:r w:rsidRPr="000C27AA">
              <w:rPr>
                <w:b/>
                <w:bCs/>
                <w:lang w:val="en-CA"/>
              </w:rPr>
              <w:t>km)</w:t>
            </w:r>
          </w:p>
        </w:tc>
      </w:tr>
      <w:tr w:rsidR="00FA38F8" w:rsidRPr="000C27AA" w14:paraId="19B50787" w14:textId="77777777" w:rsidTr="00F472EE">
        <w:trPr>
          <w:trHeight w:val="360"/>
          <w:tblHeader/>
        </w:trPr>
        <w:tc>
          <w:tcPr>
            <w:tcW w:w="4850" w:type="dxa"/>
            <w:shd w:val="clear" w:color="auto" w:fill="auto"/>
            <w:noWrap/>
            <w:vAlign w:val="center"/>
            <w:hideMark/>
          </w:tcPr>
          <w:p w14:paraId="3161BDE6" w14:textId="727C87EF" w:rsidR="002D16AB" w:rsidRPr="000C27AA" w:rsidRDefault="002D16AB" w:rsidP="002D16AB">
            <w:pPr>
              <w:pStyle w:val="ExhibitText"/>
              <w:rPr>
                <w:lang w:val="en-CA"/>
              </w:rPr>
            </w:pPr>
            <w:r w:rsidRPr="000C27AA">
              <w:rPr>
                <w:lang w:val="en-CA"/>
              </w:rPr>
              <w:t>Paris</w:t>
            </w:r>
            <w:r w:rsidR="00024467" w:rsidRPr="000C27AA">
              <w:rPr>
                <w:lang w:val="en-CA"/>
              </w:rPr>
              <w:t>, France</w:t>
            </w:r>
            <w:r w:rsidRPr="000C27AA">
              <w:rPr>
                <w:lang w:val="en-CA"/>
              </w:rPr>
              <w:t xml:space="preserve"> </w:t>
            </w:r>
            <w:r w:rsidR="00024467" w:rsidRPr="000C27AA">
              <w:rPr>
                <w:lang w:val="en-CA"/>
              </w:rPr>
              <w:t>to</w:t>
            </w:r>
            <w:r w:rsidRPr="000C27AA">
              <w:rPr>
                <w:lang w:val="en-CA"/>
              </w:rPr>
              <w:t xml:space="preserve"> N</w:t>
            </w:r>
            <w:r w:rsidR="00024467" w:rsidRPr="000C27AA">
              <w:rPr>
                <w:lang w:val="en-CA"/>
              </w:rPr>
              <w:t xml:space="preserve">ew </w:t>
            </w:r>
            <w:r w:rsidRPr="000C27AA">
              <w:rPr>
                <w:lang w:val="en-CA"/>
              </w:rPr>
              <w:t>Y</w:t>
            </w:r>
            <w:r w:rsidR="00024467" w:rsidRPr="000C27AA">
              <w:rPr>
                <w:lang w:val="en-CA"/>
              </w:rPr>
              <w:t>ork, United States</w:t>
            </w:r>
          </w:p>
        </w:tc>
        <w:tc>
          <w:tcPr>
            <w:tcW w:w="2250" w:type="dxa"/>
            <w:shd w:val="clear" w:color="auto" w:fill="auto"/>
            <w:noWrap/>
            <w:vAlign w:val="center"/>
            <w:hideMark/>
          </w:tcPr>
          <w:p w14:paraId="0DBEE857" w14:textId="57158295" w:rsidR="002D16AB" w:rsidRPr="000C27AA" w:rsidRDefault="002D16AB" w:rsidP="00024467">
            <w:pPr>
              <w:pStyle w:val="ExhibitText"/>
              <w:jc w:val="center"/>
              <w:rPr>
                <w:lang w:val="en-CA"/>
              </w:rPr>
            </w:pPr>
            <w:r w:rsidRPr="000C27AA">
              <w:rPr>
                <w:lang w:val="en-CA"/>
              </w:rPr>
              <w:t>$509</w:t>
            </w:r>
          </w:p>
        </w:tc>
        <w:tc>
          <w:tcPr>
            <w:tcW w:w="1800" w:type="dxa"/>
            <w:shd w:val="clear" w:color="auto" w:fill="auto"/>
            <w:vAlign w:val="center"/>
          </w:tcPr>
          <w:p w14:paraId="6FE40587" w14:textId="77777777" w:rsidR="002D16AB" w:rsidRPr="000C27AA" w:rsidRDefault="002D16AB" w:rsidP="00024467">
            <w:pPr>
              <w:pStyle w:val="ExhibitText"/>
              <w:jc w:val="center"/>
              <w:rPr>
                <w:lang w:val="en-CA"/>
              </w:rPr>
            </w:pPr>
            <w:r w:rsidRPr="000C27AA">
              <w:rPr>
                <w:lang w:val="en-CA"/>
              </w:rPr>
              <w:t>5,849</w:t>
            </w:r>
          </w:p>
        </w:tc>
      </w:tr>
      <w:tr w:rsidR="00FA38F8" w:rsidRPr="000C27AA" w14:paraId="62DBA6E2" w14:textId="77777777" w:rsidTr="00F472EE">
        <w:trPr>
          <w:trHeight w:val="320"/>
          <w:tblHeader/>
        </w:trPr>
        <w:tc>
          <w:tcPr>
            <w:tcW w:w="4850" w:type="dxa"/>
            <w:shd w:val="clear" w:color="auto" w:fill="auto"/>
            <w:noWrap/>
            <w:vAlign w:val="center"/>
            <w:hideMark/>
          </w:tcPr>
          <w:p w14:paraId="50EE86B5" w14:textId="008A692A" w:rsidR="002D16AB" w:rsidRPr="000C27AA" w:rsidRDefault="002D16AB" w:rsidP="002D16AB">
            <w:pPr>
              <w:pStyle w:val="ExhibitText"/>
              <w:rPr>
                <w:lang w:val="en-CA"/>
              </w:rPr>
            </w:pPr>
            <w:r w:rsidRPr="000C27AA">
              <w:rPr>
                <w:lang w:val="en-CA"/>
              </w:rPr>
              <w:t>Frankfurt</w:t>
            </w:r>
            <w:r w:rsidR="00177824" w:rsidRPr="000C27AA">
              <w:rPr>
                <w:lang w:val="en-CA"/>
              </w:rPr>
              <w:t>, Germany to</w:t>
            </w:r>
            <w:r w:rsidRPr="000C27AA">
              <w:rPr>
                <w:lang w:val="en-CA"/>
              </w:rPr>
              <w:t xml:space="preserve"> N</w:t>
            </w:r>
            <w:r w:rsidR="00177824" w:rsidRPr="000C27AA">
              <w:rPr>
                <w:lang w:val="en-CA"/>
              </w:rPr>
              <w:t>ew York, United States</w:t>
            </w:r>
          </w:p>
        </w:tc>
        <w:tc>
          <w:tcPr>
            <w:tcW w:w="2250" w:type="dxa"/>
            <w:shd w:val="clear" w:color="auto" w:fill="auto"/>
            <w:noWrap/>
            <w:vAlign w:val="center"/>
            <w:hideMark/>
          </w:tcPr>
          <w:p w14:paraId="69B29E3A" w14:textId="716CE544" w:rsidR="002D16AB" w:rsidRPr="000C27AA" w:rsidRDefault="002D16AB" w:rsidP="00024467">
            <w:pPr>
              <w:pStyle w:val="ExhibitText"/>
              <w:jc w:val="center"/>
              <w:rPr>
                <w:lang w:val="en-CA"/>
              </w:rPr>
            </w:pPr>
            <w:r w:rsidRPr="000C27AA">
              <w:rPr>
                <w:lang w:val="en-CA"/>
              </w:rPr>
              <w:t>$629</w:t>
            </w:r>
          </w:p>
        </w:tc>
        <w:tc>
          <w:tcPr>
            <w:tcW w:w="1800" w:type="dxa"/>
            <w:shd w:val="clear" w:color="auto" w:fill="auto"/>
            <w:vAlign w:val="center"/>
          </w:tcPr>
          <w:p w14:paraId="046CF40F" w14:textId="77777777" w:rsidR="002D16AB" w:rsidRPr="000C27AA" w:rsidRDefault="002D16AB" w:rsidP="00024467">
            <w:pPr>
              <w:pStyle w:val="ExhibitText"/>
              <w:jc w:val="center"/>
              <w:rPr>
                <w:lang w:val="en-CA"/>
              </w:rPr>
            </w:pPr>
            <w:r w:rsidRPr="000C27AA">
              <w:rPr>
                <w:lang w:val="en-CA"/>
              </w:rPr>
              <w:t>6,191</w:t>
            </w:r>
          </w:p>
        </w:tc>
      </w:tr>
      <w:tr w:rsidR="00FA38F8" w:rsidRPr="000C27AA" w14:paraId="3F4712C8" w14:textId="77777777" w:rsidTr="00F472EE">
        <w:trPr>
          <w:trHeight w:val="340"/>
          <w:tblHeader/>
        </w:trPr>
        <w:tc>
          <w:tcPr>
            <w:tcW w:w="4850" w:type="dxa"/>
            <w:shd w:val="clear" w:color="auto" w:fill="auto"/>
            <w:noWrap/>
            <w:vAlign w:val="center"/>
            <w:hideMark/>
          </w:tcPr>
          <w:p w14:paraId="1F9E183A" w14:textId="60DF8B0D" w:rsidR="002D16AB" w:rsidRPr="000C27AA" w:rsidRDefault="002D16AB" w:rsidP="002D16AB">
            <w:pPr>
              <w:pStyle w:val="ExhibitText"/>
              <w:rPr>
                <w:lang w:val="en-CA"/>
              </w:rPr>
            </w:pPr>
            <w:r w:rsidRPr="000C27AA">
              <w:rPr>
                <w:lang w:val="en-CA"/>
              </w:rPr>
              <w:t>London</w:t>
            </w:r>
            <w:r w:rsidR="00177824" w:rsidRPr="000C27AA">
              <w:rPr>
                <w:lang w:val="en-CA"/>
              </w:rPr>
              <w:t>, United Kingdom to</w:t>
            </w:r>
            <w:r w:rsidRPr="000C27AA">
              <w:rPr>
                <w:lang w:val="en-CA"/>
              </w:rPr>
              <w:t xml:space="preserve"> N</w:t>
            </w:r>
            <w:r w:rsidR="00177824" w:rsidRPr="000C27AA">
              <w:rPr>
                <w:lang w:val="en-CA"/>
              </w:rPr>
              <w:t>ew York, United States</w:t>
            </w:r>
          </w:p>
        </w:tc>
        <w:tc>
          <w:tcPr>
            <w:tcW w:w="2250" w:type="dxa"/>
            <w:shd w:val="clear" w:color="auto" w:fill="auto"/>
            <w:noWrap/>
            <w:vAlign w:val="center"/>
            <w:hideMark/>
          </w:tcPr>
          <w:p w14:paraId="0F1420AC" w14:textId="334407E8" w:rsidR="002D16AB" w:rsidRPr="000C27AA" w:rsidRDefault="002D16AB" w:rsidP="00024467">
            <w:pPr>
              <w:pStyle w:val="ExhibitText"/>
              <w:jc w:val="center"/>
              <w:rPr>
                <w:lang w:val="en-CA"/>
              </w:rPr>
            </w:pPr>
            <w:r w:rsidRPr="000C27AA">
              <w:rPr>
                <w:lang w:val="en-CA"/>
              </w:rPr>
              <w:t>$452</w:t>
            </w:r>
          </w:p>
        </w:tc>
        <w:tc>
          <w:tcPr>
            <w:tcW w:w="1800" w:type="dxa"/>
            <w:shd w:val="clear" w:color="auto" w:fill="auto"/>
            <w:vAlign w:val="center"/>
          </w:tcPr>
          <w:p w14:paraId="1236116C" w14:textId="77777777" w:rsidR="002D16AB" w:rsidRPr="000C27AA" w:rsidRDefault="002D16AB" w:rsidP="00024467">
            <w:pPr>
              <w:pStyle w:val="ExhibitText"/>
              <w:jc w:val="center"/>
              <w:rPr>
                <w:lang w:val="en-CA"/>
              </w:rPr>
            </w:pPr>
            <w:r w:rsidRPr="000C27AA">
              <w:rPr>
                <w:lang w:val="en-CA"/>
              </w:rPr>
              <w:t>5,541</w:t>
            </w:r>
          </w:p>
        </w:tc>
      </w:tr>
    </w:tbl>
    <w:p w14:paraId="6B4A364A" w14:textId="146DA7D0" w:rsidR="002D16AB" w:rsidRPr="000C27AA" w:rsidRDefault="002D16AB" w:rsidP="002D16AB">
      <w:pPr>
        <w:pStyle w:val="ExhibitText"/>
        <w:rPr>
          <w:lang w:val="en-CA"/>
        </w:rPr>
      </w:pPr>
    </w:p>
    <w:p w14:paraId="0FBDF1BB" w14:textId="4320A964" w:rsidR="00024467" w:rsidRPr="000C27AA" w:rsidRDefault="00024467" w:rsidP="004819F4">
      <w:pPr>
        <w:pStyle w:val="Footnote"/>
        <w:rPr>
          <w:lang w:val="en-CA"/>
        </w:rPr>
      </w:pPr>
      <w:r w:rsidRPr="000C27AA">
        <w:rPr>
          <w:lang w:val="en-CA"/>
        </w:rPr>
        <w:t>Note: ASK = available seat kilometres; km = kilometres</w:t>
      </w:r>
      <w:r w:rsidR="00540205">
        <w:rPr>
          <w:lang w:val="en-CA"/>
        </w:rPr>
        <w:t>.</w:t>
      </w:r>
    </w:p>
    <w:p w14:paraId="3E277125" w14:textId="61950EDF" w:rsidR="009D3CD0" w:rsidRPr="000C27AA" w:rsidRDefault="002D16AB" w:rsidP="009D3CD0">
      <w:pPr>
        <w:rPr>
          <w:rFonts w:ascii="Arial" w:hAnsi="Arial" w:cs="Arial"/>
          <w:sz w:val="17"/>
          <w:szCs w:val="17"/>
          <w:lang w:val="en-CA" w:eastAsia="zh-CN"/>
        </w:rPr>
      </w:pPr>
      <w:r w:rsidRPr="000C27AA">
        <w:rPr>
          <w:rFonts w:ascii="Arial" w:hAnsi="Arial" w:cs="Arial"/>
          <w:sz w:val="17"/>
          <w:szCs w:val="17"/>
          <w:lang w:val="en-CA"/>
        </w:rPr>
        <w:t>Source:</w:t>
      </w:r>
      <w:r w:rsidR="002E2C86" w:rsidRPr="000C27AA">
        <w:rPr>
          <w:rFonts w:ascii="Arial" w:hAnsi="Arial" w:cs="Arial"/>
          <w:sz w:val="17"/>
          <w:szCs w:val="17"/>
          <w:lang w:val="en-CA"/>
        </w:rPr>
        <w:t xml:space="preserve"> Steve Saxon and Mathieu Weber, “A </w:t>
      </w:r>
      <w:r w:rsidR="000C02ED" w:rsidRPr="000C27AA">
        <w:rPr>
          <w:rFonts w:ascii="Arial" w:hAnsi="Arial" w:cs="Arial"/>
          <w:sz w:val="17"/>
          <w:szCs w:val="17"/>
          <w:lang w:val="en-CA"/>
        </w:rPr>
        <w:t>B</w:t>
      </w:r>
      <w:r w:rsidR="002E2C86" w:rsidRPr="000C27AA">
        <w:rPr>
          <w:rFonts w:ascii="Arial" w:hAnsi="Arial" w:cs="Arial"/>
          <w:sz w:val="17"/>
          <w:szCs w:val="17"/>
          <w:lang w:val="en-CA"/>
        </w:rPr>
        <w:t>etter Approach to Airline Costs,” McKinsey &amp; Company, July 13, 2017, accessed December 14, 2020, www.mckinsey.com/industries/travel-logistics-and-transport-infrastructure/our-insights/a-better-approach-to-airline-costs#;</w:t>
      </w:r>
      <w:r w:rsidRPr="000C27AA">
        <w:rPr>
          <w:rFonts w:ascii="Arial" w:hAnsi="Arial" w:cs="Arial"/>
          <w:sz w:val="17"/>
          <w:szCs w:val="17"/>
          <w:lang w:val="en-CA"/>
        </w:rPr>
        <w:t xml:space="preserve"> </w:t>
      </w:r>
      <w:r w:rsidR="00AE072B" w:rsidRPr="000C27AA">
        <w:rPr>
          <w:rFonts w:ascii="Arial" w:hAnsi="Arial" w:cs="Arial"/>
          <w:sz w:val="17"/>
          <w:szCs w:val="17"/>
          <w:lang w:val="en-CA"/>
        </w:rPr>
        <w:t xml:space="preserve">Flight Airline Business, </w:t>
      </w:r>
      <w:r w:rsidR="00024467" w:rsidRPr="000C27AA">
        <w:rPr>
          <w:rFonts w:ascii="Arial" w:hAnsi="Arial" w:cs="Arial"/>
          <w:i/>
          <w:sz w:val="17"/>
          <w:szCs w:val="17"/>
          <w:lang w:val="en-CA"/>
        </w:rPr>
        <w:t>World Airline Rankings</w:t>
      </w:r>
      <w:r w:rsidR="00AE072B" w:rsidRPr="000C27AA">
        <w:rPr>
          <w:rFonts w:ascii="Arial" w:hAnsi="Arial" w:cs="Arial"/>
          <w:i/>
          <w:sz w:val="17"/>
          <w:szCs w:val="17"/>
          <w:lang w:val="en-CA"/>
        </w:rPr>
        <w:t xml:space="preserve"> 2018</w:t>
      </w:r>
      <w:r w:rsidR="00AE072B" w:rsidRPr="000C27AA">
        <w:rPr>
          <w:rFonts w:ascii="Arial" w:hAnsi="Arial" w:cs="Arial"/>
          <w:sz w:val="17"/>
          <w:szCs w:val="17"/>
          <w:lang w:val="en-CA"/>
        </w:rPr>
        <w:t>,</w:t>
      </w:r>
      <w:r w:rsidR="00024467" w:rsidRPr="000C27AA">
        <w:rPr>
          <w:rFonts w:ascii="Arial" w:hAnsi="Arial" w:cs="Arial"/>
          <w:sz w:val="17"/>
          <w:szCs w:val="17"/>
          <w:lang w:val="en-CA"/>
        </w:rPr>
        <w:t xml:space="preserve"> </w:t>
      </w:r>
      <w:r w:rsidR="00AE072B" w:rsidRPr="000C27AA">
        <w:rPr>
          <w:rFonts w:ascii="Arial" w:hAnsi="Arial" w:cs="Arial"/>
          <w:sz w:val="17"/>
          <w:szCs w:val="17"/>
          <w:lang w:val="en-CA"/>
        </w:rPr>
        <w:t>2018, accessed July 14, 2020, www.sipotra.it/old/wp-content/uploads/2018/11/World-airline-rankings-2018.pdf</w:t>
      </w:r>
      <w:r w:rsidR="00024467" w:rsidRPr="000C27AA">
        <w:rPr>
          <w:rFonts w:ascii="Arial" w:hAnsi="Arial" w:cs="Arial"/>
          <w:sz w:val="17"/>
          <w:szCs w:val="17"/>
          <w:lang w:val="en-CA"/>
        </w:rPr>
        <w:t xml:space="preserve">; </w:t>
      </w:r>
      <w:r w:rsidR="00AE072B" w:rsidRPr="000C27AA">
        <w:rPr>
          <w:rFonts w:ascii="Arial" w:hAnsi="Arial" w:cs="Arial"/>
          <w:color w:val="222222"/>
          <w:sz w:val="17"/>
          <w:szCs w:val="17"/>
          <w:shd w:val="clear" w:color="auto" w:fill="FFFFFF"/>
          <w:lang w:val="en-CA" w:eastAsia="zh-CN"/>
        </w:rPr>
        <w:t>p</w:t>
      </w:r>
      <w:r w:rsidR="009D3CD0" w:rsidRPr="000C27AA">
        <w:rPr>
          <w:rFonts w:ascii="Arial" w:hAnsi="Arial" w:cs="Arial"/>
          <w:color w:val="222222"/>
          <w:sz w:val="17"/>
          <w:szCs w:val="17"/>
          <w:shd w:val="clear" w:color="auto" w:fill="FFFFFF"/>
          <w:lang w:val="en-CA" w:eastAsia="zh-CN"/>
        </w:rPr>
        <w:t>repared by case authors</w:t>
      </w:r>
      <w:r w:rsidR="00AE072B" w:rsidRPr="000C27AA">
        <w:rPr>
          <w:rFonts w:ascii="Arial" w:hAnsi="Arial" w:cs="Arial"/>
          <w:color w:val="222222"/>
          <w:sz w:val="17"/>
          <w:szCs w:val="17"/>
          <w:shd w:val="clear" w:color="auto" w:fill="FFFFFF"/>
          <w:lang w:val="en-CA" w:eastAsia="zh-CN"/>
        </w:rPr>
        <w:t xml:space="preserve"> searching with the </w:t>
      </w:r>
      <w:r w:rsidR="009337A5" w:rsidRPr="000C27AA">
        <w:rPr>
          <w:rFonts w:ascii="Arial" w:hAnsi="Arial" w:cs="Arial"/>
          <w:color w:val="222222"/>
          <w:sz w:val="17"/>
          <w:szCs w:val="17"/>
          <w:shd w:val="clear" w:color="auto" w:fill="FFFFFF"/>
          <w:lang w:val="en-CA" w:eastAsia="zh-CN"/>
        </w:rPr>
        <w:t>“</w:t>
      </w:r>
      <w:r w:rsidR="00AE072B" w:rsidRPr="000C27AA">
        <w:rPr>
          <w:rFonts w:ascii="Arial" w:hAnsi="Arial" w:cs="Arial"/>
          <w:color w:val="222222"/>
          <w:sz w:val="17"/>
          <w:szCs w:val="17"/>
          <w:shd w:val="clear" w:color="auto" w:fill="FFFFFF"/>
          <w:lang w:val="en-CA" w:eastAsia="zh-CN"/>
        </w:rPr>
        <w:t>Origin</w:t>
      </w:r>
      <w:r w:rsidR="009337A5" w:rsidRPr="000C27AA">
        <w:rPr>
          <w:rFonts w:ascii="Arial" w:hAnsi="Arial" w:cs="Arial"/>
          <w:color w:val="222222"/>
          <w:sz w:val="17"/>
          <w:szCs w:val="17"/>
          <w:shd w:val="clear" w:color="auto" w:fill="FFFFFF"/>
          <w:lang w:val="en-CA" w:eastAsia="zh-CN"/>
        </w:rPr>
        <w:t>s</w:t>
      </w:r>
      <w:r w:rsidR="00AE072B" w:rsidRPr="000C27AA">
        <w:rPr>
          <w:rFonts w:ascii="Arial" w:hAnsi="Arial" w:cs="Arial"/>
          <w:color w:val="222222"/>
          <w:sz w:val="17"/>
          <w:szCs w:val="17"/>
          <w:shd w:val="clear" w:color="auto" w:fill="FFFFFF"/>
          <w:lang w:val="en-CA" w:eastAsia="zh-CN"/>
        </w:rPr>
        <w:t xml:space="preserve"> and Destinations</w:t>
      </w:r>
      <w:r w:rsidR="009337A5" w:rsidRPr="000C27AA">
        <w:rPr>
          <w:rFonts w:ascii="Arial" w:hAnsi="Arial" w:cs="Arial"/>
          <w:color w:val="222222"/>
          <w:sz w:val="17"/>
          <w:szCs w:val="17"/>
          <w:shd w:val="clear" w:color="auto" w:fill="FFFFFF"/>
          <w:lang w:val="en-CA" w:eastAsia="zh-CN"/>
        </w:rPr>
        <w:t>”</w:t>
      </w:r>
      <w:r w:rsidR="00AE072B" w:rsidRPr="000C27AA">
        <w:rPr>
          <w:rFonts w:ascii="Arial" w:hAnsi="Arial" w:cs="Arial"/>
          <w:color w:val="222222"/>
          <w:sz w:val="17"/>
          <w:szCs w:val="17"/>
          <w:shd w:val="clear" w:color="auto" w:fill="FFFFFF"/>
          <w:lang w:val="en-CA" w:eastAsia="zh-CN"/>
        </w:rPr>
        <w:t xml:space="preserve"> function for final data on routing shown on tickets for flights from Jan 1, 2019 to Dec 31, 2019 between JFK and CDG, GRA, and LHR </w:t>
      </w:r>
      <w:r w:rsidR="009D3CD0" w:rsidRPr="000C27AA">
        <w:rPr>
          <w:rFonts w:ascii="Arial" w:hAnsi="Arial" w:cs="Arial"/>
          <w:color w:val="222222"/>
          <w:sz w:val="17"/>
          <w:szCs w:val="17"/>
          <w:shd w:val="clear" w:color="auto" w:fill="FFFFFF"/>
          <w:lang w:val="en-CA" w:eastAsia="zh-CN"/>
        </w:rPr>
        <w:t xml:space="preserve">from the </w:t>
      </w:r>
      <w:r w:rsidR="00AE072B" w:rsidRPr="000C27AA">
        <w:rPr>
          <w:rFonts w:ascii="Arial" w:hAnsi="Arial" w:cs="Arial"/>
          <w:color w:val="222222"/>
          <w:sz w:val="17"/>
          <w:szCs w:val="17"/>
          <w:shd w:val="clear" w:color="auto" w:fill="FFFFFF"/>
          <w:lang w:val="en-CA" w:eastAsia="zh-CN"/>
        </w:rPr>
        <w:t>“Market Intelligence,” Sabre</w:t>
      </w:r>
      <w:r w:rsidR="009D3CD0" w:rsidRPr="000C27AA">
        <w:rPr>
          <w:rFonts w:ascii="Arial" w:hAnsi="Arial" w:cs="Arial"/>
          <w:color w:val="222222"/>
          <w:sz w:val="17"/>
          <w:szCs w:val="17"/>
          <w:shd w:val="clear" w:color="auto" w:fill="FFFFFF"/>
          <w:lang w:val="en-CA" w:eastAsia="zh-CN"/>
        </w:rPr>
        <w:t xml:space="preserve">, </w:t>
      </w:r>
      <w:r w:rsidR="009337A5" w:rsidRPr="000C27AA">
        <w:rPr>
          <w:rFonts w:ascii="Arial" w:hAnsi="Arial" w:cs="Arial"/>
          <w:color w:val="222222"/>
          <w:sz w:val="17"/>
          <w:szCs w:val="17"/>
          <w:shd w:val="clear" w:color="auto" w:fill="FFFFFF"/>
          <w:lang w:val="en-CA" w:eastAsia="zh-CN"/>
        </w:rPr>
        <w:t>accessed July 14, 2020,</w:t>
      </w:r>
      <w:r w:rsidR="009337A5" w:rsidRPr="000C27AA">
        <w:rPr>
          <w:lang w:val="en-CA"/>
        </w:rPr>
        <w:t xml:space="preserve"> </w:t>
      </w:r>
      <w:hyperlink r:id="rId11" w:history="1">
        <w:r w:rsidR="00E60EAE" w:rsidRPr="000C27AA">
          <w:rPr>
            <w:rStyle w:val="Hyperlink"/>
            <w:rFonts w:ascii="Arial" w:hAnsi="Arial" w:cs="Arial"/>
            <w:color w:val="auto"/>
            <w:sz w:val="17"/>
            <w:szCs w:val="17"/>
            <w:u w:val="none"/>
            <w:shd w:val="clear" w:color="auto" w:fill="FFFFFF"/>
            <w:lang w:val="en-CA" w:eastAsia="zh-CN"/>
          </w:rPr>
          <w:t>www.sabre.com/search/origins+and+destinations/</w:t>
        </w:r>
      </w:hyperlink>
      <w:r w:rsidR="009337A5" w:rsidRPr="000C27AA">
        <w:rPr>
          <w:rFonts w:ascii="Arial" w:hAnsi="Arial" w:cs="Arial"/>
          <w:sz w:val="17"/>
          <w:szCs w:val="17"/>
          <w:shd w:val="clear" w:color="auto" w:fill="FFFFFF"/>
          <w:lang w:val="en-CA" w:eastAsia="zh-CN"/>
        </w:rPr>
        <w:t>. [</w:t>
      </w:r>
      <w:r w:rsidR="009D3CD0" w:rsidRPr="000C27AA">
        <w:rPr>
          <w:rFonts w:ascii="Arial" w:hAnsi="Arial" w:cs="Arial"/>
          <w:sz w:val="17"/>
          <w:szCs w:val="17"/>
          <w:shd w:val="clear" w:color="auto" w:fill="FFFFFF"/>
          <w:lang w:val="en-CA" w:eastAsia="zh-CN"/>
        </w:rPr>
        <w:t xml:space="preserve">Tables show tickets sold by Delta Air Lines Inc., Deutsche Lufthansa </w:t>
      </w:r>
      <w:r w:rsidR="009D3CD0" w:rsidRPr="000C27AA">
        <w:rPr>
          <w:rFonts w:ascii="Arial" w:hAnsi="Arial" w:cs="Arial"/>
          <w:color w:val="222222"/>
          <w:sz w:val="17"/>
          <w:szCs w:val="17"/>
          <w:shd w:val="clear" w:color="auto" w:fill="FFFFFF"/>
          <w:lang w:val="en-CA" w:eastAsia="zh-CN"/>
        </w:rPr>
        <w:t>AG</w:t>
      </w:r>
      <w:r w:rsidR="009337A5" w:rsidRPr="000C27AA">
        <w:rPr>
          <w:rFonts w:ascii="Arial" w:hAnsi="Arial" w:cs="Arial"/>
          <w:color w:val="222222"/>
          <w:sz w:val="17"/>
          <w:szCs w:val="17"/>
          <w:shd w:val="clear" w:color="auto" w:fill="FFFFFF"/>
          <w:lang w:val="en-CA" w:eastAsia="zh-CN"/>
        </w:rPr>
        <w:t>,</w:t>
      </w:r>
      <w:r w:rsidR="009D3CD0" w:rsidRPr="000C27AA">
        <w:rPr>
          <w:rFonts w:ascii="Arial" w:hAnsi="Arial" w:cs="Arial"/>
          <w:color w:val="222222"/>
          <w:sz w:val="17"/>
          <w:szCs w:val="17"/>
          <w:shd w:val="clear" w:color="auto" w:fill="FFFFFF"/>
          <w:lang w:val="en-CA" w:eastAsia="zh-CN"/>
        </w:rPr>
        <w:t xml:space="preserve"> and Singapore Airlines</w:t>
      </w:r>
      <w:r w:rsidR="000C08AC">
        <w:rPr>
          <w:rFonts w:ascii="Arial" w:hAnsi="Arial" w:cs="Arial"/>
          <w:color w:val="222222"/>
          <w:sz w:val="17"/>
          <w:szCs w:val="17"/>
          <w:shd w:val="clear" w:color="auto" w:fill="FFFFFF"/>
          <w:lang w:val="en-CA" w:eastAsia="zh-CN"/>
        </w:rPr>
        <w:t>]</w:t>
      </w:r>
      <w:r w:rsidR="009D3CD0" w:rsidRPr="000C27AA">
        <w:rPr>
          <w:rFonts w:ascii="Arial" w:hAnsi="Arial" w:cs="Arial"/>
          <w:color w:val="222222"/>
          <w:sz w:val="17"/>
          <w:szCs w:val="17"/>
          <w:shd w:val="clear" w:color="auto" w:fill="FFFFFF"/>
          <w:lang w:val="en-CA" w:eastAsia="zh-CN"/>
        </w:rPr>
        <w:t>.</w:t>
      </w:r>
    </w:p>
    <w:p w14:paraId="6FA07513" w14:textId="098B4EFE" w:rsidR="002D16AB" w:rsidRPr="000C27AA" w:rsidRDefault="002D16AB" w:rsidP="002D16AB">
      <w:pPr>
        <w:pStyle w:val="Footnote"/>
        <w:rPr>
          <w:lang w:val="en-CA"/>
        </w:rPr>
      </w:pPr>
    </w:p>
    <w:p w14:paraId="40D98D7C" w14:textId="73FD134E" w:rsidR="002D16AB" w:rsidRPr="000C27AA" w:rsidRDefault="002D16AB">
      <w:pPr>
        <w:spacing w:after="200" w:line="276" w:lineRule="auto"/>
        <w:rPr>
          <w:b/>
          <w:caps/>
          <w:sz w:val="22"/>
          <w:szCs w:val="22"/>
          <w:lang w:val="en-CA"/>
        </w:rPr>
      </w:pPr>
      <w:r w:rsidRPr="000C27AA">
        <w:rPr>
          <w:sz w:val="22"/>
          <w:szCs w:val="22"/>
          <w:lang w:val="en-CA"/>
        </w:rPr>
        <w:br w:type="page"/>
      </w:r>
    </w:p>
    <w:p w14:paraId="5F82989C" w14:textId="7FB37790" w:rsidR="00374FA8" w:rsidRPr="000C27AA" w:rsidRDefault="00374FA8" w:rsidP="002D16AB">
      <w:pPr>
        <w:pStyle w:val="ExhibitHeading"/>
        <w:rPr>
          <w:lang w:val="en-CA"/>
        </w:rPr>
      </w:pPr>
      <w:r w:rsidRPr="000C27AA">
        <w:rPr>
          <w:lang w:val="en-CA"/>
        </w:rPr>
        <w:lastRenderedPageBreak/>
        <w:t>Exhibit 4: Income Statement of United Continental Holdings, 2017</w:t>
      </w:r>
      <w:r w:rsidR="006733EE" w:rsidRPr="000C27AA">
        <w:rPr>
          <w:lang w:val="en-CA"/>
        </w:rPr>
        <w:t>–</w:t>
      </w:r>
      <w:r w:rsidRPr="000C27AA">
        <w:rPr>
          <w:lang w:val="en-CA"/>
        </w:rPr>
        <w:t xml:space="preserve">2018 </w:t>
      </w:r>
      <w:r w:rsidR="006733EE" w:rsidRPr="000C27AA">
        <w:rPr>
          <w:lang w:val="en-CA"/>
        </w:rPr>
        <w:br/>
      </w:r>
      <w:r w:rsidRPr="000C27AA">
        <w:rPr>
          <w:lang w:val="en-CA"/>
        </w:rPr>
        <w:t>(</w:t>
      </w:r>
      <w:r w:rsidR="006733EE" w:rsidRPr="000C27AA">
        <w:rPr>
          <w:lang w:val="en-CA"/>
        </w:rPr>
        <w:t xml:space="preserve">in </w:t>
      </w:r>
      <w:r w:rsidRPr="000C27AA">
        <w:rPr>
          <w:lang w:val="en-CA"/>
        </w:rPr>
        <w:t>Million US$</w:t>
      </w:r>
      <w:r w:rsidR="006733EE" w:rsidRPr="000C27AA">
        <w:rPr>
          <w:lang w:val="en-CA"/>
        </w:rPr>
        <w:t>, except per share data</w:t>
      </w:r>
      <w:r w:rsidRPr="000C27AA">
        <w:rPr>
          <w:lang w:val="en-CA"/>
        </w:rPr>
        <w:t>)</w:t>
      </w:r>
    </w:p>
    <w:p w14:paraId="302580E6" w14:textId="77777777" w:rsidR="00374FA8" w:rsidRPr="000C27AA" w:rsidRDefault="00374FA8" w:rsidP="00374FA8">
      <w:pPr>
        <w:pStyle w:val="Footnote"/>
        <w:rPr>
          <w:lang w:val="en-CA"/>
        </w:rPr>
      </w:pPr>
    </w:p>
    <w:tbl>
      <w:tblPr>
        <w:tblW w:w="8704" w:type="dxa"/>
        <w:jc w:val="center"/>
        <w:tblLook w:val="04A0" w:firstRow="1" w:lastRow="0" w:firstColumn="1" w:lastColumn="0" w:noHBand="0" w:noVBand="1"/>
        <w:tblCaption w:val="Exhibit 4"/>
        <w:tblDescription w:val="Income statement of United Continental Holdings from 2017 to 2018."/>
      </w:tblPr>
      <w:tblGrid>
        <w:gridCol w:w="4787"/>
        <w:gridCol w:w="2111"/>
        <w:gridCol w:w="1806"/>
      </w:tblGrid>
      <w:tr w:rsidR="00374FA8" w:rsidRPr="000C27AA" w14:paraId="7C5297BC" w14:textId="77777777" w:rsidTr="00F472EE">
        <w:trPr>
          <w:trHeight w:val="244"/>
          <w:tblHeader/>
          <w:jc w:val="center"/>
        </w:trPr>
        <w:tc>
          <w:tcPr>
            <w:tcW w:w="8704" w:type="dxa"/>
            <w:gridSpan w:val="3"/>
            <w:tcBorders>
              <w:top w:val="single" w:sz="4" w:space="0" w:color="auto"/>
              <w:left w:val="single" w:sz="4" w:space="0" w:color="auto"/>
              <w:bottom w:val="nil"/>
              <w:right w:val="single" w:sz="4" w:space="0" w:color="auto"/>
            </w:tcBorders>
            <w:shd w:val="clear" w:color="auto" w:fill="auto"/>
            <w:noWrap/>
            <w:vAlign w:val="bottom"/>
            <w:hideMark/>
          </w:tcPr>
          <w:p w14:paraId="29CEC46F" w14:textId="4E19B486" w:rsidR="00374FA8" w:rsidRPr="000C27AA" w:rsidRDefault="00374FA8" w:rsidP="00BE3625">
            <w:pPr>
              <w:jc w:val="center"/>
              <w:rPr>
                <w:rFonts w:ascii="Arial" w:hAnsi="Arial" w:cs="Arial"/>
                <w:b/>
                <w:bCs/>
                <w:color w:val="000000"/>
                <w:sz w:val="18"/>
                <w:szCs w:val="18"/>
                <w:lang w:val="en-CA"/>
              </w:rPr>
            </w:pPr>
            <w:r w:rsidRPr="000C27AA">
              <w:rPr>
                <w:rFonts w:ascii="Arial" w:hAnsi="Arial" w:cs="Arial"/>
                <w:b/>
                <w:bCs/>
                <w:color w:val="000000"/>
                <w:sz w:val="18"/>
                <w:szCs w:val="18"/>
                <w:lang w:val="en-CA"/>
              </w:rPr>
              <w:t>Statement of Consolidated Operations (Full Year Ended Dec</w:t>
            </w:r>
            <w:r w:rsidR="006733EE" w:rsidRPr="000C27AA">
              <w:rPr>
                <w:rFonts w:ascii="Arial" w:hAnsi="Arial" w:cs="Arial"/>
                <w:b/>
                <w:bCs/>
                <w:color w:val="000000"/>
                <w:sz w:val="18"/>
                <w:szCs w:val="18"/>
                <w:lang w:val="en-CA"/>
              </w:rPr>
              <w:t>ember</w:t>
            </w:r>
            <w:r w:rsidRPr="000C27AA">
              <w:rPr>
                <w:rFonts w:ascii="Arial" w:hAnsi="Arial" w:cs="Arial"/>
                <w:b/>
                <w:bCs/>
                <w:color w:val="000000"/>
                <w:sz w:val="18"/>
                <w:szCs w:val="18"/>
                <w:lang w:val="en-CA"/>
              </w:rPr>
              <w:t xml:space="preserve"> 31)</w:t>
            </w:r>
          </w:p>
        </w:tc>
      </w:tr>
      <w:tr w:rsidR="00374FA8" w:rsidRPr="000C27AA" w14:paraId="7E24C4B1"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0793F718" w14:textId="07ED380B" w:rsidR="00374FA8" w:rsidRPr="000C27AA" w:rsidRDefault="00374FA8" w:rsidP="00BE3625">
            <w:pPr>
              <w:rPr>
                <w:rFonts w:ascii="Arial" w:hAnsi="Arial" w:cs="Arial"/>
                <w:color w:val="000000"/>
                <w:sz w:val="18"/>
                <w:szCs w:val="18"/>
                <w:lang w:val="en-CA"/>
              </w:rPr>
            </w:pPr>
          </w:p>
        </w:tc>
        <w:tc>
          <w:tcPr>
            <w:tcW w:w="2111" w:type="dxa"/>
            <w:tcBorders>
              <w:top w:val="nil"/>
              <w:left w:val="nil"/>
              <w:bottom w:val="single" w:sz="4" w:space="0" w:color="auto"/>
              <w:right w:val="nil"/>
            </w:tcBorders>
            <w:shd w:val="clear" w:color="auto" w:fill="auto"/>
            <w:noWrap/>
            <w:vAlign w:val="bottom"/>
            <w:hideMark/>
          </w:tcPr>
          <w:p w14:paraId="527B077E" w14:textId="77777777" w:rsidR="00374FA8" w:rsidRPr="000C27AA" w:rsidRDefault="00374FA8" w:rsidP="00BE3625">
            <w:pPr>
              <w:jc w:val="right"/>
              <w:rPr>
                <w:rFonts w:ascii="Arial" w:hAnsi="Arial" w:cs="Arial"/>
                <w:b/>
                <w:bCs/>
                <w:color w:val="000000"/>
                <w:sz w:val="18"/>
                <w:szCs w:val="18"/>
                <w:lang w:val="en-CA"/>
              </w:rPr>
            </w:pPr>
            <w:r w:rsidRPr="000C27AA">
              <w:rPr>
                <w:rFonts w:ascii="Arial" w:hAnsi="Arial" w:cs="Arial"/>
                <w:b/>
                <w:bCs/>
                <w:color w:val="000000"/>
                <w:sz w:val="18"/>
                <w:szCs w:val="18"/>
                <w:lang w:val="en-CA"/>
              </w:rPr>
              <w:t>2018</w:t>
            </w:r>
          </w:p>
        </w:tc>
        <w:tc>
          <w:tcPr>
            <w:tcW w:w="1806" w:type="dxa"/>
            <w:tcBorders>
              <w:top w:val="nil"/>
              <w:left w:val="nil"/>
              <w:bottom w:val="single" w:sz="4" w:space="0" w:color="auto"/>
              <w:right w:val="single" w:sz="4" w:space="0" w:color="auto"/>
            </w:tcBorders>
            <w:shd w:val="clear" w:color="auto" w:fill="auto"/>
            <w:noWrap/>
            <w:vAlign w:val="bottom"/>
            <w:hideMark/>
          </w:tcPr>
          <w:p w14:paraId="54DB5A51" w14:textId="77777777" w:rsidR="00374FA8" w:rsidRPr="000C27AA" w:rsidRDefault="00374FA8" w:rsidP="00BE3625">
            <w:pPr>
              <w:jc w:val="right"/>
              <w:rPr>
                <w:rFonts w:ascii="Arial" w:hAnsi="Arial" w:cs="Arial"/>
                <w:b/>
                <w:bCs/>
                <w:color w:val="000000"/>
                <w:sz w:val="18"/>
                <w:szCs w:val="18"/>
                <w:lang w:val="en-CA"/>
              </w:rPr>
            </w:pPr>
            <w:r w:rsidRPr="000C27AA">
              <w:rPr>
                <w:rFonts w:ascii="Arial" w:hAnsi="Arial" w:cs="Arial"/>
                <w:b/>
                <w:bCs/>
                <w:color w:val="000000"/>
                <w:sz w:val="18"/>
                <w:szCs w:val="18"/>
                <w:lang w:val="en-CA"/>
              </w:rPr>
              <w:t>2017</w:t>
            </w:r>
          </w:p>
        </w:tc>
      </w:tr>
      <w:tr w:rsidR="00374FA8" w:rsidRPr="000C27AA" w14:paraId="30FC5CBF" w14:textId="77777777" w:rsidTr="00F472EE">
        <w:trPr>
          <w:trHeight w:val="438"/>
          <w:tblHeader/>
          <w:jc w:val="center"/>
        </w:trPr>
        <w:tc>
          <w:tcPr>
            <w:tcW w:w="4787" w:type="dxa"/>
            <w:tcBorders>
              <w:top w:val="nil"/>
              <w:left w:val="single" w:sz="4" w:space="0" w:color="auto"/>
              <w:bottom w:val="nil"/>
              <w:right w:val="nil"/>
            </w:tcBorders>
            <w:shd w:val="clear" w:color="auto" w:fill="auto"/>
            <w:vAlign w:val="bottom"/>
            <w:hideMark/>
          </w:tcPr>
          <w:p w14:paraId="639AB063" w14:textId="77777777" w:rsidR="00374FA8" w:rsidRPr="000C27AA" w:rsidRDefault="00374FA8" w:rsidP="00BE3625">
            <w:pPr>
              <w:rPr>
                <w:rFonts w:ascii="Arial" w:hAnsi="Arial" w:cs="Arial"/>
                <w:i/>
                <w:color w:val="000000"/>
                <w:sz w:val="18"/>
                <w:szCs w:val="18"/>
                <w:lang w:val="en-CA"/>
              </w:rPr>
            </w:pPr>
            <w:r w:rsidRPr="000C27AA">
              <w:rPr>
                <w:rFonts w:ascii="Arial" w:hAnsi="Arial" w:cs="Arial"/>
                <w:i/>
                <w:color w:val="000000"/>
                <w:sz w:val="18"/>
                <w:szCs w:val="18"/>
                <w:lang w:val="en-CA"/>
              </w:rPr>
              <w:t xml:space="preserve">Operating revenue: </w:t>
            </w:r>
          </w:p>
        </w:tc>
        <w:tc>
          <w:tcPr>
            <w:tcW w:w="2111" w:type="dxa"/>
            <w:tcBorders>
              <w:top w:val="nil"/>
              <w:left w:val="nil"/>
              <w:bottom w:val="nil"/>
              <w:right w:val="nil"/>
            </w:tcBorders>
            <w:shd w:val="clear" w:color="auto" w:fill="auto"/>
            <w:noWrap/>
            <w:vAlign w:val="bottom"/>
            <w:hideMark/>
          </w:tcPr>
          <w:p w14:paraId="406DA9FF" w14:textId="77777777" w:rsidR="00374FA8" w:rsidRPr="000C27AA" w:rsidRDefault="00374FA8" w:rsidP="00BE3625">
            <w:pPr>
              <w:rPr>
                <w:rFonts w:ascii="Arial" w:hAnsi="Arial" w:cs="Arial"/>
                <w:color w:val="000000"/>
                <w:sz w:val="18"/>
                <w:szCs w:val="18"/>
                <w:lang w:val="en-CA"/>
              </w:rPr>
            </w:pPr>
          </w:p>
        </w:tc>
        <w:tc>
          <w:tcPr>
            <w:tcW w:w="1806" w:type="dxa"/>
            <w:tcBorders>
              <w:top w:val="nil"/>
              <w:left w:val="nil"/>
              <w:bottom w:val="nil"/>
              <w:right w:val="single" w:sz="4" w:space="0" w:color="auto"/>
            </w:tcBorders>
            <w:shd w:val="clear" w:color="auto" w:fill="auto"/>
            <w:noWrap/>
            <w:vAlign w:val="bottom"/>
            <w:hideMark/>
          </w:tcPr>
          <w:p w14:paraId="4A1F61EB"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 </w:t>
            </w:r>
          </w:p>
        </w:tc>
      </w:tr>
      <w:tr w:rsidR="00374FA8" w:rsidRPr="000C27AA" w14:paraId="196B185F" w14:textId="77777777" w:rsidTr="00F472EE">
        <w:trPr>
          <w:trHeight w:val="313"/>
          <w:tblHeader/>
          <w:jc w:val="center"/>
        </w:trPr>
        <w:tc>
          <w:tcPr>
            <w:tcW w:w="4787" w:type="dxa"/>
            <w:tcBorders>
              <w:top w:val="nil"/>
              <w:left w:val="single" w:sz="4" w:space="0" w:color="auto"/>
              <w:bottom w:val="nil"/>
              <w:right w:val="nil"/>
            </w:tcBorders>
            <w:shd w:val="clear" w:color="auto" w:fill="auto"/>
            <w:vAlign w:val="bottom"/>
            <w:hideMark/>
          </w:tcPr>
          <w:p w14:paraId="5C7EE633"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Passenger </w:t>
            </w:r>
          </w:p>
        </w:tc>
        <w:tc>
          <w:tcPr>
            <w:tcW w:w="2111" w:type="dxa"/>
            <w:tcBorders>
              <w:top w:val="nil"/>
              <w:left w:val="nil"/>
              <w:bottom w:val="nil"/>
              <w:right w:val="nil"/>
            </w:tcBorders>
            <w:shd w:val="clear" w:color="auto" w:fill="auto"/>
            <w:noWrap/>
            <w:vAlign w:val="bottom"/>
            <w:hideMark/>
          </w:tcPr>
          <w:p w14:paraId="0B521211"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37,706 </w:t>
            </w:r>
          </w:p>
        </w:tc>
        <w:tc>
          <w:tcPr>
            <w:tcW w:w="1806" w:type="dxa"/>
            <w:tcBorders>
              <w:top w:val="nil"/>
              <w:left w:val="nil"/>
              <w:bottom w:val="nil"/>
              <w:right w:val="single" w:sz="4" w:space="0" w:color="auto"/>
            </w:tcBorders>
            <w:shd w:val="clear" w:color="auto" w:fill="auto"/>
            <w:noWrap/>
            <w:vAlign w:val="bottom"/>
            <w:hideMark/>
          </w:tcPr>
          <w:p w14:paraId="668BB9FD"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34,460 </w:t>
            </w:r>
          </w:p>
        </w:tc>
      </w:tr>
      <w:tr w:rsidR="00374FA8" w:rsidRPr="000C27AA" w14:paraId="4FE1A92A"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3C92B8D9"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Cargo </w:t>
            </w:r>
          </w:p>
        </w:tc>
        <w:tc>
          <w:tcPr>
            <w:tcW w:w="2111" w:type="dxa"/>
            <w:tcBorders>
              <w:top w:val="nil"/>
              <w:left w:val="nil"/>
              <w:bottom w:val="nil"/>
              <w:right w:val="nil"/>
            </w:tcBorders>
            <w:shd w:val="clear" w:color="auto" w:fill="auto"/>
            <w:noWrap/>
            <w:vAlign w:val="bottom"/>
            <w:hideMark/>
          </w:tcPr>
          <w:p w14:paraId="63CA297B"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1,237 </w:t>
            </w:r>
          </w:p>
        </w:tc>
        <w:tc>
          <w:tcPr>
            <w:tcW w:w="1806" w:type="dxa"/>
            <w:tcBorders>
              <w:top w:val="nil"/>
              <w:left w:val="nil"/>
              <w:bottom w:val="nil"/>
              <w:right w:val="single" w:sz="4" w:space="0" w:color="auto"/>
            </w:tcBorders>
            <w:shd w:val="clear" w:color="auto" w:fill="auto"/>
            <w:noWrap/>
            <w:vAlign w:val="bottom"/>
            <w:hideMark/>
          </w:tcPr>
          <w:p w14:paraId="5DA64CEB"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1,114 </w:t>
            </w:r>
          </w:p>
        </w:tc>
      </w:tr>
      <w:tr w:rsidR="00374FA8" w:rsidRPr="000C27AA" w14:paraId="101603DC"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1F238946"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Other operating revenue</w:t>
            </w:r>
          </w:p>
        </w:tc>
        <w:tc>
          <w:tcPr>
            <w:tcW w:w="2111" w:type="dxa"/>
            <w:tcBorders>
              <w:top w:val="nil"/>
              <w:left w:val="nil"/>
              <w:bottom w:val="nil"/>
              <w:right w:val="nil"/>
            </w:tcBorders>
            <w:shd w:val="clear" w:color="auto" w:fill="auto"/>
            <w:noWrap/>
            <w:vAlign w:val="bottom"/>
            <w:hideMark/>
          </w:tcPr>
          <w:p w14:paraId="3156142D"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2,360 </w:t>
            </w:r>
          </w:p>
        </w:tc>
        <w:tc>
          <w:tcPr>
            <w:tcW w:w="1806" w:type="dxa"/>
            <w:tcBorders>
              <w:top w:val="nil"/>
              <w:left w:val="nil"/>
              <w:bottom w:val="nil"/>
              <w:right w:val="single" w:sz="4" w:space="0" w:color="auto"/>
            </w:tcBorders>
            <w:shd w:val="clear" w:color="auto" w:fill="auto"/>
            <w:noWrap/>
            <w:vAlign w:val="bottom"/>
            <w:hideMark/>
          </w:tcPr>
          <w:p w14:paraId="4E50E2B4"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2,210 </w:t>
            </w:r>
          </w:p>
        </w:tc>
      </w:tr>
      <w:tr w:rsidR="00374FA8" w:rsidRPr="000C27AA" w14:paraId="334BCA4E"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379EDB0D" w14:textId="77777777" w:rsidR="00374FA8" w:rsidRPr="000C27AA" w:rsidRDefault="00374FA8" w:rsidP="00BE3625">
            <w:pPr>
              <w:ind w:firstLineChars="200" w:firstLine="360"/>
              <w:rPr>
                <w:rFonts w:ascii="Arial" w:hAnsi="Arial" w:cs="Arial"/>
                <w:color w:val="000000"/>
                <w:sz w:val="18"/>
                <w:szCs w:val="18"/>
                <w:lang w:val="en-CA"/>
              </w:rPr>
            </w:pPr>
            <w:r w:rsidRPr="000C27AA">
              <w:rPr>
                <w:rFonts w:ascii="Arial" w:hAnsi="Arial" w:cs="Arial"/>
                <w:color w:val="000000"/>
                <w:sz w:val="18"/>
                <w:szCs w:val="18"/>
                <w:lang w:val="en-CA"/>
              </w:rPr>
              <w:t xml:space="preserve">Total operating revenue </w:t>
            </w:r>
          </w:p>
        </w:tc>
        <w:tc>
          <w:tcPr>
            <w:tcW w:w="2111" w:type="dxa"/>
            <w:tcBorders>
              <w:top w:val="single" w:sz="4" w:space="0" w:color="auto"/>
              <w:left w:val="nil"/>
              <w:bottom w:val="single" w:sz="4" w:space="0" w:color="auto"/>
              <w:right w:val="nil"/>
            </w:tcBorders>
            <w:shd w:val="clear" w:color="auto" w:fill="auto"/>
            <w:noWrap/>
            <w:vAlign w:val="bottom"/>
            <w:hideMark/>
          </w:tcPr>
          <w:p w14:paraId="64464A2D"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41,303 </w:t>
            </w:r>
          </w:p>
        </w:tc>
        <w:tc>
          <w:tcPr>
            <w:tcW w:w="1806" w:type="dxa"/>
            <w:tcBorders>
              <w:top w:val="single" w:sz="4" w:space="0" w:color="auto"/>
              <w:left w:val="nil"/>
              <w:bottom w:val="single" w:sz="4" w:space="0" w:color="auto"/>
              <w:right w:val="single" w:sz="4" w:space="0" w:color="auto"/>
            </w:tcBorders>
            <w:shd w:val="clear" w:color="auto" w:fill="auto"/>
            <w:noWrap/>
            <w:vAlign w:val="bottom"/>
            <w:hideMark/>
          </w:tcPr>
          <w:p w14:paraId="779892FC"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37,784 </w:t>
            </w:r>
          </w:p>
        </w:tc>
      </w:tr>
      <w:tr w:rsidR="00374FA8" w:rsidRPr="000C27AA" w14:paraId="6B6525AD"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7D9CD671" w14:textId="77777777" w:rsidR="00374FA8" w:rsidRPr="000C27AA" w:rsidRDefault="00374FA8" w:rsidP="00BE3625">
            <w:pPr>
              <w:rPr>
                <w:rFonts w:ascii="Arial" w:hAnsi="Arial" w:cs="Arial"/>
                <w:sz w:val="18"/>
                <w:szCs w:val="18"/>
                <w:lang w:val="en-CA"/>
              </w:rPr>
            </w:pPr>
          </w:p>
        </w:tc>
        <w:tc>
          <w:tcPr>
            <w:tcW w:w="2111" w:type="dxa"/>
            <w:tcBorders>
              <w:top w:val="nil"/>
              <w:left w:val="nil"/>
              <w:bottom w:val="nil"/>
              <w:right w:val="nil"/>
            </w:tcBorders>
            <w:shd w:val="clear" w:color="auto" w:fill="auto"/>
            <w:noWrap/>
            <w:vAlign w:val="bottom"/>
            <w:hideMark/>
          </w:tcPr>
          <w:p w14:paraId="04DBB187" w14:textId="77777777" w:rsidR="00374FA8" w:rsidRPr="000C27AA" w:rsidRDefault="00374FA8" w:rsidP="00BE3625">
            <w:pPr>
              <w:rPr>
                <w:rFonts w:ascii="Arial" w:hAnsi="Arial" w:cs="Arial"/>
                <w:sz w:val="18"/>
                <w:szCs w:val="18"/>
                <w:lang w:val="en-CA"/>
              </w:rPr>
            </w:pPr>
          </w:p>
        </w:tc>
        <w:tc>
          <w:tcPr>
            <w:tcW w:w="1806" w:type="dxa"/>
            <w:tcBorders>
              <w:top w:val="nil"/>
              <w:left w:val="nil"/>
              <w:bottom w:val="nil"/>
              <w:right w:val="single" w:sz="4" w:space="0" w:color="auto"/>
            </w:tcBorders>
            <w:shd w:val="clear" w:color="auto" w:fill="auto"/>
            <w:noWrap/>
            <w:vAlign w:val="bottom"/>
            <w:hideMark/>
          </w:tcPr>
          <w:p w14:paraId="7B3640E9"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 </w:t>
            </w:r>
          </w:p>
        </w:tc>
      </w:tr>
      <w:tr w:rsidR="00374FA8" w:rsidRPr="000C27AA" w14:paraId="4D4E96B1"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22634194" w14:textId="77777777" w:rsidR="00374FA8" w:rsidRPr="000C27AA" w:rsidRDefault="00374FA8" w:rsidP="00BE3625">
            <w:pPr>
              <w:rPr>
                <w:rFonts w:ascii="Arial" w:hAnsi="Arial" w:cs="Arial"/>
                <w:i/>
                <w:color w:val="000000"/>
                <w:sz w:val="18"/>
                <w:szCs w:val="18"/>
                <w:lang w:val="en-CA"/>
              </w:rPr>
            </w:pPr>
            <w:r w:rsidRPr="000C27AA">
              <w:rPr>
                <w:rFonts w:ascii="Arial" w:hAnsi="Arial" w:cs="Arial"/>
                <w:i/>
                <w:color w:val="000000"/>
                <w:sz w:val="18"/>
                <w:szCs w:val="18"/>
                <w:lang w:val="en-CA"/>
              </w:rPr>
              <w:t>Operating expense:</w:t>
            </w:r>
          </w:p>
        </w:tc>
        <w:tc>
          <w:tcPr>
            <w:tcW w:w="2111" w:type="dxa"/>
            <w:tcBorders>
              <w:top w:val="nil"/>
              <w:left w:val="nil"/>
              <w:bottom w:val="nil"/>
              <w:right w:val="nil"/>
            </w:tcBorders>
            <w:shd w:val="clear" w:color="auto" w:fill="auto"/>
            <w:noWrap/>
            <w:vAlign w:val="bottom"/>
            <w:hideMark/>
          </w:tcPr>
          <w:p w14:paraId="54D79B9D" w14:textId="77777777" w:rsidR="00374FA8" w:rsidRPr="000C27AA" w:rsidRDefault="00374FA8" w:rsidP="00BE3625">
            <w:pPr>
              <w:rPr>
                <w:rFonts w:ascii="Arial" w:hAnsi="Arial" w:cs="Arial"/>
                <w:color w:val="000000"/>
                <w:sz w:val="18"/>
                <w:szCs w:val="18"/>
                <w:lang w:val="en-CA"/>
              </w:rPr>
            </w:pPr>
          </w:p>
        </w:tc>
        <w:tc>
          <w:tcPr>
            <w:tcW w:w="1806" w:type="dxa"/>
            <w:tcBorders>
              <w:top w:val="nil"/>
              <w:left w:val="nil"/>
              <w:bottom w:val="nil"/>
              <w:right w:val="single" w:sz="4" w:space="0" w:color="auto"/>
            </w:tcBorders>
            <w:shd w:val="clear" w:color="auto" w:fill="auto"/>
            <w:noWrap/>
            <w:vAlign w:val="bottom"/>
            <w:hideMark/>
          </w:tcPr>
          <w:p w14:paraId="6E79AF7F"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 </w:t>
            </w:r>
          </w:p>
        </w:tc>
      </w:tr>
      <w:tr w:rsidR="00374FA8" w:rsidRPr="000C27AA" w14:paraId="04B94921"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5AF7F25E"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Salaries and related costs </w:t>
            </w:r>
          </w:p>
        </w:tc>
        <w:tc>
          <w:tcPr>
            <w:tcW w:w="2111" w:type="dxa"/>
            <w:tcBorders>
              <w:top w:val="nil"/>
              <w:left w:val="nil"/>
              <w:bottom w:val="nil"/>
              <w:right w:val="nil"/>
            </w:tcBorders>
            <w:shd w:val="clear" w:color="auto" w:fill="auto"/>
            <w:noWrap/>
            <w:vAlign w:val="bottom"/>
            <w:hideMark/>
          </w:tcPr>
          <w:p w14:paraId="7519F9D4"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11,458 </w:t>
            </w:r>
          </w:p>
        </w:tc>
        <w:tc>
          <w:tcPr>
            <w:tcW w:w="1806" w:type="dxa"/>
            <w:tcBorders>
              <w:top w:val="nil"/>
              <w:left w:val="nil"/>
              <w:bottom w:val="nil"/>
              <w:right w:val="single" w:sz="4" w:space="0" w:color="auto"/>
            </w:tcBorders>
            <w:shd w:val="clear" w:color="auto" w:fill="auto"/>
            <w:noWrap/>
            <w:vAlign w:val="bottom"/>
            <w:hideMark/>
          </w:tcPr>
          <w:p w14:paraId="0092399F"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10,941 </w:t>
            </w:r>
          </w:p>
        </w:tc>
      </w:tr>
      <w:tr w:rsidR="00374FA8" w:rsidRPr="000C27AA" w14:paraId="6D50B886"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53372B97"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Aircraft fuel </w:t>
            </w:r>
          </w:p>
        </w:tc>
        <w:tc>
          <w:tcPr>
            <w:tcW w:w="2111" w:type="dxa"/>
            <w:tcBorders>
              <w:top w:val="nil"/>
              <w:left w:val="nil"/>
              <w:bottom w:val="nil"/>
              <w:right w:val="nil"/>
            </w:tcBorders>
            <w:shd w:val="clear" w:color="auto" w:fill="auto"/>
            <w:noWrap/>
            <w:vAlign w:val="bottom"/>
            <w:hideMark/>
          </w:tcPr>
          <w:p w14:paraId="06901277"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9,307 </w:t>
            </w:r>
          </w:p>
        </w:tc>
        <w:tc>
          <w:tcPr>
            <w:tcW w:w="1806" w:type="dxa"/>
            <w:tcBorders>
              <w:top w:val="nil"/>
              <w:left w:val="nil"/>
              <w:bottom w:val="nil"/>
              <w:right w:val="single" w:sz="4" w:space="0" w:color="auto"/>
            </w:tcBorders>
            <w:shd w:val="clear" w:color="auto" w:fill="auto"/>
            <w:noWrap/>
            <w:vAlign w:val="bottom"/>
            <w:hideMark/>
          </w:tcPr>
          <w:p w14:paraId="602101D9"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6,912 </w:t>
            </w:r>
          </w:p>
        </w:tc>
      </w:tr>
      <w:tr w:rsidR="00374FA8" w:rsidRPr="000C27AA" w14:paraId="2FDC64A0"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4CC3CC96"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Regional capacity purchase </w:t>
            </w:r>
          </w:p>
        </w:tc>
        <w:tc>
          <w:tcPr>
            <w:tcW w:w="2111" w:type="dxa"/>
            <w:tcBorders>
              <w:top w:val="nil"/>
              <w:left w:val="nil"/>
              <w:bottom w:val="nil"/>
              <w:right w:val="nil"/>
            </w:tcBorders>
            <w:shd w:val="clear" w:color="auto" w:fill="auto"/>
            <w:noWrap/>
            <w:vAlign w:val="bottom"/>
            <w:hideMark/>
          </w:tcPr>
          <w:p w14:paraId="0E8C8384"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2,610 </w:t>
            </w:r>
          </w:p>
        </w:tc>
        <w:tc>
          <w:tcPr>
            <w:tcW w:w="1806" w:type="dxa"/>
            <w:tcBorders>
              <w:top w:val="nil"/>
              <w:left w:val="nil"/>
              <w:bottom w:val="nil"/>
              <w:right w:val="single" w:sz="4" w:space="0" w:color="auto"/>
            </w:tcBorders>
            <w:shd w:val="clear" w:color="auto" w:fill="auto"/>
            <w:noWrap/>
            <w:vAlign w:val="bottom"/>
            <w:hideMark/>
          </w:tcPr>
          <w:p w14:paraId="3F9E1D72"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2,232 </w:t>
            </w:r>
          </w:p>
        </w:tc>
      </w:tr>
      <w:tr w:rsidR="00374FA8" w:rsidRPr="000C27AA" w14:paraId="5FB83816"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350D092B"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Landing fees and other rent </w:t>
            </w:r>
          </w:p>
        </w:tc>
        <w:tc>
          <w:tcPr>
            <w:tcW w:w="2111" w:type="dxa"/>
            <w:tcBorders>
              <w:top w:val="nil"/>
              <w:left w:val="nil"/>
              <w:bottom w:val="nil"/>
              <w:right w:val="nil"/>
            </w:tcBorders>
            <w:shd w:val="clear" w:color="auto" w:fill="auto"/>
            <w:noWrap/>
            <w:vAlign w:val="bottom"/>
            <w:hideMark/>
          </w:tcPr>
          <w:p w14:paraId="5025958E"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2,359 </w:t>
            </w:r>
          </w:p>
        </w:tc>
        <w:tc>
          <w:tcPr>
            <w:tcW w:w="1806" w:type="dxa"/>
            <w:tcBorders>
              <w:top w:val="nil"/>
              <w:left w:val="nil"/>
              <w:bottom w:val="nil"/>
              <w:right w:val="single" w:sz="4" w:space="0" w:color="auto"/>
            </w:tcBorders>
            <w:shd w:val="clear" w:color="auto" w:fill="auto"/>
            <w:noWrap/>
            <w:vAlign w:val="bottom"/>
            <w:hideMark/>
          </w:tcPr>
          <w:p w14:paraId="4CE747BF"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2,240 </w:t>
            </w:r>
          </w:p>
        </w:tc>
      </w:tr>
      <w:tr w:rsidR="00374FA8" w:rsidRPr="000C27AA" w14:paraId="4BAF0E46"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394C8BB2"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Depreciation and amortization</w:t>
            </w:r>
          </w:p>
        </w:tc>
        <w:tc>
          <w:tcPr>
            <w:tcW w:w="2111" w:type="dxa"/>
            <w:tcBorders>
              <w:top w:val="nil"/>
              <w:left w:val="nil"/>
              <w:bottom w:val="nil"/>
              <w:right w:val="nil"/>
            </w:tcBorders>
            <w:shd w:val="clear" w:color="auto" w:fill="auto"/>
            <w:noWrap/>
            <w:vAlign w:val="bottom"/>
            <w:hideMark/>
          </w:tcPr>
          <w:p w14:paraId="4897EE20"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2,240 </w:t>
            </w:r>
          </w:p>
        </w:tc>
        <w:tc>
          <w:tcPr>
            <w:tcW w:w="1806" w:type="dxa"/>
            <w:tcBorders>
              <w:top w:val="nil"/>
              <w:left w:val="nil"/>
              <w:bottom w:val="nil"/>
              <w:right w:val="single" w:sz="4" w:space="0" w:color="auto"/>
            </w:tcBorders>
            <w:shd w:val="clear" w:color="auto" w:fill="auto"/>
            <w:noWrap/>
            <w:vAlign w:val="bottom"/>
            <w:hideMark/>
          </w:tcPr>
          <w:p w14:paraId="07971FE3"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2,149 </w:t>
            </w:r>
          </w:p>
        </w:tc>
      </w:tr>
      <w:tr w:rsidR="00374FA8" w:rsidRPr="000C27AA" w14:paraId="6DDF31A7" w14:textId="77777777" w:rsidTr="00F472EE">
        <w:trPr>
          <w:trHeight w:val="322"/>
          <w:tblHeader/>
          <w:jc w:val="center"/>
        </w:trPr>
        <w:tc>
          <w:tcPr>
            <w:tcW w:w="4787" w:type="dxa"/>
            <w:tcBorders>
              <w:top w:val="nil"/>
              <w:left w:val="single" w:sz="4" w:space="0" w:color="auto"/>
              <w:bottom w:val="nil"/>
              <w:right w:val="nil"/>
            </w:tcBorders>
            <w:shd w:val="clear" w:color="auto" w:fill="auto"/>
            <w:vAlign w:val="bottom"/>
            <w:hideMark/>
          </w:tcPr>
          <w:p w14:paraId="15C35FDC"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Aircraft maintenance materials and outside repairs </w:t>
            </w:r>
          </w:p>
        </w:tc>
        <w:tc>
          <w:tcPr>
            <w:tcW w:w="2111" w:type="dxa"/>
            <w:tcBorders>
              <w:top w:val="nil"/>
              <w:left w:val="nil"/>
              <w:bottom w:val="nil"/>
              <w:right w:val="nil"/>
            </w:tcBorders>
            <w:shd w:val="clear" w:color="auto" w:fill="auto"/>
            <w:noWrap/>
            <w:vAlign w:val="bottom"/>
            <w:hideMark/>
          </w:tcPr>
          <w:p w14:paraId="034138E4"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1,767 </w:t>
            </w:r>
          </w:p>
        </w:tc>
        <w:tc>
          <w:tcPr>
            <w:tcW w:w="1806" w:type="dxa"/>
            <w:tcBorders>
              <w:top w:val="nil"/>
              <w:left w:val="nil"/>
              <w:bottom w:val="nil"/>
              <w:right w:val="single" w:sz="4" w:space="0" w:color="auto"/>
            </w:tcBorders>
            <w:shd w:val="clear" w:color="auto" w:fill="auto"/>
            <w:noWrap/>
            <w:vAlign w:val="bottom"/>
            <w:hideMark/>
          </w:tcPr>
          <w:p w14:paraId="78303E9E"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1,856 </w:t>
            </w:r>
          </w:p>
        </w:tc>
      </w:tr>
      <w:tr w:rsidR="00374FA8" w:rsidRPr="000C27AA" w14:paraId="08051DF9"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2680C6FC"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Distribution expenses </w:t>
            </w:r>
          </w:p>
        </w:tc>
        <w:tc>
          <w:tcPr>
            <w:tcW w:w="2111" w:type="dxa"/>
            <w:tcBorders>
              <w:top w:val="nil"/>
              <w:left w:val="nil"/>
              <w:bottom w:val="nil"/>
              <w:right w:val="nil"/>
            </w:tcBorders>
            <w:shd w:val="clear" w:color="auto" w:fill="auto"/>
            <w:noWrap/>
            <w:vAlign w:val="bottom"/>
            <w:hideMark/>
          </w:tcPr>
          <w:p w14:paraId="355E7A01"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1,558 </w:t>
            </w:r>
          </w:p>
        </w:tc>
        <w:tc>
          <w:tcPr>
            <w:tcW w:w="1806" w:type="dxa"/>
            <w:tcBorders>
              <w:top w:val="nil"/>
              <w:left w:val="nil"/>
              <w:bottom w:val="nil"/>
              <w:right w:val="single" w:sz="4" w:space="0" w:color="auto"/>
            </w:tcBorders>
            <w:shd w:val="clear" w:color="auto" w:fill="auto"/>
            <w:noWrap/>
            <w:vAlign w:val="bottom"/>
            <w:hideMark/>
          </w:tcPr>
          <w:p w14:paraId="047B44A5"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1,435 </w:t>
            </w:r>
          </w:p>
        </w:tc>
      </w:tr>
      <w:tr w:rsidR="00374FA8" w:rsidRPr="000C27AA" w14:paraId="76EFF114"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475B9D7E"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Aircraft rent </w:t>
            </w:r>
          </w:p>
        </w:tc>
        <w:tc>
          <w:tcPr>
            <w:tcW w:w="2111" w:type="dxa"/>
            <w:tcBorders>
              <w:top w:val="nil"/>
              <w:left w:val="nil"/>
              <w:bottom w:val="nil"/>
              <w:right w:val="nil"/>
            </w:tcBorders>
            <w:shd w:val="clear" w:color="auto" w:fill="auto"/>
            <w:noWrap/>
            <w:vAlign w:val="bottom"/>
            <w:hideMark/>
          </w:tcPr>
          <w:p w14:paraId="20B5C1EB"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433 </w:t>
            </w:r>
          </w:p>
        </w:tc>
        <w:tc>
          <w:tcPr>
            <w:tcW w:w="1806" w:type="dxa"/>
            <w:tcBorders>
              <w:top w:val="nil"/>
              <w:left w:val="nil"/>
              <w:bottom w:val="nil"/>
              <w:right w:val="single" w:sz="4" w:space="0" w:color="auto"/>
            </w:tcBorders>
            <w:shd w:val="clear" w:color="auto" w:fill="auto"/>
            <w:noWrap/>
            <w:vAlign w:val="bottom"/>
            <w:hideMark/>
          </w:tcPr>
          <w:p w14:paraId="77DD115C"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621 </w:t>
            </w:r>
          </w:p>
        </w:tc>
      </w:tr>
      <w:tr w:rsidR="00374FA8" w:rsidRPr="000C27AA" w14:paraId="718E5FFB"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6E007370"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Special charges</w:t>
            </w:r>
          </w:p>
        </w:tc>
        <w:tc>
          <w:tcPr>
            <w:tcW w:w="2111" w:type="dxa"/>
            <w:tcBorders>
              <w:top w:val="nil"/>
              <w:left w:val="nil"/>
              <w:bottom w:val="nil"/>
              <w:right w:val="nil"/>
            </w:tcBorders>
            <w:shd w:val="clear" w:color="auto" w:fill="auto"/>
            <w:noWrap/>
            <w:vAlign w:val="bottom"/>
            <w:hideMark/>
          </w:tcPr>
          <w:p w14:paraId="2259948A"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487 </w:t>
            </w:r>
          </w:p>
        </w:tc>
        <w:tc>
          <w:tcPr>
            <w:tcW w:w="1806" w:type="dxa"/>
            <w:tcBorders>
              <w:top w:val="nil"/>
              <w:left w:val="nil"/>
              <w:bottom w:val="nil"/>
              <w:right w:val="single" w:sz="4" w:space="0" w:color="auto"/>
            </w:tcBorders>
            <w:shd w:val="clear" w:color="auto" w:fill="auto"/>
            <w:noWrap/>
            <w:vAlign w:val="bottom"/>
            <w:hideMark/>
          </w:tcPr>
          <w:p w14:paraId="61A4278E"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176 </w:t>
            </w:r>
          </w:p>
        </w:tc>
      </w:tr>
      <w:tr w:rsidR="00374FA8" w:rsidRPr="000C27AA" w14:paraId="42A56BC1"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7E050183"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Other operating expenses </w:t>
            </w:r>
          </w:p>
        </w:tc>
        <w:tc>
          <w:tcPr>
            <w:tcW w:w="2111" w:type="dxa"/>
            <w:tcBorders>
              <w:top w:val="nil"/>
              <w:left w:val="nil"/>
              <w:bottom w:val="nil"/>
              <w:right w:val="nil"/>
            </w:tcBorders>
            <w:shd w:val="clear" w:color="auto" w:fill="auto"/>
            <w:noWrap/>
            <w:vAlign w:val="bottom"/>
            <w:hideMark/>
          </w:tcPr>
          <w:p w14:paraId="2117FCFF"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5,801 </w:t>
            </w:r>
          </w:p>
        </w:tc>
        <w:tc>
          <w:tcPr>
            <w:tcW w:w="1806" w:type="dxa"/>
            <w:tcBorders>
              <w:top w:val="nil"/>
              <w:left w:val="nil"/>
              <w:bottom w:val="nil"/>
              <w:right w:val="single" w:sz="4" w:space="0" w:color="auto"/>
            </w:tcBorders>
            <w:shd w:val="clear" w:color="auto" w:fill="auto"/>
            <w:noWrap/>
            <w:vAlign w:val="bottom"/>
            <w:hideMark/>
          </w:tcPr>
          <w:p w14:paraId="30518699"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5,550 </w:t>
            </w:r>
          </w:p>
        </w:tc>
      </w:tr>
      <w:tr w:rsidR="00374FA8" w:rsidRPr="000C27AA" w14:paraId="481B1958"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5F23B296" w14:textId="77777777" w:rsidR="00374FA8" w:rsidRPr="000C27AA" w:rsidRDefault="00374FA8" w:rsidP="00BE3625">
            <w:pPr>
              <w:ind w:firstLineChars="200" w:firstLine="360"/>
              <w:rPr>
                <w:rFonts w:ascii="Arial" w:hAnsi="Arial" w:cs="Arial"/>
                <w:color w:val="000000"/>
                <w:sz w:val="18"/>
                <w:szCs w:val="18"/>
                <w:lang w:val="en-CA"/>
              </w:rPr>
            </w:pPr>
            <w:r w:rsidRPr="000C27AA">
              <w:rPr>
                <w:rFonts w:ascii="Arial" w:hAnsi="Arial" w:cs="Arial"/>
                <w:color w:val="000000"/>
                <w:sz w:val="18"/>
                <w:szCs w:val="18"/>
                <w:lang w:val="en-CA"/>
              </w:rPr>
              <w:t xml:space="preserve">Total operating expense </w:t>
            </w:r>
          </w:p>
        </w:tc>
        <w:tc>
          <w:tcPr>
            <w:tcW w:w="2111" w:type="dxa"/>
            <w:tcBorders>
              <w:top w:val="single" w:sz="4" w:space="0" w:color="auto"/>
              <w:left w:val="nil"/>
              <w:bottom w:val="single" w:sz="4" w:space="0" w:color="auto"/>
              <w:right w:val="nil"/>
            </w:tcBorders>
            <w:shd w:val="clear" w:color="auto" w:fill="auto"/>
            <w:noWrap/>
            <w:vAlign w:val="bottom"/>
            <w:hideMark/>
          </w:tcPr>
          <w:p w14:paraId="77871EC6"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38,011 </w:t>
            </w:r>
          </w:p>
        </w:tc>
        <w:tc>
          <w:tcPr>
            <w:tcW w:w="1806" w:type="dxa"/>
            <w:tcBorders>
              <w:top w:val="single" w:sz="4" w:space="0" w:color="auto"/>
              <w:left w:val="nil"/>
              <w:bottom w:val="single" w:sz="4" w:space="0" w:color="auto"/>
              <w:right w:val="single" w:sz="4" w:space="0" w:color="auto"/>
            </w:tcBorders>
            <w:shd w:val="clear" w:color="auto" w:fill="auto"/>
            <w:noWrap/>
            <w:vAlign w:val="bottom"/>
            <w:hideMark/>
          </w:tcPr>
          <w:p w14:paraId="15B47C8E"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34,113 </w:t>
            </w:r>
          </w:p>
        </w:tc>
      </w:tr>
      <w:tr w:rsidR="00374FA8" w:rsidRPr="000C27AA" w14:paraId="1989C8CC"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52A822EE" w14:textId="77777777" w:rsidR="00374FA8" w:rsidRPr="000C27AA" w:rsidRDefault="00374FA8" w:rsidP="00BE3625">
            <w:pPr>
              <w:rPr>
                <w:rFonts w:ascii="Arial" w:hAnsi="Arial" w:cs="Arial"/>
                <w:sz w:val="18"/>
                <w:szCs w:val="18"/>
                <w:lang w:val="en-CA"/>
              </w:rPr>
            </w:pPr>
          </w:p>
        </w:tc>
        <w:tc>
          <w:tcPr>
            <w:tcW w:w="2111" w:type="dxa"/>
            <w:tcBorders>
              <w:top w:val="nil"/>
              <w:left w:val="nil"/>
              <w:bottom w:val="nil"/>
              <w:right w:val="nil"/>
            </w:tcBorders>
            <w:shd w:val="clear" w:color="auto" w:fill="auto"/>
            <w:noWrap/>
            <w:vAlign w:val="bottom"/>
            <w:hideMark/>
          </w:tcPr>
          <w:p w14:paraId="1750D5C3" w14:textId="77777777" w:rsidR="00374FA8" w:rsidRPr="000C27AA" w:rsidRDefault="00374FA8" w:rsidP="00BE3625">
            <w:pPr>
              <w:rPr>
                <w:rFonts w:ascii="Arial" w:hAnsi="Arial" w:cs="Arial"/>
                <w:sz w:val="18"/>
                <w:szCs w:val="18"/>
                <w:lang w:val="en-CA"/>
              </w:rPr>
            </w:pPr>
          </w:p>
        </w:tc>
        <w:tc>
          <w:tcPr>
            <w:tcW w:w="1806" w:type="dxa"/>
            <w:tcBorders>
              <w:top w:val="nil"/>
              <w:left w:val="nil"/>
              <w:bottom w:val="nil"/>
              <w:right w:val="single" w:sz="4" w:space="0" w:color="auto"/>
            </w:tcBorders>
            <w:shd w:val="clear" w:color="auto" w:fill="auto"/>
            <w:noWrap/>
            <w:vAlign w:val="bottom"/>
            <w:hideMark/>
          </w:tcPr>
          <w:p w14:paraId="13255064"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 </w:t>
            </w:r>
          </w:p>
        </w:tc>
      </w:tr>
      <w:tr w:rsidR="00374FA8" w:rsidRPr="000C27AA" w14:paraId="321ABC28"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55E903FD"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 xml:space="preserve">Operating income </w:t>
            </w:r>
          </w:p>
        </w:tc>
        <w:tc>
          <w:tcPr>
            <w:tcW w:w="2111" w:type="dxa"/>
            <w:tcBorders>
              <w:top w:val="nil"/>
              <w:left w:val="nil"/>
              <w:bottom w:val="nil"/>
              <w:right w:val="nil"/>
            </w:tcBorders>
            <w:shd w:val="clear" w:color="auto" w:fill="auto"/>
            <w:noWrap/>
            <w:vAlign w:val="bottom"/>
            <w:hideMark/>
          </w:tcPr>
          <w:p w14:paraId="674ADE7E"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3,292 </w:t>
            </w:r>
          </w:p>
        </w:tc>
        <w:tc>
          <w:tcPr>
            <w:tcW w:w="1806" w:type="dxa"/>
            <w:tcBorders>
              <w:top w:val="nil"/>
              <w:left w:val="nil"/>
              <w:bottom w:val="nil"/>
              <w:right w:val="single" w:sz="4" w:space="0" w:color="auto"/>
            </w:tcBorders>
            <w:shd w:val="clear" w:color="auto" w:fill="auto"/>
            <w:noWrap/>
            <w:vAlign w:val="bottom"/>
            <w:hideMark/>
          </w:tcPr>
          <w:p w14:paraId="3E4682F5"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3,671 </w:t>
            </w:r>
          </w:p>
        </w:tc>
      </w:tr>
      <w:tr w:rsidR="00374FA8" w:rsidRPr="000C27AA" w14:paraId="43ABECB8"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46B12B7D"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Operating margin</w:t>
            </w:r>
          </w:p>
        </w:tc>
        <w:tc>
          <w:tcPr>
            <w:tcW w:w="2111" w:type="dxa"/>
            <w:tcBorders>
              <w:top w:val="nil"/>
              <w:left w:val="nil"/>
              <w:bottom w:val="nil"/>
              <w:right w:val="nil"/>
            </w:tcBorders>
            <w:shd w:val="clear" w:color="auto" w:fill="auto"/>
            <w:noWrap/>
            <w:vAlign w:val="bottom"/>
            <w:hideMark/>
          </w:tcPr>
          <w:p w14:paraId="15DE35E7"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0 </w:t>
            </w:r>
          </w:p>
        </w:tc>
        <w:tc>
          <w:tcPr>
            <w:tcW w:w="1806" w:type="dxa"/>
            <w:tcBorders>
              <w:top w:val="nil"/>
              <w:left w:val="nil"/>
              <w:bottom w:val="nil"/>
              <w:right w:val="single" w:sz="4" w:space="0" w:color="auto"/>
            </w:tcBorders>
            <w:shd w:val="clear" w:color="auto" w:fill="auto"/>
            <w:noWrap/>
            <w:vAlign w:val="bottom"/>
            <w:hideMark/>
          </w:tcPr>
          <w:p w14:paraId="08C68A15"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0 </w:t>
            </w:r>
          </w:p>
        </w:tc>
      </w:tr>
      <w:tr w:rsidR="00374FA8" w:rsidRPr="000C27AA" w14:paraId="1202A5E6"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35A52550" w14:textId="77777777" w:rsidR="00374FA8" w:rsidRPr="000C27AA" w:rsidRDefault="00374FA8" w:rsidP="00BE3625">
            <w:pPr>
              <w:rPr>
                <w:rFonts w:ascii="Arial" w:hAnsi="Arial" w:cs="Arial"/>
                <w:sz w:val="18"/>
                <w:szCs w:val="18"/>
                <w:lang w:val="en-CA"/>
              </w:rPr>
            </w:pPr>
          </w:p>
        </w:tc>
        <w:tc>
          <w:tcPr>
            <w:tcW w:w="2111" w:type="dxa"/>
            <w:tcBorders>
              <w:top w:val="nil"/>
              <w:left w:val="nil"/>
              <w:bottom w:val="nil"/>
              <w:right w:val="nil"/>
            </w:tcBorders>
            <w:shd w:val="clear" w:color="auto" w:fill="auto"/>
            <w:noWrap/>
            <w:vAlign w:val="bottom"/>
            <w:hideMark/>
          </w:tcPr>
          <w:p w14:paraId="1B953911" w14:textId="77777777" w:rsidR="00374FA8" w:rsidRPr="000C27AA" w:rsidRDefault="00374FA8" w:rsidP="00BE3625">
            <w:pPr>
              <w:rPr>
                <w:rFonts w:ascii="Arial" w:hAnsi="Arial" w:cs="Arial"/>
                <w:sz w:val="18"/>
                <w:szCs w:val="18"/>
                <w:lang w:val="en-CA"/>
              </w:rPr>
            </w:pPr>
          </w:p>
        </w:tc>
        <w:tc>
          <w:tcPr>
            <w:tcW w:w="1806" w:type="dxa"/>
            <w:tcBorders>
              <w:top w:val="nil"/>
              <w:left w:val="nil"/>
              <w:bottom w:val="nil"/>
              <w:right w:val="single" w:sz="4" w:space="0" w:color="auto"/>
            </w:tcBorders>
            <w:shd w:val="clear" w:color="auto" w:fill="auto"/>
            <w:noWrap/>
            <w:vAlign w:val="bottom"/>
            <w:hideMark/>
          </w:tcPr>
          <w:p w14:paraId="46BB1432"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 </w:t>
            </w:r>
          </w:p>
        </w:tc>
      </w:tr>
      <w:tr w:rsidR="00374FA8" w:rsidRPr="000C27AA" w14:paraId="64C91F38"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0AA312F8" w14:textId="4017C869" w:rsidR="00374FA8" w:rsidRPr="000C27AA" w:rsidRDefault="00374FA8" w:rsidP="00BE3625">
            <w:pPr>
              <w:rPr>
                <w:rFonts w:ascii="Arial" w:hAnsi="Arial" w:cs="Arial"/>
                <w:i/>
                <w:color w:val="000000"/>
                <w:sz w:val="18"/>
                <w:szCs w:val="18"/>
                <w:lang w:val="en-CA"/>
              </w:rPr>
            </w:pPr>
            <w:r w:rsidRPr="000C27AA">
              <w:rPr>
                <w:rFonts w:ascii="Arial" w:hAnsi="Arial" w:cs="Arial"/>
                <w:i/>
                <w:color w:val="000000"/>
                <w:sz w:val="18"/>
                <w:szCs w:val="18"/>
                <w:lang w:val="en-CA"/>
              </w:rPr>
              <w:t>Non</w:t>
            </w:r>
            <w:r w:rsidR="002E2C86" w:rsidRPr="000C27AA">
              <w:rPr>
                <w:rFonts w:ascii="Arial" w:hAnsi="Arial" w:cs="Arial"/>
                <w:i/>
                <w:color w:val="000000"/>
                <w:sz w:val="18"/>
                <w:szCs w:val="18"/>
                <w:lang w:val="en-CA"/>
              </w:rPr>
              <w:t>-</w:t>
            </w:r>
            <w:r w:rsidRPr="000C27AA">
              <w:rPr>
                <w:rFonts w:ascii="Arial" w:hAnsi="Arial" w:cs="Arial"/>
                <w:i/>
                <w:color w:val="000000"/>
                <w:sz w:val="18"/>
                <w:szCs w:val="18"/>
                <w:lang w:val="en-CA"/>
              </w:rPr>
              <w:t>operating income (expense):</w:t>
            </w:r>
          </w:p>
        </w:tc>
        <w:tc>
          <w:tcPr>
            <w:tcW w:w="2111" w:type="dxa"/>
            <w:tcBorders>
              <w:top w:val="nil"/>
              <w:left w:val="nil"/>
              <w:bottom w:val="nil"/>
              <w:right w:val="nil"/>
            </w:tcBorders>
            <w:shd w:val="clear" w:color="auto" w:fill="auto"/>
            <w:noWrap/>
            <w:vAlign w:val="bottom"/>
            <w:hideMark/>
          </w:tcPr>
          <w:p w14:paraId="2D1B603A" w14:textId="77777777" w:rsidR="00374FA8" w:rsidRPr="000C27AA" w:rsidRDefault="00374FA8" w:rsidP="00BE3625">
            <w:pPr>
              <w:rPr>
                <w:rFonts w:ascii="Arial" w:hAnsi="Arial" w:cs="Arial"/>
                <w:color w:val="000000"/>
                <w:sz w:val="18"/>
                <w:szCs w:val="18"/>
                <w:lang w:val="en-CA"/>
              </w:rPr>
            </w:pPr>
          </w:p>
        </w:tc>
        <w:tc>
          <w:tcPr>
            <w:tcW w:w="1806" w:type="dxa"/>
            <w:tcBorders>
              <w:top w:val="nil"/>
              <w:left w:val="nil"/>
              <w:bottom w:val="nil"/>
              <w:right w:val="single" w:sz="4" w:space="0" w:color="auto"/>
            </w:tcBorders>
            <w:shd w:val="clear" w:color="auto" w:fill="auto"/>
            <w:noWrap/>
            <w:vAlign w:val="bottom"/>
            <w:hideMark/>
          </w:tcPr>
          <w:p w14:paraId="0E476A63"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 </w:t>
            </w:r>
          </w:p>
        </w:tc>
      </w:tr>
      <w:tr w:rsidR="00374FA8" w:rsidRPr="000C27AA" w14:paraId="608F365D"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12BF9D95"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Interest expense </w:t>
            </w:r>
          </w:p>
        </w:tc>
        <w:tc>
          <w:tcPr>
            <w:tcW w:w="2111" w:type="dxa"/>
            <w:tcBorders>
              <w:top w:val="nil"/>
              <w:left w:val="nil"/>
              <w:bottom w:val="nil"/>
              <w:right w:val="nil"/>
            </w:tcBorders>
            <w:shd w:val="clear" w:color="auto" w:fill="auto"/>
            <w:noWrap/>
            <w:vAlign w:val="bottom"/>
            <w:hideMark/>
          </w:tcPr>
          <w:p w14:paraId="5C0D28BB"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(729)</w:t>
            </w:r>
          </w:p>
        </w:tc>
        <w:tc>
          <w:tcPr>
            <w:tcW w:w="1806" w:type="dxa"/>
            <w:tcBorders>
              <w:top w:val="nil"/>
              <w:left w:val="nil"/>
              <w:bottom w:val="nil"/>
              <w:right w:val="single" w:sz="4" w:space="0" w:color="auto"/>
            </w:tcBorders>
            <w:shd w:val="clear" w:color="auto" w:fill="auto"/>
            <w:noWrap/>
            <w:vAlign w:val="bottom"/>
            <w:hideMark/>
          </w:tcPr>
          <w:p w14:paraId="7FE07255"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(671)</w:t>
            </w:r>
          </w:p>
        </w:tc>
      </w:tr>
      <w:tr w:rsidR="00374FA8" w:rsidRPr="000C27AA" w14:paraId="3E8A5910"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712587FE"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Interest capitalized </w:t>
            </w:r>
          </w:p>
        </w:tc>
        <w:tc>
          <w:tcPr>
            <w:tcW w:w="2111" w:type="dxa"/>
            <w:tcBorders>
              <w:top w:val="nil"/>
              <w:left w:val="nil"/>
              <w:bottom w:val="nil"/>
              <w:right w:val="nil"/>
            </w:tcBorders>
            <w:shd w:val="clear" w:color="auto" w:fill="auto"/>
            <w:noWrap/>
            <w:vAlign w:val="bottom"/>
            <w:hideMark/>
          </w:tcPr>
          <w:p w14:paraId="47DEFEEE"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70 </w:t>
            </w:r>
          </w:p>
        </w:tc>
        <w:tc>
          <w:tcPr>
            <w:tcW w:w="1806" w:type="dxa"/>
            <w:tcBorders>
              <w:top w:val="nil"/>
              <w:left w:val="nil"/>
              <w:bottom w:val="nil"/>
              <w:right w:val="single" w:sz="4" w:space="0" w:color="auto"/>
            </w:tcBorders>
            <w:shd w:val="clear" w:color="auto" w:fill="auto"/>
            <w:noWrap/>
            <w:vAlign w:val="bottom"/>
            <w:hideMark/>
          </w:tcPr>
          <w:p w14:paraId="50E6BA6A"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84 </w:t>
            </w:r>
          </w:p>
        </w:tc>
      </w:tr>
      <w:tr w:rsidR="00374FA8" w:rsidRPr="000C27AA" w14:paraId="583C6220"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5C878B82"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Interest income </w:t>
            </w:r>
          </w:p>
        </w:tc>
        <w:tc>
          <w:tcPr>
            <w:tcW w:w="2111" w:type="dxa"/>
            <w:tcBorders>
              <w:top w:val="nil"/>
              <w:left w:val="nil"/>
              <w:bottom w:val="nil"/>
              <w:right w:val="nil"/>
            </w:tcBorders>
            <w:shd w:val="clear" w:color="auto" w:fill="auto"/>
            <w:noWrap/>
            <w:vAlign w:val="bottom"/>
            <w:hideMark/>
          </w:tcPr>
          <w:p w14:paraId="56FFEC1E"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101 </w:t>
            </w:r>
          </w:p>
        </w:tc>
        <w:tc>
          <w:tcPr>
            <w:tcW w:w="1806" w:type="dxa"/>
            <w:tcBorders>
              <w:top w:val="nil"/>
              <w:left w:val="nil"/>
              <w:bottom w:val="nil"/>
              <w:right w:val="single" w:sz="4" w:space="0" w:color="auto"/>
            </w:tcBorders>
            <w:shd w:val="clear" w:color="auto" w:fill="auto"/>
            <w:noWrap/>
            <w:vAlign w:val="bottom"/>
            <w:hideMark/>
          </w:tcPr>
          <w:p w14:paraId="33121856"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57 </w:t>
            </w:r>
          </w:p>
        </w:tc>
      </w:tr>
      <w:tr w:rsidR="00374FA8" w:rsidRPr="000C27AA" w14:paraId="14F67F7D"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1F8D3906" w14:textId="77777777" w:rsidR="00374FA8" w:rsidRPr="000C27AA" w:rsidRDefault="00374FA8"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Miscellaneous, net</w:t>
            </w:r>
          </w:p>
        </w:tc>
        <w:tc>
          <w:tcPr>
            <w:tcW w:w="2111" w:type="dxa"/>
            <w:tcBorders>
              <w:top w:val="nil"/>
              <w:left w:val="nil"/>
              <w:bottom w:val="nil"/>
              <w:right w:val="nil"/>
            </w:tcBorders>
            <w:shd w:val="clear" w:color="auto" w:fill="auto"/>
            <w:noWrap/>
            <w:vAlign w:val="bottom"/>
            <w:hideMark/>
          </w:tcPr>
          <w:p w14:paraId="07D15507"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(76)</w:t>
            </w:r>
          </w:p>
        </w:tc>
        <w:tc>
          <w:tcPr>
            <w:tcW w:w="1806" w:type="dxa"/>
            <w:tcBorders>
              <w:top w:val="nil"/>
              <w:left w:val="nil"/>
              <w:bottom w:val="nil"/>
              <w:right w:val="single" w:sz="4" w:space="0" w:color="auto"/>
            </w:tcBorders>
            <w:shd w:val="clear" w:color="auto" w:fill="auto"/>
            <w:noWrap/>
            <w:vAlign w:val="bottom"/>
            <w:hideMark/>
          </w:tcPr>
          <w:p w14:paraId="04B7A9B7"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(101)</w:t>
            </w:r>
          </w:p>
        </w:tc>
      </w:tr>
      <w:tr w:rsidR="00374FA8" w:rsidRPr="000C27AA" w14:paraId="1A5803C9"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4F85A61E" w14:textId="3BE5486A" w:rsidR="00374FA8" w:rsidRPr="000C27AA" w:rsidRDefault="00374FA8" w:rsidP="00BE3625">
            <w:pPr>
              <w:ind w:firstLineChars="200" w:firstLine="360"/>
              <w:rPr>
                <w:rFonts w:ascii="Arial" w:hAnsi="Arial" w:cs="Arial"/>
                <w:color w:val="000000"/>
                <w:sz w:val="18"/>
                <w:szCs w:val="18"/>
                <w:lang w:val="en-CA"/>
              </w:rPr>
            </w:pPr>
            <w:r w:rsidRPr="000C27AA">
              <w:rPr>
                <w:rFonts w:ascii="Arial" w:hAnsi="Arial" w:cs="Arial"/>
                <w:color w:val="000000"/>
                <w:sz w:val="18"/>
                <w:szCs w:val="18"/>
                <w:lang w:val="en-CA"/>
              </w:rPr>
              <w:t>Total non</w:t>
            </w:r>
            <w:r w:rsidR="00C0368F" w:rsidRPr="000C27AA">
              <w:rPr>
                <w:rFonts w:ascii="Arial" w:hAnsi="Arial" w:cs="Arial"/>
                <w:color w:val="000000"/>
                <w:sz w:val="18"/>
                <w:szCs w:val="18"/>
                <w:lang w:val="en-CA"/>
              </w:rPr>
              <w:t>-</w:t>
            </w:r>
            <w:r w:rsidRPr="000C27AA">
              <w:rPr>
                <w:rFonts w:ascii="Arial" w:hAnsi="Arial" w:cs="Arial"/>
                <w:color w:val="000000"/>
                <w:sz w:val="18"/>
                <w:szCs w:val="18"/>
                <w:lang w:val="en-CA"/>
              </w:rPr>
              <w:t xml:space="preserve">operating expense </w:t>
            </w:r>
          </w:p>
        </w:tc>
        <w:tc>
          <w:tcPr>
            <w:tcW w:w="2111" w:type="dxa"/>
            <w:tcBorders>
              <w:top w:val="single" w:sz="4" w:space="0" w:color="auto"/>
              <w:left w:val="nil"/>
              <w:bottom w:val="single" w:sz="4" w:space="0" w:color="auto"/>
              <w:right w:val="nil"/>
            </w:tcBorders>
            <w:shd w:val="clear" w:color="auto" w:fill="auto"/>
            <w:noWrap/>
            <w:vAlign w:val="bottom"/>
            <w:hideMark/>
          </w:tcPr>
          <w:p w14:paraId="5542A038"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(634)</w:t>
            </w:r>
          </w:p>
        </w:tc>
        <w:tc>
          <w:tcPr>
            <w:tcW w:w="1806" w:type="dxa"/>
            <w:tcBorders>
              <w:top w:val="single" w:sz="4" w:space="0" w:color="auto"/>
              <w:left w:val="nil"/>
              <w:bottom w:val="single" w:sz="4" w:space="0" w:color="auto"/>
              <w:right w:val="single" w:sz="4" w:space="0" w:color="auto"/>
            </w:tcBorders>
            <w:shd w:val="clear" w:color="auto" w:fill="auto"/>
            <w:noWrap/>
            <w:vAlign w:val="bottom"/>
            <w:hideMark/>
          </w:tcPr>
          <w:p w14:paraId="78095D95"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(631)</w:t>
            </w:r>
          </w:p>
        </w:tc>
      </w:tr>
      <w:tr w:rsidR="00374FA8" w:rsidRPr="000C27AA" w14:paraId="158B33AC"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3D95E3CD" w14:textId="77777777" w:rsidR="00374FA8" w:rsidRPr="000C27AA" w:rsidRDefault="00374FA8" w:rsidP="00BE3625">
            <w:pPr>
              <w:rPr>
                <w:rFonts w:ascii="Arial" w:hAnsi="Arial" w:cs="Arial"/>
                <w:sz w:val="18"/>
                <w:szCs w:val="18"/>
                <w:lang w:val="en-CA"/>
              </w:rPr>
            </w:pPr>
          </w:p>
        </w:tc>
        <w:tc>
          <w:tcPr>
            <w:tcW w:w="2111" w:type="dxa"/>
            <w:tcBorders>
              <w:top w:val="nil"/>
              <w:left w:val="nil"/>
              <w:bottom w:val="nil"/>
              <w:right w:val="nil"/>
            </w:tcBorders>
            <w:shd w:val="clear" w:color="auto" w:fill="auto"/>
            <w:noWrap/>
            <w:vAlign w:val="bottom"/>
            <w:hideMark/>
          </w:tcPr>
          <w:p w14:paraId="3A5108A3" w14:textId="77777777" w:rsidR="00374FA8" w:rsidRPr="000C27AA" w:rsidRDefault="00374FA8" w:rsidP="00BE3625">
            <w:pPr>
              <w:rPr>
                <w:rFonts w:ascii="Arial" w:hAnsi="Arial" w:cs="Arial"/>
                <w:sz w:val="18"/>
                <w:szCs w:val="18"/>
                <w:lang w:val="en-CA"/>
              </w:rPr>
            </w:pPr>
          </w:p>
        </w:tc>
        <w:tc>
          <w:tcPr>
            <w:tcW w:w="1806" w:type="dxa"/>
            <w:tcBorders>
              <w:top w:val="nil"/>
              <w:left w:val="nil"/>
              <w:bottom w:val="nil"/>
              <w:right w:val="single" w:sz="4" w:space="0" w:color="auto"/>
            </w:tcBorders>
            <w:shd w:val="clear" w:color="auto" w:fill="auto"/>
            <w:noWrap/>
            <w:vAlign w:val="bottom"/>
            <w:hideMark/>
          </w:tcPr>
          <w:p w14:paraId="51C534E6"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 </w:t>
            </w:r>
          </w:p>
        </w:tc>
      </w:tr>
      <w:tr w:rsidR="00374FA8" w:rsidRPr="000C27AA" w14:paraId="78232FBD"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184A1857"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 xml:space="preserve">Income before income taxes </w:t>
            </w:r>
          </w:p>
        </w:tc>
        <w:tc>
          <w:tcPr>
            <w:tcW w:w="2111" w:type="dxa"/>
            <w:tcBorders>
              <w:top w:val="nil"/>
              <w:left w:val="nil"/>
              <w:bottom w:val="nil"/>
              <w:right w:val="nil"/>
            </w:tcBorders>
            <w:shd w:val="clear" w:color="auto" w:fill="auto"/>
            <w:noWrap/>
            <w:vAlign w:val="bottom"/>
            <w:hideMark/>
          </w:tcPr>
          <w:p w14:paraId="6D9486B0"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2,658 </w:t>
            </w:r>
          </w:p>
        </w:tc>
        <w:tc>
          <w:tcPr>
            <w:tcW w:w="1806" w:type="dxa"/>
            <w:tcBorders>
              <w:top w:val="nil"/>
              <w:left w:val="nil"/>
              <w:bottom w:val="nil"/>
              <w:right w:val="single" w:sz="4" w:space="0" w:color="auto"/>
            </w:tcBorders>
            <w:shd w:val="clear" w:color="auto" w:fill="auto"/>
            <w:noWrap/>
            <w:vAlign w:val="bottom"/>
            <w:hideMark/>
          </w:tcPr>
          <w:p w14:paraId="75FFF9E8"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3,040 </w:t>
            </w:r>
          </w:p>
        </w:tc>
      </w:tr>
      <w:tr w:rsidR="00374FA8" w:rsidRPr="000C27AA" w14:paraId="029F5D02"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78EB6C9A"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Pre-tax margin</w:t>
            </w:r>
          </w:p>
        </w:tc>
        <w:tc>
          <w:tcPr>
            <w:tcW w:w="2111" w:type="dxa"/>
            <w:tcBorders>
              <w:top w:val="nil"/>
              <w:left w:val="nil"/>
              <w:bottom w:val="nil"/>
              <w:right w:val="nil"/>
            </w:tcBorders>
            <w:shd w:val="clear" w:color="auto" w:fill="auto"/>
            <w:noWrap/>
            <w:vAlign w:val="bottom"/>
            <w:hideMark/>
          </w:tcPr>
          <w:p w14:paraId="7AB25564"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0 </w:t>
            </w:r>
          </w:p>
        </w:tc>
        <w:tc>
          <w:tcPr>
            <w:tcW w:w="1806" w:type="dxa"/>
            <w:tcBorders>
              <w:top w:val="nil"/>
              <w:left w:val="nil"/>
              <w:bottom w:val="nil"/>
              <w:right w:val="single" w:sz="4" w:space="0" w:color="auto"/>
            </w:tcBorders>
            <w:shd w:val="clear" w:color="auto" w:fill="auto"/>
            <w:noWrap/>
            <w:vAlign w:val="bottom"/>
            <w:hideMark/>
          </w:tcPr>
          <w:p w14:paraId="2682CA80"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0 </w:t>
            </w:r>
          </w:p>
        </w:tc>
      </w:tr>
      <w:tr w:rsidR="00374FA8" w:rsidRPr="000C27AA" w14:paraId="6E3FD96A" w14:textId="77777777" w:rsidTr="00F472EE">
        <w:trPr>
          <w:trHeight w:val="244"/>
          <w:tblHeader/>
          <w:jc w:val="center"/>
        </w:trPr>
        <w:tc>
          <w:tcPr>
            <w:tcW w:w="4787" w:type="dxa"/>
            <w:tcBorders>
              <w:top w:val="nil"/>
              <w:left w:val="single" w:sz="4" w:space="0" w:color="auto"/>
              <w:bottom w:val="nil"/>
              <w:right w:val="nil"/>
            </w:tcBorders>
            <w:shd w:val="clear" w:color="auto" w:fill="auto"/>
            <w:vAlign w:val="bottom"/>
            <w:hideMark/>
          </w:tcPr>
          <w:p w14:paraId="36BFB44C"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 xml:space="preserve">Income tax expense </w:t>
            </w:r>
          </w:p>
        </w:tc>
        <w:tc>
          <w:tcPr>
            <w:tcW w:w="2111" w:type="dxa"/>
            <w:tcBorders>
              <w:top w:val="nil"/>
              <w:left w:val="nil"/>
              <w:bottom w:val="nil"/>
              <w:right w:val="nil"/>
            </w:tcBorders>
            <w:shd w:val="clear" w:color="auto" w:fill="auto"/>
            <w:noWrap/>
            <w:vAlign w:val="bottom"/>
            <w:hideMark/>
          </w:tcPr>
          <w:p w14:paraId="7374A5A5"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529 </w:t>
            </w:r>
          </w:p>
        </w:tc>
        <w:tc>
          <w:tcPr>
            <w:tcW w:w="1806" w:type="dxa"/>
            <w:tcBorders>
              <w:top w:val="nil"/>
              <w:left w:val="nil"/>
              <w:bottom w:val="nil"/>
              <w:right w:val="single" w:sz="4" w:space="0" w:color="auto"/>
            </w:tcBorders>
            <w:shd w:val="clear" w:color="auto" w:fill="auto"/>
            <w:noWrap/>
            <w:vAlign w:val="bottom"/>
            <w:hideMark/>
          </w:tcPr>
          <w:p w14:paraId="5D039A35"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896 </w:t>
            </w:r>
          </w:p>
        </w:tc>
      </w:tr>
      <w:tr w:rsidR="00374FA8" w:rsidRPr="000C27AA" w14:paraId="7FF058C5" w14:textId="77777777" w:rsidTr="00F472EE">
        <w:trPr>
          <w:trHeight w:val="261"/>
          <w:tblHeader/>
          <w:jc w:val="center"/>
        </w:trPr>
        <w:tc>
          <w:tcPr>
            <w:tcW w:w="4787" w:type="dxa"/>
            <w:tcBorders>
              <w:top w:val="nil"/>
              <w:left w:val="single" w:sz="4" w:space="0" w:color="auto"/>
              <w:bottom w:val="nil"/>
              <w:right w:val="nil"/>
            </w:tcBorders>
            <w:shd w:val="clear" w:color="auto" w:fill="auto"/>
            <w:vAlign w:val="bottom"/>
            <w:hideMark/>
          </w:tcPr>
          <w:p w14:paraId="2284A282"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 xml:space="preserve">Net Income </w:t>
            </w:r>
          </w:p>
        </w:tc>
        <w:tc>
          <w:tcPr>
            <w:tcW w:w="2111" w:type="dxa"/>
            <w:tcBorders>
              <w:top w:val="single" w:sz="4" w:space="0" w:color="auto"/>
              <w:left w:val="nil"/>
              <w:bottom w:val="double" w:sz="6" w:space="0" w:color="auto"/>
              <w:right w:val="nil"/>
            </w:tcBorders>
            <w:shd w:val="clear" w:color="auto" w:fill="auto"/>
            <w:noWrap/>
            <w:vAlign w:val="bottom"/>
            <w:hideMark/>
          </w:tcPr>
          <w:p w14:paraId="555B1763"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2,129 </w:t>
            </w:r>
          </w:p>
        </w:tc>
        <w:tc>
          <w:tcPr>
            <w:tcW w:w="1806" w:type="dxa"/>
            <w:tcBorders>
              <w:top w:val="single" w:sz="4" w:space="0" w:color="auto"/>
              <w:left w:val="nil"/>
              <w:bottom w:val="double" w:sz="6" w:space="0" w:color="auto"/>
              <w:right w:val="single" w:sz="4" w:space="0" w:color="auto"/>
            </w:tcBorders>
            <w:shd w:val="clear" w:color="auto" w:fill="auto"/>
            <w:noWrap/>
            <w:vAlign w:val="bottom"/>
            <w:hideMark/>
          </w:tcPr>
          <w:p w14:paraId="229D19B7"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2,144 </w:t>
            </w:r>
          </w:p>
        </w:tc>
      </w:tr>
      <w:tr w:rsidR="00374FA8" w:rsidRPr="000C27AA" w14:paraId="2A304019" w14:textId="77777777" w:rsidTr="00F472EE">
        <w:trPr>
          <w:trHeight w:val="261"/>
          <w:tblHeader/>
          <w:jc w:val="center"/>
        </w:trPr>
        <w:tc>
          <w:tcPr>
            <w:tcW w:w="4787" w:type="dxa"/>
            <w:tcBorders>
              <w:top w:val="nil"/>
              <w:left w:val="single" w:sz="4" w:space="0" w:color="auto"/>
              <w:bottom w:val="nil"/>
              <w:right w:val="nil"/>
            </w:tcBorders>
            <w:shd w:val="clear" w:color="auto" w:fill="auto"/>
            <w:vAlign w:val="bottom"/>
            <w:hideMark/>
          </w:tcPr>
          <w:p w14:paraId="428A6EDC" w14:textId="77777777" w:rsidR="00374FA8" w:rsidRPr="000C27AA" w:rsidRDefault="00374FA8" w:rsidP="00BE3625">
            <w:pPr>
              <w:rPr>
                <w:rFonts w:ascii="Arial" w:hAnsi="Arial" w:cs="Arial"/>
                <w:sz w:val="18"/>
                <w:szCs w:val="18"/>
                <w:lang w:val="en-CA"/>
              </w:rPr>
            </w:pPr>
          </w:p>
        </w:tc>
        <w:tc>
          <w:tcPr>
            <w:tcW w:w="2111" w:type="dxa"/>
            <w:tcBorders>
              <w:top w:val="nil"/>
              <w:left w:val="nil"/>
              <w:bottom w:val="nil"/>
              <w:right w:val="nil"/>
            </w:tcBorders>
            <w:shd w:val="clear" w:color="auto" w:fill="auto"/>
            <w:noWrap/>
            <w:vAlign w:val="bottom"/>
            <w:hideMark/>
          </w:tcPr>
          <w:p w14:paraId="53CBB9F9" w14:textId="77777777" w:rsidR="00374FA8" w:rsidRPr="000C27AA" w:rsidRDefault="00374FA8" w:rsidP="00BE3625">
            <w:pPr>
              <w:rPr>
                <w:rFonts w:ascii="Arial" w:hAnsi="Arial" w:cs="Arial"/>
                <w:sz w:val="18"/>
                <w:szCs w:val="18"/>
                <w:lang w:val="en-CA"/>
              </w:rPr>
            </w:pPr>
          </w:p>
        </w:tc>
        <w:tc>
          <w:tcPr>
            <w:tcW w:w="1806" w:type="dxa"/>
            <w:tcBorders>
              <w:top w:val="nil"/>
              <w:left w:val="nil"/>
              <w:bottom w:val="nil"/>
              <w:right w:val="single" w:sz="4" w:space="0" w:color="auto"/>
            </w:tcBorders>
            <w:shd w:val="clear" w:color="auto" w:fill="auto"/>
            <w:noWrap/>
            <w:vAlign w:val="bottom"/>
            <w:hideMark/>
          </w:tcPr>
          <w:p w14:paraId="49AA6D4F"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 </w:t>
            </w:r>
          </w:p>
        </w:tc>
      </w:tr>
      <w:tr w:rsidR="00374FA8" w:rsidRPr="000C27AA" w14:paraId="226CDDDF" w14:textId="77777777" w:rsidTr="00F472EE">
        <w:trPr>
          <w:trHeight w:val="261"/>
          <w:tblHeader/>
          <w:jc w:val="center"/>
        </w:trPr>
        <w:tc>
          <w:tcPr>
            <w:tcW w:w="4787" w:type="dxa"/>
            <w:tcBorders>
              <w:top w:val="nil"/>
              <w:left w:val="single" w:sz="4" w:space="0" w:color="auto"/>
              <w:bottom w:val="nil"/>
              <w:right w:val="nil"/>
            </w:tcBorders>
            <w:shd w:val="clear" w:color="auto" w:fill="auto"/>
            <w:vAlign w:val="bottom"/>
            <w:hideMark/>
          </w:tcPr>
          <w:p w14:paraId="1817D51A"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 xml:space="preserve">Diluted earnings per share </w:t>
            </w:r>
          </w:p>
        </w:tc>
        <w:tc>
          <w:tcPr>
            <w:tcW w:w="2111" w:type="dxa"/>
            <w:tcBorders>
              <w:top w:val="nil"/>
              <w:left w:val="nil"/>
              <w:bottom w:val="double" w:sz="6" w:space="0" w:color="auto"/>
              <w:right w:val="nil"/>
            </w:tcBorders>
            <w:shd w:val="clear" w:color="auto" w:fill="auto"/>
            <w:noWrap/>
            <w:vAlign w:val="bottom"/>
            <w:hideMark/>
          </w:tcPr>
          <w:p w14:paraId="65570E00"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8 </w:t>
            </w:r>
          </w:p>
        </w:tc>
        <w:tc>
          <w:tcPr>
            <w:tcW w:w="1806" w:type="dxa"/>
            <w:tcBorders>
              <w:top w:val="nil"/>
              <w:left w:val="nil"/>
              <w:bottom w:val="double" w:sz="6" w:space="0" w:color="auto"/>
              <w:right w:val="single" w:sz="4" w:space="0" w:color="auto"/>
            </w:tcBorders>
            <w:shd w:val="clear" w:color="auto" w:fill="auto"/>
            <w:noWrap/>
            <w:vAlign w:val="bottom"/>
            <w:hideMark/>
          </w:tcPr>
          <w:p w14:paraId="57C101BF"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7 </w:t>
            </w:r>
          </w:p>
        </w:tc>
      </w:tr>
      <w:tr w:rsidR="00374FA8" w:rsidRPr="000C27AA" w14:paraId="7DB659AF" w14:textId="77777777" w:rsidTr="00F472EE">
        <w:trPr>
          <w:trHeight w:val="278"/>
          <w:tblHeader/>
          <w:jc w:val="center"/>
        </w:trPr>
        <w:tc>
          <w:tcPr>
            <w:tcW w:w="4787" w:type="dxa"/>
            <w:tcBorders>
              <w:top w:val="nil"/>
              <w:left w:val="single" w:sz="4" w:space="0" w:color="auto"/>
              <w:bottom w:val="single" w:sz="4" w:space="0" w:color="auto"/>
              <w:right w:val="nil"/>
            </w:tcBorders>
            <w:shd w:val="clear" w:color="auto" w:fill="auto"/>
            <w:vAlign w:val="bottom"/>
            <w:hideMark/>
          </w:tcPr>
          <w:p w14:paraId="4588738D" w14:textId="77777777" w:rsidR="00374FA8" w:rsidRPr="000C27AA" w:rsidRDefault="00374FA8" w:rsidP="00BE3625">
            <w:pPr>
              <w:rPr>
                <w:rFonts w:ascii="Arial" w:hAnsi="Arial" w:cs="Arial"/>
                <w:color w:val="000000"/>
                <w:sz w:val="18"/>
                <w:szCs w:val="18"/>
                <w:lang w:val="en-CA"/>
              </w:rPr>
            </w:pPr>
            <w:r w:rsidRPr="000C27AA">
              <w:rPr>
                <w:rFonts w:ascii="Arial" w:hAnsi="Arial" w:cs="Arial"/>
                <w:color w:val="000000"/>
                <w:sz w:val="18"/>
                <w:szCs w:val="18"/>
                <w:lang w:val="en-CA"/>
              </w:rPr>
              <w:t xml:space="preserve">Diluted weighted average shares </w:t>
            </w:r>
          </w:p>
        </w:tc>
        <w:tc>
          <w:tcPr>
            <w:tcW w:w="2111" w:type="dxa"/>
            <w:tcBorders>
              <w:top w:val="nil"/>
              <w:left w:val="nil"/>
              <w:bottom w:val="single" w:sz="4" w:space="0" w:color="auto"/>
              <w:right w:val="nil"/>
            </w:tcBorders>
            <w:shd w:val="clear" w:color="auto" w:fill="auto"/>
            <w:noWrap/>
            <w:vAlign w:val="bottom"/>
            <w:hideMark/>
          </w:tcPr>
          <w:p w14:paraId="1EC5C343"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277 </w:t>
            </w:r>
          </w:p>
        </w:tc>
        <w:tc>
          <w:tcPr>
            <w:tcW w:w="1806" w:type="dxa"/>
            <w:tcBorders>
              <w:top w:val="nil"/>
              <w:left w:val="nil"/>
              <w:bottom w:val="single" w:sz="4" w:space="0" w:color="auto"/>
              <w:right w:val="single" w:sz="4" w:space="0" w:color="auto"/>
            </w:tcBorders>
            <w:shd w:val="clear" w:color="auto" w:fill="auto"/>
            <w:noWrap/>
            <w:vAlign w:val="bottom"/>
            <w:hideMark/>
          </w:tcPr>
          <w:p w14:paraId="23E0AF6B" w14:textId="77777777" w:rsidR="00374FA8" w:rsidRPr="000C27AA" w:rsidRDefault="00374FA8"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304 </w:t>
            </w:r>
          </w:p>
        </w:tc>
      </w:tr>
    </w:tbl>
    <w:p w14:paraId="579B8928" w14:textId="77777777" w:rsidR="00374FA8" w:rsidRPr="000C27AA" w:rsidRDefault="00374FA8" w:rsidP="00374FA8">
      <w:pPr>
        <w:pStyle w:val="Footnote"/>
        <w:rPr>
          <w:lang w:val="en-CA"/>
        </w:rPr>
      </w:pPr>
    </w:p>
    <w:p w14:paraId="2CD83251" w14:textId="11DF3DD9" w:rsidR="00842D29" w:rsidRPr="000C27AA" w:rsidRDefault="00374FA8" w:rsidP="00374FA8">
      <w:pPr>
        <w:pStyle w:val="Footnote"/>
        <w:rPr>
          <w:lang w:val="en-CA"/>
        </w:rPr>
      </w:pPr>
      <w:r w:rsidRPr="000C27AA">
        <w:rPr>
          <w:lang w:val="en-CA"/>
        </w:rPr>
        <w:t xml:space="preserve">Source: </w:t>
      </w:r>
      <w:r w:rsidR="008D6DDB" w:rsidRPr="000C27AA">
        <w:rPr>
          <w:lang w:val="en-CA"/>
        </w:rPr>
        <w:t xml:space="preserve">United </w:t>
      </w:r>
      <w:r w:rsidR="00842D29" w:rsidRPr="000C27AA">
        <w:rPr>
          <w:lang w:val="en-CA"/>
        </w:rPr>
        <w:t>Airlines Inc., “Form</w:t>
      </w:r>
      <w:r w:rsidR="00842D29" w:rsidRPr="000C27AA">
        <w:rPr>
          <w:i/>
          <w:lang w:val="en-CA"/>
        </w:rPr>
        <w:t xml:space="preserve"> </w:t>
      </w:r>
      <w:r w:rsidR="008D6DDB" w:rsidRPr="000C27AA">
        <w:rPr>
          <w:lang w:val="en-CA"/>
        </w:rPr>
        <w:t>10</w:t>
      </w:r>
      <w:r w:rsidR="00842D29" w:rsidRPr="000C27AA">
        <w:rPr>
          <w:lang w:val="en-CA"/>
        </w:rPr>
        <w:t>-</w:t>
      </w:r>
      <w:r w:rsidR="008D6DDB" w:rsidRPr="000C27AA">
        <w:rPr>
          <w:lang w:val="en-CA"/>
        </w:rPr>
        <w:t xml:space="preserve">K: </w:t>
      </w:r>
      <w:r w:rsidR="00842D29" w:rsidRPr="000C27AA">
        <w:rPr>
          <w:lang w:val="en-CA"/>
        </w:rPr>
        <w:t>F</w:t>
      </w:r>
      <w:r w:rsidR="008D6DDB" w:rsidRPr="000C27AA">
        <w:rPr>
          <w:lang w:val="en-CA"/>
        </w:rPr>
        <w:t>or the Fiscal Year Ended December 31, 2017</w:t>
      </w:r>
      <w:r w:rsidR="00842D29" w:rsidRPr="000C27AA">
        <w:rPr>
          <w:i/>
          <w:lang w:val="en-CA"/>
        </w:rPr>
        <w:t>,”</w:t>
      </w:r>
      <w:r w:rsidR="00842D29" w:rsidRPr="000C27AA">
        <w:rPr>
          <w:lang w:val="en-CA"/>
        </w:rPr>
        <w:t xml:space="preserve"> United States Securities and Exchange Commission, </w:t>
      </w:r>
      <w:r w:rsidR="008D6DDB" w:rsidRPr="000C27AA">
        <w:rPr>
          <w:lang w:val="en-CA"/>
        </w:rPr>
        <w:t xml:space="preserve">accessed December 14, 2020, https://ir.united.com/node/6146/html; United </w:t>
      </w:r>
      <w:r w:rsidR="00842D29" w:rsidRPr="000C27AA">
        <w:rPr>
          <w:lang w:val="en-CA"/>
        </w:rPr>
        <w:t xml:space="preserve">Airlines Inc., “Form 10-K: For the Fiscal Year Ended December 31, </w:t>
      </w:r>
      <w:proofErr w:type="gramStart"/>
      <w:r w:rsidR="00842D29" w:rsidRPr="000C27AA">
        <w:rPr>
          <w:lang w:val="en-CA"/>
        </w:rPr>
        <w:t>2018,“</w:t>
      </w:r>
      <w:proofErr w:type="gramEnd"/>
      <w:r w:rsidR="00842D29" w:rsidRPr="000C27AA">
        <w:rPr>
          <w:lang w:val="en-CA"/>
        </w:rPr>
        <w:t xml:space="preserve"> United </w:t>
      </w:r>
      <w:r w:rsidR="008D6DDB" w:rsidRPr="000C27AA">
        <w:rPr>
          <w:lang w:val="en-CA"/>
        </w:rPr>
        <w:t>States Securities and Exchange Commission, accessed December 14, 2020, www.sec.gov/Archives/edgar/data/100517/000010051719000009/ual_201810k.htm.</w:t>
      </w:r>
    </w:p>
    <w:p w14:paraId="46966D94" w14:textId="77777777" w:rsidR="00842D29" w:rsidRPr="000C27AA" w:rsidRDefault="00842D29">
      <w:pPr>
        <w:spacing w:after="200" w:line="276" w:lineRule="auto"/>
        <w:rPr>
          <w:rFonts w:ascii="Arial" w:hAnsi="Arial" w:cs="Arial"/>
          <w:sz w:val="17"/>
          <w:szCs w:val="17"/>
          <w:lang w:val="en-CA"/>
        </w:rPr>
      </w:pPr>
      <w:r w:rsidRPr="000C27AA">
        <w:rPr>
          <w:lang w:val="en-CA"/>
        </w:rPr>
        <w:br w:type="page"/>
      </w:r>
    </w:p>
    <w:p w14:paraId="2C115144" w14:textId="5BDDB16F" w:rsidR="0004017F" w:rsidRPr="000C27AA" w:rsidRDefault="0004017F" w:rsidP="0004017F">
      <w:pPr>
        <w:pStyle w:val="ExhibitHeading"/>
        <w:rPr>
          <w:lang w:val="en-CA"/>
        </w:rPr>
      </w:pPr>
      <w:r w:rsidRPr="000C27AA">
        <w:rPr>
          <w:lang w:val="en-CA"/>
        </w:rPr>
        <w:lastRenderedPageBreak/>
        <w:t>Exhibit 5: Balance Sheet of United Continental Holdings, 2017</w:t>
      </w:r>
      <w:r w:rsidR="00D00F8A" w:rsidRPr="000C27AA">
        <w:rPr>
          <w:lang w:val="en-CA"/>
        </w:rPr>
        <w:t>–</w:t>
      </w:r>
      <w:r w:rsidRPr="000C27AA">
        <w:rPr>
          <w:lang w:val="en-CA"/>
        </w:rPr>
        <w:t>2018 (</w:t>
      </w:r>
      <w:r w:rsidR="00D00F8A" w:rsidRPr="000C27AA">
        <w:rPr>
          <w:lang w:val="en-CA"/>
        </w:rPr>
        <w:t xml:space="preserve">in </w:t>
      </w:r>
      <w:r w:rsidRPr="000C27AA">
        <w:rPr>
          <w:lang w:val="en-CA"/>
        </w:rPr>
        <w:t>Million US$)</w:t>
      </w:r>
    </w:p>
    <w:p w14:paraId="2F675B98" w14:textId="77777777" w:rsidR="0004017F" w:rsidRPr="000C27AA" w:rsidRDefault="0004017F" w:rsidP="0004017F">
      <w:pPr>
        <w:pStyle w:val="Footnote"/>
        <w:rPr>
          <w:lang w:val="en-CA"/>
        </w:rPr>
      </w:pPr>
    </w:p>
    <w:tbl>
      <w:tblPr>
        <w:tblW w:w="9319" w:type="dxa"/>
        <w:jc w:val="center"/>
        <w:tblLook w:val="04A0" w:firstRow="1" w:lastRow="0" w:firstColumn="1" w:lastColumn="0" w:noHBand="0" w:noVBand="1"/>
        <w:tblCaption w:val="Exhibit 5"/>
        <w:tblDescription w:val="Balance sheet of United Continental Holdings from 2017 to 2018."/>
      </w:tblPr>
      <w:tblGrid>
        <w:gridCol w:w="6065"/>
        <w:gridCol w:w="1628"/>
        <w:gridCol w:w="1626"/>
      </w:tblGrid>
      <w:tr w:rsidR="0004017F" w:rsidRPr="000C27AA" w14:paraId="2C6FBECB" w14:textId="77777777" w:rsidTr="0004017F">
        <w:trPr>
          <w:trHeight w:val="236"/>
          <w:jc w:val="center"/>
        </w:trPr>
        <w:tc>
          <w:tcPr>
            <w:tcW w:w="9319" w:type="dxa"/>
            <w:gridSpan w:val="3"/>
            <w:tcBorders>
              <w:top w:val="single" w:sz="4" w:space="0" w:color="auto"/>
              <w:left w:val="single" w:sz="4" w:space="0" w:color="auto"/>
              <w:right w:val="single" w:sz="4" w:space="0" w:color="auto"/>
            </w:tcBorders>
            <w:shd w:val="clear" w:color="auto" w:fill="auto"/>
            <w:noWrap/>
            <w:vAlign w:val="bottom"/>
            <w:hideMark/>
          </w:tcPr>
          <w:p w14:paraId="2B31B168" w14:textId="20358A94" w:rsidR="0004017F" w:rsidRPr="000C27AA" w:rsidRDefault="0004017F" w:rsidP="00BE3625">
            <w:pPr>
              <w:jc w:val="center"/>
              <w:rPr>
                <w:rFonts w:ascii="Arial" w:hAnsi="Arial" w:cs="Arial"/>
                <w:b/>
                <w:bCs/>
                <w:color w:val="000000"/>
                <w:sz w:val="18"/>
                <w:szCs w:val="18"/>
                <w:lang w:val="en-CA"/>
              </w:rPr>
            </w:pPr>
            <w:r w:rsidRPr="000C27AA">
              <w:rPr>
                <w:rFonts w:ascii="Arial" w:hAnsi="Arial" w:cs="Arial"/>
                <w:b/>
                <w:bCs/>
                <w:color w:val="000000"/>
                <w:sz w:val="18"/>
                <w:szCs w:val="18"/>
                <w:lang w:val="en-CA"/>
              </w:rPr>
              <w:t xml:space="preserve">Condensed Consolidated Balance Sheets </w:t>
            </w:r>
            <w:r w:rsidR="00D00F8A" w:rsidRPr="000C27AA">
              <w:rPr>
                <w:rFonts w:ascii="Arial" w:hAnsi="Arial" w:cs="Arial"/>
                <w:b/>
                <w:bCs/>
                <w:color w:val="000000"/>
                <w:sz w:val="18"/>
                <w:szCs w:val="18"/>
                <w:lang w:val="en-CA"/>
              </w:rPr>
              <w:t>(</w:t>
            </w:r>
            <w:r w:rsidRPr="000C27AA">
              <w:rPr>
                <w:rFonts w:ascii="Arial" w:hAnsi="Arial" w:cs="Arial"/>
                <w:b/>
                <w:bCs/>
                <w:color w:val="000000"/>
                <w:sz w:val="18"/>
                <w:szCs w:val="18"/>
                <w:lang w:val="en-CA"/>
              </w:rPr>
              <w:t>on Dec</w:t>
            </w:r>
            <w:r w:rsidR="00D00F8A" w:rsidRPr="000C27AA">
              <w:rPr>
                <w:rFonts w:ascii="Arial" w:hAnsi="Arial" w:cs="Arial"/>
                <w:b/>
                <w:bCs/>
                <w:color w:val="000000"/>
                <w:sz w:val="18"/>
                <w:szCs w:val="18"/>
                <w:lang w:val="en-CA"/>
              </w:rPr>
              <w:t>ember</w:t>
            </w:r>
            <w:r w:rsidRPr="000C27AA">
              <w:rPr>
                <w:rFonts w:ascii="Arial" w:hAnsi="Arial" w:cs="Arial"/>
                <w:b/>
                <w:bCs/>
                <w:color w:val="000000"/>
                <w:sz w:val="18"/>
                <w:szCs w:val="18"/>
                <w:lang w:val="en-CA"/>
              </w:rPr>
              <w:t xml:space="preserve"> 31</w:t>
            </w:r>
            <w:r w:rsidR="00D00F8A" w:rsidRPr="000C27AA">
              <w:rPr>
                <w:rFonts w:ascii="Arial" w:hAnsi="Arial" w:cs="Arial"/>
                <w:b/>
                <w:bCs/>
                <w:color w:val="000000"/>
                <w:sz w:val="18"/>
                <w:szCs w:val="18"/>
                <w:lang w:val="en-CA"/>
              </w:rPr>
              <w:t>)</w:t>
            </w:r>
          </w:p>
        </w:tc>
      </w:tr>
      <w:tr w:rsidR="0004017F" w:rsidRPr="000C27AA" w14:paraId="55F9EC7D" w14:textId="77777777" w:rsidTr="00D21755">
        <w:trPr>
          <w:trHeight w:val="263"/>
          <w:jc w:val="center"/>
        </w:trPr>
        <w:tc>
          <w:tcPr>
            <w:tcW w:w="6065" w:type="dxa"/>
            <w:tcBorders>
              <w:left w:val="single" w:sz="4" w:space="0" w:color="auto"/>
              <w:bottom w:val="nil"/>
              <w:right w:val="nil"/>
            </w:tcBorders>
            <w:shd w:val="clear" w:color="auto" w:fill="auto"/>
            <w:noWrap/>
            <w:vAlign w:val="bottom"/>
            <w:hideMark/>
          </w:tcPr>
          <w:p w14:paraId="55F74DAF" w14:textId="62C4D611" w:rsidR="0004017F" w:rsidRPr="000C27AA" w:rsidRDefault="0004017F" w:rsidP="00BE3625">
            <w:pPr>
              <w:rPr>
                <w:rFonts w:ascii="Arial" w:hAnsi="Arial" w:cs="Arial"/>
                <w:color w:val="000000"/>
                <w:sz w:val="18"/>
                <w:szCs w:val="18"/>
                <w:lang w:val="en-CA"/>
              </w:rPr>
            </w:pPr>
          </w:p>
        </w:tc>
        <w:tc>
          <w:tcPr>
            <w:tcW w:w="1628" w:type="dxa"/>
            <w:tcBorders>
              <w:left w:val="nil"/>
              <w:bottom w:val="single" w:sz="4" w:space="0" w:color="auto"/>
              <w:right w:val="nil"/>
            </w:tcBorders>
            <w:shd w:val="clear" w:color="auto" w:fill="auto"/>
            <w:noWrap/>
            <w:vAlign w:val="bottom"/>
            <w:hideMark/>
          </w:tcPr>
          <w:p w14:paraId="4A6A3896" w14:textId="0205E06F" w:rsidR="0004017F" w:rsidRPr="000C27AA" w:rsidRDefault="0004017F" w:rsidP="00571804">
            <w:pPr>
              <w:jc w:val="right"/>
              <w:rPr>
                <w:rFonts w:ascii="Arial" w:hAnsi="Arial" w:cs="Arial"/>
                <w:b/>
                <w:bCs/>
                <w:color w:val="000000"/>
                <w:sz w:val="18"/>
                <w:szCs w:val="18"/>
                <w:lang w:val="en-CA"/>
              </w:rPr>
            </w:pPr>
            <w:r w:rsidRPr="000C27AA">
              <w:rPr>
                <w:rFonts w:ascii="Arial" w:hAnsi="Arial" w:cs="Arial"/>
                <w:b/>
                <w:bCs/>
                <w:color w:val="000000"/>
                <w:sz w:val="18"/>
                <w:szCs w:val="18"/>
                <w:lang w:val="en-CA"/>
              </w:rPr>
              <w:t>2018</w:t>
            </w:r>
          </w:p>
        </w:tc>
        <w:tc>
          <w:tcPr>
            <w:tcW w:w="1626" w:type="dxa"/>
            <w:tcBorders>
              <w:left w:val="nil"/>
              <w:bottom w:val="single" w:sz="4" w:space="0" w:color="auto"/>
              <w:right w:val="single" w:sz="4" w:space="0" w:color="auto"/>
            </w:tcBorders>
            <w:shd w:val="clear" w:color="auto" w:fill="auto"/>
            <w:noWrap/>
            <w:vAlign w:val="bottom"/>
            <w:hideMark/>
          </w:tcPr>
          <w:p w14:paraId="6809AB35" w14:textId="77777777" w:rsidR="0004017F" w:rsidRPr="000C27AA" w:rsidRDefault="0004017F" w:rsidP="00BE3625">
            <w:pPr>
              <w:jc w:val="right"/>
              <w:rPr>
                <w:rFonts w:ascii="Arial" w:hAnsi="Arial" w:cs="Arial"/>
                <w:b/>
                <w:bCs/>
                <w:color w:val="000000"/>
                <w:sz w:val="18"/>
                <w:szCs w:val="18"/>
                <w:lang w:val="en-CA"/>
              </w:rPr>
            </w:pPr>
            <w:r w:rsidRPr="000C27AA">
              <w:rPr>
                <w:rFonts w:ascii="Arial" w:hAnsi="Arial" w:cs="Arial"/>
                <w:b/>
                <w:bCs/>
                <w:color w:val="000000"/>
                <w:sz w:val="18"/>
                <w:szCs w:val="18"/>
                <w:lang w:val="en-CA"/>
              </w:rPr>
              <w:t>2017</w:t>
            </w:r>
          </w:p>
        </w:tc>
      </w:tr>
      <w:tr w:rsidR="0004017F" w:rsidRPr="000C27AA" w14:paraId="41A9DFF8"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6FF26840" w14:textId="77777777" w:rsidR="0004017F" w:rsidRPr="000C27AA" w:rsidRDefault="0004017F" w:rsidP="00BE3625">
            <w:pPr>
              <w:rPr>
                <w:rFonts w:ascii="Arial" w:hAnsi="Arial" w:cs="Arial"/>
                <w:color w:val="000000"/>
                <w:sz w:val="18"/>
                <w:szCs w:val="18"/>
                <w:lang w:val="en-CA"/>
              </w:rPr>
            </w:pPr>
            <w:r w:rsidRPr="000C27AA">
              <w:rPr>
                <w:rFonts w:ascii="Arial" w:hAnsi="Arial" w:cs="Arial"/>
                <w:color w:val="000000"/>
                <w:sz w:val="18"/>
                <w:szCs w:val="18"/>
                <w:lang w:val="en-CA"/>
              </w:rPr>
              <w:t xml:space="preserve">ASSETS </w:t>
            </w:r>
          </w:p>
        </w:tc>
        <w:tc>
          <w:tcPr>
            <w:tcW w:w="1628" w:type="dxa"/>
            <w:tcBorders>
              <w:top w:val="nil"/>
              <w:left w:val="nil"/>
              <w:bottom w:val="nil"/>
              <w:right w:val="nil"/>
            </w:tcBorders>
            <w:shd w:val="clear" w:color="auto" w:fill="auto"/>
            <w:noWrap/>
            <w:vAlign w:val="bottom"/>
            <w:hideMark/>
          </w:tcPr>
          <w:p w14:paraId="41964E38" w14:textId="77777777" w:rsidR="0004017F" w:rsidRPr="000C27AA" w:rsidRDefault="0004017F" w:rsidP="00BE3625">
            <w:pPr>
              <w:rPr>
                <w:rFonts w:ascii="Arial" w:hAnsi="Arial" w:cs="Arial"/>
                <w:color w:val="000000"/>
                <w:sz w:val="18"/>
                <w:szCs w:val="18"/>
                <w:lang w:val="en-CA"/>
              </w:rPr>
            </w:pPr>
          </w:p>
        </w:tc>
        <w:tc>
          <w:tcPr>
            <w:tcW w:w="1626" w:type="dxa"/>
            <w:tcBorders>
              <w:top w:val="nil"/>
              <w:left w:val="nil"/>
              <w:bottom w:val="nil"/>
              <w:right w:val="single" w:sz="4" w:space="0" w:color="auto"/>
            </w:tcBorders>
            <w:shd w:val="clear" w:color="auto" w:fill="auto"/>
            <w:noWrap/>
            <w:vAlign w:val="bottom"/>
            <w:hideMark/>
          </w:tcPr>
          <w:p w14:paraId="3E4394A2" w14:textId="77777777" w:rsidR="0004017F" w:rsidRPr="000C27AA" w:rsidRDefault="0004017F" w:rsidP="00BE3625">
            <w:pPr>
              <w:rPr>
                <w:rFonts w:ascii="Arial" w:hAnsi="Arial" w:cs="Arial"/>
                <w:color w:val="000000"/>
                <w:sz w:val="18"/>
                <w:szCs w:val="18"/>
                <w:lang w:val="en-CA"/>
              </w:rPr>
            </w:pPr>
            <w:r w:rsidRPr="000C27AA">
              <w:rPr>
                <w:rFonts w:ascii="Arial" w:hAnsi="Arial" w:cs="Arial"/>
                <w:color w:val="000000"/>
                <w:sz w:val="18"/>
                <w:szCs w:val="18"/>
                <w:lang w:val="en-CA"/>
              </w:rPr>
              <w:t> </w:t>
            </w:r>
          </w:p>
        </w:tc>
      </w:tr>
      <w:tr w:rsidR="0004017F" w:rsidRPr="000C27AA" w14:paraId="7C1639F4"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2D02141F" w14:textId="429CDADE" w:rsidR="0004017F" w:rsidRPr="000C27AA" w:rsidRDefault="0004017F" w:rsidP="00BE3625">
            <w:pPr>
              <w:rPr>
                <w:rFonts w:ascii="Arial" w:hAnsi="Arial" w:cs="Arial"/>
                <w:i/>
                <w:color w:val="000000"/>
                <w:sz w:val="18"/>
                <w:szCs w:val="18"/>
                <w:lang w:val="en-CA"/>
              </w:rPr>
            </w:pPr>
            <w:r w:rsidRPr="000C27AA">
              <w:rPr>
                <w:rFonts w:ascii="Arial" w:hAnsi="Arial" w:cs="Arial"/>
                <w:i/>
                <w:color w:val="000000"/>
                <w:sz w:val="18"/>
                <w:szCs w:val="18"/>
                <w:lang w:val="en-CA"/>
              </w:rPr>
              <w:t xml:space="preserve">Current </w:t>
            </w:r>
            <w:r w:rsidR="008D6DDB" w:rsidRPr="000C27AA">
              <w:rPr>
                <w:rFonts w:ascii="Arial" w:hAnsi="Arial" w:cs="Arial"/>
                <w:i/>
                <w:color w:val="000000"/>
                <w:sz w:val="18"/>
                <w:szCs w:val="18"/>
                <w:lang w:val="en-CA"/>
              </w:rPr>
              <w:t>a</w:t>
            </w:r>
            <w:r w:rsidRPr="000C27AA">
              <w:rPr>
                <w:rFonts w:ascii="Arial" w:hAnsi="Arial" w:cs="Arial"/>
                <w:i/>
                <w:color w:val="000000"/>
                <w:sz w:val="18"/>
                <w:szCs w:val="18"/>
                <w:lang w:val="en-CA"/>
              </w:rPr>
              <w:t xml:space="preserve">ssets: </w:t>
            </w:r>
          </w:p>
        </w:tc>
        <w:tc>
          <w:tcPr>
            <w:tcW w:w="1628" w:type="dxa"/>
            <w:tcBorders>
              <w:top w:val="nil"/>
              <w:left w:val="nil"/>
              <w:bottom w:val="nil"/>
              <w:right w:val="nil"/>
            </w:tcBorders>
            <w:shd w:val="clear" w:color="auto" w:fill="auto"/>
            <w:noWrap/>
            <w:vAlign w:val="bottom"/>
            <w:hideMark/>
          </w:tcPr>
          <w:p w14:paraId="43CAB9BC" w14:textId="77777777" w:rsidR="0004017F" w:rsidRPr="000C27AA" w:rsidRDefault="0004017F" w:rsidP="00BE3625">
            <w:pPr>
              <w:rPr>
                <w:rFonts w:ascii="Arial" w:hAnsi="Arial" w:cs="Arial"/>
                <w:color w:val="000000"/>
                <w:sz w:val="18"/>
                <w:szCs w:val="18"/>
                <w:lang w:val="en-CA"/>
              </w:rPr>
            </w:pPr>
          </w:p>
        </w:tc>
        <w:tc>
          <w:tcPr>
            <w:tcW w:w="1626" w:type="dxa"/>
            <w:tcBorders>
              <w:top w:val="nil"/>
              <w:left w:val="nil"/>
              <w:bottom w:val="nil"/>
              <w:right w:val="single" w:sz="4" w:space="0" w:color="auto"/>
            </w:tcBorders>
            <w:shd w:val="clear" w:color="auto" w:fill="auto"/>
            <w:noWrap/>
            <w:vAlign w:val="bottom"/>
            <w:hideMark/>
          </w:tcPr>
          <w:p w14:paraId="53443E48" w14:textId="77777777" w:rsidR="0004017F" w:rsidRPr="000C27AA" w:rsidRDefault="0004017F" w:rsidP="00BE3625">
            <w:pPr>
              <w:rPr>
                <w:rFonts w:ascii="Arial" w:hAnsi="Arial" w:cs="Arial"/>
                <w:color w:val="000000"/>
                <w:sz w:val="18"/>
                <w:szCs w:val="18"/>
                <w:lang w:val="en-CA"/>
              </w:rPr>
            </w:pPr>
            <w:r w:rsidRPr="000C27AA">
              <w:rPr>
                <w:rFonts w:ascii="Arial" w:hAnsi="Arial" w:cs="Arial"/>
                <w:color w:val="000000"/>
                <w:sz w:val="18"/>
                <w:szCs w:val="18"/>
                <w:lang w:val="en-CA"/>
              </w:rPr>
              <w:t> </w:t>
            </w:r>
          </w:p>
        </w:tc>
      </w:tr>
      <w:tr w:rsidR="0004017F" w:rsidRPr="000C27AA" w14:paraId="72CEAC3C"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7BBA31C2"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Cash and cash equivalents </w:t>
            </w:r>
          </w:p>
        </w:tc>
        <w:tc>
          <w:tcPr>
            <w:tcW w:w="1628" w:type="dxa"/>
            <w:tcBorders>
              <w:top w:val="nil"/>
              <w:left w:val="nil"/>
              <w:bottom w:val="nil"/>
              <w:right w:val="nil"/>
            </w:tcBorders>
            <w:shd w:val="clear" w:color="auto" w:fill="auto"/>
            <w:noWrap/>
            <w:vAlign w:val="bottom"/>
            <w:hideMark/>
          </w:tcPr>
          <w:p w14:paraId="3113E3E0"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1,694 </w:t>
            </w:r>
          </w:p>
        </w:tc>
        <w:tc>
          <w:tcPr>
            <w:tcW w:w="1626" w:type="dxa"/>
            <w:tcBorders>
              <w:top w:val="nil"/>
              <w:left w:val="nil"/>
              <w:bottom w:val="nil"/>
              <w:right w:val="single" w:sz="4" w:space="0" w:color="auto"/>
            </w:tcBorders>
            <w:shd w:val="clear" w:color="auto" w:fill="auto"/>
            <w:noWrap/>
            <w:vAlign w:val="bottom"/>
            <w:hideMark/>
          </w:tcPr>
          <w:p w14:paraId="6319E0B7"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1,482 </w:t>
            </w:r>
          </w:p>
        </w:tc>
      </w:tr>
      <w:tr w:rsidR="0004017F" w:rsidRPr="000C27AA" w14:paraId="1D20D58F"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7DB27F3E"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Short-term investments </w:t>
            </w:r>
          </w:p>
        </w:tc>
        <w:tc>
          <w:tcPr>
            <w:tcW w:w="1628" w:type="dxa"/>
            <w:tcBorders>
              <w:top w:val="nil"/>
              <w:left w:val="nil"/>
              <w:bottom w:val="nil"/>
              <w:right w:val="nil"/>
            </w:tcBorders>
            <w:shd w:val="clear" w:color="auto" w:fill="auto"/>
            <w:noWrap/>
            <w:vAlign w:val="bottom"/>
            <w:hideMark/>
          </w:tcPr>
          <w:p w14:paraId="43C85AB2"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2,256 </w:t>
            </w:r>
          </w:p>
        </w:tc>
        <w:tc>
          <w:tcPr>
            <w:tcW w:w="1626" w:type="dxa"/>
            <w:tcBorders>
              <w:top w:val="nil"/>
              <w:left w:val="nil"/>
              <w:bottom w:val="nil"/>
              <w:right w:val="single" w:sz="4" w:space="0" w:color="auto"/>
            </w:tcBorders>
            <w:shd w:val="clear" w:color="auto" w:fill="auto"/>
            <w:noWrap/>
            <w:vAlign w:val="bottom"/>
            <w:hideMark/>
          </w:tcPr>
          <w:p w14:paraId="784C2B2A"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2,316 </w:t>
            </w:r>
          </w:p>
        </w:tc>
      </w:tr>
      <w:tr w:rsidR="0004017F" w:rsidRPr="000C27AA" w14:paraId="06FE7B16"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0FAD86A0"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Receivables, net </w:t>
            </w:r>
          </w:p>
        </w:tc>
        <w:tc>
          <w:tcPr>
            <w:tcW w:w="1628" w:type="dxa"/>
            <w:tcBorders>
              <w:top w:val="nil"/>
              <w:left w:val="nil"/>
              <w:bottom w:val="nil"/>
              <w:right w:val="nil"/>
            </w:tcBorders>
            <w:shd w:val="clear" w:color="auto" w:fill="auto"/>
            <w:noWrap/>
            <w:vAlign w:val="bottom"/>
            <w:hideMark/>
          </w:tcPr>
          <w:p w14:paraId="0F125A08"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1,346 </w:t>
            </w:r>
          </w:p>
        </w:tc>
        <w:tc>
          <w:tcPr>
            <w:tcW w:w="1626" w:type="dxa"/>
            <w:tcBorders>
              <w:top w:val="nil"/>
              <w:left w:val="nil"/>
              <w:bottom w:val="nil"/>
              <w:right w:val="single" w:sz="4" w:space="0" w:color="auto"/>
            </w:tcBorders>
            <w:shd w:val="clear" w:color="auto" w:fill="auto"/>
            <w:noWrap/>
            <w:vAlign w:val="bottom"/>
            <w:hideMark/>
          </w:tcPr>
          <w:p w14:paraId="4E149755"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1,340 </w:t>
            </w:r>
          </w:p>
        </w:tc>
      </w:tr>
      <w:tr w:rsidR="0004017F" w:rsidRPr="000C27AA" w14:paraId="455F16DB"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6BC4C159"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Aircraft fuel, spare parts and supplies, net </w:t>
            </w:r>
          </w:p>
        </w:tc>
        <w:tc>
          <w:tcPr>
            <w:tcW w:w="1628" w:type="dxa"/>
            <w:tcBorders>
              <w:top w:val="nil"/>
              <w:left w:val="nil"/>
              <w:bottom w:val="nil"/>
              <w:right w:val="nil"/>
            </w:tcBorders>
            <w:shd w:val="clear" w:color="auto" w:fill="auto"/>
            <w:noWrap/>
            <w:vAlign w:val="bottom"/>
            <w:hideMark/>
          </w:tcPr>
          <w:p w14:paraId="763A62AC"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985 </w:t>
            </w:r>
          </w:p>
        </w:tc>
        <w:tc>
          <w:tcPr>
            <w:tcW w:w="1626" w:type="dxa"/>
            <w:tcBorders>
              <w:top w:val="nil"/>
              <w:left w:val="nil"/>
              <w:bottom w:val="nil"/>
              <w:right w:val="single" w:sz="4" w:space="0" w:color="auto"/>
            </w:tcBorders>
            <w:shd w:val="clear" w:color="auto" w:fill="auto"/>
            <w:noWrap/>
            <w:vAlign w:val="bottom"/>
            <w:hideMark/>
          </w:tcPr>
          <w:p w14:paraId="38E85DB1"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924 </w:t>
            </w:r>
          </w:p>
        </w:tc>
      </w:tr>
      <w:tr w:rsidR="0004017F" w:rsidRPr="000C27AA" w14:paraId="51C7FAEC"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6BFCBB4E"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Prepaid expenses and other </w:t>
            </w:r>
          </w:p>
        </w:tc>
        <w:tc>
          <w:tcPr>
            <w:tcW w:w="1628" w:type="dxa"/>
            <w:tcBorders>
              <w:top w:val="nil"/>
              <w:left w:val="nil"/>
              <w:bottom w:val="nil"/>
              <w:right w:val="nil"/>
            </w:tcBorders>
            <w:shd w:val="clear" w:color="auto" w:fill="auto"/>
            <w:noWrap/>
            <w:vAlign w:val="bottom"/>
            <w:hideMark/>
          </w:tcPr>
          <w:p w14:paraId="59AA80D1"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913 </w:t>
            </w:r>
          </w:p>
        </w:tc>
        <w:tc>
          <w:tcPr>
            <w:tcW w:w="1626" w:type="dxa"/>
            <w:tcBorders>
              <w:top w:val="nil"/>
              <w:left w:val="nil"/>
              <w:bottom w:val="nil"/>
              <w:right w:val="single" w:sz="4" w:space="0" w:color="auto"/>
            </w:tcBorders>
            <w:shd w:val="clear" w:color="auto" w:fill="auto"/>
            <w:noWrap/>
            <w:vAlign w:val="bottom"/>
            <w:hideMark/>
          </w:tcPr>
          <w:p w14:paraId="7D1CB7E6"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1,071 </w:t>
            </w:r>
          </w:p>
        </w:tc>
      </w:tr>
      <w:tr w:rsidR="0004017F" w:rsidRPr="000C27AA" w14:paraId="12FF000C"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7FF2200C" w14:textId="77777777" w:rsidR="0004017F" w:rsidRPr="000C27AA" w:rsidRDefault="0004017F" w:rsidP="00BE3625">
            <w:pPr>
              <w:ind w:firstLineChars="200" w:firstLine="360"/>
              <w:rPr>
                <w:rFonts w:ascii="Arial" w:hAnsi="Arial" w:cs="Arial"/>
                <w:color w:val="000000"/>
                <w:sz w:val="18"/>
                <w:szCs w:val="18"/>
                <w:lang w:val="en-CA"/>
              </w:rPr>
            </w:pPr>
            <w:r w:rsidRPr="000C27AA">
              <w:rPr>
                <w:rFonts w:ascii="Arial" w:hAnsi="Arial" w:cs="Arial"/>
                <w:color w:val="000000"/>
                <w:sz w:val="18"/>
                <w:szCs w:val="18"/>
                <w:lang w:val="en-CA"/>
              </w:rPr>
              <w:t xml:space="preserve">Total current assets </w:t>
            </w:r>
          </w:p>
        </w:tc>
        <w:tc>
          <w:tcPr>
            <w:tcW w:w="1628" w:type="dxa"/>
            <w:tcBorders>
              <w:top w:val="single" w:sz="4" w:space="0" w:color="auto"/>
              <w:left w:val="nil"/>
              <w:bottom w:val="single" w:sz="4" w:space="0" w:color="auto"/>
              <w:right w:val="nil"/>
            </w:tcBorders>
            <w:shd w:val="clear" w:color="auto" w:fill="auto"/>
            <w:noWrap/>
            <w:vAlign w:val="bottom"/>
            <w:hideMark/>
          </w:tcPr>
          <w:p w14:paraId="06C47748"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7,194 </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3A20AFA4"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7,133 </w:t>
            </w:r>
          </w:p>
        </w:tc>
      </w:tr>
      <w:tr w:rsidR="0004017F" w:rsidRPr="000C27AA" w14:paraId="2926D2BB"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41789D88" w14:textId="77777777" w:rsidR="0004017F" w:rsidRPr="000C27AA" w:rsidRDefault="0004017F" w:rsidP="00BE3625">
            <w:pPr>
              <w:rPr>
                <w:rFonts w:ascii="Arial" w:hAnsi="Arial" w:cs="Arial"/>
                <w:color w:val="000000"/>
                <w:sz w:val="18"/>
                <w:szCs w:val="18"/>
                <w:lang w:val="en-CA"/>
              </w:rPr>
            </w:pPr>
            <w:r w:rsidRPr="000C27AA">
              <w:rPr>
                <w:rFonts w:ascii="Arial" w:hAnsi="Arial" w:cs="Arial"/>
                <w:color w:val="000000"/>
                <w:sz w:val="18"/>
                <w:szCs w:val="18"/>
                <w:lang w:val="en-CA"/>
              </w:rPr>
              <w:t xml:space="preserve">Total operating property and equipment, net </w:t>
            </w:r>
          </w:p>
        </w:tc>
        <w:tc>
          <w:tcPr>
            <w:tcW w:w="1628" w:type="dxa"/>
            <w:tcBorders>
              <w:top w:val="nil"/>
              <w:left w:val="nil"/>
              <w:bottom w:val="nil"/>
              <w:right w:val="nil"/>
            </w:tcBorders>
            <w:shd w:val="clear" w:color="auto" w:fill="auto"/>
            <w:noWrap/>
            <w:vAlign w:val="bottom"/>
            <w:hideMark/>
          </w:tcPr>
          <w:p w14:paraId="4B4041EC"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28,329 </w:t>
            </w:r>
          </w:p>
        </w:tc>
        <w:tc>
          <w:tcPr>
            <w:tcW w:w="1626" w:type="dxa"/>
            <w:tcBorders>
              <w:top w:val="nil"/>
              <w:left w:val="nil"/>
              <w:bottom w:val="nil"/>
              <w:right w:val="single" w:sz="4" w:space="0" w:color="auto"/>
            </w:tcBorders>
            <w:shd w:val="clear" w:color="auto" w:fill="auto"/>
            <w:noWrap/>
            <w:vAlign w:val="bottom"/>
            <w:hideMark/>
          </w:tcPr>
          <w:p w14:paraId="7B2DDA90"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26,208 </w:t>
            </w:r>
          </w:p>
        </w:tc>
      </w:tr>
      <w:tr w:rsidR="0004017F" w:rsidRPr="000C27AA" w14:paraId="2016A869"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0820F5B3" w14:textId="77777777" w:rsidR="0004017F" w:rsidRPr="000C27AA" w:rsidRDefault="0004017F" w:rsidP="00BE3625">
            <w:pPr>
              <w:rPr>
                <w:rFonts w:ascii="Arial" w:hAnsi="Arial" w:cs="Arial"/>
                <w:i/>
                <w:color w:val="000000"/>
                <w:sz w:val="18"/>
                <w:szCs w:val="18"/>
                <w:lang w:val="en-CA"/>
              </w:rPr>
            </w:pPr>
            <w:r w:rsidRPr="000C27AA">
              <w:rPr>
                <w:rFonts w:ascii="Arial" w:hAnsi="Arial" w:cs="Arial"/>
                <w:i/>
                <w:color w:val="000000"/>
                <w:sz w:val="18"/>
                <w:szCs w:val="18"/>
                <w:lang w:val="en-CA"/>
              </w:rPr>
              <w:t xml:space="preserve">Other assets: </w:t>
            </w:r>
          </w:p>
        </w:tc>
        <w:tc>
          <w:tcPr>
            <w:tcW w:w="1628" w:type="dxa"/>
            <w:tcBorders>
              <w:top w:val="nil"/>
              <w:left w:val="nil"/>
              <w:bottom w:val="nil"/>
              <w:right w:val="nil"/>
            </w:tcBorders>
            <w:shd w:val="clear" w:color="auto" w:fill="auto"/>
            <w:noWrap/>
            <w:vAlign w:val="bottom"/>
            <w:hideMark/>
          </w:tcPr>
          <w:p w14:paraId="737E8A1F" w14:textId="77777777" w:rsidR="0004017F" w:rsidRPr="000C27AA" w:rsidRDefault="0004017F" w:rsidP="00BE3625">
            <w:pPr>
              <w:rPr>
                <w:rFonts w:ascii="Arial" w:hAnsi="Arial" w:cs="Arial"/>
                <w:color w:val="000000"/>
                <w:sz w:val="18"/>
                <w:szCs w:val="18"/>
                <w:lang w:val="en-CA"/>
              </w:rPr>
            </w:pPr>
          </w:p>
        </w:tc>
        <w:tc>
          <w:tcPr>
            <w:tcW w:w="1626" w:type="dxa"/>
            <w:tcBorders>
              <w:top w:val="nil"/>
              <w:left w:val="nil"/>
              <w:bottom w:val="nil"/>
              <w:right w:val="single" w:sz="4" w:space="0" w:color="auto"/>
            </w:tcBorders>
            <w:shd w:val="clear" w:color="auto" w:fill="auto"/>
            <w:noWrap/>
            <w:vAlign w:val="bottom"/>
            <w:hideMark/>
          </w:tcPr>
          <w:p w14:paraId="5885CD02" w14:textId="77777777" w:rsidR="0004017F" w:rsidRPr="000C27AA" w:rsidRDefault="0004017F" w:rsidP="00BE3625">
            <w:pPr>
              <w:rPr>
                <w:rFonts w:ascii="Arial" w:hAnsi="Arial" w:cs="Arial"/>
                <w:color w:val="000000"/>
                <w:sz w:val="18"/>
                <w:szCs w:val="18"/>
                <w:lang w:val="en-CA"/>
              </w:rPr>
            </w:pPr>
            <w:r w:rsidRPr="000C27AA">
              <w:rPr>
                <w:rFonts w:ascii="Arial" w:hAnsi="Arial" w:cs="Arial"/>
                <w:color w:val="000000"/>
                <w:sz w:val="18"/>
                <w:szCs w:val="18"/>
                <w:lang w:val="en-CA"/>
              </w:rPr>
              <w:t> </w:t>
            </w:r>
          </w:p>
        </w:tc>
      </w:tr>
      <w:tr w:rsidR="0004017F" w:rsidRPr="000C27AA" w14:paraId="4DC330C4"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20478017"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Goodwill</w:t>
            </w:r>
          </w:p>
        </w:tc>
        <w:tc>
          <w:tcPr>
            <w:tcW w:w="1628" w:type="dxa"/>
            <w:tcBorders>
              <w:top w:val="nil"/>
              <w:left w:val="nil"/>
              <w:bottom w:val="nil"/>
              <w:right w:val="nil"/>
            </w:tcBorders>
            <w:shd w:val="clear" w:color="auto" w:fill="auto"/>
            <w:noWrap/>
            <w:vAlign w:val="bottom"/>
            <w:hideMark/>
          </w:tcPr>
          <w:p w14:paraId="7209B1D1"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4,523 </w:t>
            </w:r>
          </w:p>
        </w:tc>
        <w:tc>
          <w:tcPr>
            <w:tcW w:w="1626" w:type="dxa"/>
            <w:tcBorders>
              <w:top w:val="nil"/>
              <w:left w:val="nil"/>
              <w:bottom w:val="nil"/>
              <w:right w:val="single" w:sz="4" w:space="0" w:color="auto"/>
            </w:tcBorders>
            <w:shd w:val="clear" w:color="auto" w:fill="auto"/>
            <w:noWrap/>
            <w:vAlign w:val="bottom"/>
            <w:hideMark/>
          </w:tcPr>
          <w:p w14:paraId="78F7995B"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4,523 </w:t>
            </w:r>
          </w:p>
        </w:tc>
      </w:tr>
      <w:tr w:rsidR="0004017F" w:rsidRPr="000C27AA" w14:paraId="06B061B4"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5432C105"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Intangibles, net </w:t>
            </w:r>
          </w:p>
        </w:tc>
        <w:tc>
          <w:tcPr>
            <w:tcW w:w="1628" w:type="dxa"/>
            <w:tcBorders>
              <w:top w:val="nil"/>
              <w:left w:val="nil"/>
              <w:bottom w:val="nil"/>
              <w:right w:val="nil"/>
            </w:tcBorders>
            <w:shd w:val="clear" w:color="auto" w:fill="auto"/>
            <w:noWrap/>
            <w:vAlign w:val="bottom"/>
            <w:hideMark/>
          </w:tcPr>
          <w:p w14:paraId="3A23B349"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3,159 </w:t>
            </w:r>
          </w:p>
        </w:tc>
        <w:tc>
          <w:tcPr>
            <w:tcW w:w="1626" w:type="dxa"/>
            <w:tcBorders>
              <w:top w:val="nil"/>
              <w:left w:val="nil"/>
              <w:bottom w:val="nil"/>
              <w:right w:val="single" w:sz="4" w:space="0" w:color="auto"/>
            </w:tcBorders>
            <w:shd w:val="clear" w:color="auto" w:fill="auto"/>
            <w:noWrap/>
            <w:vAlign w:val="bottom"/>
            <w:hideMark/>
          </w:tcPr>
          <w:p w14:paraId="06A1C287"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3,539 </w:t>
            </w:r>
          </w:p>
        </w:tc>
      </w:tr>
      <w:tr w:rsidR="0004017F" w:rsidRPr="000C27AA" w14:paraId="005A97B5"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37A0F3C2" w14:textId="4BF15688"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Restricted </w:t>
            </w:r>
            <w:r w:rsidR="00E41293" w:rsidRPr="000C27AA">
              <w:rPr>
                <w:rFonts w:ascii="Arial" w:hAnsi="Arial" w:cs="Arial"/>
                <w:color w:val="000000"/>
                <w:sz w:val="18"/>
                <w:szCs w:val="18"/>
                <w:lang w:val="en-CA"/>
              </w:rPr>
              <w:t>c</w:t>
            </w:r>
            <w:r w:rsidRPr="000C27AA">
              <w:rPr>
                <w:rFonts w:ascii="Arial" w:hAnsi="Arial" w:cs="Arial"/>
                <w:color w:val="000000"/>
                <w:sz w:val="18"/>
                <w:szCs w:val="18"/>
                <w:lang w:val="en-CA"/>
              </w:rPr>
              <w:t>ash</w:t>
            </w:r>
          </w:p>
        </w:tc>
        <w:tc>
          <w:tcPr>
            <w:tcW w:w="1628" w:type="dxa"/>
            <w:tcBorders>
              <w:top w:val="nil"/>
              <w:left w:val="nil"/>
              <w:bottom w:val="nil"/>
              <w:right w:val="nil"/>
            </w:tcBorders>
            <w:shd w:val="clear" w:color="auto" w:fill="auto"/>
            <w:noWrap/>
            <w:vAlign w:val="bottom"/>
            <w:hideMark/>
          </w:tcPr>
          <w:p w14:paraId="34B42A40"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105 </w:t>
            </w:r>
          </w:p>
        </w:tc>
        <w:tc>
          <w:tcPr>
            <w:tcW w:w="1626" w:type="dxa"/>
            <w:tcBorders>
              <w:top w:val="nil"/>
              <w:left w:val="nil"/>
              <w:bottom w:val="nil"/>
              <w:right w:val="single" w:sz="4" w:space="0" w:color="auto"/>
            </w:tcBorders>
            <w:shd w:val="clear" w:color="auto" w:fill="auto"/>
            <w:noWrap/>
            <w:vAlign w:val="bottom"/>
            <w:hideMark/>
          </w:tcPr>
          <w:p w14:paraId="7EC5ABBE"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91 </w:t>
            </w:r>
          </w:p>
        </w:tc>
      </w:tr>
      <w:tr w:rsidR="0004017F" w:rsidRPr="000C27AA" w14:paraId="458BEFA3"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2E7A9BA6"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Loans to others, net</w:t>
            </w:r>
          </w:p>
        </w:tc>
        <w:tc>
          <w:tcPr>
            <w:tcW w:w="1628" w:type="dxa"/>
            <w:tcBorders>
              <w:top w:val="nil"/>
              <w:left w:val="nil"/>
              <w:bottom w:val="nil"/>
              <w:right w:val="nil"/>
            </w:tcBorders>
            <w:shd w:val="clear" w:color="auto" w:fill="auto"/>
            <w:noWrap/>
            <w:vAlign w:val="bottom"/>
            <w:hideMark/>
          </w:tcPr>
          <w:p w14:paraId="30B1FF2E"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496 </w:t>
            </w:r>
          </w:p>
        </w:tc>
        <w:tc>
          <w:tcPr>
            <w:tcW w:w="1626" w:type="dxa"/>
            <w:tcBorders>
              <w:top w:val="nil"/>
              <w:left w:val="nil"/>
              <w:bottom w:val="nil"/>
              <w:right w:val="single" w:sz="4" w:space="0" w:color="auto"/>
            </w:tcBorders>
            <w:shd w:val="clear" w:color="auto" w:fill="auto"/>
            <w:noWrap/>
            <w:vAlign w:val="bottom"/>
            <w:hideMark/>
          </w:tcPr>
          <w:p w14:paraId="379761B3"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46 </w:t>
            </w:r>
          </w:p>
        </w:tc>
      </w:tr>
      <w:tr w:rsidR="0004017F" w:rsidRPr="000C27AA" w14:paraId="2BC7565B"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2475115D"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Investments in affiliates and other, net</w:t>
            </w:r>
          </w:p>
        </w:tc>
        <w:tc>
          <w:tcPr>
            <w:tcW w:w="1628" w:type="dxa"/>
            <w:tcBorders>
              <w:top w:val="nil"/>
              <w:left w:val="nil"/>
              <w:bottom w:val="nil"/>
              <w:right w:val="nil"/>
            </w:tcBorders>
            <w:shd w:val="clear" w:color="auto" w:fill="auto"/>
            <w:noWrap/>
            <w:vAlign w:val="bottom"/>
            <w:hideMark/>
          </w:tcPr>
          <w:p w14:paraId="3A27EBC3"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966 </w:t>
            </w:r>
          </w:p>
        </w:tc>
        <w:tc>
          <w:tcPr>
            <w:tcW w:w="1626" w:type="dxa"/>
            <w:tcBorders>
              <w:top w:val="nil"/>
              <w:left w:val="nil"/>
              <w:bottom w:val="nil"/>
              <w:right w:val="single" w:sz="4" w:space="0" w:color="auto"/>
            </w:tcBorders>
            <w:shd w:val="clear" w:color="auto" w:fill="auto"/>
            <w:noWrap/>
            <w:vAlign w:val="bottom"/>
            <w:hideMark/>
          </w:tcPr>
          <w:p w14:paraId="288C5C8D"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806 </w:t>
            </w:r>
          </w:p>
        </w:tc>
      </w:tr>
      <w:tr w:rsidR="0004017F" w:rsidRPr="000C27AA" w14:paraId="3C7B477A"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19489F54" w14:textId="77777777" w:rsidR="0004017F" w:rsidRPr="000C27AA" w:rsidRDefault="0004017F" w:rsidP="00BE3625">
            <w:pPr>
              <w:ind w:firstLineChars="200" w:firstLine="360"/>
              <w:rPr>
                <w:rFonts w:ascii="Arial" w:hAnsi="Arial" w:cs="Arial"/>
                <w:color w:val="000000"/>
                <w:sz w:val="18"/>
                <w:szCs w:val="18"/>
                <w:lang w:val="en-CA"/>
              </w:rPr>
            </w:pPr>
            <w:r w:rsidRPr="000C27AA">
              <w:rPr>
                <w:rFonts w:ascii="Arial" w:hAnsi="Arial" w:cs="Arial"/>
                <w:color w:val="000000"/>
                <w:sz w:val="18"/>
                <w:szCs w:val="18"/>
                <w:lang w:val="en-CA"/>
              </w:rPr>
              <w:t xml:space="preserve">Total other assets </w:t>
            </w:r>
          </w:p>
        </w:tc>
        <w:tc>
          <w:tcPr>
            <w:tcW w:w="1628" w:type="dxa"/>
            <w:tcBorders>
              <w:top w:val="single" w:sz="4" w:space="0" w:color="auto"/>
              <w:left w:val="nil"/>
              <w:bottom w:val="single" w:sz="4" w:space="0" w:color="auto"/>
              <w:right w:val="nil"/>
            </w:tcBorders>
            <w:shd w:val="clear" w:color="auto" w:fill="auto"/>
            <w:noWrap/>
            <w:vAlign w:val="bottom"/>
            <w:hideMark/>
          </w:tcPr>
          <w:p w14:paraId="12150AD2"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9,249 </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4C4CE1B2"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9,005 </w:t>
            </w:r>
          </w:p>
        </w:tc>
      </w:tr>
      <w:tr w:rsidR="0004017F" w:rsidRPr="000C27AA" w14:paraId="410BE892" w14:textId="77777777" w:rsidTr="00D21755">
        <w:trPr>
          <w:trHeight w:val="278"/>
          <w:jc w:val="center"/>
        </w:trPr>
        <w:tc>
          <w:tcPr>
            <w:tcW w:w="6065" w:type="dxa"/>
            <w:tcBorders>
              <w:top w:val="nil"/>
              <w:left w:val="single" w:sz="4" w:space="0" w:color="auto"/>
              <w:bottom w:val="nil"/>
              <w:right w:val="nil"/>
            </w:tcBorders>
            <w:shd w:val="clear" w:color="auto" w:fill="auto"/>
            <w:vAlign w:val="bottom"/>
            <w:hideMark/>
          </w:tcPr>
          <w:p w14:paraId="6071D6AE" w14:textId="77777777" w:rsidR="0004017F" w:rsidRPr="000C27AA" w:rsidRDefault="0004017F" w:rsidP="00BE3625">
            <w:pPr>
              <w:rPr>
                <w:rFonts w:ascii="Arial" w:hAnsi="Arial" w:cs="Arial"/>
                <w:color w:val="000000"/>
                <w:sz w:val="18"/>
                <w:szCs w:val="18"/>
                <w:lang w:val="en-CA"/>
              </w:rPr>
            </w:pPr>
            <w:r w:rsidRPr="000C27AA">
              <w:rPr>
                <w:rFonts w:ascii="Arial" w:hAnsi="Arial" w:cs="Arial"/>
                <w:color w:val="000000"/>
                <w:sz w:val="18"/>
                <w:szCs w:val="18"/>
                <w:lang w:val="en-CA"/>
              </w:rPr>
              <w:t xml:space="preserve">Total assets </w:t>
            </w:r>
          </w:p>
        </w:tc>
        <w:tc>
          <w:tcPr>
            <w:tcW w:w="1628" w:type="dxa"/>
            <w:tcBorders>
              <w:top w:val="nil"/>
              <w:left w:val="nil"/>
              <w:bottom w:val="double" w:sz="6" w:space="0" w:color="auto"/>
              <w:right w:val="nil"/>
            </w:tcBorders>
            <w:shd w:val="clear" w:color="auto" w:fill="auto"/>
            <w:noWrap/>
            <w:vAlign w:val="bottom"/>
            <w:hideMark/>
          </w:tcPr>
          <w:p w14:paraId="0A45B65E"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44,772 </w:t>
            </w:r>
          </w:p>
        </w:tc>
        <w:tc>
          <w:tcPr>
            <w:tcW w:w="1626" w:type="dxa"/>
            <w:tcBorders>
              <w:top w:val="nil"/>
              <w:left w:val="nil"/>
              <w:bottom w:val="double" w:sz="6" w:space="0" w:color="auto"/>
              <w:right w:val="single" w:sz="4" w:space="0" w:color="auto"/>
            </w:tcBorders>
            <w:shd w:val="clear" w:color="auto" w:fill="auto"/>
            <w:noWrap/>
            <w:vAlign w:val="bottom"/>
            <w:hideMark/>
          </w:tcPr>
          <w:p w14:paraId="2F71EFDE"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42,346 </w:t>
            </w:r>
          </w:p>
        </w:tc>
      </w:tr>
      <w:tr w:rsidR="0004017F" w:rsidRPr="000C27AA" w14:paraId="66604522"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14E873FA" w14:textId="77777777" w:rsidR="0004017F" w:rsidRPr="000C27AA" w:rsidRDefault="0004017F" w:rsidP="00BE3625">
            <w:pPr>
              <w:rPr>
                <w:rFonts w:ascii="Arial" w:hAnsi="Arial" w:cs="Arial"/>
                <w:color w:val="000000"/>
                <w:sz w:val="18"/>
                <w:szCs w:val="18"/>
                <w:lang w:val="en-CA"/>
              </w:rPr>
            </w:pPr>
            <w:r w:rsidRPr="000C27AA">
              <w:rPr>
                <w:rFonts w:ascii="Arial" w:hAnsi="Arial" w:cs="Arial"/>
                <w:color w:val="000000"/>
                <w:sz w:val="18"/>
                <w:szCs w:val="18"/>
                <w:lang w:val="en-CA"/>
              </w:rPr>
              <w:t xml:space="preserve">LIABILITIES AND STOCKHOLDER'S EQUITY </w:t>
            </w:r>
          </w:p>
        </w:tc>
        <w:tc>
          <w:tcPr>
            <w:tcW w:w="1628" w:type="dxa"/>
            <w:tcBorders>
              <w:top w:val="nil"/>
              <w:left w:val="nil"/>
              <w:bottom w:val="nil"/>
              <w:right w:val="nil"/>
            </w:tcBorders>
            <w:shd w:val="clear" w:color="auto" w:fill="auto"/>
            <w:noWrap/>
            <w:vAlign w:val="bottom"/>
            <w:hideMark/>
          </w:tcPr>
          <w:p w14:paraId="34B5E95B" w14:textId="77777777" w:rsidR="0004017F" w:rsidRPr="000C27AA" w:rsidRDefault="0004017F" w:rsidP="00BE3625">
            <w:pPr>
              <w:rPr>
                <w:rFonts w:ascii="Arial" w:hAnsi="Arial" w:cs="Arial"/>
                <w:color w:val="000000"/>
                <w:sz w:val="18"/>
                <w:szCs w:val="18"/>
                <w:lang w:val="en-CA"/>
              </w:rPr>
            </w:pPr>
          </w:p>
        </w:tc>
        <w:tc>
          <w:tcPr>
            <w:tcW w:w="1626" w:type="dxa"/>
            <w:tcBorders>
              <w:top w:val="nil"/>
              <w:left w:val="nil"/>
              <w:bottom w:val="nil"/>
              <w:right w:val="single" w:sz="4" w:space="0" w:color="auto"/>
            </w:tcBorders>
            <w:shd w:val="clear" w:color="auto" w:fill="auto"/>
            <w:noWrap/>
            <w:vAlign w:val="bottom"/>
            <w:hideMark/>
          </w:tcPr>
          <w:p w14:paraId="41C60FFD" w14:textId="77777777" w:rsidR="0004017F" w:rsidRPr="000C27AA" w:rsidRDefault="0004017F" w:rsidP="00BE3625">
            <w:pPr>
              <w:rPr>
                <w:rFonts w:ascii="Arial" w:hAnsi="Arial" w:cs="Arial"/>
                <w:color w:val="000000"/>
                <w:sz w:val="18"/>
                <w:szCs w:val="18"/>
                <w:lang w:val="en-CA"/>
              </w:rPr>
            </w:pPr>
            <w:r w:rsidRPr="000C27AA">
              <w:rPr>
                <w:rFonts w:ascii="Arial" w:hAnsi="Arial" w:cs="Arial"/>
                <w:color w:val="000000"/>
                <w:sz w:val="18"/>
                <w:szCs w:val="18"/>
                <w:lang w:val="en-CA"/>
              </w:rPr>
              <w:t> </w:t>
            </w:r>
          </w:p>
        </w:tc>
      </w:tr>
      <w:tr w:rsidR="0004017F" w:rsidRPr="000C27AA" w14:paraId="1B89C84C"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16491C98" w14:textId="77777777" w:rsidR="0004017F" w:rsidRPr="000C27AA" w:rsidRDefault="0004017F" w:rsidP="00BE3625">
            <w:pPr>
              <w:rPr>
                <w:rFonts w:ascii="Arial" w:hAnsi="Arial" w:cs="Arial"/>
                <w:i/>
                <w:color w:val="000000"/>
                <w:sz w:val="18"/>
                <w:szCs w:val="18"/>
                <w:lang w:val="en-CA"/>
              </w:rPr>
            </w:pPr>
            <w:r w:rsidRPr="000C27AA">
              <w:rPr>
                <w:rFonts w:ascii="Arial" w:hAnsi="Arial" w:cs="Arial"/>
                <w:i/>
                <w:color w:val="000000"/>
                <w:sz w:val="18"/>
                <w:szCs w:val="18"/>
                <w:lang w:val="en-CA"/>
              </w:rPr>
              <w:t xml:space="preserve">Current liabilities: </w:t>
            </w:r>
          </w:p>
        </w:tc>
        <w:tc>
          <w:tcPr>
            <w:tcW w:w="1628" w:type="dxa"/>
            <w:tcBorders>
              <w:top w:val="nil"/>
              <w:left w:val="nil"/>
              <w:bottom w:val="nil"/>
              <w:right w:val="nil"/>
            </w:tcBorders>
            <w:shd w:val="clear" w:color="auto" w:fill="auto"/>
            <w:noWrap/>
            <w:vAlign w:val="bottom"/>
            <w:hideMark/>
          </w:tcPr>
          <w:p w14:paraId="0DDAB4A2" w14:textId="77777777" w:rsidR="0004017F" w:rsidRPr="000C27AA" w:rsidRDefault="0004017F" w:rsidP="00BE3625">
            <w:pPr>
              <w:rPr>
                <w:rFonts w:ascii="Arial" w:hAnsi="Arial" w:cs="Arial"/>
                <w:color w:val="000000"/>
                <w:sz w:val="18"/>
                <w:szCs w:val="18"/>
                <w:lang w:val="en-CA"/>
              </w:rPr>
            </w:pPr>
          </w:p>
        </w:tc>
        <w:tc>
          <w:tcPr>
            <w:tcW w:w="1626" w:type="dxa"/>
            <w:tcBorders>
              <w:top w:val="nil"/>
              <w:left w:val="nil"/>
              <w:bottom w:val="nil"/>
              <w:right w:val="single" w:sz="4" w:space="0" w:color="auto"/>
            </w:tcBorders>
            <w:shd w:val="clear" w:color="auto" w:fill="auto"/>
            <w:noWrap/>
            <w:vAlign w:val="bottom"/>
            <w:hideMark/>
          </w:tcPr>
          <w:p w14:paraId="1A507449" w14:textId="77777777" w:rsidR="0004017F" w:rsidRPr="000C27AA" w:rsidRDefault="0004017F" w:rsidP="00BE3625">
            <w:pPr>
              <w:rPr>
                <w:rFonts w:ascii="Arial" w:hAnsi="Arial" w:cs="Arial"/>
                <w:color w:val="000000"/>
                <w:sz w:val="18"/>
                <w:szCs w:val="18"/>
                <w:lang w:val="en-CA"/>
              </w:rPr>
            </w:pPr>
            <w:r w:rsidRPr="000C27AA">
              <w:rPr>
                <w:rFonts w:ascii="Arial" w:hAnsi="Arial" w:cs="Arial"/>
                <w:color w:val="000000"/>
                <w:sz w:val="18"/>
                <w:szCs w:val="18"/>
                <w:lang w:val="en-CA"/>
              </w:rPr>
              <w:t> </w:t>
            </w:r>
          </w:p>
        </w:tc>
      </w:tr>
      <w:tr w:rsidR="0004017F" w:rsidRPr="000C27AA" w14:paraId="0D2B8C5C"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0FD5D2CB"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Advance ticket sales</w:t>
            </w:r>
          </w:p>
        </w:tc>
        <w:tc>
          <w:tcPr>
            <w:tcW w:w="1628" w:type="dxa"/>
            <w:tcBorders>
              <w:top w:val="nil"/>
              <w:left w:val="nil"/>
              <w:bottom w:val="nil"/>
              <w:right w:val="nil"/>
            </w:tcBorders>
            <w:shd w:val="clear" w:color="auto" w:fill="auto"/>
            <w:noWrap/>
            <w:vAlign w:val="bottom"/>
            <w:hideMark/>
          </w:tcPr>
          <w:p w14:paraId="19047EA7"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4,381 </w:t>
            </w:r>
          </w:p>
        </w:tc>
        <w:tc>
          <w:tcPr>
            <w:tcW w:w="1626" w:type="dxa"/>
            <w:tcBorders>
              <w:top w:val="nil"/>
              <w:left w:val="nil"/>
              <w:bottom w:val="nil"/>
              <w:right w:val="single" w:sz="4" w:space="0" w:color="auto"/>
            </w:tcBorders>
            <w:shd w:val="clear" w:color="auto" w:fill="auto"/>
            <w:noWrap/>
            <w:vAlign w:val="bottom"/>
            <w:hideMark/>
          </w:tcPr>
          <w:p w14:paraId="5C7B9C64"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3,940 </w:t>
            </w:r>
          </w:p>
        </w:tc>
      </w:tr>
      <w:tr w:rsidR="0004017F" w:rsidRPr="000C27AA" w14:paraId="4A8B4AFD"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5AB46BB4"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Accounts payable </w:t>
            </w:r>
          </w:p>
        </w:tc>
        <w:tc>
          <w:tcPr>
            <w:tcW w:w="1628" w:type="dxa"/>
            <w:tcBorders>
              <w:top w:val="nil"/>
              <w:left w:val="nil"/>
              <w:bottom w:val="nil"/>
              <w:right w:val="nil"/>
            </w:tcBorders>
            <w:shd w:val="clear" w:color="auto" w:fill="auto"/>
            <w:noWrap/>
            <w:vAlign w:val="bottom"/>
            <w:hideMark/>
          </w:tcPr>
          <w:p w14:paraId="5694C0C4"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2,363 </w:t>
            </w:r>
          </w:p>
        </w:tc>
        <w:tc>
          <w:tcPr>
            <w:tcW w:w="1626" w:type="dxa"/>
            <w:tcBorders>
              <w:top w:val="nil"/>
              <w:left w:val="nil"/>
              <w:bottom w:val="nil"/>
              <w:right w:val="single" w:sz="4" w:space="0" w:color="auto"/>
            </w:tcBorders>
            <w:shd w:val="clear" w:color="auto" w:fill="auto"/>
            <w:noWrap/>
            <w:vAlign w:val="bottom"/>
            <w:hideMark/>
          </w:tcPr>
          <w:p w14:paraId="23B3FA05"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2,196 </w:t>
            </w:r>
          </w:p>
        </w:tc>
      </w:tr>
      <w:tr w:rsidR="0004017F" w:rsidRPr="000C27AA" w14:paraId="5388FDF9"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5CC89616"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Frequent flyer deferred revenue </w:t>
            </w:r>
          </w:p>
        </w:tc>
        <w:tc>
          <w:tcPr>
            <w:tcW w:w="1628" w:type="dxa"/>
            <w:tcBorders>
              <w:top w:val="nil"/>
              <w:left w:val="nil"/>
              <w:bottom w:val="nil"/>
              <w:right w:val="nil"/>
            </w:tcBorders>
            <w:shd w:val="clear" w:color="auto" w:fill="auto"/>
            <w:noWrap/>
            <w:vAlign w:val="bottom"/>
            <w:hideMark/>
          </w:tcPr>
          <w:p w14:paraId="1632C374"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2,286 </w:t>
            </w:r>
          </w:p>
        </w:tc>
        <w:tc>
          <w:tcPr>
            <w:tcW w:w="1626" w:type="dxa"/>
            <w:tcBorders>
              <w:top w:val="nil"/>
              <w:left w:val="nil"/>
              <w:bottom w:val="nil"/>
              <w:right w:val="single" w:sz="4" w:space="0" w:color="auto"/>
            </w:tcBorders>
            <w:shd w:val="clear" w:color="auto" w:fill="auto"/>
            <w:noWrap/>
            <w:vAlign w:val="bottom"/>
            <w:hideMark/>
          </w:tcPr>
          <w:p w14:paraId="3480FD7A"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2,192 </w:t>
            </w:r>
          </w:p>
        </w:tc>
      </w:tr>
      <w:tr w:rsidR="0004017F" w:rsidRPr="000C27AA" w14:paraId="39BFD93A"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49840C54"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Accrued salaries and benefits </w:t>
            </w:r>
          </w:p>
        </w:tc>
        <w:tc>
          <w:tcPr>
            <w:tcW w:w="1628" w:type="dxa"/>
            <w:tcBorders>
              <w:top w:val="nil"/>
              <w:left w:val="nil"/>
              <w:bottom w:val="nil"/>
              <w:right w:val="nil"/>
            </w:tcBorders>
            <w:shd w:val="clear" w:color="auto" w:fill="auto"/>
            <w:noWrap/>
            <w:vAlign w:val="bottom"/>
            <w:hideMark/>
          </w:tcPr>
          <w:p w14:paraId="69D9C84E"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2,184 </w:t>
            </w:r>
          </w:p>
        </w:tc>
        <w:tc>
          <w:tcPr>
            <w:tcW w:w="1626" w:type="dxa"/>
            <w:tcBorders>
              <w:top w:val="nil"/>
              <w:left w:val="nil"/>
              <w:bottom w:val="nil"/>
              <w:right w:val="single" w:sz="4" w:space="0" w:color="auto"/>
            </w:tcBorders>
            <w:shd w:val="clear" w:color="auto" w:fill="auto"/>
            <w:noWrap/>
            <w:vAlign w:val="bottom"/>
            <w:hideMark/>
          </w:tcPr>
          <w:p w14:paraId="62E657B6"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2,166 </w:t>
            </w:r>
          </w:p>
        </w:tc>
      </w:tr>
      <w:tr w:rsidR="0004017F" w:rsidRPr="000C27AA" w14:paraId="310864CB"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0FFD666E"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Current maturities of long-term debt and capital leases </w:t>
            </w:r>
          </w:p>
        </w:tc>
        <w:tc>
          <w:tcPr>
            <w:tcW w:w="1628" w:type="dxa"/>
            <w:tcBorders>
              <w:top w:val="nil"/>
              <w:left w:val="nil"/>
              <w:bottom w:val="nil"/>
              <w:right w:val="nil"/>
            </w:tcBorders>
            <w:shd w:val="clear" w:color="auto" w:fill="auto"/>
            <w:noWrap/>
            <w:vAlign w:val="bottom"/>
            <w:hideMark/>
          </w:tcPr>
          <w:p w14:paraId="074F5412"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1,379 </w:t>
            </w:r>
          </w:p>
        </w:tc>
        <w:tc>
          <w:tcPr>
            <w:tcW w:w="1626" w:type="dxa"/>
            <w:tcBorders>
              <w:top w:val="nil"/>
              <w:left w:val="nil"/>
              <w:bottom w:val="nil"/>
              <w:right w:val="single" w:sz="4" w:space="0" w:color="auto"/>
            </w:tcBorders>
            <w:shd w:val="clear" w:color="auto" w:fill="auto"/>
            <w:noWrap/>
            <w:vAlign w:val="bottom"/>
            <w:hideMark/>
          </w:tcPr>
          <w:p w14:paraId="0958DC4E"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1,693 </w:t>
            </w:r>
          </w:p>
        </w:tc>
      </w:tr>
      <w:tr w:rsidR="0004017F" w:rsidRPr="000C27AA" w14:paraId="2225B6D5"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2A0F8C06"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Other </w:t>
            </w:r>
          </w:p>
        </w:tc>
        <w:tc>
          <w:tcPr>
            <w:tcW w:w="1628" w:type="dxa"/>
            <w:tcBorders>
              <w:top w:val="nil"/>
              <w:left w:val="nil"/>
              <w:bottom w:val="nil"/>
              <w:right w:val="nil"/>
            </w:tcBorders>
            <w:shd w:val="clear" w:color="auto" w:fill="auto"/>
            <w:noWrap/>
            <w:vAlign w:val="bottom"/>
            <w:hideMark/>
          </w:tcPr>
          <w:p w14:paraId="317B9893"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600 </w:t>
            </w:r>
          </w:p>
        </w:tc>
        <w:tc>
          <w:tcPr>
            <w:tcW w:w="1626" w:type="dxa"/>
            <w:tcBorders>
              <w:top w:val="nil"/>
              <w:left w:val="nil"/>
              <w:bottom w:val="nil"/>
              <w:right w:val="single" w:sz="4" w:space="0" w:color="auto"/>
            </w:tcBorders>
            <w:shd w:val="clear" w:color="auto" w:fill="auto"/>
            <w:noWrap/>
            <w:vAlign w:val="bottom"/>
            <w:hideMark/>
          </w:tcPr>
          <w:p w14:paraId="6D99036F"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576 </w:t>
            </w:r>
          </w:p>
        </w:tc>
      </w:tr>
      <w:tr w:rsidR="0004017F" w:rsidRPr="000C27AA" w14:paraId="5FD41DD4" w14:textId="77777777" w:rsidTr="00D21755">
        <w:trPr>
          <w:trHeight w:val="88"/>
          <w:jc w:val="center"/>
        </w:trPr>
        <w:tc>
          <w:tcPr>
            <w:tcW w:w="6065" w:type="dxa"/>
            <w:tcBorders>
              <w:top w:val="nil"/>
              <w:left w:val="single" w:sz="4" w:space="0" w:color="auto"/>
              <w:bottom w:val="nil"/>
              <w:right w:val="nil"/>
            </w:tcBorders>
            <w:shd w:val="clear" w:color="auto" w:fill="auto"/>
            <w:vAlign w:val="bottom"/>
            <w:hideMark/>
          </w:tcPr>
          <w:p w14:paraId="1BE3C673" w14:textId="77777777" w:rsidR="0004017F" w:rsidRPr="000C27AA" w:rsidRDefault="0004017F" w:rsidP="00BE3625">
            <w:pPr>
              <w:ind w:firstLineChars="200" w:firstLine="360"/>
              <w:rPr>
                <w:rFonts w:ascii="Arial" w:hAnsi="Arial" w:cs="Arial"/>
                <w:color w:val="000000"/>
                <w:sz w:val="18"/>
                <w:szCs w:val="18"/>
                <w:lang w:val="en-CA"/>
              </w:rPr>
            </w:pPr>
            <w:r w:rsidRPr="000C27AA">
              <w:rPr>
                <w:rFonts w:ascii="Arial" w:hAnsi="Arial" w:cs="Arial"/>
                <w:color w:val="000000"/>
                <w:sz w:val="18"/>
                <w:szCs w:val="18"/>
                <w:lang w:val="en-CA"/>
              </w:rPr>
              <w:t xml:space="preserve">Total current liabilities </w:t>
            </w:r>
          </w:p>
        </w:tc>
        <w:tc>
          <w:tcPr>
            <w:tcW w:w="1628" w:type="dxa"/>
            <w:tcBorders>
              <w:top w:val="single" w:sz="4" w:space="0" w:color="auto"/>
              <w:left w:val="nil"/>
              <w:bottom w:val="single" w:sz="4" w:space="0" w:color="auto"/>
              <w:right w:val="nil"/>
            </w:tcBorders>
            <w:shd w:val="clear" w:color="auto" w:fill="auto"/>
            <w:noWrap/>
            <w:vAlign w:val="bottom"/>
            <w:hideMark/>
          </w:tcPr>
          <w:p w14:paraId="0C40DEAE"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13,193 </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2FAB75D4"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12,763 </w:t>
            </w:r>
          </w:p>
        </w:tc>
      </w:tr>
      <w:tr w:rsidR="0004017F" w:rsidRPr="000C27AA" w14:paraId="21F3A274"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7B333846" w14:textId="77777777" w:rsidR="0004017F" w:rsidRPr="000C27AA" w:rsidRDefault="0004017F" w:rsidP="00BE3625">
            <w:pPr>
              <w:rPr>
                <w:rFonts w:ascii="Arial" w:hAnsi="Arial" w:cs="Arial"/>
                <w:i/>
                <w:color w:val="000000"/>
                <w:sz w:val="18"/>
                <w:szCs w:val="18"/>
                <w:lang w:val="en-CA"/>
              </w:rPr>
            </w:pPr>
            <w:r w:rsidRPr="000C27AA">
              <w:rPr>
                <w:rFonts w:ascii="Arial" w:hAnsi="Arial" w:cs="Arial"/>
                <w:i/>
                <w:color w:val="000000"/>
                <w:sz w:val="18"/>
                <w:szCs w:val="18"/>
                <w:lang w:val="en-CA"/>
              </w:rPr>
              <w:t>Other liabilities and differed credits:</w:t>
            </w:r>
          </w:p>
        </w:tc>
        <w:tc>
          <w:tcPr>
            <w:tcW w:w="1628" w:type="dxa"/>
            <w:tcBorders>
              <w:top w:val="nil"/>
              <w:left w:val="nil"/>
              <w:bottom w:val="nil"/>
              <w:right w:val="nil"/>
            </w:tcBorders>
            <w:shd w:val="clear" w:color="auto" w:fill="auto"/>
            <w:noWrap/>
            <w:vAlign w:val="bottom"/>
            <w:hideMark/>
          </w:tcPr>
          <w:p w14:paraId="7702D089" w14:textId="77777777" w:rsidR="0004017F" w:rsidRPr="000C27AA" w:rsidRDefault="0004017F" w:rsidP="00BE3625">
            <w:pPr>
              <w:rPr>
                <w:rFonts w:ascii="Arial" w:hAnsi="Arial" w:cs="Arial"/>
                <w:color w:val="000000"/>
                <w:sz w:val="18"/>
                <w:szCs w:val="18"/>
                <w:lang w:val="en-CA"/>
              </w:rPr>
            </w:pPr>
          </w:p>
        </w:tc>
        <w:tc>
          <w:tcPr>
            <w:tcW w:w="1626" w:type="dxa"/>
            <w:tcBorders>
              <w:top w:val="nil"/>
              <w:left w:val="nil"/>
              <w:bottom w:val="nil"/>
              <w:right w:val="single" w:sz="4" w:space="0" w:color="auto"/>
            </w:tcBorders>
            <w:shd w:val="clear" w:color="auto" w:fill="auto"/>
            <w:noWrap/>
            <w:vAlign w:val="bottom"/>
            <w:hideMark/>
          </w:tcPr>
          <w:p w14:paraId="42070265" w14:textId="77777777" w:rsidR="0004017F" w:rsidRPr="000C27AA" w:rsidRDefault="0004017F" w:rsidP="00BE3625">
            <w:pPr>
              <w:rPr>
                <w:rFonts w:ascii="Arial" w:hAnsi="Arial" w:cs="Arial"/>
                <w:color w:val="000000"/>
                <w:sz w:val="18"/>
                <w:szCs w:val="18"/>
                <w:lang w:val="en-CA"/>
              </w:rPr>
            </w:pPr>
            <w:r w:rsidRPr="000C27AA">
              <w:rPr>
                <w:rFonts w:ascii="Arial" w:hAnsi="Arial" w:cs="Arial"/>
                <w:color w:val="000000"/>
                <w:sz w:val="18"/>
                <w:szCs w:val="18"/>
                <w:lang w:val="en-CA"/>
              </w:rPr>
              <w:t> </w:t>
            </w:r>
          </w:p>
        </w:tc>
      </w:tr>
      <w:tr w:rsidR="0004017F" w:rsidRPr="000C27AA" w14:paraId="4B5B94D6"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1AABF3BD"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Long-term debt and capital leases </w:t>
            </w:r>
          </w:p>
        </w:tc>
        <w:tc>
          <w:tcPr>
            <w:tcW w:w="1628" w:type="dxa"/>
            <w:tcBorders>
              <w:top w:val="nil"/>
              <w:left w:val="nil"/>
              <w:bottom w:val="nil"/>
              <w:right w:val="nil"/>
            </w:tcBorders>
            <w:shd w:val="clear" w:color="auto" w:fill="auto"/>
            <w:noWrap/>
            <w:vAlign w:val="bottom"/>
            <w:hideMark/>
          </w:tcPr>
          <w:p w14:paraId="51B26AF5"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13,349 </w:t>
            </w:r>
          </w:p>
        </w:tc>
        <w:tc>
          <w:tcPr>
            <w:tcW w:w="1626" w:type="dxa"/>
            <w:tcBorders>
              <w:top w:val="nil"/>
              <w:left w:val="nil"/>
              <w:bottom w:val="nil"/>
              <w:right w:val="single" w:sz="4" w:space="0" w:color="auto"/>
            </w:tcBorders>
            <w:shd w:val="clear" w:color="auto" w:fill="auto"/>
            <w:noWrap/>
            <w:vAlign w:val="bottom"/>
            <w:hideMark/>
          </w:tcPr>
          <w:p w14:paraId="44BE15EA"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12,699 </w:t>
            </w:r>
          </w:p>
        </w:tc>
      </w:tr>
      <w:tr w:rsidR="0004017F" w:rsidRPr="000C27AA" w14:paraId="565ABE23"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1369C5FD"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Frequent flyer deferred revenue </w:t>
            </w:r>
          </w:p>
        </w:tc>
        <w:tc>
          <w:tcPr>
            <w:tcW w:w="1628" w:type="dxa"/>
            <w:tcBorders>
              <w:top w:val="nil"/>
              <w:left w:val="nil"/>
              <w:bottom w:val="nil"/>
              <w:right w:val="nil"/>
            </w:tcBorders>
            <w:shd w:val="clear" w:color="auto" w:fill="auto"/>
            <w:noWrap/>
            <w:vAlign w:val="bottom"/>
            <w:hideMark/>
          </w:tcPr>
          <w:p w14:paraId="5BDD3222"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2,719 </w:t>
            </w:r>
          </w:p>
        </w:tc>
        <w:tc>
          <w:tcPr>
            <w:tcW w:w="1626" w:type="dxa"/>
            <w:tcBorders>
              <w:top w:val="nil"/>
              <w:left w:val="nil"/>
              <w:bottom w:val="nil"/>
              <w:right w:val="single" w:sz="4" w:space="0" w:color="auto"/>
            </w:tcBorders>
            <w:shd w:val="clear" w:color="auto" w:fill="auto"/>
            <w:noWrap/>
            <w:vAlign w:val="bottom"/>
            <w:hideMark/>
          </w:tcPr>
          <w:p w14:paraId="4FD9172B"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2,591 </w:t>
            </w:r>
          </w:p>
        </w:tc>
      </w:tr>
      <w:tr w:rsidR="0004017F" w:rsidRPr="000C27AA" w14:paraId="619C6781"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723D25AB"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Postretirement benefit liability </w:t>
            </w:r>
          </w:p>
        </w:tc>
        <w:tc>
          <w:tcPr>
            <w:tcW w:w="1628" w:type="dxa"/>
            <w:tcBorders>
              <w:top w:val="nil"/>
              <w:left w:val="nil"/>
              <w:bottom w:val="nil"/>
              <w:right w:val="nil"/>
            </w:tcBorders>
            <w:shd w:val="clear" w:color="auto" w:fill="auto"/>
            <w:noWrap/>
            <w:vAlign w:val="bottom"/>
            <w:hideMark/>
          </w:tcPr>
          <w:p w14:paraId="2EDB12F9"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1,295 </w:t>
            </w:r>
          </w:p>
        </w:tc>
        <w:tc>
          <w:tcPr>
            <w:tcW w:w="1626" w:type="dxa"/>
            <w:tcBorders>
              <w:top w:val="nil"/>
              <w:left w:val="nil"/>
              <w:bottom w:val="nil"/>
              <w:right w:val="single" w:sz="4" w:space="0" w:color="auto"/>
            </w:tcBorders>
            <w:shd w:val="clear" w:color="auto" w:fill="auto"/>
            <w:noWrap/>
            <w:vAlign w:val="bottom"/>
            <w:hideMark/>
          </w:tcPr>
          <w:p w14:paraId="2573AC0E"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1,602 </w:t>
            </w:r>
          </w:p>
        </w:tc>
      </w:tr>
      <w:tr w:rsidR="0004017F" w:rsidRPr="000C27AA" w14:paraId="3D98EFA8"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483BB893"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Pension liability </w:t>
            </w:r>
          </w:p>
        </w:tc>
        <w:tc>
          <w:tcPr>
            <w:tcW w:w="1628" w:type="dxa"/>
            <w:tcBorders>
              <w:top w:val="nil"/>
              <w:left w:val="nil"/>
              <w:bottom w:val="nil"/>
              <w:right w:val="nil"/>
            </w:tcBorders>
            <w:shd w:val="clear" w:color="auto" w:fill="auto"/>
            <w:noWrap/>
            <w:vAlign w:val="bottom"/>
            <w:hideMark/>
          </w:tcPr>
          <w:p w14:paraId="3624AAC8"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1,576 </w:t>
            </w:r>
          </w:p>
        </w:tc>
        <w:tc>
          <w:tcPr>
            <w:tcW w:w="1626" w:type="dxa"/>
            <w:tcBorders>
              <w:top w:val="nil"/>
              <w:left w:val="nil"/>
              <w:bottom w:val="nil"/>
              <w:right w:val="single" w:sz="4" w:space="0" w:color="auto"/>
            </w:tcBorders>
            <w:shd w:val="clear" w:color="auto" w:fill="auto"/>
            <w:noWrap/>
            <w:vAlign w:val="bottom"/>
            <w:hideMark/>
          </w:tcPr>
          <w:p w14:paraId="37B88A28"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1,921 </w:t>
            </w:r>
          </w:p>
        </w:tc>
      </w:tr>
      <w:tr w:rsidR="0004017F" w:rsidRPr="000C27AA" w14:paraId="267CA17E"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2F2ED2AE"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 xml:space="preserve">Deferred income taxes </w:t>
            </w:r>
          </w:p>
        </w:tc>
        <w:tc>
          <w:tcPr>
            <w:tcW w:w="1628" w:type="dxa"/>
            <w:tcBorders>
              <w:top w:val="nil"/>
              <w:left w:val="nil"/>
              <w:bottom w:val="nil"/>
              <w:right w:val="nil"/>
            </w:tcBorders>
            <w:shd w:val="clear" w:color="auto" w:fill="auto"/>
            <w:noWrap/>
            <w:vAlign w:val="bottom"/>
            <w:hideMark/>
          </w:tcPr>
          <w:p w14:paraId="32551E1A"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814 </w:t>
            </w:r>
          </w:p>
        </w:tc>
        <w:tc>
          <w:tcPr>
            <w:tcW w:w="1626" w:type="dxa"/>
            <w:tcBorders>
              <w:top w:val="nil"/>
              <w:left w:val="nil"/>
              <w:bottom w:val="nil"/>
              <w:right w:val="single" w:sz="4" w:space="0" w:color="auto"/>
            </w:tcBorders>
            <w:shd w:val="clear" w:color="auto" w:fill="auto"/>
            <w:noWrap/>
            <w:vAlign w:val="bottom"/>
            <w:hideMark/>
          </w:tcPr>
          <w:p w14:paraId="06708A77"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204 </w:t>
            </w:r>
          </w:p>
        </w:tc>
      </w:tr>
      <w:tr w:rsidR="0004017F" w:rsidRPr="000C27AA" w14:paraId="2EA30516"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164C2356" w14:textId="77777777" w:rsidR="0004017F" w:rsidRPr="000C27AA" w:rsidRDefault="0004017F" w:rsidP="00BE3625">
            <w:pPr>
              <w:ind w:firstLineChars="100" w:firstLine="180"/>
              <w:rPr>
                <w:rFonts w:ascii="Arial" w:hAnsi="Arial" w:cs="Arial"/>
                <w:color w:val="000000"/>
                <w:sz w:val="18"/>
                <w:szCs w:val="18"/>
                <w:lang w:val="en-CA"/>
              </w:rPr>
            </w:pPr>
            <w:r w:rsidRPr="000C27AA">
              <w:rPr>
                <w:rFonts w:ascii="Arial" w:hAnsi="Arial" w:cs="Arial"/>
                <w:color w:val="000000"/>
                <w:sz w:val="18"/>
                <w:szCs w:val="18"/>
                <w:lang w:val="en-CA"/>
              </w:rPr>
              <w:t>Other</w:t>
            </w:r>
          </w:p>
        </w:tc>
        <w:tc>
          <w:tcPr>
            <w:tcW w:w="1628" w:type="dxa"/>
            <w:tcBorders>
              <w:top w:val="nil"/>
              <w:left w:val="nil"/>
              <w:bottom w:val="nil"/>
              <w:right w:val="nil"/>
            </w:tcBorders>
            <w:shd w:val="clear" w:color="auto" w:fill="auto"/>
            <w:noWrap/>
            <w:vAlign w:val="bottom"/>
            <w:hideMark/>
          </w:tcPr>
          <w:p w14:paraId="01F45571"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1,831 </w:t>
            </w:r>
          </w:p>
        </w:tc>
        <w:tc>
          <w:tcPr>
            <w:tcW w:w="1626" w:type="dxa"/>
            <w:tcBorders>
              <w:top w:val="nil"/>
              <w:left w:val="nil"/>
              <w:bottom w:val="nil"/>
              <w:right w:val="single" w:sz="4" w:space="0" w:color="auto"/>
            </w:tcBorders>
            <w:shd w:val="clear" w:color="auto" w:fill="auto"/>
            <w:noWrap/>
            <w:vAlign w:val="bottom"/>
            <w:hideMark/>
          </w:tcPr>
          <w:p w14:paraId="157E7033"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1,832 </w:t>
            </w:r>
          </w:p>
        </w:tc>
      </w:tr>
      <w:tr w:rsidR="0004017F" w:rsidRPr="000C27AA" w14:paraId="56499D5F"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3F06DC15" w14:textId="77777777" w:rsidR="0004017F" w:rsidRPr="000C27AA" w:rsidRDefault="0004017F" w:rsidP="00BE3625">
            <w:pPr>
              <w:ind w:firstLineChars="200" w:firstLine="360"/>
              <w:rPr>
                <w:rFonts w:ascii="Arial" w:hAnsi="Arial" w:cs="Arial"/>
                <w:color w:val="000000"/>
                <w:sz w:val="18"/>
                <w:szCs w:val="18"/>
                <w:lang w:val="en-CA"/>
              </w:rPr>
            </w:pPr>
            <w:r w:rsidRPr="000C27AA">
              <w:rPr>
                <w:rFonts w:ascii="Arial" w:hAnsi="Arial" w:cs="Arial"/>
                <w:color w:val="000000"/>
                <w:sz w:val="18"/>
                <w:szCs w:val="18"/>
                <w:lang w:val="en-CA"/>
              </w:rPr>
              <w:t xml:space="preserve">Total other liabilities and deferred credits </w:t>
            </w:r>
          </w:p>
        </w:tc>
        <w:tc>
          <w:tcPr>
            <w:tcW w:w="1628" w:type="dxa"/>
            <w:tcBorders>
              <w:top w:val="single" w:sz="4" w:space="0" w:color="auto"/>
              <w:left w:val="nil"/>
              <w:bottom w:val="single" w:sz="4" w:space="0" w:color="auto"/>
              <w:right w:val="nil"/>
            </w:tcBorders>
            <w:shd w:val="clear" w:color="auto" w:fill="auto"/>
            <w:noWrap/>
            <w:vAlign w:val="bottom"/>
            <w:hideMark/>
          </w:tcPr>
          <w:p w14:paraId="0535E939"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21,584 </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0040F026"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20,849 </w:t>
            </w:r>
          </w:p>
        </w:tc>
      </w:tr>
      <w:tr w:rsidR="0004017F" w:rsidRPr="000C27AA" w14:paraId="7D0F7686" w14:textId="77777777" w:rsidTr="00D21755">
        <w:trPr>
          <w:trHeight w:val="263"/>
          <w:jc w:val="center"/>
        </w:trPr>
        <w:tc>
          <w:tcPr>
            <w:tcW w:w="6065" w:type="dxa"/>
            <w:tcBorders>
              <w:top w:val="nil"/>
              <w:left w:val="single" w:sz="4" w:space="0" w:color="auto"/>
              <w:bottom w:val="nil"/>
              <w:right w:val="nil"/>
            </w:tcBorders>
            <w:shd w:val="clear" w:color="auto" w:fill="auto"/>
            <w:vAlign w:val="bottom"/>
            <w:hideMark/>
          </w:tcPr>
          <w:p w14:paraId="0C6C697E" w14:textId="77777777" w:rsidR="0004017F" w:rsidRPr="000C27AA" w:rsidRDefault="0004017F" w:rsidP="00BE3625">
            <w:pPr>
              <w:rPr>
                <w:rFonts w:ascii="Arial" w:hAnsi="Arial" w:cs="Arial"/>
                <w:color w:val="000000"/>
                <w:sz w:val="18"/>
                <w:szCs w:val="18"/>
                <w:lang w:val="en-CA"/>
              </w:rPr>
            </w:pPr>
            <w:r w:rsidRPr="000C27AA">
              <w:rPr>
                <w:rFonts w:ascii="Arial" w:hAnsi="Arial" w:cs="Arial"/>
                <w:color w:val="000000"/>
                <w:sz w:val="18"/>
                <w:szCs w:val="18"/>
                <w:lang w:val="en-CA"/>
              </w:rPr>
              <w:t xml:space="preserve">Stockholder's equity </w:t>
            </w:r>
          </w:p>
        </w:tc>
        <w:tc>
          <w:tcPr>
            <w:tcW w:w="1628" w:type="dxa"/>
            <w:tcBorders>
              <w:top w:val="nil"/>
              <w:left w:val="nil"/>
              <w:bottom w:val="nil"/>
              <w:right w:val="nil"/>
            </w:tcBorders>
            <w:shd w:val="clear" w:color="auto" w:fill="auto"/>
            <w:noWrap/>
            <w:vAlign w:val="bottom"/>
            <w:hideMark/>
          </w:tcPr>
          <w:p w14:paraId="3617B3CE"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9,995 </w:t>
            </w:r>
          </w:p>
        </w:tc>
        <w:tc>
          <w:tcPr>
            <w:tcW w:w="1626" w:type="dxa"/>
            <w:tcBorders>
              <w:top w:val="nil"/>
              <w:left w:val="nil"/>
              <w:bottom w:val="nil"/>
              <w:right w:val="single" w:sz="4" w:space="0" w:color="auto"/>
            </w:tcBorders>
            <w:shd w:val="clear" w:color="auto" w:fill="auto"/>
            <w:noWrap/>
            <w:vAlign w:val="bottom"/>
            <w:hideMark/>
          </w:tcPr>
          <w:p w14:paraId="4659C60B"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8,734 </w:t>
            </w:r>
          </w:p>
        </w:tc>
      </w:tr>
      <w:tr w:rsidR="0004017F" w:rsidRPr="000C27AA" w14:paraId="024C7EFF" w14:textId="77777777" w:rsidTr="00D21755">
        <w:trPr>
          <w:trHeight w:val="88"/>
          <w:jc w:val="center"/>
        </w:trPr>
        <w:tc>
          <w:tcPr>
            <w:tcW w:w="6065" w:type="dxa"/>
            <w:tcBorders>
              <w:top w:val="nil"/>
              <w:left w:val="single" w:sz="4" w:space="0" w:color="auto"/>
              <w:bottom w:val="single" w:sz="4" w:space="0" w:color="auto"/>
              <w:right w:val="nil"/>
            </w:tcBorders>
            <w:shd w:val="clear" w:color="auto" w:fill="auto"/>
            <w:vAlign w:val="bottom"/>
            <w:hideMark/>
          </w:tcPr>
          <w:p w14:paraId="5542ED69" w14:textId="77777777" w:rsidR="0004017F" w:rsidRPr="000C27AA" w:rsidRDefault="0004017F" w:rsidP="00BE3625">
            <w:pPr>
              <w:rPr>
                <w:rFonts w:ascii="Arial" w:hAnsi="Arial" w:cs="Arial"/>
                <w:color w:val="000000"/>
                <w:sz w:val="18"/>
                <w:szCs w:val="18"/>
                <w:lang w:val="en-CA"/>
              </w:rPr>
            </w:pPr>
            <w:r w:rsidRPr="000C27AA">
              <w:rPr>
                <w:rFonts w:ascii="Arial" w:hAnsi="Arial" w:cs="Arial"/>
                <w:color w:val="000000"/>
                <w:sz w:val="18"/>
                <w:szCs w:val="18"/>
                <w:lang w:val="en-CA"/>
              </w:rPr>
              <w:t xml:space="preserve">Total liabilities and stocker holder’s equity </w:t>
            </w:r>
          </w:p>
        </w:tc>
        <w:tc>
          <w:tcPr>
            <w:tcW w:w="1628" w:type="dxa"/>
            <w:tcBorders>
              <w:top w:val="single" w:sz="4" w:space="0" w:color="auto"/>
              <w:left w:val="nil"/>
              <w:bottom w:val="single" w:sz="4" w:space="0" w:color="auto"/>
              <w:right w:val="nil"/>
            </w:tcBorders>
            <w:shd w:val="clear" w:color="auto" w:fill="auto"/>
            <w:noWrap/>
            <w:vAlign w:val="bottom"/>
            <w:hideMark/>
          </w:tcPr>
          <w:p w14:paraId="039AC35E"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44,772 </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6345A80A" w14:textId="77777777" w:rsidR="0004017F" w:rsidRPr="000C27AA" w:rsidRDefault="0004017F" w:rsidP="00BE3625">
            <w:pPr>
              <w:jc w:val="right"/>
              <w:rPr>
                <w:rFonts w:ascii="Arial" w:hAnsi="Arial" w:cs="Arial"/>
                <w:color w:val="000000"/>
                <w:sz w:val="18"/>
                <w:szCs w:val="18"/>
                <w:lang w:val="en-CA"/>
              </w:rPr>
            </w:pPr>
            <w:r w:rsidRPr="000C27AA">
              <w:rPr>
                <w:rFonts w:ascii="Arial" w:hAnsi="Arial" w:cs="Arial"/>
                <w:color w:val="000000"/>
                <w:sz w:val="18"/>
                <w:szCs w:val="18"/>
                <w:lang w:val="en-CA"/>
              </w:rPr>
              <w:t xml:space="preserve"> 42,346 </w:t>
            </w:r>
          </w:p>
        </w:tc>
      </w:tr>
    </w:tbl>
    <w:p w14:paraId="4BB0BDAD" w14:textId="77777777" w:rsidR="0004017F" w:rsidRPr="000C27AA" w:rsidRDefault="0004017F" w:rsidP="0004017F">
      <w:pPr>
        <w:pStyle w:val="Footnote"/>
        <w:rPr>
          <w:lang w:val="en-CA"/>
        </w:rPr>
      </w:pPr>
    </w:p>
    <w:p w14:paraId="3D5D2132" w14:textId="2F87314E" w:rsidR="00842D29" w:rsidRPr="000C27AA" w:rsidRDefault="0004017F" w:rsidP="0004017F">
      <w:pPr>
        <w:pStyle w:val="Footnote"/>
        <w:rPr>
          <w:lang w:val="en-CA"/>
        </w:rPr>
      </w:pPr>
      <w:r w:rsidRPr="000C27AA">
        <w:rPr>
          <w:lang w:val="en-CA"/>
        </w:rPr>
        <w:t xml:space="preserve">Source: </w:t>
      </w:r>
      <w:r w:rsidR="008D6DDB" w:rsidRPr="000C27AA">
        <w:rPr>
          <w:lang w:val="en-CA"/>
        </w:rPr>
        <w:t xml:space="preserve">United </w:t>
      </w:r>
      <w:r w:rsidR="00636829" w:rsidRPr="000C27AA">
        <w:rPr>
          <w:lang w:val="en-CA"/>
        </w:rPr>
        <w:t>Airlines Inc., “</w:t>
      </w:r>
      <w:r w:rsidR="008D6DDB" w:rsidRPr="000C27AA">
        <w:rPr>
          <w:lang w:val="en-CA"/>
        </w:rPr>
        <w:t>Form 10</w:t>
      </w:r>
      <w:r w:rsidR="00636829" w:rsidRPr="000C27AA">
        <w:rPr>
          <w:lang w:val="en-CA"/>
        </w:rPr>
        <w:t>-</w:t>
      </w:r>
      <w:r w:rsidR="008D6DDB" w:rsidRPr="000C27AA">
        <w:rPr>
          <w:lang w:val="en-CA"/>
        </w:rPr>
        <w:t xml:space="preserve">K: </w:t>
      </w:r>
      <w:r w:rsidR="00636829" w:rsidRPr="000C27AA">
        <w:rPr>
          <w:lang w:val="en-CA"/>
        </w:rPr>
        <w:t>F</w:t>
      </w:r>
      <w:r w:rsidR="008D6DDB" w:rsidRPr="000C27AA">
        <w:rPr>
          <w:lang w:val="en-CA"/>
        </w:rPr>
        <w:t>or the Year Ended December 31, 2017,</w:t>
      </w:r>
      <w:r w:rsidR="00636829" w:rsidRPr="000C27AA">
        <w:rPr>
          <w:lang w:val="en-CA"/>
        </w:rPr>
        <w:t>”</w:t>
      </w:r>
      <w:r w:rsidR="008D6DDB" w:rsidRPr="000C27AA">
        <w:rPr>
          <w:lang w:val="en-CA"/>
        </w:rPr>
        <w:t xml:space="preserve"> </w:t>
      </w:r>
      <w:r w:rsidR="00636829" w:rsidRPr="000C27AA">
        <w:rPr>
          <w:lang w:val="en-CA"/>
        </w:rPr>
        <w:t xml:space="preserve">United States Securities and Exchange Commission, </w:t>
      </w:r>
      <w:r w:rsidR="008D6DDB" w:rsidRPr="000C27AA">
        <w:rPr>
          <w:lang w:val="en-CA"/>
        </w:rPr>
        <w:t xml:space="preserve">accessed December 14, 2020, https://ir.united.com/node/6146/html; United </w:t>
      </w:r>
      <w:r w:rsidR="00636829" w:rsidRPr="000C27AA">
        <w:rPr>
          <w:lang w:val="en-CA"/>
        </w:rPr>
        <w:t>Airlines Inc., “</w:t>
      </w:r>
      <w:r w:rsidR="008D6DDB" w:rsidRPr="000C27AA">
        <w:rPr>
          <w:lang w:val="en-CA"/>
        </w:rPr>
        <w:t xml:space="preserve">Form 10K: </w:t>
      </w:r>
      <w:r w:rsidR="00636829" w:rsidRPr="000C27AA">
        <w:rPr>
          <w:lang w:val="en-CA"/>
        </w:rPr>
        <w:t>For</w:t>
      </w:r>
      <w:r w:rsidR="008D6DDB" w:rsidRPr="000C27AA">
        <w:rPr>
          <w:lang w:val="en-CA"/>
        </w:rPr>
        <w:t xml:space="preserve"> the Year Ended December 31, 2018,</w:t>
      </w:r>
      <w:r w:rsidR="00636829" w:rsidRPr="000C27AA">
        <w:rPr>
          <w:lang w:val="en-CA"/>
        </w:rPr>
        <w:t xml:space="preserve">” United States Securities and Exchange Commission, </w:t>
      </w:r>
      <w:r w:rsidR="008D6DDB" w:rsidRPr="000C27AA">
        <w:rPr>
          <w:lang w:val="en-CA"/>
        </w:rPr>
        <w:t>accessed December 14, 2020, www.sec.gov/Archives/edgar/data/100517/000010051719000009/ual_201810k.htm.</w:t>
      </w:r>
    </w:p>
    <w:p w14:paraId="167B2141" w14:textId="77777777" w:rsidR="00842D29" w:rsidRPr="000C27AA" w:rsidRDefault="00842D29">
      <w:pPr>
        <w:spacing w:after="200" w:line="276" w:lineRule="auto"/>
        <w:rPr>
          <w:rFonts w:ascii="Arial" w:hAnsi="Arial" w:cs="Arial"/>
          <w:sz w:val="17"/>
          <w:szCs w:val="17"/>
          <w:lang w:val="en-CA"/>
        </w:rPr>
      </w:pPr>
      <w:r w:rsidRPr="000C27AA">
        <w:rPr>
          <w:lang w:val="en-CA"/>
        </w:rPr>
        <w:br w:type="page"/>
      </w:r>
    </w:p>
    <w:p w14:paraId="07467692" w14:textId="1457C476" w:rsidR="004A433A" w:rsidRPr="000C27AA" w:rsidRDefault="004A433A" w:rsidP="0004017F">
      <w:pPr>
        <w:pStyle w:val="ExhibitHeading"/>
        <w:rPr>
          <w:lang w:val="en-CA"/>
        </w:rPr>
      </w:pPr>
      <w:r w:rsidRPr="000C27AA">
        <w:rPr>
          <w:lang w:val="en-CA"/>
        </w:rPr>
        <w:lastRenderedPageBreak/>
        <w:t>Exhibit 6: Loyalty Program as an Independent Business: The Case of AIMIA</w:t>
      </w:r>
    </w:p>
    <w:p w14:paraId="353F6986" w14:textId="77777777" w:rsidR="004A433A" w:rsidRPr="000C27AA" w:rsidRDefault="004A433A" w:rsidP="004A433A">
      <w:pPr>
        <w:pStyle w:val="ExhibitText"/>
        <w:rPr>
          <w:lang w:val="en-CA"/>
        </w:rPr>
      </w:pPr>
    </w:p>
    <w:p w14:paraId="5CC01325" w14:textId="031AFB65" w:rsidR="004A433A" w:rsidRPr="000C27AA" w:rsidRDefault="004A433A" w:rsidP="004A433A">
      <w:pPr>
        <w:pStyle w:val="ExhibitText"/>
        <w:rPr>
          <w:lang w:val="en-CA"/>
        </w:rPr>
      </w:pPr>
      <w:r w:rsidRPr="000C27AA">
        <w:rPr>
          <w:lang w:val="en-CA"/>
        </w:rPr>
        <w:t xml:space="preserve">Aimia was the first ever airline loyalty program to function as its own independent, publicly traded, company. </w:t>
      </w:r>
      <w:r w:rsidR="00E41293" w:rsidRPr="000C27AA">
        <w:rPr>
          <w:lang w:val="en-CA"/>
        </w:rPr>
        <w:t>B</w:t>
      </w:r>
      <w:r w:rsidRPr="000C27AA">
        <w:rPr>
          <w:lang w:val="en-CA"/>
        </w:rPr>
        <w:t xml:space="preserve">efore changing its name to Aimia in 2008, the company was </w:t>
      </w:r>
      <w:r w:rsidR="00E41293" w:rsidRPr="000C27AA">
        <w:rPr>
          <w:lang w:val="en-CA"/>
        </w:rPr>
        <w:t xml:space="preserve">known as Groupe Aeroplan, which was </w:t>
      </w:r>
      <w:r w:rsidRPr="000C27AA">
        <w:rPr>
          <w:lang w:val="en-CA"/>
        </w:rPr>
        <w:t xml:space="preserve">a spinoff from Air Canada </w:t>
      </w:r>
      <w:r w:rsidR="00E41293" w:rsidRPr="000C27AA">
        <w:rPr>
          <w:lang w:val="en-CA"/>
        </w:rPr>
        <w:t xml:space="preserve">created </w:t>
      </w:r>
      <w:r w:rsidRPr="000C27AA">
        <w:rPr>
          <w:lang w:val="en-CA"/>
        </w:rPr>
        <w:t xml:space="preserve">on May 5, 2005. The initial public offering raised </w:t>
      </w:r>
      <w:r w:rsidR="00E41293" w:rsidRPr="000C27AA">
        <w:rPr>
          <w:lang w:val="en-CA"/>
        </w:rPr>
        <w:t>app</w:t>
      </w:r>
      <w:r w:rsidRPr="000C27AA">
        <w:rPr>
          <w:lang w:val="en-CA"/>
        </w:rPr>
        <w:t>ro</w:t>
      </w:r>
      <w:r w:rsidR="00E41293" w:rsidRPr="000C27AA">
        <w:rPr>
          <w:lang w:val="en-CA"/>
        </w:rPr>
        <w:t>ximate</w:t>
      </w:r>
      <w:r w:rsidRPr="000C27AA">
        <w:rPr>
          <w:lang w:val="en-CA"/>
        </w:rPr>
        <w:t xml:space="preserve">ly </w:t>
      </w:r>
      <w:r w:rsidR="00E41293" w:rsidRPr="000C27AA">
        <w:rPr>
          <w:lang w:val="en-CA"/>
        </w:rPr>
        <w:t>CA</w:t>
      </w:r>
      <w:r w:rsidR="009F0638" w:rsidRPr="000C27AA">
        <w:rPr>
          <w:lang w:val="en-CA"/>
        </w:rPr>
        <w:t>D</w:t>
      </w:r>
      <w:r w:rsidRPr="000C27AA">
        <w:rPr>
          <w:lang w:val="en-CA"/>
        </w:rPr>
        <w:t>$250 million for Air Canada and relieved the airline of all mileage liabilities</w:t>
      </w:r>
      <w:r w:rsidR="00E41293" w:rsidRPr="000C27AA">
        <w:rPr>
          <w:lang w:val="en-CA"/>
        </w:rPr>
        <w:t>. However</w:t>
      </w:r>
      <w:r w:rsidRPr="000C27AA">
        <w:rPr>
          <w:lang w:val="en-CA"/>
        </w:rPr>
        <w:t xml:space="preserve">, </w:t>
      </w:r>
      <w:r w:rsidR="00E41293" w:rsidRPr="000C27AA">
        <w:rPr>
          <w:lang w:val="en-CA"/>
        </w:rPr>
        <w:t>i</w:t>
      </w:r>
      <w:r w:rsidRPr="000C27AA">
        <w:rPr>
          <w:lang w:val="en-CA"/>
        </w:rPr>
        <w:t>t also separated the company from its most loyal customers.</w:t>
      </w:r>
    </w:p>
    <w:p w14:paraId="4FAB47A2" w14:textId="77777777" w:rsidR="004A433A" w:rsidRPr="000C27AA" w:rsidRDefault="004A433A" w:rsidP="004A433A">
      <w:pPr>
        <w:pStyle w:val="ExhibitText"/>
        <w:rPr>
          <w:lang w:val="en-CA"/>
        </w:rPr>
      </w:pPr>
    </w:p>
    <w:p w14:paraId="78E7FFD8" w14:textId="3DBEAC54" w:rsidR="004A433A" w:rsidRPr="000C27AA" w:rsidRDefault="004A433A" w:rsidP="004A433A">
      <w:pPr>
        <w:pStyle w:val="ExhibitText"/>
        <w:rPr>
          <w:lang w:val="en-CA"/>
        </w:rPr>
      </w:pPr>
      <w:r w:rsidRPr="000C27AA">
        <w:rPr>
          <w:lang w:val="en-CA"/>
        </w:rPr>
        <w:t>This was the first major instance of an airline separating itself from its loyalty program</w:t>
      </w:r>
      <w:r w:rsidR="0031673C" w:rsidRPr="000C27AA">
        <w:rPr>
          <w:lang w:val="en-CA"/>
        </w:rPr>
        <w:t>,</w:t>
      </w:r>
      <w:r w:rsidRPr="000C27AA">
        <w:rPr>
          <w:lang w:val="en-CA"/>
        </w:rPr>
        <w:t xml:space="preserve"> and few companies </w:t>
      </w:r>
      <w:r w:rsidR="0031673C" w:rsidRPr="000C27AA">
        <w:rPr>
          <w:lang w:val="en-CA"/>
        </w:rPr>
        <w:t xml:space="preserve">have ever chosen to </w:t>
      </w:r>
      <w:r w:rsidRPr="000C27AA">
        <w:rPr>
          <w:lang w:val="en-CA"/>
        </w:rPr>
        <w:t>follow</w:t>
      </w:r>
      <w:r w:rsidR="0031673C" w:rsidRPr="000C27AA">
        <w:rPr>
          <w:lang w:val="en-CA"/>
        </w:rPr>
        <w:t xml:space="preserve"> this model</w:t>
      </w:r>
      <w:r w:rsidRPr="000C27AA">
        <w:rPr>
          <w:lang w:val="en-CA"/>
        </w:rPr>
        <w:t>. From its inception, Aimia branded itself as a “loyalty and travel consolidator</w:t>
      </w:r>
      <w:r w:rsidR="0031673C" w:rsidRPr="000C27AA">
        <w:rPr>
          <w:lang w:val="en-CA"/>
        </w:rPr>
        <w:t>.</w:t>
      </w:r>
      <w:r w:rsidRPr="000C27AA">
        <w:rPr>
          <w:lang w:val="en-CA"/>
        </w:rPr>
        <w:t xml:space="preserve">” Although Air Canada’s loyalty program constituted a large portion of the company’s business, it did partner with and provide loyalty services to </w:t>
      </w:r>
      <w:r w:rsidR="0031673C" w:rsidRPr="000C27AA">
        <w:rPr>
          <w:lang w:val="en-CA"/>
        </w:rPr>
        <w:t>various</w:t>
      </w:r>
      <w:r w:rsidRPr="000C27AA">
        <w:rPr>
          <w:lang w:val="en-CA"/>
        </w:rPr>
        <w:t xml:space="preserve"> other airlines. These airlines included </w:t>
      </w:r>
      <w:r w:rsidR="00571804" w:rsidRPr="000C27AA">
        <w:rPr>
          <w:lang w:val="en-CA"/>
        </w:rPr>
        <w:t>Aerovías de México, S.A. de C.V. (Aeroméxico)</w:t>
      </w:r>
      <w:r w:rsidRPr="000C27AA">
        <w:rPr>
          <w:lang w:val="en-CA"/>
        </w:rPr>
        <w:t xml:space="preserve"> and AirAsia</w:t>
      </w:r>
      <w:r w:rsidR="00571804" w:rsidRPr="000C27AA">
        <w:rPr>
          <w:lang w:val="en-CA"/>
        </w:rPr>
        <w:t xml:space="preserve"> Berhad</w:t>
      </w:r>
      <w:r w:rsidRPr="000C27AA">
        <w:rPr>
          <w:lang w:val="en-CA"/>
        </w:rPr>
        <w:t xml:space="preserve">. The services Aimia provided included loyalty program strategy, design, and operations consulting. These services were an attempt by the company to expand outside of simply being a holding company </w:t>
      </w:r>
      <w:r w:rsidR="00571804" w:rsidRPr="000C27AA">
        <w:rPr>
          <w:lang w:val="en-CA"/>
        </w:rPr>
        <w:t xml:space="preserve">for </w:t>
      </w:r>
      <w:r w:rsidRPr="000C27AA">
        <w:rPr>
          <w:lang w:val="en-CA"/>
        </w:rPr>
        <w:t>Air Canada’s loyalty program, Aeroplan.</w:t>
      </w:r>
    </w:p>
    <w:p w14:paraId="774EF42E" w14:textId="77777777" w:rsidR="004A433A" w:rsidRPr="000C27AA" w:rsidRDefault="004A433A" w:rsidP="004A433A">
      <w:pPr>
        <w:pStyle w:val="ExhibitText"/>
        <w:rPr>
          <w:lang w:val="en-CA"/>
        </w:rPr>
      </w:pPr>
    </w:p>
    <w:p w14:paraId="2AFA8C83" w14:textId="59EDDF26" w:rsidR="004A433A" w:rsidRPr="000C27AA" w:rsidRDefault="004A433A" w:rsidP="004A433A">
      <w:pPr>
        <w:pStyle w:val="ExhibitText"/>
        <w:rPr>
          <w:lang w:val="en-CA"/>
        </w:rPr>
      </w:pPr>
      <w:r w:rsidRPr="000C27AA">
        <w:rPr>
          <w:lang w:val="en-CA"/>
        </w:rPr>
        <w:t>Th</w:t>
      </w:r>
      <w:r w:rsidR="00571804" w:rsidRPr="000C27AA">
        <w:rPr>
          <w:lang w:val="en-CA"/>
        </w:rPr>
        <w:t>e</w:t>
      </w:r>
      <w:r w:rsidRPr="000C27AA">
        <w:rPr>
          <w:lang w:val="en-CA"/>
        </w:rPr>
        <w:t xml:space="preserve"> strategy generally </w:t>
      </w:r>
      <w:r w:rsidR="00571804" w:rsidRPr="000C27AA">
        <w:rPr>
          <w:lang w:val="en-CA"/>
        </w:rPr>
        <w:t>resulted in</w:t>
      </w:r>
      <w:r w:rsidRPr="000C27AA">
        <w:rPr>
          <w:lang w:val="en-CA"/>
        </w:rPr>
        <w:t xml:space="preserve"> poor financial re</w:t>
      </w:r>
      <w:r w:rsidR="00571804" w:rsidRPr="000C27AA">
        <w:rPr>
          <w:lang w:val="en-CA"/>
        </w:rPr>
        <w:t>turn</w:t>
      </w:r>
      <w:r w:rsidRPr="000C27AA">
        <w:rPr>
          <w:lang w:val="en-CA"/>
        </w:rPr>
        <w:t xml:space="preserve">s. Aimia’s median annual </w:t>
      </w:r>
      <w:r w:rsidR="00571804" w:rsidRPr="000C27AA">
        <w:rPr>
          <w:lang w:val="en-CA"/>
        </w:rPr>
        <w:t>return on equity</w:t>
      </w:r>
      <w:r w:rsidRPr="000C27AA">
        <w:rPr>
          <w:lang w:val="en-CA"/>
        </w:rPr>
        <w:t xml:space="preserve"> from 2005-2018 was </w:t>
      </w:r>
      <w:r w:rsidR="00571804" w:rsidRPr="000C27AA">
        <w:rPr>
          <w:lang w:val="en-CA"/>
        </w:rPr>
        <w:t>–</w:t>
      </w:r>
      <w:r w:rsidRPr="000C27AA">
        <w:rPr>
          <w:lang w:val="en-CA"/>
        </w:rPr>
        <w:t>3.8</w:t>
      </w:r>
      <w:r w:rsidR="00571804" w:rsidRPr="000C27AA">
        <w:rPr>
          <w:lang w:val="en-CA"/>
        </w:rPr>
        <w:t xml:space="preserve"> per cent</w:t>
      </w:r>
      <w:r w:rsidRPr="000C27AA">
        <w:rPr>
          <w:lang w:val="en-CA"/>
        </w:rPr>
        <w:t>. After 13 years of separation from its loyalty program, Air Canada decided to repurchase Aeroplan from Aimia in 2018.</w:t>
      </w:r>
    </w:p>
    <w:p w14:paraId="68ED448B" w14:textId="77777777" w:rsidR="004A433A" w:rsidRPr="000C27AA" w:rsidRDefault="004A433A" w:rsidP="004A433A">
      <w:pPr>
        <w:pStyle w:val="ExhibitText"/>
        <w:rPr>
          <w:lang w:val="en-CA"/>
        </w:rPr>
      </w:pPr>
    </w:p>
    <w:p w14:paraId="716B8938" w14:textId="65A6A9E9" w:rsidR="004A433A" w:rsidRPr="000C27AA" w:rsidRDefault="004A433A" w:rsidP="004A433A">
      <w:pPr>
        <w:pStyle w:val="ExhibitText"/>
        <w:rPr>
          <w:lang w:val="en-CA"/>
        </w:rPr>
      </w:pPr>
      <w:r w:rsidRPr="000C27AA">
        <w:rPr>
          <w:lang w:val="en-CA"/>
        </w:rPr>
        <w:t xml:space="preserve">The terms of the deal were complicated and involved several different parties. First, Air Canada agreed to pay Aimia </w:t>
      </w:r>
      <w:r w:rsidR="00571804" w:rsidRPr="000C27AA">
        <w:rPr>
          <w:lang w:val="en-CA"/>
        </w:rPr>
        <w:t>CA</w:t>
      </w:r>
      <w:r w:rsidRPr="000C27AA">
        <w:rPr>
          <w:lang w:val="en-CA"/>
        </w:rPr>
        <w:t>$450 million in cash</w:t>
      </w:r>
      <w:r w:rsidR="00571804" w:rsidRPr="000C27AA">
        <w:rPr>
          <w:lang w:val="en-CA"/>
        </w:rPr>
        <w:t>, which</w:t>
      </w:r>
      <w:r w:rsidRPr="000C27AA">
        <w:rPr>
          <w:lang w:val="en-CA"/>
        </w:rPr>
        <w:t xml:space="preserve"> was used by Aimia mainly to repay outstanding debts. In return, by taking back its loyalty program, Air Canada assumed roughly </w:t>
      </w:r>
      <w:r w:rsidR="00571804" w:rsidRPr="000C27AA">
        <w:rPr>
          <w:lang w:val="en-CA"/>
        </w:rPr>
        <w:t>CA</w:t>
      </w:r>
      <w:r w:rsidR="009F0638" w:rsidRPr="000C27AA">
        <w:rPr>
          <w:lang w:val="en-CA"/>
        </w:rPr>
        <w:t>D</w:t>
      </w:r>
      <w:r w:rsidRPr="000C27AA">
        <w:rPr>
          <w:lang w:val="en-CA"/>
        </w:rPr>
        <w:t xml:space="preserve">$1.9 billion </w:t>
      </w:r>
      <w:r w:rsidR="00571804" w:rsidRPr="000C27AA">
        <w:rPr>
          <w:lang w:val="en-CA"/>
        </w:rPr>
        <w:t>in</w:t>
      </w:r>
      <w:r w:rsidRPr="000C27AA">
        <w:rPr>
          <w:lang w:val="en-CA"/>
        </w:rPr>
        <w:t xml:space="preserve"> miles liability. </w:t>
      </w:r>
      <w:r w:rsidR="00571804" w:rsidRPr="000C27AA">
        <w:rPr>
          <w:lang w:val="en-CA"/>
        </w:rPr>
        <w:t>Second</w:t>
      </w:r>
      <w:r w:rsidRPr="000C27AA">
        <w:rPr>
          <w:lang w:val="en-CA"/>
        </w:rPr>
        <w:t xml:space="preserve">, Air Canada received two payments, amounting to </w:t>
      </w:r>
      <w:r w:rsidR="00571804" w:rsidRPr="000C27AA">
        <w:rPr>
          <w:lang w:val="en-CA"/>
        </w:rPr>
        <w:t>CA</w:t>
      </w:r>
      <w:r w:rsidR="009F0638" w:rsidRPr="000C27AA">
        <w:rPr>
          <w:lang w:val="en-CA"/>
        </w:rPr>
        <w:t>D</w:t>
      </w:r>
      <w:r w:rsidRPr="000C27AA">
        <w:rPr>
          <w:lang w:val="en-CA"/>
        </w:rPr>
        <w:t>$1.2 billion from T</w:t>
      </w:r>
      <w:r w:rsidR="00571804" w:rsidRPr="000C27AA">
        <w:rPr>
          <w:lang w:val="en-CA"/>
        </w:rPr>
        <w:t xml:space="preserve">oronto </w:t>
      </w:r>
      <w:r w:rsidRPr="000C27AA">
        <w:rPr>
          <w:lang w:val="en-CA"/>
        </w:rPr>
        <w:t>D</w:t>
      </w:r>
      <w:r w:rsidR="00571804" w:rsidRPr="000C27AA">
        <w:rPr>
          <w:lang w:val="en-CA"/>
        </w:rPr>
        <w:t>ominion Bank</w:t>
      </w:r>
      <w:r w:rsidRPr="000C27AA">
        <w:rPr>
          <w:lang w:val="en-CA"/>
        </w:rPr>
        <w:t xml:space="preserve"> and </w:t>
      </w:r>
      <w:r w:rsidR="00571804" w:rsidRPr="000C27AA">
        <w:rPr>
          <w:lang w:val="en-CA"/>
        </w:rPr>
        <w:t>Canadian Imperial Bank of Commerce</w:t>
      </w:r>
      <w:r w:rsidRPr="000C27AA">
        <w:rPr>
          <w:lang w:val="en-CA"/>
        </w:rPr>
        <w:t>. This money came in two forms</w:t>
      </w:r>
      <w:r w:rsidR="00571804" w:rsidRPr="000C27AA">
        <w:rPr>
          <w:lang w:val="en-CA"/>
        </w:rPr>
        <w:t>:</w:t>
      </w:r>
      <w:r w:rsidRPr="000C27AA">
        <w:rPr>
          <w:lang w:val="en-CA"/>
        </w:rPr>
        <w:t xml:space="preserve"> </w:t>
      </w:r>
      <w:r w:rsidR="00571804" w:rsidRPr="000C27AA">
        <w:rPr>
          <w:lang w:val="en-CA"/>
        </w:rPr>
        <w:t>CA</w:t>
      </w:r>
      <w:r w:rsidR="009F0638" w:rsidRPr="000C27AA">
        <w:rPr>
          <w:lang w:val="en-CA"/>
        </w:rPr>
        <w:t>D</w:t>
      </w:r>
      <w:r w:rsidRPr="000C27AA">
        <w:rPr>
          <w:lang w:val="en-CA"/>
        </w:rPr>
        <w:t xml:space="preserve">$822 million was paid directly as cash and </w:t>
      </w:r>
      <w:r w:rsidR="00571804" w:rsidRPr="000C27AA">
        <w:rPr>
          <w:lang w:val="en-CA"/>
        </w:rPr>
        <w:t>CA</w:t>
      </w:r>
      <w:r w:rsidR="009F0638" w:rsidRPr="000C27AA">
        <w:rPr>
          <w:lang w:val="en-CA"/>
        </w:rPr>
        <w:t>D</w:t>
      </w:r>
      <w:r w:rsidRPr="000C27AA">
        <w:rPr>
          <w:lang w:val="en-CA"/>
        </w:rPr>
        <w:t xml:space="preserve">$400 million was structured as pre-payments for future monthly miles payments. Third, Air Canada received an undisclosed payment from Visa </w:t>
      </w:r>
      <w:r w:rsidR="00826927" w:rsidRPr="000C27AA">
        <w:rPr>
          <w:lang w:val="en-CA"/>
        </w:rPr>
        <w:t xml:space="preserve">Inc. </w:t>
      </w:r>
      <w:r w:rsidRPr="000C27AA">
        <w:rPr>
          <w:lang w:val="en-CA"/>
        </w:rPr>
        <w:t xml:space="preserve">along with a partnership commitment until 2030. In December 2018, Air Canada’s acquisition passed regulatory barriers and the airline was reunited with its loyalty program. </w:t>
      </w:r>
    </w:p>
    <w:p w14:paraId="457C2BCB" w14:textId="77777777" w:rsidR="004A433A" w:rsidRPr="000C27AA" w:rsidRDefault="004A433A" w:rsidP="004A433A">
      <w:pPr>
        <w:pStyle w:val="ExhibitText"/>
        <w:rPr>
          <w:lang w:val="en-CA"/>
        </w:rPr>
      </w:pPr>
    </w:p>
    <w:p w14:paraId="47A8EDBA" w14:textId="2C744304" w:rsidR="004A433A" w:rsidRPr="000C27AA" w:rsidRDefault="004A433A" w:rsidP="004A433A">
      <w:pPr>
        <w:pStyle w:val="ExhibitText"/>
        <w:rPr>
          <w:lang w:val="en-CA"/>
        </w:rPr>
      </w:pPr>
      <w:r w:rsidRPr="000C27AA">
        <w:rPr>
          <w:lang w:val="en-CA"/>
        </w:rPr>
        <w:t>In April 2020, following the sale of its Aeroplan business, Aimia underwent a corporate transformation, rebranding itself as an investment holding company. In July 2020, several years after Air Canada’s acquisition of Aeroplan, Aimia remained a publicly listed company on the Toronto Stock Exchange. The company had a market cap</w:t>
      </w:r>
      <w:r w:rsidR="00826927" w:rsidRPr="000C27AA">
        <w:rPr>
          <w:lang w:val="en-CA"/>
        </w:rPr>
        <w:t>italization</w:t>
      </w:r>
      <w:r w:rsidRPr="000C27AA">
        <w:rPr>
          <w:lang w:val="en-CA"/>
        </w:rPr>
        <w:t xml:space="preserve"> of </w:t>
      </w:r>
      <w:r w:rsidR="00826927" w:rsidRPr="000C27AA">
        <w:rPr>
          <w:lang w:val="en-CA"/>
        </w:rPr>
        <w:t>app</w:t>
      </w:r>
      <w:r w:rsidRPr="000C27AA">
        <w:rPr>
          <w:lang w:val="en-CA"/>
        </w:rPr>
        <w:t>ro</w:t>
      </w:r>
      <w:r w:rsidR="00826927" w:rsidRPr="000C27AA">
        <w:rPr>
          <w:lang w:val="en-CA"/>
        </w:rPr>
        <w:t>ximate</w:t>
      </w:r>
      <w:r w:rsidRPr="000C27AA">
        <w:rPr>
          <w:lang w:val="en-CA"/>
        </w:rPr>
        <w:t xml:space="preserve">ly </w:t>
      </w:r>
      <w:r w:rsidR="009F0638" w:rsidRPr="000C27AA">
        <w:rPr>
          <w:lang w:val="en-CA"/>
        </w:rPr>
        <w:t>CAD</w:t>
      </w:r>
      <w:r w:rsidRPr="000C27AA">
        <w:rPr>
          <w:lang w:val="en-CA"/>
        </w:rPr>
        <w:t xml:space="preserve">$300 million and 95 million shares outstanding. The company’s main assets </w:t>
      </w:r>
      <w:r w:rsidR="00826927" w:rsidRPr="000C27AA">
        <w:rPr>
          <w:lang w:val="en-CA"/>
        </w:rPr>
        <w:t>comprised</w:t>
      </w:r>
      <w:r w:rsidRPr="000C27AA">
        <w:rPr>
          <w:lang w:val="en-CA"/>
        </w:rPr>
        <w:t xml:space="preserve"> a 49</w:t>
      </w:r>
      <w:r w:rsidR="00826927" w:rsidRPr="000C27AA">
        <w:rPr>
          <w:lang w:val="en-CA"/>
        </w:rPr>
        <w:t xml:space="preserve"> per cent</w:t>
      </w:r>
      <w:r w:rsidRPr="000C27AA">
        <w:rPr>
          <w:lang w:val="en-CA"/>
        </w:rPr>
        <w:t xml:space="preserve"> stake in </w:t>
      </w:r>
      <w:r w:rsidR="00826927" w:rsidRPr="000C27AA">
        <w:rPr>
          <w:lang w:val="en-CA"/>
        </w:rPr>
        <w:t>the</w:t>
      </w:r>
      <w:r w:rsidRPr="000C27AA">
        <w:rPr>
          <w:lang w:val="en-CA"/>
        </w:rPr>
        <w:t xml:space="preserve"> loyalty program consulting service</w:t>
      </w:r>
      <w:r w:rsidR="00826927" w:rsidRPr="000C27AA">
        <w:rPr>
          <w:lang w:val="en-CA"/>
        </w:rPr>
        <w:t xml:space="preserve"> Kognitiv</w:t>
      </w:r>
      <w:r w:rsidRPr="000C27AA">
        <w:rPr>
          <w:lang w:val="en-CA"/>
        </w:rPr>
        <w:t xml:space="preserve">, </w:t>
      </w:r>
      <w:r w:rsidR="00826927" w:rsidRPr="000C27AA">
        <w:rPr>
          <w:lang w:val="en-CA"/>
        </w:rPr>
        <w:t xml:space="preserve">a </w:t>
      </w:r>
      <w:r w:rsidRPr="000C27AA">
        <w:rPr>
          <w:lang w:val="en-CA"/>
        </w:rPr>
        <w:t>49</w:t>
      </w:r>
      <w:r w:rsidR="00826927" w:rsidRPr="000C27AA">
        <w:rPr>
          <w:lang w:val="en-CA"/>
        </w:rPr>
        <w:t xml:space="preserve"> per cent stake in</w:t>
      </w:r>
      <w:r w:rsidRPr="000C27AA">
        <w:rPr>
          <w:lang w:val="en-CA"/>
        </w:rPr>
        <w:t xml:space="preserve"> Aerom</w:t>
      </w:r>
      <w:r w:rsidR="00826927" w:rsidRPr="000C27AA">
        <w:rPr>
          <w:lang w:val="en-CA"/>
        </w:rPr>
        <w:t>é</w:t>
      </w:r>
      <w:r w:rsidRPr="000C27AA">
        <w:rPr>
          <w:lang w:val="en-CA"/>
        </w:rPr>
        <w:t xml:space="preserve">xico’s loyalty program, and </w:t>
      </w:r>
      <w:r w:rsidR="00826927" w:rsidRPr="000C27AA">
        <w:rPr>
          <w:lang w:val="en-CA"/>
        </w:rPr>
        <w:t xml:space="preserve">a </w:t>
      </w:r>
      <w:r w:rsidRPr="000C27AA">
        <w:rPr>
          <w:lang w:val="en-CA"/>
        </w:rPr>
        <w:t>20</w:t>
      </w:r>
      <w:r w:rsidR="00826927" w:rsidRPr="000C27AA">
        <w:rPr>
          <w:lang w:val="en-CA"/>
        </w:rPr>
        <w:t xml:space="preserve"> per cent stake</w:t>
      </w:r>
      <w:r w:rsidRPr="000C27AA">
        <w:rPr>
          <w:lang w:val="en-CA"/>
        </w:rPr>
        <w:t xml:space="preserve"> in AirAsia</w:t>
      </w:r>
      <w:r w:rsidR="00826927" w:rsidRPr="000C27AA">
        <w:rPr>
          <w:lang w:val="en-CA"/>
        </w:rPr>
        <w:t xml:space="preserve"> Berhad</w:t>
      </w:r>
      <w:r w:rsidRPr="000C27AA">
        <w:rPr>
          <w:lang w:val="en-CA"/>
        </w:rPr>
        <w:t>’s loyalty program. In April 2020, Aimia was also considering the acquisition of Mittleman Brothers</w:t>
      </w:r>
      <w:r w:rsidR="00826927" w:rsidRPr="000C27AA">
        <w:rPr>
          <w:lang w:val="en-CA"/>
        </w:rPr>
        <w:t xml:space="preserve"> LLC</w:t>
      </w:r>
      <w:r w:rsidRPr="000C27AA">
        <w:rPr>
          <w:lang w:val="en-CA"/>
        </w:rPr>
        <w:t xml:space="preserve">, a mutual fund with </w:t>
      </w:r>
      <w:r w:rsidR="00826927" w:rsidRPr="000C27AA">
        <w:rPr>
          <w:lang w:val="en-CA"/>
        </w:rPr>
        <w:t>US</w:t>
      </w:r>
      <w:r w:rsidRPr="000C27AA">
        <w:rPr>
          <w:lang w:val="en-CA"/>
        </w:rPr>
        <w:t xml:space="preserve">$317 million in assets under management. Well into 2020, the corporate strategy of Aimia and the future of its 450 employees remained uncertain. </w:t>
      </w:r>
    </w:p>
    <w:p w14:paraId="36B4D063" w14:textId="77777777" w:rsidR="004A433A" w:rsidRPr="000C27AA" w:rsidRDefault="004A433A" w:rsidP="004A433A">
      <w:pPr>
        <w:rPr>
          <w:sz w:val="22"/>
          <w:szCs w:val="22"/>
          <w:lang w:val="en-CA"/>
        </w:rPr>
      </w:pPr>
    </w:p>
    <w:p w14:paraId="6E66F55D" w14:textId="5CF509C7" w:rsidR="004A433A" w:rsidRPr="000C27AA" w:rsidRDefault="004A433A" w:rsidP="004A433A">
      <w:pPr>
        <w:pStyle w:val="Footnote"/>
        <w:rPr>
          <w:lang w:val="en-CA"/>
        </w:rPr>
      </w:pPr>
      <w:r w:rsidRPr="000C27AA">
        <w:rPr>
          <w:lang w:val="en-CA"/>
        </w:rPr>
        <w:t>Source: Rajeshni Naidu-Ghelani</w:t>
      </w:r>
      <w:r w:rsidR="00826927" w:rsidRPr="000C27AA">
        <w:rPr>
          <w:lang w:val="en-CA"/>
        </w:rPr>
        <w:t>,</w:t>
      </w:r>
      <w:r w:rsidRPr="000C27AA">
        <w:rPr>
          <w:lang w:val="en-CA"/>
        </w:rPr>
        <w:t xml:space="preserve"> “How Aimia and Air Canada </w:t>
      </w:r>
      <w:r w:rsidR="00826927" w:rsidRPr="000C27AA">
        <w:rPr>
          <w:lang w:val="en-CA"/>
        </w:rPr>
        <w:t>G</w:t>
      </w:r>
      <w:r w:rsidRPr="000C27AA">
        <w:rPr>
          <w:lang w:val="en-CA"/>
        </w:rPr>
        <w:t xml:space="preserve">ot </w:t>
      </w:r>
      <w:r w:rsidR="00826927" w:rsidRPr="000C27AA">
        <w:rPr>
          <w:lang w:val="en-CA"/>
        </w:rPr>
        <w:t>H</w:t>
      </w:r>
      <w:r w:rsidRPr="000C27AA">
        <w:rPr>
          <w:lang w:val="en-CA"/>
        </w:rPr>
        <w:t xml:space="preserve">ere: A </w:t>
      </w:r>
      <w:r w:rsidR="00826927" w:rsidRPr="000C27AA">
        <w:rPr>
          <w:lang w:val="en-CA"/>
        </w:rPr>
        <w:t>T</w:t>
      </w:r>
      <w:r w:rsidRPr="000C27AA">
        <w:rPr>
          <w:lang w:val="en-CA"/>
        </w:rPr>
        <w:t>imeline</w:t>
      </w:r>
      <w:r w:rsidR="00826927" w:rsidRPr="000C27AA">
        <w:rPr>
          <w:lang w:val="en-CA"/>
        </w:rPr>
        <w:t>,</w:t>
      </w:r>
      <w:r w:rsidRPr="000C27AA">
        <w:rPr>
          <w:lang w:val="en-CA"/>
        </w:rPr>
        <w:t>” BNN Bloomberg</w:t>
      </w:r>
      <w:r w:rsidR="00826927" w:rsidRPr="000C27AA">
        <w:rPr>
          <w:lang w:val="en-CA"/>
        </w:rPr>
        <w:t>, July 30, 2018, accessed December 14, 2020, www.bnnbloomberg.ca/aeroplan-timeline-1.1116041</w:t>
      </w:r>
      <w:r w:rsidRPr="000C27AA">
        <w:rPr>
          <w:lang w:val="en-CA"/>
        </w:rPr>
        <w:t>.</w:t>
      </w:r>
    </w:p>
    <w:p w14:paraId="7932FDC2" w14:textId="77777777" w:rsidR="004A433A" w:rsidRPr="000C27AA" w:rsidRDefault="004A433A">
      <w:pPr>
        <w:spacing w:after="200" w:line="276" w:lineRule="auto"/>
        <w:rPr>
          <w:b/>
          <w:caps/>
          <w:sz w:val="22"/>
          <w:szCs w:val="22"/>
          <w:lang w:val="en-CA"/>
        </w:rPr>
      </w:pPr>
      <w:r w:rsidRPr="000C27AA">
        <w:rPr>
          <w:sz w:val="22"/>
          <w:szCs w:val="22"/>
          <w:lang w:val="en-CA"/>
        </w:rPr>
        <w:br w:type="page"/>
      </w:r>
    </w:p>
    <w:p w14:paraId="5F4ED5CB" w14:textId="7D7F24AA" w:rsidR="00BD3CFA" w:rsidRPr="000C27AA" w:rsidRDefault="00BD3CFA" w:rsidP="004A433A">
      <w:pPr>
        <w:pStyle w:val="ExhibitHeading"/>
        <w:rPr>
          <w:lang w:val="en-CA"/>
        </w:rPr>
      </w:pPr>
      <w:r w:rsidRPr="000C27AA">
        <w:rPr>
          <w:lang w:val="en-CA"/>
        </w:rPr>
        <w:lastRenderedPageBreak/>
        <w:t xml:space="preserve">Exhibit 7: </w:t>
      </w:r>
      <w:r w:rsidR="00D00F8A" w:rsidRPr="000C27AA">
        <w:rPr>
          <w:lang w:val="en-CA"/>
        </w:rPr>
        <w:t xml:space="preserve">Actual (2015–2019) and Forecast (2020–2021) </w:t>
      </w:r>
      <w:r w:rsidRPr="000C27AA">
        <w:rPr>
          <w:lang w:val="en-CA"/>
        </w:rPr>
        <w:t>Revenues and Costs of Global Airlines</w:t>
      </w:r>
    </w:p>
    <w:p w14:paraId="6E6CB4E5" w14:textId="77777777" w:rsidR="00BD3CFA" w:rsidRPr="000C27AA" w:rsidRDefault="00BD3CFA" w:rsidP="00BD3CFA">
      <w:pPr>
        <w:pStyle w:val="ColorfulList-Accent11"/>
        <w:ind w:left="0"/>
        <w:contextualSpacing/>
        <w:rPr>
          <w:b/>
          <w:spacing w:val="-6"/>
          <w:sz w:val="22"/>
          <w:szCs w:val="22"/>
          <w:lang w:val="en-CA"/>
        </w:rPr>
      </w:pPr>
    </w:p>
    <w:tbl>
      <w:tblPr>
        <w:tblW w:w="9394" w:type="dxa"/>
        <w:jc w:val="center"/>
        <w:tblLook w:val="04A0" w:firstRow="1" w:lastRow="0" w:firstColumn="1" w:lastColumn="0" w:noHBand="0" w:noVBand="1"/>
        <w:tblCaption w:val="Exhibit 7"/>
        <w:tblDescription w:val="Actual (2015-2019) and forecast (2020-2021) revenues and costs of global airlines."/>
      </w:tblPr>
      <w:tblGrid>
        <w:gridCol w:w="4015"/>
        <w:gridCol w:w="935"/>
        <w:gridCol w:w="714"/>
        <w:gridCol w:w="714"/>
        <w:gridCol w:w="714"/>
        <w:gridCol w:w="714"/>
        <w:gridCol w:w="794"/>
        <w:gridCol w:w="794"/>
      </w:tblGrid>
      <w:tr w:rsidR="00BD3CFA" w:rsidRPr="000C27AA" w14:paraId="2713F7A5" w14:textId="77777777" w:rsidTr="00C66405">
        <w:trPr>
          <w:trHeight w:val="259"/>
          <w:tblHeader/>
          <w:jc w:val="center"/>
        </w:trPr>
        <w:tc>
          <w:tcPr>
            <w:tcW w:w="4015" w:type="dxa"/>
            <w:tcBorders>
              <w:top w:val="single" w:sz="4" w:space="0" w:color="auto"/>
              <w:left w:val="single" w:sz="4" w:space="0" w:color="auto"/>
              <w:bottom w:val="single" w:sz="4" w:space="0" w:color="auto"/>
              <w:right w:val="nil"/>
            </w:tcBorders>
            <w:shd w:val="clear" w:color="auto" w:fill="auto"/>
            <w:noWrap/>
            <w:vAlign w:val="bottom"/>
          </w:tcPr>
          <w:p w14:paraId="5B64A176" w14:textId="77777777" w:rsidR="00BD3CFA" w:rsidRPr="000C27AA" w:rsidRDefault="00BD3CFA" w:rsidP="00BE3625">
            <w:pPr>
              <w:rPr>
                <w:rFonts w:ascii="Arial" w:hAnsi="Arial" w:cs="Arial"/>
                <w:b/>
                <w:bCs/>
                <w:sz w:val="18"/>
                <w:szCs w:val="18"/>
                <w:lang w:val="en-CA"/>
              </w:rPr>
            </w:pPr>
          </w:p>
        </w:tc>
        <w:tc>
          <w:tcPr>
            <w:tcW w:w="935" w:type="dxa"/>
            <w:tcBorders>
              <w:top w:val="single" w:sz="4" w:space="0" w:color="auto"/>
              <w:left w:val="nil"/>
              <w:bottom w:val="single" w:sz="4" w:space="0" w:color="auto"/>
              <w:right w:val="nil"/>
            </w:tcBorders>
            <w:shd w:val="clear" w:color="auto" w:fill="auto"/>
            <w:noWrap/>
            <w:vAlign w:val="bottom"/>
            <w:hideMark/>
          </w:tcPr>
          <w:p w14:paraId="3E9317D7" w14:textId="77777777" w:rsidR="00BD3CFA" w:rsidRPr="000C27AA" w:rsidRDefault="00BD3CFA" w:rsidP="00BE3625">
            <w:pPr>
              <w:jc w:val="right"/>
              <w:rPr>
                <w:rFonts w:ascii="Arial" w:hAnsi="Arial" w:cs="Arial"/>
                <w:b/>
                <w:bCs/>
                <w:sz w:val="18"/>
                <w:szCs w:val="18"/>
                <w:lang w:val="en-CA"/>
              </w:rPr>
            </w:pPr>
            <w:r w:rsidRPr="000C27AA">
              <w:rPr>
                <w:rFonts w:ascii="Arial" w:hAnsi="Arial" w:cs="Arial"/>
                <w:b/>
                <w:bCs/>
                <w:sz w:val="18"/>
                <w:szCs w:val="18"/>
                <w:lang w:val="en-CA"/>
              </w:rPr>
              <w:t>2015</w:t>
            </w:r>
          </w:p>
        </w:tc>
        <w:tc>
          <w:tcPr>
            <w:tcW w:w="714" w:type="dxa"/>
            <w:tcBorders>
              <w:top w:val="single" w:sz="4" w:space="0" w:color="auto"/>
              <w:left w:val="nil"/>
              <w:bottom w:val="single" w:sz="4" w:space="0" w:color="auto"/>
              <w:right w:val="nil"/>
            </w:tcBorders>
            <w:shd w:val="clear" w:color="auto" w:fill="auto"/>
            <w:noWrap/>
            <w:vAlign w:val="bottom"/>
            <w:hideMark/>
          </w:tcPr>
          <w:p w14:paraId="2C066321" w14:textId="77777777" w:rsidR="00BD3CFA" w:rsidRPr="000C27AA" w:rsidRDefault="00BD3CFA" w:rsidP="00BE3625">
            <w:pPr>
              <w:jc w:val="right"/>
              <w:rPr>
                <w:rFonts w:ascii="Arial" w:hAnsi="Arial" w:cs="Arial"/>
                <w:b/>
                <w:bCs/>
                <w:sz w:val="18"/>
                <w:szCs w:val="18"/>
                <w:lang w:val="en-CA"/>
              </w:rPr>
            </w:pPr>
            <w:r w:rsidRPr="000C27AA">
              <w:rPr>
                <w:rFonts w:ascii="Arial" w:hAnsi="Arial" w:cs="Arial"/>
                <w:b/>
                <w:bCs/>
                <w:sz w:val="18"/>
                <w:szCs w:val="18"/>
                <w:lang w:val="en-CA"/>
              </w:rPr>
              <w:t>2016</w:t>
            </w:r>
          </w:p>
        </w:tc>
        <w:tc>
          <w:tcPr>
            <w:tcW w:w="714" w:type="dxa"/>
            <w:tcBorders>
              <w:top w:val="single" w:sz="4" w:space="0" w:color="auto"/>
              <w:left w:val="nil"/>
              <w:bottom w:val="single" w:sz="4" w:space="0" w:color="auto"/>
              <w:right w:val="nil"/>
            </w:tcBorders>
            <w:shd w:val="clear" w:color="auto" w:fill="auto"/>
            <w:noWrap/>
            <w:vAlign w:val="bottom"/>
            <w:hideMark/>
          </w:tcPr>
          <w:p w14:paraId="0C15C288" w14:textId="77777777" w:rsidR="00BD3CFA" w:rsidRPr="000C27AA" w:rsidRDefault="00BD3CFA" w:rsidP="00BE3625">
            <w:pPr>
              <w:jc w:val="right"/>
              <w:rPr>
                <w:rFonts w:ascii="Arial" w:hAnsi="Arial" w:cs="Arial"/>
                <w:b/>
                <w:bCs/>
                <w:sz w:val="18"/>
                <w:szCs w:val="18"/>
                <w:lang w:val="en-CA"/>
              </w:rPr>
            </w:pPr>
            <w:r w:rsidRPr="000C27AA">
              <w:rPr>
                <w:rFonts w:ascii="Arial" w:hAnsi="Arial" w:cs="Arial"/>
                <w:b/>
                <w:bCs/>
                <w:sz w:val="18"/>
                <w:szCs w:val="18"/>
                <w:lang w:val="en-CA"/>
              </w:rPr>
              <w:t>2017</w:t>
            </w:r>
          </w:p>
        </w:tc>
        <w:tc>
          <w:tcPr>
            <w:tcW w:w="714" w:type="dxa"/>
            <w:tcBorders>
              <w:top w:val="single" w:sz="4" w:space="0" w:color="auto"/>
              <w:left w:val="nil"/>
              <w:bottom w:val="single" w:sz="4" w:space="0" w:color="auto"/>
              <w:right w:val="nil"/>
            </w:tcBorders>
            <w:shd w:val="clear" w:color="auto" w:fill="auto"/>
            <w:noWrap/>
            <w:vAlign w:val="bottom"/>
            <w:hideMark/>
          </w:tcPr>
          <w:p w14:paraId="39D49135" w14:textId="77777777" w:rsidR="00BD3CFA" w:rsidRPr="000C27AA" w:rsidRDefault="00BD3CFA" w:rsidP="00BE3625">
            <w:pPr>
              <w:jc w:val="right"/>
              <w:rPr>
                <w:rFonts w:ascii="Arial" w:hAnsi="Arial" w:cs="Arial"/>
                <w:b/>
                <w:bCs/>
                <w:sz w:val="18"/>
                <w:szCs w:val="18"/>
                <w:lang w:val="en-CA"/>
              </w:rPr>
            </w:pPr>
            <w:r w:rsidRPr="000C27AA">
              <w:rPr>
                <w:rFonts w:ascii="Arial" w:hAnsi="Arial" w:cs="Arial"/>
                <w:b/>
                <w:bCs/>
                <w:sz w:val="18"/>
                <w:szCs w:val="18"/>
                <w:lang w:val="en-CA"/>
              </w:rPr>
              <w:t>2018</w:t>
            </w:r>
          </w:p>
        </w:tc>
        <w:tc>
          <w:tcPr>
            <w:tcW w:w="714" w:type="dxa"/>
            <w:tcBorders>
              <w:top w:val="single" w:sz="4" w:space="0" w:color="auto"/>
              <w:left w:val="nil"/>
              <w:bottom w:val="single" w:sz="4" w:space="0" w:color="auto"/>
              <w:right w:val="nil"/>
            </w:tcBorders>
            <w:shd w:val="clear" w:color="auto" w:fill="auto"/>
            <w:noWrap/>
            <w:vAlign w:val="bottom"/>
            <w:hideMark/>
          </w:tcPr>
          <w:p w14:paraId="2AD361C4" w14:textId="77777777" w:rsidR="00BD3CFA" w:rsidRPr="000C27AA" w:rsidRDefault="00BD3CFA" w:rsidP="00BE3625">
            <w:pPr>
              <w:jc w:val="right"/>
              <w:rPr>
                <w:rFonts w:ascii="Arial" w:hAnsi="Arial" w:cs="Arial"/>
                <w:b/>
                <w:bCs/>
                <w:sz w:val="18"/>
                <w:szCs w:val="18"/>
                <w:lang w:val="en-CA"/>
              </w:rPr>
            </w:pPr>
            <w:r w:rsidRPr="000C27AA">
              <w:rPr>
                <w:rFonts w:ascii="Arial" w:hAnsi="Arial" w:cs="Arial"/>
                <w:b/>
                <w:bCs/>
                <w:sz w:val="18"/>
                <w:szCs w:val="18"/>
                <w:lang w:val="en-CA"/>
              </w:rPr>
              <w:t>2019</w:t>
            </w:r>
          </w:p>
        </w:tc>
        <w:tc>
          <w:tcPr>
            <w:tcW w:w="794" w:type="dxa"/>
            <w:tcBorders>
              <w:top w:val="single" w:sz="4" w:space="0" w:color="auto"/>
              <w:left w:val="nil"/>
              <w:bottom w:val="single" w:sz="4" w:space="0" w:color="auto"/>
              <w:right w:val="nil"/>
            </w:tcBorders>
            <w:shd w:val="clear" w:color="auto" w:fill="F2F2F2"/>
            <w:noWrap/>
            <w:vAlign w:val="bottom"/>
            <w:hideMark/>
          </w:tcPr>
          <w:p w14:paraId="0A5A68EF" w14:textId="77777777" w:rsidR="00BD3CFA" w:rsidRPr="000C27AA" w:rsidRDefault="00BD3CFA" w:rsidP="00BE3625">
            <w:pPr>
              <w:jc w:val="right"/>
              <w:rPr>
                <w:rFonts w:ascii="Arial" w:hAnsi="Arial" w:cs="Arial"/>
                <w:b/>
                <w:bCs/>
                <w:sz w:val="18"/>
                <w:szCs w:val="18"/>
                <w:lang w:val="en-CA"/>
              </w:rPr>
            </w:pPr>
            <w:r w:rsidRPr="000C27AA">
              <w:rPr>
                <w:rFonts w:ascii="Arial" w:hAnsi="Arial" w:cs="Arial"/>
                <w:b/>
                <w:bCs/>
                <w:sz w:val="18"/>
                <w:szCs w:val="18"/>
                <w:lang w:val="en-CA"/>
              </w:rPr>
              <w:t>2020F</w:t>
            </w:r>
          </w:p>
        </w:tc>
        <w:tc>
          <w:tcPr>
            <w:tcW w:w="794" w:type="dxa"/>
            <w:tcBorders>
              <w:top w:val="single" w:sz="4" w:space="0" w:color="auto"/>
              <w:left w:val="nil"/>
              <w:bottom w:val="single" w:sz="4" w:space="0" w:color="auto"/>
              <w:right w:val="single" w:sz="4" w:space="0" w:color="auto"/>
            </w:tcBorders>
            <w:shd w:val="clear" w:color="auto" w:fill="F2F2F2"/>
            <w:noWrap/>
            <w:vAlign w:val="bottom"/>
            <w:hideMark/>
          </w:tcPr>
          <w:p w14:paraId="49784C4D" w14:textId="77777777" w:rsidR="00BD3CFA" w:rsidRPr="000C27AA" w:rsidRDefault="00BD3CFA" w:rsidP="00BE3625">
            <w:pPr>
              <w:jc w:val="right"/>
              <w:rPr>
                <w:rFonts w:ascii="Arial" w:hAnsi="Arial" w:cs="Arial"/>
                <w:b/>
                <w:bCs/>
                <w:sz w:val="18"/>
                <w:szCs w:val="18"/>
                <w:lang w:val="en-CA"/>
              </w:rPr>
            </w:pPr>
            <w:r w:rsidRPr="000C27AA">
              <w:rPr>
                <w:rFonts w:ascii="Arial" w:hAnsi="Arial" w:cs="Arial"/>
                <w:b/>
                <w:bCs/>
                <w:sz w:val="18"/>
                <w:szCs w:val="18"/>
                <w:lang w:val="en-CA"/>
              </w:rPr>
              <w:t>2021F</w:t>
            </w:r>
          </w:p>
        </w:tc>
      </w:tr>
      <w:tr w:rsidR="00BD3CFA" w:rsidRPr="000C27AA" w14:paraId="08228D5E"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44104E55" w14:textId="354C5359" w:rsidR="00BD3CFA" w:rsidRPr="000C27AA" w:rsidRDefault="00BD3CFA" w:rsidP="00BE3625">
            <w:pPr>
              <w:rPr>
                <w:rFonts w:ascii="Arial" w:hAnsi="Arial" w:cs="Arial"/>
                <w:b/>
                <w:bCs/>
                <w:sz w:val="18"/>
                <w:szCs w:val="18"/>
                <w:lang w:val="en-CA"/>
              </w:rPr>
            </w:pPr>
            <w:r w:rsidRPr="000C27AA">
              <w:rPr>
                <w:rFonts w:ascii="Arial" w:hAnsi="Arial" w:cs="Arial"/>
                <w:b/>
                <w:bCs/>
                <w:sz w:val="18"/>
                <w:szCs w:val="18"/>
                <w:lang w:val="en-CA"/>
              </w:rPr>
              <w:t>Revenue</w:t>
            </w:r>
          </w:p>
        </w:tc>
        <w:tc>
          <w:tcPr>
            <w:tcW w:w="935" w:type="dxa"/>
            <w:tcBorders>
              <w:top w:val="nil"/>
              <w:left w:val="nil"/>
              <w:bottom w:val="nil"/>
              <w:right w:val="nil"/>
            </w:tcBorders>
            <w:shd w:val="clear" w:color="auto" w:fill="auto"/>
            <w:noWrap/>
            <w:vAlign w:val="bottom"/>
            <w:hideMark/>
          </w:tcPr>
          <w:p w14:paraId="4099E11B" w14:textId="77777777" w:rsidR="00BD3CFA" w:rsidRPr="000C27AA" w:rsidRDefault="00BD3CFA" w:rsidP="00BE3625">
            <w:pPr>
              <w:jc w:val="right"/>
              <w:rPr>
                <w:rFonts w:ascii="Arial" w:hAnsi="Arial" w:cs="Arial"/>
                <w:b/>
                <w:bCs/>
                <w:sz w:val="18"/>
                <w:szCs w:val="18"/>
                <w:lang w:val="en-CA"/>
              </w:rPr>
            </w:pPr>
            <w:r w:rsidRPr="000C27AA">
              <w:rPr>
                <w:rFonts w:ascii="Arial" w:hAnsi="Arial" w:cs="Arial"/>
                <w:b/>
                <w:bCs/>
                <w:sz w:val="18"/>
                <w:szCs w:val="18"/>
                <w:lang w:val="en-CA"/>
              </w:rPr>
              <w:t>721</w:t>
            </w:r>
          </w:p>
        </w:tc>
        <w:tc>
          <w:tcPr>
            <w:tcW w:w="714" w:type="dxa"/>
            <w:tcBorders>
              <w:top w:val="nil"/>
              <w:left w:val="nil"/>
              <w:bottom w:val="nil"/>
              <w:right w:val="nil"/>
            </w:tcBorders>
            <w:shd w:val="clear" w:color="auto" w:fill="auto"/>
            <w:noWrap/>
            <w:vAlign w:val="bottom"/>
            <w:hideMark/>
          </w:tcPr>
          <w:p w14:paraId="6A5D948F" w14:textId="77777777" w:rsidR="00BD3CFA" w:rsidRPr="000C27AA" w:rsidRDefault="00BD3CFA" w:rsidP="00BE3625">
            <w:pPr>
              <w:jc w:val="right"/>
              <w:rPr>
                <w:rFonts w:ascii="Arial" w:hAnsi="Arial" w:cs="Arial"/>
                <w:b/>
                <w:bCs/>
                <w:sz w:val="18"/>
                <w:szCs w:val="18"/>
                <w:lang w:val="en-CA"/>
              </w:rPr>
            </w:pPr>
            <w:r w:rsidRPr="000C27AA">
              <w:rPr>
                <w:rFonts w:ascii="Arial" w:hAnsi="Arial" w:cs="Arial"/>
                <w:b/>
                <w:bCs/>
                <w:sz w:val="18"/>
                <w:szCs w:val="18"/>
                <w:lang w:val="en-CA"/>
              </w:rPr>
              <w:t>709</w:t>
            </w:r>
          </w:p>
        </w:tc>
        <w:tc>
          <w:tcPr>
            <w:tcW w:w="714" w:type="dxa"/>
            <w:tcBorders>
              <w:top w:val="nil"/>
              <w:left w:val="nil"/>
              <w:bottom w:val="nil"/>
              <w:right w:val="nil"/>
            </w:tcBorders>
            <w:shd w:val="clear" w:color="auto" w:fill="auto"/>
            <w:noWrap/>
            <w:vAlign w:val="bottom"/>
            <w:hideMark/>
          </w:tcPr>
          <w:p w14:paraId="2319244B" w14:textId="77777777" w:rsidR="00BD3CFA" w:rsidRPr="000C27AA" w:rsidRDefault="00BD3CFA" w:rsidP="00BE3625">
            <w:pPr>
              <w:jc w:val="right"/>
              <w:rPr>
                <w:rFonts w:ascii="Arial" w:hAnsi="Arial" w:cs="Arial"/>
                <w:b/>
                <w:bCs/>
                <w:sz w:val="18"/>
                <w:szCs w:val="18"/>
                <w:lang w:val="en-CA"/>
              </w:rPr>
            </w:pPr>
            <w:r w:rsidRPr="000C27AA">
              <w:rPr>
                <w:rFonts w:ascii="Arial" w:hAnsi="Arial" w:cs="Arial"/>
                <w:b/>
                <w:bCs/>
                <w:sz w:val="18"/>
                <w:szCs w:val="18"/>
                <w:lang w:val="en-CA"/>
              </w:rPr>
              <w:t>755</w:t>
            </w:r>
          </w:p>
        </w:tc>
        <w:tc>
          <w:tcPr>
            <w:tcW w:w="714" w:type="dxa"/>
            <w:tcBorders>
              <w:top w:val="nil"/>
              <w:left w:val="nil"/>
              <w:bottom w:val="nil"/>
              <w:right w:val="nil"/>
            </w:tcBorders>
            <w:shd w:val="clear" w:color="auto" w:fill="auto"/>
            <w:noWrap/>
            <w:vAlign w:val="bottom"/>
            <w:hideMark/>
          </w:tcPr>
          <w:p w14:paraId="16920BC5" w14:textId="77777777" w:rsidR="00BD3CFA" w:rsidRPr="000C27AA" w:rsidRDefault="00BD3CFA" w:rsidP="00BE3625">
            <w:pPr>
              <w:jc w:val="right"/>
              <w:rPr>
                <w:rFonts w:ascii="Arial" w:hAnsi="Arial" w:cs="Arial"/>
                <w:b/>
                <w:bCs/>
                <w:sz w:val="18"/>
                <w:szCs w:val="18"/>
                <w:lang w:val="en-CA"/>
              </w:rPr>
            </w:pPr>
            <w:r w:rsidRPr="000C27AA">
              <w:rPr>
                <w:rFonts w:ascii="Arial" w:hAnsi="Arial" w:cs="Arial"/>
                <w:b/>
                <w:bCs/>
                <w:sz w:val="18"/>
                <w:szCs w:val="18"/>
                <w:lang w:val="en-CA"/>
              </w:rPr>
              <w:t>812</w:t>
            </w:r>
          </w:p>
        </w:tc>
        <w:tc>
          <w:tcPr>
            <w:tcW w:w="714" w:type="dxa"/>
            <w:tcBorders>
              <w:top w:val="nil"/>
              <w:left w:val="nil"/>
              <w:bottom w:val="nil"/>
              <w:right w:val="nil"/>
            </w:tcBorders>
            <w:shd w:val="clear" w:color="auto" w:fill="auto"/>
            <w:noWrap/>
            <w:vAlign w:val="bottom"/>
            <w:hideMark/>
          </w:tcPr>
          <w:p w14:paraId="7BDA32B8" w14:textId="77777777" w:rsidR="00BD3CFA" w:rsidRPr="000C27AA" w:rsidRDefault="00BD3CFA" w:rsidP="00BE3625">
            <w:pPr>
              <w:jc w:val="right"/>
              <w:rPr>
                <w:rFonts w:ascii="Arial" w:hAnsi="Arial" w:cs="Arial"/>
                <w:b/>
                <w:bCs/>
                <w:sz w:val="18"/>
                <w:szCs w:val="18"/>
                <w:lang w:val="en-CA"/>
              </w:rPr>
            </w:pPr>
            <w:r w:rsidRPr="000C27AA">
              <w:rPr>
                <w:rFonts w:ascii="Arial" w:hAnsi="Arial" w:cs="Arial"/>
                <w:b/>
                <w:bCs/>
                <w:sz w:val="18"/>
                <w:szCs w:val="18"/>
                <w:lang w:val="en-CA"/>
              </w:rPr>
              <w:t>838</w:t>
            </w:r>
          </w:p>
        </w:tc>
        <w:tc>
          <w:tcPr>
            <w:tcW w:w="794" w:type="dxa"/>
            <w:tcBorders>
              <w:top w:val="nil"/>
              <w:left w:val="nil"/>
              <w:bottom w:val="nil"/>
              <w:right w:val="nil"/>
            </w:tcBorders>
            <w:shd w:val="clear" w:color="auto" w:fill="F2F2F2"/>
            <w:noWrap/>
            <w:vAlign w:val="bottom"/>
            <w:hideMark/>
          </w:tcPr>
          <w:p w14:paraId="7CD8B8D9" w14:textId="77777777" w:rsidR="00BD3CFA" w:rsidRPr="000C27AA" w:rsidRDefault="00BD3CFA" w:rsidP="00BE3625">
            <w:pPr>
              <w:jc w:val="right"/>
              <w:rPr>
                <w:rFonts w:ascii="Arial" w:hAnsi="Arial" w:cs="Arial"/>
                <w:b/>
                <w:bCs/>
                <w:sz w:val="18"/>
                <w:szCs w:val="18"/>
                <w:lang w:val="en-CA"/>
              </w:rPr>
            </w:pPr>
            <w:r w:rsidRPr="000C27AA">
              <w:rPr>
                <w:rFonts w:ascii="Arial" w:hAnsi="Arial" w:cs="Arial"/>
                <w:b/>
                <w:bCs/>
                <w:sz w:val="18"/>
                <w:szCs w:val="18"/>
                <w:lang w:val="en-CA"/>
              </w:rPr>
              <w:t>419</w:t>
            </w:r>
          </w:p>
        </w:tc>
        <w:tc>
          <w:tcPr>
            <w:tcW w:w="794" w:type="dxa"/>
            <w:tcBorders>
              <w:top w:val="nil"/>
              <w:left w:val="nil"/>
              <w:bottom w:val="nil"/>
              <w:right w:val="single" w:sz="4" w:space="0" w:color="auto"/>
            </w:tcBorders>
            <w:shd w:val="clear" w:color="auto" w:fill="F2F2F2"/>
            <w:noWrap/>
            <w:vAlign w:val="bottom"/>
            <w:hideMark/>
          </w:tcPr>
          <w:p w14:paraId="21384E5A" w14:textId="77777777" w:rsidR="00BD3CFA" w:rsidRPr="000C27AA" w:rsidRDefault="00BD3CFA" w:rsidP="00BE3625">
            <w:pPr>
              <w:jc w:val="right"/>
              <w:rPr>
                <w:rFonts w:ascii="Arial" w:hAnsi="Arial" w:cs="Arial"/>
                <w:b/>
                <w:bCs/>
                <w:sz w:val="18"/>
                <w:szCs w:val="18"/>
                <w:lang w:val="en-CA"/>
              </w:rPr>
            </w:pPr>
            <w:r w:rsidRPr="000C27AA">
              <w:rPr>
                <w:rFonts w:ascii="Arial" w:hAnsi="Arial" w:cs="Arial"/>
                <w:b/>
                <w:bCs/>
                <w:sz w:val="18"/>
                <w:szCs w:val="18"/>
                <w:lang w:val="en-CA"/>
              </w:rPr>
              <w:t>598</w:t>
            </w:r>
          </w:p>
        </w:tc>
      </w:tr>
      <w:tr w:rsidR="00BD3CFA" w:rsidRPr="000C27AA" w14:paraId="49F4A5E0"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30960B3E" w14:textId="4D02C21D" w:rsidR="00BD3CFA" w:rsidRPr="000C27AA" w:rsidRDefault="003114BE" w:rsidP="004819F4">
            <w:pPr>
              <w:ind w:firstLine="144"/>
              <w:rPr>
                <w:rFonts w:ascii="Arial" w:hAnsi="Arial" w:cs="Arial"/>
                <w:sz w:val="18"/>
                <w:szCs w:val="18"/>
                <w:lang w:val="en-CA"/>
              </w:rPr>
            </w:pPr>
            <w:r w:rsidRPr="000C27AA">
              <w:rPr>
                <w:rFonts w:ascii="Arial" w:hAnsi="Arial" w:cs="Arial"/>
                <w:sz w:val="18"/>
                <w:szCs w:val="18"/>
                <w:lang w:val="en-CA"/>
              </w:rPr>
              <w:t>C</w:t>
            </w:r>
            <w:r w:rsidR="00BD3CFA" w:rsidRPr="000C27AA">
              <w:rPr>
                <w:rFonts w:ascii="Arial" w:hAnsi="Arial" w:cs="Arial"/>
                <w:sz w:val="18"/>
                <w:szCs w:val="18"/>
                <w:lang w:val="en-CA"/>
              </w:rPr>
              <w:t>hange</w:t>
            </w:r>
            <w:r w:rsidRPr="000C27AA">
              <w:rPr>
                <w:rFonts w:ascii="Arial" w:hAnsi="Arial" w:cs="Arial"/>
                <w:sz w:val="18"/>
                <w:szCs w:val="18"/>
                <w:lang w:val="en-CA"/>
              </w:rPr>
              <w:t xml:space="preserve"> (in %)</w:t>
            </w:r>
          </w:p>
        </w:tc>
        <w:tc>
          <w:tcPr>
            <w:tcW w:w="935" w:type="dxa"/>
            <w:tcBorders>
              <w:top w:val="nil"/>
              <w:left w:val="nil"/>
              <w:bottom w:val="nil"/>
              <w:right w:val="nil"/>
            </w:tcBorders>
            <w:shd w:val="clear" w:color="auto" w:fill="auto"/>
            <w:noWrap/>
            <w:vAlign w:val="bottom"/>
            <w:hideMark/>
          </w:tcPr>
          <w:p w14:paraId="073A16EE" w14:textId="77E4747B" w:rsidR="00BD3CFA" w:rsidRPr="000C27AA" w:rsidRDefault="00686D83" w:rsidP="00BE3625">
            <w:pPr>
              <w:jc w:val="right"/>
              <w:rPr>
                <w:rFonts w:ascii="Arial" w:hAnsi="Arial" w:cs="Arial"/>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6.1</w:t>
            </w:r>
          </w:p>
        </w:tc>
        <w:tc>
          <w:tcPr>
            <w:tcW w:w="714" w:type="dxa"/>
            <w:tcBorders>
              <w:top w:val="nil"/>
              <w:left w:val="nil"/>
              <w:bottom w:val="nil"/>
              <w:right w:val="nil"/>
            </w:tcBorders>
            <w:shd w:val="clear" w:color="auto" w:fill="auto"/>
            <w:noWrap/>
            <w:vAlign w:val="bottom"/>
            <w:hideMark/>
          </w:tcPr>
          <w:p w14:paraId="5A8E4DEC" w14:textId="6D3D332F" w:rsidR="00BD3CFA" w:rsidRPr="000C27AA" w:rsidRDefault="00686D83" w:rsidP="00BE3625">
            <w:pPr>
              <w:jc w:val="right"/>
              <w:rPr>
                <w:rFonts w:ascii="Arial" w:hAnsi="Arial" w:cs="Arial"/>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1.6</w:t>
            </w:r>
          </w:p>
        </w:tc>
        <w:tc>
          <w:tcPr>
            <w:tcW w:w="714" w:type="dxa"/>
            <w:tcBorders>
              <w:top w:val="nil"/>
              <w:left w:val="nil"/>
              <w:bottom w:val="nil"/>
              <w:right w:val="nil"/>
            </w:tcBorders>
            <w:shd w:val="clear" w:color="auto" w:fill="auto"/>
            <w:noWrap/>
            <w:vAlign w:val="bottom"/>
            <w:hideMark/>
          </w:tcPr>
          <w:p w14:paraId="2050500C"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6.5</w:t>
            </w:r>
          </w:p>
        </w:tc>
        <w:tc>
          <w:tcPr>
            <w:tcW w:w="714" w:type="dxa"/>
            <w:tcBorders>
              <w:top w:val="nil"/>
              <w:left w:val="nil"/>
              <w:bottom w:val="nil"/>
              <w:right w:val="nil"/>
            </w:tcBorders>
            <w:shd w:val="clear" w:color="auto" w:fill="auto"/>
            <w:noWrap/>
            <w:vAlign w:val="bottom"/>
            <w:hideMark/>
          </w:tcPr>
          <w:p w14:paraId="441B92C2"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7.6</w:t>
            </w:r>
          </w:p>
        </w:tc>
        <w:tc>
          <w:tcPr>
            <w:tcW w:w="714" w:type="dxa"/>
            <w:tcBorders>
              <w:top w:val="nil"/>
              <w:left w:val="nil"/>
              <w:bottom w:val="nil"/>
              <w:right w:val="nil"/>
            </w:tcBorders>
            <w:shd w:val="clear" w:color="auto" w:fill="auto"/>
            <w:noWrap/>
            <w:vAlign w:val="bottom"/>
            <w:hideMark/>
          </w:tcPr>
          <w:p w14:paraId="70D9F15E"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3.2</w:t>
            </w:r>
          </w:p>
        </w:tc>
        <w:tc>
          <w:tcPr>
            <w:tcW w:w="794" w:type="dxa"/>
            <w:tcBorders>
              <w:top w:val="nil"/>
              <w:left w:val="nil"/>
              <w:bottom w:val="nil"/>
              <w:right w:val="nil"/>
            </w:tcBorders>
            <w:shd w:val="clear" w:color="auto" w:fill="F2F2F2"/>
            <w:noWrap/>
            <w:vAlign w:val="bottom"/>
            <w:hideMark/>
          </w:tcPr>
          <w:p w14:paraId="740D9BA1" w14:textId="0DD65CEC" w:rsidR="00BD3CFA" w:rsidRPr="000C27AA" w:rsidRDefault="00686D83" w:rsidP="00BE3625">
            <w:pPr>
              <w:jc w:val="right"/>
              <w:rPr>
                <w:rFonts w:ascii="Arial" w:hAnsi="Arial" w:cs="Arial"/>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50</w:t>
            </w:r>
          </w:p>
        </w:tc>
        <w:tc>
          <w:tcPr>
            <w:tcW w:w="794" w:type="dxa"/>
            <w:tcBorders>
              <w:top w:val="nil"/>
              <w:left w:val="nil"/>
              <w:bottom w:val="nil"/>
              <w:right w:val="single" w:sz="4" w:space="0" w:color="auto"/>
            </w:tcBorders>
            <w:shd w:val="clear" w:color="auto" w:fill="F2F2F2"/>
            <w:noWrap/>
            <w:vAlign w:val="bottom"/>
            <w:hideMark/>
          </w:tcPr>
          <w:p w14:paraId="491872B0"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42.6</w:t>
            </w:r>
          </w:p>
        </w:tc>
      </w:tr>
      <w:tr w:rsidR="00BD3CFA" w:rsidRPr="000C27AA" w14:paraId="25A7D228"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498C5758" w14:textId="2E434630" w:rsidR="00BD3CFA" w:rsidRPr="000C27AA" w:rsidRDefault="00BD3CFA" w:rsidP="004819F4">
            <w:pPr>
              <w:ind w:firstLine="144"/>
              <w:rPr>
                <w:rFonts w:ascii="Arial" w:hAnsi="Arial" w:cs="Arial"/>
                <w:sz w:val="18"/>
                <w:szCs w:val="18"/>
                <w:lang w:val="en-CA"/>
              </w:rPr>
            </w:pPr>
            <w:r w:rsidRPr="000C27AA">
              <w:rPr>
                <w:rFonts w:ascii="Arial" w:hAnsi="Arial" w:cs="Arial"/>
                <w:sz w:val="18"/>
                <w:szCs w:val="18"/>
                <w:lang w:val="en-CA"/>
              </w:rPr>
              <w:t xml:space="preserve">Passengers </w:t>
            </w:r>
            <w:r w:rsidR="003114BE" w:rsidRPr="000C27AA">
              <w:rPr>
                <w:rFonts w:ascii="Arial" w:hAnsi="Arial" w:cs="Arial"/>
                <w:sz w:val="18"/>
                <w:szCs w:val="18"/>
                <w:lang w:val="en-CA"/>
              </w:rPr>
              <w:t>(</w:t>
            </w:r>
            <w:r w:rsidRPr="000C27AA">
              <w:rPr>
                <w:rFonts w:ascii="Arial" w:hAnsi="Arial" w:cs="Arial"/>
                <w:sz w:val="18"/>
                <w:szCs w:val="18"/>
                <w:lang w:val="en-CA"/>
              </w:rPr>
              <w:t>in billion</w:t>
            </w:r>
            <w:r w:rsidR="003114BE" w:rsidRPr="000C27AA">
              <w:rPr>
                <w:rFonts w:ascii="Arial" w:hAnsi="Arial" w:cs="Arial"/>
                <w:sz w:val="18"/>
                <w:szCs w:val="18"/>
                <w:lang w:val="en-CA"/>
              </w:rPr>
              <w:t>)</w:t>
            </w:r>
          </w:p>
        </w:tc>
        <w:tc>
          <w:tcPr>
            <w:tcW w:w="935" w:type="dxa"/>
            <w:tcBorders>
              <w:top w:val="nil"/>
              <w:left w:val="nil"/>
              <w:bottom w:val="nil"/>
              <w:right w:val="nil"/>
            </w:tcBorders>
            <w:shd w:val="clear" w:color="auto" w:fill="auto"/>
            <w:noWrap/>
            <w:vAlign w:val="bottom"/>
            <w:hideMark/>
          </w:tcPr>
          <w:p w14:paraId="27FFA40F"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545</w:t>
            </w:r>
          </w:p>
        </w:tc>
        <w:tc>
          <w:tcPr>
            <w:tcW w:w="714" w:type="dxa"/>
            <w:tcBorders>
              <w:top w:val="nil"/>
              <w:left w:val="nil"/>
              <w:bottom w:val="nil"/>
              <w:right w:val="nil"/>
            </w:tcBorders>
            <w:shd w:val="clear" w:color="auto" w:fill="auto"/>
            <w:noWrap/>
            <w:vAlign w:val="bottom"/>
            <w:hideMark/>
          </w:tcPr>
          <w:p w14:paraId="1545AC2B"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545</w:t>
            </w:r>
          </w:p>
        </w:tc>
        <w:tc>
          <w:tcPr>
            <w:tcW w:w="714" w:type="dxa"/>
            <w:tcBorders>
              <w:top w:val="nil"/>
              <w:left w:val="nil"/>
              <w:bottom w:val="nil"/>
              <w:right w:val="nil"/>
            </w:tcBorders>
            <w:shd w:val="clear" w:color="auto" w:fill="auto"/>
            <w:noWrap/>
            <w:vAlign w:val="bottom"/>
            <w:hideMark/>
          </w:tcPr>
          <w:p w14:paraId="2CEAA37F"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584</w:t>
            </w:r>
          </w:p>
        </w:tc>
        <w:tc>
          <w:tcPr>
            <w:tcW w:w="714" w:type="dxa"/>
            <w:tcBorders>
              <w:top w:val="nil"/>
              <w:left w:val="nil"/>
              <w:bottom w:val="nil"/>
              <w:right w:val="nil"/>
            </w:tcBorders>
            <w:shd w:val="clear" w:color="auto" w:fill="auto"/>
            <w:noWrap/>
            <w:vAlign w:val="bottom"/>
            <w:hideMark/>
          </w:tcPr>
          <w:p w14:paraId="408F099E"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610</w:t>
            </w:r>
          </w:p>
        </w:tc>
        <w:tc>
          <w:tcPr>
            <w:tcW w:w="714" w:type="dxa"/>
            <w:tcBorders>
              <w:top w:val="nil"/>
              <w:left w:val="nil"/>
              <w:bottom w:val="nil"/>
              <w:right w:val="nil"/>
            </w:tcBorders>
            <w:shd w:val="clear" w:color="auto" w:fill="auto"/>
            <w:noWrap/>
            <w:vAlign w:val="bottom"/>
            <w:hideMark/>
          </w:tcPr>
          <w:p w14:paraId="4A70BB01"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612</w:t>
            </w:r>
          </w:p>
        </w:tc>
        <w:tc>
          <w:tcPr>
            <w:tcW w:w="794" w:type="dxa"/>
            <w:tcBorders>
              <w:top w:val="nil"/>
              <w:left w:val="nil"/>
              <w:bottom w:val="nil"/>
              <w:right w:val="nil"/>
            </w:tcBorders>
            <w:shd w:val="clear" w:color="auto" w:fill="F2F2F2"/>
            <w:noWrap/>
            <w:vAlign w:val="bottom"/>
            <w:hideMark/>
          </w:tcPr>
          <w:p w14:paraId="61C2EF93"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241</w:t>
            </w:r>
          </w:p>
        </w:tc>
        <w:tc>
          <w:tcPr>
            <w:tcW w:w="794" w:type="dxa"/>
            <w:tcBorders>
              <w:top w:val="nil"/>
              <w:left w:val="nil"/>
              <w:bottom w:val="nil"/>
              <w:right w:val="single" w:sz="4" w:space="0" w:color="auto"/>
            </w:tcBorders>
            <w:shd w:val="clear" w:color="auto" w:fill="F2F2F2"/>
            <w:noWrap/>
            <w:vAlign w:val="bottom"/>
            <w:hideMark/>
          </w:tcPr>
          <w:p w14:paraId="0E6DCEEB"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389</w:t>
            </w:r>
          </w:p>
        </w:tc>
      </w:tr>
      <w:tr w:rsidR="00BD3CFA" w:rsidRPr="000C27AA" w14:paraId="43F0D874"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323618A1" w14:textId="0AECE92A" w:rsidR="00BD3CFA" w:rsidRPr="000C27AA" w:rsidRDefault="00BD3CFA" w:rsidP="004819F4">
            <w:pPr>
              <w:ind w:firstLine="144"/>
              <w:rPr>
                <w:rFonts w:ascii="Arial" w:hAnsi="Arial" w:cs="Arial"/>
                <w:sz w:val="18"/>
                <w:szCs w:val="18"/>
                <w:lang w:val="en-CA"/>
              </w:rPr>
            </w:pPr>
            <w:r w:rsidRPr="000C27AA">
              <w:rPr>
                <w:rFonts w:ascii="Arial" w:hAnsi="Arial" w:cs="Arial"/>
                <w:sz w:val="18"/>
                <w:szCs w:val="18"/>
                <w:lang w:val="en-CA"/>
              </w:rPr>
              <w:t xml:space="preserve">Traffic </w:t>
            </w:r>
            <w:r w:rsidR="00686D83" w:rsidRPr="000C27AA">
              <w:rPr>
                <w:rFonts w:ascii="Arial" w:hAnsi="Arial" w:cs="Arial"/>
                <w:sz w:val="18"/>
                <w:szCs w:val="18"/>
                <w:lang w:val="en-CA"/>
              </w:rPr>
              <w:t>v</w:t>
            </w:r>
            <w:r w:rsidRPr="000C27AA">
              <w:rPr>
                <w:rFonts w:ascii="Arial" w:hAnsi="Arial" w:cs="Arial"/>
                <w:sz w:val="18"/>
                <w:szCs w:val="18"/>
                <w:lang w:val="en-CA"/>
              </w:rPr>
              <w:t>olumes</w:t>
            </w:r>
          </w:p>
        </w:tc>
        <w:tc>
          <w:tcPr>
            <w:tcW w:w="935" w:type="dxa"/>
            <w:tcBorders>
              <w:top w:val="nil"/>
              <w:left w:val="nil"/>
              <w:bottom w:val="nil"/>
              <w:right w:val="nil"/>
            </w:tcBorders>
            <w:shd w:val="clear" w:color="auto" w:fill="auto"/>
            <w:noWrap/>
            <w:vAlign w:val="bottom"/>
            <w:hideMark/>
          </w:tcPr>
          <w:p w14:paraId="605BB8FF" w14:textId="77777777" w:rsidR="00BD3CFA" w:rsidRPr="000C27AA" w:rsidRDefault="00BD3CFA" w:rsidP="00BE3625">
            <w:pPr>
              <w:jc w:val="right"/>
              <w:rPr>
                <w:rFonts w:ascii="Arial" w:hAnsi="Arial" w:cs="Arial"/>
                <w:sz w:val="18"/>
                <w:szCs w:val="18"/>
                <w:lang w:val="en-CA"/>
              </w:rPr>
            </w:pPr>
          </w:p>
        </w:tc>
        <w:tc>
          <w:tcPr>
            <w:tcW w:w="714" w:type="dxa"/>
            <w:tcBorders>
              <w:top w:val="nil"/>
              <w:left w:val="nil"/>
              <w:bottom w:val="nil"/>
              <w:right w:val="nil"/>
            </w:tcBorders>
            <w:shd w:val="clear" w:color="auto" w:fill="auto"/>
            <w:noWrap/>
            <w:vAlign w:val="bottom"/>
            <w:hideMark/>
          </w:tcPr>
          <w:p w14:paraId="39D4E6AE" w14:textId="77777777" w:rsidR="00BD3CFA" w:rsidRPr="000C27AA" w:rsidRDefault="00BD3CFA" w:rsidP="00BE3625">
            <w:pPr>
              <w:jc w:val="right"/>
              <w:rPr>
                <w:rFonts w:ascii="Arial" w:hAnsi="Arial" w:cs="Arial"/>
                <w:sz w:val="18"/>
                <w:szCs w:val="18"/>
                <w:lang w:val="en-CA"/>
              </w:rPr>
            </w:pPr>
          </w:p>
        </w:tc>
        <w:tc>
          <w:tcPr>
            <w:tcW w:w="714" w:type="dxa"/>
            <w:tcBorders>
              <w:top w:val="nil"/>
              <w:left w:val="nil"/>
              <w:bottom w:val="nil"/>
              <w:right w:val="nil"/>
            </w:tcBorders>
            <w:shd w:val="clear" w:color="auto" w:fill="auto"/>
            <w:noWrap/>
            <w:vAlign w:val="bottom"/>
            <w:hideMark/>
          </w:tcPr>
          <w:p w14:paraId="37A26519" w14:textId="77777777" w:rsidR="00BD3CFA" w:rsidRPr="000C27AA" w:rsidRDefault="00BD3CFA" w:rsidP="00BE3625">
            <w:pPr>
              <w:jc w:val="right"/>
              <w:rPr>
                <w:rFonts w:ascii="Arial" w:hAnsi="Arial" w:cs="Arial"/>
                <w:sz w:val="18"/>
                <w:szCs w:val="18"/>
                <w:lang w:val="en-CA"/>
              </w:rPr>
            </w:pPr>
          </w:p>
        </w:tc>
        <w:tc>
          <w:tcPr>
            <w:tcW w:w="714" w:type="dxa"/>
            <w:tcBorders>
              <w:top w:val="nil"/>
              <w:left w:val="nil"/>
              <w:bottom w:val="nil"/>
              <w:right w:val="nil"/>
            </w:tcBorders>
            <w:shd w:val="clear" w:color="auto" w:fill="auto"/>
            <w:noWrap/>
            <w:vAlign w:val="bottom"/>
            <w:hideMark/>
          </w:tcPr>
          <w:p w14:paraId="6C0D3949" w14:textId="77777777" w:rsidR="00BD3CFA" w:rsidRPr="000C27AA" w:rsidRDefault="00BD3CFA" w:rsidP="00BE3625">
            <w:pPr>
              <w:jc w:val="right"/>
              <w:rPr>
                <w:rFonts w:ascii="Arial" w:hAnsi="Arial" w:cs="Arial"/>
                <w:sz w:val="18"/>
                <w:szCs w:val="18"/>
                <w:lang w:val="en-CA"/>
              </w:rPr>
            </w:pPr>
          </w:p>
        </w:tc>
        <w:tc>
          <w:tcPr>
            <w:tcW w:w="714" w:type="dxa"/>
            <w:tcBorders>
              <w:top w:val="nil"/>
              <w:left w:val="nil"/>
              <w:bottom w:val="nil"/>
              <w:right w:val="nil"/>
            </w:tcBorders>
            <w:shd w:val="clear" w:color="auto" w:fill="auto"/>
            <w:noWrap/>
            <w:vAlign w:val="bottom"/>
            <w:hideMark/>
          </w:tcPr>
          <w:p w14:paraId="525B911E" w14:textId="77777777" w:rsidR="00BD3CFA" w:rsidRPr="000C27AA" w:rsidRDefault="00BD3CFA" w:rsidP="00BE3625">
            <w:pPr>
              <w:jc w:val="right"/>
              <w:rPr>
                <w:rFonts w:ascii="Arial" w:hAnsi="Arial" w:cs="Arial"/>
                <w:sz w:val="18"/>
                <w:szCs w:val="18"/>
                <w:lang w:val="en-CA"/>
              </w:rPr>
            </w:pPr>
          </w:p>
        </w:tc>
        <w:tc>
          <w:tcPr>
            <w:tcW w:w="794" w:type="dxa"/>
            <w:tcBorders>
              <w:top w:val="nil"/>
              <w:left w:val="nil"/>
              <w:bottom w:val="nil"/>
              <w:right w:val="nil"/>
            </w:tcBorders>
            <w:shd w:val="clear" w:color="auto" w:fill="F2F2F2"/>
            <w:noWrap/>
            <w:vAlign w:val="bottom"/>
            <w:hideMark/>
          </w:tcPr>
          <w:p w14:paraId="1DDAFF72"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 </w:t>
            </w:r>
          </w:p>
        </w:tc>
        <w:tc>
          <w:tcPr>
            <w:tcW w:w="794" w:type="dxa"/>
            <w:tcBorders>
              <w:top w:val="nil"/>
              <w:left w:val="nil"/>
              <w:bottom w:val="nil"/>
              <w:right w:val="single" w:sz="4" w:space="0" w:color="auto"/>
            </w:tcBorders>
            <w:shd w:val="clear" w:color="auto" w:fill="F2F2F2"/>
            <w:noWrap/>
            <w:vAlign w:val="bottom"/>
            <w:hideMark/>
          </w:tcPr>
          <w:p w14:paraId="75868031"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 </w:t>
            </w:r>
          </w:p>
        </w:tc>
      </w:tr>
      <w:tr w:rsidR="00BD3CFA" w:rsidRPr="000C27AA" w14:paraId="4C4715D0"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09ACAF56" w14:textId="158A1B36" w:rsidR="00BD3CFA" w:rsidRPr="000C27AA" w:rsidRDefault="00BD3CFA" w:rsidP="00BE3625">
            <w:pPr>
              <w:ind w:firstLineChars="200" w:firstLine="360"/>
              <w:rPr>
                <w:rFonts w:ascii="Arial" w:hAnsi="Arial" w:cs="Arial"/>
                <w:sz w:val="18"/>
                <w:szCs w:val="18"/>
                <w:lang w:val="en-CA"/>
              </w:rPr>
            </w:pPr>
            <w:r w:rsidRPr="000C27AA">
              <w:rPr>
                <w:rFonts w:ascii="Arial" w:hAnsi="Arial" w:cs="Arial"/>
                <w:sz w:val="18"/>
                <w:szCs w:val="18"/>
                <w:lang w:val="en-CA"/>
              </w:rPr>
              <w:t xml:space="preserve">Passenger </w:t>
            </w:r>
            <w:r w:rsidR="00686D83" w:rsidRPr="000C27AA">
              <w:rPr>
                <w:rFonts w:ascii="Arial" w:hAnsi="Arial" w:cs="Arial"/>
                <w:sz w:val="18"/>
                <w:szCs w:val="18"/>
                <w:lang w:val="en-CA"/>
              </w:rPr>
              <w:t>g</w:t>
            </w:r>
            <w:r w:rsidRPr="000C27AA">
              <w:rPr>
                <w:rFonts w:ascii="Arial" w:hAnsi="Arial" w:cs="Arial"/>
                <w:sz w:val="18"/>
                <w:szCs w:val="18"/>
                <w:lang w:val="en-CA"/>
              </w:rPr>
              <w:t xml:space="preserve">rowth, </w:t>
            </w:r>
            <w:r w:rsidR="00686D83" w:rsidRPr="000C27AA">
              <w:rPr>
                <w:rFonts w:ascii="Arial" w:hAnsi="Arial" w:cs="Arial"/>
                <w:sz w:val="18"/>
                <w:szCs w:val="18"/>
                <w:lang w:val="en-CA"/>
              </w:rPr>
              <w:t>RPK (in</w:t>
            </w:r>
            <w:r w:rsidRPr="000C27AA">
              <w:rPr>
                <w:rFonts w:ascii="Arial" w:hAnsi="Arial" w:cs="Arial"/>
                <w:sz w:val="18"/>
                <w:szCs w:val="18"/>
                <w:lang w:val="en-CA"/>
              </w:rPr>
              <w:t xml:space="preserve"> %</w:t>
            </w:r>
            <w:r w:rsidR="00686D83" w:rsidRPr="000C27AA">
              <w:rPr>
                <w:rFonts w:ascii="Arial" w:hAnsi="Arial" w:cs="Arial"/>
                <w:sz w:val="18"/>
                <w:szCs w:val="18"/>
                <w:lang w:val="en-CA"/>
              </w:rPr>
              <w:t>)</w:t>
            </w:r>
          </w:p>
        </w:tc>
        <w:tc>
          <w:tcPr>
            <w:tcW w:w="935" w:type="dxa"/>
            <w:tcBorders>
              <w:top w:val="nil"/>
              <w:left w:val="nil"/>
              <w:bottom w:val="nil"/>
              <w:right w:val="nil"/>
            </w:tcBorders>
            <w:shd w:val="clear" w:color="auto" w:fill="auto"/>
            <w:noWrap/>
            <w:vAlign w:val="bottom"/>
            <w:hideMark/>
          </w:tcPr>
          <w:p w14:paraId="40CF3DE0" w14:textId="77777777" w:rsidR="00BD3CFA" w:rsidRPr="000C27AA" w:rsidRDefault="00BD3CFA" w:rsidP="00BE3625">
            <w:pPr>
              <w:ind w:firstLineChars="200" w:firstLine="360"/>
              <w:rPr>
                <w:rFonts w:ascii="Arial" w:hAnsi="Arial" w:cs="Arial"/>
                <w:sz w:val="18"/>
                <w:szCs w:val="18"/>
                <w:lang w:val="en-CA"/>
              </w:rPr>
            </w:pPr>
            <w:r w:rsidRPr="000C27AA">
              <w:rPr>
                <w:rFonts w:ascii="Arial" w:hAnsi="Arial" w:cs="Arial"/>
                <w:sz w:val="18"/>
                <w:szCs w:val="18"/>
                <w:lang w:val="en-CA"/>
              </w:rPr>
              <w:t>7.4</w:t>
            </w:r>
          </w:p>
        </w:tc>
        <w:tc>
          <w:tcPr>
            <w:tcW w:w="714" w:type="dxa"/>
            <w:tcBorders>
              <w:top w:val="nil"/>
              <w:left w:val="nil"/>
              <w:bottom w:val="nil"/>
              <w:right w:val="nil"/>
            </w:tcBorders>
            <w:shd w:val="clear" w:color="auto" w:fill="auto"/>
            <w:noWrap/>
            <w:vAlign w:val="bottom"/>
            <w:hideMark/>
          </w:tcPr>
          <w:p w14:paraId="698586BA"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7.4</w:t>
            </w:r>
          </w:p>
        </w:tc>
        <w:tc>
          <w:tcPr>
            <w:tcW w:w="714" w:type="dxa"/>
            <w:tcBorders>
              <w:top w:val="nil"/>
              <w:left w:val="nil"/>
              <w:bottom w:val="nil"/>
              <w:right w:val="nil"/>
            </w:tcBorders>
            <w:shd w:val="clear" w:color="auto" w:fill="auto"/>
            <w:noWrap/>
            <w:vAlign w:val="bottom"/>
            <w:hideMark/>
          </w:tcPr>
          <w:p w14:paraId="428E6AEE"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8.1</w:t>
            </w:r>
          </w:p>
        </w:tc>
        <w:tc>
          <w:tcPr>
            <w:tcW w:w="714" w:type="dxa"/>
            <w:tcBorders>
              <w:top w:val="nil"/>
              <w:left w:val="nil"/>
              <w:bottom w:val="nil"/>
              <w:right w:val="nil"/>
            </w:tcBorders>
            <w:shd w:val="clear" w:color="auto" w:fill="auto"/>
            <w:noWrap/>
            <w:vAlign w:val="bottom"/>
            <w:hideMark/>
          </w:tcPr>
          <w:p w14:paraId="6CA912BC"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7.4</w:t>
            </w:r>
          </w:p>
        </w:tc>
        <w:tc>
          <w:tcPr>
            <w:tcW w:w="714" w:type="dxa"/>
            <w:tcBorders>
              <w:top w:val="nil"/>
              <w:left w:val="nil"/>
              <w:bottom w:val="nil"/>
              <w:right w:val="nil"/>
            </w:tcBorders>
            <w:shd w:val="clear" w:color="auto" w:fill="auto"/>
            <w:noWrap/>
            <w:vAlign w:val="bottom"/>
            <w:hideMark/>
          </w:tcPr>
          <w:p w14:paraId="2D40B42E"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4.2</w:t>
            </w:r>
          </w:p>
        </w:tc>
        <w:tc>
          <w:tcPr>
            <w:tcW w:w="794" w:type="dxa"/>
            <w:tcBorders>
              <w:top w:val="nil"/>
              <w:left w:val="nil"/>
              <w:bottom w:val="nil"/>
              <w:right w:val="nil"/>
            </w:tcBorders>
            <w:shd w:val="clear" w:color="auto" w:fill="F2F2F2"/>
            <w:noWrap/>
            <w:vAlign w:val="bottom"/>
            <w:hideMark/>
          </w:tcPr>
          <w:p w14:paraId="264D022F" w14:textId="4396B194"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w:t>
            </w:r>
            <w:r w:rsidR="00686D83" w:rsidRPr="000C27AA">
              <w:rPr>
                <w:rFonts w:ascii="Arial" w:hAnsi="Arial" w:cs="Arial"/>
                <w:sz w:val="18"/>
                <w:szCs w:val="18"/>
                <w:lang w:val="en-CA"/>
              </w:rPr>
              <w:t>–</w:t>
            </w:r>
            <w:r w:rsidRPr="000C27AA">
              <w:rPr>
                <w:rFonts w:ascii="Arial" w:hAnsi="Arial" w:cs="Arial"/>
                <w:sz w:val="18"/>
                <w:szCs w:val="18"/>
                <w:lang w:val="en-CA"/>
              </w:rPr>
              <w:t>54.7</w:t>
            </w:r>
          </w:p>
        </w:tc>
        <w:tc>
          <w:tcPr>
            <w:tcW w:w="794" w:type="dxa"/>
            <w:tcBorders>
              <w:top w:val="nil"/>
              <w:left w:val="nil"/>
              <w:bottom w:val="nil"/>
              <w:right w:val="single" w:sz="4" w:space="0" w:color="auto"/>
            </w:tcBorders>
            <w:shd w:val="clear" w:color="auto" w:fill="F2F2F2"/>
            <w:noWrap/>
            <w:vAlign w:val="bottom"/>
            <w:hideMark/>
          </w:tcPr>
          <w:p w14:paraId="735984C3"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55.2</w:t>
            </w:r>
          </w:p>
        </w:tc>
      </w:tr>
      <w:tr w:rsidR="00BD3CFA" w:rsidRPr="000C27AA" w14:paraId="7B0E53CA"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5E1CB8D5" w14:textId="23C79D7C" w:rsidR="00BD3CFA" w:rsidRPr="000C27AA" w:rsidRDefault="00BD3CFA" w:rsidP="00D21755">
            <w:pPr>
              <w:ind w:left="335"/>
              <w:rPr>
                <w:rFonts w:ascii="Arial" w:hAnsi="Arial" w:cs="Arial"/>
                <w:sz w:val="18"/>
                <w:szCs w:val="18"/>
                <w:lang w:val="en-CA"/>
              </w:rPr>
            </w:pPr>
            <w:r w:rsidRPr="000C27AA">
              <w:rPr>
                <w:rFonts w:ascii="Arial" w:hAnsi="Arial" w:cs="Arial"/>
                <w:sz w:val="18"/>
                <w:szCs w:val="18"/>
                <w:lang w:val="en-CA"/>
              </w:rPr>
              <w:t>Scheduled passengers (</w:t>
            </w:r>
            <w:r w:rsidR="00686D83" w:rsidRPr="000C27AA">
              <w:rPr>
                <w:rFonts w:ascii="Arial" w:hAnsi="Arial" w:cs="Arial"/>
                <w:sz w:val="18"/>
                <w:szCs w:val="18"/>
                <w:lang w:val="en-CA"/>
              </w:rPr>
              <w:t xml:space="preserve">in </w:t>
            </w:r>
            <w:r w:rsidRPr="000C27AA">
              <w:rPr>
                <w:rFonts w:ascii="Arial" w:hAnsi="Arial" w:cs="Arial"/>
                <w:sz w:val="18"/>
                <w:szCs w:val="18"/>
                <w:lang w:val="en-CA"/>
              </w:rPr>
              <w:t>million)</w:t>
            </w:r>
          </w:p>
        </w:tc>
        <w:tc>
          <w:tcPr>
            <w:tcW w:w="935" w:type="dxa"/>
            <w:tcBorders>
              <w:top w:val="nil"/>
              <w:left w:val="nil"/>
              <w:bottom w:val="nil"/>
              <w:right w:val="nil"/>
            </w:tcBorders>
            <w:shd w:val="clear" w:color="auto" w:fill="auto"/>
            <w:noWrap/>
            <w:vAlign w:val="bottom"/>
            <w:hideMark/>
          </w:tcPr>
          <w:p w14:paraId="0EEBAF47"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3,569</w:t>
            </w:r>
          </w:p>
        </w:tc>
        <w:tc>
          <w:tcPr>
            <w:tcW w:w="714" w:type="dxa"/>
            <w:tcBorders>
              <w:top w:val="nil"/>
              <w:left w:val="nil"/>
              <w:bottom w:val="nil"/>
              <w:right w:val="nil"/>
            </w:tcBorders>
            <w:shd w:val="clear" w:color="auto" w:fill="auto"/>
            <w:noWrap/>
            <w:vAlign w:val="bottom"/>
            <w:hideMark/>
          </w:tcPr>
          <w:p w14:paraId="02AFFFDA"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3,817</w:t>
            </w:r>
          </w:p>
        </w:tc>
        <w:tc>
          <w:tcPr>
            <w:tcW w:w="714" w:type="dxa"/>
            <w:tcBorders>
              <w:top w:val="nil"/>
              <w:left w:val="nil"/>
              <w:bottom w:val="nil"/>
              <w:right w:val="nil"/>
            </w:tcBorders>
            <w:shd w:val="clear" w:color="auto" w:fill="auto"/>
            <w:noWrap/>
            <w:vAlign w:val="bottom"/>
            <w:hideMark/>
          </w:tcPr>
          <w:p w14:paraId="34F7057E"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4,095</w:t>
            </w:r>
          </w:p>
        </w:tc>
        <w:tc>
          <w:tcPr>
            <w:tcW w:w="714" w:type="dxa"/>
            <w:tcBorders>
              <w:top w:val="nil"/>
              <w:left w:val="nil"/>
              <w:bottom w:val="nil"/>
              <w:right w:val="nil"/>
            </w:tcBorders>
            <w:shd w:val="clear" w:color="auto" w:fill="auto"/>
            <w:noWrap/>
            <w:vAlign w:val="bottom"/>
            <w:hideMark/>
          </w:tcPr>
          <w:p w14:paraId="039A8E91"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4,378</w:t>
            </w:r>
          </w:p>
        </w:tc>
        <w:tc>
          <w:tcPr>
            <w:tcW w:w="714" w:type="dxa"/>
            <w:tcBorders>
              <w:top w:val="nil"/>
              <w:left w:val="nil"/>
              <w:bottom w:val="nil"/>
              <w:right w:val="nil"/>
            </w:tcBorders>
            <w:shd w:val="clear" w:color="auto" w:fill="auto"/>
            <w:noWrap/>
            <w:vAlign w:val="bottom"/>
            <w:hideMark/>
          </w:tcPr>
          <w:p w14:paraId="5B5C0859"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4,543</w:t>
            </w:r>
          </w:p>
        </w:tc>
        <w:tc>
          <w:tcPr>
            <w:tcW w:w="794" w:type="dxa"/>
            <w:tcBorders>
              <w:top w:val="nil"/>
              <w:left w:val="nil"/>
              <w:bottom w:val="nil"/>
              <w:right w:val="nil"/>
            </w:tcBorders>
            <w:shd w:val="clear" w:color="auto" w:fill="F2F2F2"/>
            <w:noWrap/>
            <w:vAlign w:val="bottom"/>
            <w:hideMark/>
          </w:tcPr>
          <w:p w14:paraId="74B91698"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2,246</w:t>
            </w:r>
          </w:p>
        </w:tc>
        <w:tc>
          <w:tcPr>
            <w:tcW w:w="794" w:type="dxa"/>
            <w:tcBorders>
              <w:top w:val="nil"/>
              <w:left w:val="nil"/>
              <w:bottom w:val="nil"/>
              <w:right w:val="single" w:sz="4" w:space="0" w:color="auto"/>
            </w:tcBorders>
            <w:shd w:val="clear" w:color="auto" w:fill="F2F2F2"/>
            <w:noWrap/>
            <w:vAlign w:val="bottom"/>
            <w:hideMark/>
          </w:tcPr>
          <w:p w14:paraId="7BA4C45E"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3,384</w:t>
            </w:r>
          </w:p>
        </w:tc>
      </w:tr>
      <w:tr w:rsidR="00BD3CFA" w:rsidRPr="000C27AA" w14:paraId="411B7740"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6FB16025" w14:textId="1A6382E0" w:rsidR="00BD3CFA" w:rsidRPr="000C27AA" w:rsidRDefault="00BD3CFA" w:rsidP="00D21755">
            <w:pPr>
              <w:ind w:left="335"/>
              <w:rPr>
                <w:rFonts w:ascii="Arial" w:hAnsi="Arial" w:cs="Arial"/>
                <w:sz w:val="18"/>
                <w:szCs w:val="18"/>
                <w:lang w:val="en-CA"/>
              </w:rPr>
            </w:pPr>
            <w:r w:rsidRPr="000C27AA">
              <w:rPr>
                <w:rFonts w:ascii="Arial" w:hAnsi="Arial" w:cs="Arial"/>
                <w:sz w:val="18"/>
                <w:szCs w:val="18"/>
                <w:lang w:val="en-CA"/>
              </w:rPr>
              <w:t xml:space="preserve">Passenger yield </w:t>
            </w:r>
            <w:r w:rsidR="00686D83" w:rsidRPr="000C27AA">
              <w:rPr>
                <w:rFonts w:ascii="Arial" w:hAnsi="Arial" w:cs="Arial"/>
                <w:sz w:val="18"/>
                <w:szCs w:val="18"/>
                <w:lang w:val="en-CA"/>
              </w:rPr>
              <w:t xml:space="preserve">(in </w:t>
            </w:r>
            <w:r w:rsidRPr="000C27AA">
              <w:rPr>
                <w:rFonts w:ascii="Arial" w:hAnsi="Arial" w:cs="Arial"/>
                <w:sz w:val="18"/>
                <w:szCs w:val="18"/>
                <w:lang w:val="en-CA"/>
              </w:rPr>
              <w:t>%</w:t>
            </w:r>
            <w:r w:rsidR="00686D83" w:rsidRPr="000C27AA">
              <w:rPr>
                <w:rFonts w:ascii="Arial" w:hAnsi="Arial" w:cs="Arial"/>
                <w:sz w:val="18"/>
                <w:szCs w:val="18"/>
                <w:lang w:val="en-CA"/>
              </w:rPr>
              <w:t>)</w:t>
            </w:r>
          </w:p>
        </w:tc>
        <w:tc>
          <w:tcPr>
            <w:tcW w:w="935" w:type="dxa"/>
            <w:tcBorders>
              <w:top w:val="nil"/>
              <w:left w:val="nil"/>
              <w:bottom w:val="nil"/>
              <w:right w:val="nil"/>
            </w:tcBorders>
            <w:shd w:val="clear" w:color="auto" w:fill="auto"/>
            <w:noWrap/>
            <w:vAlign w:val="bottom"/>
            <w:hideMark/>
          </w:tcPr>
          <w:p w14:paraId="02C25DB6" w14:textId="3C975CBC" w:rsidR="00BD3CFA" w:rsidRPr="000C27AA" w:rsidRDefault="00686D83" w:rsidP="00BE3625">
            <w:pPr>
              <w:jc w:val="right"/>
              <w:rPr>
                <w:rFonts w:ascii="Arial" w:hAnsi="Arial" w:cs="Arial"/>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10.3</w:t>
            </w:r>
          </w:p>
        </w:tc>
        <w:tc>
          <w:tcPr>
            <w:tcW w:w="714" w:type="dxa"/>
            <w:tcBorders>
              <w:top w:val="nil"/>
              <w:left w:val="nil"/>
              <w:bottom w:val="nil"/>
              <w:right w:val="nil"/>
            </w:tcBorders>
            <w:shd w:val="clear" w:color="auto" w:fill="auto"/>
            <w:noWrap/>
            <w:vAlign w:val="bottom"/>
            <w:hideMark/>
          </w:tcPr>
          <w:p w14:paraId="7591C2BD" w14:textId="5418BF19" w:rsidR="00BD3CFA" w:rsidRPr="000C27AA" w:rsidRDefault="00686D83" w:rsidP="00BE3625">
            <w:pPr>
              <w:jc w:val="right"/>
              <w:rPr>
                <w:rFonts w:ascii="Arial" w:hAnsi="Arial" w:cs="Arial"/>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7</w:t>
            </w:r>
          </w:p>
        </w:tc>
        <w:tc>
          <w:tcPr>
            <w:tcW w:w="714" w:type="dxa"/>
            <w:tcBorders>
              <w:top w:val="nil"/>
              <w:left w:val="nil"/>
              <w:bottom w:val="nil"/>
              <w:right w:val="nil"/>
            </w:tcBorders>
            <w:shd w:val="clear" w:color="auto" w:fill="auto"/>
            <w:noWrap/>
            <w:vAlign w:val="bottom"/>
            <w:hideMark/>
          </w:tcPr>
          <w:p w14:paraId="73E8D2A2" w14:textId="29AB9CC2" w:rsidR="00BD3CFA" w:rsidRPr="000C27AA" w:rsidRDefault="00686D83" w:rsidP="00BE3625">
            <w:pPr>
              <w:jc w:val="right"/>
              <w:rPr>
                <w:rFonts w:ascii="Arial" w:hAnsi="Arial" w:cs="Arial"/>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0.9</w:t>
            </w:r>
          </w:p>
        </w:tc>
        <w:tc>
          <w:tcPr>
            <w:tcW w:w="714" w:type="dxa"/>
            <w:tcBorders>
              <w:top w:val="nil"/>
              <w:left w:val="nil"/>
              <w:bottom w:val="nil"/>
              <w:right w:val="nil"/>
            </w:tcBorders>
            <w:shd w:val="clear" w:color="auto" w:fill="auto"/>
            <w:noWrap/>
            <w:vAlign w:val="bottom"/>
            <w:hideMark/>
          </w:tcPr>
          <w:p w14:paraId="45E57914"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2.6</w:t>
            </w:r>
          </w:p>
        </w:tc>
        <w:tc>
          <w:tcPr>
            <w:tcW w:w="714" w:type="dxa"/>
            <w:tcBorders>
              <w:top w:val="nil"/>
              <w:left w:val="nil"/>
              <w:bottom w:val="nil"/>
              <w:right w:val="nil"/>
            </w:tcBorders>
            <w:shd w:val="clear" w:color="auto" w:fill="auto"/>
            <w:noWrap/>
            <w:vAlign w:val="bottom"/>
            <w:hideMark/>
          </w:tcPr>
          <w:p w14:paraId="0F62C138" w14:textId="37B58886" w:rsidR="00BD3CFA" w:rsidRPr="000C27AA" w:rsidRDefault="00686D83" w:rsidP="00BE3625">
            <w:pPr>
              <w:jc w:val="right"/>
              <w:rPr>
                <w:rFonts w:ascii="Arial" w:hAnsi="Arial" w:cs="Arial"/>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3</w:t>
            </w:r>
          </w:p>
        </w:tc>
        <w:tc>
          <w:tcPr>
            <w:tcW w:w="794" w:type="dxa"/>
            <w:tcBorders>
              <w:top w:val="nil"/>
              <w:left w:val="nil"/>
              <w:bottom w:val="nil"/>
              <w:right w:val="nil"/>
            </w:tcBorders>
            <w:shd w:val="clear" w:color="auto" w:fill="F2F2F2"/>
            <w:noWrap/>
            <w:vAlign w:val="bottom"/>
            <w:hideMark/>
          </w:tcPr>
          <w:p w14:paraId="5A9B49B9" w14:textId="5ACE83A3" w:rsidR="00BD3CFA" w:rsidRPr="000C27AA" w:rsidRDefault="00686D83" w:rsidP="00BE3625">
            <w:pPr>
              <w:jc w:val="right"/>
              <w:rPr>
                <w:rFonts w:ascii="Arial" w:hAnsi="Arial" w:cs="Arial"/>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18</w:t>
            </w:r>
          </w:p>
        </w:tc>
        <w:tc>
          <w:tcPr>
            <w:tcW w:w="794" w:type="dxa"/>
            <w:tcBorders>
              <w:top w:val="nil"/>
              <w:left w:val="nil"/>
              <w:bottom w:val="nil"/>
              <w:right w:val="single" w:sz="4" w:space="0" w:color="auto"/>
            </w:tcBorders>
            <w:shd w:val="clear" w:color="auto" w:fill="F2F2F2"/>
            <w:noWrap/>
            <w:vAlign w:val="bottom"/>
            <w:hideMark/>
          </w:tcPr>
          <w:p w14:paraId="126829E2"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4</w:t>
            </w:r>
          </w:p>
        </w:tc>
      </w:tr>
      <w:tr w:rsidR="00BD3CFA" w:rsidRPr="000C27AA" w14:paraId="4D6B8E20"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55BABC46" w14:textId="77777777" w:rsidR="00BD3CFA" w:rsidRPr="000C27AA" w:rsidRDefault="00BD3CFA" w:rsidP="00BE3625">
            <w:pPr>
              <w:ind w:firstLineChars="300" w:firstLine="540"/>
              <w:rPr>
                <w:rFonts w:ascii="Arial" w:hAnsi="Arial" w:cs="Arial"/>
                <w:sz w:val="18"/>
                <w:szCs w:val="18"/>
                <w:lang w:val="en-CA"/>
              </w:rPr>
            </w:pPr>
            <w:r w:rsidRPr="000C27AA">
              <w:rPr>
                <w:rFonts w:ascii="Arial" w:hAnsi="Arial" w:cs="Arial"/>
                <w:sz w:val="18"/>
                <w:szCs w:val="18"/>
                <w:lang w:val="en-CA"/>
              </w:rPr>
              <w:t> </w:t>
            </w:r>
          </w:p>
        </w:tc>
        <w:tc>
          <w:tcPr>
            <w:tcW w:w="935" w:type="dxa"/>
            <w:tcBorders>
              <w:top w:val="nil"/>
              <w:left w:val="nil"/>
              <w:bottom w:val="nil"/>
              <w:right w:val="nil"/>
            </w:tcBorders>
            <w:shd w:val="clear" w:color="auto" w:fill="auto"/>
            <w:noWrap/>
            <w:vAlign w:val="bottom"/>
            <w:hideMark/>
          </w:tcPr>
          <w:p w14:paraId="77D5A417" w14:textId="77777777" w:rsidR="00BD3CFA" w:rsidRPr="000C27AA" w:rsidRDefault="00BD3CFA" w:rsidP="00BE3625">
            <w:pPr>
              <w:jc w:val="right"/>
              <w:rPr>
                <w:rFonts w:ascii="Arial" w:hAnsi="Arial" w:cs="Arial"/>
                <w:sz w:val="18"/>
                <w:szCs w:val="18"/>
                <w:lang w:val="en-CA"/>
              </w:rPr>
            </w:pPr>
          </w:p>
        </w:tc>
        <w:tc>
          <w:tcPr>
            <w:tcW w:w="714" w:type="dxa"/>
            <w:tcBorders>
              <w:top w:val="nil"/>
              <w:left w:val="nil"/>
              <w:bottom w:val="nil"/>
              <w:right w:val="nil"/>
            </w:tcBorders>
            <w:shd w:val="clear" w:color="auto" w:fill="auto"/>
            <w:noWrap/>
            <w:vAlign w:val="bottom"/>
            <w:hideMark/>
          </w:tcPr>
          <w:p w14:paraId="5A04FE50" w14:textId="77777777" w:rsidR="00BD3CFA" w:rsidRPr="000C27AA" w:rsidRDefault="00BD3CFA" w:rsidP="00BE3625">
            <w:pPr>
              <w:jc w:val="right"/>
              <w:rPr>
                <w:rFonts w:ascii="Arial" w:hAnsi="Arial" w:cs="Arial"/>
                <w:sz w:val="18"/>
                <w:szCs w:val="18"/>
                <w:lang w:val="en-CA"/>
              </w:rPr>
            </w:pPr>
          </w:p>
        </w:tc>
        <w:tc>
          <w:tcPr>
            <w:tcW w:w="714" w:type="dxa"/>
            <w:tcBorders>
              <w:top w:val="nil"/>
              <w:left w:val="nil"/>
              <w:bottom w:val="nil"/>
              <w:right w:val="nil"/>
            </w:tcBorders>
            <w:shd w:val="clear" w:color="auto" w:fill="auto"/>
            <w:noWrap/>
            <w:vAlign w:val="bottom"/>
            <w:hideMark/>
          </w:tcPr>
          <w:p w14:paraId="0C9D3BED" w14:textId="77777777" w:rsidR="00BD3CFA" w:rsidRPr="000C27AA" w:rsidRDefault="00BD3CFA" w:rsidP="00BE3625">
            <w:pPr>
              <w:jc w:val="right"/>
              <w:rPr>
                <w:rFonts w:ascii="Arial" w:hAnsi="Arial" w:cs="Arial"/>
                <w:sz w:val="18"/>
                <w:szCs w:val="18"/>
                <w:lang w:val="en-CA"/>
              </w:rPr>
            </w:pPr>
          </w:p>
        </w:tc>
        <w:tc>
          <w:tcPr>
            <w:tcW w:w="714" w:type="dxa"/>
            <w:tcBorders>
              <w:top w:val="nil"/>
              <w:left w:val="nil"/>
              <w:bottom w:val="nil"/>
              <w:right w:val="nil"/>
            </w:tcBorders>
            <w:shd w:val="clear" w:color="auto" w:fill="auto"/>
            <w:noWrap/>
            <w:vAlign w:val="bottom"/>
            <w:hideMark/>
          </w:tcPr>
          <w:p w14:paraId="0710A60D" w14:textId="77777777" w:rsidR="00BD3CFA" w:rsidRPr="000C27AA" w:rsidRDefault="00BD3CFA" w:rsidP="00BE3625">
            <w:pPr>
              <w:jc w:val="right"/>
              <w:rPr>
                <w:rFonts w:ascii="Arial" w:hAnsi="Arial" w:cs="Arial"/>
                <w:sz w:val="18"/>
                <w:szCs w:val="18"/>
                <w:lang w:val="en-CA"/>
              </w:rPr>
            </w:pPr>
          </w:p>
        </w:tc>
        <w:tc>
          <w:tcPr>
            <w:tcW w:w="714" w:type="dxa"/>
            <w:tcBorders>
              <w:top w:val="nil"/>
              <w:left w:val="nil"/>
              <w:bottom w:val="nil"/>
              <w:right w:val="nil"/>
            </w:tcBorders>
            <w:shd w:val="clear" w:color="auto" w:fill="auto"/>
            <w:noWrap/>
            <w:vAlign w:val="bottom"/>
            <w:hideMark/>
          </w:tcPr>
          <w:p w14:paraId="24BF07FB" w14:textId="77777777" w:rsidR="00BD3CFA" w:rsidRPr="000C27AA" w:rsidRDefault="00BD3CFA" w:rsidP="00BE3625">
            <w:pPr>
              <w:jc w:val="right"/>
              <w:rPr>
                <w:rFonts w:ascii="Arial" w:hAnsi="Arial" w:cs="Arial"/>
                <w:sz w:val="18"/>
                <w:szCs w:val="18"/>
                <w:lang w:val="en-CA"/>
              </w:rPr>
            </w:pPr>
          </w:p>
        </w:tc>
        <w:tc>
          <w:tcPr>
            <w:tcW w:w="794" w:type="dxa"/>
            <w:tcBorders>
              <w:top w:val="nil"/>
              <w:left w:val="nil"/>
              <w:bottom w:val="nil"/>
              <w:right w:val="nil"/>
            </w:tcBorders>
            <w:shd w:val="clear" w:color="auto" w:fill="F2F2F2"/>
            <w:noWrap/>
            <w:vAlign w:val="bottom"/>
            <w:hideMark/>
          </w:tcPr>
          <w:p w14:paraId="4FA1F80E"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 </w:t>
            </w:r>
          </w:p>
        </w:tc>
        <w:tc>
          <w:tcPr>
            <w:tcW w:w="794" w:type="dxa"/>
            <w:tcBorders>
              <w:top w:val="nil"/>
              <w:left w:val="nil"/>
              <w:bottom w:val="nil"/>
              <w:right w:val="single" w:sz="4" w:space="0" w:color="auto"/>
            </w:tcBorders>
            <w:shd w:val="clear" w:color="auto" w:fill="F2F2F2"/>
            <w:noWrap/>
            <w:vAlign w:val="bottom"/>
            <w:hideMark/>
          </w:tcPr>
          <w:p w14:paraId="13B6230E"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 </w:t>
            </w:r>
          </w:p>
        </w:tc>
      </w:tr>
      <w:tr w:rsidR="00BD3CFA" w:rsidRPr="000C27AA" w14:paraId="784CC0F6"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32384AC0" w14:textId="5F5D2094" w:rsidR="00BD3CFA" w:rsidRPr="000C27AA" w:rsidRDefault="00BD3CFA" w:rsidP="00BE3625">
            <w:pPr>
              <w:rPr>
                <w:rFonts w:ascii="Arial" w:hAnsi="Arial" w:cs="Arial"/>
                <w:sz w:val="18"/>
                <w:szCs w:val="18"/>
                <w:lang w:val="en-CA"/>
              </w:rPr>
            </w:pPr>
            <w:r w:rsidRPr="000C27AA">
              <w:rPr>
                <w:rFonts w:ascii="Arial" w:hAnsi="Arial" w:cs="Arial"/>
                <w:b/>
                <w:bCs/>
                <w:sz w:val="18"/>
                <w:szCs w:val="18"/>
                <w:lang w:val="en-CA"/>
              </w:rPr>
              <w:t>Expenses</w:t>
            </w:r>
          </w:p>
        </w:tc>
        <w:tc>
          <w:tcPr>
            <w:tcW w:w="935" w:type="dxa"/>
            <w:tcBorders>
              <w:top w:val="nil"/>
              <w:left w:val="nil"/>
              <w:bottom w:val="nil"/>
              <w:right w:val="nil"/>
            </w:tcBorders>
            <w:shd w:val="clear" w:color="auto" w:fill="auto"/>
            <w:noWrap/>
            <w:vAlign w:val="bottom"/>
            <w:hideMark/>
          </w:tcPr>
          <w:p w14:paraId="34987B85"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659</w:t>
            </w:r>
          </w:p>
        </w:tc>
        <w:tc>
          <w:tcPr>
            <w:tcW w:w="714" w:type="dxa"/>
            <w:tcBorders>
              <w:top w:val="nil"/>
              <w:left w:val="nil"/>
              <w:bottom w:val="nil"/>
              <w:right w:val="nil"/>
            </w:tcBorders>
            <w:shd w:val="clear" w:color="auto" w:fill="auto"/>
            <w:noWrap/>
            <w:vAlign w:val="bottom"/>
            <w:hideMark/>
          </w:tcPr>
          <w:p w14:paraId="58C77A00"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649</w:t>
            </w:r>
          </w:p>
        </w:tc>
        <w:tc>
          <w:tcPr>
            <w:tcW w:w="714" w:type="dxa"/>
            <w:tcBorders>
              <w:top w:val="nil"/>
              <w:left w:val="nil"/>
              <w:bottom w:val="nil"/>
              <w:right w:val="nil"/>
            </w:tcBorders>
            <w:shd w:val="clear" w:color="auto" w:fill="auto"/>
            <w:noWrap/>
            <w:vAlign w:val="bottom"/>
            <w:hideMark/>
          </w:tcPr>
          <w:p w14:paraId="77A04649"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698</w:t>
            </w:r>
          </w:p>
        </w:tc>
        <w:tc>
          <w:tcPr>
            <w:tcW w:w="714" w:type="dxa"/>
            <w:tcBorders>
              <w:top w:val="nil"/>
              <w:left w:val="nil"/>
              <w:bottom w:val="nil"/>
              <w:right w:val="nil"/>
            </w:tcBorders>
            <w:shd w:val="clear" w:color="auto" w:fill="auto"/>
            <w:noWrap/>
            <w:vAlign w:val="bottom"/>
            <w:hideMark/>
          </w:tcPr>
          <w:p w14:paraId="5AB55B20"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766</w:t>
            </w:r>
          </w:p>
        </w:tc>
        <w:tc>
          <w:tcPr>
            <w:tcW w:w="714" w:type="dxa"/>
            <w:tcBorders>
              <w:top w:val="nil"/>
              <w:left w:val="nil"/>
              <w:bottom w:val="nil"/>
              <w:right w:val="nil"/>
            </w:tcBorders>
            <w:shd w:val="clear" w:color="auto" w:fill="auto"/>
            <w:noWrap/>
            <w:vAlign w:val="bottom"/>
            <w:hideMark/>
          </w:tcPr>
          <w:p w14:paraId="7A75B728"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795</w:t>
            </w:r>
          </w:p>
        </w:tc>
        <w:tc>
          <w:tcPr>
            <w:tcW w:w="794" w:type="dxa"/>
            <w:tcBorders>
              <w:top w:val="nil"/>
              <w:left w:val="nil"/>
              <w:bottom w:val="nil"/>
              <w:right w:val="nil"/>
            </w:tcBorders>
            <w:shd w:val="clear" w:color="auto" w:fill="F2F2F2"/>
            <w:noWrap/>
            <w:vAlign w:val="bottom"/>
            <w:hideMark/>
          </w:tcPr>
          <w:p w14:paraId="11008640"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517</w:t>
            </w:r>
          </w:p>
        </w:tc>
        <w:tc>
          <w:tcPr>
            <w:tcW w:w="794" w:type="dxa"/>
            <w:tcBorders>
              <w:top w:val="nil"/>
              <w:left w:val="nil"/>
              <w:bottom w:val="nil"/>
              <w:right w:val="single" w:sz="4" w:space="0" w:color="auto"/>
            </w:tcBorders>
            <w:shd w:val="clear" w:color="auto" w:fill="F2F2F2"/>
            <w:noWrap/>
            <w:vAlign w:val="bottom"/>
            <w:hideMark/>
          </w:tcPr>
          <w:p w14:paraId="5C2AFD85"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623</w:t>
            </w:r>
          </w:p>
        </w:tc>
      </w:tr>
      <w:tr w:rsidR="00BD3CFA" w:rsidRPr="000C27AA" w14:paraId="30B1CA71"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3393A1EB" w14:textId="604E6772" w:rsidR="00BD3CFA" w:rsidRPr="000C27AA" w:rsidRDefault="00686D83" w:rsidP="00BE3625">
            <w:pPr>
              <w:ind w:firstLineChars="100" w:firstLine="180"/>
              <w:rPr>
                <w:rFonts w:ascii="Arial" w:hAnsi="Arial" w:cs="Arial"/>
                <w:sz w:val="18"/>
                <w:szCs w:val="18"/>
                <w:lang w:val="en-CA"/>
              </w:rPr>
            </w:pPr>
            <w:r w:rsidRPr="000C27AA">
              <w:rPr>
                <w:rFonts w:ascii="Arial" w:hAnsi="Arial" w:cs="Arial"/>
                <w:sz w:val="18"/>
                <w:szCs w:val="18"/>
                <w:lang w:val="en-CA"/>
              </w:rPr>
              <w:t>Change (in %)</w:t>
            </w:r>
          </w:p>
        </w:tc>
        <w:tc>
          <w:tcPr>
            <w:tcW w:w="935" w:type="dxa"/>
            <w:tcBorders>
              <w:top w:val="nil"/>
              <w:left w:val="nil"/>
              <w:bottom w:val="nil"/>
              <w:right w:val="nil"/>
            </w:tcBorders>
            <w:shd w:val="clear" w:color="auto" w:fill="auto"/>
            <w:noWrap/>
            <w:vAlign w:val="bottom"/>
            <w:hideMark/>
          </w:tcPr>
          <w:p w14:paraId="41B77449" w14:textId="717BF0A8" w:rsidR="00BD3CFA" w:rsidRPr="000C27AA" w:rsidRDefault="00686D83" w:rsidP="00BE3625">
            <w:pPr>
              <w:jc w:val="right"/>
              <w:rPr>
                <w:rFonts w:ascii="Arial" w:hAnsi="Arial" w:cs="Arial"/>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10</w:t>
            </w:r>
          </w:p>
        </w:tc>
        <w:tc>
          <w:tcPr>
            <w:tcW w:w="714" w:type="dxa"/>
            <w:tcBorders>
              <w:top w:val="nil"/>
              <w:left w:val="nil"/>
              <w:bottom w:val="nil"/>
              <w:right w:val="nil"/>
            </w:tcBorders>
            <w:shd w:val="clear" w:color="auto" w:fill="auto"/>
            <w:noWrap/>
            <w:vAlign w:val="bottom"/>
            <w:hideMark/>
          </w:tcPr>
          <w:p w14:paraId="35F4EC09" w14:textId="60044E9D" w:rsidR="00BD3CFA" w:rsidRPr="000C27AA" w:rsidRDefault="00686D83" w:rsidP="00BE3625">
            <w:pPr>
              <w:jc w:val="right"/>
              <w:rPr>
                <w:rFonts w:ascii="Arial" w:hAnsi="Arial" w:cs="Arial"/>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1.5</w:t>
            </w:r>
          </w:p>
        </w:tc>
        <w:tc>
          <w:tcPr>
            <w:tcW w:w="714" w:type="dxa"/>
            <w:tcBorders>
              <w:top w:val="nil"/>
              <w:left w:val="nil"/>
              <w:bottom w:val="nil"/>
              <w:right w:val="nil"/>
            </w:tcBorders>
            <w:shd w:val="clear" w:color="auto" w:fill="auto"/>
            <w:noWrap/>
            <w:vAlign w:val="bottom"/>
            <w:hideMark/>
          </w:tcPr>
          <w:p w14:paraId="100FF51B"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7.6</w:t>
            </w:r>
          </w:p>
        </w:tc>
        <w:tc>
          <w:tcPr>
            <w:tcW w:w="714" w:type="dxa"/>
            <w:tcBorders>
              <w:top w:val="nil"/>
              <w:left w:val="nil"/>
              <w:bottom w:val="nil"/>
              <w:right w:val="nil"/>
            </w:tcBorders>
            <w:shd w:val="clear" w:color="auto" w:fill="auto"/>
            <w:noWrap/>
            <w:vAlign w:val="bottom"/>
            <w:hideMark/>
          </w:tcPr>
          <w:p w14:paraId="4F3ACC7F"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9.7</w:t>
            </w:r>
          </w:p>
        </w:tc>
        <w:tc>
          <w:tcPr>
            <w:tcW w:w="714" w:type="dxa"/>
            <w:tcBorders>
              <w:top w:val="nil"/>
              <w:left w:val="nil"/>
              <w:bottom w:val="nil"/>
              <w:right w:val="nil"/>
            </w:tcBorders>
            <w:shd w:val="clear" w:color="auto" w:fill="auto"/>
            <w:noWrap/>
            <w:vAlign w:val="bottom"/>
            <w:hideMark/>
          </w:tcPr>
          <w:p w14:paraId="1DC40D1D"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3.7</w:t>
            </w:r>
          </w:p>
        </w:tc>
        <w:tc>
          <w:tcPr>
            <w:tcW w:w="794" w:type="dxa"/>
            <w:tcBorders>
              <w:top w:val="nil"/>
              <w:left w:val="nil"/>
              <w:bottom w:val="nil"/>
              <w:right w:val="nil"/>
            </w:tcBorders>
            <w:shd w:val="clear" w:color="auto" w:fill="F2F2F2"/>
            <w:noWrap/>
            <w:vAlign w:val="bottom"/>
            <w:hideMark/>
          </w:tcPr>
          <w:p w14:paraId="0537D75F" w14:textId="0F0220DC" w:rsidR="00BD3CFA" w:rsidRPr="000C27AA" w:rsidRDefault="00686D83" w:rsidP="00BE3625">
            <w:pPr>
              <w:jc w:val="right"/>
              <w:rPr>
                <w:rFonts w:ascii="Arial" w:hAnsi="Arial" w:cs="Arial"/>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34.9</w:t>
            </w:r>
          </w:p>
        </w:tc>
        <w:tc>
          <w:tcPr>
            <w:tcW w:w="794" w:type="dxa"/>
            <w:tcBorders>
              <w:top w:val="nil"/>
              <w:left w:val="nil"/>
              <w:bottom w:val="nil"/>
              <w:right w:val="single" w:sz="4" w:space="0" w:color="auto"/>
            </w:tcBorders>
            <w:shd w:val="clear" w:color="auto" w:fill="F2F2F2"/>
            <w:noWrap/>
            <w:vAlign w:val="bottom"/>
            <w:hideMark/>
          </w:tcPr>
          <w:p w14:paraId="4A4E1614"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20.5</w:t>
            </w:r>
          </w:p>
        </w:tc>
      </w:tr>
      <w:tr w:rsidR="00BD3CFA" w:rsidRPr="000C27AA" w14:paraId="75FE4862"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2FB02E56" w14:textId="7B826BB6" w:rsidR="00BD3CFA" w:rsidRPr="000C27AA" w:rsidRDefault="00BD3CFA" w:rsidP="00BE3625">
            <w:pPr>
              <w:ind w:firstLineChars="100" w:firstLine="180"/>
              <w:rPr>
                <w:rFonts w:ascii="Arial" w:hAnsi="Arial" w:cs="Arial"/>
                <w:sz w:val="18"/>
                <w:szCs w:val="18"/>
                <w:lang w:val="en-CA"/>
              </w:rPr>
            </w:pPr>
            <w:r w:rsidRPr="000C27AA">
              <w:rPr>
                <w:rFonts w:ascii="Arial" w:hAnsi="Arial" w:cs="Arial"/>
                <w:sz w:val="18"/>
                <w:szCs w:val="18"/>
                <w:lang w:val="en-CA"/>
              </w:rPr>
              <w:t xml:space="preserve">Fuel </w:t>
            </w:r>
            <w:r w:rsidR="00686D83" w:rsidRPr="000C27AA">
              <w:rPr>
                <w:rFonts w:ascii="Arial" w:hAnsi="Arial" w:cs="Arial"/>
                <w:sz w:val="18"/>
                <w:szCs w:val="18"/>
                <w:lang w:val="en-CA"/>
              </w:rPr>
              <w:t>(in US</w:t>
            </w:r>
            <w:r w:rsidRPr="000C27AA">
              <w:rPr>
                <w:rFonts w:ascii="Arial" w:hAnsi="Arial" w:cs="Arial"/>
                <w:sz w:val="18"/>
                <w:szCs w:val="18"/>
                <w:lang w:val="en-CA"/>
              </w:rPr>
              <w:t>$ billion</w:t>
            </w:r>
            <w:r w:rsidR="00686D83" w:rsidRPr="000C27AA">
              <w:rPr>
                <w:rFonts w:ascii="Arial" w:hAnsi="Arial" w:cs="Arial"/>
                <w:sz w:val="18"/>
                <w:szCs w:val="18"/>
                <w:lang w:val="en-CA"/>
              </w:rPr>
              <w:t>)</w:t>
            </w:r>
          </w:p>
        </w:tc>
        <w:tc>
          <w:tcPr>
            <w:tcW w:w="935" w:type="dxa"/>
            <w:tcBorders>
              <w:top w:val="nil"/>
              <w:left w:val="nil"/>
              <w:bottom w:val="nil"/>
              <w:right w:val="nil"/>
            </w:tcBorders>
            <w:shd w:val="clear" w:color="auto" w:fill="auto"/>
            <w:noWrap/>
            <w:vAlign w:val="bottom"/>
            <w:hideMark/>
          </w:tcPr>
          <w:p w14:paraId="14EE788E"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175</w:t>
            </w:r>
          </w:p>
        </w:tc>
        <w:tc>
          <w:tcPr>
            <w:tcW w:w="714" w:type="dxa"/>
            <w:tcBorders>
              <w:top w:val="nil"/>
              <w:left w:val="nil"/>
              <w:bottom w:val="nil"/>
              <w:right w:val="nil"/>
            </w:tcBorders>
            <w:shd w:val="clear" w:color="auto" w:fill="auto"/>
            <w:noWrap/>
            <w:vAlign w:val="bottom"/>
            <w:hideMark/>
          </w:tcPr>
          <w:p w14:paraId="1B9394DD"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135</w:t>
            </w:r>
          </w:p>
        </w:tc>
        <w:tc>
          <w:tcPr>
            <w:tcW w:w="714" w:type="dxa"/>
            <w:tcBorders>
              <w:top w:val="nil"/>
              <w:left w:val="nil"/>
              <w:bottom w:val="nil"/>
              <w:right w:val="nil"/>
            </w:tcBorders>
            <w:shd w:val="clear" w:color="auto" w:fill="auto"/>
            <w:noWrap/>
            <w:vAlign w:val="bottom"/>
            <w:hideMark/>
          </w:tcPr>
          <w:p w14:paraId="07C29B62"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149</w:t>
            </w:r>
          </w:p>
        </w:tc>
        <w:tc>
          <w:tcPr>
            <w:tcW w:w="714" w:type="dxa"/>
            <w:tcBorders>
              <w:top w:val="nil"/>
              <w:left w:val="nil"/>
              <w:bottom w:val="nil"/>
              <w:right w:val="nil"/>
            </w:tcBorders>
            <w:shd w:val="clear" w:color="auto" w:fill="auto"/>
            <w:noWrap/>
            <w:vAlign w:val="bottom"/>
            <w:hideMark/>
          </w:tcPr>
          <w:p w14:paraId="4FCFC1D0"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180</w:t>
            </w:r>
          </w:p>
        </w:tc>
        <w:tc>
          <w:tcPr>
            <w:tcW w:w="714" w:type="dxa"/>
            <w:tcBorders>
              <w:top w:val="nil"/>
              <w:left w:val="nil"/>
              <w:bottom w:val="nil"/>
              <w:right w:val="nil"/>
            </w:tcBorders>
            <w:shd w:val="clear" w:color="auto" w:fill="auto"/>
            <w:noWrap/>
            <w:vAlign w:val="bottom"/>
            <w:hideMark/>
          </w:tcPr>
          <w:p w14:paraId="704B1FC7"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188</w:t>
            </w:r>
          </w:p>
        </w:tc>
        <w:tc>
          <w:tcPr>
            <w:tcW w:w="794" w:type="dxa"/>
            <w:tcBorders>
              <w:top w:val="nil"/>
              <w:left w:val="nil"/>
              <w:bottom w:val="nil"/>
              <w:right w:val="nil"/>
            </w:tcBorders>
            <w:shd w:val="clear" w:color="auto" w:fill="F2F2F2"/>
            <w:noWrap/>
            <w:vAlign w:val="bottom"/>
            <w:hideMark/>
          </w:tcPr>
          <w:p w14:paraId="0D0EFF9F"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78</w:t>
            </w:r>
          </w:p>
        </w:tc>
        <w:tc>
          <w:tcPr>
            <w:tcW w:w="794" w:type="dxa"/>
            <w:tcBorders>
              <w:top w:val="nil"/>
              <w:left w:val="nil"/>
              <w:bottom w:val="nil"/>
              <w:right w:val="single" w:sz="4" w:space="0" w:color="auto"/>
            </w:tcBorders>
            <w:shd w:val="clear" w:color="auto" w:fill="F2F2F2"/>
            <w:noWrap/>
            <w:vAlign w:val="bottom"/>
            <w:hideMark/>
          </w:tcPr>
          <w:p w14:paraId="137120A6"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85</w:t>
            </w:r>
          </w:p>
        </w:tc>
      </w:tr>
      <w:tr w:rsidR="00BD3CFA" w:rsidRPr="000C27AA" w14:paraId="21C0B0FF"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372BCDC4" w14:textId="09CC7764"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w:t>
            </w:r>
            <w:r w:rsidR="00686D83" w:rsidRPr="000C27AA">
              <w:rPr>
                <w:rFonts w:ascii="Arial" w:hAnsi="Arial" w:cs="Arial"/>
                <w:sz w:val="18"/>
                <w:szCs w:val="18"/>
                <w:lang w:val="en-CA"/>
              </w:rPr>
              <w:t>Percentage</w:t>
            </w:r>
            <w:r w:rsidRPr="000C27AA">
              <w:rPr>
                <w:rFonts w:ascii="Arial" w:hAnsi="Arial" w:cs="Arial"/>
                <w:sz w:val="18"/>
                <w:szCs w:val="18"/>
                <w:lang w:val="en-CA"/>
              </w:rPr>
              <w:t xml:space="preserve"> of expenses</w:t>
            </w:r>
            <w:r w:rsidR="00686D83" w:rsidRPr="000C27AA">
              <w:rPr>
                <w:rFonts w:ascii="Arial" w:hAnsi="Arial" w:cs="Arial"/>
                <w:sz w:val="18"/>
                <w:szCs w:val="18"/>
                <w:lang w:val="en-CA"/>
              </w:rPr>
              <w:t xml:space="preserve"> (in %)</w:t>
            </w:r>
          </w:p>
        </w:tc>
        <w:tc>
          <w:tcPr>
            <w:tcW w:w="935" w:type="dxa"/>
            <w:tcBorders>
              <w:top w:val="nil"/>
              <w:left w:val="nil"/>
              <w:bottom w:val="nil"/>
              <w:right w:val="nil"/>
            </w:tcBorders>
            <w:shd w:val="clear" w:color="auto" w:fill="auto"/>
            <w:noWrap/>
            <w:vAlign w:val="bottom"/>
            <w:hideMark/>
          </w:tcPr>
          <w:p w14:paraId="26819CEA"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26.5</w:t>
            </w:r>
          </w:p>
        </w:tc>
        <w:tc>
          <w:tcPr>
            <w:tcW w:w="714" w:type="dxa"/>
            <w:tcBorders>
              <w:top w:val="nil"/>
              <w:left w:val="nil"/>
              <w:bottom w:val="nil"/>
              <w:right w:val="nil"/>
            </w:tcBorders>
            <w:shd w:val="clear" w:color="auto" w:fill="auto"/>
            <w:noWrap/>
            <w:vAlign w:val="bottom"/>
            <w:hideMark/>
          </w:tcPr>
          <w:p w14:paraId="556D8623"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20.9</w:t>
            </w:r>
          </w:p>
        </w:tc>
        <w:tc>
          <w:tcPr>
            <w:tcW w:w="714" w:type="dxa"/>
            <w:tcBorders>
              <w:top w:val="nil"/>
              <w:left w:val="nil"/>
              <w:bottom w:val="nil"/>
              <w:right w:val="nil"/>
            </w:tcBorders>
            <w:shd w:val="clear" w:color="auto" w:fill="auto"/>
            <w:noWrap/>
            <w:vAlign w:val="bottom"/>
            <w:hideMark/>
          </w:tcPr>
          <w:p w14:paraId="65BFD157"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21.4</w:t>
            </w:r>
          </w:p>
        </w:tc>
        <w:tc>
          <w:tcPr>
            <w:tcW w:w="714" w:type="dxa"/>
            <w:tcBorders>
              <w:top w:val="nil"/>
              <w:left w:val="nil"/>
              <w:bottom w:val="nil"/>
              <w:right w:val="nil"/>
            </w:tcBorders>
            <w:shd w:val="clear" w:color="auto" w:fill="auto"/>
            <w:noWrap/>
            <w:vAlign w:val="bottom"/>
            <w:hideMark/>
          </w:tcPr>
          <w:p w14:paraId="0ACEF4A3"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23.5</w:t>
            </w:r>
          </w:p>
        </w:tc>
        <w:tc>
          <w:tcPr>
            <w:tcW w:w="714" w:type="dxa"/>
            <w:tcBorders>
              <w:top w:val="nil"/>
              <w:left w:val="nil"/>
              <w:bottom w:val="nil"/>
              <w:right w:val="nil"/>
            </w:tcBorders>
            <w:shd w:val="clear" w:color="auto" w:fill="auto"/>
            <w:noWrap/>
            <w:vAlign w:val="bottom"/>
            <w:hideMark/>
          </w:tcPr>
          <w:p w14:paraId="408BD89F"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23.7</w:t>
            </w:r>
          </w:p>
        </w:tc>
        <w:tc>
          <w:tcPr>
            <w:tcW w:w="794" w:type="dxa"/>
            <w:tcBorders>
              <w:top w:val="nil"/>
              <w:left w:val="nil"/>
              <w:bottom w:val="nil"/>
              <w:right w:val="nil"/>
            </w:tcBorders>
            <w:shd w:val="clear" w:color="auto" w:fill="F2F2F2"/>
            <w:noWrap/>
            <w:vAlign w:val="bottom"/>
            <w:hideMark/>
          </w:tcPr>
          <w:p w14:paraId="50022992"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15</w:t>
            </w:r>
          </w:p>
        </w:tc>
        <w:tc>
          <w:tcPr>
            <w:tcW w:w="794" w:type="dxa"/>
            <w:tcBorders>
              <w:top w:val="nil"/>
              <w:left w:val="nil"/>
              <w:bottom w:val="nil"/>
              <w:right w:val="single" w:sz="4" w:space="0" w:color="auto"/>
            </w:tcBorders>
            <w:shd w:val="clear" w:color="auto" w:fill="F2F2F2"/>
            <w:noWrap/>
            <w:vAlign w:val="bottom"/>
            <w:hideMark/>
          </w:tcPr>
          <w:p w14:paraId="7E01AFC2"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13.6</w:t>
            </w:r>
          </w:p>
        </w:tc>
      </w:tr>
      <w:tr w:rsidR="00BD3CFA" w:rsidRPr="000C27AA" w14:paraId="69A42C6B"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7852E280" w14:textId="78B4B8F0" w:rsidR="00BD3CFA" w:rsidRPr="000C27AA" w:rsidRDefault="00BD3CFA" w:rsidP="00BE3625">
            <w:pPr>
              <w:rPr>
                <w:rFonts w:ascii="Arial" w:hAnsi="Arial" w:cs="Arial"/>
                <w:b/>
                <w:bCs/>
                <w:sz w:val="18"/>
                <w:szCs w:val="18"/>
                <w:lang w:val="en-CA"/>
              </w:rPr>
            </w:pPr>
            <w:r w:rsidRPr="000C27AA">
              <w:rPr>
                <w:rFonts w:ascii="Arial" w:hAnsi="Arial" w:cs="Arial"/>
                <w:sz w:val="18"/>
                <w:szCs w:val="18"/>
                <w:lang w:val="en-CA"/>
              </w:rPr>
              <w:t xml:space="preserve">   </w:t>
            </w:r>
            <w:r w:rsidR="00686D83" w:rsidRPr="000C27AA">
              <w:rPr>
                <w:rFonts w:ascii="Arial" w:hAnsi="Arial" w:cs="Arial"/>
                <w:sz w:val="18"/>
                <w:szCs w:val="18"/>
                <w:lang w:val="en-CA"/>
              </w:rPr>
              <w:t>Brent c</w:t>
            </w:r>
            <w:r w:rsidRPr="000C27AA">
              <w:rPr>
                <w:rFonts w:ascii="Arial" w:hAnsi="Arial" w:cs="Arial"/>
                <w:sz w:val="18"/>
                <w:szCs w:val="18"/>
                <w:lang w:val="en-CA"/>
              </w:rPr>
              <w:t>rude oil price (</w:t>
            </w:r>
            <w:r w:rsidR="00686D83" w:rsidRPr="000C27AA">
              <w:rPr>
                <w:rFonts w:ascii="Arial" w:hAnsi="Arial" w:cs="Arial"/>
                <w:sz w:val="18"/>
                <w:szCs w:val="18"/>
                <w:lang w:val="en-CA"/>
              </w:rPr>
              <w:t>in</w:t>
            </w:r>
            <w:r w:rsidRPr="000C27AA">
              <w:rPr>
                <w:rFonts w:ascii="Arial" w:hAnsi="Arial" w:cs="Arial"/>
                <w:sz w:val="18"/>
                <w:szCs w:val="18"/>
                <w:lang w:val="en-CA"/>
              </w:rPr>
              <w:t xml:space="preserve"> </w:t>
            </w:r>
            <w:r w:rsidR="00686D83" w:rsidRPr="000C27AA">
              <w:rPr>
                <w:rFonts w:ascii="Arial" w:hAnsi="Arial" w:cs="Arial"/>
                <w:sz w:val="18"/>
                <w:szCs w:val="18"/>
                <w:lang w:val="en-CA"/>
              </w:rPr>
              <w:t>US</w:t>
            </w:r>
            <w:r w:rsidRPr="000C27AA">
              <w:rPr>
                <w:rFonts w:ascii="Arial" w:hAnsi="Arial" w:cs="Arial"/>
                <w:sz w:val="18"/>
                <w:szCs w:val="18"/>
                <w:lang w:val="en-CA"/>
              </w:rPr>
              <w:t>$</w:t>
            </w:r>
            <w:r w:rsidR="00686D83" w:rsidRPr="000C27AA">
              <w:rPr>
                <w:rFonts w:ascii="Arial" w:hAnsi="Arial" w:cs="Arial"/>
                <w:sz w:val="18"/>
                <w:szCs w:val="18"/>
                <w:lang w:val="en-CA"/>
              </w:rPr>
              <w:t xml:space="preserve"> per </w:t>
            </w:r>
            <w:r w:rsidRPr="000C27AA">
              <w:rPr>
                <w:rFonts w:ascii="Arial" w:hAnsi="Arial" w:cs="Arial"/>
                <w:sz w:val="18"/>
                <w:szCs w:val="18"/>
                <w:lang w:val="en-CA"/>
              </w:rPr>
              <w:t>barrel</w:t>
            </w:r>
            <w:r w:rsidR="00686D83" w:rsidRPr="000C27AA">
              <w:rPr>
                <w:rFonts w:ascii="Arial" w:hAnsi="Arial" w:cs="Arial"/>
                <w:sz w:val="18"/>
                <w:szCs w:val="18"/>
                <w:lang w:val="en-CA"/>
              </w:rPr>
              <w:t>)</w:t>
            </w:r>
          </w:p>
        </w:tc>
        <w:tc>
          <w:tcPr>
            <w:tcW w:w="935" w:type="dxa"/>
            <w:tcBorders>
              <w:top w:val="nil"/>
              <w:left w:val="nil"/>
              <w:bottom w:val="nil"/>
              <w:right w:val="nil"/>
            </w:tcBorders>
            <w:shd w:val="clear" w:color="auto" w:fill="auto"/>
            <w:noWrap/>
            <w:vAlign w:val="bottom"/>
            <w:hideMark/>
          </w:tcPr>
          <w:p w14:paraId="1EC84DBA" w14:textId="77777777" w:rsidR="00BD3CFA" w:rsidRPr="000C27AA" w:rsidRDefault="00BD3CFA" w:rsidP="00BE3625">
            <w:pPr>
              <w:jc w:val="right"/>
              <w:rPr>
                <w:rFonts w:ascii="Arial" w:hAnsi="Arial" w:cs="Arial"/>
                <w:b/>
                <w:bCs/>
                <w:sz w:val="18"/>
                <w:szCs w:val="18"/>
                <w:lang w:val="en-CA"/>
              </w:rPr>
            </w:pPr>
            <w:r w:rsidRPr="000C27AA">
              <w:rPr>
                <w:rFonts w:ascii="Arial" w:hAnsi="Arial" w:cs="Arial"/>
                <w:sz w:val="18"/>
                <w:szCs w:val="18"/>
                <w:lang w:val="en-CA"/>
              </w:rPr>
              <w:t>53.9</w:t>
            </w:r>
          </w:p>
        </w:tc>
        <w:tc>
          <w:tcPr>
            <w:tcW w:w="714" w:type="dxa"/>
            <w:tcBorders>
              <w:top w:val="nil"/>
              <w:left w:val="nil"/>
              <w:bottom w:val="nil"/>
              <w:right w:val="nil"/>
            </w:tcBorders>
            <w:shd w:val="clear" w:color="auto" w:fill="auto"/>
            <w:noWrap/>
            <w:vAlign w:val="bottom"/>
            <w:hideMark/>
          </w:tcPr>
          <w:p w14:paraId="055A8A8D" w14:textId="77777777" w:rsidR="00BD3CFA" w:rsidRPr="000C27AA" w:rsidRDefault="00BD3CFA" w:rsidP="00BE3625">
            <w:pPr>
              <w:jc w:val="right"/>
              <w:rPr>
                <w:rFonts w:ascii="Arial" w:hAnsi="Arial" w:cs="Arial"/>
                <w:b/>
                <w:bCs/>
                <w:sz w:val="18"/>
                <w:szCs w:val="18"/>
                <w:lang w:val="en-CA"/>
              </w:rPr>
            </w:pPr>
            <w:r w:rsidRPr="000C27AA">
              <w:rPr>
                <w:rFonts w:ascii="Arial" w:hAnsi="Arial" w:cs="Arial"/>
                <w:sz w:val="18"/>
                <w:szCs w:val="18"/>
                <w:lang w:val="en-CA"/>
              </w:rPr>
              <w:t>44.6</w:t>
            </w:r>
          </w:p>
        </w:tc>
        <w:tc>
          <w:tcPr>
            <w:tcW w:w="714" w:type="dxa"/>
            <w:tcBorders>
              <w:top w:val="nil"/>
              <w:left w:val="nil"/>
              <w:bottom w:val="nil"/>
              <w:right w:val="nil"/>
            </w:tcBorders>
            <w:shd w:val="clear" w:color="auto" w:fill="auto"/>
            <w:noWrap/>
            <w:vAlign w:val="bottom"/>
            <w:hideMark/>
          </w:tcPr>
          <w:p w14:paraId="7D81FC9D" w14:textId="77777777" w:rsidR="00BD3CFA" w:rsidRPr="000C27AA" w:rsidRDefault="00BD3CFA" w:rsidP="00BE3625">
            <w:pPr>
              <w:jc w:val="right"/>
              <w:rPr>
                <w:rFonts w:ascii="Arial" w:hAnsi="Arial" w:cs="Arial"/>
                <w:b/>
                <w:bCs/>
                <w:sz w:val="18"/>
                <w:szCs w:val="18"/>
                <w:lang w:val="en-CA"/>
              </w:rPr>
            </w:pPr>
            <w:r w:rsidRPr="000C27AA">
              <w:rPr>
                <w:rFonts w:ascii="Arial" w:hAnsi="Arial" w:cs="Arial"/>
                <w:sz w:val="18"/>
                <w:szCs w:val="18"/>
                <w:lang w:val="en-CA"/>
              </w:rPr>
              <w:t>54.9</w:t>
            </w:r>
          </w:p>
        </w:tc>
        <w:tc>
          <w:tcPr>
            <w:tcW w:w="714" w:type="dxa"/>
            <w:tcBorders>
              <w:top w:val="nil"/>
              <w:left w:val="nil"/>
              <w:bottom w:val="nil"/>
              <w:right w:val="nil"/>
            </w:tcBorders>
            <w:shd w:val="clear" w:color="auto" w:fill="auto"/>
            <w:noWrap/>
            <w:vAlign w:val="bottom"/>
            <w:hideMark/>
          </w:tcPr>
          <w:p w14:paraId="7EC5187B" w14:textId="77777777" w:rsidR="00BD3CFA" w:rsidRPr="000C27AA" w:rsidRDefault="00BD3CFA" w:rsidP="00BE3625">
            <w:pPr>
              <w:jc w:val="right"/>
              <w:rPr>
                <w:rFonts w:ascii="Arial" w:hAnsi="Arial" w:cs="Arial"/>
                <w:b/>
                <w:bCs/>
                <w:sz w:val="18"/>
                <w:szCs w:val="18"/>
                <w:lang w:val="en-CA"/>
              </w:rPr>
            </w:pPr>
            <w:r w:rsidRPr="000C27AA">
              <w:rPr>
                <w:rFonts w:ascii="Arial" w:hAnsi="Arial" w:cs="Arial"/>
                <w:sz w:val="18"/>
                <w:szCs w:val="18"/>
                <w:lang w:val="en-CA"/>
              </w:rPr>
              <w:t>71.6</w:t>
            </w:r>
          </w:p>
        </w:tc>
        <w:tc>
          <w:tcPr>
            <w:tcW w:w="714" w:type="dxa"/>
            <w:tcBorders>
              <w:top w:val="nil"/>
              <w:left w:val="nil"/>
              <w:bottom w:val="nil"/>
              <w:right w:val="nil"/>
            </w:tcBorders>
            <w:shd w:val="clear" w:color="auto" w:fill="auto"/>
            <w:noWrap/>
            <w:vAlign w:val="bottom"/>
            <w:hideMark/>
          </w:tcPr>
          <w:p w14:paraId="6A4913DA" w14:textId="77777777" w:rsidR="00BD3CFA" w:rsidRPr="000C27AA" w:rsidRDefault="00BD3CFA" w:rsidP="00BE3625">
            <w:pPr>
              <w:jc w:val="right"/>
              <w:rPr>
                <w:rFonts w:ascii="Arial" w:hAnsi="Arial" w:cs="Arial"/>
                <w:b/>
                <w:bCs/>
                <w:sz w:val="18"/>
                <w:szCs w:val="18"/>
                <w:lang w:val="en-CA"/>
              </w:rPr>
            </w:pPr>
            <w:r w:rsidRPr="000C27AA">
              <w:rPr>
                <w:rFonts w:ascii="Arial" w:hAnsi="Arial" w:cs="Arial"/>
                <w:sz w:val="18"/>
                <w:szCs w:val="18"/>
                <w:lang w:val="en-CA"/>
              </w:rPr>
              <w:t>65</w:t>
            </w:r>
          </w:p>
        </w:tc>
        <w:tc>
          <w:tcPr>
            <w:tcW w:w="794" w:type="dxa"/>
            <w:tcBorders>
              <w:top w:val="nil"/>
              <w:left w:val="nil"/>
              <w:bottom w:val="nil"/>
              <w:right w:val="nil"/>
            </w:tcBorders>
            <w:shd w:val="clear" w:color="auto" w:fill="F2F2F2"/>
            <w:noWrap/>
            <w:vAlign w:val="bottom"/>
            <w:hideMark/>
          </w:tcPr>
          <w:p w14:paraId="108B8510" w14:textId="77777777" w:rsidR="00BD3CFA" w:rsidRPr="000C27AA" w:rsidRDefault="00BD3CFA" w:rsidP="00BE3625">
            <w:pPr>
              <w:jc w:val="right"/>
              <w:rPr>
                <w:rFonts w:ascii="Arial" w:hAnsi="Arial" w:cs="Arial"/>
                <w:b/>
                <w:bCs/>
                <w:sz w:val="18"/>
                <w:szCs w:val="18"/>
                <w:lang w:val="en-CA"/>
              </w:rPr>
            </w:pPr>
            <w:r w:rsidRPr="000C27AA">
              <w:rPr>
                <w:rFonts w:ascii="Arial" w:hAnsi="Arial" w:cs="Arial"/>
                <w:sz w:val="18"/>
                <w:szCs w:val="18"/>
                <w:lang w:val="en-CA"/>
              </w:rPr>
              <w:t>35</w:t>
            </w:r>
          </w:p>
        </w:tc>
        <w:tc>
          <w:tcPr>
            <w:tcW w:w="794" w:type="dxa"/>
            <w:tcBorders>
              <w:top w:val="nil"/>
              <w:left w:val="nil"/>
              <w:bottom w:val="nil"/>
              <w:right w:val="single" w:sz="4" w:space="0" w:color="auto"/>
            </w:tcBorders>
            <w:shd w:val="clear" w:color="auto" w:fill="F2F2F2"/>
            <w:noWrap/>
            <w:vAlign w:val="bottom"/>
            <w:hideMark/>
          </w:tcPr>
          <w:p w14:paraId="537C7BBF" w14:textId="77777777" w:rsidR="00BD3CFA" w:rsidRPr="000C27AA" w:rsidRDefault="00BD3CFA" w:rsidP="00BE3625">
            <w:pPr>
              <w:jc w:val="right"/>
              <w:rPr>
                <w:rFonts w:ascii="Arial" w:hAnsi="Arial" w:cs="Arial"/>
                <w:b/>
                <w:bCs/>
                <w:sz w:val="18"/>
                <w:szCs w:val="18"/>
                <w:lang w:val="en-CA"/>
              </w:rPr>
            </w:pPr>
            <w:r w:rsidRPr="000C27AA">
              <w:rPr>
                <w:rFonts w:ascii="Arial" w:hAnsi="Arial" w:cs="Arial"/>
                <w:sz w:val="18"/>
                <w:szCs w:val="18"/>
                <w:lang w:val="en-CA"/>
              </w:rPr>
              <w:t>45</w:t>
            </w:r>
          </w:p>
        </w:tc>
      </w:tr>
      <w:tr w:rsidR="00BD3CFA" w:rsidRPr="000C27AA" w14:paraId="69D3C419"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5A490380" w14:textId="27EF1728" w:rsidR="00BD3CFA" w:rsidRPr="000C27AA" w:rsidRDefault="00BD3CFA" w:rsidP="00BE3625">
            <w:pPr>
              <w:ind w:firstLineChars="300" w:firstLine="540"/>
              <w:rPr>
                <w:rFonts w:ascii="Arial" w:hAnsi="Arial" w:cs="Arial"/>
                <w:sz w:val="18"/>
                <w:szCs w:val="18"/>
                <w:lang w:val="en-CA"/>
              </w:rPr>
            </w:pPr>
            <w:r w:rsidRPr="000C27AA">
              <w:rPr>
                <w:rFonts w:ascii="Arial" w:hAnsi="Arial" w:cs="Arial"/>
                <w:sz w:val="18"/>
                <w:szCs w:val="18"/>
                <w:lang w:val="en-CA"/>
              </w:rPr>
              <w:t>Jet kerosene price</w:t>
            </w:r>
            <w:r w:rsidR="00686D83" w:rsidRPr="000C27AA">
              <w:rPr>
                <w:rFonts w:ascii="Arial" w:hAnsi="Arial" w:cs="Arial"/>
                <w:sz w:val="18"/>
                <w:szCs w:val="18"/>
                <w:lang w:val="en-CA"/>
              </w:rPr>
              <w:t xml:space="preserve"> (in US$ per </w:t>
            </w:r>
            <w:r w:rsidRPr="000C27AA">
              <w:rPr>
                <w:rFonts w:ascii="Arial" w:hAnsi="Arial" w:cs="Arial"/>
                <w:sz w:val="18"/>
                <w:szCs w:val="18"/>
                <w:lang w:val="en-CA"/>
              </w:rPr>
              <w:t>barrel</w:t>
            </w:r>
            <w:r w:rsidR="00686D83" w:rsidRPr="000C27AA">
              <w:rPr>
                <w:rFonts w:ascii="Arial" w:hAnsi="Arial" w:cs="Arial"/>
                <w:sz w:val="18"/>
                <w:szCs w:val="18"/>
                <w:lang w:val="en-CA"/>
              </w:rPr>
              <w:t>)</w:t>
            </w:r>
          </w:p>
        </w:tc>
        <w:tc>
          <w:tcPr>
            <w:tcW w:w="935" w:type="dxa"/>
            <w:tcBorders>
              <w:top w:val="nil"/>
              <w:left w:val="nil"/>
              <w:bottom w:val="nil"/>
              <w:right w:val="nil"/>
            </w:tcBorders>
            <w:shd w:val="clear" w:color="auto" w:fill="auto"/>
            <w:noWrap/>
            <w:vAlign w:val="bottom"/>
            <w:hideMark/>
          </w:tcPr>
          <w:p w14:paraId="3E181E4A"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66.7</w:t>
            </w:r>
          </w:p>
        </w:tc>
        <w:tc>
          <w:tcPr>
            <w:tcW w:w="714" w:type="dxa"/>
            <w:tcBorders>
              <w:top w:val="nil"/>
              <w:left w:val="nil"/>
              <w:bottom w:val="nil"/>
              <w:right w:val="nil"/>
            </w:tcBorders>
            <w:shd w:val="clear" w:color="auto" w:fill="auto"/>
            <w:noWrap/>
            <w:vAlign w:val="bottom"/>
            <w:hideMark/>
          </w:tcPr>
          <w:p w14:paraId="3E4EE017"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52.1</w:t>
            </w:r>
          </w:p>
        </w:tc>
        <w:tc>
          <w:tcPr>
            <w:tcW w:w="714" w:type="dxa"/>
            <w:tcBorders>
              <w:top w:val="nil"/>
              <w:left w:val="nil"/>
              <w:bottom w:val="nil"/>
              <w:right w:val="nil"/>
            </w:tcBorders>
            <w:shd w:val="clear" w:color="auto" w:fill="auto"/>
            <w:noWrap/>
            <w:vAlign w:val="bottom"/>
            <w:hideMark/>
          </w:tcPr>
          <w:p w14:paraId="72F798B6"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66.7</w:t>
            </w:r>
          </w:p>
        </w:tc>
        <w:tc>
          <w:tcPr>
            <w:tcW w:w="714" w:type="dxa"/>
            <w:tcBorders>
              <w:top w:val="nil"/>
              <w:left w:val="nil"/>
              <w:bottom w:val="nil"/>
              <w:right w:val="nil"/>
            </w:tcBorders>
            <w:shd w:val="clear" w:color="auto" w:fill="auto"/>
            <w:noWrap/>
            <w:vAlign w:val="bottom"/>
            <w:hideMark/>
          </w:tcPr>
          <w:p w14:paraId="1FAA6D77"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86.1</w:t>
            </w:r>
          </w:p>
        </w:tc>
        <w:tc>
          <w:tcPr>
            <w:tcW w:w="714" w:type="dxa"/>
            <w:tcBorders>
              <w:top w:val="nil"/>
              <w:left w:val="nil"/>
              <w:bottom w:val="nil"/>
              <w:right w:val="nil"/>
            </w:tcBorders>
            <w:shd w:val="clear" w:color="auto" w:fill="auto"/>
            <w:noWrap/>
            <w:vAlign w:val="bottom"/>
            <w:hideMark/>
          </w:tcPr>
          <w:p w14:paraId="68361EB5"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77</w:t>
            </w:r>
          </w:p>
        </w:tc>
        <w:tc>
          <w:tcPr>
            <w:tcW w:w="794" w:type="dxa"/>
            <w:tcBorders>
              <w:top w:val="nil"/>
              <w:left w:val="nil"/>
              <w:bottom w:val="nil"/>
              <w:right w:val="nil"/>
            </w:tcBorders>
            <w:shd w:val="clear" w:color="auto" w:fill="F2F2F2"/>
            <w:noWrap/>
            <w:vAlign w:val="bottom"/>
            <w:hideMark/>
          </w:tcPr>
          <w:p w14:paraId="7F44F398"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36.8</w:t>
            </w:r>
          </w:p>
        </w:tc>
        <w:tc>
          <w:tcPr>
            <w:tcW w:w="794" w:type="dxa"/>
            <w:tcBorders>
              <w:top w:val="nil"/>
              <w:left w:val="nil"/>
              <w:bottom w:val="nil"/>
              <w:right w:val="single" w:sz="4" w:space="0" w:color="auto"/>
            </w:tcBorders>
            <w:shd w:val="clear" w:color="auto" w:fill="F2F2F2"/>
            <w:noWrap/>
            <w:vAlign w:val="bottom"/>
            <w:hideMark/>
          </w:tcPr>
          <w:p w14:paraId="1342195D"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51.8</w:t>
            </w:r>
          </w:p>
        </w:tc>
      </w:tr>
      <w:tr w:rsidR="00BD3CFA" w:rsidRPr="000C27AA" w14:paraId="34C508A9"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7C16DF93" w14:textId="21501187" w:rsidR="00BD3CFA" w:rsidRPr="000C27AA" w:rsidRDefault="00BD3CFA" w:rsidP="00BE3625">
            <w:pPr>
              <w:ind w:firstLineChars="100" w:firstLine="180"/>
              <w:rPr>
                <w:rFonts w:ascii="Arial" w:hAnsi="Arial" w:cs="Arial"/>
                <w:sz w:val="18"/>
                <w:szCs w:val="18"/>
                <w:lang w:val="en-CA"/>
              </w:rPr>
            </w:pPr>
            <w:r w:rsidRPr="000C27AA">
              <w:rPr>
                <w:rFonts w:ascii="Arial" w:hAnsi="Arial" w:cs="Arial"/>
                <w:sz w:val="18"/>
                <w:szCs w:val="18"/>
                <w:lang w:val="en-CA"/>
              </w:rPr>
              <w:t xml:space="preserve">Fuel consumption </w:t>
            </w:r>
            <w:r w:rsidR="00686D83" w:rsidRPr="000C27AA">
              <w:rPr>
                <w:rFonts w:ascii="Arial" w:hAnsi="Arial" w:cs="Arial"/>
                <w:sz w:val="18"/>
                <w:szCs w:val="18"/>
                <w:lang w:val="en-CA"/>
              </w:rPr>
              <w:t xml:space="preserve">(in </w:t>
            </w:r>
            <w:r w:rsidRPr="000C27AA">
              <w:rPr>
                <w:rFonts w:ascii="Arial" w:hAnsi="Arial" w:cs="Arial"/>
                <w:sz w:val="18"/>
                <w:szCs w:val="18"/>
                <w:lang w:val="en-CA"/>
              </w:rPr>
              <w:t>billion gallons</w:t>
            </w:r>
            <w:r w:rsidR="00686D83" w:rsidRPr="000C27AA">
              <w:rPr>
                <w:rFonts w:ascii="Arial" w:hAnsi="Arial" w:cs="Arial"/>
                <w:sz w:val="18"/>
                <w:szCs w:val="18"/>
                <w:lang w:val="en-CA"/>
              </w:rPr>
              <w:t>)</w:t>
            </w:r>
            <w:r w:rsidRPr="000C27AA">
              <w:rPr>
                <w:rFonts w:ascii="Arial" w:hAnsi="Arial" w:cs="Arial"/>
                <w:sz w:val="18"/>
                <w:szCs w:val="18"/>
                <w:lang w:val="en-CA"/>
              </w:rPr>
              <w:t xml:space="preserve"> </w:t>
            </w:r>
          </w:p>
        </w:tc>
        <w:tc>
          <w:tcPr>
            <w:tcW w:w="935" w:type="dxa"/>
            <w:tcBorders>
              <w:top w:val="nil"/>
              <w:left w:val="nil"/>
              <w:bottom w:val="nil"/>
              <w:right w:val="nil"/>
            </w:tcBorders>
            <w:shd w:val="clear" w:color="auto" w:fill="auto"/>
            <w:noWrap/>
            <w:vAlign w:val="bottom"/>
            <w:hideMark/>
          </w:tcPr>
          <w:p w14:paraId="148C0B35"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81</w:t>
            </w:r>
          </w:p>
        </w:tc>
        <w:tc>
          <w:tcPr>
            <w:tcW w:w="714" w:type="dxa"/>
            <w:tcBorders>
              <w:top w:val="nil"/>
              <w:left w:val="nil"/>
              <w:bottom w:val="nil"/>
              <w:right w:val="nil"/>
            </w:tcBorders>
            <w:shd w:val="clear" w:color="auto" w:fill="auto"/>
            <w:noWrap/>
            <w:vAlign w:val="bottom"/>
            <w:hideMark/>
          </w:tcPr>
          <w:p w14:paraId="5B96AD05"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85</w:t>
            </w:r>
          </w:p>
        </w:tc>
        <w:tc>
          <w:tcPr>
            <w:tcW w:w="714" w:type="dxa"/>
            <w:tcBorders>
              <w:top w:val="nil"/>
              <w:left w:val="nil"/>
              <w:bottom w:val="nil"/>
              <w:right w:val="nil"/>
            </w:tcBorders>
            <w:shd w:val="clear" w:color="auto" w:fill="auto"/>
            <w:noWrap/>
            <w:vAlign w:val="bottom"/>
            <w:hideMark/>
          </w:tcPr>
          <w:p w14:paraId="3E787E92"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90</w:t>
            </w:r>
          </w:p>
        </w:tc>
        <w:tc>
          <w:tcPr>
            <w:tcW w:w="714" w:type="dxa"/>
            <w:tcBorders>
              <w:top w:val="nil"/>
              <w:left w:val="nil"/>
              <w:bottom w:val="nil"/>
              <w:right w:val="nil"/>
            </w:tcBorders>
            <w:shd w:val="clear" w:color="auto" w:fill="auto"/>
            <w:noWrap/>
            <w:vAlign w:val="bottom"/>
            <w:hideMark/>
          </w:tcPr>
          <w:p w14:paraId="2F9C7424"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95</w:t>
            </w:r>
          </w:p>
        </w:tc>
        <w:tc>
          <w:tcPr>
            <w:tcW w:w="714" w:type="dxa"/>
            <w:tcBorders>
              <w:top w:val="nil"/>
              <w:left w:val="nil"/>
              <w:bottom w:val="nil"/>
              <w:right w:val="nil"/>
            </w:tcBorders>
            <w:shd w:val="clear" w:color="auto" w:fill="auto"/>
            <w:noWrap/>
            <w:vAlign w:val="bottom"/>
            <w:hideMark/>
          </w:tcPr>
          <w:p w14:paraId="20205F66"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96</w:t>
            </w:r>
          </w:p>
        </w:tc>
        <w:tc>
          <w:tcPr>
            <w:tcW w:w="794" w:type="dxa"/>
            <w:tcBorders>
              <w:top w:val="nil"/>
              <w:left w:val="nil"/>
              <w:bottom w:val="nil"/>
              <w:right w:val="nil"/>
            </w:tcBorders>
            <w:shd w:val="clear" w:color="auto" w:fill="F2F2F2"/>
            <w:noWrap/>
            <w:vAlign w:val="bottom"/>
            <w:hideMark/>
          </w:tcPr>
          <w:p w14:paraId="14F88920"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60</w:t>
            </w:r>
          </w:p>
        </w:tc>
        <w:tc>
          <w:tcPr>
            <w:tcW w:w="794" w:type="dxa"/>
            <w:tcBorders>
              <w:top w:val="nil"/>
              <w:left w:val="nil"/>
              <w:bottom w:val="nil"/>
              <w:right w:val="single" w:sz="4" w:space="0" w:color="auto"/>
            </w:tcBorders>
            <w:shd w:val="clear" w:color="auto" w:fill="F2F2F2"/>
            <w:noWrap/>
            <w:vAlign w:val="bottom"/>
            <w:hideMark/>
          </w:tcPr>
          <w:p w14:paraId="1DB14587"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78</w:t>
            </w:r>
          </w:p>
        </w:tc>
      </w:tr>
      <w:tr w:rsidR="00BD3CFA" w:rsidRPr="000C27AA" w14:paraId="4D09086E"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05EA1337" w14:textId="7074526D" w:rsidR="00BD3CFA" w:rsidRPr="000C27AA" w:rsidRDefault="00BD3CFA" w:rsidP="00BE3625">
            <w:pPr>
              <w:ind w:firstLineChars="300" w:firstLine="540"/>
              <w:rPr>
                <w:rFonts w:ascii="Arial" w:hAnsi="Arial" w:cs="Arial"/>
                <w:sz w:val="18"/>
                <w:szCs w:val="18"/>
                <w:lang w:val="en-CA"/>
              </w:rPr>
            </w:pPr>
            <w:r w:rsidRPr="000C27AA">
              <w:rPr>
                <w:rFonts w:ascii="Arial" w:hAnsi="Arial" w:cs="Arial"/>
                <w:sz w:val="18"/>
                <w:szCs w:val="18"/>
                <w:lang w:val="en-CA"/>
              </w:rPr>
              <w:t>CO</w:t>
            </w:r>
            <w:r w:rsidRPr="000C27AA">
              <w:rPr>
                <w:rFonts w:ascii="Arial" w:hAnsi="Arial" w:cs="Arial"/>
                <w:sz w:val="18"/>
                <w:szCs w:val="18"/>
                <w:vertAlign w:val="subscript"/>
                <w:lang w:val="en-CA"/>
              </w:rPr>
              <w:t>2</w:t>
            </w:r>
            <w:r w:rsidRPr="000C27AA">
              <w:rPr>
                <w:rFonts w:ascii="Arial" w:hAnsi="Arial" w:cs="Arial"/>
                <w:sz w:val="18"/>
                <w:szCs w:val="18"/>
                <w:lang w:val="en-CA"/>
              </w:rPr>
              <w:t xml:space="preserve"> emissions </w:t>
            </w:r>
            <w:r w:rsidR="00686D83" w:rsidRPr="000C27AA">
              <w:rPr>
                <w:rFonts w:ascii="Arial" w:hAnsi="Arial" w:cs="Arial"/>
                <w:sz w:val="18"/>
                <w:szCs w:val="18"/>
                <w:lang w:val="en-CA"/>
              </w:rPr>
              <w:t xml:space="preserve">(in </w:t>
            </w:r>
            <w:r w:rsidRPr="000C27AA">
              <w:rPr>
                <w:rFonts w:ascii="Arial" w:hAnsi="Arial" w:cs="Arial"/>
                <w:sz w:val="18"/>
                <w:szCs w:val="18"/>
                <w:lang w:val="en-CA"/>
              </w:rPr>
              <w:t>million ton</w:t>
            </w:r>
            <w:r w:rsidR="00686D83" w:rsidRPr="000C27AA">
              <w:rPr>
                <w:rFonts w:ascii="Arial" w:hAnsi="Arial" w:cs="Arial"/>
                <w:sz w:val="18"/>
                <w:szCs w:val="18"/>
                <w:lang w:val="en-CA"/>
              </w:rPr>
              <w:t>s)</w:t>
            </w:r>
          </w:p>
        </w:tc>
        <w:tc>
          <w:tcPr>
            <w:tcW w:w="935" w:type="dxa"/>
            <w:tcBorders>
              <w:top w:val="nil"/>
              <w:left w:val="nil"/>
              <w:bottom w:val="nil"/>
              <w:right w:val="nil"/>
            </w:tcBorders>
            <w:shd w:val="clear" w:color="auto" w:fill="auto"/>
            <w:noWrap/>
            <w:vAlign w:val="bottom"/>
            <w:hideMark/>
          </w:tcPr>
          <w:p w14:paraId="7FEFD3F5"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774</w:t>
            </w:r>
          </w:p>
        </w:tc>
        <w:tc>
          <w:tcPr>
            <w:tcW w:w="714" w:type="dxa"/>
            <w:tcBorders>
              <w:top w:val="nil"/>
              <w:left w:val="nil"/>
              <w:bottom w:val="nil"/>
              <w:right w:val="nil"/>
            </w:tcBorders>
            <w:shd w:val="clear" w:color="auto" w:fill="auto"/>
            <w:noWrap/>
            <w:vAlign w:val="bottom"/>
            <w:hideMark/>
          </w:tcPr>
          <w:p w14:paraId="2EA359F0"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812</w:t>
            </w:r>
          </w:p>
        </w:tc>
        <w:tc>
          <w:tcPr>
            <w:tcW w:w="714" w:type="dxa"/>
            <w:tcBorders>
              <w:top w:val="nil"/>
              <w:left w:val="nil"/>
              <w:bottom w:val="nil"/>
              <w:right w:val="nil"/>
            </w:tcBorders>
            <w:shd w:val="clear" w:color="auto" w:fill="auto"/>
            <w:noWrap/>
            <w:vAlign w:val="bottom"/>
            <w:hideMark/>
          </w:tcPr>
          <w:p w14:paraId="4BBE1072"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860</w:t>
            </w:r>
          </w:p>
        </w:tc>
        <w:tc>
          <w:tcPr>
            <w:tcW w:w="714" w:type="dxa"/>
            <w:tcBorders>
              <w:top w:val="nil"/>
              <w:left w:val="nil"/>
              <w:bottom w:val="nil"/>
              <w:right w:val="nil"/>
            </w:tcBorders>
            <w:shd w:val="clear" w:color="auto" w:fill="auto"/>
            <w:noWrap/>
            <w:vAlign w:val="bottom"/>
            <w:hideMark/>
          </w:tcPr>
          <w:p w14:paraId="5589D176"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905</w:t>
            </w:r>
          </w:p>
        </w:tc>
        <w:tc>
          <w:tcPr>
            <w:tcW w:w="714" w:type="dxa"/>
            <w:tcBorders>
              <w:top w:val="nil"/>
              <w:left w:val="nil"/>
              <w:bottom w:val="nil"/>
              <w:right w:val="nil"/>
            </w:tcBorders>
            <w:shd w:val="clear" w:color="auto" w:fill="auto"/>
            <w:noWrap/>
            <w:vAlign w:val="bottom"/>
            <w:hideMark/>
          </w:tcPr>
          <w:p w14:paraId="233572DC"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914</w:t>
            </w:r>
          </w:p>
        </w:tc>
        <w:tc>
          <w:tcPr>
            <w:tcW w:w="794" w:type="dxa"/>
            <w:tcBorders>
              <w:top w:val="nil"/>
              <w:left w:val="nil"/>
              <w:bottom w:val="nil"/>
              <w:right w:val="nil"/>
            </w:tcBorders>
            <w:shd w:val="clear" w:color="auto" w:fill="F2F2F2"/>
            <w:noWrap/>
            <w:vAlign w:val="bottom"/>
            <w:hideMark/>
          </w:tcPr>
          <w:p w14:paraId="54843757"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574</w:t>
            </w:r>
          </w:p>
        </w:tc>
        <w:tc>
          <w:tcPr>
            <w:tcW w:w="794" w:type="dxa"/>
            <w:tcBorders>
              <w:top w:val="nil"/>
              <w:left w:val="nil"/>
              <w:bottom w:val="nil"/>
              <w:right w:val="single" w:sz="4" w:space="0" w:color="auto"/>
            </w:tcBorders>
            <w:shd w:val="clear" w:color="auto" w:fill="F2F2F2"/>
            <w:noWrap/>
            <w:vAlign w:val="bottom"/>
            <w:hideMark/>
          </w:tcPr>
          <w:p w14:paraId="6F4BE124"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748</w:t>
            </w:r>
          </w:p>
        </w:tc>
      </w:tr>
      <w:tr w:rsidR="00BD3CFA" w:rsidRPr="000C27AA" w14:paraId="11B830C7"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6E954298" w14:textId="746B9EE9" w:rsidR="00BD3CFA" w:rsidRPr="000C27AA" w:rsidRDefault="00BD3CFA" w:rsidP="00BE3625">
            <w:pPr>
              <w:ind w:firstLineChars="300" w:firstLine="540"/>
              <w:rPr>
                <w:rFonts w:ascii="Arial" w:hAnsi="Arial" w:cs="Arial"/>
                <w:sz w:val="18"/>
                <w:szCs w:val="18"/>
                <w:lang w:val="en-CA"/>
              </w:rPr>
            </w:pPr>
            <w:r w:rsidRPr="000C27AA">
              <w:rPr>
                <w:rFonts w:ascii="Arial" w:hAnsi="Arial" w:cs="Arial"/>
                <w:sz w:val="18"/>
                <w:szCs w:val="18"/>
                <w:lang w:val="en-CA"/>
              </w:rPr>
              <w:t xml:space="preserve">Non-fuel </w:t>
            </w:r>
            <w:r w:rsidR="00686D83" w:rsidRPr="000C27AA">
              <w:rPr>
                <w:rFonts w:ascii="Arial" w:hAnsi="Arial" w:cs="Arial"/>
                <w:sz w:val="18"/>
                <w:szCs w:val="18"/>
                <w:lang w:val="en-CA"/>
              </w:rPr>
              <w:t>(in US</w:t>
            </w:r>
            <w:r w:rsidRPr="000C27AA">
              <w:rPr>
                <w:rFonts w:ascii="Arial" w:hAnsi="Arial" w:cs="Arial"/>
                <w:sz w:val="18"/>
                <w:szCs w:val="18"/>
                <w:lang w:val="en-CA"/>
              </w:rPr>
              <w:t>$</w:t>
            </w:r>
            <w:r w:rsidR="00686D83" w:rsidRPr="000C27AA">
              <w:rPr>
                <w:rFonts w:ascii="Arial" w:hAnsi="Arial" w:cs="Arial"/>
                <w:sz w:val="18"/>
                <w:szCs w:val="18"/>
                <w:lang w:val="en-CA"/>
              </w:rPr>
              <w:t xml:space="preserve"> </w:t>
            </w:r>
            <w:r w:rsidRPr="000C27AA">
              <w:rPr>
                <w:rFonts w:ascii="Arial" w:hAnsi="Arial" w:cs="Arial"/>
                <w:sz w:val="18"/>
                <w:szCs w:val="18"/>
                <w:lang w:val="en-CA"/>
              </w:rPr>
              <w:t>billion</w:t>
            </w:r>
            <w:r w:rsidR="00686D83" w:rsidRPr="000C27AA">
              <w:rPr>
                <w:rFonts w:ascii="Arial" w:hAnsi="Arial" w:cs="Arial"/>
                <w:sz w:val="18"/>
                <w:szCs w:val="18"/>
                <w:lang w:val="en-CA"/>
              </w:rPr>
              <w:t>)</w:t>
            </w:r>
          </w:p>
        </w:tc>
        <w:tc>
          <w:tcPr>
            <w:tcW w:w="935" w:type="dxa"/>
            <w:tcBorders>
              <w:top w:val="nil"/>
              <w:left w:val="nil"/>
              <w:bottom w:val="nil"/>
              <w:right w:val="nil"/>
            </w:tcBorders>
            <w:shd w:val="clear" w:color="auto" w:fill="auto"/>
            <w:noWrap/>
            <w:vAlign w:val="bottom"/>
            <w:hideMark/>
          </w:tcPr>
          <w:p w14:paraId="6F28AADD"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484</w:t>
            </w:r>
          </w:p>
        </w:tc>
        <w:tc>
          <w:tcPr>
            <w:tcW w:w="714" w:type="dxa"/>
            <w:tcBorders>
              <w:top w:val="nil"/>
              <w:left w:val="nil"/>
              <w:bottom w:val="nil"/>
              <w:right w:val="nil"/>
            </w:tcBorders>
            <w:shd w:val="clear" w:color="auto" w:fill="auto"/>
            <w:noWrap/>
            <w:vAlign w:val="bottom"/>
            <w:hideMark/>
          </w:tcPr>
          <w:p w14:paraId="062FE4FD"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513</w:t>
            </w:r>
          </w:p>
        </w:tc>
        <w:tc>
          <w:tcPr>
            <w:tcW w:w="714" w:type="dxa"/>
            <w:tcBorders>
              <w:top w:val="nil"/>
              <w:left w:val="nil"/>
              <w:bottom w:val="nil"/>
              <w:right w:val="nil"/>
            </w:tcBorders>
            <w:shd w:val="clear" w:color="auto" w:fill="auto"/>
            <w:noWrap/>
            <w:vAlign w:val="bottom"/>
            <w:hideMark/>
          </w:tcPr>
          <w:p w14:paraId="76706565"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549</w:t>
            </w:r>
          </w:p>
        </w:tc>
        <w:tc>
          <w:tcPr>
            <w:tcW w:w="714" w:type="dxa"/>
            <w:tcBorders>
              <w:top w:val="nil"/>
              <w:left w:val="nil"/>
              <w:bottom w:val="nil"/>
              <w:right w:val="nil"/>
            </w:tcBorders>
            <w:shd w:val="clear" w:color="auto" w:fill="auto"/>
            <w:noWrap/>
            <w:vAlign w:val="bottom"/>
            <w:hideMark/>
          </w:tcPr>
          <w:p w14:paraId="50EEC954"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586</w:t>
            </w:r>
          </w:p>
        </w:tc>
        <w:tc>
          <w:tcPr>
            <w:tcW w:w="714" w:type="dxa"/>
            <w:tcBorders>
              <w:top w:val="nil"/>
              <w:left w:val="nil"/>
              <w:bottom w:val="nil"/>
              <w:right w:val="nil"/>
            </w:tcBorders>
            <w:shd w:val="clear" w:color="auto" w:fill="auto"/>
            <w:noWrap/>
            <w:vAlign w:val="bottom"/>
            <w:hideMark/>
          </w:tcPr>
          <w:p w14:paraId="73AE7C3F"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607</w:t>
            </w:r>
          </w:p>
        </w:tc>
        <w:tc>
          <w:tcPr>
            <w:tcW w:w="794" w:type="dxa"/>
            <w:tcBorders>
              <w:top w:val="nil"/>
              <w:left w:val="nil"/>
              <w:bottom w:val="nil"/>
              <w:right w:val="nil"/>
            </w:tcBorders>
            <w:shd w:val="clear" w:color="auto" w:fill="F2F2F2"/>
            <w:noWrap/>
            <w:vAlign w:val="bottom"/>
            <w:hideMark/>
          </w:tcPr>
          <w:p w14:paraId="07E169D6"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440</w:t>
            </w:r>
          </w:p>
        </w:tc>
        <w:tc>
          <w:tcPr>
            <w:tcW w:w="794" w:type="dxa"/>
            <w:tcBorders>
              <w:top w:val="nil"/>
              <w:left w:val="nil"/>
              <w:bottom w:val="nil"/>
              <w:right w:val="single" w:sz="4" w:space="0" w:color="auto"/>
            </w:tcBorders>
            <w:shd w:val="clear" w:color="auto" w:fill="F2F2F2"/>
            <w:noWrap/>
            <w:vAlign w:val="bottom"/>
            <w:hideMark/>
          </w:tcPr>
          <w:p w14:paraId="6DA5EE69"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539</w:t>
            </w:r>
          </w:p>
        </w:tc>
      </w:tr>
      <w:tr w:rsidR="00BD3CFA" w:rsidRPr="000C27AA" w14:paraId="66E5748A"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6233F4DE" w14:textId="505E156D" w:rsidR="00BD3CFA" w:rsidRPr="000C27AA" w:rsidRDefault="00BD3CFA" w:rsidP="00BE3625">
            <w:pPr>
              <w:ind w:firstLineChars="100" w:firstLine="180"/>
              <w:rPr>
                <w:rFonts w:ascii="Arial" w:hAnsi="Arial" w:cs="Arial"/>
                <w:sz w:val="18"/>
                <w:szCs w:val="18"/>
                <w:lang w:val="en-CA"/>
              </w:rPr>
            </w:pPr>
            <w:r w:rsidRPr="000C27AA">
              <w:rPr>
                <w:rFonts w:ascii="Arial" w:hAnsi="Arial" w:cs="Arial"/>
                <w:sz w:val="18"/>
                <w:szCs w:val="18"/>
                <w:lang w:val="en-CA"/>
              </w:rPr>
              <w:t xml:space="preserve">Passenger load factor achieved </w:t>
            </w:r>
            <w:r w:rsidR="00686D83" w:rsidRPr="000C27AA">
              <w:rPr>
                <w:rFonts w:ascii="Arial" w:hAnsi="Arial" w:cs="Arial"/>
                <w:sz w:val="18"/>
                <w:szCs w:val="18"/>
                <w:lang w:val="en-CA"/>
              </w:rPr>
              <w:t xml:space="preserve">(in </w:t>
            </w:r>
            <w:r w:rsidRPr="000C27AA">
              <w:rPr>
                <w:rFonts w:ascii="Arial" w:hAnsi="Arial" w:cs="Arial"/>
                <w:sz w:val="18"/>
                <w:szCs w:val="18"/>
                <w:lang w:val="en-CA"/>
              </w:rPr>
              <w:t>%</w:t>
            </w:r>
            <w:r w:rsidR="00686D83" w:rsidRPr="000C27AA">
              <w:rPr>
                <w:rFonts w:ascii="Arial" w:hAnsi="Arial" w:cs="Arial"/>
                <w:sz w:val="18"/>
                <w:szCs w:val="18"/>
                <w:lang w:val="en-CA"/>
              </w:rPr>
              <w:t>)</w:t>
            </w:r>
          </w:p>
        </w:tc>
        <w:tc>
          <w:tcPr>
            <w:tcW w:w="935" w:type="dxa"/>
            <w:tcBorders>
              <w:top w:val="nil"/>
              <w:left w:val="nil"/>
              <w:bottom w:val="nil"/>
              <w:right w:val="nil"/>
            </w:tcBorders>
            <w:shd w:val="clear" w:color="auto" w:fill="auto"/>
            <w:noWrap/>
            <w:vAlign w:val="bottom"/>
            <w:hideMark/>
          </w:tcPr>
          <w:p w14:paraId="7E45D9C9"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80.5</w:t>
            </w:r>
          </w:p>
        </w:tc>
        <w:tc>
          <w:tcPr>
            <w:tcW w:w="714" w:type="dxa"/>
            <w:tcBorders>
              <w:top w:val="nil"/>
              <w:left w:val="nil"/>
              <w:bottom w:val="nil"/>
              <w:right w:val="nil"/>
            </w:tcBorders>
            <w:shd w:val="clear" w:color="auto" w:fill="auto"/>
            <w:noWrap/>
            <w:vAlign w:val="bottom"/>
            <w:hideMark/>
          </w:tcPr>
          <w:p w14:paraId="58C0FEDC"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80.4</w:t>
            </w:r>
          </w:p>
        </w:tc>
        <w:tc>
          <w:tcPr>
            <w:tcW w:w="714" w:type="dxa"/>
            <w:tcBorders>
              <w:top w:val="nil"/>
              <w:left w:val="nil"/>
              <w:bottom w:val="nil"/>
              <w:right w:val="nil"/>
            </w:tcBorders>
            <w:shd w:val="clear" w:color="auto" w:fill="auto"/>
            <w:noWrap/>
            <w:vAlign w:val="bottom"/>
            <w:hideMark/>
          </w:tcPr>
          <w:p w14:paraId="7EFE2E16"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81.5</w:t>
            </w:r>
          </w:p>
        </w:tc>
        <w:tc>
          <w:tcPr>
            <w:tcW w:w="714" w:type="dxa"/>
            <w:tcBorders>
              <w:top w:val="nil"/>
              <w:left w:val="nil"/>
              <w:bottom w:val="nil"/>
              <w:right w:val="nil"/>
            </w:tcBorders>
            <w:shd w:val="clear" w:color="auto" w:fill="auto"/>
            <w:noWrap/>
            <w:vAlign w:val="bottom"/>
            <w:hideMark/>
          </w:tcPr>
          <w:p w14:paraId="783AFEF8"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81.9</w:t>
            </w:r>
          </w:p>
        </w:tc>
        <w:tc>
          <w:tcPr>
            <w:tcW w:w="714" w:type="dxa"/>
            <w:tcBorders>
              <w:top w:val="nil"/>
              <w:left w:val="nil"/>
              <w:bottom w:val="nil"/>
              <w:right w:val="nil"/>
            </w:tcBorders>
            <w:shd w:val="clear" w:color="auto" w:fill="auto"/>
            <w:noWrap/>
            <w:vAlign w:val="bottom"/>
            <w:hideMark/>
          </w:tcPr>
          <w:p w14:paraId="0A546F67"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82.5</w:t>
            </w:r>
          </w:p>
        </w:tc>
        <w:tc>
          <w:tcPr>
            <w:tcW w:w="794" w:type="dxa"/>
            <w:tcBorders>
              <w:top w:val="nil"/>
              <w:left w:val="nil"/>
              <w:bottom w:val="nil"/>
              <w:right w:val="nil"/>
            </w:tcBorders>
            <w:shd w:val="clear" w:color="auto" w:fill="F2F2F2"/>
            <w:noWrap/>
            <w:vAlign w:val="bottom"/>
            <w:hideMark/>
          </w:tcPr>
          <w:p w14:paraId="644266E8"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62.7</w:t>
            </w:r>
          </w:p>
        </w:tc>
        <w:tc>
          <w:tcPr>
            <w:tcW w:w="794" w:type="dxa"/>
            <w:tcBorders>
              <w:top w:val="nil"/>
              <w:left w:val="nil"/>
              <w:bottom w:val="nil"/>
              <w:right w:val="single" w:sz="4" w:space="0" w:color="auto"/>
            </w:tcBorders>
            <w:shd w:val="clear" w:color="auto" w:fill="F2F2F2"/>
            <w:noWrap/>
            <w:vAlign w:val="bottom"/>
            <w:hideMark/>
          </w:tcPr>
          <w:p w14:paraId="6272BDBA"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73.8</w:t>
            </w:r>
          </w:p>
        </w:tc>
      </w:tr>
      <w:tr w:rsidR="00BD3CFA" w:rsidRPr="000C27AA" w14:paraId="6E9804FE"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0BB4C886" w14:textId="77777777" w:rsidR="00BD3CFA" w:rsidRPr="000C27AA" w:rsidRDefault="00BD3CFA" w:rsidP="00BE3625">
            <w:pPr>
              <w:ind w:firstLineChars="100" w:firstLine="180"/>
              <w:rPr>
                <w:rFonts w:ascii="Arial" w:hAnsi="Arial" w:cs="Arial"/>
                <w:sz w:val="18"/>
                <w:szCs w:val="18"/>
                <w:lang w:val="en-CA"/>
              </w:rPr>
            </w:pPr>
            <w:r w:rsidRPr="000C27AA">
              <w:rPr>
                <w:rFonts w:ascii="Arial" w:hAnsi="Arial" w:cs="Arial"/>
                <w:sz w:val="18"/>
                <w:szCs w:val="18"/>
                <w:lang w:val="en-CA"/>
              </w:rPr>
              <w:t> </w:t>
            </w:r>
          </w:p>
        </w:tc>
        <w:tc>
          <w:tcPr>
            <w:tcW w:w="935" w:type="dxa"/>
            <w:tcBorders>
              <w:top w:val="nil"/>
              <w:left w:val="nil"/>
              <w:bottom w:val="nil"/>
              <w:right w:val="nil"/>
            </w:tcBorders>
            <w:shd w:val="clear" w:color="auto" w:fill="auto"/>
            <w:noWrap/>
            <w:vAlign w:val="bottom"/>
            <w:hideMark/>
          </w:tcPr>
          <w:p w14:paraId="317D6FDB" w14:textId="77777777" w:rsidR="00BD3CFA" w:rsidRPr="000C27AA" w:rsidRDefault="00BD3CFA" w:rsidP="00BE3625">
            <w:pPr>
              <w:jc w:val="right"/>
              <w:rPr>
                <w:rFonts w:ascii="Arial" w:hAnsi="Arial" w:cs="Arial"/>
                <w:sz w:val="18"/>
                <w:szCs w:val="18"/>
                <w:lang w:val="en-CA"/>
              </w:rPr>
            </w:pPr>
          </w:p>
        </w:tc>
        <w:tc>
          <w:tcPr>
            <w:tcW w:w="714" w:type="dxa"/>
            <w:tcBorders>
              <w:top w:val="nil"/>
              <w:left w:val="nil"/>
              <w:bottom w:val="nil"/>
              <w:right w:val="nil"/>
            </w:tcBorders>
            <w:shd w:val="clear" w:color="auto" w:fill="auto"/>
            <w:noWrap/>
            <w:vAlign w:val="bottom"/>
            <w:hideMark/>
          </w:tcPr>
          <w:p w14:paraId="343900B9" w14:textId="77777777" w:rsidR="00BD3CFA" w:rsidRPr="000C27AA" w:rsidRDefault="00BD3CFA" w:rsidP="00BE3625">
            <w:pPr>
              <w:jc w:val="right"/>
              <w:rPr>
                <w:rFonts w:ascii="Arial" w:hAnsi="Arial" w:cs="Arial"/>
                <w:sz w:val="18"/>
                <w:szCs w:val="18"/>
                <w:lang w:val="en-CA"/>
              </w:rPr>
            </w:pPr>
          </w:p>
        </w:tc>
        <w:tc>
          <w:tcPr>
            <w:tcW w:w="714" w:type="dxa"/>
            <w:tcBorders>
              <w:top w:val="nil"/>
              <w:left w:val="nil"/>
              <w:bottom w:val="nil"/>
              <w:right w:val="nil"/>
            </w:tcBorders>
            <w:shd w:val="clear" w:color="auto" w:fill="auto"/>
            <w:noWrap/>
            <w:vAlign w:val="bottom"/>
            <w:hideMark/>
          </w:tcPr>
          <w:p w14:paraId="09DD7CB9" w14:textId="77777777" w:rsidR="00BD3CFA" w:rsidRPr="000C27AA" w:rsidRDefault="00BD3CFA" w:rsidP="00BE3625">
            <w:pPr>
              <w:jc w:val="right"/>
              <w:rPr>
                <w:rFonts w:ascii="Arial" w:hAnsi="Arial" w:cs="Arial"/>
                <w:sz w:val="18"/>
                <w:szCs w:val="18"/>
                <w:lang w:val="en-CA"/>
              </w:rPr>
            </w:pPr>
          </w:p>
        </w:tc>
        <w:tc>
          <w:tcPr>
            <w:tcW w:w="714" w:type="dxa"/>
            <w:tcBorders>
              <w:top w:val="nil"/>
              <w:left w:val="nil"/>
              <w:bottom w:val="nil"/>
              <w:right w:val="nil"/>
            </w:tcBorders>
            <w:shd w:val="clear" w:color="auto" w:fill="auto"/>
            <w:noWrap/>
            <w:vAlign w:val="bottom"/>
            <w:hideMark/>
          </w:tcPr>
          <w:p w14:paraId="11066B93" w14:textId="77777777" w:rsidR="00BD3CFA" w:rsidRPr="000C27AA" w:rsidRDefault="00BD3CFA" w:rsidP="00BE3625">
            <w:pPr>
              <w:jc w:val="right"/>
              <w:rPr>
                <w:rFonts w:ascii="Arial" w:hAnsi="Arial" w:cs="Arial"/>
                <w:sz w:val="18"/>
                <w:szCs w:val="18"/>
                <w:lang w:val="en-CA"/>
              </w:rPr>
            </w:pPr>
          </w:p>
        </w:tc>
        <w:tc>
          <w:tcPr>
            <w:tcW w:w="714" w:type="dxa"/>
            <w:tcBorders>
              <w:top w:val="nil"/>
              <w:left w:val="nil"/>
              <w:bottom w:val="nil"/>
              <w:right w:val="nil"/>
            </w:tcBorders>
            <w:shd w:val="clear" w:color="auto" w:fill="auto"/>
            <w:noWrap/>
            <w:vAlign w:val="bottom"/>
            <w:hideMark/>
          </w:tcPr>
          <w:p w14:paraId="3E5999E1" w14:textId="77777777" w:rsidR="00BD3CFA" w:rsidRPr="000C27AA" w:rsidRDefault="00BD3CFA" w:rsidP="00BE3625">
            <w:pPr>
              <w:jc w:val="right"/>
              <w:rPr>
                <w:rFonts w:ascii="Arial" w:hAnsi="Arial" w:cs="Arial"/>
                <w:sz w:val="18"/>
                <w:szCs w:val="18"/>
                <w:lang w:val="en-CA"/>
              </w:rPr>
            </w:pPr>
          </w:p>
        </w:tc>
        <w:tc>
          <w:tcPr>
            <w:tcW w:w="794" w:type="dxa"/>
            <w:tcBorders>
              <w:top w:val="nil"/>
              <w:left w:val="nil"/>
              <w:bottom w:val="nil"/>
              <w:right w:val="nil"/>
            </w:tcBorders>
            <w:shd w:val="clear" w:color="auto" w:fill="F2F2F2"/>
            <w:noWrap/>
            <w:vAlign w:val="bottom"/>
            <w:hideMark/>
          </w:tcPr>
          <w:p w14:paraId="0E711E6A"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 </w:t>
            </w:r>
          </w:p>
        </w:tc>
        <w:tc>
          <w:tcPr>
            <w:tcW w:w="794" w:type="dxa"/>
            <w:tcBorders>
              <w:top w:val="nil"/>
              <w:left w:val="nil"/>
              <w:bottom w:val="nil"/>
              <w:right w:val="single" w:sz="4" w:space="0" w:color="auto"/>
            </w:tcBorders>
            <w:shd w:val="clear" w:color="auto" w:fill="F2F2F2"/>
            <w:noWrap/>
            <w:vAlign w:val="bottom"/>
            <w:hideMark/>
          </w:tcPr>
          <w:p w14:paraId="24A87B89"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 </w:t>
            </w:r>
          </w:p>
        </w:tc>
      </w:tr>
      <w:tr w:rsidR="00BD3CFA" w:rsidRPr="000C27AA" w14:paraId="633339EB"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59047663" w14:textId="79CDAFB8" w:rsidR="00BD3CFA" w:rsidRPr="000C27AA" w:rsidRDefault="00BD3CFA" w:rsidP="005B4A71">
            <w:pPr>
              <w:ind w:firstLineChars="100" w:firstLine="181"/>
              <w:rPr>
                <w:rFonts w:ascii="Arial" w:hAnsi="Arial" w:cs="Arial"/>
                <w:sz w:val="18"/>
                <w:szCs w:val="18"/>
                <w:lang w:val="en-CA"/>
              </w:rPr>
            </w:pPr>
            <w:r w:rsidRPr="000C27AA">
              <w:rPr>
                <w:rFonts w:ascii="Arial" w:hAnsi="Arial" w:cs="Arial"/>
                <w:b/>
                <w:bCs/>
                <w:sz w:val="18"/>
                <w:szCs w:val="18"/>
                <w:lang w:val="en-CA"/>
              </w:rPr>
              <w:t>Operating Profit</w:t>
            </w:r>
          </w:p>
        </w:tc>
        <w:tc>
          <w:tcPr>
            <w:tcW w:w="935" w:type="dxa"/>
            <w:tcBorders>
              <w:top w:val="nil"/>
              <w:left w:val="nil"/>
              <w:bottom w:val="nil"/>
              <w:right w:val="nil"/>
            </w:tcBorders>
            <w:shd w:val="clear" w:color="auto" w:fill="auto"/>
            <w:noWrap/>
            <w:vAlign w:val="bottom"/>
            <w:hideMark/>
          </w:tcPr>
          <w:p w14:paraId="1B3EA662"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62</w:t>
            </w:r>
          </w:p>
        </w:tc>
        <w:tc>
          <w:tcPr>
            <w:tcW w:w="714" w:type="dxa"/>
            <w:tcBorders>
              <w:top w:val="nil"/>
              <w:left w:val="nil"/>
              <w:bottom w:val="nil"/>
              <w:right w:val="nil"/>
            </w:tcBorders>
            <w:shd w:val="clear" w:color="auto" w:fill="auto"/>
            <w:noWrap/>
            <w:vAlign w:val="bottom"/>
            <w:hideMark/>
          </w:tcPr>
          <w:p w14:paraId="4D81BF17"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60.1</w:t>
            </w:r>
          </w:p>
        </w:tc>
        <w:tc>
          <w:tcPr>
            <w:tcW w:w="714" w:type="dxa"/>
            <w:tcBorders>
              <w:top w:val="nil"/>
              <w:left w:val="nil"/>
              <w:bottom w:val="nil"/>
              <w:right w:val="nil"/>
            </w:tcBorders>
            <w:shd w:val="clear" w:color="auto" w:fill="auto"/>
            <w:noWrap/>
            <w:vAlign w:val="bottom"/>
            <w:hideMark/>
          </w:tcPr>
          <w:p w14:paraId="058CA5C2"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56.6</w:t>
            </w:r>
          </w:p>
        </w:tc>
        <w:tc>
          <w:tcPr>
            <w:tcW w:w="714" w:type="dxa"/>
            <w:tcBorders>
              <w:top w:val="nil"/>
              <w:left w:val="nil"/>
              <w:bottom w:val="nil"/>
              <w:right w:val="nil"/>
            </w:tcBorders>
            <w:shd w:val="clear" w:color="auto" w:fill="auto"/>
            <w:noWrap/>
            <w:vAlign w:val="bottom"/>
            <w:hideMark/>
          </w:tcPr>
          <w:p w14:paraId="7FBFB321"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45.9</w:t>
            </w:r>
          </w:p>
        </w:tc>
        <w:tc>
          <w:tcPr>
            <w:tcW w:w="714" w:type="dxa"/>
            <w:tcBorders>
              <w:top w:val="nil"/>
              <w:left w:val="nil"/>
              <w:bottom w:val="nil"/>
              <w:right w:val="nil"/>
            </w:tcBorders>
            <w:shd w:val="clear" w:color="auto" w:fill="auto"/>
            <w:noWrap/>
            <w:vAlign w:val="bottom"/>
            <w:hideMark/>
          </w:tcPr>
          <w:p w14:paraId="7847E6E8"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43.2</w:t>
            </w:r>
          </w:p>
        </w:tc>
        <w:tc>
          <w:tcPr>
            <w:tcW w:w="794" w:type="dxa"/>
            <w:tcBorders>
              <w:top w:val="nil"/>
              <w:left w:val="nil"/>
              <w:bottom w:val="nil"/>
              <w:right w:val="nil"/>
            </w:tcBorders>
            <w:shd w:val="clear" w:color="auto" w:fill="F2F2F2"/>
            <w:noWrap/>
            <w:vAlign w:val="bottom"/>
            <w:hideMark/>
          </w:tcPr>
          <w:p w14:paraId="79723E1A" w14:textId="0FA3D187" w:rsidR="00BD3CFA" w:rsidRPr="000C27AA" w:rsidRDefault="00686D83" w:rsidP="00BE3625">
            <w:pPr>
              <w:jc w:val="right"/>
              <w:rPr>
                <w:rFonts w:ascii="Arial" w:hAnsi="Arial" w:cs="Arial"/>
                <w:sz w:val="18"/>
                <w:szCs w:val="18"/>
                <w:lang w:val="en-CA"/>
              </w:rPr>
            </w:pPr>
            <w:r w:rsidRPr="000C27AA">
              <w:rPr>
                <w:rFonts w:ascii="Arial" w:hAnsi="Arial" w:cs="Arial"/>
                <w:b/>
                <w:bCs/>
                <w:sz w:val="18"/>
                <w:szCs w:val="18"/>
                <w:lang w:val="en-CA"/>
              </w:rPr>
              <w:t>–</w:t>
            </w:r>
            <w:r w:rsidR="00BD3CFA" w:rsidRPr="000C27AA">
              <w:rPr>
                <w:rFonts w:ascii="Arial" w:hAnsi="Arial" w:cs="Arial"/>
                <w:b/>
                <w:bCs/>
                <w:sz w:val="18"/>
                <w:szCs w:val="18"/>
                <w:lang w:val="en-CA"/>
              </w:rPr>
              <w:t>98</w:t>
            </w:r>
          </w:p>
        </w:tc>
        <w:tc>
          <w:tcPr>
            <w:tcW w:w="794" w:type="dxa"/>
            <w:tcBorders>
              <w:top w:val="nil"/>
              <w:left w:val="nil"/>
              <w:bottom w:val="nil"/>
              <w:right w:val="single" w:sz="4" w:space="0" w:color="auto"/>
            </w:tcBorders>
            <w:shd w:val="clear" w:color="auto" w:fill="F2F2F2"/>
            <w:noWrap/>
            <w:vAlign w:val="bottom"/>
            <w:hideMark/>
          </w:tcPr>
          <w:p w14:paraId="2EC553F9" w14:textId="5508AC3A" w:rsidR="00BD3CFA" w:rsidRPr="000C27AA" w:rsidRDefault="00686D83" w:rsidP="00BE3625">
            <w:pPr>
              <w:jc w:val="right"/>
              <w:rPr>
                <w:rFonts w:ascii="Arial" w:hAnsi="Arial" w:cs="Arial"/>
                <w:sz w:val="18"/>
                <w:szCs w:val="18"/>
                <w:lang w:val="en-CA"/>
              </w:rPr>
            </w:pPr>
            <w:r w:rsidRPr="000C27AA">
              <w:rPr>
                <w:rFonts w:ascii="Arial" w:hAnsi="Arial" w:cs="Arial"/>
                <w:b/>
                <w:bCs/>
                <w:sz w:val="18"/>
                <w:szCs w:val="18"/>
                <w:lang w:val="en-CA"/>
              </w:rPr>
              <w:t>–</w:t>
            </w:r>
            <w:r w:rsidR="00BD3CFA" w:rsidRPr="000C27AA">
              <w:rPr>
                <w:rFonts w:ascii="Arial" w:hAnsi="Arial" w:cs="Arial"/>
                <w:b/>
                <w:bCs/>
                <w:sz w:val="18"/>
                <w:szCs w:val="18"/>
                <w:lang w:val="en-CA"/>
              </w:rPr>
              <w:t>25.2</w:t>
            </w:r>
          </w:p>
        </w:tc>
      </w:tr>
      <w:tr w:rsidR="00BD3CFA" w:rsidRPr="000C27AA" w14:paraId="45D4F275"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3F41CAA2" w14:textId="65A24065" w:rsidR="00BD3CFA" w:rsidRPr="000C27AA" w:rsidRDefault="00686D83" w:rsidP="00BE3625">
            <w:pPr>
              <w:ind w:firstLineChars="100" w:firstLine="180"/>
              <w:rPr>
                <w:rFonts w:ascii="Arial" w:hAnsi="Arial" w:cs="Arial"/>
                <w:sz w:val="18"/>
                <w:szCs w:val="18"/>
                <w:lang w:val="en-CA"/>
              </w:rPr>
            </w:pPr>
            <w:r w:rsidRPr="000C27AA">
              <w:rPr>
                <w:rFonts w:ascii="Arial" w:hAnsi="Arial" w:cs="Arial"/>
                <w:sz w:val="18"/>
                <w:szCs w:val="18"/>
                <w:lang w:val="en-CA"/>
              </w:rPr>
              <w:t>M</w:t>
            </w:r>
            <w:r w:rsidR="00BD3CFA" w:rsidRPr="000C27AA">
              <w:rPr>
                <w:rFonts w:ascii="Arial" w:hAnsi="Arial" w:cs="Arial"/>
                <w:sz w:val="18"/>
                <w:szCs w:val="18"/>
                <w:lang w:val="en-CA"/>
              </w:rPr>
              <w:t xml:space="preserve">argin </w:t>
            </w:r>
            <w:r w:rsidRPr="000C27AA">
              <w:rPr>
                <w:rFonts w:ascii="Arial" w:hAnsi="Arial" w:cs="Arial"/>
                <w:sz w:val="18"/>
                <w:szCs w:val="18"/>
                <w:lang w:val="en-CA"/>
              </w:rPr>
              <w:t>(in %)</w:t>
            </w:r>
          </w:p>
        </w:tc>
        <w:tc>
          <w:tcPr>
            <w:tcW w:w="935" w:type="dxa"/>
            <w:tcBorders>
              <w:top w:val="nil"/>
              <w:left w:val="nil"/>
              <w:bottom w:val="nil"/>
              <w:right w:val="nil"/>
            </w:tcBorders>
            <w:shd w:val="clear" w:color="auto" w:fill="auto"/>
            <w:noWrap/>
            <w:vAlign w:val="bottom"/>
            <w:hideMark/>
          </w:tcPr>
          <w:p w14:paraId="5A076FA8"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8.6</w:t>
            </w:r>
          </w:p>
        </w:tc>
        <w:tc>
          <w:tcPr>
            <w:tcW w:w="714" w:type="dxa"/>
            <w:tcBorders>
              <w:top w:val="nil"/>
              <w:left w:val="nil"/>
              <w:bottom w:val="nil"/>
              <w:right w:val="nil"/>
            </w:tcBorders>
            <w:shd w:val="clear" w:color="auto" w:fill="auto"/>
            <w:noWrap/>
            <w:vAlign w:val="bottom"/>
            <w:hideMark/>
          </w:tcPr>
          <w:p w14:paraId="6A5372D2"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8.5</w:t>
            </w:r>
          </w:p>
        </w:tc>
        <w:tc>
          <w:tcPr>
            <w:tcW w:w="714" w:type="dxa"/>
            <w:tcBorders>
              <w:top w:val="nil"/>
              <w:left w:val="nil"/>
              <w:bottom w:val="nil"/>
              <w:right w:val="nil"/>
            </w:tcBorders>
            <w:shd w:val="clear" w:color="auto" w:fill="auto"/>
            <w:noWrap/>
            <w:vAlign w:val="bottom"/>
            <w:hideMark/>
          </w:tcPr>
          <w:p w14:paraId="1E68C69F"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7.5</w:t>
            </w:r>
          </w:p>
        </w:tc>
        <w:tc>
          <w:tcPr>
            <w:tcW w:w="714" w:type="dxa"/>
            <w:tcBorders>
              <w:top w:val="nil"/>
              <w:left w:val="nil"/>
              <w:bottom w:val="nil"/>
              <w:right w:val="nil"/>
            </w:tcBorders>
            <w:shd w:val="clear" w:color="auto" w:fill="auto"/>
            <w:noWrap/>
            <w:vAlign w:val="bottom"/>
            <w:hideMark/>
          </w:tcPr>
          <w:p w14:paraId="34987D8E" w14:textId="77777777" w:rsidR="00BD3CFA" w:rsidRPr="000C27AA" w:rsidRDefault="00BD3CFA" w:rsidP="00BE3625">
            <w:pPr>
              <w:jc w:val="right"/>
              <w:rPr>
                <w:rFonts w:ascii="Arial" w:hAnsi="Arial" w:cs="Arial"/>
                <w:sz w:val="18"/>
                <w:szCs w:val="18"/>
                <w:lang w:val="en-CA"/>
              </w:rPr>
            </w:pPr>
            <w:r w:rsidRPr="000C27AA">
              <w:rPr>
                <w:rFonts w:ascii="Arial" w:hAnsi="Arial" w:cs="Arial"/>
                <w:sz w:val="18"/>
                <w:szCs w:val="18"/>
                <w:lang w:val="en-CA"/>
              </w:rPr>
              <w:t>5.2</w:t>
            </w:r>
          </w:p>
        </w:tc>
        <w:tc>
          <w:tcPr>
            <w:tcW w:w="714" w:type="dxa"/>
            <w:tcBorders>
              <w:top w:val="nil"/>
              <w:left w:val="nil"/>
              <w:bottom w:val="nil"/>
              <w:right w:val="nil"/>
            </w:tcBorders>
            <w:shd w:val="clear" w:color="auto" w:fill="auto"/>
            <w:noWrap/>
            <w:vAlign w:val="bottom"/>
            <w:hideMark/>
          </w:tcPr>
          <w:p w14:paraId="5915887A" w14:textId="0B4E32BE" w:rsidR="00BD3CFA" w:rsidRPr="000C27AA" w:rsidRDefault="00686D83" w:rsidP="00BE3625">
            <w:pPr>
              <w:jc w:val="right"/>
              <w:rPr>
                <w:rFonts w:ascii="Arial" w:hAnsi="Arial" w:cs="Arial"/>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23.4</w:t>
            </w:r>
          </w:p>
        </w:tc>
        <w:tc>
          <w:tcPr>
            <w:tcW w:w="794" w:type="dxa"/>
            <w:tcBorders>
              <w:top w:val="nil"/>
              <w:left w:val="nil"/>
              <w:bottom w:val="nil"/>
              <w:right w:val="nil"/>
            </w:tcBorders>
            <w:shd w:val="clear" w:color="auto" w:fill="F2F2F2"/>
            <w:noWrap/>
            <w:vAlign w:val="bottom"/>
            <w:hideMark/>
          </w:tcPr>
          <w:p w14:paraId="2A218CA2" w14:textId="79D7B99A" w:rsidR="00BD3CFA" w:rsidRPr="000C27AA" w:rsidRDefault="00686D83" w:rsidP="00BE3625">
            <w:pPr>
              <w:jc w:val="right"/>
              <w:rPr>
                <w:rFonts w:ascii="Arial" w:hAnsi="Arial" w:cs="Arial"/>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4.2</w:t>
            </w:r>
          </w:p>
        </w:tc>
        <w:tc>
          <w:tcPr>
            <w:tcW w:w="794" w:type="dxa"/>
            <w:tcBorders>
              <w:top w:val="nil"/>
              <w:left w:val="nil"/>
              <w:bottom w:val="nil"/>
              <w:right w:val="single" w:sz="4" w:space="0" w:color="auto"/>
            </w:tcBorders>
            <w:shd w:val="clear" w:color="auto" w:fill="F2F2F2"/>
            <w:noWrap/>
            <w:vAlign w:val="bottom"/>
            <w:hideMark/>
          </w:tcPr>
          <w:p w14:paraId="641CF44C" w14:textId="4F25DCBD" w:rsidR="00BD3CFA" w:rsidRPr="000C27AA" w:rsidRDefault="00686D83" w:rsidP="00BE3625">
            <w:pPr>
              <w:jc w:val="right"/>
              <w:rPr>
                <w:rFonts w:ascii="Arial" w:hAnsi="Arial" w:cs="Arial"/>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4.2</w:t>
            </w:r>
          </w:p>
        </w:tc>
      </w:tr>
      <w:tr w:rsidR="00BD3CFA" w:rsidRPr="000C27AA" w14:paraId="5A0401E5"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15664D18" w14:textId="1A71F967" w:rsidR="00BD3CFA" w:rsidRPr="000C27AA" w:rsidRDefault="00BD3CFA" w:rsidP="005B4A71">
            <w:pPr>
              <w:ind w:firstLineChars="100" w:firstLine="181"/>
              <w:rPr>
                <w:rFonts w:ascii="Arial" w:hAnsi="Arial" w:cs="Arial"/>
                <w:sz w:val="18"/>
                <w:szCs w:val="18"/>
                <w:lang w:val="en-CA"/>
              </w:rPr>
            </w:pPr>
            <w:r w:rsidRPr="000C27AA">
              <w:rPr>
                <w:rFonts w:ascii="Arial" w:hAnsi="Arial" w:cs="Arial"/>
                <w:b/>
                <w:bCs/>
                <w:sz w:val="18"/>
                <w:szCs w:val="18"/>
                <w:lang w:val="en-CA"/>
              </w:rPr>
              <w:t>Net Profit</w:t>
            </w:r>
          </w:p>
        </w:tc>
        <w:tc>
          <w:tcPr>
            <w:tcW w:w="935" w:type="dxa"/>
            <w:tcBorders>
              <w:top w:val="nil"/>
              <w:left w:val="nil"/>
              <w:bottom w:val="nil"/>
              <w:right w:val="nil"/>
            </w:tcBorders>
            <w:shd w:val="clear" w:color="auto" w:fill="auto"/>
            <w:noWrap/>
            <w:vAlign w:val="bottom"/>
            <w:hideMark/>
          </w:tcPr>
          <w:p w14:paraId="10A85C5A"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36</w:t>
            </w:r>
          </w:p>
        </w:tc>
        <w:tc>
          <w:tcPr>
            <w:tcW w:w="714" w:type="dxa"/>
            <w:tcBorders>
              <w:top w:val="nil"/>
              <w:left w:val="nil"/>
              <w:bottom w:val="nil"/>
              <w:right w:val="nil"/>
            </w:tcBorders>
            <w:shd w:val="clear" w:color="auto" w:fill="auto"/>
            <w:noWrap/>
            <w:vAlign w:val="bottom"/>
            <w:hideMark/>
          </w:tcPr>
          <w:p w14:paraId="25EB98E0"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34.2</w:t>
            </w:r>
          </w:p>
        </w:tc>
        <w:tc>
          <w:tcPr>
            <w:tcW w:w="714" w:type="dxa"/>
            <w:tcBorders>
              <w:top w:val="nil"/>
              <w:left w:val="nil"/>
              <w:bottom w:val="nil"/>
              <w:right w:val="nil"/>
            </w:tcBorders>
            <w:shd w:val="clear" w:color="auto" w:fill="auto"/>
            <w:noWrap/>
            <w:vAlign w:val="bottom"/>
            <w:hideMark/>
          </w:tcPr>
          <w:p w14:paraId="5A549B58"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37.6</w:t>
            </w:r>
          </w:p>
        </w:tc>
        <w:tc>
          <w:tcPr>
            <w:tcW w:w="714" w:type="dxa"/>
            <w:tcBorders>
              <w:top w:val="nil"/>
              <w:left w:val="nil"/>
              <w:bottom w:val="nil"/>
              <w:right w:val="nil"/>
            </w:tcBorders>
            <w:shd w:val="clear" w:color="auto" w:fill="auto"/>
            <w:noWrap/>
            <w:vAlign w:val="bottom"/>
            <w:hideMark/>
          </w:tcPr>
          <w:p w14:paraId="7AD8743A"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27.3</w:t>
            </w:r>
          </w:p>
        </w:tc>
        <w:tc>
          <w:tcPr>
            <w:tcW w:w="714" w:type="dxa"/>
            <w:tcBorders>
              <w:top w:val="nil"/>
              <w:left w:val="nil"/>
              <w:bottom w:val="nil"/>
              <w:right w:val="nil"/>
            </w:tcBorders>
            <w:shd w:val="clear" w:color="auto" w:fill="auto"/>
            <w:noWrap/>
            <w:vAlign w:val="bottom"/>
            <w:hideMark/>
          </w:tcPr>
          <w:p w14:paraId="5CEFDF89"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26.4</w:t>
            </w:r>
          </w:p>
        </w:tc>
        <w:tc>
          <w:tcPr>
            <w:tcW w:w="794" w:type="dxa"/>
            <w:tcBorders>
              <w:top w:val="nil"/>
              <w:left w:val="nil"/>
              <w:bottom w:val="nil"/>
              <w:right w:val="nil"/>
            </w:tcBorders>
            <w:shd w:val="clear" w:color="auto" w:fill="F2F2F2"/>
            <w:noWrap/>
            <w:vAlign w:val="bottom"/>
            <w:hideMark/>
          </w:tcPr>
          <w:p w14:paraId="795F7E61" w14:textId="5432D20D" w:rsidR="00BD3CFA" w:rsidRPr="000C27AA" w:rsidRDefault="00686D83" w:rsidP="00BE3625">
            <w:pPr>
              <w:jc w:val="right"/>
              <w:rPr>
                <w:rFonts w:ascii="Arial" w:hAnsi="Arial" w:cs="Arial"/>
                <w:sz w:val="18"/>
                <w:szCs w:val="18"/>
                <w:lang w:val="en-CA"/>
              </w:rPr>
            </w:pPr>
            <w:r w:rsidRPr="000C27AA">
              <w:rPr>
                <w:rFonts w:ascii="Arial" w:hAnsi="Arial" w:cs="Arial"/>
                <w:b/>
                <w:bCs/>
                <w:sz w:val="18"/>
                <w:szCs w:val="18"/>
                <w:lang w:val="en-CA"/>
              </w:rPr>
              <w:t>–</w:t>
            </w:r>
            <w:r w:rsidR="00BD3CFA" w:rsidRPr="000C27AA">
              <w:rPr>
                <w:rFonts w:ascii="Arial" w:hAnsi="Arial" w:cs="Arial"/>
                <w:b/>
                <w:bCs/>
                <w:sz w:val="18"/>
                <w:szCs w:val="18"/>
                <w:lang w:val="en-CA"/>
              </w:rPr>
              <w:t>84.3</w:t>
            </w:r>
          </w:p>
        </w:tc>
        <w:tc>
          <w:tcPr>
            <w:tcW w:w="794" w:type="dxa"/>
            <w:tcBorders>
              <w:top w:val="nil"/>
              <w:left w:val="nil"/>
              <w:bottom w:val="nil"/>
              <w:right w:val="single" w:sz="4" w:space="0" w:color="auto"/>
            </w:tcBorders>
            <w:shd w:val="clear" w:color="auto" w:fill="F2F2F2"/>
            <w:noWrap/>
            <w:vAlign w:val="bottom"/>
            <w:hideMark/>
          </w:tcPr>
          <w:p w14:paraId="5F8059DB" w14:textId="568C61AE" w:rsidR="00BD3CFA" w:rsidRPr="000C27AA" w:rsidRDefault="00686D83" w:rsidP="00BE3625">
            <w:pPr>
              <w:jc w:val="right"/>
              <w:rPr>
                <w:rFonts w:ascii="Arial" w:hAnsi="Arial" w:cs="Arial"/>
                <w:sz w:val="18"/>
                <w:szCs w:val="18"/>
                <w:lang w:val="en-CA"/>
              </w:rPr>
            </w:pPr>
            <w:r w:rsidRPr="000C27AA">
              <w:rPr>
                <w:rFonts w:ascii="Arial" w:hAnsi="Arial" w:cs="Arial"/>
                <w:b/>
                <w:bCs/>
                <w:sz w:val="18"/>
                <w:szCs w:val="18"/>
                <w:lang w:val="en-CA"/>
              </w:rPr>
              <w:t>–</w:t>
            </w:r>
            <w:r w:rsidR="00BD3CFA" w:rsidRPr="000C27AA">
              <w:rPr>
                <w:rFonts w:ascii="Arial" w:hAnsi="Arial" w:cs="Arial"/>
                <w:b/>
                <w:bCs/>
                <w:sz w:val="18"/>
                <w:szCs w:val="18"/>
                <w:lang w:val="en-CA"/>
              </w:rPr>
              <w:t>15.8</w:t>
            </w:r>
          </w:p>
        </w:tc>
      </w:tr>
      <w:tr w:rsidR="00BD3CFA" w:rsidRPr="000C27AA" w14:paraId="44A379E1"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66C99823" w14:textId="60D48601"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w:t>
            </w:r>
            <w:r w:rsidR="00686D83" w:rsidRPr="000C27AA">
              <w:rPr>
                <w:rFonts w:ascii="Arial" w:hAnsi="Arial" w:cs="Arial"/>
                <w:sz w:val="18"/>
                <w:szCs w:val="18"/>
                <w:lang w:val="en-CA"/>
              </w:rPr>
              <w:t>Margin (in %)</w:t>
            </w:r>
          </w:p>
        </w:tc>
        <w:tc>
          <w:tcPr>
            <w:tcW w:w="935" w:type="dxa"/>
            <w:tcBorders>
              <w:top w:val="nil"/>
              <w:left w:val="nil"/>
              <w:bottom w:val="nil"/>
              <w:right w:val="nil"/>
            </w:tcBorders>
            <w:shd w:val="clear" w:color="auto" w:fill="auto"/>
            <w:noWrap/>
            <w:vAlign w:val="bottom"/>
            <w:hideMark/>
          </w:tcPr>
          <w:p w14:paraId="5EDE70C5"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5</w:t>
            </w:r>
          </w:p>
        </w:tc>
        <w:tc>
          <w:tcPr>
            <w:tcW w:w="714" w:type="dxa"/>
            <w:tcBorders>
              <w:top w:val="nil"/>
              <w:left w:val="nil"/>
              <w:bottom w:val="nil"/>
              <w:right w:val="nil"/>
            </w:tcBorders>
            <w:shd w:val="clear" w:color="auto" w:fill="auto"/>
            <w:noWrap/>
            <w:vAlign w:val="bottom"/>
            <w:hideMark/>
          </w:tcPr>
          <w:p w14:paraId="169931A7"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4.8</w:t>
            </w:r>
          </w:p>
        </w:tc>
        <w:tc>
          <w:tcPr>
            <w:tcW w:w="714" w:type="dxa"/>
            <w:tcBorders>
              <w:top w:val="nil"/>
              <w:left w:val="nil"/>
              <w:bottom w:val="nil"/>
              <w:right w:val="nil"/>
            </w:tcBorders>
            <w:shd w:val="clear" w:color="auto" w:fill="auto"/>
            <w:noWrap/>
            <w:vAlign w:val="bottom"/>
            <w:hideMark/>
          </w:tcPr>
          <w:p w14:paraId="0E127F5B"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5</w:t>
            </w:r>
          </w:p>
        </w:tc>
        <w:tc>
          <w:tcPr>
            <w:tcW w:w="714" w:type="dxa"/>
            <w:tcBorders>
              <w:top w:val="nil"/>
              <w:left w:val="nil"/>
              <w:bottom w:val="nil"/>
              <w:right w:val="nil"/>
            </w:tcBorders>
            <w:shd w:val="clear" w:color="auto" w:fill="auto"/>
            <w:noWrap/>
            <w:vAlign w:val="bottom"/>
            <w:hideMark/>
          </w:tcPr>
          <w:p w14:paraId="76AC758F"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3.4</w:t>
            </w:r>
          </w:p>
        </w:tc>
        <w:tc>
          <w:tcPr>
            <w:tcW w:w="714" w:type="dxa"/>
            <w:tcBorders>
              <w:top w:val="nil"/>
              <w:left w:val="nil"/>
              <w:bottom w:val="nil"/>
              <w:right w:val="nil"/>
            </w:tcBorders>
            <w:shd w:val="clear" w:color="auto" w:fill="auto"/>
            <w:noWrap/>
            <w:vAlign w:val="bottom"/>
            <w:hideMark/>
          </w:tcPr>
          <w:p w14:paraId="5126F54C" w14:textId="77777777"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3.1</w:t>
            </w:r>
          </w:p>
        </w:tc>
        <w:tc>
          <w:tcPr>
            <w:tcW w:w="794" w:type="dxa"/>
            <w:tcBorders>
              <w:top w:val="nil"/>
              <w:left w:val="nil"/>
              <w:bottom w:val="nil"/>
              <w:right w:val="nil"/>
            </w:tcBorders>
            <w:shd w:val="clear" w:color="auto" w:fill="F2F2F2"/>
            <w:noWrap/>
            <w:vAlign w:val="bottom"/>
            <w:hideMark/>
          </w:tcPr>
          <w:p w14:paraId="5E9D324F" w14:textId="0813B9AA"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w:t>
            </w:r>
            <w:r w:rsidR="00686D83" w:rsidRPr="000C27AA">
              <w:rPr>
                <w:rFonts w:ascii="Arial" w:hAnsi="Arial" w:cs="Arial"/>
                <w:sz w:val="18"/>
                <w:szCs w:val="18"/>
                <w:lang w:val="en-CA"/>
              </w:rPr>
              <w:t>–</w:t>
            </w:r>
            <w:r w:rsidRPr="000C27AA">
              <w:rPr>
                <w:rFonts w:ascii="Arial" w:hAnsi="Arial" w:cs="Arial"/>
                <w:sz w:val="18"/>
                <w:szCs w:val="18"/>
                <w:lang w:val="en-CA"/>
              </w:rPr>
              <w:t>20.1</w:t>
            </w:r>
          </w:p>
        </w:tc>
        <w:tc>
          <w:tcPr>
            <w:tcW w:w="794" w:type="dxa"/>
            <w:tcBorders>
              <w:top w:val="nil"/>
              <w:left w:val="nil"/>
              <w:bottom w:val="nil"/>
              <w:right w:val="single" w:sz="4" w:space="0" w:color="auto"/>
            </w:tcBorders>
            <w:shd w:val="clear" w:color="auto" w:fill="F2F2F2"/>
            <w:noWrap/>
            <w:vAlign w:val="bottom"/>
            <w:hideMark/>
          </w:tcPr>
          <w:p w14:paraId="4F9FE866" w14:textId="19A78315" w:rsidR="00BD3CFA" w:rsidRPr="000C27AA" w:rsidRDefault="00BD3CFA" w:rsidP="00BE3625">
            <w:pPr>
              <w:rPr>
                <w:rFonts w:ascii="Arial" w:hAnsi="Arial" w:cs="Arial"/>
                <w:sz w:val="18"/>
                <w:szCs w:val="18"/>
                <w:lang w:val="en-CA"/>
              </w:rPr>
            </w:pPr>
            <w:r w:rsidRPr="000C27AA">
              <w:rPr>
                <w:rFonts w:ascii="Arial" w:hAnsi="Arial" w:cs="Arial"/>
                <w:sz w:val="18"/>
                <w:szCs w:val="18"/>
                <w:lang w:val="en-CA"/>
              </w:rPr>
              <w:t xml:space="preserve">    </w:t>
            </w:r>
            <w:r w:rsidR="00686D83" w:rsidRPr="000C27AA">
              <w:rPr>
                <w:rFonts w:ascii="Arial" w:hAnsi="Arial" w:cs="Arial"/>
                <w:sz w:val="18"/>
                <w:szCs w:val="18"/>
                <w:lang w:val="en-CA"/>
              </w:rPr>
              <w:t>–</w:t>
            </w:r>
            <w:r w:rsidRPr="000C27AA">
              <w:rPr>
                <w:rFonts w:ascii="Arial" w:hAnsi="Arial" w:cs="Arial"/>
                <w:sz w:val="18"/>
                <w:szCs w:val="18"/>
                <w:lang w:val="en-CA"/>
              </w:rPr>
              <w:t>2.6</w:t>
            </w:r>
          </w:p>
        </w:tc>
      </w:tr>
      <w:tr w:rsidR="00BD3CFA" w:rsidRPr="000C27AA" w14:paraId="7DB03D92" w14:textId="77777777" w:rsidTr="00C66405">
        <w:trPr>
          <w:trHeight w:val="259"/>
          <w:tblHeader/>
          <w:jc w:val="center"/>
        </w:trPr>
        <w:tc>
          <w:tcPr>
            <w:tcW w:w="4015" w:type="dxa"/>
            <w:tcBorders>
              <w:top w:val="nil"/>
              <w:left w:val="single" w:sz="4" w:space="0" w:color="auto"/>
              <w:bottom w:val="nil"/>
              <w:right w:val="nil"/>
            </w:tcBorders>
            <w:shd w:val="clear" w:color="auto" w:fill="auto"/>
            <w:noWrap/>
            <w:vAlign w:val="bottom"/>
            <w:hideMark/>
          </w:tcPr>
          <w:p w14:paraId="4E878AFF" w14:textId="20CAE88D" w:rsidR="00BD3CFA" w:rsidRPr="000C27AA" w:rsidRDefault="00BD3CFA" w:rsidP="00BE3625">
            <w:pPr>
              <w:rPr>
                <w:rFonts w:ascii="Arial" w:hAnsi="Arial" w:cs="Arial"/>
                <w:b/>
                <w:bCs/>
                <w:sz w:val="18"/>
                <w:szCs w:val="18"/>
                <w:lang w:val="en-CA"/>
              </w:rPr>
            </w:pPr>
            <w:r w:rsidRPr="000C27AA">
              <w:rPr>
                <w:rFonts w:ascii="Arial" w:hAnsi="Arial" w:cs="Arial"/>
                <w:sz w:val="18"/>
                <w:szCs w:val="18"/>
                <w:lang w:val="en-CA"/>
              </w:rPr>
              <w:t xml:space="preserve">    Per departing passenger </w:t>
            </w:r>
            <w:r w:rsidR="00686D83" w:rsidRPr="000C27AA">
              <w:rPr>
                <w:rFonts w:ascii="Arial" w:hAnsi="Arial" w:cs="Arial"/>
                <w:sz w:val="18"/>
                <w:szCs w:val="18"/>
                <w:lang w:val="en-CA"/>
              </w:rPr>
              <w:t>(in US</w:t>
            </w:r>
            <w:r w:rsidRPr="000C27AA">
              <w:rPr>
                <w:rFonts w:ascii="Arial" w:hAnsi="Arial" w:cs="Arial"/>
                <w:sz w:val="18"/>
                <w:szCs w:val="18"/>
                <w:lang w:val="en-CA"/>
              </w:rPr>
              <w:t>$</w:t>
            </w:r>
            <w:r w:rsidR="00686D83" w:rsidRPr="000C27AA">
              <w:rPr>
                <w:rFonts w:ascii="Arial" w:hAnsi="Arial" w:cs="Arial"/>
                <w:sz w:val="18"/>
                <w:szCs w:val="18"/>
                <w:lang w:val="en-CA"/>
              </w:rPr>
              <w:t>)</w:t>
            </w:r>
          </w:p>
        </w:tc>
        <w:tc>
          <w:tcPr>
            <w:tcW w:w="935" w:type="dxa"/>
            <w:tcBorders>
              <w:top w:val="nil"/>
              <w:left w:val="nil"/>
              <w:bottom w:val="nil"/>
              <w:right w:val="nil"/>
            </w:tcBorders>
            <w:shd w:val="clear" w:color="auto" w:fill="auto"/>
            <w:noWrap/>
            <w:vAlign w:val="bottom"/>
            <w:hideMark/>
          </w:tcPr>
          <w:p w14:paraId="40EC45CF" w14:textId="77777777" w:rsidR="00BD3CFA" w:rsidRPr="000C27AA" w:rsidRDefault="00BD3CFA" w:rsidP="00BE3625">
            <w:pPr>
              <w:jc w:val="right"/>
              <w:rPr>
                <w:rFonts w:ascii="Arial" w:hAnsi="Arial" w:cs="Arial"/>
                <w:b/>
                <w:bCs/>
                <w:sz w:val="18"/>
                <w:szCs w:val="18"/>
                <w:lang w:val="en-CA"/>
              </w:rPr>
            </w:pPr>
            <w:r w:rsidRPr="000C27AA">
              <w:rPr>
                <w:rFonts w:ascii="Arial" w:hAnsi="Arial" w:cs="Arial"/>
                <w:sz w:val="18"/>
                <w:szCs w:val="18"/>
                <w:lang w:val="en-CA"/>
              </w:rPr>
              <w:t>10.1</w:t>
            </w:r>
          </w:p>
        </w:tc>
        <w:tc>
          <w:tcPr>
            <w:tcW w:w="714" w:type="dxa"/>
            <w:tcBorders>
              <w:top w:val="nil"/>
              <w:left w:val="nil"/>
              <w:bottom w:val="nil"/>
              <w:right w:val="nil"/>
            </w:tcBorders>
            <w:shd w:val="clear" w:color="auto" w:fill="auto"/>
            <w:noWrap/>
            <w:vAlign w:val="bottom"/>
            <w:hideMark/>
          </w:tcPr>
          <w:p w14:paraId="433EE2A0" w14:textId="77777777" w:rsidR="00BD3CFA" w:rsidRPr="000C27AA" w:rsidRDefault="00BD3CFA" w:rsidP="00BE3625">
            <w:pPr>
              <w:jc w:val="right"/>
              <w:rPr>
                <w:rFonts w:ascii="Arial" w:hAnsi="Arial" w:cs="Arial"/>
                <w:b/>
                <w:bCs/>
                <w:sz w:val="18"/>
                <w:szCs w:val="18"/>
                <w:lang w:val="en-CA"/>
              </w:rPr>
            </w:pPr>
            <w:r w:rsidRPr="000C27AA">
              <w:rPr>
                <w:rFonts w:ascii="Arial" w:hAnsi="Arial" w:cs="Arial"/>
                <w:sz w:val="18"/>
                <w:szCs w:val="18"/>
                <w:lang w:val="en-CA"/>
              </w:rPr>
              <w:t>9</w:t>
            </w:r>
          </w:p>
        </w:tc>
        <w:tc>
          <w:tcPr>
            <w:tcW w:w="714" w:type="dxa"/>
            <w:tcBorders>
              <w:top w:val="nil"/>
              <w:left w:val="nil"/>
              <w:bottom w:val="nil"/>
              <w:right w:val="nil"/>
            </w:tcBorders>
            <w:shd w:val="clear" w:color="auto" w:fill="auto"/>
            <w:noWrap/>
            <w:vAlign w:val="bottom"/>
            <w:hideMark/>
          </w:tcPr>
          <w:p w14:paraId="5E88F874" w14:textId="77777777" w:rsidR="00BD3CFA" w:rsidRPr="000C27AA" w:rsidRDefault="00BD3CFA" w:rsidP="00BE3625">
            <w:pPr>
              <w:jc w:val="right"/>
              <w:rPr>
                <w:rFonts w:ascii="Arial" w:hAnsi="Arial" w:cs="Arial"/>
                <w:b/>
                <w:bCs/>
                <w:sz w:val="18"/>
                <w:szCs w:val="18"/>
                <w:lang w:val="en-CA"/>
              </w:rPr>
            </w:pPr>
            <w:r w:rsidRPr="000C27AA">
              <w:rPr>
                <w:rFonts w:ascii="Arial" w:hAnsi="Arial" w:cs="Arial"/>
                <w:sz w:val="18"/>
                <w:szCs w:val="18"/>
                <w:lang w:val="en-CA"/>
              </w:rPr>
              <w:t>9.2</w:t>
            </w:r>
          </w:p>
        </w:tc>
        <w:tc>
          <w:tcPr>
            <w:tcW w:w="714" w:type="dxa"/>
            <w:tcBorders>
              <w:top w:val="nil"/>
              <w:left w:val="nil"/>
              <w:bottom w:val="nil"/>
              <w:right w:val="nil"/>
            </w:tcBorders>
            <w:shd w:val="clear" w:color="auto" w:fill="auto"/>
            <w:noWrap/>
            <w:vAlign w:val="bottom"/>
            <w:hideMark/>
          </w:tcPr>
          <w:p w14:paraId="47B05C4C" w14:textId="77777777" w:rsidR="00BD3CFA" w:rsidRPr="000C27AA" w:rsidRDefault="00BD3CFA" w:rsidP="00BE3625">
            <w:pPr>
              <w:jc w:val="right"/>
              <w:rPr>
                <w:rFonts w:ascii="Arial" w:hAnsi="Arial" w:cs="Arial"/>
                <w:b/>
                <w:bCs/>
                <w:sz w:val="18"/>
                <w:szCs w:val="18"/>
                <w:lang w:val="en-CA"/>
              </w:rPr>
            </w:pPr>
            <w:r w:rsidRPr="000C27AA">
              <w:rPr>
                <w:rFonts w:ascii="Arial" w:hAnsi="Arial" w:cs="Arial"/>
                <w:sz w:val="18"/>
                <w:szCs w:val="18"/>
                <w:lang w:val="en-CA"/>
              </w:rPr>
              <w:t>6.2</w:t>
            </w:r>
          </w:p>
        </w:tc>
        <w:tc>
          <w:tcPr>
            <w:tcW w:w="714" w:type="dxa"/>
            <w:tcBorders>
              <w:top w:val="nil"/>
              <w:left w:val="nil"/>
              <w:bottom w:val="nil"/>
              <w:right w:val="nil"/>
            </w:tcBorders>
            <w:shd w:val="clear" w:color="auto" w:fill="auto"/>
            <w:noWrap/>
            <w:vAlign w:val="bottom"/>
            <w:hideMark/>
          </w:tcPr>
          <w:p w14:paraId="53D1A780" w14:textId="77777777" w:rsidR="00BD3CFA" w:rsidRPr="000C27AA" w:rsidRDefault="00BD3CFA" w:rsidP="00BE3625">
            <w:pPr>
              <w:jc w:val="right"/>
              <w:rPr>
                <w:rFonts w:ascii="Arial" w:hAnsi="Arial" w:cs="Arial"/>
                <w:b/>
                <w:bCs/>
                <w:sz w:val="18"/>
                <w:szCs w:val="18"/>
                <w:lang w:val="en-CA"/>
              </w:rPr>
            </w:pPr>
            <w:r w:rsidRPr="000C27AA">
              <w:rPr>
                <w:rFonts w:ascii="Arial" w:hAnsi="Arial" w:cs="Arial"/>
                <w:sz w:val="18"/>
                <w:szCs w:val="18"/>
                <w:lang w:val="en-CA"/>
              </w:rPr>
              <w:t>5.8</w:t>
            </w:r>
          </w:p>
        </w:tc>
        <w:tc>
          <w:tcPr>
            <w:tcW w:w="794" w:type="dxa"/>
            <w:tcBorders>
              <w:top w:val="nil"/>
              <w:left w:val="nil"/>
              <w:bottom w:val="nil"/>
              <w:right w:val="nil"/>
            </w:tcBorders>
            <w:shd w:val="clear" w:color="auto" w:fill="F2F2F2"/>
            <w:noWrap/>
            <w:vAlign w:val="bottom"/>
            <w:hideMark/>
          </w:tcPr>
          <w:p w14:paraId="2D13B5D0" w14:textId="78E50F87" w:rsidR="00BD3CFA" w:rsidRPr="000C27AA" w:rsidRDefault="00686D83" w:rsidP="00BE3625">
            <w:pPr>
              <w:jc w:val="right"/>
              <w:rPr>
                <w:rFonts w:ascii="Arial" w:hAnsi="Arial" w:cs="Arial"/>
                <w:b/>
                <w:bCs/>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37.5</w:t>
            </w:r>
          </w:p>
        </w:tc>
        <w:tc>
          <w:tcPr>
            <w:tcW w:w="794" w:type="dxa"/>
            <w:tcBorders>
              <w:top w:val="nil"/>
              <w:left w:val="nil"/>
              <w:bottom w:val="nil"/>
              <w:right w:val="single" w:sz="4" w:space="0" w:color="auto"/>
            </w:tcBorders>
            <w:shd w:val="clear" w:color="auto" w:fill="F2F2F2"/>
            <w:noWrap/>
            <w:vAlign w:val="bottom"/>
            <w:hideMark/>
          </w:tcPr>
          <w:p w14:paraId="6832BE02" w14:textId="4A39A776" w:rsidR="00BD3CFA" w:rsidRPr="000C27AA" w:rsidRDefault="00686D83" w:rsidP="00BE3625">
            <w:pPr>
              <w:jc w:val="right"/>
              <w:rPr>
                <w:rFonts w:ascii="Arial" w:hAnsi="Arial" w:cs="Arial"/>
                <w:b/>
                <w:bCs/>
                <w:sz w:val="18"/>
                <w:szCs w:val="18"/>
                <w:lang w:val="en-CA"/>
              </w:rPr>
            </w:pPr>
            <w:r w:rsidRPr="000C27AA">
              <w:rPr>
                <w:rFonts w:ascii="Arial" w:hAnsi="Arial" w:cs="Arial"/>
                <w:sz w:val="18"/>
                <w:szCs w:val="18"/>
                <w:lang w:val="en-CA"/>
              </w:rPr>
              <w:t>–</w:t>
            </w:r>
            <w:r w:rsidR="00BD3CFA" w:rsidRPr="000C27AA">
              <w:rPr>
                <w:rFonts w:ascii="Arial" w:hAnsi="Arial" w:cs="Arial"/>
                <w:sz w:val="18"/>
                <w:szCs w:val="18"/>
                <w:lang w:val="en-CA"/>
              </w:rPr>
              <w:t>4.7</w:t>
            </w:r>
          </w:p>
        </w:tc>
      </w:tr>
      <w:tr w:rsidR="00BD3CFA" w:rsidRPr="000C27AA" w14:paraId="22062F62" w14:textId="77777777" w:rsidTr="00C66405">
        <w:trPr>
          <w:trHeight w:val="259"/>
          <w:tblHeader/>
          <w:jc w:val="center"/>
        </w:trPr>
        <w:tc>
          <w:tcPr>
            <w:tcW w:w="4015" w:type="dxa"/>
            <w:tcBorders>
              <w:top w:val="nil"/>
              <w:left w:val="single" w:sz="4" w:space="0" w:color="auto"/>
              <w:bottom w:val="single" w:sz="4" w:space="0" w:color="auto"/>
              <w:right w:val="nil"/>
            </w:tcBorders>
            <w:shd w:val="clear" w:color="auto" w:fill="auto"/>
            <w:noWrap/>
            <w:vAlign w:val="bottom"/>
            <w:hideMark/>
          </w:tcPr>
          <w:p w14:paraId="6D370AFD" w14:textId="6C3C6E8A" w:rsidR="00BD3CFA" w:rsidRPr="000C27AA" w:rsidRDefault="00BD3CFA" w:rsidP="005B4A71">
            <w:pPr>
              <w:ind w:firstLineChars="100" w:firstLine="181"/>
              <w:rPr>
                <w:rFonts w:ascii="Arial" w:hAnsi="Arial" w:cs="Arial"/>
                <w:sz w:val="18"/>
                <w:szCs w:val="18"/>
                <w:lang w:val="en-CA"/>
              </w:rPr>
            </w:pPr>
            <w:r w:rsidRPr="000C27AA">
              <w:rPr>
                <w:rFonts w:ascii="Arial" w:hAnsi="Arial" w:cs="Arial"/>
                <w:b/>
                <w:bCs/>
                <w:sz w:val="18"/>
                <w:szCs w:val="18"/>
                <w:lang w:val="en-CA"/>
              </w:rPr>
              <w:t xml:space="preserve">Return on Invested Capital </w:t>
            </w:r>
            <w:r w:rsidR="00686D83" w:rsidRPr="000C27AA">
              <w:rPr>
                <w:rFonts w:ascii="Arial" w:hAnsi="Arial" w:cs="Arial"/>
                <w:b/>
                <w:bCs/>
                <w:sz w:val="18"/>
                <w:szCs w:val="18"/>
                <w:lang w:val="en-CA"/>
              </w:rPr>
              <w:t xml:space="preserve">(in </w:t>
            </w:r>
            <w:r w:rsidRPr="000C27AA">
              <w:rPr>
                <w:rFonts w:ascii="Arial" w:hAnsi="Arial" w:cs="Arial"/>
                <w:b/>
                <w:bCs/>
                <w:sz w:val="18"/>
                <w:szCs w:val="18"/>
                <w:lang w:val="en-CA"/>
              </w:rPr>
              <w:t>%</w:t>
            </w:r>
            <w:r w:rsidR="00686D83" w:rsidRPr="000C27AA">
              <w:rPr>
                <w:rFonts w:ascii="Arial" w:hAnsi="Arial" w:cs="Arial"/>
                <w:b/>
                <w:bCs/>
                <w:sz w:val="18"/>
                <w:szCs w:val="18"/>
                <w:lang w:val="en-CA"/>
              </w:rPr>
              <w:t>)</w:t>
            </w:r>
          </w:p>
        </w:tc>
        <w:tc>
          <w:tcPr>
            <w:tcW w:w="935" w:type="dxa"/>
            <w:tcBorders>
              <w:top w:val="nil"/>
              <w:left w:val="nil"/>
              <w:bottom w:val="single" w:sz="4" w:space="0" w:color="auto"/>
              <w:right w:val="nil"/>
            </w:tcBorders>
            <w:shd w:val="clear" w:color="auto" w:fill="auto"/>
            <w:noWrap/>
            <w:vAlign w:val="bottom"/>
            <w:hideMark/>
          </w:tcPr>
          <w:p w14:paraId="73AD7CF9"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7.9</w:t>
            </w:r>
          </w:p>
        </w:tc>
        <w:tc>
          <w:tcPr>
            <w:tcW w:w="714" w:type="dxa"/>
            <w:tcBorders>
              <w:top w:val="nil"/>
              <w:left w:val="nil"/>
              <w:bottom w:val="single" w:sz="4" w:space="0" w:color="auto"/>
              <w:right w:val="nil"/>
            </w:tcBorders>
            <w:shd w:val="clear" w:color="auto" w:fill="auto"/>
            <w:noWrap/>
            <w:vAlign w:val="bottom"/>
            <w:hideMark/>
          </w:tcPr>
          <w:p w14:paraId="61A06067"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7.2</w:t>
            </w:r>
          </w:p>
        </w:tc>
        <w:tc>
          <w:tcPr>
            <w:tcW w:w="714" w:type="dxa"/>
            <w:tcBorders>
              <w:top w:val="nil"/>
              <w:left w:val="nil"/>
              <w:bottom w:val="single" w:sz="4" w:space="0" w:color="auto"/>
              <w:right w:val="nil"/>
            </w:tcBorders>
            <w:shd w:val="clear" w:color="auto" w:fill="auto"/>
            <w:noWrap/>
            <w:vAlign w:val="bottom"/>
            <w:hideMark/>
          </w:tcPr>
          <w:p w14:paraId="609F4AAC"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6.8</w:t>
            </w:r>
          </w:p>
        </w:tc>
        <w:tc>
          <w:tcPr>
            <w:tcW w:w="714" w:type="dxa"/>
            <w:tcBorders>
              <w:top w:val="nil"/>
              <w:left w:val="nil"/>
              <w:bottom w:val="single" w:sz="4" w:space="0" w:color="auto"/>
              <w:right w:val="nil"/>
            </w:tcBorders>
            <w:shd w:val="clear" w:color="auto" w:fill="auto"/>
            <w:noWrap/>
            <w:vAlign w:val="bottom"/>
            <w:hideMark/>
          </w:tcPr>
          <w:p w14:paraId="5A00A0F8"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6.5</w:t>
            </w:r>
          </w:p>
        </w:tc>
        <w:tc>
          <w:tcPr>
            <w:tcW w:w="714" w:type="dxa"/>
            <w:tcBorders>
              <w:top w:val="nil"/>
              <w:left w:val="nil"/>
              <w:bottom w:val="single" w:sz="4" w:space="0" w:color="auto"/>
              <w:right w:val="nil"/>
            </w:tcBorders>
            <w:shd w:val="clear" w:color="auto" w:fill="auto"/>
            <w:noWrap/>
            <w:vAlign w:val="bottom"/>
            <w:hideMark/>
          </w:tcPr>
          <w:p w14:paraId="652C26EE" w14:textId="77777777" w:rsidR="00BD3CFA" w:rsidRPr="000C27AA" w:rsidRDefault="00BD3CFA" w:rsidP="00BE3625">
            <w:pPr>
              <w:jc w:val="right"/>
              <w:rPr>
                <w:rFonts w:ascii="Arial" w:hAnsi="Arial" w:cs="Arial"/>
                <w:sz w:val="18"/>
                <w:szCs w:val="18"/>
                <w:lang w:val="en-CA"/>
              </w:rPr>
            </w:pPr>
            <w:r w:rsidRPr="000C27AA">
              <w:rPr>
                <w:rFonts w:ascii="Arial" w:hAnsi="Arial" w:cs="Arial"/>
                <w:b/>
                <w:bCs/>
                <w:sz w:val="18"/>
                <w:szCs w:val="18"/>
                <w:lang w:val="en-CA"/>
              </w:rPr>
              <w:t>5.8</w:t>
            </w:r>
          </w:p>
        </w:tc>
        <w:tc>
          <w:tcPr>
            <w:tcW w:w="794" w:type="dxa"/>
            <w:tcBorders>
              <w:top w:val="nil"/>
              <w:left w:val="nil"/>
              <w:bottom w:val="single" w:sz="4" w:space="0" w:color="auto"/>
              <w:right w:val="nil"/>
            </w:tcBorders>
            <w:shd w:val="clear" w:color="auto" w:fill="F2F2F2"/>
            <w:noWrap/>
            <w:vAlign w:val="bottom"/>
            <w:hideMark/>
          </w:tcPr>
          <w:p w14:paraId="69DE5452" w14:textId="2C280726" w:rsidR="00BD3CFA" w:rsidRPr="000C27AA" w:rsidRDefault="00686D83" w:rsidP="00BE3625">
            <w:pPr>
              <w:jc w:val="right"/>
              <w:rPr>
                <w:rFonts w:ascii="Arial" w:hAnsi="Arial" w:cs="Arial"/>
                <w:sz w:val="18"/>
                <w:szCs w:val="18"/>
                <w:lang w:val="en-CA"/>
              </w:rPr>
            </w:pPr>
            <w:r w:rsidRPr="000C27AA">
              <w:rPr>
                <w:rFonts w:ascii="Arial" w:hAnsi="Arial" w:cs="Arial"/>
                <w:b/>
                <w:bCs/>
                <w:sz w:val="18"/>
                <w:szCs w:val="18"/>
                <w:lang w:val="en-CA"/>
              </w:rPr>
              <w:t>–</w:t>
            </w:r>
            <w:r w:rsidR="00BD3CFA" w:rsidRPr="000C27AA">
              <w:rPr>
                <w:rFonts w:ascii="Arial" w:hAnsi="Arial" w:cs="Arial"/>
                <w:b/>
                <w:bCs/>
                <w:sz w:val="18"/>
                <w:szCs w:val="18"/>
                <w:lang w:val="en-CA"/>
              </w:rPr>
              <w:t>16.9</w:t>
            </w:r>
          </w:p>
        </w:tc>
        <w:tc>
          <w:tcPr>
            <w:tcW w:w="794" w:type="dxa"/>
            <w:tcBorders>
              <w:top w:val="nil"/>
              <w:left w:val="nil"/>
              <w:bottom w:val="single" w:sz="4" w:space="0" w:color="auto"/>
              <w:right w:val="single" w:sz="4" w:space="0" w:color="auto"/>
            </w:tcBorders>
            <w:shd w:val="clear" w:color="auto" w:fill="F2F2F2"/>
            <w:noWrap/>
            <w:vAlign w:val="bottom"/>
            <w:hideMark/>
          </w:tcPr>
          <w:p w14:paraId="1155C228" w14:textId="4EF47DE8" w:rsidR="00BD3CFA" w:rsidRPr="000C27AA" w:rsidRDefault="00686D83" w:rsidP="00BE3625">
            <w:pPr>
              <w:jc w:val="right"/>
              <w:rPr>
                <w:rFonts w:ascii="Arial" w:hAnsi="Arial" w:cs="Arial"/>
                <w:sz w:val="18"/>
                <w:szCs w:val="18"/>
                <w:lang w:val="en-CA"/>
              </w:rPr>
            </w:pPr>
            <w:r w:rsidRPr="000C27AA">
              <w:rPr>
                <w:rFonts w:ascii="Arial" w:hAnsi="Arial" w:cs="Arial"/>
                <w:b/>
                <w:bCs/>
                <w:sz w:val="18"/>
                <w:szCs w:val="18"/>
                <w:lang w:val="en-CA"/>
              </w:rPr>
              <w:t>–</w:t>
            </w:r>
            <w:r w:rsidR="00BD3CFA" w:rsidRPr="000C27AA">
              <w:rPr>
                <w:rFonts w:ascii="Arial" w:hAnsi="Arial" w:cs="Arial"/>
                <w:b/>
                <w:bCs/>
                <w:sz w:val="18"/>
                <w:szCs w:val="18"/>
                <w:lang w:val="en-CA"/>
              </w:rPr>
              <w:t>4.9</w:t>
            </w:r>
          </w:p>
        </w:tc>
      </w:tr>
    </w:tbl>
    <w:p w14:paraId="62547494" w14:textId="77777777" w:rsidR="00BD3CFA" w:rsidRPr="000C27AA" w:rsidRDefault="00BD3CFA" w:rsidP="00BD3CFA">
      <w:pPr>
        <w:pStyle w:val="Footnote"/>
        <w:rPr>
          <w:lang w:val="en-CA"/>
        </w:rPr>
      </w:pPr>
    </w:p>
    <w:p w14:paraId="43A563B0" w14:textId="74B4865A" w:rsidR="003114BE" w:rsidRPr="000C27AA" w:rsidRDefault="003114BE" w:rsidP="00BD3CFA">
      <w:pPr>
        <w:pStyle w:val="Footnote"/>
        <w:rPr>
          <w:lang w:val="en-CA"/>
        </w:rPr>
      </w:pPr>
      <w:r w:rsidRPr="000C27AA">
        <w:rPr>
          <w:lang w:val="en-CA"/>
        </w:rPr>
        <w:t xml:space="preserve">Note: </w:t>
      </w:r>
      <w:r w:rsidR="00686D83" w:rsidRPr="000C27AA">
        <w:rPr>
          <w:lang w:val="en-CA"/>
        </w:rPr>
        <w:t>RPK = revenue p</w:t>
      </w:r>
      <w:r w:rsidR="009806BD" w:rsidRPr="000C27AA">
        <w:rPr>
          <w:lang w:val="en-CA"/>
        </w:rPr>
        <w:t>ass</w:t>
      </w:r>
      <w:r w:rsidR="00686D83" w:rsidRPr="000C27AA">
        <w:rPr>
          <w:lang w:val="en-CA"/>
        </w:rPr>
        <w:t>e</w:t>
      </w:r>
      <w:r w:rsidR="009806BD" w:rsidRPr="000C27AA">
        <w:rPr>
          <w:lang w:val="en-CA"/>
        </w:rPr>
        <w:t>nge</w:t>
      </w:r>
      <w:r w:rsidR="00686D83" w:rsidRPr="000C27AA">
        <w:rPr>
          <w:lang w:val="en-CA"/>
        </w:rPr>
        <w:t>r kilometre; CO</w:t>
      </w:r>
      <w:r w:rsidR="00686D83" w:rsidRPr="000C27AA">
        <w:rPr>
          <w:vertAlign w:val="subscript"/>
          <w:lang w:val="en-CA"/>
        </w:rPr>
        <w:t>2</w:t>
      </w:r>
      <w:r w:rsidR="00686D83" w:rsidRPr="000C27AA">
        <w:rPr>
          <w:lang w:val="en-CA"/>
        </w:rPr>
        <w:t xml:space="preserve"> = carbon dioxide</w:t>
      </w:r>
      <w:r w:rsidR="00540205">
        <w:rPr>
          <w:lang w:val="en-CA"/>
        </w:rPr>
        <w:t>.</w:t>
      </w:r>
    </w:p>
    <w:p w14:paraId="5D093186" w14:textId="591AF26B" w:rsidR="00BD3CFA" w:rsidRPr="000C27AA" w:rsidRDefault="00BD3CFA" w:rsidP="00BD3CFA">
      <w:pPr>
        <w:pStyle w:val="Footnote"/>
        <w:rPr>
          <w:lang w:val="en-CA"/>
        </w:rPr>
      </w:pPr>
      <w:r w:rsidRPr="000C27AA">
        <w:rPr>
          <w:lang w:val="en-CA"/>
        </w:rPr>
        <w:t>Source:</w:t>
      </w:r>
      <w:r w:rsidR="008A34CD" w:rsidRPr="000C27AA">
        <w:rPr>
          <w:i/>
          <w:lang w:val="en-CA"/>
        </w:rPr>
        <w:t xml:space="preserve"> “</w:t>
      </w:r>
      <w:r w:rsidR="008A34CD" w:rsidRPr="000C27AA">
        <w:rPr>
          <w:lang w:val="en-CA"/>
        </w:rPr>
        <w:t>I</w:t>
      </w:r>
      <w:r w:rsidRPr="000C27AA">
        <w:rPr>
          <w:lang w:val="en-CA"/>
        </w:rPr>
        <w:t>ndustry Statistics</w:t>
      </w:r>
      <w:r w:rsidR="008A34CD" w:rsidRPr="000C27AA">
        <w:rPr>
          <w:lang w:val="en-CA"/>
        </w:rPr>
        <w:t>:</w:t>
      </w:r>
      <w:r w:rsidRPr="000C27AA">
        <w:rPr>
          <w:lang w:val="en-CA"/>
        </w:rPr>
        <w:t xml:space="preserve"> Fact Sheet,</w:t>
      </w:r>
      <w:r w:rsidR="008A34CD" w:rsidRPr="000C27AA">
        <w:rPr>
          <w:lang w:val="en-CA"/>
        </w:rPr>
        <w:t>”</w:t>
      </w:r>
      <w:r w:rsidRPr="000C27AA">
        <w:rPr>
          <w:lang w:val="en-CA"/>
        </w:rPr>
        <w:t xml:space="preserve"> </w:t>
      </w:r>
      <w:r w:rsidR="008A34CD" w:rsidRPr="000C27AA">
        <w:rPr>
          <w:lang w:val="en-CA"/>
        </w:rPr>
        <w:t xml:space="preserve">IATA [International Air Transport Association], </w:t>
      </w:r>
      <w:r w:rsidRPr="000C27AA">
        <w:rPr>
          <w:lang w:val="en-CA"/>
        </w:rPr>
        <w:t>June 2020</w:t>
      </w:r>
      <w:r w:rsidR="009806BD" w:rsidRPr="000C27AA">
        <w:rPr>
          <w:lang w:val="en-CA"/>
        </w:rPr>
        <w:t>, accessed December 14, 2020, www.iata.org/en/iata-repository/publications/economic-reports/airline-industry-economic-performance-june-2020-data-tables.</w:t>
      </w:r>
    </w:p>
    <w:p w14:paraId="48A802F8" w14:textId="77777777" w:rsidR="00BD3CFA" w:rsidRPr="000C27AA" w:rsidRDefault="00BD3CFA" w:rsidP="00FC7374">
      <w:pPr>
        <w:pStyle w:val="Casehead1"/>
        <w:rPr>
          <w:lang w:val="en-CA"/>
        </w:rPr>
      </w:pPr>
    </w:p>
    <w:p w14:paraId="69E7E291" w14:textId="77777777" w:rsidR="00BD3CFA" w:rsidRPr="000C27AA" w:rsidRDefault="00BD3CFA">
      <w:pPr>
        <w:spacing w:after="200" w:line="276" w:lineRule="auto"/>
        <w:rPr>
          <w:rFonts w:ascii="Arial" w:hAnsi="Arial" w:cs="Arial"/>
          <w:b/>
          <w:caps/>
          <w:lang w:val="en-CA"/>
        </w:rPr>
      </w:pPr>
      <w:r w:rsidRPr="000C27AA">
        <w:rPr>
          <w:lang w:val="en-CA"/>
        </w:rPr>
        <w:br w:type="page"/>
      </w:r>
    </w:p>
    <w:p w14:paraId="59026211" w14:textId="1F21AC9E" w:rsidR="00FC7374" w:rsidRPr="000C27AA" w:rsidRDefault="00FC7374" w:rsidP="00FC7374">
      <w:pPr>
        <w:pStyle w:val="Casehead1"/>
        <w:rPr>
          <w:lang w:val="en-CA"/>
        </w:rPr>
      </w:pPr>
      <w:r w:rsidRPr="000C27AA">
        <w:rPr>
          <w:lang w:val="en-CA"/>
        </w:rPr>
        <w:lastRenderedPageBreak/>
        <w:t>Endnotes</w:t>
      </w:r>
    </w:p>
    <w:sectPr w:rsidR="00FC7374" w:rsidRPr="000C27AA" w:rsidSect="00076BCC">
      <w:headerReference w:type="default" r:id="rId12"/>
      <w:endnotePr>
        <w:numFmt w:val="decimal"/>
      </w:endnotePr>
      <w:pgSz w:w="12240" w:h="15840" w:code="1"/>
      <w:pgMar w:top="1080" w:right="1440" w:bottom="1440"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5A46" w16cex:dateUtc="2021-01-25T19:55:00Z"/>
  <w16cex:commentExtensible w16cex:durableId="23B95A74" w16cex:dateUtc="2021-01-25T19:55:00Z"/>
  <w16cex:commentExtensible w16cex:durableId="23B95A68" w16cex:dateUtc="2021-01-25T19:5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07BC7" w14:textId="77777777" w:rsidR="00F472EE" w:rsidRDefault="00F472EE" w:rsidP="00D75295">
      <w:r>
        <w:separator/>
      </w:r>
    </w:p>
  </w:endnote>
  <w:endnote w:type="continuationSeparator" w:id="0">
    <w:p w14:paraId="275527A4" w14:textId="77777777" w:rsidR="00F472EE" w:rsidRDefault="00F472EE" w:rsidP="00D75295">
      <w:r>
        <w:continuationSeparator/>
      </w:r>
    </w:p>
  </w:endnote>
  <w:endnote w:id="1">
    <w:p w14:paraId="5A81123C" w14:textId="37CEF618" w:rsidR="00F472EE" w:rsidRPr="00540205" w:rsidRDefault="00F472EE">
      <w:pPr>
        <w:pStyle w:val="EndnoteText"/>
        <w:rPr>
          <w:rFonts w:ascii="Arial" w:hAnsi="Arial" w:cs="Arial"/>
          <w:sz w:val="16"/>
          <w:szCs w:val="16"/>
          <w:lang w:val="en-CA"/>
        </w:rPr>
      </w:pPr>
      <w:r w:rsidRPr="00540205">
        <w:rPr>
          <w:rStyle w:val="EndnoteReference"/>
          <w:rFonts w:ascii="Arial" w:hAnsi="Arial" w:cs="Arial"/>
          <w:sz w:val="16"/>
          <w:szCs w:val="16"/>
        </w:rPr>
        <w:endnoteRef/>
      </w:r>
      <w:r w:rsidRPr="00540205">
        <w:rPr>
          <w:rFonts w:ascii="Arial" w:hAnsi="Arial" w:cs="Arial"/>
          <w:sz w:val="16"/>
          <w:szCs w:val="16"/>
        </w:rPr>
        <w:t xml:space="preserve"> </w:t>
      </w:r>
      <w:r w:rsidRPr="00540205">
        <w:rPr>
          <w:rFonts w:ascii="Arial" w:hAnsi="Arial" w:cs="Arial"/>
          <w:sz w:val="16"/>
          <w:szCs w:val="16"/>
          <w:lang w:val="en-CA"/>
        </w:rPr>
        <w:t>All currency amounts are in US$ unless otherwise specified.</w:t>
      </w:r>
    </w:p>
  </w:endnote>
  <w:endnote w:id="2">
    <w:p w14:paraId="64B3C2FB" w14:textId="169E1E4A"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“Industry Losses to Top $84 Billion in 2020,” IATA [International Air Transport Association], press release, accessed November 15, 2020, </w:t>
      </w:r>
      <w:r w:rsidRPr="00540205">
        <w:rPr>
          <w:color w:val="000000"/>
          <w:sz w:val="16"/>
          <w:szCs w:val="16"/>
        </w:rPr>
        <w:t>www.iata.org/en/pressroom/pr/2020-06-09-01.</w:t>
      </w:r>
      <w:r w:rsidRPr="00540205">
        <w:rPr>
          <w:rStyle w:val="apple-converted-space"/>
          <w:color w:val="000000"/>
          <w:sz w:val="16"/>
          <w:szCs w:val="16"/>
        </w:rPr>
        <w:t> </w:t>
      </w:r>
    </w:p>
  </w:endnote>
  <w:endnote w:id="3">
    <w:p w14:paraId="5F4C0999" w14:textId="4DE66E25"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For a definition and discussion of “constellations” as a form of inter-firm organization, see Benjamin Gomes-Casseres, </w:t>
      </w:r>
      <w:r w:rsidRPr="00540205">
        <w:rPr>
          <w:i/>
          <w:iCs/>
          <w:sz w:val="16"/>
          <w:szCs w:val="16"/>
        </w:rPr>
        <w:t>Remix Strategy: The Three Laws of Business Combination</w:t>
      </w:r>
      <w:r w:rsidRPr="00540205">
        <w:rPr>
          <w:sz w:val="16"/>
          <w:szCs w:val="16"/>
        </w:rPr>
        <w:t xml:space="preserve"> (Boston, MA: Harvard Business Review Press, 2015), 89–93.</w:t>
      </w:r>
    </w:p>
  </w:endnote>
  <w:endnote w:id="4">
    <w:p w14:paraId="03191A70" w14:textId="08C37D16"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“AirHelp Score 2019: Global Airline Rankings,” AirHelp, 2019, accessed November 15, 2020, www.airhelp.com/en-ca/airhelp-score/airline-ranking/. </w:t>
      </w:r>
    </w:p>
  </w:endnote>
  <w:endnote w:id="5">
    <w:p w14:paraId="30AE633A" w14:textId="0BF729A8"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FlightGlobal, “Airline Alliance Survey,” </w:t>
      </w:r>
      <w:r w:rsidRPr="00540205">
        <w:rPr>
          <w:i/>
          <w:sz w:val="16"/>
          <w:szCs w:val="16"/>
        </w:rPr>
        <w:t>Airline Business,</w:t>
      </w:r>
      <w:r w:rsidRPr="00540205">
        <w:rPr>
          <w:sz w:val="16"/>
          <w:szCs w:val="16"/>
        </w:rPr>
        <w:t xml:space="preserve"> 2012, 6.</w:t>
      </w:r>
    </w:p>
  </w:endnote>
  <w:endnote w:id="6">
    <w:p w14:paraId="2D2186B5" w14:textId="2C889833"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John Mutti and Yoshitaka Murai. “Airline Travel on the North Atlantic: Is Profitability Possible?” </w:t>
      </w:r>
      <w:r w:rsidRPr="00540205">
        <w:rPr>
          <w:i/>
          <w:sz w:val="16"/>
          <w:szCs w:val="16"/>
        </w:rPr>
        <w:t xml:space="preserve">Journal of Transport Economics and Policy </w:t>
      </w:r>
      <w:r w:rsidRPr="00540205">
        <w:rPr>
          <w:sz w:val="16"/>
          <w:szCs w:val="16"/>
        </w:rPr>
        <w:t>11, no. 1 (1977): 45–53.</w:t>
      </w:r>
    </w:p>
  </w:endnote>
  <w:endnote w:id="7">
    <w:p w14:paraId="7A399109" w14:textId="6429288C" w:rsidR="00F472EE" w:rsidRPr="00540205" w:rsidRDefault="00F472EE" w:rsidP="00026DB0">
      <w:pPr>
        <w:rPr>
          <w:rFonts w:ascii="Arial" w:hAnsi="Arial" w:cs="Arial"/>
          <w:sz w:val="16"/>
          <w:szCs w:val="16"/>
          <w:lang w:eastAsia="zh-CN"/>
        </w:rPr>
      </w:pPr>
      <w:r w:rsidRPr="00540205">
        <w:rPr>
          <w:rStyle w:val="EndnoteReference"/>
          <w:rFonts w:ascii="Arial" w:hAnsi="Arial" w:cs="Arial"/>
          <w:sz w:val="16"/>
          <w:szCs w:val="16"/>
        </w:rPr>
        <w:endnoteRef/>
      </w:r>
      <w:r w:rsidRPr="00540205">
        <w:rPr>
          <w:rFonts w:ascii="Arial" w:hAnsi="Arial" w:cs="Arial"/>
          <w:sz w:val="16"/>
          <w:szCs w:val="16"/>
        </w:rPr>
        <w:t xml:space="preserve"> </w:t>
      </w:r>
      <w:r w:rsidRPr="00540205">
        <w:rPr>
          <w:rFonts w:ascii="Arial" w:hAnsi="Arial" w:cs="Arial"/>
          <w:sz w:val="16"/>
          <w:szCs w:val="16"/>
          <w:shd w:val="clear" w:color="auto" w:fill="FFFFFF"/>
          <w:lang w:eastAsia="zh-CN"/>
        </w:rPr>
        <w:t>“Market Intelligence,” Sabre, accessed July 14, 2020,</w:t>
      </w:r>
      <w:r w:rsidRPr="00540205">
        <w:rPr>
          <w:rFonts w:ascii="Arial" w:hAnsi="Arial" w:cs="Arial"/>
          <w:sz w:val="16"/>
          <w:szCs w:val="16"/>
        </w:rPr>
        <w:t xml:space="preserve"> </w:t>
      </w:r>
      <w:hyperlink r:id="rId1" w:history="1">
        <w:r w:rsidRPr="00540205">
          <w:rPr>
            <w:rStyle w:val="Hyperlink"/>
            <w:rFonts w:ascii="Arial" w:hAnsi="Arial" w:cs="Arial"/>
            <w:color w:val="auto"/>
            <w:sz w:val="16"/>
            <w:szCs w:val="16"/>
            <w:u w:val="none"/>
            <w:shd w:val="clear" w:color="auto" w:fill="FFFFFF"/>
            <w:lang w:eastAsia="zh-CN"/>
          </w:rPr>
          <w:t>www.sabre.com/search/origins+and+destinations/</w:t>
        </w:r>
      </w:hyperlink>
      <w:r w:rsidRPr="00540205">
        <w:rPr>
          <w:rFonts w:ascii="Arial" w:hAnsi="Arial" w:cs="Arial"/>
          <w:sz w:val="16"/>
          <w:szCs w:val="16"/>
          <w:shd w:val="clear" w:color="auto" w:fill="FFFFFF"/>
          <w:lang w:eastAsia="zh-CN"/>
        </w:rPr>
        <w:t xml:space="preserve">. </w:t>
      </w:r>
      <w:r w:rsidRPr="00540205">
        <w:rPr>
          <w:rFonts w:ascii="Arial" w:hAnsi="Arial" w:cs="Arial"/>
          <w:sz w:val="16"/>
          <w:szCs w:val="16"/>
          <w:lang w:val="en-GB"/>
        </w:rPr>
        <w:t xml:space="preserve"> </w:t>
      </w:r>
    </w:p>
  </w:endnote>
  <w:endnote w:id="8">
    <w:p w14:paraId="0D7E0AD2" w14:textId="733926E8"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Tom Stalnaker, Grant Alport, Andy Buchanan, and Aaron Taylor, </w:t>
      </w:r>
      <w:r w:rsidRPr="00540205">
        <w:rPr>
          <w:i/>
          <w:sz w:val="16"/>
          <w:szCs w:val="16"/>
        </w:rPr>
        <w:t>Oliver Wyman, Airline Economic Analysis: 2018–2019 Edition</w:t>
      </w:r>
      <w:r w:rsidRPr="00540205">
        <w:rPr>
          <w:sz w:val="16"/>
          <w:szCs w:val="16"/>
        </w:rPr>
        <w:t>, accessed December 14, 2020, www.oliverwyman.com/content/dam/oliver-wyman/v2/publications/2019/apr/APRIL26 2019_Airline_Economic_Analysis_2018-2019vFweb.pdf.</w:t>
      </w:r>
    </w:p>
  </w:endnote>
  <w:endnote w:id="9">
    <w:p w14:paraId="3771DA34" w14:textId="195CA32C"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Esmeralda Crespo-Almendros and Salvador Del Barrio-Garcia, “Online Airline Ticket Purchasing: Influence of Online Sales Promotion Type and Internet Experience,” </w:t>
      </w:r>
      <w:r w:rsidRPr="00540205">
        <w:rPr>
          <w:i/>
          <w:sz w:val="16"/>
          <w:szCs w:val="16"/>
        </w:rPr>
        <w:t>Journal of Air Transport Management</w:t>
      </w:r>
      <w:r w:rsidRPr="00540205">
        <w:rPr>
          <w:sz w:val="16"/>
          <w:szCs w:val="16"/>
        </w:rPr>
        <w:t xml:space="preserve"> 53, 2016, 23–34. </w:t>
      </w:r>
    </w:p>
  </w:endnote>
  <w:endnote w:id="10">
    <w:p w14:paraId="25CCD469" w14:textId="24BA04F0"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David Feldman, “Are Frequent Flyer Miles a Liability for FFPs?” Traveldatadaily, accessed November 17, 2020, www.traveldatadaily.com/american-ffp-analysis.</w:t>
      </w:r>
    </w:p>
  </w:endnote>
  <w:endnote w:id="11">
    <w:p w14:paraId="3DFD799D" w14:textId="7222FDCF"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Staff Writer, “American Express and Delta Renew Industry-Leading Partnership, Lay Foundation to Continue Innovating Customer Benefits,” Delta Air Lines Inc., accessed December 14, 2020, https://news.delta.com/american-express-and-delta-renew-industry-leading-partnership-lay-foundation-continue-innovating.</w:t>
      </w:r>
    </w:p>
  </w:endnote>
  <w:endnote w:id="12">
    <w:p w14:paraId="402F6216" w14:textId="564AC79F"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Jennifer Surane and Mary Schlangenstein, “AmEx Renews Credit-Card Partnership with Delta Through 2029,” Bloomberg, April 2, 2019, accessed November 14, 2020, www.bloomberg.com/news/articles/2019-04-02/delta-renews-amex-co-brand-credit-card-partnership-for-11-years.</w:t>
      </w:r>
    </w:p>
  </w:endnote>
  <w:endnote w:id="13">
    <w:p w14:paraId="74D2CEF7" w14:textId="2680CC15"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Air Canada, “Acquisition of Aeroplan Loyalty Business by Air Canada Clears Regulatory Requirements,” Cision, press release, December 24, 2018, accessed December 14, 2020, www.newswire.ca/news-releases/acquisition-of-aeroplan-loyalty-business-by-air-canada-clears-regulatory-requirements-703432622.html.</w:t>
      </w:r>
    </w:p>
  </w:endnote>
  <w:endnote w:id="14">
    <w:p w14:paraId="565AC5ED" w14:textId="64424909" w:rsidR="00F472EE" w:rsidRPr="00540205" w:rsidRDefault="00F472EE" w:rsidP="00FC7374">
      <w:pPr>
        <w:pStyle w:val="Footnote"/>
        <w:rPr>
          <w:spacing w:val="-4"/>
          <w:kern w:val="17"/>
          <w:sz w:val="16"/>
          <w:szCs w:val="16"/>
        </w:rPr>
      </w:pPr>
      <w:r w:rsidRPr="00540205">
        <w:rPr>
          <w:rStyle w:val="EndnoteReference"/>
          <w:spacing w:val="-4"/>
          <w:kern w:val="17"/>
          <w:sz w:val="16"/>
          <w:szCs w:val="16"/>
        </w:rPr>
        <w:endnoteRef/>
      </w:r>
      <w:r w:rsidRPr="00540205">
        <w:rPr>
          <w:spacing w:val="-4"/>
          <w:kern w:val="17"/>
          <w:sz w:val="16"/>
          <w:szCs w:val="16"/>
        </w:rPr>
        <w:t xml:space="preserve"> “Industry Statistics: Fact Sheet,” IATA [International Air Transport Association], June, 2020, accessed December 14, 2020, www.iata.org/en/iata-repository/publications/economic-reports/airline-industry-economic-performance-june-2020-data-tables/.</w:t>
      </w:r>
    </w:p>
  </w:endnote>
  <w:endnote w:id="15">
    <w:p w14:paraId="7367FA06" w14:textId="6A3A691D"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Paul Stephen Dempsey, “The Cyclical Crisis in Commercial Aviation,” McGill University: Institute of Air &amp; Space Law, 2011, accessed December 14, 2020, www.mcgill.ca/iasl/files/iasl/ASPL614-Airline-Financial-Woes.pdf.</w:t>
      </w:r>
    </w:p>
  </w:endnote>
  <w:endnote w:id="16">
    <w:p w14:paraId="066810E5" w14:textId="47A79ED0" w:rsidR="00F472EE" w:rsidRPr="00540205" w:rsidRDefault="00F472EE">
      <w:pPr>
        <w:pStyle w:val="EndnoteText"/>
        <w:rPr>
          <w:sz w:val="16"/>
          <w:szCs w:val="16"/>
          <w:lang w:val="en-US"/>
        </w:rPr>
      </w:pPr>
      <w:r w:rsidRPr="00540205">
        <w:rPr>
          <w:rStyle w:val="EndnoteReference"/>
          <w:rFonts w:ascii="Arial" w:hAnsi="Arial" w:cs="Arial"/>
          <w:sz w:val="16"/>
          <w:szCs w:val="16"/>
        </w:rPr>
        <w:endnoteRef/>
      </w:r>
      <w:r w:rsidRPr="00540205">
        <w:rPr>
          <w:rFonts w:ascii="Arial" w:hAnsi="Arial" w:cs="Arial"/>
          <w:sz w:val="16"/>
          <w:szCs w:val="16"/>
        </w:rPr>
        <w:t xml:space="preserve"> George Williams</w:t>
      </w:r>
      <w:r w:rsidRPr="00540205">
        <w:rPr>
          <w:rFonts w:ascii="Arial" w:hAnsi="Arial" w:cs="Arial"/>
          <w:sz w:val="16"/>
          <w:szCs w:val="16"/>
          <w:lang w:val="en-CA"/>
        </w:rPr>
        <w:t>,</w:t>
      </w:r>
      <w:r w:rsidRPr="00540205">
        <w:rPr>
          <w:rFonts w:ascii="Arial" w:hAnsi="Arial" w:cs="Arial"/>
          <w:sz w:val="16"/>
          <w:szCs w:val="16"/>
        </w:rPr>
        <w:t xml:space="preserve"> </w:t>
      </w:r>
      <w:r w:rsidRPr="00540205">
        <w:rPr>
          <w:rFonts w:ascii="Arial" w:hAnsi="Arial" w:cs="Arial"/>
          <w:i/>
          <w:sz w:val="16"/>
          <w:szCs w:val="16"/>
        </w:rPr>
        <w:t>The Airline Industry and the Impact of Deregulation</w:t>
      </w:r>
      <w:r w:rsidRPr="00540205">
        <w:rPr>
          <w:rFonts w:ascii="Arial" w:hAnsi="Arial" w:cs="Arial"/>
          <w:sz w:val="16"/>
          <w:szCs w:val="16"/>
        </w:rPr>
        <w:t xml:space="preserve"> </w:t>
      </w:r>
      <w:r w:rsidRPr="00540205">
        <w:rPr>
          <w:rFonts w:ascii="Arial" w:hAnsi="Arial" w:cs="Arial"/>
          <w:sz w:val="16"/>
          <w:szCs w:val="16"/>
          <w:lang w:val="en-CA"/>
        </w:rPr>
        <w:t xml:space="preserve">(New York, NY: </w:t>
      </w:r>
      <w:r w:rsidRPr="00540205">
        <w:rPr>
          <w:rFonts w:ascii="Arial" w:hAnsi="Arial" w:cs="Arial"/>
          <w:sz w:val="16"/>
          <w:szCs w:val="16"/>
        </w:rPr>
        <w:t>Routledge</w:t>
      </w:r>
      <w:r w:rsidRPr="00540205">
        <w:rPr>
          <w:rFonts w:ascii="Arial" w:hAnsi="Arial" w:cs="Arial"/>
          <w:sz w:val="16"/>
          <w:szCs w:val="16"/>
          <w:lang w:val="en-CA"/>
        </w:rPr>
        <w:t>,</w:t>
      </w:r>
      <w:r w:rsidRPr="00540205">
        <w:rPr>
          <w:rFonts w:ascii="Arial" w:hAnsi="Arial" w:cs="Arial"/>
          <w:sz w:val="16"/>
          <w:szCs w:val="16"/>
        </w:rPr>
        <w:t xml:space="preserve"> 2017).</w:t>
      </w:r>
    </w:p>
  </w:endnote>
  <w:endnote w:id="17">
    <w:p w14:paraId="639B8F47" w14:textId="73FAFB84"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Delta Air Lines, “Delta Deepening Longstanding Partnership with Air France–KLM through 10% Equity Investment,” Cision, press release, July 27, 2017, accessed December 14, 2020, www.prnewswire.com/news-releases/delta-deepening-longstanding-partnership-with-air-france-klm-through-10-equity-investment-300495397.html. </w:t>
      </w:r>
    </w:p>
  </w:endnote>
  <w:endnote w:id="18">
    <w:p w14:paraId="61D4841D" w14:textId="7C99CEB8"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Kenneth Button, </w:t>
      </w:r>
      <w:r w:rsidRPr="00540205">
        <w:rPr>
          <w:i/>
          <w:sz w:val="16"/>
          <w:szCs w:val="16"/>
        </w:rPr>
        <w:t xml:space="preserve">Opening U.S. Skies to Global Airline </w:t>
      </w:r>
      <w:r w:rsidRPr="00540205">
        <w:rPr>
          <w:i/>
          <w:sz w:val="16"/>
          <w:szCs w:val="16"/>
        </w:rPr>
        <w:t>Competition</w:t>
      </w:r>
      <w:r w:rsidRPr="00540205">
        <w:rPr>
          <w:sz w:val="16"/>
          <w:szCs w:val="16"/>
        </w:rPr>
        <w:t>.(CATO Institute: 1998), no. 5.</w:t>
      </w:r>
    </w:p>
  </w:endnote>
  <w:endnote w:id="19">
    <w:p w14:paraId="30DD26E6" w14:textId="0E313EC0"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William Gillespie and Oliver M. Richard, “Antitrust Immunity and International Airline Alliance</w:t>
      </w:r>
      <w:r w:rsidRPr="00540205">
        <w:rPr>
          <w:i/>
          <w:sz w:val="16"/>
          <w:szCs w:val="16"/>
        </w:rPr>
        <w:t>s</w:t>
      </w:r>
      <w:r w:rsidRPr="00540205">
        <w:rPr>
          <w:sz w:val="16"/>
          <w:szCs w:val="16"/>
        </w:rPr>
        <w:t xml:space="preserve">,” The United States Department of Justice, economic analysis group discussion paper, February 1, 2011, accessed December 14, 2020, www.justice.gov/atr/antitrust-immunity-and-international-airline-alliances. </w:t>
      </w:r>
    </w:p>
  </w:endnote>
  <w:endnote w:id="20">
    <w:p w14:paraId="2F2A21A5" w14:textId="24B942F0" w:rsidR="00F472EE" w:rsidRPr="00540205" w:rsidRDefault="00F472EE" w:rsidP="00026DB0">
      <w:pPr>
        <w:rPr>
          <w:sz w:val="16"/>
          <w:szCs w:val="16"/>
          <w:lang w:eastAsia="zh-CN"/>
        </w:rPr>
      </w:pPr>
      <w:r w:rsidRPr="00540205">
        <w:rPr>
          <w:rStyle w:val="EndnoteReference"/>
          <w:sz w:val="16"/>
          <w:szCs w:val="16"/>
        </w:rPr>
        <w:endnoteRef/>
      </w:r>
      <w:r w:rsidRPr="00540205">
        <w:rPr>
          <w:sz w:val="16"/>
          <w:szCs w:val="16"/>
          <w:lang w:val="en-GB"/>
        </w:rPr>
        <w:t xml:space="preserve"> </w:t>
      </w:r>
      <w:r w:rsidRPr="00540205">
        <w:rPr>
          <w:rFonts w:ascii="Arial" w:hAnsi="Arial" w:cs="Arial"/>
          <w:color w:val="222222"/>
          <w:sz w:val="16"/>
          <w:szCs w:val="16"/>
          <w:shd w:val="clear" w:color="auto" w:fill="FFFFFF"/>
          <w:lang w:eastAsia="zh-CN"/>
        </w:rPr>
        <w:t xml:space="preserve">Prepared by case authors searching with the “Origins and Destinations” function for final data on routing shown on tickets for flights from Jan 1, 2019 to Dec 31, 2019 between JFK and CDG, GRA, and LHR from the “Market Intelligence,” Sabre, </w:t>
      </w:r>
      <w:r w:rsidRPr="00540205">
        <w:rPr>
          <w:rFonts w:ascii="Arial" w:hAnsi="Arial" w:cs="Arial"/>
          <w:sz w:val="16"/>
          <w:szCs w:val="16"/>
          <w:shd w:val="clear" w:color="auto" w:fill="FFFFFF"/>
          <w:lang w:eastAsia="zh-CN"/>
        </w:rPr>
        <w:t>accessed July 14, 2020,</w:t>
      </w:r>
      <w:r w:rsidRPr="00540205">
        <w:rPr>
          <w:sz w:val="16"/>
          <w:szCs w:val="16"/>
        </w:rPr>
        <w:t xml:space="preserve"> </w:t>
      </w:r>
      <w:hyperlink r:id="rId2" w:history="1">
        <w:r w:rsidRPr="00540205">
          <w:rPr>
            <w:rStyle w:val="Hyperlink"/>
            <w:rFonts w:ascii="Arial" w:hAnsi="Arial" w:cs="Arial"/>
            <w:color w:val="auto"/>
            <w:sz w:val="16"/>
            <w:szCs w:val="16"/>
            <w:u w:val="none"/>
            <w:shd w:val="clear" w:color="auto" w:fill="FFFFFF"/>
            <w:lang w:eastAsia="zh-CN"/>
          </w:rPr>
          <w:t>www.sabre.com/search/origins+and+destinations/</w:t>
        </w:r>
      </w:hyperlink>
      <w:r w:rsidRPr="00540205">
        <w:rPr>
          <w:rFonts w:ascii="Arial" w:hAnsi="Arial" w:cs="Arial"/>
          <w:sz w:val="16"/>
          <w:szCs w:val="16"/>
          <w:shd w:val="clear" w:color="auto" w:fill="FFFFFF"/>
          <w:lang w:eastAsia="zh-CN"/>
        </w:rPr>
        <w:t>.</w:t>
      </w:r>
    </w:p>
  </w:endnote>
  <w:endnote w:id="21">
    <w:p w14:paraId="7E59737B" w14:textId="57053360"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“BA, American Air Defend Tie,” CNN Money, July 29, 1999, accessed December 14, 2020, https://money.cnn.com/1999/07/29/europe/ba_aa/. </w:t>
      </w:r>
    </w:p>
  </w:endnote>
  <w:endnote w:id="22">
    <w:p w14:paraId="48B02CE5" w14:textId="4B68EDF6" w:rsidR="00F472EE" w:rsidRPr="00540205" w:rsidRDefault="00F472EE" w:rsidP="00026DB0">
      <w:pPr>
        <w:rPr>
          <w:sz w:val="16"/>
          <w:szCs w:val="16"/>
          <w:lang w:eastAsia="zh-CN"/>
        </w:rPr>
      </w:pPr>
      <w:r w:rsidRPr="00540205">
        <w:rPr>
          <w:rStyle w:val="EndnoteReference"/>
          <w:sz w:val="16"/>
          <w:szCs w:val="16"/>
        </w:rPr>
        <w:endnoteRef/>
      </w:r>
      <w:r w:rsidRPr="00540205">
        <w:rPr>
          <w:sz w:val="16"/>
          <w:szCs w:val="16"/>
          <w:lang w:val="en-GB"/>
        </w:rPr>
        <w:t xml:space="preserve"> Jan </w:t>
      </w:r>
      <w:r w:rsidRPr="00540205">
        <w:rPr>
          <w:rFonts w:ascii="Arial" w:hAnsi="Arial" w:cs="Arial"/>
          <w:color w:val="000000"/>
          <w:spacing w:val="-5"/>
          <w:sz w:val="16"/>
          <w:szCs w:val="16"/>
          <w:shd w:val="clear" w:color="auto" w:fill="FFFFFF"/>
          <w:lang w:eastAsia="zh-CN"/>
        </w:rPr>
        <w:t xml:space="preserve">Brueckner and </w:t>
      </w:r>
      <w:r w:rsidRPr="00540205">
        <w:rPr>
          <w:rFonts w:ascii="Arial" w:hAnsi="Arial" w:cs="Arial"/>
          <w:color w:val="000000"/>
          <w:spacing w:val="-5"/>
          <w:sz w:val="16"/>
          <w:szCs w:val="16"/>
          <w:shd w:val="clear" w:color="auto" w:fill="FFFFFF"/>
          <w:lang w:eastAsia="zh-CN"/>
        </w:rPr>
        <w:t>W.Tom Whalen, "The Price Effects of International Airline Alliances," </w:t>
      </w:r>
      <w:r w:rsidRPr="00540205">
        <w:rPr>
          <w:rFonts w:ascii="Arial" w:hAnsi="Arial" w:cs="Arial"/>
          <w:i/>
          <w:iCs/>
          <w:color w:val="000000"/>
          <w:spacing w:val="-5"/>
          <w:sz w:val="16"/>
          <w:szCs w:val="16"/>
          <w:lang w:eastAsia="zh-CN"/>
        </w:rPr>
        <w:t>Journal of Law and Economics</w:t>
      </w:r>
      <w:r w:rsidRPr="00540205">
        <w:rPr>
          <w:rFonts w:ascii="Arial" w:hAnsi="Arial" w:cs="Arial"/>
          <w:color w:val="000000"/>
          <w:spacing w:val="-5"/>
          <w:sz w:val="16"/>
          <w:szCs w:val="16"/>
          <w:shd w:val="clear" w:color="auto" w:fill="FFFFFF"/>
          <w:lang w:eastAsia="zh-CN"/>
        </w:rPr>
        <w:t> 43, no. 2 (2000): 503-46, accessed January 9, 2021, doi:10.1086/467464.</w:t>
      </w:r>
    </w:p>
  </w:endnote>
  <w:endnote w:id="23">
    <w:p w14:paraId="29B726BB" w14:textId="6C1FE4FE"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IATA [International Air Transport Association], </w:t>
      </w:r>
      <w:r w:rsidRPr="00540205">
        <w:rPr>
          <w:i/>
          <w:sz w:val="16"/>
          <w:szCs w:val="16"/>
        </w:rPr>
        <w:t>IATA Economics Briefing: The Economic Benefits Generated by Alliances and Joint Ventures</w:t>
      </w:r>
      <w:r w:rsidRPr="00540205">
        <w:rPr>
          <w:sz w:val="16"/>
          <w:szCs w:val="16"/>
        </w:rPr>
        <w:t>, January 1, 2012, accessed December 14, 2020, www.iata.org/en/iata-repository/publications/economic-reports/benefits-of-alliances-and-jointventures.</w:t>
      </w:r>
    </w:p>
  </w:endnote>
  <w:endnote w:id="24">
    <w:p w14:paraId="7255B018" w14:textId="0BCD257B"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Delta Airlines, United Airlines, and American Airlines, </w:t>
      </w:r>
      <w:r w:rsidRPr="00540205">
        <w:rPr>
          <w:i/>
          <w:sz w:val="16"/>
          <w:szCs w:val="16"/>
        </w:rPr>
        <w:t>Restoring Open Skies: Addressing Subsidized Competition from State-Owned Airlines in Qatar and the UAE</w:t>
      </w:r>
      <w:r w:rsidRPr="00540205">
        <w:rPr>
          <w:sz w:val="16"/>
          <w:szCs w:val="16"/>
        </w:rPr>
        <w:t>, January 2015, accessed December 14, 2020, https://travelskills.com/wp-content/uploads/2015/03/Presentation.pdf.</w:t>
      </w:r>
    </w:p>
  </w:endnote>
  <w:endnote w:id="25">
    <w:p w14:paraId="5C517297" w14:textId="27890B53"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Jenelle Benoit and Kevin Trosian, “Etihad Airways and Global Eagle Partner to Deliver IFE Content Across Six Partner Airline Fleets,” Bloomberg, September 30, 2015, accessed January 9, 2021, www.bloomberg.com/press-releases/2015-09-30/etihad-airways-and-global-eagle-partner-to-deliver-ife-content-across-six-partner-airline-fleets. </w:t>
      </w:r>
    </w:p>
  </w:endnote>
  <w:endnote w:id="26">
    <w:p w14:paraId="1CEC9DD8" w14:textId="1A976D2D" w:rsidR="00F472EE" w:rsidRPr="00540205" w:rsidRDefault="00F472EE">
      <w:pPr>
        <w:pStyle w:val="EndnoteText"/>
        <w:rPr>
          <w:sz w:val="16"/>
          <w:szCs w:val="16"/>
          <w:lang w:val="en-US"/>
        </w:rPr>
      </w:pPr>
      <w:r w:rsidRPr="00540205">
        <w:rPr>
          <w:rStyle w:val="EndnoteReference"/>
          <w:rFonts w:ascii="Arial" w:hAnsi="Arial" w:cs="Arial"/>
          <w:sz w:val="16"/>
          <w:szCs w:val="16"/>
        </w:rPr>
        <w:endnoteRef/>
      </w:r>
      <w:r w:rsidRPr="00540205">
        <w:rPr>
          <w:rFonts w:ascii="Arial" w:hAnsi="Arial" w:cs="Arial"/>
          <w:sz w:val="16"/>
          <w:szCs w:val="16"/>
        </w:rPr>
        <w:t xml:space="preserve"> </w:t>
      </w:r>
      <w:r w:rsidRPr="00540205">
        <w:rPr>
          <w:rFonts w:ascii="Arial" w:hAnsi="Arial" w:cs="Arial"/>
          <w:spacing w:val="-4"/>
          <w:kern w:val="17"/>
          <w:sz w:val="16"/>
          <w:szCs w:val="16"/>
        </w:rPr>
        <w:t xml:space="preserve">Terence Fan, Lawrence Vigeant-Langlois, Christine Geissler, Björn Bosler, and Jan Wilmking, “Evolution of Global Airline Strategic Alliance and Consolidation in the Twenty-First Century,” </w:t>
      </w:r>
      <w:r w:rsidRPr="00540205">
        <w:rPr>
          <w:rFonts w:ascii="Arial" w:hAnsi="Arial" w:cs="Arial"/>
          <w:i/>
          <w:spacing w:val="-4"/>
          <w:kern w:val="17"/>
          <w:sz w:val="16"/>
          <w:szCs w:val="16"/>
        </w:rPr>
        <w:t>Journal of Air Transport Management</w:t>
      </w:r>
      <w:r w:rsidRPr="00540205">
        <w:rPr>
          <w:rFonts w:ascii="Arial" w:hAnsi="Arial" w:cs="Arial"/>
          <w:spacing w:val="-4"/>
          <w:kern w:val="17"/>
          <w:sz w:val="16"/>
          <w:szCs w:val="16"/>
        </w:rPr>
        <w:t xml:space="preserve"> 7, no 6. (2001): 349–360.</w:t>
      </w:r>
    </w:p>
  </w:endnote>
  <w:endnote w:id="27">
    <w:p w14:paraId="6A0EE69F" w14:textId="20215AF4"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Linus Benjamin Bauer, Daniel Bloch, and Rico Merkert, “Ultra Long-Haul: An Emerging Business Model Accelerated by COVID-19,” </w:t>
      </w:r>
      <w:r w:rsidRPr="00540205">
        <w:rPr>
          <w:i/>
          <w:sz w:val="16"/>
          <w:szCs w:val="16"/>
        </w:rPr>
        <w:t>Journal of Air Transport Management</w:t>
      </w:r>
      <w:r w:rsidRPr="00540205">
        <w:rPr>
          <w:sz w:val="16"/>
          <w:szCs w:val="16"/>
        </w:rPr>
        <w:t xml:space="preserve"> 89 (2020).</w:t>
      </w:r>
    </w:p>
  </w:endnote>
  <w:endnote w:id="28">
    <w:p w14:paraId="58B255AD" w14:textId="61485A04"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“Boeing 787 Dreamliner: It Reinvents Fleet Plans and Transforms Business Plans,” Boeing, accessed November 17, 2020, www.boeing.com/commercial/787.</w:t>
      </w:r>
    </w:p>
  </w:endnote>
  <w:endnote w:id="29">
    <w:p w14:paraId="4C8DA79C" w14:textId="5A5C9A5F" w:rsidR="00F472EE" w:rsidRPr="00540205" w:rsidRDefault="00F472EE" w:rsidP="00FC7374">
      <w:pPr>
        <w:pStyle w:val="Footnote"/>
        <w:rPr>
          <w:sz w:val="16"/>
          <w:szCs w:val="16"/>
        </w:rPr>
      </w:pPr>
      <w:r w:rsidRPr="00540205">
        <w:rPr>
          <w:rStyle w:val="EndnoteReference"/>
          <w:sz w:val="16"/>
          <w:szCs w:val="16"/>
        </w:rPr>
        <w:endnoteRef/>
      </w:r>
      <w:r w:rsidRPr="00540205">
        <w:rPr>
          <w:sz w:val="16"/>
          <w:szCs w:val="16"/>
        </w:rPr>
        <w:t xml:space="preserve"> “Ultra Long Range A350 XWB Goes the Distance,” Airbus, September 22, 2018, accessed November 17, 2020, www.airbus.com/newsroom/news/en/2018/09/ultra-long-range-a350-xwb-goes-the-distance.html.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86C3E" w14:textId="77777777" w:rsidR="00F472EE" w:rsidRDefault="00F472EE" w:rsidP="00D75295">
      <w:r>
        <w:separator/>
      </w:r>
    </w:p>
  </w:footnote>
  <w:footnote w:type="continuationSeparator" w:id="0">
    <w:p w14:paraId="0C1C1496" w14:textId="77777777" w:rsidR="00F472EE" w:rsidRDefault="00F472EE"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D2DB6" w14:textId="0C713E22" w:rsidR="00F472EE" w:rsidRPr="00C92CC4" w:rsidRDefault="00F472EE" w:rsidP="00076BCC">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7</w:t>
    </w:r>
    <w:r>
      <w:rPr>
        <w:rFonts w:ascii="Arial" w:hAnsi="Arial"/>
        <w:b/>
      </w:rPr>
      <w:fldChar w:fldCharType="end"/>
    </w:r>
    <w:r>
      <w:rPr>
        <w:rFonts w:ascii="Arial" w:hAnsi="Arial"/>
        <w:b/>
      </w:rPr>
      <w:tab/>
      <w:t>9B21M011</w:t>
    </w:r>
  </w:p>
  <w:p w14:paraId="247F68C6" w14:textId="77777777" w:rsidR="00F472EE" w:rsidRDefault="00F472EE" w:rsidP="00076BCC">
    <w:pPr>
      <w:pStyle w:val="Header"/>
      <w:tabs>
        <w:tab w:val="clear" w:pos="4680"/>
        <w:tab w:val="clear" w:pos="9360"/>
        <w:tab w:val="right" w:pos="12960"/>
      </w:tabs>
      <w:rPr>
        <w:sz w:val="18"/>
        <w:szCs w:val="18"/>
      </w:rPr>
    </w:pPr>
  </w:p>
  <w:p w14:paraId="46E33C9C" w14:textId="77777777" w:rsidR="00F472EE" w:rsidRPr="00C92CC4" w:rsidRDefault="00F472EE" w:rsidP="00076BCC">
    <w:pPr>
      <w:pStyle w:val="Header"/>
      <w:tabs>
        <w:tab w:val="clear" w:pos="4680"/>
        <w:tab w:val="clear" w:pos="9360"/>
        <w:tab w:val="right" w:pos="1296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5A09C" w14:textId="5D2C9183" w:rsidR="00F472EE" w:rsidRPr="00C92CC4" w:rsidRDefault="00F472EE" w:rsidP="00076BCC">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13</w:t>
    </w:r>
    <w:r>
      <w:rPr>
        <w:rFonts w:ascii="Arial" w:hAnsi="Arial"/>
        <w:b/>
      </w:rPr>
      <w:fldChar w:fldCharType="end"/>
    </w:r>
    <w:r>
      <w:rPr>
        <w:rFonts w:ascii="Arial" w:hAnsi="Arial"/>
        <w:b/>
      </w:rPr>
      <w:tab/>
      <w:t>9B21M011</w:t>
    </w:r>
  </w:p>
  <w:p w14:paraId="357F3F76" w14:textId="77777777" w:rsidR="00F472EE" w:rsidRDefault="00F472EE" w:rsidP="00076BCC">
    <w:pPr>
      <w:pStyle w:val="Header"/>
      <w:tabs>
        <w:tab w:val="clear" w:pos="4680"/>
      </w:tabs>
      <w:rPr>
        <w:sz w:val="18"/>
        <w:szCs w:val="18"/>
      </w:rPr>
    </w:pPr>
  </w:p>
  <w:p w14:paraId="6DB273F2" w14:textId="77777777" w:rsidR="00F472EE" w:rsidRPr="00C92CC4" w:rsidRDefault="00F472EE" w:rsidP="00076BCC">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2566"/>
    <w:rsid w:val="00013360"/>
    <w:rsid w:val="00013427"/>
    <w:rsid w:val="00016759"/>
    <w:rsid w:val="000216CE"/>
    <w:rsid w:val="00024467"/>
    <w:rsid w:val="00024ED4"/>
    <w:rsid w:val="00025DC7"/>
    <w:rsid w:val="00026DB0"/>
    <w:rsid w:val="00035F09"/>
    <w:rsid w:val="0004017F"/>
    <w:rsid w:val="00042E72"/>
    <w:rsid w:val="00044ECC"/>
    <w:rsid w:val="000531D3"/>
    <w:rsid w:val="0005646B"/>
    <w:rsid w:val="000615D1"/>
    <w:rsid w:val="00076BCC"/>
    <w:rsid w:val="0008102D"/>
    <w:rsid w:val="000862B0"/>
    <w:rsid w:val="00086B26"/>
    <w:rsid w:val="00094C0E"/>
    <w:rsid w:val="00096564"/>
    <w:rsid w:val="000A146D"/>
    <w:rsid w:val="000B375A"/>
    <w:rsid w:val="000C02ED"/>
    <w:rsid w:val="000C08AC"/>
    <w:rsid w:val="000C27AA"/>
    <w:rsid w:val="000D2A2F"/>
    <w:rsid w:val="000D7091"/>
    <w:rsid w:val="000F0C22"/>
    <w:rsid w:val="000F6B09"/>
    <w:rsid w:val="000F6FDC"/>
    <w:rsid w:val="000F7468"/>
    <w:rsid w:val="001014A9"/>
    <w:rsid w:val="00104567"/>
    <w:rsid w:val="00104916"/>
    <w:rsid w:val="00104AA7"/>
    <w:rsid w:val="0012732D"/>
    <w:rsid w:val="00131244"/>
    <w:rsid w:val="00137DA7"/>
    <w:rsid w:val="00143F25"/>
    <w:rsid w:val="00152682"/>
    <w:rsid w:val="00154FC9"/>
    <w:rsid w:val="0015797A"/>
    <w:rsid w:val="001606C7"/>
    <w:rsid w:val="00161980"/>
    <w:rsid w:val="0017006D"/>
    <w:rsid w:val="00172C0A"/>
    <w:rsid w:val="00177824"/>
    <w:rsid w:val="001901C0"/>
    <w:rsid w:val="00190E13"/>
    <w:rsid w:val="0019241A"/>
    <w:rsid w:val="00192A18"/>
    <w:rsid w:val="001A22D1"/>
    <w:rsid w:val="001A752D"/>
    <w:rsid w:val="001A757E"/>
    <w:rsid w:val="001B3DEA"/>
    <w:rsid w:val="001B5032"/>
    <w:rsid w:val="001C7777"/>
    <w:rsid w:val="001D344B"/>
    <w:rsid w:val="001E3573"/>
    <w:rsid w:val="001E364F"/>
    <w:rsid w:val="001E4705"/>
    <w:rsid w:val="001F4222"/>
    <w:rsid w:val="001F52E3"/>
    <w:rsid w:val="00203210"/>
    <w:rsid w:val="00203AA1"/>
    <w:rsid w:val="002100E0"/>
    <w:rsid w:val="00213E98"/>
    <w:rsid w:val="002147A2"/>
    <w:rsid w:val="00230150"/>
    <w:rsid w:val="0023081A"/>
    <w:rsid w:val="0023153F"/>
    <w:rsid w:val="00233111"/>
    <w:rsid w:val="00252DDB"/>
    <w:rsid w:val="00265F47"/>
    <w:rsid w:val="00265FA8"/>
    <w:rsid w:val="0027410D"/>
    <w:rsid w:val="00284FCB"/>
    <w:rsid w:val="002A1851"/>
    <w:rsid w:val="002B3E81"/>
    <w:rsid w:val="002B40FF"/>
    <w:rsid w:val="002C4E29"/>
    <w:rsid w:val="002D16AB"/>
    <w:rsid w:val="002E1748"/>
    <w:rsid w:val="002E2C86"/>
    <w:rsid w:val="002E4581"/>
    <w:rsid w:val="002E6DB4"/>
    <w:rsid w:val="002F460C"/>
    <w:rsid w:val="002F48D6"/>
    <w:rsid w:val="002F5C16"/>
    <w:rsid w:val="003114BE"/>
    <w:rsid w:val="0031673C"/>
    <w:rsid w:val="00317391"/>
    <w:rsid w:val="00326216"/>
    <w:rsid w:val="00336580"/>
    <w:rsid w:val="00354899"/>
    <w:rsid w:val="00355FD6"/>
    <w:rsid w:val="00364A5C"/>
    <w:rsid w:val="00373FB1"/>
    <w:rsid w:val="003746D0"/>
    <w:rsid w:val="00374FA8"/>
    <w:rsid w:val="00396C76"/>
    <w:rsid w:val="00397C34"/>
    <w:rsid w:val="003A5366"/>
    <w:rsid w:val="003B1C6F"/>
    <w:rsid w:val="003B30D8"/>
    <w:rsid w:val="003B7EF2"/>
    <w:rsid w:val="003C3FA4"/>
    <w:rsid w:val="003D0BA1"/>
    <w:rsid w:val="003F2B0C"/>
    <w:rsid w:val="004000D6"/>
    <w:rsid w:val="004105B2"/>
    <w:rsid w:val="0041145A"/>
    <w:rsid w:val="00412358"/>
    <w:rsid w:val="00412900"/>
    <w:rsid w:val="00412D0C"/>
    <w:rsid w:val="004131CB"/>
    <w:rsid w:val="004221E4"/>
    <w:rsid w:val="004273F8"/>
    <w:rsid w:val="004355A3"/>
    <w:rsid w:val="00436F14"/>
    <w:rsid w:val="00446546"/>
    <w:rsid w:val="00452769"/>
    <w:rsid w:val="00454FA7"/>
    <w:rsid w:val="00465348"/>
    <w:rsid w:val="00476EE8"/>
    <w:rsid w:val="004819F4"/>
    <w:rsid w:val="00496FB1"/>
    <w:rsid w:val="004979A5"/>
    <w:rsid w:val="004A25E0"/>
    <w:rsid w:val="004A433A"/>
    <w:rsid w:val="004B1CCB"/>
    <w:rsid w:val="004B341E"/>
    <w:rsid w:val="004B43CB"/>
    <w:rsid w:val="004B632F"/>
    <w:rsid w:val="004D3FB1"/>
    <w:rsid w:val="004D6F21"/>
    <w:rsid w:val="004D73A5"/>
    <w:rsid w:val="004E638A"/>
    <w:rsid w:val="00503E5E"/>
    <w:rsid w:val="0050534C"/>
    <w:rsid w:val="005160F1"/>
    <w:rsid w:val="00524F2F"/>
    <w:rsid w:val="00527DD7"/>
    <w:rsid w:val="00527E5C"/>
    <w:rsid w:val="00532CF5"/>
    <w:rsid w:val="00540205"/>
    <w:rsid w:val="00544AF2"/>
    <w:rsid w:val="005528CB"/>
    <w:rsid w:val="00555038"/>
    <w:rsid w:val="005604C2"/>
    <w:rsid w:val="00566771"/>
    <w:rsid w:val="00571804"/>
    <w:rsid w:val="00575DA1"/>
    <w:rsid w:val="00581B19"/>
    <w:rsid w:val="00581E2E"/>
    <w:rsid w:val="005849C0"/>
    <w:rsid w:val="00584F15"/>
    <w:rsid w:val="0059514B"/>
    <w:rsid w:val="005A1B0F"/>
    <w:rsid w:val="005B0FAC"/>
    <w:rsid w:val="005B4A71"/>
    <w:rsid w:val="005B4CE6"/>
    <w:rsid w:val="005B5EFE"/>
    <w:rsid w:val="005B6091"/>
    <w:rsid w:val="005B6D80"/>
    <w:rsid w:val="006163F7"/>
    <w:rsid w:val="00627C63"/>
    <w:rsid w:val="0063350B"/>
    <w:rsid w:val="00636829"/>
    <w:rsid w:val="0064449E"/>
    <w:rsid w:val="00652606"/>
    <w:rsid w:val="006733EE"/>
    <w:rsid w:val="00686D83"/>
    <w:rsid w:val="006946EE"/>
    <w:rsid w:val="006A520C"/>
    <w:rsid w:val="006A58A9"/>
    <w:rsid w:val="006A606D"/>
    <w:rsid w:val="006C0371"/>
    <w:rsid w:val="006C08B6"/>
    <w:rsid w:val="006C0B1A"/>
    <w:rsid w:val="006C24B2"/>
    <w:rsid w:val="006C6065"/>
    <w:rsid w:val="006C7F9F"/>
    <w:rsid w:val="006E1AA4"/>
    <w:rsid w:val="006E2F6D"/>
    <w:rsid w:val="006E58F6"/>
    <w:rsid w:val="006E77E1"/>
    <w:rsid w:val="006F1171"/>
    <w:rsid w:val="006F131D"/>
    <w:rsid w:val="00711642"/>
    <w:rsid w:val="00711885"/>
    <w:rsid w:val="00714FEC"/>
    <w:rsid w:val="007507C6"/>
    <w:rsid w:val="00751E0B"/>
    <w:rsid w:val="00752BCD"/>
    <w:rsid w:val="0075761C"/>
    <w:rsid w:val="00766856"/>
    <w:rsid w:val="00766DA1"/>
    <w:rsid w:val="00780D94"/>
    <w:rsid w:val="007866A6"/>
    <w:rsid w:val="007903ED"/>
    <w:rsid w:val="007A130D"/>
    <w:rsid w:val="007C09A6"/>
    <w:rsid w:val="007C226E"/>
    <w:rsid w:val="007D1A2D"/>
    <w:rsid w:val="007D32E6"/>
    <w:rsid w:val="007D4102"/>
    <w:rsid w:val="007E54A7"/>
    <w:rsid w:val="007F43B7"/>
    <w:rsid w:val="007F7A9F"/>
    <w:rsid w:val="0081005E"/>
    <w:rsid w:val="00816E87"/>
    <w:rsid w:val="00821FFC"/>
    <w:rsid w:val="00826927"/>
    <w:rsid w:val="008271CA"/>
    <w:rsid w:val="00842D29"/>
    <w:rsid w:val="008467D5"/>
    <w:rsid w:val="008524CC"/>
    <w:rsid w:val="00861CFA"/>
    <w:rsid w:val="008630CB"/>
    <w:rsid w:val="00893890"/>
    <w:rsid w:val="008A34CD"/>
    <w:rsid w:val="008A4DC4"/>
    <w:rsid w:val="008B0175"/>
    <w:rsid w:val="008B438C"/>
    <w:rsid w:val="008B7B3F"/>
    <w:rsid w:val="008D06CA"/>
    <w:rsid w:val="008D3A46"/>
    <w:rsid w:val="008D6DDB"/>
    <w:rsid w:val="008E4AB2"/>
    <w:rsid w:val="008F2385"/>
    <w:rsid w:val="008F3A5B"/>
    <w:rsid w:val="009067A4"/>
    <w:rsid w:val="00913AD8"/>
    <w:rsid w:val="00920542"/>
    <w:rsid w:val="00930885"/>
    <w:rsid w:val="009309C5"/>
    <w:rsid w:val="009337A5"/>
    <w:rsid w:val="00933D68"/>
    <w:rsid w:val="009340DB"/>
    <w:rsid w:val="0094358C"/>
    <w:rsid w:val="0094618C"/>
    <w:rsid w:val="00946BAC"/>
    <w:rsid w:val="00955A56"/>
    <w:rsid w:val="0095684B"/>
    <w:rsid w:val="009660A6"/>
    <w:rsid w:val="009710D5"/>
    <w:rsid w:val="00972498"/>
    <w:rsid w:val="0097481F"/>
    <w:rsid w:val="00974CC6"/>
    <w:rsid w:val="00976AD4"/>
    <w:rsid w:val="009806BD"/>
    <w:rsid w:val="009918E4"/>
    <w:rsid w:val="00995547"/>
    <w:rsid w:val="009A312F"/>
    <w:rsid w:val="009A5348"/>
    <w:rsid w:val="009B0AB7"/>
    <w:rsid w:val="009B2452"/>
    <w:rsid w:val="009C38B5"/>
    <w:rsid w:val="009C59B9"/>
    <w:rsid w:val="009C76D5"/>
    <w:rsid w:val="009D3CD0"/>
    <w:rsid w:val="009E1122"/>
    <w:rsid w:val="009F0638"/>
    <w:rsid w:val="009F7AA4"/>
    <w:rsid w:val="00A06872"/>
    <w:rsid w:val="00A10AD7"/>
    <w:rsid w:val="00A23D0B"/>
    <w:rsid w:val="00A323B0"/>
    <w:rsid w:val="00A559DB"/>
    <w:rsid w:val="00A55A22"/>
    <w:rsid w:val="00A569EA"/>
    <w:rsid w:val="00A676A0"/>
    <w:rsid w:val="00A80B8F"/>
    <w:rsid w:val="00AA0A6D"/>
    <w:rsid w:val="00AA44D5"/>
    <w:rsid w:val="00AC3C17"/>
    <w:rsid w:val="00AC4D26"/>
    <w:rsid w:val="00AE072B"/>
    <w:rsid w:val="00AF35FC"/>
    <w:rsid w:val="00AF5556"/>
    <w:rsid w:val="00B01AC6"/>
    <w:rsid w:val="00B03639"/>
    <w:rsid w:val="00B0652A"/>
    <w:rsid w:val="00B40937"/>
    <w:rsid w:val="00B423EF"/>
    <w:rsid w:val="00B453DE"/>
    <w:rsid w:val="00B62497"/>
    <w:rsid w:val="00B72597"/>
    <w:rsid w:val="00B87DC0"/>
    <w:rsid w:val="00B901F9"/>
    <w:rsid w:val="00B911CC"/>
    <w:rsid w:val="00BC368F"/>
    <w:rsid w:val="00BC4D98"/>
    <w:rsid w:val="00BD3CFA"/>
    <w:rsid w:val="00BD6EFB"/>
    <w:rsid w:val="00BE2962"/>
    <w:rsid w:val="00BE3625"/>
    <w:rsid w:val="00BE3DF5"/>
    <w:rsid w:val="00BF5B03"/>
    <w:rsid w:val="00BF5EAB"/>
    <w:rsid w:val="00C02410"/>
    <w:rsid w:val="00C0368F"/>
    <w:rsid w:val="00C14646"/>
    <w:rsid w:val="00C1584D"/>
    <w:rsid w:val="00C15BE2"/>
    <w:rsid w:val="00C3419D"/>
    <w:rsid w:val="00C3447F"/>
    <w:rsid w:val="00C44714"/>
    <w:rsid w:val="00C66405"/>
    <w:rsid w:val="00C67102"/>
    <w:rsid w:val="00C703C3"/>
    <w:rsid w:val="00C728DE"/>
    <w:rsid w:val="00C73B6F"/>
    <w:rsid w:val="00C81491"/>
    <w:rsid w:val="00C81676"/>
    <w:rsid w:val="00C85C5D"/>
    <w:rsid w:val="00C92CC4"/>
    <w:rsid w:val="00CA0AFB"/>
    <w:rsid w:val="00CA2CE1"/>
    <w:rsid w:val="00CA3976"/>
    <w:rsid w:val="00CA50E3"/>
    <w:rsid w:val="00CA757B"/>
    <w:rsid w:val="00CB1F6A"/>
    <w:rsid w:val="00CB5E49"/>
    <w:rsid w:val="00CC1787"/>
    <w:rsid w:val="00CC182C"/>
    <w:rsid w:val="00CD0824"/>
    <w:rsid w:val="00CD2908"/>
    <w:rsid w:val="00CE78A8"/>
    <w:rsid w:val="00CE7EC4"/>
    <w:rsid w:val="00CF1A11"/>
    <w:rsid w:val="00D00F8A"/>
    <w:rsid w:val="00D03A82"/>
    <w:rsid w:val="00D05108"/>
    <w:rsid w:val="00D05854"/>
    <w:rsid w:val="00D069ED"/>
    <w:rsid w:val="00D13667"/>
    <w:rsid w:val="00D15344"/>
    <w:rsid w:val="00D21755"/>
    <w:rsid w:val="00D23F57"/>
    <w:rsid w:val="00D25809"/>
    <w:rsid w:val="00D31BEC"/>
    <w:rsid w:val="00D41428"/>
    <w:rsid w:val="00D460AF"/>
    <w:rsid w:val="00D63150"/>
    <w:rsid w:val="00D636BA"/>
    <w:rsid w:val="00D64A32"/>
    <w:rsid w:val="00D64EFC"/>
    <w:rsid w:val="00D6598A"/>
    <w:rsid w:val="00D75295"/>
    <w:rsid w:val="00D76CE9"/>
    <w:rsid w:val="00D77A03"/>
    <w:rsid w:val="00D8624C"/>
    <w:rsid w:val="00D9713C"/>
    <w:rsid w:val="00D97F12"/>
    <w:rsid w:val="00DA1050"/>
    <w:rsid w:val="00DA514E"/>
    <w:rsid w:val="00DA6095"/>
    <w:rsid w:val="00DB42E7"/>
    <w:rsid w:val="00DC09D8"/>
    <w:rsid w:val="00DE01A6"/>
    <w:rsid w:val="00DE1FA7"/>
    <w:rsid w:val="00DE7A98"/>
    <w:rsid w:val="00DF0AEF"/>
    <w:rsid w:val="00DF32C2"/>
    <w:rsid w:val="00E21463"/>
    <w:rsid w:val="00E24408"/>
    <w:rsid w:val="00E30A77"/>
    <w:rsid w:val="00E41293"/>
    <w:rsid w:val="00E471A7"/>
    <w:rsid w:val="00E60EAE"/>
    <w:rsid w:val="00E635CF"/>
    <w:rsid w:val="00E63970"/>
    <w:rsid w:val="00E94702"/>
    <w:rsid w:val="00EB0905"/>
    <w:rsid w:val="00EB1E3B"/>
    <w:rsid w:val="00EC6E0A"/>
    <w:rsid w:val="00ED4E18"/>
    <w:rsid w:val="00ED7922"/>
    <w:rsid w:val="00EE02C4"/>
    <w:rsid w:val="00EE0A29"/>
    <w:rsid w:val="00EE1F37"/>
    <w:rsid w:val="00F0159C"/>
    <w:rsid w:val="00F105B7"/>
    <w:rsid w:val="00F13220"/>
    <w:rsid w:val="00F17A21"/>
    <w:rsid w:val="00F20256"/>
    <w:rsid w:val="00F36FC2"/>
    <w:rsid w:val="00F37B27"/>
    <w:rsid w:val="00F43218"/>
    <w:rsid w:val="00F46556"/>
    <w:rsid w:val="00F472EE"/>
    <w:rsid w:val="00F50E91"/>
    <w:rsid w:val="00F5449F"/>
    <w:rsid w:val="00F56674"/>
    <w:rsid w:val="00F56799"/>
    <w:rsid w:val="00F57D29"/>
    <w:rsid w:val="00F60786"/>
    <w:rsid w:val="00F70854"/>
    <w:rsid w:val="00F91BC7"/>
    <w:rsid w:val="00F96201"/>
    <w:rsid w:val="00FA1BBC"/>
    <w:rsid w:val="00FA38F8"/>
    <w:rsid w:val="00FA77BD"/>
    <w:rsid w:val="00FC7374"/>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6865C1EE-D408-4995-B5F3-A10B5E31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ColorfulList-Accent11">
    <w:name w:val="Colorful List - Accent 11"/>
    <w:basedOn w:val="Normal"/>
    <w:uiPriority w:val="34"/>
    <w:qFormat/>
    <w:rsid w:val="00BD3CFA"/>
    <w:pPr>
      <w:ind w:left="720"/>
    </w:pPr>
  </w:style>
  <w:style w:type="character" w:customStyle="1" w:styleId="UnresolvedMention1">
    <w:name w:val="Unresolved Mention1"/>
    <w:basedOn w:val="DefaultParagraphFont"/>
    <w:uiPriority w:val="99"/>
    <w:semiHidden/>
    <w:unhideWhenUsed/>
    <w:rsid w:val="00714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043331">
      <w:bodyDiv w:val="1"/>
      <w:marLeft w:val="0"/>
      <w:marRight w:val="0"/>
      <w:marTop w:val="0"/>
      <w:marBottom w:val="0"/>
      <w:divBdr>
        <w:top w:val="none" w:sz="0" w:space="0" w:color="auto"/>
        <w:left w:val="none" w:sz="0" w:space="0" w:color="auto"/>
        <w:bottom w:val="none" w:sz="0" w:space="0" w:color="auto"/>
        <w:right w:val="none" w:sz="0" w:space="0" w:color="auto"/>
      </w:divBdr>
    </w:div>
    <w:div w:id="1271426257">
      <w:bodyDiv w:val="1"/>
      <w:marLeft w:val="0"/>
      <w:marRight w:val="0"/>
      <w:marTop w:val="0"/>
      <w:marBottom w:val="0"/>
      <w:divBdr>
        <w:top w:val="none" w:sz="0" w:space="0" w:color="auto"/>
        <w:left w:val="none" w:sz="0" w:space="0" w:color="auto"/>
        <w:bottom w:val="none" w:sz="0" w:space="0" w:color="auto"/>
        <w:right w:val="none" w:sz="0" w:space="0" w:color="auto"/>
      </w:divBdr>
    </w:div>
    <w:div w:id="1378433821">
      <w:bodyDiv w:val="1"/>
      <w:marLeft w:val="0"/>
      <w:marRight w:val="0"/>
      <w:marTop w:val="0"/>
      <w:marBottom w:val="0"/>
      <w:divBdr>
        <w:top w:val="none" w:sz="0" w:space="0" w:color="auto"/>
        <w:left w:val="none" w:sz="0" w:space="0" w:color="auto"/>
        <w:bottom w:val="none" w:sz="0" w:space="0" w:color="auto"/>
        <w:right w:val="none" w:sz="0" w:space="0" w:color="auto"/>
      </w:divBdr>
    </w:div>
    <w:div w:id="153040813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bre.com/search/origins+and+destinations/"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www.sabre.com/search/origins+and+destinations/" TargetMode="External"/><Relationship Id="rId1" Type="http://schemas.openxmlformats.org/officeDocument/2006/relationships/hyperlink" Target="http://www.sabre.com/search/origins+and+desti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02BA0-FF8B-469E-AD74-8EBE7C21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5562</Words>
  <Characters>31261</Characters>
  <Application>Microsoft Office Word</Application>
  <DocSecurity>0</DocSecurity>
  <Lines>947</Lines>
  <Paragraphs>593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Harnett, Kira</cp:lastModifiedBy>
  <cp:revision>5</cp:revision>
  <cp:lastPrinted>2015-03-04T20:34:00Z</cp:lastPrinted>
  <dcterms:created xsi:type="dcterms:W3CDTF">2021-01-28T14:38:00Z</dcterms:created>
  <dcterms:modified xsi:type="dcterms:W3CDTF">2021-01-28T16:59:00Z</dcterms:modified>
</cp:coreProperties>
</file>