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70262" w14:textId="77777777" w:rsidR="007C1D89" w:rsidRDefault="007C1D89" w:rsidP="007C1D89">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4BA4CD10" wp14:editId="304A39C2">
            <wp:extent cx="2613804" cy="551245"/>
            <wp:effectExtent l="0" t="0" r="0" b="1270"/>
            <wp:docPr id="1" name="Picture 1"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0D95799A" w:rsidR="00C02410" w:rsidRPr="00302FFF" w:rsidRDefault="008D6F47" w:rsidP="007C1D89">
      <w:pPr>
        <w:pStyle w:val="ProductNumber"/>
        <w:rPr>
          <w:lang w:val="en-GB"/>
        </w:rPr>
      </w:pPr>
      <w:r>
        <w:t>9B21M012</w:t>
      </w:r>
    </w:p>
    <w:p w14:paraId="4E057522" w14:textId="7A113CB1" w:rsidR="00D75295" w:rsidRPr="00302FFF" w:rsidRDefault="00D75295" w:rsidP="00D75295">
      <w:pPr>
        <w:jc w:val="right"/>
        <w:rPr>
          <w:rFonts w:ascii="Arial" w:hAnsi="Arial"/>
          <w:b/>
          <w:lang w:val="en-GB"/>
        </w:rPr>
      </w:pPr>
    </w:p>
    <w:p w14:paraId="02524312" w14:textId="77777777" w:rsidR="001901C0" w:rsidRPr="00302FFF" w:rsidRDefault="001901C0" w:rsidP="00D75295">
      <w:pPr>
        <w:jc w:val="right"/>
        <w:rPr>
          <w:rFonts w:ascii="Arial" w:hAnsi="Arial"/>
          <w:b/>
          <w:lang w:val="en-GB"/>
        </w:rPr>
      </w:pPr>
    </w:p>
    <w:p w14:paraId="2F03D26A" w14:textId="26BCD162" w:rsidR="007B72F2" w:rsidRPr="00302FFF" w:rsidRDefault="007B72F2" w:rsidP="00013360">
      <w:pPr>
        <w:pStyle w:val="CaseTitle"/>
        <w:spacing w:after="0" w:line="240" w:lineRule="auto"/>
        <w:rPr>
          <w:sz w:val="20"/>
          <w:szCs w:val="20"/>
          <w:lang w:val="en-GB"/>
        </w:rPr>
      </w:pPr>
      <w:r>
        <w:t xml:space="preserve">Marsh USA INC.: </w:t>
      </w:r>
      <w:r w:rsidR="00330F81">
        <w:t>CHALL</w:t>
      </w:r>
      <w:r w:rsidR="00557830">
        <w:t>e</w:t>
      </w:r>
      <w:r w:rsidR="00330F81">
        <w:t xml:space="preserve">NGES </w:t>
      </w:r>
      <w:r w:rsidR="00330F81" w:rsidRPr="00302FFF">
        <w:rPr>
          <w:lang w:val="en-GB"/>
        </w:rPr>
        <w:t>OF PANDEMIC INSURANCE IN A COVID-19 WORLD</w:t>
      </w:r>
      <w:r>
        <w:rPr>
          <w:rStyle w:val="EndnoteReference"/>
          <w:lang w:val="en-GB"/>
        </w:rPr>
        <w:endnoteReference w:id="2"/>
      </w:r>
    </w:p>
    <w:p w14:paraId="40ABF6FD" w14:textId="77777777" w:rsidR="007B72F2" w:rsidRPr="00302FFF" w:rsidRDefault="007B72F2" w:rsidP="00013360">
      <w:pPr>
        <w:pStyle w:val="CaseTitle"/>
        <w:spacing w:after="0" w:line="240" w:lineRule="auto"/>
        <w:rPr>
          <w:sz w:val="20"/>
          <w:szCs w:val="20"/>
          <w:lang w:val="en-GB"/>
        </w:rPr>
      </w:pPr>
    </w:p>
    <w:p w14:paraId="202F1085" w14:textId="77777777" w:rsidR="007B72F2" w:rsidRPr="00302FFF" w:rsidRDefault="007B72F2" w:rsidP="00013360">
      <w:pPr>
        <w:pStyle w:val="CaseTitle"/>
        <w:spacing w:after="0" w:line="240" w:lineRule="auto"/>
        <w:rPr>
          <w:sz w:val="20"/>
          <w:szCs w:val="20"/>
          <w:lang w:val="en-GB"/>
        </w:rPr>
      </w:pPr>
    </w:p>
    <w:p w14:paraId="58B0C73F" w14:textId="5EC8D37E" w:rsidR="007B72F2" w:rsidRPr="00302FFF" w:rsidRDefault="007B72F2" w:rsidP="00086B26">
      <w:pPr>
        <w:pStyle w:val="StyleCopyrightStatementAfter0ptBottomSinglesolidline1"/>
        <w:rPr>
          <w:lang w:val="en-GB"/>
        </w:rPr>
      </w:pPr>
      <w:r w:rsidRPr="00302FFF">
        <w:rPr>
          <w:lang w:val="en-GB"/>
        </w:rPr>
        <w:t>Arpita Agnihotri and Saurabh Bhattacharya</w:t>
      </w:r>
      <w:r w:rsidRPr="00302FFF">
        <w:rPr>
          <w:rFonts w:cs="Arial"/>
          <w:szCs w:val="16"/>
          <w:lang w:val="en-GB"/>
        </w:rPr>
        <w:t xml:space="preserve"> </w:t>
      </w:r>
      <w:r w:rsidRPr="00302FFF">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7B72F2" w:rsidRPr="00302FFF" w:rsidRDefault="007B72F2" w:rsidP="00086B26">
      <w:pPr>
        <w:pStyle w:val="StyleCopyrightStatementAfter0ptBottomSinglesolidline1"/>
        <w:rPr>
          <w:lang w:val="en-GB"/>
        </w:rPr>
      </w:pPr>
    </w:p>
    <w:p w14:paraId="0BE1906A" w14:textId="77777777" w:rsidR="007C1D89" w:rsidRPr="00A323B0" w:rsidRDefault="007C1D89" w:rsidP="007C1D89">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676DE921" w14:textId="77777777" w:rsidR="007C1D89" w:rsidRPr="00A323B0" w:rsidRDefault="007C1D89" w:rsidP="007C1D89">
      <w:pPr>
        <w:pStyle w:val="StyleStyleCopyrightStatementAfter0ptBottomSinglesolid"/>
        <w:rPr>
          <w:rFonts w:cs="Arial"/>
          <w:szCs w:val="16"/>
        </w:rPr>
      </w:pPr>
    </w:p>
    <w:p w14:paraId="3922E14F" w14:textId="3BB37214" w:rsidR="007B72F2" w:rsidRPr="00302FFF" w:rsidRDefault="007C1D89" w:rsidP="007C1D89">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 xml:space="preserve">Version: </w:t>
      </w:r>
      <w:r>
        <w:rPr>
          <w:rFonts w:cs="Arial"/>
          <w:iCs w:val="0"/>
          <w:color w:val="auto"/>
          <w:szCs w:val="16"/>
        </w:rPr>
        <w:t>2021-02-1</w:t>
      </w:r>
      <w:r w:rsidR="00DD1F03">
        <w:rPr>
          <w:rFonts w:cs="Arial"/>
          <w:iCs w:val="0"/>
          <w:color w:val="auto"/>
          <w:szCs w:val="16"/>
        </w:rPr>
        <w:t>7</w:t>
      </w:r>
      <w:bookmarkStart w:id="0" w:name="_GoBack"/>
      <w:bookmarkEnd w:id="0"/>
    </w:p>
    <w:p w14:paraId="0A2A54E4" w14:textId="77777777" w:rsidR="007B72F2" w:rsidRPr="00302FFF" w:rsidRDefault="007B72F2" w:rsidP="00751E0B">
      <w:pPr>
        <w:pStyle w:val="StyleCopyrightStatementAfter0ptBottomSinglesolidline1"/>
        <w:rPr>
          <w:rFonts w:ascii="Times New Roman" w:hAnsi="Times New Roman"/>
          <w:sz w:val="20"/>
          <w:lang w:val="en-GB"/>
        </w:rPr>
      </w:pPr>
    </w:p>
    <w:p w14:paraId="2C183161" w14:textId="54E8F272" w:rsidR="007B72F2" w:rsidRPr="00302FFF" w:rsidRDefault="007B72F2" w:rsidP="002B40FF">
      <w:pPr>
        <w:pStyle w:val="Casehead1"/>
        <w:rPr>
          <w:lang w:val="en-GB"/>
        </w:rPr>
      </w:pPr>
    </w:p>
    <w:p w14:paraId="710CEAD6" w14:textId="20289714" w:rsidR="007B72F2" w:rsidRDefault="007B72F2" w:rsidP="00DD1F03">
      <w:pPr>
        <w:pStyle w:val="BodyTextMain"/>
      </w:pPr>
      <w:r w:rsidRPr="00302FFF">
        <w:rPr>
          <w:lang w:val="en-GB"/>
        </w:rPr>
        <w:t>In 2018, Marsh USA Inc. (Marsh)</w:t>
      </w:r>
      <w:r>
        <w:rPr>
          <w:lang w:val="en-GB"/>
        </w:rPr>
        <w:t>,</w:t>
      </w:r>
      <w:r w:rsidRPr="00302FFF">
        <w:rPr>
          <w:lang w:val="en-GB"/>
        </w:rPr>
        <w:t xml:space="preserve"> a</w:t>
      </w:r>
      <w:r>
        <w:rPr>
          <w:lang w:val="en-GB"/>
        </w:rPr>
        <w:t>n</w:t>
      </w:r>
      <w:r w:rsidRPr="00302FFF">
        <w:rPr>
          <w:lang w:val="en-GB"/>
        </w:rPr>
        <w:t xml:space="preserve"> insurance company </w:t>
      </w:r>
      <w:r>
        <w:rPr>
          <w:lang w:val="en-GB"/>
        </w:rPr>
        <w:t xml:space="preserve">based in New York, </w:t>
      </w:r>
      <w:r w:rsidRPr="00302FFF">
        <w:rPr>
          <w:lang w:val="en-GB"/>
        </w:rPr>
        <w:t>launched an innovative pandemic insurance product</w:t>
      </w:r>
      <w:r>
        <w:rPr>
          <w:lang w:val="en-GB"/>
        </w:rPr>
        <w:t xml:space="preserve"> called </w:t>
      </w:r>
      <w:r w:rsidRPr="00302FFF">
        <w:rPr>
          <w:lang w:val="en-GB"/>
        </w:rPr>
        <w:t>PathogenRX</w:t>
      </w:r>
      <w:r>
        <w:rPr>
          <w:lang w:val="en-GB"/>
        </w:rPr>
        <w:t>. The new product was</w:t>
      </w:r>
      <w:r w:rsidRPr="00302FFF">
        <w:rPr>
          <w:lang w:val="en-GB"/>
        </w:rPr>
        <w:t xml:space="preserve"> jointly developed with Munich Re</w:t>
      </w:r>
      <w:r>
        <w:rPr>
          <w:lang w:val="en-GB"/>
        </w:rPr>
        <w:t xml:space="preserve"> Group,</w:t>
      </w:r>
      <w:r w:rsidRPr="00302FFF">
        <w:rPr>
          <w:lang w:val="en-GB"/>
        </w:rPr>
        <w:t xml:space="preserve"> a reinsurance company based in </w:t>
      </w:r>
      <w:r>
        <w:rPr>
          <w:lang w:val="en-GB"/>
        </w:rPr>
        <w:t xml:space="preserve">Munich, </w:t>
      </w:r>
      <w:r w:rsidRPr="00302FFF">
        <w:rPr>
          <w:lang w:val="en-GB"/>
        </w:rPr>
        <w:t xml:space="preserve">Germany, and </w:t>
      </w:r>
      <w:r>
        <w:rPr>
          <w:lang w:val="en-GB"/>
        </w:rPr>
        <w:t xml:space="preserve">with </w:t>
      </w:r>
      <w:r w:rsidRPr="00302FFF">
        <w:rPr>
          <w:lang w:val="en-GB"/>
        </w:rPr>
        <w:t>Metabiota</w:t>
      </w:r>
      <w:r>
        <w:rPr>
          <w:lang w:val="en-GB"/>
        </w:rPr>
        <w:t xml:space="preserve"> Inc. (Metabiota),</w:t>
      </w:r>
      <w:r w:rsidRPr="00302FFF">
        <w:rPr>
          <w:lang w:val="en-GB"/>
        </w:rPr>
        <w:t xml:space="preserve"> a specialist in </w:t>
      </w:r>
      <w:bookmarkStart w:id="1" w:name="_Hlk45463768"/>
      <w:r w:rsidRPr="00302FFF">
        <w:rPr>
          <w:lang w:val="en-GB"/>
        </w:rPr>
        <w:t>pandemic threat management</w:t>
      </w:r>
      <w:bookmarkEnd w:id="1"/>
      <w:r>
        <w:rPr>
          <w:lang w:val="en-GB"/>
        </w:rPr>
        <w:t xml:space="preserve"> based in </w:t>
      </w:r>
      <w:r w:rsidRPr="00302FFF">
        <w:rPr>
          <w:lang w:val="en-GB"/>
        </w:rPr>
        <w:t>San Francisco</w:t>
      </w:r>
      <w:r>
        <w:rPr>
          <w:lang w:val="en-GB"/>
        </w:rPr>
        <w:t>, California.</w:t>
      </w:r>
      <w:r w:rsidRPr="00302FFF">
        <w:rPr>
          <w:rStyle w:val="EndnoteReference"/>
          <w:spacing w:val="-1"/>
          <w:lang w:val="en-GB"/>
        </w:rPr>
        <w:endnoteReference w:id="3"/>
      </w:r>
      <w:r w:rsidRPr="00302FFF">
        <w:rPr>
          <w:lang w:val="en-GB"/>
        </w:rPr>
        <w:t xml:space="preserve"> </w:t>
      </w:r>
      <w:r>
        <w:rPr>
          <w:lang w:val="en-GB"/>
        </w:rPr>
        <w:t>B</w:t>
      </w:r>
      <w:r w:rsidRPr="00302FFF">
        <w:rPr>
          <w:lang w:val="en-GB"/>
        </w:rPr>
        <w:t>y mode</w:t>
      </w:r>
      <w:r>
        <w:rPr>
          <w:lang w:val="en-GB"/>
        </w:rPr>
        <w:t>l</w:t>
      </w:r>
      <w:r w:rsidRPr="00302FFF">
        <w:rPr>
          <w:lang w:val="en-GB"/>
        </w:rPr>
        <w:t>ling and estimating the impact of pandemic and epidemic risk</w:t>
      </w:r>
      <w:r>
        <w:rPr>
          <w:lang w:val="en-GB"/>
        </w:rPr>
        <w:t xml:space="preserve">, </w:t>
      </w:r>
      <w:r w:rsidRPr="00302FFF">
        <w:rPr>
          <w:lang w:val="en-GB"/>
        </w:rPr>
        <w:t>PathogenRX mitigated several challenges faced by risk managers</w:t>
      </w:r>
      <w:r>
        <w:rPr>
          <w:lang w:val="en-GB"/>
        </w:rPr>
        <w:t>.</w:t>
      </w:r>
      <w:r w:rsidRPr="00302FFF">
        <w:rPr>
          <w:lang w:val="en-GB"/>
        </w:rPr>
        <w:t xml:space="preserve"> </w:t>
      </w:r>
      <w:r>
        <w:rPr>
          <w:lang w:val="en-GB"/>
        </w:rPr>
        <w:t>T</w:t>
      </w:r>
      <w:r w:rsidRPr="00302FFF">
        <w:rPr>
          <w:lang w:val="en-GB"/>
        </w:rPr>
        <w:t>herefore</w:t>
      </w:r>
      <w:r>
        <w:rPr>
          <w:lang w:val="en-GB"/>
        </w:rPr>
        <w:t>, it</w:t>
      </w:r>
      <w:r w:rsidRPr="00302FFF">
        <w:rPr>
          <w:lang w:val="en-GB"/>
        </w:rPr>
        <w:t xml:space="preserve"> protect</w:t>
      </w:r>
      <w:r>
        <w:rPr>
          <w:lang w:val="en-GB"/>
        </w:rPr>
        <w:t>ed</w:t>
      </w:r>
      <w:r w:rsidRPr="00302FFF">
        <w:rPr>
          <w:lang w:val="en-GB"/>
        </w:rPr>
        <w:t xml:space="preserve"> insurance purchasers</w:t>
      </w:r>
      <w:r>
        <w:rPr>
          <w:lang w:val="en-GB"/>
        </w:rPr>
        <w:t>, such as</w:t>
      </w:r>
      <w:r w:rsidRPr="00302FFF">
        <w:rPr>
          <w:lang w:val="en-GB"/>
        </w:rPr>
        <w:t xml:space="preserve"> business</w:t>
      </w:r>
      <w:r>
        <w:rPr>
          <w:lang w:val="en-GB"/>
        </w:rPr>
        <w:t xml:space="preserve"> client</w:t>
      </w:r>
      <w:r w:rsidRPr="00302FFF">
        <w:rPr>
          <w:lang w:val="en-GB"/>
        </w:rPr>
        <w:t>s</w:t>
      </w:r>
      <w:r>
        <w:rPr>
          <w:lang w:val="en-GB"/>
        </w:rPr>
        <w:t>,</w:t>
      </w:r>
      <w:r w:rsidRPr="00302FFF">
        <w:rPr>
          <w:lang w:val="en-GB"/>
        </w:rPr>
        <w:t xml:space="preserve"> against financial loss.</w:t>
      </w:r>
      <w:r w:rsidRPr="00302FFF">
        <w:rPr>
          <w:rStyle w:val="EndnoteReference"/>
          <w:lang w:val="en-GB"/>
        </w:rPr>
        <w:endnoteReference w:id="4"/>
      </w:r>
      <w:r w:rsidRPr="00302FFF">
        <w:rPr>
          <w:lang w:val="en-GB"/>
        </w:rPr>
        <w:t xml:space="preserve"> Peter Lacovara, </w:t>
      </w:r>
      <w:r>
        <w:rPr>
          <w:lang w:val="en-GB"/>
        </w:rPr>
        <w:t>the a</w:t>
      </w:r>
      <w:r w:rsidRPr="00302FFF">
        <w:rPr>
          <w:lang w:val="en-GB"/>
        </w:rPr>
        <w:t xml:space="preserve">nalytics and </w:t>
      </w:r>
      <w:r>
        <w:rPr>
          <w:lang w:val="en-GB"/>
        </w:rPr>
        <w:t>a</w:t>
      </w:r>
      <w:r w:rsidRPr="00302FFF">
        <w:rPr>
          <w:lang w:val="en-GB"/>
        </w:rPr>
        <w:t xml:space="preserve">lternative </w:t>
      </w:r>
      <w:r>
        <w:rPr>
          <w:lang w:val="en-GB"/>
        </w:rPr>
        <w:t>r</w:t>
      </w:r>
      <w:r w:rsidRPr="00302FFF">
        <w:rPr>
          <w:lang w:val="en-GB"/>
        </w:rPr>
        <w:t xml:space="preserve">isks </w:t>
      </w:r>
      <w:r>
        <w:rPr>
          <w:lang w:val="en-GB"/>
        </w:rPr>
        <w:t>l</w:t>
      </w:r>
      <w:r w:rsidRPr="00302FFF">
        <w:rPr>
          <w:lang w:val="en-GB"/>
        </w:rPr>
        <w:t>eader at Marsh</w:t>
      </w:r>
      <w:r>
        <w:rPr>
          <w:lang w:val="en-GB"/>
        </w:rPr>
        <w:t>,</w:t>
      </w:r>
      <w:r w:rsidRPr="00302FFF">
        <w:rPr>
          <w:lang w:val="en-GB"/>
        </w:rPr>
        <w:t xml:space="preserve"> </w:t>
      </w:r>
      <w:r>
        <w:rPr>
          <w:lang w:val="en-GB"/>
        </w:rPr>
        <w:t>commented</w:t>
      </w:r>
      <w:r w:rsidRPr="00302FFF">
        <w:rPr>
          <w:lang w:val="en-GB"/>
        </w:rPr>
        <w:t xml:space="preserve"> that</w:t>
      </w:r>
      <w:r>
        <w:rPr>
          <w:lang w:val="en-GB"/>
        </w:rPr>
        <w:t>,</w:t>
      </w:r>
      <w:r w:rsidRPr="00302FFF">
        <w:rPr>
          <w:lang w:val="en-GB"/>
        </w:rPr>
        <w:t xml:space="preserve"> since the </w:t>
      </w:r>
      <w:r>
        <w:rPr>
          <w:lang w:val="en-GB"/>
        </w:rPr>
        <w:t>outbreak</w:t>
      </w:r>
      <w:r w:rsidRPr="00302FFF">
        <w:rPr>
          <w:lang w:val="en-GB"/>
        </w:rPr>
        <w:t xml:space="preserve"> of the COVID-19 pandemic, demand for the product </w:t>
      </w:r>
      <w:r>
        <w:rPr>
          <w:lang w:val="en-GB"/>
        </w:rPr>
        <w:t xml:space="preserve">had </w:t>
      </w:r>
      <w:r w:rsidRPr="00302FFF">
        <w:rPr>
          <w:lang w:val="en-GB"/>
        </w:rPr>
        <w:t>boomed</w:t>
      </w:r>
      <w:r w:rsidRPr="00E01C56">
        <w:t>.</w:t>
      </w:r>
      <w:r w:rsidRPr="00E01C56">
        <w:rPr>
          <w:rStyle w:val="EndnoteReference"/>
        </w:rPr>
        <w:endnoteReference w:id="5"/>
      </w:r>
      <w:r w:rsidRPr="00E01C56">
        <w:t xml:space="preserve"> </w:t>
      </w:r>
    </w:p>
    <w:p w14:paraId="0C55442A" w14:textId="77777777" w:rsidR="007B72F2" w:rsidRDefault="007B72F2" w:rsidP="00DD1F03">
      <w:pPr>
        <w:pStyle w:val="BodyTextMain"/>
      </w:pPr>
    </w:p>
    <w:p w14:paraId="17680855" w14:textId="7A04DA5A" w:rsidR="007B72F2" w:rsidRPr="007B72F2" w:rsidRDefault="007B72F2" w:rsidP="00DD1F03">
      <w:pPr>
        <w:pStyle w:val="BodyTextMain"/>
        <w:rPr>
          <w:spacing w:val="-4"/>
        </w:rPr>
      </w:pPr>
      <w:r w:rsidRPr="007B72F2">
        <w:rPr>
          <w:spacing w:val="-4"/>
        </w:rPr>
        <w:t>Pandemic insurance faced two key challenges</w:t>
      </w:r>
      <w:r w:rsidRPr="007B72F2">
        <w:rPr>
          <w:spacing w:val="-4"/>
          <w:lang w:val="en-GB"/>
        </w:rPr>
        <w:t>: unpredictable market growth and a lack of government support. While t</w:t>
      </w:r>
      <w:r w:rsidRPr="007B72F2">
        <w:rPr>
          <w:spacing w:val="-4"/>
        </w:rPr>
        <w:t xml:space="preserve">he growth potential of the market was unclear, </w:t>
      </w:r>
      <w:r w:rsidRPr="007B72F2">
        <w:rPr>
          <w:spacing w:val="-4"/>
          <w:lang w:val="en-GB"/>
        </w:rPr>
        <w:t>studies showed that</w:t>
      </w:r>
      <w:r w:rsidRPr="007B72F2">
        <w:rPr>
          <w:spacing w:val="-4"/>
        </w:rPr>
        <w:t xml:space="preserve"> a statistically significant epidemic occurred every seven years.</w:t>
      </w:r>
      <w:r w:rsidRPr="007B72F2">
        <w:rPr>
          <w:rStyle w:val="EndnoteReference"/>
          <w:spacing w:val="-4"/>
        </w:rPr>
        <w:endnoteReference w:id="6"/>
      </w:r>
      <w:r w:rsidRPr="007B72F2">
        <w:rPr>
          <w:spacing w:val="-4"/>
        </w:rPr>
        <w:t xml:space="preserve"> </w:t>
      </w:r>
      <w:r w:rsidRPr="007B72F2">
        <w:rPr>
          <w:spacing w:val="-4"/>
          <w:lang w:val="en-GB"/>
        </w:rPr>
        <w:t xml:space="preserve">However, </w:t>
      </w:r>
      <w:r w:rsidRPr="007B72F2">
        <w:rPr>
          <w:spacing w:val="-4"/>
        </w:rPr>
        <w:t>industry experts defined pandemic insurance as a nascent market, making it difficult to predict its potential size or opportunity.</w:t>
      </w:r>
      <w:r w:rsidRPr="007B72F2">
        <w:rPr>
          <w:rStyle w:val="EndnoteReference"/>
          <w:spacing w:val="-4"/>
          <w:shd w:val="clear" w:color="auto" w:fill="FEFEFE"/>
        </w:rPr>
        <w:endnoteReference w:id="7"/>
      </w:r>
      <w:r w:rsidRPr="007B72F2">
        <w:rPr>
          <w:spacing w:val="-4"/>
        </w:rPr>
        <w:t xml:space="preserve"> </w:t>
      </w:r>
      <w:r w:rsidRPr="007B72F2">
        <w:rPr>
          <w:spacing w:val="-4"/>
          <w:shd w:val="clear" w:color="auto" w:fill="FFFFFF"/>
          <w:lang w:val="en-GB"/>
        </w:rPr>
        <w:t>Another issue was that</w:t>
      </w:r>
      <w:r w:rsidRPr="007B72F2">
        <w:rPr>
          <w:spacing w:val="-4"/>
          <w:shd w:val="clear" w:color="auto" w:fill="FFFFFF"/>
        </w:rPr>
        <w:t xml:space="preserve"> most insurance companies were reluctant to offer coverage for a pandemic unless they had backing from the federal government.</w:t>
      </w:r>
      <w:r w:rsidRPr="007B72F2">
        <w:rPr>
          <w:rStyle w:val="EndnoteReference"/>
          <w:spacing w:val="-4"/>
          <w:shd w:val="clear" w:color="auto" w:fill="FFFFFF"/>
        </w:rPr>
        <w:endnoteReference w:id="8"/>
      </w:r>
      <w:r w:rsidRPr="007B72F2">
        <w:rPr>
          <w:spacing w:val="-4"/>
          <w:shd w:val="clear" w:color="auto" w:fill="FFFFFF"/>
        </w:rPr>
        <w:t xml:space="preserve"> During the COVID-19 pandemic, John Doyle, Marsh’s</w:t>
      </w:r>
      <w:r w:rsidRPr="007B72F2">
        <w:rPr>
          <w:spacing w:val="-4"/>
          <w:shd w:val="clear" w:color="auto" w:fill="FFFFFF"/>
          <w:lang w:val="en-GB"/>
        </w:rPr>
        <w:t xml:space="preserve"> chief executive officer</w:t>
      </w:r>
      <w:r w:rsidRPr="007B72F2">
        <w:rPr>
          <w:spacing w:val="-4"/>
          <w:shd w:val="clear" w:color="auto" w:fill="FFFFFF"/>
        </w:rPr>
        <w:t xml:space="preserve">, wrote a letter to the United States Congress and the US president </w:t>
      </w:r>
      <w:bookmarkStart w:id="2" w:name="_Hlk56597574"/>
      <w:r w:rsidRPr="007B72F2">
        <w:rPr>
          <w:spacing w:val="-4"/>
          <w:shd w:val="clear" w:color="auto" w:fill="FFFFFF"/>
        </w:rPr>
        <w:t>requesting that</w:t>
      </w:r>
      <w:bookmarkEnd w:id="2"/>
      <w:r w:rsidRPr="007B72F2">
        <w:rPr>
          <w:spacing w:val="-4"/>
          <w:shd w:val="clear" w:color="auto" w:fill="FFFFFF"/>
        </w:rPr>
        <w:t xml:space="preserve"> a state-backed pandemic insurance plan be </w:t>
      </w:r>
      <w:r w:rsidRPr="007B72F2">
        <w:rPr>
          <w:spacing w:val="-4"/>
          <w:shd w:val="clear" w:color="auto" w:fill="FFFFFF"/>
          <w:lang w:val="en-GB"/>
        </w:rPr>
        <w:t>developed</w:t>
      </w:r>
      <w:bookmarkStart w:id="3" w:name="_Hlk56597599"/>
      <w:r w:rsidRPr="007B72F2">
        <w:rPr>
          <w:spacing w:val="-4"/>
          <w:shd w:val="clear" w:color="auto" w:fill="FFFFFF"/>
          <w:lang w:val="en-GB"/>
        </w:rPr>
        <w:t xml:space="preserve"> to help cover extremely high potential claim amounts</w:t>
      </w:r>
      <w:bookmarkEnd w:id="3"/>
      <w:r w:rsidRPr="007B72F2">
        <w:rPr>
          <w:spacing w:val="-4"/>
          <w:shd w:val="clear" w:color="auto" w:fill="FFFFFF"/>
        </w:rPr>
        <w:t>.</w:t>
      </w:r>
      <w:r w:rsidRPr="007B72F2">
        <w:rPr>
          <w:rStyle w:val="EndnoteReference"/>
          <w:spacing w:val="-4"/>
          <w:shd w:val="clear" w:color="auto" w:fill="FFFFFF"/>
        </w:rPr>
        <w:endnoteReference w:id="9"/>
      </w:r>
      <w:r w:rsidRPr="007B72F2">
        <w:rPr>
          <w:spacing w:val="-4"/>
          <w:shd w:val="clear" w:color="auto" w:fill="FFFFFF"/>
        </w:rPr>
        <w:t xml:space="preserve"> </w:t>
      </w:r>
      <w:r w:rsidRPr="007B72F2">
        <w:rPr>
          <w:spacing w:val="-4"/>
          <w:shd w:val="clear" w:color="auto" w:fill="FFFFFF"/>
          <w:lang w:val="en-GB"/>
        </w:rPr>
        <w:t>For example, i</w:t>
      </w:r>
      <w:r w:rsidRPr="007B72F2">
        <w:rPr>
          <w:spacing w:val="-4"/>
          <w:shd w:val="clear" w:color="auto" w:fill="FFFFFF"/>
        </w:rPr>
        <w:t>n May</w:t>
      </w:r>
      <w:r w:rsidRPr="007B72F2">
        <w:rPr>
          <w:spacing w:val="-4"/>
          <w:lang w:val="en-GB"/>
        </w:rPr>
        <w:t xml:space="preserve"> 2020</w:t>
      </w:r>
      <w:r w:rsidRPr="007B72F2">
        <w:rPr>
          <w:spacing w:val="-4"/>
          <w:shd w:val="clear" w:color="auto" w:fill="FFFFFF"/>
        </w:rPr>
        <w:t xml:space="preserve">, industry experts estimated that US small business claims after COVID-19 </w:t>
      </w:r>
      <w:r w:rsidRPr="007B72F2">
        <w:rPr>
          <w:spacing w:val="-4"/>
        </w:rPr>
        <w:t>could range between US$255 billion and $431 billion.</w:t>
      </w:r>
      <w:r w:rsidRPr="007B72F2">
        <w:rPr>
          <w:rStyle w:val="EndnoteReference"/>
          <w:spacing w:val="-4"/>
        </w:rPr>
        <w:endnoteReference w:id="10"/>
      </w:r>
      <w:r w:rsidRPr="007B72F2">
        <w:rPr>
          <w:spacing w:val="-4"/>
        </w:rPr>
        <w:t xml:space="preserve"> </w:t>
      </w:r>
    </w:p>
    <w:p w14:paraId="611B4664" w14:textId="77777777" w:rsidR="007B72F2" w:rsidRDefault="007B72F2" w:rsidP="00DD1F03">
      <w:pPr>
        <w:pStyle w:val="BodyTextMain"/>
      </w:pPr>
    </w:p>
    <w:p w14:paraId="20010325" w14:textId="1CA612C7" w:rsidR="007B72F2" w:rsidRPr="007C1D89" w:rsidRDefault="007B72F2" w:rsidP="00DD1F03">
      <w:pPr>
        <w:pStyle w:val="BodyTextMain"/>
        <w:rPr>
          <w:spacing w:val="-6"/>
          <w:lang w:val="en-GB"/>
        </w:rPr>
      </w:pPr>
      <w:r w:rsidRPr="007C1D89">
        <w:rPr>
          <w:spacing w:val="-6"/>
        </w:rPr>
        <w:t>Doyle was well aware that experts classified pandemics as uninsurable events</w:t>
      </w:r>
      <w:r w:rsidRPr="007C1D89">
        <w:rPr>
          <w:rStyle w:val="EndnoteReference"/>
          <w:spacing w:val="-6"/>
        </w:rPr>
        <w:endnoteReference w:id="11"/>
      </w:r>
      <w:r w:rsidRPr="007C1D89">
        <w:rPr>
          <w:spacing w:val="-6"/>
        </w:rPr>
        <w:t xml:space="preserve"> because, unlike other catastrophes, they did not cause physical damage, making financial and economic loss difficult to model or predict.</w:t>
      </w:r>
      <w:r w:rsidRPr="007C1D89">
        <w:rPr>
          <w:rStyle w:val="EndnoteReference"/>
          <w:spacing w:val="-6"/>
        </w:rPr>
        <w:endnoteReference w:id="12"/>
      </w:r>
      <w:r w:rsidRPr="007C1D89">
        <w:rPr>
          <w:spacing w:val="-6"/>
        </w:rPr>
        <w:t xml:space="preserve"> </w:t>
      </w:r>
      <w:r w:rsidRPr="007C1D89">
        <w:rPr>
          <w:spacing w:val="-6"/>
          <w:shd w:val="clear" w:color="auto" w:fill="FFFFFF"/>
        </w:rPr>
        <w:t>These concerns raised several questions: What challenges would Doyle face in selling pandemic insurance, and how could he resolve them? Was it better to partner with a government or a private reinsurance partner? How could pandemic insurance modelling be improved to better forecast potential premiums and claims?</w:t>
      </w:r>
    </w:p>
    <w:p w14:paraId="61E2734A" w14:textId="032F5614" w:rsidR="007B72F2" w:rsidRPr="00302FFF" w:rsidRDefault="007B72F2" w:rsidP="00DD1F03">
      <w:pPr>
        <w:pStyle w:val="BodyTextMain"/>
        <w:rPr>
          <w:lang w:val="en-GB"/>
        </w:rPr>
      </w:pPr>
    </w:p>
    <w:p w14:paraId="4A05DE62" w14:textId="77777777" w:rsidR="007B72F2" w:rsidRPr="00302FFF" w:rsidRDefault="007B72F2" w:rsidP="00DD1F03">
      <w:pPr>
        <w:pStyle w:val="BodyTextMain"/>
        <w:rPr>
          <w:lang w:val="en-GB"/>
        </w:rPr>
      </w:pPr>
    </w:p>
    <w:p w14:paraId="476DB759" w14:textId="77777777" w:rsidR="007B72F2" w:rsidRPr="00302FFF" w:rsidRDefault="007B72F2" w:rsidP="00DD1F03">
      <w:pPr>
        <w:pStyle w:val="BodyTextMain"/>
        <w:rPr>
          <w:lang w:val="en-GB"/>
        </w:rPr>
      </w:pPr>
      <w:r w:rsidRPr="00302FFF">
        <w:rPr>
          <w:lang w:val="en-GB"/>
        </w:rPr>
        <w:t>BACKGROUND</w:t>
      </w:r>
    </w:p>
    <w:p w14:paraId="571FA686" w14:textId="77777777" w:rsidR="007B72F2" w:rsidRPr="00302FFF" w:rsidRDefault="007B72F2" w:rsidP="00DD1F03">
      <w:pPr>
        <w:pStyle w:val="BodyTextMain"/>
        <w:rPr>
          <w:lang w:val="en-GB"/>
        </w:rPr>
      </w:pPr>
    </w:p>
    <w:p w14:paraId="744450AC" w14:textId="5216FE15" w:rsidR="007B72F2" w:rsidRPr="00302FFF" w:rsidRDefault="007B72F2" w:rsidP="00DD1F03">
      <w:pPr>
        <w:pStyle w:val="BodyTextMain"/>
        <w:rPr>
          <w:b/>
          <w:bCs/>
          <w:spacing w:val="-1"/>
          <w:lang w:val="en-GB"/>
        </w:rPr>
      </w:pPr>
      <w:r w:rsidRPr="00302FFF">
        <w:rPr>
          <w:spacing w:val="-1"/>
          <w:lang w:val="en-GB"/>
        </w:rPr>
        <w:t>Marsh</w:t>
      </w:r>
      <w:r>
        <w:rPr>
          <w:spacing w:val="-1"/>
          <w:lang w:val="en-GB"/>
        </w:rPr>
        <w:t xml:space="preserve"> was</w:t>
      </w:r>
      <w:r w:rsidRPr="00302FFF">
        <w:rPr>
          <w:spacing w:val="-1"/>
          <w:lang w:val="en-GB"/>
        </w:rPr>
        <w:t xml:space="preserve"> a subsidiary of Marsh and McLennan </w:t>
      </w:r>
      <w:r>
        <w:rPr>
          <w:spacing w:val="-1"/>
          <w:lang w:val="en-GB"/>
        </w:rPr>
        <w:t>C</w:t>
      </w:r>
      <w:r w:rsidRPr="00302FFF">
        <w:rPr>
          <w:spacing w:val="-1"/>
          <w:lang w:val="en-GB"/>
        </w:rPr>
        <w:t>ompanies</w:t>
      </w:r>
      <w:r>
        <w:rPr>
          <w:spacing w:val="-1"/>
          <w:lang w:val="en-GB"/>
        </w:rPr>
        <w:t xml:space="preserve"> Inc. and</w:t>
      </w:r>
      <w:r w:rsidRPr="00302FFF">
        <w:rPr>
          <w:spacing w:val="-1"/>
          <w:lang w:val="en-GB"/>
        </w:rPr>
        <w:t xml:space="preserve"> a global leader in insurance brok</w:t>
      </w:r>
      <w:r>
        <w:rPr>
          <w:spacing w:val="-1"/>
          <w:lang w:val="en-GB"/>
        </w:rPr>
        <w:t>erage</w:t>
      </w:r>
      <w:r w:rsidRPr="00302FFF">
        <w:rPr>
          <w:spacing w:val="-1"/>
          <w:lang w:val="en-GB"/>
        </w:rPr>
        <w:t xml:space="preserve"> and risk management.</w:t>
      </w:r>
      <w:r w:rsidRPr="00302FFF">
        <w:rPr>
          <w:rStyle w:val="EndnoteReference"/>
          <w:spacing w:val="-1"/>
          <w:lang w:val="en-GB"/>
        </w:rPr>
        <w:endnoteReference w:id="13"/>
      </w:r>
      <w:r w:rsidRPr="00302FFF">
        <w:rPr>
          <w:spacing w:val="-1"/>
          <w:lang w:val="en-GB"/>
        </w:rPr>
        <w:t xml:space="preserve"> Marsh </w:t>
      </w:r>
      <w:r w:rsidRPr="00302FFF">
        <w:rPr>
          <w:lang w:val="en-GB"/>
        </w:rPr>
        <w:t>enabled its clients to grow by helping them understand and better manage the risks they faced. Its services included risk management, risk consulting, insurance brok</w:t>
      </w:r>
      <w:r>
        <w:rPr>
          <w:lang w:val="en-GB"/>
        </w:rPr>
        <w:t>erage</w:t>
      </w:r>
      <w:r w:rsidRPr="00302FFF">
        <w:rPr>
          <w:lang w:val="en-GB"/>
        </w:rPr>
        <w:t xml:space="preserve">, alternative </w:t>
      </w:r>
      <w:r w:rsidRPr="00302FFF">
        <w:rPr>
          <w:lang w:val="en-GB"/>
        </w:rPr>
        <w:lastRenderedPageBreak/>
        <w:t>risk financing, and insurance program management services.</w:t>
      </w:r>
      <w:r w:rsidRPr="00302FFF">
        <w:rPr>
          <w:rStyle w:val="EndnoteReference"/>
          <w:spacing w:val="-1"/>
          <w:lang w:val="en-GB"/>
        </w:rPr>
        <w:endnoteReference w:id="14"/>
      </w:r>
      <w:r w:rsidRPr="00302FFF">
        <w:rPr>
          <w:lang w:val="en-GB"/>
        </w:rPr>
        <w:t xml:space="preserve"> In early 2020, </w:t>
      </w:r>
      <w:r w:rsidRPr="00302FFF">
        <w:rPr>
          <w:spacing w:val="-1"/>
          <w:lang w:val="en-GB"/>
        </w:rPr>
        <w:t xml:space="preserve">Marsh </w:t>
      </w:r>
      <w:r w:rsidRPr="00302FFF">
        <w:rPr>
          <w:lang w:val="en-GB"/>
        </w:rPr>
        <w:t xml:space="preserve">had over 35,000 employees and </w:t>
      </w:r>
      <w:r>
        <w:rPr>
          <w:lang w:val="en-GB"/>
        </w:rPr>
        <w:t xml:space="preserve">numerous </w:t>
      </w:r>
      <w:r w:rsidRPr="00302FFF">
        <w:rPr>
          <w:lang w:val="en-GB"/>
        </w:rPr>
        <w:t>clients in over 130 countries.</w:t>
      </w:r>
      <w:r w:rsidRPr="00302FFF">
        <w:rPr>
          <w:rStyle w:val="EndnoteReference"/>
          <w:spacing w:val="-1"/>
          <w:lang w:val="en-GB"/>
        </w:rPr>
        <w:endnoteReference w:id="15"/>
      </w:r>
    </w:p>
    <w:p w14:paraId="7BD7C932" w14:textId="77777777" w:rsidR="007B72F2" w:rsidRPr="00302FFF" w:rsidRDefault="007B72F2" w:rsidP="00DD1F03">
      <w:pPr>
        <w:pStyle w:val="BodyTextMain"/>
        <w:rPr>
          <w:rFonts w:ascii="Arial" w:hAnsi="Arial" w:cs="Arial"/>
          <w:spacing w:val="-1"/>
          <w:sz w:val="20"/>
          <w:szCs w:val="20"/>
          <w:lang w:val="en-GB"/>
        </w:rPr>
      </w:pPr>
    </w:p>
    <w:p w14:paraId="35A58590" w14:textId="77777777" w:rsidR="007B72F2" w:rsidRDefault="007B72F2" w:rsidP="00330F81">
      <w:pPr>
        <w:pStyle w:val="Casehead2"/>
        <w:rPr>
          <w:lang w:val="en-GB"/>
        </w:rPr>
      </w:pPr>
    </w:p>
    <w:p w14:paraId="204E86F7" w14:textId="7D4AB242" w:rsidR="007B72F2" w:rsidRPr="00302FFF" w:rsidRDefault="007B72F2" w:rsidP="00330F81">
      <w:pPr>
        <w:pStyle w:val="Casehead2"/>
        <w:rPr>
          <w:lang w:val="en-GB"/>
        </w:rPr>
      </w:pPr>
      <w:r w:rsidRPr="00302FFF">
        <w:rPr>
          <w:lang w:val="en-GB"/>
        </w:rPr>
        <w:t>COVID-19 Pandemic and Losses</w:t>
      </w:r>
    </w:p>
    <w:p w14:paraId="7F9C78AF" w14:textId="77777777" w:rsidR="007B72F2" w:rsidRPr="00DD1F03" w:rsidRDefault="007B72F2" w:rsidP="00DD1F03">
      <w:pPr>
        <w:pStyle w:val="BodyTextMain"/>
        <w:rPr>
          <w:spacing w:val="-2"/>
        </w:rPr>
      </w:pPr>
    </w:p>
    <w:p w14:paraId="30CED24D" w14:textId="1F52EFCF" w:rsidR="007B72F2" w:rsidRPr="00DD1F03" w:rsidRDefault="007B72F2" w:rsidP="00DD1F03">
      <w:pPr>
        <w:pStyle w:val="BodyTextMain"/>
        <w:rPr>
          <w:spacing w:val="-2"/>
        </w:rPr>
      </w:pPr>
      <w:r w:rsidRPr="00DD1F03">
        <w:rPr>
          <w:spacing w:val="-2"/>
        </w:rPr>
        <w:t>In March 2020, the Organization for Economic Co-operation and Development predicted that the COVID-19 pandemic could diminish global gross domestic product growth by 0.5 per cent for the entire year, resulting in trillions of dollars in losses. The International Monetary Fund predicted that the global economy could shrink by 3.0 per cent in 2020, which would be significantly worse than the 0.1 per cent decline during the 2008–09 financial crisis.</w:t>
      </w:r>
      <w:r w:rsidRPr="00DD1F03">
        <w:rPr>
          <w:rStyle w:val="EndnoteReference"/>
          <w:spacing w:val="-2"/>
          <w:vertAlign w:val="baseline"/>
        </w:rPr>
        <w:endnoteReference w:id="16"/>
      </w:r>
      <w:r w:rsidRPr="00DD1F03">
        <w:rPr>
          <w:spacing w:val="-2"/>
        </w:rPr>
        <w:t xml:space="preserve"> A survey conducted in May 2020 by Statista found that approximately one-third of US residents saw a drop in income of 10–25 per cent during April 2020 due to the COVID-19 pandemic (see Exhibit 1). Among US industries, the hospitality and gaming sector was most adversely affected by the COVID-19 pandemic; it experienced the highest number of job losses (see Exhibit 2).</w:t>
      </w:r>
    </w:p>
    <w:p w14:paraId="0966B037" w14:textId="4FE7D030" w:rsidR="007B72F2" w:rsidRPr="00DD1F03" w:rsidRDefault="007B72F2" w:rsidP="00DD1F03">
      <w:pPr>
        <w:pStyle w:val="BodyTextMain"/>
        <w:rPr>
          <w:spacing w:val="-2"/>
        </w:rPr>
      </w:pPr>
    </w:p>
    <w:p w14:paraId="0B2A9D87" w14:textId="77777777" w:rsidR="007B72F2" w:rsidRPr="00DD1F03" w:rsidRDefault="007B72F2" w:rsidP="00DD1F03">
      <w:pPr>
        <w:pStyle w:val="BodyTextMain"/>
        <w:rPr>
          <w:spacing w:val="-2"/>
        </w:rPr>
      </w:pPr>
    </w:p>
    <w:p w14:paraId="34FA6ED0" w14:textId="1E5AD5EA" w:rsidR="007B72F2" w:rsidRPr="00302FFF" w:rsidRDefault="007B72F2" w:rsidP="00330F81">
      <w:pPr>
        <w:pStyle w:val="BodyTextMain"/>
        <w:rPr>
          <w:rFonts w:ascii="Arial" w:hAnsi="Arial" w:cs="Arial"/>
          <w:b/>
          <w:bCs/>
          <w:spacing w:val="-1"/>
          <w:sz w:val="20"/>
          <w:szCs w:val="20"/>
          <w:lang w:val="en-GB"/>
        </w:rPr>
      </w:pPr>
      <w:r w:rsidRPr="00302FFF">
        <w:rPr>
          <w:rFonts w:ascii="Arial" w:hAnsi="Arial" w:cs="Arial"/>
          <w:b/>
          <w:bCs/>
          <w:spacing w:val="-1"/>
          <w:sz w:val="20"/>
          <w:szCs w:val="20"/>
          <w:lang w:val="en-GB"/>
        </w:rPr>
        <w:t xml:space="preserve">Launch of </w:t>
      </w:r>
      <w:proofErr w:type="spellStart"/>
      <w:r w:rsidRPr="00302FFF">
        <w:rPr>
          <w:rFonts w:ascii="Arial" w:hAnsi="Arial" w:cs="Arial"/>
          <w:b/>
          <w:bCs/>
          <w:spacing w:val="-1"/>
          <w:sz w:val="20"/>
          <w:szCs w:val="20"/>
          <w:lang w:val="en-GB"/>
        </w:rPr>
        <w:t>PathogenRX</w:t>
      </w:r>
      <w:proofErr w:type="spellEnd"/>
      <w:r w:rsidRPr="00302FFF">
        <w:rPr>
          <w:rFonts w:ascii="Arial" w:hAnsi="Arial" w:cs="Arial"/>
          <w:b/>
          <w:bCs/>
          <w:spacing w:val="-1"/>
          <w:sz w:val="20"/>
          <w:szCs w:val="20"/>
          <w:lang w:val="en-GB"/>
        </w:rPr>
        <w:t xml:space="preserve"> </w:t>
      </w:r>
      <w:r>
        <w:rPr>
          <w:rFonts w:ascii="Arial" w:hAnsi="Arial" w:cs="Arial"/>
          <w:b/>
          <w:bCs/>
          <w:spacing w:val="-1"/>
          <w:sz w:val="20"/>
          <w:szCs w:val="20"/>
          <w:lang w:val="en-GB"/>
        </w:rPr>
        <w:t>and</w:t>
      </w:r>
      <w:r w:rsidRPr="00302FFF">
        <w:rPr>
          <w:rFonts w:ascii="Arial" w:hAnsi="Arial" w:cs="Arial"/>
          <w:b/>
          <w:bCs/>
          <w:spacing w:val="-1"/>
          <w:sz w:val="20"/>
          <w:szCs w:val="20"/>
          <w:lang w:val="en-GB"/>
        </w:rPr>
        <w:t xml:space="preserve"> Client’s Cognitive Limitations</w:t>
      </w:r>
    </w:p>
    <w:p w14:paraId="4C0D164D" w14:textId="77777777" w:rsidR="007B72F2" w:rsidRPr="00302FFF" w:rsidRDefault="007B72F2" w:rsidP="00330F81">
      <w:pPr>
        <w:pStyle w:val="BodyTextMain"/>
        <w:rPr>
          <w:spacing w:val="-1"/>
          <w:lang w:val="en-GB"/>
        </w:rPr>
      </w:pPr>
    </w:p>
    <w:p w14:paraId="55B447FA" w14:textId="1A304ADC" w:rsidR="007B72F2" w:rsidRDefault="007B72F2" w:rsidP="007B72F2">
      <w:pPr>
        <w:pStyle w:val="BodyTextMain"/>
        <w:rPr>
          <w:spacing w:val="-1"/>
          <w:lang w:val="en-GB"/>
        </w:rPr>
      </w:pPr>
      <w:r w:rsidRPr="007B72F2">
        <w:rPr>
          <w:spacing w:val="-2"/>
          <w:lang w:val="en-GB"/>
        </w:rPr>
        <w:t>Marsh launched the PathogenRX insurance product in 2018. For businesses that had bought PathogenRX insurance before the outbreak of the COVID-19 pandemic, financial losses stemming from business interruption were covered to a large extent.</w:t>
      </w:r>
      <w:r w:rsidRPr="007B72F2">
        <w:rPr>
          <w:rStyle w:val="EndnoteReference"/>
          <w:spacing w:val="-2"/>
          <w:lang w:val="en-GB"/>
        </w:rPr>
        <w:endnoteReference w:id="17"/>
      </w:r>
      <w:r w:rsidRPr="007B72F2">
        <w:rPr>
          <w:spacing w:val="-2"/>
          <w:lang w:val="en-GB"/>
        </w:rPr>
        <w:t xml:space="preserve"> However, the cognitive limitations of many corporate clients, who took the attitude that events like pandemics “will not happen to me,”</w:t>
      </w:r>
      <w:r w:rsidRPr="007B72F2">
        <w:rPr>
          <w:rStyle w:val="EndnoteReference"/>
          <w:spacing w:val="-2"/>
          <w:lang w:val="en-GB"/>
        </w:rPr>
        <w:endnoteReference w:id="18"/>
      </w:r>
      <w:r w:rsidRPr="007B72F2">
        <w:rPr>
          <w:spacing w:val="-2"/>
          <w:lang w:val="en-GB"/>
        </w:rPr>
        <w:t xml:space="preserve"> led them to consider the probability of such events to be low. Therefore, the demand for PathogenRX pandemic insurance was low before the outbreak of the COVID-19 pandemic.</w:t>
      </w:r>
      <w:r w:rsidRPr="007B72F2">
        <w:rPr>
          <w:rStyle w:val="EndnoteReference"/>
          <w:spacing w:val="-2"/>
          <w:lang w:val="en-GB"/>
        </w:rPr>
        <w:endnoteReference w:id="19"/>
      </w:r>
      <w:r w:rsidRPr="007B72F2">
        <w:rPr>
          <w:spacing w:val="-2"/>
          <w:lang w:val="en-GB"/>
        </w:rPr>
        <w:t xml:space="preserve"> Generally, before an unlikely negative event occurred,  people preferred to risk uncertain loss rather than to pay an insurance premium for an unpredictable number of years.</w:t>
      </w:r>
      <w:r w:rsidRPr="007B72F2">
        <w:rPr>
          <w:rStyle w:val="EndnoteReference"/>
          <w:spacing w:val="-2"/>
          <w:lang w:val="en-GB"/>
        </w:rPr>
        <w:endnoteReference w:id="20"/>
      </w:r>
      <w:r w:rsidRPr="007B72F2">
        <w:rPr>
          <w:spacing w:val="-2"/>
          <w:lang w:val="en-GB"/>
        </w:rPr>
        <w:t xml:space="preserve"> Martin South, president of Marsh’s US and Canadian division, spoke about the need for pandemic insurance:</w:t>
      </w:r>
      <w:r>
        <w:rPr>
          <w:spacing w:val="-2"/>
          <w:lang w:val="en-GB"/>
        </w:rPr>
        <w:t xml:space="preserve"> “</w:t>
      </w:r>
      <w:r w:rsidRPr="00302FFF">
        <w:rPr>
          <w:lang w:val="en-GB"/>
        </w:rPr>
        <w:t>Pandemics and epidemics are not your average risk. They may occur over several months, are often not confined to a specific region, and their unpredictability means they can scale, grow, and become quite costly to a range of businesses from hotels and restaurants to schools and airlines.</w:t>
      </w:r>
      <w:r>
        <w:rPr>
          <w:lang w:val="en-GB"/>
        </w:rPr>
        <w:t>”</w:t>
      </w:r>
      <w:r w:rsidRPr="00302FFF">
        <w:rPr>
          <w:rStyle w:val="EndnoteReference"/>
          <w:lang w:val="en-GB"/>
        </w:rPr>
        <w:endnoteReference w:id="21"/>
      </w:r>
      <w:r w:rsidRPr="00302FFF">
        <w:rPr>
          <w:spacing w:val="-1"/>
          <w:lang w:val="en-GB"/>
        </w:rPr>
        <w:t xml:space="preserve"> </w:t>
      </w:r>
    </w:p>
    <w:p w14:paraId="519CE48C" w14:textId="77777777" w:rsidR="007B72F2" w:rsidRDefault="007B72F2" w:rsidP="00330F81">
      <w:pPr>
        <w:pStyle w:val="BodyTextMain"/>
        <w:rPr>
          <w:spacing w:val="-1"/>
          <w:lang w:val="en-GB"/>
        </w:rPr>
      </w:pPr>
    </w:p>
    <w:p w14:paraId="4382D219" w14:textId="24D5975C" w:rsidR="007B72F2" w:rsidRPr="00302FFF" w:rsidRDefault="007B72F2" w:rsidP="002B66EE">
      <w:pPr>
        <w:pStyle w:val="BodyTextMain"/>
        <w:rPr>
          <w:lang w:val="en-GB"/>
        </w:rPr>
      </w:pPr>
      <w:r w:rsidRPr="00302FFF">
        <w:rPr>
          <w:spacing w:val="-1"/>
          <w:lang w:val="en-GB"/>
        </w:rPr>
        <w:t xml:space="preserve">PathogenRX was targeted toward </w:t>
      </w:r>
      <w:r>
        <w:rPr>
          <w:spacing w:val="-1"/>
          <w:lang w:val="en-GB"/>
        </w:rPr>
        <w:t xml:space="preserve">specific </w:t>
      </w:r>
      <w:r w:rsidRPr="00302FFF">
        <w:rPr>
          <w:spacing w:val="-1"/>
          <w:lang w:val="en-GB"/>
        </w:rPr>
        <w:t>industries</w:t>
      </w:r>
      <w:r>
        <w:rPr>
          <w:spacing w:val="-1"/>
          <w:lang w:val="en-GB"/>
        </w:rPr>
        <w:t>, including</w:t>
      </w:r>
      <w:r w:rsidRPr="00302FFF">
        <w:rPr>
          <w:spacing w:val="-1"/>
          <w:lang w:val="en-GB"/>
        </w:rPr>
        <w:t xml:space="preserve"> hospitality and gaming, travel and tourism, </w:t>
      </w:r>
      <w:bookmarkStart w:id="4" w:name="_Hlk45466378"/>
      <w:r w:rsidRPr="00302FFF">
        <w:rPr>
          <w:spacing w:val="-1"/>
          <w:lang w:val="en-GB"/>
        </w:rPr>
        <w:t>aviation, public entities, education, real estate, sports and events, and retail</w:t>
      </w:r>
      <w:r>
        <w:rPr>
          <w:spacing w:val="-1"/>
          <w:lang w:val="en-GB"/>
        </w:rPr>
        <w:t xml:space="preserve"> and </w:t>
      </w:r>
      <w:r w:rsidRPr="00302FFF">
        <w:rPr>
          <w:spacing w:val="-1"/>
          <w:lang w:val="en-GB"/>
        </w:rPr>
        <w:t>wholesale food and beverage</w:t>
      </w:r>
      <w:r>
        <w:rPr>
          <w:spacing w:val="-1"/>
          <w:lang w:val="en-GB"/>
        </w:rPr>
        <w:t>s</w:t>
      </w:r>
      <w:r w:rsidRPr="00302FFF">
        <w:rPr>
          <w:spacing w:val="-1"/>
          <w:lang w:val="en-GB"/>
        </w:rPr>
        <w:t>.</w:t>
      </w:r>
      <w:bookmarkEnd w:id="4"/>
      <w:r w:rsidRPr="00302FFF">
        <w:rPr>
          <w:rStyle w:val="EndnoteReference"/>
          <w:spacing w:val="-1"/>
          <w:lang w:val="en-GB"/>
        </w:rPr>
        <w:endnoteReference w:id="22"/>
      </w:r>
      <w:r w:rsidRPr="00302FFF">
        <w:rPr>
          <w:spacing w:val="-1"/>
          <w:lang w:val="en-GB"/>
        </w:rPr>
        <w:t xml:space="preserve"> </w:t>
      </w:r>
      <w:r w:rsidRPr="00302FFF">
        <w:rPr>
          <w:lang w:val="en-GB"/>
        </w:rPr>
        <w:t xml:space="preserve">By April 2020, when the COVID-19 pandemic was spreading globally, Marsh </w:t>
      </w:r>
      <w:r>
        <w:rPr>
          <w:lang w:val="en-GB"/>
        </w:rPr>
        <w:t xml:space="preserve">had </w:t>
      </w:r>
      <w:r w:rsidRPr="00302FFF">
        <w:rPr>
          <w:lang w:val="en-GB"/>
        </w:rPr>
        <w:t>had no COVID-19-related claims</w:t>
      </w:r>
      <w:r>
        <w:rPr>
          <w:lang w:val="en-GB"/>
        </w:rPr>
        <w:t>—</w:t>
      </w:r>
      <w:r w:rsidRPr="00302FFF">
        <w:rPr>
          <w:lang w:val="en-GB"/>
        </w:rPr>
        <w:t xml:space="preserve">no company </w:t>
      </w:r>
      <w:r>
        <w:rPr>
          <w:lang w:val="en-GB"/>
        </w:rPr>
        <w:t xml:space="preserve">had </w:t>
      </w:r>
      <w:r w:rsidRPr="00302FFF">
        <w:rPr>
          <w:lang w:val="en-GB"/>
        </w:rPr>
        <w:t>bought the policy.</w:t>
      </w:r>
      <w:r w:rsidRPr="00302FFF">
        <w:rPr>
          <w:rStyle w:val="EndnoteReference"/>
          <w:lang w:val="en-GB"/>
        </w:rPr>
        <w:endnoteReference w:id="23"/>
      </w:r>
      <w:r w:rsidRPr="00302FFF">
        <w:rPr>
          <w:lang w:val="en-GB"/>
        </w:rPr>
        <w:t xml:space="preserve"> </w:t>
      </w:r>
      <w:r>
        <w:rPr>
          <w:lang w:val="en-GB"/>
        </w:rPr>
        <w:t>Up to</w:t>
      </w:r>
      <w:r w:rsidRPr="00302FFF">
        <w:rPr>
          <w:lang w:val="en-GB"/>
        </w:rPr>
        <w:t xml:space="preserve"> th</w:t>
      </w:r>
      <w:r>
        <w:rPr>
          <w:lang w:val="en-GB"/>
        </w:rPr>
        <w:t>at</w:t>
      </w:r>
      <w:r w:rsidRPr="00302FFF">
        <w:rPr>
          <w:lang w:val="en-GB"/>
        </w:rPr>
        <w:t xml:space="preserve"> time, Marsh </w:t>
      </w:r>
      <w:r>
        <w:rPr>
          <w:lang w:val="en-GB"/>
        </w:rPr>
        <w:t xml:space="preserve">had been </w:t>
      </w:r>
      <w:r w:rsidRPr="00302FFF">
        <w:rPr>
          <w:lang w:val="en-GB"/>
        </w:rPr>
        <w:t>offering the policy for future pandemic</w:t>
      </w:r>
      <w:r>
        <w:rPr>
          <w:lang w:val="en-GB"/>
        </w:rPr>
        <w:t>s, rather than specifically</w:t>
      </w:r>
      <w:r w:rsidRPr="00302FFF">
        <w:rPr>
          <w:lang w:val="en-GB"/>
        </w:rPr>
        <w:t xml:space="preserve"> for COVID-19</w:t>
      </w:r>
      <w:r>
        <w:rPr>
          <w:lang w:val="en-GB"/>
        </w:rPr>
        <w:t>, as</w:t>
      </w:r>
      <w:r w:rsidRPr="00302FFF">
        <w:rPr>
          <w:lang w:val="en-GB"/>
        </w:rPr>
        <w:t xml:space="preserve"> Lacovara</w:t>
      </w:r>
      <w:r>
        <w:rPr>
          <w:lang w:val="en-GB"/>
        </w:rPr>
        <w:t xml:space="preserve"> explained: </w:t>
      </w:r>
      <w:r>
        <w:t>“</w:t>
      </w:r>
      <w:r w:rsidRPr="00302FFF">
        <w:rPr>
          <w:lang w:val="en-GB"/>
        </w:rPr>
        <w:t>Unfortunately, it’s too late. The coronavirus is excluded from coverage.</w:t>
      </w:r>
      <w:r>
        <w:rPr>
          <w:lang w:val="en-GB"/>
        </w:rPr>
        <w:t xml:space="preserve"> . . . </w:t>
      </w:r>
      <w:r w:rsidRPr="00302FFF">
        <w:rPr>
          <w:lang w:val="en-GB"/>
        </w:rPr>
        <w:t>That would not have been the case as recently as last November. But you can’t buy insurance for your house when it’s already on fire.</w:t>
      </w:r>
      <w:r>
        <w:rPr>
          <w:lang w:val="en-GB"/>
        </w:rPr>
        <w:t>”</w:t>
      </w:r>
      <w:r>
        <w:rPr>
          <w:rStyle w:val="EndnoteReference"/>
          <w:lang w:val="en-GB"/>
        </w:rPr>
        <w:endnoteReference w:id="24"/>
      </w:r>
    </w:p>
    <w:p w14:paraId="219997D9" w14:textId="77777777" w:rsidR="007B72F2" w:rsidRPr="00302FFF" w:rsidRDefault="007B72F2" w:rsidP="00330F81">
      <w:pPr>
        <w:pStyle w:val="BodyTextMain"/>
        <w:rPr>
          <w:lang w:val="en-GB"/>
        </w:rPr>
      </w:pPr>
    </w:p>
    <w:p w14:paraId="59CE6A27" w14:textId="77777777" w:rsidR="007B72F2" w:rsidRDefault="007B72F2" w:rsidP="00330F81">
      <w:pPr>
        <w:pStyle w:val="BodyTextMain"/>
        <w:rPr>
          <w:lang w:val="en-GB"/>
        </w:rPr>
      </w:pPr>
    </w:p>
    <w:p w14:paraId="1331D152" w14:textId="731DD056" w:rsidR="007B72F2" w:rsidRPr="00302FFF" w:rsidRDefault="007B72F2" w:rsidP="00A15306">
      <w:pPr>
        <w:pStyle w:val="Casehead1"/>
        <w:rPr>
          <w:lang w:val="en-GB"/>
        </w:rPr>
      </w:pPr>
      <w:r w:rsidRPr="00302FFF">
        <w:rPr>
          <w:lang w:val="en-GB"/>
        </w:rPr>
        <w:t>PATHOGENRX: THE PRODUCT</w:t>
      </w:r>
    </w:p>
    <w:p w14:paraId="2B5C1E22" w14:textId="77777777" w:rsidR="007B72F2" w:rsidRDefault="007B72F2" w:rsidP="00330F81">
      <w:pPr>
        <w:pStyle w:val="BodyTextMain"/>
        <w:rPr>
          <w:lang w:val="en-GB"/>
        </w:rPr>
      </w:pPr>
    </w:p>
    <w:p w14:paraId="7937FB92" w14:textId="522111A8" w:rsidR="007B72F2" w:rsidRPr="00A312F2" w:rsidRDefault="007B72F2" w:rsidP="00330F81">
      <w:pPr>
        <w:pStyle w:val="BodyTextMain"/>
        <w:rPr>
          <w:lang w:val="en-GB"/>
        </w:rPr>
      </w:pPr>
      <w:r w:rsidRPr="00A312F2">
        <w:rPr>
          <w:lang w:val="en-GB"/>
        </w:rPr>
        <w:t xml:space="preserve">PathogenRX was a 2018 </w:t>
      </w:r>
      <w:r w:rsidRPr="00A312F2">
        <w:rPr>
          <w:rStyle w:val="Emphasis"/>
          <w:lang w:val="en-GB"/>
        </w:rPr>
        <w:t xml:space="preserve">Business </w:t>
      </w:r>
      <w:r w:rsidRPr="00A312F2">
        <w:rPr>
          <w:lang w:val="en-GB"/>
        </w:rPr>
        <w:t xml:space="preserve"> </w:t>
      </w:r>
      <w:r w:rsidRPr="00A312F2">
        <w:rPr>
          <w:rStyle w:val="Emphasis"/>
          <w:lang w:val="en-GB"/>
        </w:rPr>
        <w:t>Insurance</w:t>
      </w:r>
      <w:r w:rsidRPr="00A312F2">
        <w:rPr>
          <w:lang w:val="en-GB"/>
        </w:rPr>
        <w:t xml:space="preserve"> Innovation Award winner.</w:t>
      </w:r>
      <w:r w:rsidRPr="00A312F2">
        <w:rPr>
          <w:rStyle w:val="EndnoteReference"/>
        </w:rPr>
        <w:endnoteReference w:id="25"/>
      </w:r>
      <w:r w:rsidRPr="00A312F2">
        <w:rPr>
          <w:lang w:val="en-GB"/>
        </w:rPr>
        <w:t xml:space="preserve"> The product</w:t>
      </w:r>
      <w:r w:rsidRPr="007B72F2">
        <w:rPr>
          <w:shd w:val="clear" w:color="auto" w:fill="FEFEFE"/>
          <w:lang w:val="en-GB"/>
        </w:rPr>
        <w:t xml:space="preserve"> was based on Metabiota’s Pathogen Sentiment Index (PSI), an analytics-based solution for predicting adverse impacts of infectious disease outbreaks.</w:t>
      </w:r>
      <w:r w:rsidRPr="007B72F2">
        <w:rPr>
          <w:rStyle w:val="EndnoteReference"/>
          <w:shd w:val="clear" w:color="auto" w:fill="FEFEFE"/>
          <w:lang w:val="en-GB"/>
        </w:rPr>
        <w:endnoteReference w:id="26"/>
      </w:r>
      <w:r w:rsidRPr="007B72F2">
        <w:rPr>
          <w:shd w:val="clear" w:color="auto" w:fill="FEFEFE"/>
          <w:lang w:val="en-GB"/>
        </w:rPr>
        <w:t xml:space="preserve"> The </w:t>
      </w:r>
      <w:r w:rsidRPr="00A312F2">
        <w:rPr>
          <w:lang w:val="en-GB"/>
        </w:rPr>
        <w:t>PSI was designed to be flexible and extensible, as it could be rapidly updated to incorporate new and emerging pathogens to estimate the fear of emerging outbreaks and infectious disease events.</w:t>
      </w:r>
      <w:r w:rsidRPr="00A312F2">
        <w:rPr>
          <w:rStyle w:val="EndnoteReference"/>
          <w:lang w:val="en-GB"/>
        </w:rPr>
        <w:endnoteReference w:id="27"/>
      </w:r>
      <w:r w:rsidRPr="00A312F2">
        <w:rPr>
          <w:lang w:val="en-GB"/>
        </w:rPr>
        <w:t xml:space="preserve"> The PSI was regularly updated to capture developments influencing public fear, such as the development of a new vaccine, the discovery of a new disease symptom, or the link of a virus to other issues, such as the link between the Zika virus</w:t>
      </w:r>
      <w:r w:rsidRPr="00CE640A">
        <w:rPr>
          <w:lang w:val="en-GB"/>
        </w:rPr>
        <w:t xml:space="preserve"> and birth defects</w:t>
      </w:r>
      <w:r w:rsidRPr="000627F3">
        <w:rPr>
          <w:lang w:val="en-GB"/>
        </w:rPr>
        <w:t xml:space="preserve"> (see Exhibit 3</w:t>
      </w:r>
      <w:r w:rsidRPr="00146B04">
        <w:rPr>
          <w:lang w:val="en-GB"/>
        </w:rPr>
        <w:t>).</w:t>
      </w:r>
      <w:r w:rsidRPr="00A312F2">
        <w:rPr>
          <w:rStyle w:val="EndnoteReference"/>
          <w:lang w:val="en-GB"/>
        </w:rPr>
        <w:endnoteReference w:id="28"/>
      </w:r>
      <w:r w:rsidRPr="00A312F2">
        <w:rPr>
          <w:lang w:val="en-GB"/>
        </w:rPr>
        <w:t xml:space="preserve"> </w:t>
      </w:r>
      <w:bookmarkStart w:id="5" w:name="_Hlk45191292"/>
    </w:p>
    <w:p w14:paraId="73BB067F" w14:textId="77777777" w:rsidR="007B72F2" w:rsidRPr="00302FFF" w:rsidRDefault="007B72F2" w:rsidP="00330F81">
      <w:pPr>
        <w:pStyle w:val="BodyTextMain"/>
        <w:rPr>
          <w:lang w:val="en-GB"/>
        </w:rPr>
      </w:pPr>
    </w:p>
    <w:p w14:paraId="68F53D15" w14:textId="2B815AC6" w:rsidR="007B72F2" w:rsidRPr="00CE640A" w:rsidRDefault="007B72F2" w:rsidP="00330F81">
      <w:pPr>
        <w:pStyle w:val="BodyTextMain"/>
        <w:rPr>
          <w:lang w:val="en-GB"/>
        </w:rPr>
      </w:pPr>
      <w:r w:rsidRPr="00CE640A">
        <w:rPr>
          <w:lang w:val="en-GB"/>
        </w:rPr>
        <w:lastRenderedPageBreak/>
        <w:t>Metabiota collected and structured data from a wide variety of reporting sources. For example, data on the COVID-19 pandemic was collected from 37 countries and 39 public data sources. These sources ranged from the Hong Kong Centre for Health Protection to the World Health Organization (WHO).</w:t>
      </w:r>
      <w:r w:rsidRPr="007B72F2">
        <w:rPr>
          <w:rStyle w:val="EndnoteReference"/>
          <w:lang w:val="en-GB"/>
        </w:rPr>
        <w:endnoteReference w:id="29"/>
      </w:r>
      <w:r w:rsidRPr="00CE640A">
        <w:rPr>
          <w:lang w:val="en-GB"/>
        </w:rPr>
        <w:t xml:space="preserve"> In February 2020, based on its analysis, M</w:t>
      </w:r>
      <w:r w:rsidRPr="007B53BE">
        <w:rPr>
          <w:lang w:val="en-GB"/>
        </w:rPr>
        <w:t>etabiota predicted that by March 2020, the median number of COVID-19 cases across the globe would be 127,000.</w:t>
      </w:r>
      <w:r w:rsidRPr="00CE640A">
        <w:rPr>
          <w:rStyle w:val="EndnoteReference"/>
          <w:lang w:val="en-GB"/>
        </w:rPr>
        <w:endnoteReference w:id="30"/>
      </w:r>
      <w:r w:rsidRPr="00CE640A">
        <w:rPr>
          <w:lang w:val="en-GB"/>
        </w:rPr>
        <w:t xml:space="preserve"> Metabiota’s main model parameters included the basic reproductive number (</w:t>
      </w:r>
      <w:r w:rsidRPr="007B53BE">
        <w:rPr>
          <w:lang w:val="en-GB"/>
        </w:rPr>
        <w:t>i.e., the number of secondary infections resulting from each case), incubation period,</w:t>
      </w:r>
      <w:r w:rsidRPr="00CE640A">
        <w:rPr>
          <w:lang w:val="en-GB"/>
        </w:rPr>
        <w:t xml:space="preserve"> infectious period, travel reduction time, and transmissibility reduction time.</w:t>
      </w:r>
      <w:r w:rsidRPr="00CE640A">
        <w:rPr>
          <w:rStyle w:val="EndnoteReference"/>
          <w:lang w:val="en-GB"/>
        </w:rPr>
        <w:endnoteReference w:id="31"/>
      </w:r>
      <w:r w:rsidRPr="00CE640A">
        <w:rPr>
          <w:lang w:val="en-GB"/>
        </w:rPr>
        <w:t xml:space="preserve"> It was expected that Metabiota’s sentiment index would be useful specifically </w:t>
      </w:r>
      <w:r w:rsidRPr="007B53BE">
        <w:rPr>
          <w:lang w:val="en-GB"/>
        </w:rPr>
        <w:t xml:space="preserve">for calculating the estimated damage to the travel and tourism industry </w:t>
      </w:r>
      <w:r w:rsidRPr="00CE640A">
        <w:rPr>
          <w:lang w:val="en-GB"/>
        </w:rPr>
        <w:t>resulting from the COVID-19 pandemic.</w:t>
      </w:r>
      <w:r w:rsidRPr="00CE640A">
        <w:rPr>
          <w:rStyle w:val="EndnoteReference"/>
          <w:lang w:val="en-GB"/>
        </w:rPr>
        <w:endnoteReference w:id="32"/>
      </w:r>
      <w:r w:rsidRPr="00CE640A">
        <w:rPr>
          <w:lang w:val="en-GB"/>
        </w:rPr>
        <w:t xml:space="preserve"> However, by the end of March 2020, WHO had reported over 500,000 total cases.</w:t>
      </w:r>
      <w:r w:rsidRPr="007B72F2">
        <w:rPr>
          <w:rStyle w:val="EndnoteReference"/>
          <w:lang w:val="en-GB"/>
        </w:rPr>
        <w:endnoteReference w:id="33"/>
      </w:r>
      <w:r w:rsidRPr="00CE640A">
        <w:rPr>
          <w:lang w:val="en-GB"/>
        </w:rPr>
        <w:t xml:space="preserve"> </w:t>
      </w:r>
    </w:p>
    <w:p w14:paraId="23352DB7" w14:textId="77777777" w:rsidR="007B72F2" w:rsidRPr="00146B04" w:rsidRDefault="007B72F2" w:rsidP="00330F81">
      <w:pPr>
        <w:pStyle w:val="BodyTextMain"/>
        <w:rPr>
          <w:lang w:val="en-GB"/>
        </w:rPr>
      </w:pPr>
    </w:p>
    <w:p w14:paraId="58D4C93A" w14:textId="2E8A5380" w:rsidR="007B72F2" w:rsidRPr="00CE640A" w:rsidRDefault="007B72F2" w:rsidP="00330F81">
      <w:pPr>
        <w:pStyle w:val="BodyTextMain"/>
        <w:rPr>
          <w:lang w:val="en-GB"/>
        </w:rPr>
      </w:pPr>
      <w:r w:rsidRPr="007B72F2">
        <w:rPr>
          <w:shd w:val="clear" w:color="auto" w:fill="FEFEFE"/>
          <w:lang w:val="en-GB"/>
        </w:rPr>
        <w:t xml:space="preserve">The </w:t>
      </w:r>
      <w:r w:rsidRPr="00CE640A">
        <w:rPr>
          <w:lang w:val="en-GB"/>
        </w:rPr>
        <w:t xml:space="preserve">PathogenRX insurance </w:t>
      </w:r>
      <w:r w:rsidRPr="007B72F2">
        <w:rPr>
          <w:shd w:val="clear" w:color="auto" w:fill="FEFEFE"/>
          <w:lang w:val="en-GB"/>
        </w:rPr>
        <w:t>policy, underwritten by Munich Re Group,</w:t>
      </w:r>
      <w:r w:rsidRPr="007B72F2">
        <w:rPr>
          <w:rStyle w:val="EndnoteReference"/>
          <w:shd w:val="clear" w:color="auto" w:fill="FFFFFF"/>
          <w:lang w:val="en-GB"/>
        </w:rPr>
        <w:endnoteReference w:id="34"/>
      </w:r>
      <w:r w:rsidRPr="00CE640A">
        <w:rPr>
          <w:lang w:val="en-GB"/>
        </w:rPr>
        <w:t xml:space="preserve"> was custom-written</w:t>
      </w:r>
      <w:r w:rsidRPr="000627F3">
        <w:rPr>
          <w:lang w:val="en-GB"/>
        </w:rPr>
        <w:t xml:space="preserve"> specifically for this purpose based</w:t>
      </w:r>
      <w:r w:rsidRPr="007B53BE">
        <w:rPr>
          <w:lang w:val="en-GB"/>
        </w:rPr>
        <w:t xml:space="preserve"> on a parametric trigger of the number of deaths.</w:t>
      </w:r>
      <w:r w:rsidRPr="00CE640A">
        <w:rPr>
          <w:rStyle w:val="EndnoteReference"/>
          <w:lang w:val="en-GB"/>
        </w:rPr>
        <w:endnoteReference w:id="35"/>
      </w:r>
      <w:r w:rsidRPr="00CE640A">
        <w:rPr>
          <w:lang w:val="en-GB"/>
        </w:rPr>
        <w:t xml:space="preserve"> To provide indemnity protection, it used parameters such as the mortality or type of infections in a given area and the portions of the calendar year</w:t>
      </w:r>
      <w:r w:rsidRPr="000627F3">
        <w:rPr>
          <w:lang w:val="en-GB"/>
        </w:rPr>
        <w:t xml:space="preserve">, and it was based on </w:t>
      </w:r>
      <w:r w:rsidRPr="007B72F2">
        <w:rPr>
          <w:shd w:val="clear" w:color="auto" w:fill="FEFEFE"/>
          <w:lang w:val="en-GB"/>
        </w:rPr>
        <w:t>Metabiota’s</w:t>
      </w:r>
      <w:r w:rsidRPr="00CE640A">
        <w:rPr>
          <w:lang w:val="en-GB"/>
        </w:rPr>
        <w:t xml:space="preserve"> infectious disease database.</w:t>
      </w:r>
      <w:r w:rsidRPr="00CE640A">
        <w:rPr>
          <w:rStyle w:val="EndnoteReference"/>
          <w:lang w:val="en-GB"/>
        </w:rPr>
        <w:endnoteReference w:id="36"/>
      </w:r>
      <w:r w:rsidRPr="00CE640A">
        <w:rPr>
          <w:lang w:val="en-GB"/>
        </w:rPr>
        <w:t xml:space="preserve"> Commenting on insurance policies, Jen Bruursema, </w:t>
      </w:r>
      <w:r w:rsidRPr="007B53BE">
        <w:rPr>
          <w:lang w:val="en-GB"/>
        </w:rPr>
        <w:t xml:space="preserve">the vice-president of marketing and </w:t>
      </w:r>
      <w:r w:rsidRPr="00CE640A">
        <w:rPr>
          <w:lang w:val="en-GB"/>
        </w:rPr>
        <w:t>sales at Metabiota, stated, “In the non-property damage (business interruption) world, pandemics have traditionally fallen out of the scope of what can be identified and measured for a policy.”</w:t>
      </w:r>
      <w:r w:rsidRPr="00CE640A">
        <w:rPr>
          <w:rStyle w:val="EndnoteReference"/>
          <w:lang w:val="en-GB"/>
        </w:rPr>
        <w:endnoteReference w:id="37"/>
      </w:r>
      <w:r w:rsidRPr="00CE640A">
        <w:rPr>
          <w:lang w:val="en-GB"/>
        </w:rPr>
        <w:t xml:space="preserve"> Bruursema also commented on the difficulty of pandemic insurance</w:t>
      </w:r>
      <w:r w:rsidRPr="000627F3">
        <w:rPr>
          <w:lang w:val="en-GB"/>
        </w:rPr>
        <w:t>: “That’s because pandemics are very difficult to predict in terms of where they’re going to emerge and how long they’re going to last.”</w:t>
      </w:r>
      <w:r w:rsidRPr="00CE640A">
        <w:rPr>
          <w:rStyle w:val="EndnoteReference"/>
          <w:lang w:val="en-GB"/>
        </w:rPr>
        <w:endnoteReference w:id="38"/>
      </w:r>
    </w:p>
    <w:p w14:paraId="7576B279" w14:textId="77777777" w:rsidR="007B72F2" w:rsidRDefault="007B72F2" w:rsidP="00330F81">
      <w:pPr>
        <w:pStyle w:val="BodyTextMain"/>
        <w:rPr>
          <w:lang w:val="en-GB"/>
        </w:rPr>
      </w:pPr>
    </w:p>
    <w:p w14:paraId="4A278C36" w14:textId="473F14A4" w:rsidR="007B72F2" w:rsidRPr="00302FFF" w:rsidRDefault="007B72F2" w:rsidP="00330F81">
      <w:pPr>
        <w:pStyle w:val="BodyTextMain"/>
        <w:rPr>
          <w:lang w:val="en-GB"/>
        </w:rPr>
      </w:pPr>
      <w:r w:rsidRPr="00302FFF">
        <w:rPr>
          <w:lang w:val="en-GB"/>
        </w:rPr>
        <w:t xml:space="preserve">Christian Ryan, </w:t>
      </w:r>
      <w:r>
        <w:rPr>
          <w:lang w:val="en-GB"/>
        </w:rPr>
        <w:t>the m</w:t>
      </w:r>
      <w:r w:rsidRPr="00302FFF">
        <w:rPr>
          <w:lang w:val="en-GB"/>
        </w:rPr>
        <w:t xml:space="preserve">anaging </w:t>
      </w:r>
      <w:r>
        <w:rPr>
          <w:lang w:val="en-GB"/>
        </w:rPr>
        <w:t>d</w:t>
      </w:r>
      <w:r w:rsidRPr="00302FFF">
        <w:rPr>
          <w:lang w:val="en-GB"/>
        </w:rPr>
        <w:t xml:space="preserve">irector of Marsh, </w:t>
      </w:r>
      <w:r>
        <w:rPr>
          <w:lang w:val="en-GB"/>
        </w:rPr>
        <w:t>spoke about</w:t>
      </w:r>
      <w:r w:rsidRPr="00302FFF">
        <w:rPr>
          <w:lang w:val="en-GB"/>
        </w:rPr>
        <w:t xml:space="preserve"> using the PSI to resolve th</w:t>
      </w:r>
      <w:r>
        <w:rPr>
          <w:lang w:val="en-GB"/>
        </w:rPr>
        <w:t>e difficulty of pandemic insurance:</w:t>
      </w:r>
      <w:r w:rsidRPr="00302FFF">
        <w:rPr>
          <w:lang w:val="en-GB"/>
        </w:rPr>
        <w:t xml:space="preserve"> “The Sentiment Index is very, very unique; that score can be impacted”</w:t>
      </w:r>
      <w:r>
        <w:rPr>
          <w:lang w:val="en-GB"/>
        </w:rPr>
        <w:t xml:space="preserve"> </w:t>
      </w:r>
      <w:r w:rsidRPr="00302FFF">
        <w:rPr>
          <w:lang w:val="en-GB"/>
        </w:rPr>
        <w:t xml:space="preserve">based on the profile of </w:t>
      </w:r>
      <w:r>
        <w:rPr>
          <w:lang w:val="en-GB"/>
        </w:rPr>
        <w:t xml:space="preserve">a </w:t>
      </w:r>
      <w:r w:rsidRPr="00302FFF">
        <w:rPr>
          <w:lang w:val="en-GB"/>
        </w:rPr>
        <w:t>pathogen</w:t>
      </w:r>
      <w:r>
        <w:rPr>
          <w:lang w:val="en-GB"/>
        </w:rPr>
        <w:t>, and</w:t>
      </w:r>
      <w:r w:rsidRPr="00302FFF">
        <w:rPr>
          <w:lang w:val="en-GB"/>
        </w:rPr>
        <w:t xml:space="preserve"> added, “Clients can see the index, and if something happens anywhere around the world, the index is adjusted. It’s very, very simple.”</w:t>
      </w:r>
      <w:r w:rsidRPr="00302FFF">
        <w:rPr>
          <w:rStyle w:val="EndnoteReference"/>
          <w:lang w:val="en-GB"/>
        </w:rPr>
        <w:endnoteReference w:id="39"/>
      </w:r>
      <w:r w:rsidRPr="00302FFF">
        <w:rPr>
          <w:lang w:val="en-GB"/>
        </w:rPr>
        <w:t xml:space="preserve"> Commenting on pathogen profiles and their association with PSI, Bruursema explained that different pathogens had different profiles, which impacted how the public perceived the infectiousness of diseases. He said, “Each pathogen gets its own unique scores based on how frightening those symptoms might be. If this threshold or score is reached, the likelihood is consumers aren’t likely to go to various events or proceed with travel.”</w:t>
      </w:r>
      <w:r w:rsidRPr="00302FFF">
        <w:rPr>
          <w:rStyle w:val="EndnoteReference"/>
          <w:lang w:val="en-GB"/>
        </w:rPr>
        <w:endnoteReference w:id="40"/>
      </w:r>
      <w:bookmarkEnd w:id="5"/>
      <w:r w:rsidRPr="00302FFF">
        <w:rPr>
          <w:lang w:val="en-GB"/>
        </w:rPr>
        <w:t xml:space="preserve"> </w:t>
      </w:r>
    </w:p>
    <w:p w14:paraId="6A3ADF70" w14:textId="77777777" w:rsidR="007B72F2" w:rsidRPr="00302FFF" w:rsidRDefault="007B72F2" w:rsidP="00330F81">
      <w:pPr>
        <w:pStyle w:val="BodyTextMain"/>
        <w:rPr>
          <w:lang w:val="en-GB"/>
        </w:rPr>
      </w:pPr>
    </w:p>
    <w:p w14:paraId="2C7F3562" w14:textId="7C5E6373" w:rsidR="007B72F2" w:rsidRDefault="007B72F2" w:rsidP="00330F81">
      <w:pPr>
        <w:pStyle w:val="BodyTextMain"/>
        <w:rPr>
          <w:shd w:val="clear" w:color="auto" w:fill="FFFFFF"/>
          <w:lang w:val="en-GB"/>
        </w:rPr>
      </w:pPr>
      <w:r w:rsidRPr="00302FFF">
        <w:rPr>
          <w:shd w:val="clear" w:color="auto" w:fill="FFFFFF"/>
          <w:lang w:val="en-GB"/>
        </w:rPr>
        <w:t>Experts believed that estimating the human response to pandemics was challenging and told an incomplete story.</w:t>
      </w:r>
      <w:r w:rsidRPr="00302FFF">
        <w:rPr>
          <w:rStyle w:val="EndnoteReference"/>
          <w:shd w:val="clear" w:color="auto" w:fill="FFFFFF"/>
          <w:lang w:val="en-GB"/>
        </w:rPr>
        <w:endnoteReference w:id="41"/>
      </w:r>
      <w:r w:rsidRPr="00302FFF">
        <w:rPr>
          <w:shd w:val="clear" w:color="auto" w:fill="FFFFFF"/>
          <w:lang w:val="en-GB"/>
        </w:rPr>
        <w:t xml:space="preserve"> For e</w:t>
      </w:r>
      <w:r>
        <w:rPr>
          <w:shd w:val="clear" w:color="auto" w:fill="FFFFFF"/>
          <w:lang w:val="en-GB"/>
        </w:rPr>
        <w:t>xample</w:t>
      </w:r>
      <w:r w:rsidRPr="00302FFF">
        <w:rPr>
          <w:shd w:val="clear" w:color="auto" w:fill="FFFFFF"/>
          <w:lang w:val="en-GB"/>
        </w:rPr>
        <w:t>, local and regional conditions could also affect how a pandemic influence</w:t>
      </w:r>
      <w:r>
        <w:rPr>
          <w:shd w:val="clear" w:color="auto" w:fill="FFFFFF"/>
          <w:lang w:val="en-GB"/>
        </w:rPr>
        <w:t>d</w:t>
      </w:r>
      <w:r w:rsidRPr="00302FFF">
        <w:rPr>
          <w:shd w:val="clear" w:color="auto" w:fill="FFFFFF"/>
          <w:lang w:val="en-GB"/>
        </w:rPr>
        <w:t xml:space="preserve"> economic loss. W</w:t>
      </w:r>
      <w:r>
        <w:rPr>
          <w:shd w:val="clear" w:color="auto" w:fill="FFFFFF"/>
          <w:lang w:val="en-GB"/>
        </w:rPr>
        <w:t>it</w:t>
      </w:r>
      <w:r w:rsidRPr="00302FFF">
        <w:rPr>
          <w:shd w:val="clear" w:color="auto" w:fill="FFFFFF"/>
          <w:lang w:val="en-GB"/>
        </w:rPr>
        <w:t>h</w:t>
      </w:r>
      <w:r>
        <w:rPr>
          <w:shd w:val="clear" w:color="auto" w:fill="FFFFFF"/>
          <w:lang w:val="en-GB"/>
        </w:rPr>
        <w:t xml:space="preserve"> a high</w:t>
      </w:r>
      <w:r w:rsidRPr="00302FFF">
        <w:rPr>
          <w:shd w:val="clear" w:color="auto" w:fill="FFFFFF"/>
          <w:lang w:val="en-GB"/>
        </w:rPr>
        <w:t xml:space="preserve"> level of co</w:t>
      </w:r>
      <w:r>
        <w:rPr>
          <w:shd w:val="clear" w:color="auto" w:fill="FFFFFF"/>
          <w:lang w:val="en-GB"/>
        </w:rPr>
        <w:t>-</w:t>
      </w:r>
      <w:r w:rsidRPr="00302FFF">
        <w:rPr>
          <w:shd w:val="clear" w:color="auto" w:fill="FFFFFF"/>
          <w:lang w:val="en-GB"/>
        </w:rPr>
        <w:t>operation between international public health workers and government officials, the economic consequences c</w:t>
      </w:r>
      <w:r>
        <w:rPr>
          <w:shd w:val="clear" w:color="auto" w:fill="FFFFFF"/>
          <w:lang w:val="en-GB"/>
        </w:rPr>
        <w:t>ould</w:t>
      </w:r>
      <w:r w:rsidRPr="00302FFF">
        <w:rPr>
          <w:shd w:val="clear" w:color="auto" w:fill="FFFFFF"/>
          <w:lang w:val="en-GB"/>
        </w:rPr>
        <w:t xml:space="preserve"> be l</w:t>
      </w:r>
      <w:r>
        <w:rPr>
          <w:shd w:val="clear" w:color="auto" w:fill="FFFFFF"/>
          <w:lang w:val="en-GB"/>
        </w:rPr>
        <w:t>ower</w:t>
      </w:r>
      <w:r w:rsidRPr="00302FFF">
        <w:rPr>
          <w:shd w:val="clear" w:color="auto" w:fill="FFFFFF"/>
          <w:lang w:val="en-GB"/>
        </w:rPr>
        <w:t>ed. Overall, although social factors were critical, incorporating only social factors was insufficient to characterize any risk assessment.</w:t>
      </w:r>
      <w:r w:rsidRPr="00302FFF">
        <w:rPr>
          <w:rStyle w:val="EndnoteReference"/>
          <w:shd w:val="clear" w:color="auto" w:fill="FFFFFF"/>
          <w:lang w:val="en-GB"/>
        </w:rPr>
        <w:endnoteReference w:id="42"/>
      </w:r>
      <w:r w:rsidRPr="00302FFF">
        <w:rPr>
          <w:lang w:val="en-GB"/>
        </w:rPr>
        <w:t xml:space="preserve"> </w:t>
      </w:r>
      <w:r w:rsidRPr="00302FFF">
        <w:rPr>
          <w:shd w:val="clear" w:color="auto" w:fill="FFFFFF"/>
          <w:lang w:val="en-GB"/>
        </w:rPr>
        <w:t xml:space="preserve">The stage at which a disease </w:t>
      </w:r>
      <w:r>
        <w:rPr>
          <w:shd w:val="clear" w:color="auto" w:fill="FFFFFF"/>
          <w:lang w:val="en-GB"/>
        </w:rPr>
        <w:t>wa</w:t>
      </w:r>
      <w:r w:rsidRPr="00302FFF">
        <w:rPr>
          <w:shd w:val="clear" w:color="auto" w:fill="FFFFFF"/>
          <w:lang w:val="en-GB"/>
        </w:rPr>
        <w:t xml:space="preserve">s discovered could also influence the intensity of a pandemic. </w:t>
      </w:r>
    </w:p>
    <w:p w14:paraId="6D28DD3B" w14:textId="77777777" w:rsidR="007B72F2" w:rsidRDefault="007B72F2" w:rsidP="00330F81">
      <w:pPr>
        <w:pStyle w:val="BodyTextMain"/>
        <w:rPr>
          <w:shd w:val="clear" w:color="auto" w:fill="FFFFFF"/>
          <w:lang w:val="en-GB"/>
        </w:rPr>
      </w:pPr>
    </w:p>
    <w:p w14:paraId="6F9AB423" w14:textId="02D061FB" w:rsidR="007B72F2" w:rsidRPr="00302FFF" w:rsidRDefault="007B72F2" w:rsidP="00330F81">
      <w:pPr>
        <w:pStyle w:val="BodyTextMain"/>
        <w:rPr>
          <w:lang w:val="en-GB"/>
        </w:rPr>
      </w:pPr>
      <w:r w:rsidRPr="00302FFF">
        <w:rPr>
          <w:shd w:val="clear" w:color="auto" w:fill="FFFFFF"/>
          <w:lang w:val="en-GB"/>
        </w:rPr>
        <w:t xml:space="preserve">In 2014, when the Ebola virus was first detected in Africa, </w:t>
      </w:r>
      <w:r>
        <w:rPr>
          <w:shd w:val="clear" w:color="auto" w:fill="FFFFFF"/>
          <w:lang w:val="en-GB"/>
        </w:rPr>
        <w:t xml:space="preserve">the </w:t>
      </w:r>
      <w:r w:rsidRPr="00302FFF">
        <w:rPr>
          <w:shd w:val="clear" w:color="auto" w:fill="FFFFFF"/>
          <w:lang w:val="en-GB"/>
        </w:rPr>
        <w:t>WHO initial</w:t>
      </w:r>
      <w:r>
        <w:rPr>
          <w:shd w:val="clear" w:color="auto" w:fill="FFFFFF"/>
          <w:lang w:val="en-GB"/>
        </w:rPr>
        <w:t>ly</w:t>
      </w:r>
      <w:r w:rsidRPr="00302FFF">
        <w:rPr>
          <w:shd w:val="clear" w:color="auto" w:fill="FFFFFF"/>
          <w:lang w:val="en-GB"/>
        </w:rPr>
        <w:t xml:space="preserve"> estimat</w:t>
      </w:r>
      <w:r>
        <w:rPr>
          <w:shd w:val="clear" w:color="auto" w:fill="FFFFFF"/>
          <w:lang w:val="en-GB"/>
        </w:rPr>
        <w:t>ed</w:t>
      </w:r>
      <w:r w:rsidRPr="00302FFF">
        <w:rPr>
          <w:shd w:val="clear" w:color="auto" w:fill="FFFFFF"/>
          <w:lang w:val="en-GB"/>
        </w:rPr>
        <w:t xml:space="preserve"> the cost of controlling the outbreak </w:t>
      </w:r>
      <w:r>
        <w:rPr>
          <w:shd w:val="clear" w:color="auto" w:fill="FFFFFF"/>
          <w:lang w:val="en-GB"/>
        </w:rPr>
        <w:t>at</w:t>
      </w:r>
      <w:r w:rsidRPr="00302FFF">
        <w:rPr>
          <w:shd w:val="clear" w:color="auto" w:fill="FFFFFF"/>
          <w:lang w:val="en-GB"/>
        </w:rPr>
        <w:t xml:space="preserve"> less than $5 million. However, the actual costs turned out to be more than $1 billion within six months</w:t>
      </w:r>
      <w:r>
        <w:rPr>
          <w:shd w:val="clear" w:color="auto" w:fill="FFFFFF"/>
          <w:lang w:val="en-GB"/>
        </w:rPr>
        <w:t>. T</w:t>
      </w:r>
      <w:r w:rsidRPr="00302FFF">
        <w:rPr>
          <w:shd w:val="clear" w:color="auto" w:fill="FFFFFF"/>
          <w:lang w:val="en-GB"/>
        </w:rPr>
        <w:t xml:space="preserve">he outbreak estimation </w:t>
      </w:r>
      <w:r>
        <w:rPr>
          <w:shd w:val="clear" w:color="auto" w:fill="FFFFFF"/>
          <w:lang w:val="en-GB"/>
        </w:rPr>
        <w:t>had been</w:t>
      </w:r>
      <w:r w:rsidRPr="00302FFF">
        <w:rPr>
          <w:shd w:val="clear" w:color="auto" w:fill="FFFFFF"/>
          <w:lang w:val="en-GB"/>
        </w:rPr>
        <w:t xml:space="preserve"> inaccurate in determining either the stages of the outbreak or its containment.</w:t>
      </w:r>
      <w:r w:rsidRPr="00302FFF">
        <w:rPr>
          <w:rStyle w:val="EndnoteReference"/>
          <w:shd w:val="clear" w:color="auto" w:fill="FFFFFF"/>
          <w:lang w:val="en-GB"/>
        </w:rPr>
        <w:endnoteReference w:id="43"/>
      </w:r>
      <w:r w:rsidRPr="00302FFF">
        <w:rPr>
          <w:lang w:val="en-GB"/>
        </w:rPr>
        <w:t xml:space="preserve"> </w:t>
      </w:r>
      <w:r w:rsidRPr="00302FFF">
        <w:rPr>
          <w:shd w:val="clear" w:color="auto" w:fill="FFFFFF"/>
          <w:lang w:val="en-GB"/>
        </w:rPr>
        <w:t>The Ebola outbreak continued for longer than expected due to several factors</w:t>
      </w:r>
      <w:r>
        <w:rPr>
          <w:shd w:val="clear" w:color="auto" w:fill="FFFFFF"/>
          <w:lang w:val="en-GB"/>
        </w:rPr>
        <w:t>, including</w:t>
      </w:r>
      <w:r w:rsidRPr="00302FFF">
        <w:rPr>
          <w:shd w:val="clear" w:color="auto" w:fill="FFFFFF"/>
          <w:lang w:val="en-GB"/>
        </w:rPr>
        <w:t xml:space="preserve"> persistent regional conflicts, rampant disinformation, inadequate health clinics, and even the limited availability of diagnostic tests.</w:t>
      </w:r>
      <w:r w:rsidRPr="00302FFF">
        <w:rPr>
          <w:rStyle w:val="EndnoteReference"/>
          <w:shd w:val="clear" w:color="auto" w:fill="FFFFFF"/>
          <w:lang w:val="en-GB"/>
        </w:rPr>
        <w:endnoteReference w:id="44"/>
      </w:r>
      <w:r w:rsidRPr="00302FFF">
        <w:rPr>
          <w:lang w:val="en-GB"/>
        </w:rPr>
        <w:t xml:space="preserve"> </w:t>
      </w:r>
      <w:r>
        <w:rPr>
          <w:shd w:val="clear" w:color="auto" w:fill="FFFFFF"/>
          <w:lang w:val="en-GB"/>
        </w:rPr>
        <w:t>In</w:t>
      </w:r>
      <w:r w:rsidRPr="00302FFF">
        <w:rPr>
          <w:shd w:val="clear" w:color="auto" w:fill="FFFFFF"/>
          <w:lang w:val="en-GB"/>
        </w:rPr>
        <w:t xml:space="preserve"> mode</w:t>
      </w:r>
      <w:r>
        <w:rPr>
          <w:shd w:val="clear" w:color="auto" w:fill="FFFFFF"/>
          <w:lang w:val="en-GB"/>
        </w:rPr>
        <w:t>l</w:t>
      </w:r>
      <w:r w:rsidRPr="00302FFF">
        <w:rPr>
          <w:shd w:val="clear" w:color="auto" w:fill="FFFFFF"/>
          <w:lang w:val="en-GB"/>
        </w:rPr>
        <w:t xml:space="preserve">ling any pandemic, insurers claimed validation of the data when they were able to replicate past data. According to experts, this was </w:t>
      </w:r>
      <w:r>
        <w:rPr>
          <w:shd w:val="clear" w:color="auto" w:fill="FFFFFF"/>
          <w:lang w:val="en-GB"/>
        </w:rPr>
        <w:t xml:space="preserve">referred to as </w:t>
      </w:r>
      <w:r w:rsidRPr="00302FFF">
        <w:rPr>
          <w:shd w:val="clear" w:color="auto" w:fill="FFFFFF"/>
          <w:lang w:val="en-GB"/>
        </w:rPr>
        <w:t>history matching</w:t>
      </w:r>
      <w:r>
        <w:rPr>
          <w:shd w:val="clear" w:color="auto" w:fill="FFFFFF"/>
          <w:lang w:val="en-GB"/>
        </w:rPr>
        <w:t>. However</w:t>
      </w:r>
      <w:r w:rsidRPr="00302FFF">
        <w:rPr>
          <w:shd w:val="clear" w:color="auto" w:fill="FFFFFF"/>
          <w:lang w:val="en-GB"/>
        </w:rPr>
        <w:t xml:space="preserve">, </w:t>
      </w:r>
      <w:r>
        <w:rPr>
          <w:shd w:val="clear" w:color="auto" w:fill="FFFFFF"/>
          <w:lang w:val="en-GB"/>
        </w:rPr>
        <w:t>although this process</w:t>
      </w:r>
      <w:r w:rsidRPr="00302FFF">
        <w:rPr>
          <w:shd w:val="clear" w:color="auto" w:fill="FFFFFF"/>
          <w:lang w:val="en-GB"/>
        </w:rPr>
        <w:t xml:space="preserve"> may have worked for catastrophic events such as earthquake</w:t>
      </w:r>
      <w:r>
        <w:rPr>
          <w:shd w:val="clear" w:color="auto" w:fill="FFFFFF"/>
          <w:lang w:val="en-GB"/>
        </w:rPr>
        <w:t>s</w:t>
      </w:r>
      <w:r w:rsidRPr="00302FFF">
        <w:rPr>
          <w:shd w:val="clear" w:color="auto" w:fill="FFFFFF"/>
          <w:lang w:val="en-GB"/>
        </w:rPr>
        <w:t>, validation was difficult for a pandemic.</w:t>
      </w:r>
      <w:r w:rsidRPr="00302FFF">
        <w:rPr>
          <w:rStyle w:val="EndnoteReference"/>
          <w:shd w:val="clear" w:color="auto" w:fill="FFFFFF"/>
          <w:lang w:val="en-GB"/>
        </w:rPr>
        <w:endnoteReference w:id="45"/>
      </w:r>
    </w:p>
    <w:p w14:paraId="72E57116" w14:textId="6730536C" w:rsidR="007B72F2" w:rsidRDefault="007B72F2" w:rsidP="001B15E5">
      <w:pPr>
        <w:pStyle w:val="BodyTextMain"/>
        <w:rPr>
          <w:lang w:val="en-GB"/>
        </w:rPr>
      </w:pPr>
    </w:p>
    <w:p w14:paraId="43FD4EF2" w14:textId="67CA654A" w:rsidR="007B72F2" w:rsidRDefault="007B72F2" w:rsidP="001B15E5">
      <w:pPr>
        <w:pStyle w:val="BodyTextMain"/>
        <w:rPr>
          <w:lang w:val="en-GB"/>
        </w:rPr>
      </w:pPr>
    </w:p>
    <w:p w14:paraId="44D0D7A0" w14:textId="3C33B9ED" w:rsidR="007B72F2" w:rsidRPr="00302FFF" w:rsidRDefault="007B72F2" w:rsidP="00D24310">
      <w:pPr>
        <w:pStyle w:val="Casehead1"/>
        <w:keepNext/>
        <w:rPr>
          <w:lang w:val="en-GB"/>
        </w:rPr>
      </w:pPr>
      <w:r w:rsidRPr="00302FFF">
        <w:rPr>
          <w:lang w:val="en-GB"/>
        </w:rPr>
        <w:lastRenderedPageBreak/>
        <w:t xml:space="preserve">DENIAL OF CLAIMS BY INSURANCE COMPANIES </w:t>
      </w:r>
    </w:p>
    <w:p w14:paraId="1AECE6A6" w14:textId="77777777" w:rsidR="007B72F2" w:rsidRPr="00302FFF" w:rsidRDefault="007B72F2" w:rsidP="00D24310">
      <w:pPr>
        <w:pStyle w:val="BodyTextMain"/>
        <w:keepNext/>
        <w:rPr>
          <w:lang w:val="en-GB"/>
        </w:rPr>
      </w:pPr>
    </w:p>
    <w:p w14:paraId="0D2FC7F3" w14:textId="5F418CAE" w:rsidR="007B72F2" w:rsidRPr="007B72F2" w:rsidRDefault="007B72F2" w:rsidP="00D24310">
      <w:pPr>
        <w:pStyle w:val="BodyTextMain"/>
        <w:keepNext/>
        <w:rPr>
          <w:spacing w:val="-2"/>
          <w:lang w:val="en-GB"/>
        </w:rPr>
      </w:pPr>
      <w:r w:rsidRPr="007B72F2">
        <w:rPr>
          <w:spacing w:val="-2"/>
          <w:lang w:val="en-GB"/>
        </w:rPr>
        <w:t>During the COVID-19 pandemic, many insurance claims by US companies for business interruption benefits were denied. After finding that his insurer had denied his claim because the policy had an exception for virus outbreaks, Fred Castellucci, the head of Castellucci Restaurant Group in Atlanta, Georgia, said, “My frustration with insurance companies is that they’re essentially in business to take your money, make money off of your money and then never pay you out when you have an issue.”</w:t>
      </w:r>
      <w:r w:rsidRPr="007B72F2">
        <w:rPr>
          <w:rStyle w:val="EndnoteReference"/>
          <w:spacing w:val="-2"/>
          <w:lang w:val="en-GB"/>
        </w:rPr>
        <w:endnoteReference w:id="46"/>
      </w:r>
      <w:r w:rsidRPr="007B72F2">
        <w:rPr>
          <w:spacing w:val="-2"/>
          <w:lang w:val="en-GB"/>
        </w:rPr>
        <w:t xml:space="preserve"> Castellucci was forced to look for alternatives to traditional insurance.</w:t>
      </w:r>
      <w:r w:rsidRPr="007B72F2">
        <w:rPr>
          <w:rStyle w:val="EndnoteReference"/>
          <w:spacing w:val="-2"/>
          <w:lang w:val="en-GB"/>
        </w:rPr>
        <w:endnoteReference w:id="47"/>
      </w:r>
      <w:r w:rsidRPr="007B72F2">
        <w:rPr>
          <w:spacing w:val="-2"/>
          <w:lang w:val="en-GB"/>
        </w:rPr>
        <w:t xml:space="preserve"> R.J. Lehmann, the director of finance, insurance, and trade at the non-profit company R Street Institute, noted that business interruption coverage from insurance companies was designed to provide revenue protection for businesses when their properties suffered physical losses from natural causes such as fires or windstorms, or from human-caused events such as vandalism or terrorism.</w:t>
      </w:r>
      <w:r w:rsidRPr="007B72F2">
        <w:rPr>
          <w:rStyle w:val="EndnoteReference"/>
          <w:spacing w:val="-2"/>
          <w:lang w:val="en-GB"/>
        </w:rPr>
        <w:endnoteReference w:id="48"/>
      </w:r>
      <w:r w:rsidRPr="007B72F2">
        <w:rPr>
          <w:spacing w:val="-2"/>
          <w:lang w:val="en-GB"/>
        </w:rPr>
        <w:t xml:space="preserve"> Lehmann stated that “standard commercial insurance policies typically do not even provide business interruption coverage for power loss unless there is demonstrable damage to the insured property.”</w:t>
      </w:r>
      <w:r w:rsidRPr="007B72F2">
        <w:rPr>
          <w:rStyle w:val="EndnoteReference"/>
          <w:spacing w:val="-2"/>
          <w:lang w:val="en-GB"/>
        </w:rPr>
        <w:endnoteReference w:id="49"/>
      </w:r>
      <w:r w:rsidRPr="007B72F2">
        <w:rPr>
          <w:spacing w:val="-2"/>
          <w:lang w:val="en-GB"/>
        </w:rPr>
        <w:t xml:space="preserve"> </w:t>
      </w:r>
    </w:p>
    <w:p w14:paraId="62D40238" w14:textId="77777777" w:rsidR="007B72F2" w:rsidRDefault="007B72F2" w:rsidP="00330F81">
      <w:pPr>
        <w:pStyle w:val="BodyTextMain"/>
        <w:rPr>
          <w:lang w:val="en-GB"/>
        </w:rPr>
      </w:pPr>
    </w:p>
    <w:p w14:paraId="0D5939C3" w14:textId="3F7E6918" w:rsidR="007B72F2" w:rsidRPr="00302FFF" w:rsidRDefault="007B72F2" w:rsidP="00330F81">
      <w:pPr>
        <w:pStyle w:val="BodyTextMain"/>
        <w:rPr>
          <w:shd w:val="clear" w:color="auto" w:fill="FFFFFF"/>
          <w:lang w:val="en-GB"/>
        </w:rPr>
      </w:pPr>
      <w:r w:rsidRPr="00302FFF">
        <w:rPr>
          <w:lang w:val="en-GB"/>
        </w:rPr>
        <w:t xml:space="preserve">Insurance companies potentially even lacked the ability to pay these claims. According to the American Property Casualty Insurance Association, a lobbying group for the </w:t>
      </w:r>
      <w:r>
        <w:rPr>
          <w:lang w:val="en-GB"/>
        </w:rPr>
        <w:t>US</w:t>
      </w:r>
      <w:r w:rsidRPr="00302FFF">
        <w:rPr>
          <w:lang w:val="en-GB"/>
        </w:rPr>
        <w:t xml:space="preserve"> insurance industry, the estimated losses incurred by small businesses with 100 employees or less due to the COVID-19 pandemic total</w:t>
      </w:r>
      <w:r>
        <w:rPr>
          <w:lang w:val="en-GB"/>
        </w:rPr>
        <w:t>l</w:t>
      </w:r>
      <w:r w:rsidRPr="00302FFF">
        <w:rPr>
          <w:lang w:val="en-GB"/>
        </w:rPr>
        <w:t xml:space="preserve">ed $431 billion, while the annual premium collected </w:t>
      </w:r>
      <w:r>
        <w:rPr>
          <w:lang w:val="en-GB"/>
        </w:rPr>
        <w:t xml:space="preserve">from these businesses </w:t>
      </w:r>
      <w:r w:rsidRPr="00302FFF">
        <w:rPr>
          <w:lang w:val="en-GB"/>
        </w:rPr>
        <w:t>by insurance companies was</w:t>
      </w:r>
      <w:r>
        <w:rPr>
          <w:lang w:val="en-GB"/>
        </w:rPr>
        <w:t xml:space="preserve"> only</w:t>
      </w:r>
      <w:r w:rsidRPr="00302FFF">
        <w:rPr>
          <w:lang w:val="en-GB"/>
        </w:rPr>
        <w:t xml:space="preserve"> $71 billion.</w:t>
      </w:r>
      <w:r w:rsidRPr="00302FFF">
        <w:rPr>
          <w:rStyle w:val="EndnoteReference"/>
          <w:lang w:val="en-GB"/>
        </w:rPr>
        <w:endnoteReference w:id="50"/>
      </w:r>
      <w:r w:rsidRPr="00302FFF">
        <w:rPr>
          <w:lang w:val="en-GB"/>
        </w:rPr>
        <w:t xml:space="preserve"> However, media reports claimed that insurance companies in the U</w:t>
      </w:r>
      <w:r>
        <w:rPr>
          <w:lang w:val="en-GB"/>
        </w:rPr>
        <w:t xml:space="preserve">nited </w:t>
      </w:r>
      <w:r w:rsidRPr="00302FFF">
        <w:rPr>
          <w:lang w:val="en-GB"/>
        </w:rPr>
        <w:t>S</w:t>
      </w:r>
      <w:r>
        <w:rPr>
          <w:lang w:val="en-GB"/>
        </w:rPr>
        <w:t>tates</w:t>
      </w:r>
      <w:r w:rsidRPr="00302FFF">
        <w:rPr>
          <w:lang w:val="en-GB"/>
        </w:rPr>
        <w:t xml:space="preserve"> had </w:t>
      </w:r>
      <w:r w:rsidRPr="00302FFF">
        <w:rPr>
          <w:shd w:val="clear" w:color="auto" w:fill="FFFFFF"/>
          <w:lang w:val="en-GB"/>
        </w:rPr>
        <w:t>accumulated $822 billion in their claim reserves over the years.</w:t>
      </w:r>
      <w:r w:rsidRPr="00302FFF">
        <w:rPr>
          <w:rStyle w:val="EndnoteReference"/>
          <w:lang w:val="en-GB"/>
        </w:rPr>
        <w:endnoteReference w:id="51"/>
      </w:r>
      <w:r w:rsidRPr="00302FFF">
        <w:rPr>
          <w:shd w:val="clear" w:color="auto" w:fill="FFFFFF"/>
          <w:lang w:val="en-GB"/>
        </w:rPr>
        <w:t xml:space="preserve"> </w:t>
      </w:r>
    </w:p>
    <w:p w14:paraId="33099DF2" w14:textId="77777777" w:rsidR="007B72F2" w:rsidRPr="00302FFF" w:rsidRDefault="007B72F2" w:rsidP="00330F81">
      <w:pPr>
        <w:pStyle w:val="BodyTextMain"/>
        <w:rPr>
          <w:shd w:val="clear" w:color="auto" w:fill="FFFFFF"/>
          <w:lang w:val="en-GB"/>
        </w:rPr>
      </w:pPr>
    </w:p>
    <w:p w14:paraId="12FD17EC" w14:textId="7A852BA1" w:rsidR="007B72F2" w:rsidRPr="00302FFF" w:rsidRDefault="007B72F2" w:rsidP="00330F81">
      <w:pPr>
        <w:pStyle w:val="BodyTextMain"/>
        <w:rPr>
          <w:shd w:val="clear" w:color="auto" w:fill="FFFFFF"/>
          <w:lang w:val="en-GB"/>
        </w:rPr>
      </w:pPr>
      <w:r w:rsidRPr="00302FFF">
        <w:rPr>
          <w:shd w:val="clear" w:color="auto" w:fill="FFFFFF"/>
          <w:lang w:val="en-GB"/>
        </w:rPr>
        <w:t xml:space="preserve">Some businesses were denied claims even when their policies clearly mentioned business interruption due to </w:t>
      </w:r>
      <w:r>
        <w:rPr>
          <w:shd w:val="clear" w:color="auto" w:fill="FFFFFF"/>
          <w:lang w:val="en-GB"/>
        </w:rPr>
        <w:t xml:space="preserve">a </w:t>
      </w:r>
      <w:r w:rsidRPr="00302FFF">
        <w:rPr>
          <w:shd w:val="clear" w:color="auto" w:fill="FFFFFF"/>
          <w:lang w:val="en-GB"/>
        </w:rPr>
        <w:t xml:space="preserve">virus. </w:t>
      </w:r>
      <w:bookmarkStart w:id="6" w:name="_Hlk45468797"/>
      <w:r w:rsidRPr="00302FFF">
        <w:rPr>
          <w:shd w:val="clear" w:color="auto" w:fill="FFFFFF"/>
          <w:lang w:val="en-GB"/>
        </w:rPr>
        <w:t xml:space="preserve">Thomas Keller, a renowned </w:t>
      </w:r>
      <w:r>
        <w:rPr>
          <w:shd w:val="clear" w:color="auto" w:fill="FFFFFF"/>
          <w:lang w:val="en-GB"/>
        </w:rPr>
        <w:t xml:space="preserve">US </w:t>
      </w:r>
      <w:r w:rsidRPr="00302FFF">
        <w:rPr>
          <w:shd w:val="clear" w:color="auto" w:fill="FFFFFF"/>
          <w:lang w:val="en-GB"/>
        </w:rPr>
        <w:t xml:space="preserve">chef, </w:t>
      </w:r>
      <w:bookmarkEnd w:id="6"/>
      <w:r w:rsidRPr="00302FFF">
        <w:rPr>
          <w:shd w:val="clear" w:color="auto" w:fill="FFFFFF"/>
          <w:lang w:val="en-GB"/>
        </w:rPr>
        <w:t xml:space="preserve">filed a lawsuit against his insurance company for denial of payment for his French Laundry and Bouchon Bistro in </w:t>
      </w:r>
      <w:r>
        <w:rPr>
          <w:shd w:val="clear" w:color="auto" w:fill="FFFFFF"/>
          <w:lang w:val="en-GB"/>
        </w:rPr>
        <w:t>California’s</w:t>
      </w:r>
      <w:r w:rsidRPr="00302FFF">
        <w:rPr>
          <w:shd w:val="clear" w:color="auto" w:fill="FFFFFF"/>
          <w:lang w:val="en-GB"/>
        </w:rPr>
        <w:t xml:space="preserve"> Napa Valley. Keller paid $350,000 extra on his insurance policy for a provision that explicitly included virus claims, but his claim was denied by the insurance company.</w:t>
      </w:r>
      <w:r w:rsidRPr="00302FFF">
        <w:rPr>
          <w:rStyle w:val="EndnoteReference"/>
          <w:shd w:val="clear" w:color="auto" w:fill="FFFFFF"/>
          <w:lang w:val="en-GB"/>
        </w:rPr>
        <w:endnoteReference w:id="52"/>
      </w:r>
      <w:r w:rsidRPr="00302FFF">
        <w:rPr>
          <w:shd w:val="clear" w:color="auto" w:fill="FFFFFF"/>
          <w:lang w:val="en-GB"/>
        </w:rPr>
        <w:t xml:space="preserve"> </w:t>
      </w:r>
      <w:r>
        <w:rPr>
          <w:shd w:val="clear" w:color="auto" w:fill="FFFFFF"/>
          <w:lang w:val="en-GB"/>
        </w:rPr>
        <w:t xml:space="preserve">As </w:t>
      </w:r>
      <w:r w:rsidRPr="00302FFF">
        <w:rPr>
          <w:lang w:val="en-GB"/>
        </w:rPr>
        <w:t>Lehman</w:t>
      </w:r>
      <w:r>
        <w:rPr>
          <w:lang w:val="en-GB"/>
        </w:rPr>
        <w:t>n noted</w:t>
      </w:r>
      <w:r w:rsidRPr="00302FFF">
        <w:rPr>
          <w:lang w:val="en-GB"/>
        </w:rPr>
        <w:t>, “There may be unusual cases in which nonstandard contracts contain language that would cover pandemic-related shutdowns, but the industry as a whole has intentionally excluded this risk because it is far too correlated across geographies and sectors.”</w:t>
      </w:r>
      <w:r w:rsidRPr="00302FFF">
        <w:rPr>
          <w:rStyle w:val="EndnoteReference"/>
          <w:lang w:val="en-GB"/>
        </w:rPr>
        <w:endnoteReference w:id="53"/>
      </w:r>
    </w:p>
    <w:p w14:paraId="128B6565" w14:textId="4B718313" w:rsidR="007B72F2" w:rsidRPr="00302FFF" w:rsidRDefault="007B72F2" w:rsidP="00330F81">
      <w:pPr>
        <w:pStyle w:val="BodyTextMain"/>
        <w:rPr>
          <w:shd w:val="clear" w:color="auto" w:fill="FFFFFF"/>
          <w:lang w:val="en-GB"/>
        </w:rPr>
      </w:pPr>
    </w:p>
    <w:p w14:paraId="5CBE4B3D" w14:textId="77777777" w:rsidR="007B72F2" w:rsidRPr="00302FFF" w:rsidRDefault="007B72F2" w:rsidP="00330F81">
      <w:pPr>
        <w:pStyle w:val="BodyTextMain"/>
        <w:rPr>
          <w:shd w:val="clear" w:color="auto" w:fill="FFFFFF"/>
          <w:lang w:val="en-GB"/>
        </w:rPr>
      </w:pPr>
    </w:p>
    <w:p w14:paraId="08BD9110" w14:textId="77777777" w:rsidR="007B72F2" w:rsidRPr="00302FFF" w:rsidRDefault="007B72F2" w:rsidP="00330F81">
      <w:pPr>
        <w:pStyle w:val="Casehead1"/>
        <w:rPr>
          <w:shd w:val="clear" w:color="auto" w:fill="FFFFFF"/>
          <w:lang w:val="en-GB"/>
        </w:rPr>
      </w:pPr>
      <w:r w:rsidRPr="00302FFF">
        <w:rPr>
          <w:shd w:val="clear" w:color="auto" w:fill="FFFFFF"/>
          <w:lang w:val="en-GB"/>
        </w:rPr>
        <w:t xml:space="preserve">NEED FOR GOVERNMENT INTERVENTION </w:t>
      </w:r>
    </w:p>
    <w:p w14:paraId="6B72BD38" w14:textId="77777777" w:rsidR="007B72F2" w:rsidRPr="00302FFF" w:rsidRDefault="007B72F2" w:rsidP="00330F81">
      <w:pPr>
        <w:pStyle w:val="BodyTextMain"/>
        <w:rPr>
          <w:lang w:val="en-GB"/>
        </w:rPr>
      </w:pPr>
    </w:p>
    <w:p w14:paraId="2E7D274D" w14:textId="6F929861" w:rsidR="007B72F2" w:rsidRDefault="007B72F2" w:rsidP="00330F81">
      <w:pPr>
        <w:pStyle w:val="BodyTextMain"/>
        <w:rPr>
          <w:shd w:val="clear" w:color="auto" w:fill="FFFFFF"/>
          <w:lang w:val="en-GB"/>
        </w:rPr>
      </w:pPr>
      <w:r w:rsidRPr="00CE5D56">
        <w:rPr>
          <w:lang w:val="en-GB"/>
        </w:rPr>
        <w:t xml:space="preserve">In March 2020, Doyle requested that the United States Congress and the </w:t>
      </w:r>
      <w:r>
        <w:rPr>
          <w:lang w:val="en-GB"/>
        </w:rPr>
        <w:t>US</w:t>
      </w:r>
      <w:r w:rsidRPr="00CE5D56">
        <w:rPr>
          <w:lang w:val="en-GB"/>
        </w:rPr>
        <w:t xml:space="preserve"> president create a state-backed pandemic risk insurance program that could support an economic recovery from COVID-19 and ensure that the country would be better prepared for any future outbreak.</w:t>
      </w:r>
      <w:r w:rsidRPr="00CE5D56">
        <w:rPr>
          <w:rStyle w:val="EndnoteReference"/>
          <w:lang w:val="en-GB"/>
        </w:rPr>
        <w:endnoteReference w:id="54"/>
      </w:r>
      <w:r w:rsidRPr="00CE5D56">
        <w:rPr>
          <w:shd w:val="clear" w:color="auto" w:fill="FFFFFF"/>
          <w:lang w:val="en-GB"/>
        </w:rPr>
        <w:t xml:space="preserve"> During the COVID-19 pandemic, there was an increasing demand in the United States for the passage of the </w:t>
      </w:r>
      <w:r w:rsidRPr="00A15306">
        <w:rPr>
          <w:i/>
          <w:shd w:val="clear" w:color="auto" w:fill="FFFFFF"/>
          <w:lang w:val="en-GB"/>
        </w:rPr>
        <w:t>Pandemic Risk Insurance Act</w:t>
      </w:r>
      <w:r w:rsidRPr="00CE5D56">
        <w:rPr>
          <w:shd w:val="clear" w:color="auto" w:fill="FFFFFF"/>
          <w:lang w:val="en-GB"/>
        </w:rPr>
        <w:t xml:space="preserve"> (PRIA). If passed, PRIA could make insurance companies offer business interruption insurance policies to businesses, with the </w:t>
      </w:r>
      <w:r>
        <w:rPr>
          <w:shd w:val="clear" w:color="auto" w:fill="FFFFFF"/>
          <w:lang w:val="en-GB"/>
        </w:rPr>
        <w:t>US</w:t>
      </w:r>
      <w:r w:rsidRPr="00CE5D56">
        <w:rPr>
          <w:shd w:val="clear" w:color="auto" w:fill="FFFFFF"/>
          <w:lang w:val="en-GB"/>
        </w:rPr>
        <w:t xml:space="preserve"> government providing support for insurance claims or acting as a backstop.</w:t>
      </w:r>
      <w:r w:rsidRPr="00CE5D56">
        <w:rPr>
          <w:rStyle w:val="EndnoteReference"/>
          <w:shd w:val="clear" w:color="auto" w:fill="FFFFFF"/>
          <w:lang w:val="en-GB"/>
        </w:rPr>
        <w:endnoteReference w:id="55"/>
      </w:r>
      <w:r w:rsidRPr="00CE5D56">
        <w:rPr>
          <w:shd w:val="clear" w:color="auto" w:fill="FFFFFF"/>
          <w:lang w:val="en-GB"/>
        </w:rPr>
        <w:t xml:space="preserve"> </w:t>
      </w:r>
    </w:p>
    <w:p w14:paraId="0D0B5E4E" w14:textId="77777777" w:rsidR="007B72F2" w:rsidRDefault="007B72F2" w:rsidP="00330F81">
      <w:pPr>
        <w:pStyle w:val="BodyTextMain"/>
        <w:rPr>
          <w:lang w:val="en-GB"/>
        </w:rPr>
      </w:pPr>
    </w:p>
    <w:p w14:paraId="10CF61F4" w14:textId="41E74B7A" w:rsidR="007B72F2" w:rsidRDefault="007B72F2" w:rsidP="00330F81">
      <w:pPr>
        <w:pStyle w:val="BodyTextMain"/>
        <w:rPr>
          <w:lang w:val="en-GB"/>
        </w:rPr>
      </w:pPr>
      <w:r w:rsidRPr="00CE5D56">
        <w:rPr>
          <w:lang w:val="en-GB"/>
        </w:rPr>
        <w:t>Congresswoman Carolyn Maloney, also a senior member of the House Financial Services Committee, had plans to introduce PRIA into the United States Congress.</w:t>
      </w:r>
      <w:r w:rsidRPr="00CE5D56">
        <w:rPr>
          <w:rStyle w:val="EndnoteReference"/>
          <w:lang w:val="en-GB"/>
        </w:rPr>
        <w:endnoteReference w:id="56"/>
      </w:r>
      <w:r w:rsidRPr="00CE5D56">
        <w:rPr>
          <w:lang w:val="en-GB"/>
        </w:rPr>
        <w:t xml:space="preserve"> </w:t>
      </w:r>
      <w:r w:rsidRPr="00CE5D56">
        <w:rPr>
          <w:shd w:val="clear" w:color="auto" w:fill="FFFFFF"/>
          <w:lang w:val="en-GB"/>
        </w:rPr>
        <w:t xml:space="preserve">In April 2020, a letter sent to the </w:t>
      </w:r>
      <w:r>
        <w:rPr>
          <w:shd w:val="clear" w:color="auto" w:fill="FFFFFF"/>
          <w:lang w:val="en-GB"/>
        </w:rPr>
        <w:t>US</w:t>
      </w:r>
      <w:r w:rsidRPr="00CE5D56">
        <w:rPr>
          <w:shd w:val="clear" w:color="auto" w:fill="FFFFFF"/>
          <w:lang w:val="en-GB"/>
        </w:rPr>
        <w:t xml:space="preserve"> government by the National Retail Federation (NRF) mentioned that “Congress must take swift action and begin contemplating a solution to provide all businesses protection against future pandemic risk.”</w:t>
      </w:r>
      <w:r w:rsidRPr="00CE5D56">
        <w:rPr>
          <w:rStyle w:val="EndnoteReference"/>
          <w:shd w:val="clear" w:color="auto" w:fill="FFFFFF"/>
          <w:lang w:val="en-GB"/>
        </w:rPr>
        <w:endnoteReference w:id="57"/>
      </w:r>
      <w:r w:rsidRPr="00CE5D56">
        <w:rPr>
          <w:shd w:val="clear" w:color="auto" w:fill="FFFFFF"/>
          <w:lang w:val="en-GB"/>
        </w:rPr>
        <w:t xml:space="preserve"> The letter further noted, “This approach would serve as a cornerstone to a proactive and prospective approach to managing the risk of a widespread and catastrophic pandemic or epidemic in the future.”</w:t>
      </w:r>
      <w:r w:rsidRPr="00CE5D56">
        <w:rPr>
          <w:rStyle w:val="EndnoteReference"/>
          <w:shd w:val="clear" w:color="auto" w:fill="FFFFFF"/>
          <w:lang w:val="en-GB"/>
        </w:rPr>
        <w:endnoteReference w:id="58"/>
      </w:r>
      <w:r w:rsidRPr="00CE5D56">
        <w:rPr>
          <w:shd w:val="clear" w:color="auto" w:fill="FFFFFF"/>
          <w:lang w:val="en-GB"/>
        </w:rPr>
        <w:t xml:space="preserve"> The NRF also endorsed PRIA.</w:t>
      </w:r>
      <w:bookmarkStart w:id="7" w:name="_Hlk45463107"/>
      <w:r>
        <w:rPr>
          <w:lang w:val="en-GB"/>
        </w:rPr>
        <w:t xml:space="preserve"> </w:t>
      </w:r>
      <w:r w:rsidRPr="00420F76">
        <w:rPr>
          <w:lang w:val="en-GB"/>
        </w:rPr>
        <w:t xml:space="preserve">Edi Schmid, </w:t>
      </w:r>
      <w:r>
        <w:rPr>
          <w:lang w:val="en-GB"/>
        </w:rPr>
        <w:t>the c</w:t>
      </w:r>
      <w:r w:rsidRPr="00420F76">
        <w:rPr>
          <w:lang w:val="en-GB"/>
        </w:rPr>
        <w:t xml:space="preserve">hief </w:t>
      </w:r>
      <w:r>
        <w:rPr>
          <w:lang w:val="en-GB"/>
        </w:rPr>
        <w:t>u</w:t>
      </w:r>
      <w:r w:rsidRPr="00420F76">
        <w:rPr>
          <w:lang w:val="en-GB"/>
        </w:rPr>
        <w:t xml:space="preserve">nderwriting </w:t>
      </w:r>
      <w:r>
        <w:rPr>
          <w:lang w:val="en-GB"/>
        </w:rPr>
        <w:t>o</w:t>
      </w:r>
      <w:r w:rsidRPr="00420F76">
        <w:rPr>
          <w:lang w:val="en-GB"/>
        </w:rPr>
        <w:t>fficer at Swiss Re</w:t>
      </w:r>
      <w:r>
        <w:rPr>
          <w:lang w:val="en-GB"/>
        </w:rPr>
        <w:t>insurance Company</w:t>
      </w:r>
      <w:r w:rsidRPr="00420F76">
        <w:rPr>
          <w:lang w:val="en-GB"/>
        </w:rPr>
        <w:t xml:space="preserve"> L</w:t>
      </w:r>
      <w:r>
        <w:rPr>
          <w:lang w:val="en-GB"/>
        </w:rPr>
        <w:t>imi</w:t>
      </w:r>
      <w:r w:rsidRPr="00420F76">
        <w:rPr>
          <w:lang w:val="en-GB"/>
        </w:rPr>
        <w:t>t</w:t>
      </w:r>
      <w:r>
        <w:rPr>
          <w:lang w:val="en-GB"/>
        </w:rPr>
        <w:t>e</w:t>
      </w:r>
      <w:r w:rsidRPr="00420F76">
        <w:rPr>
          <w:lang w:val="en-GB"/>
        </w:rPr>
        <w:t>d</w:t>
      </w:r>
      <w:r>
        <w:rPr>
          <w:lang w:val="en-GB"/>
        </w:rPr>
        <w:t>, spoke about the need for government involvement:</w:t>
      </w:r>
    </w:p>
    <w:p w14:paraId="78C42A77" w14:textId="77777777" w:rsidR="007B72F2" w:rsidRDefault="007B72F2" w:rsidP="00330F81">
      <w:pPr>
        <w:pStyle w:val="BodyTextMain"/>
        <w:rPr>
          <w:lang w:val="en-GB"/>
        </w:rPr>
      </w:pPr>
    </w:p>
    <w:bookmarkEnd w:id="7"/>
    <w:p w14:paraId="4D91AEB3" w14:textId="65ECB932" w:rsidR="007B72F2" w:rsidRDefault="007B72F2" w:rsidP="00A15306">
      <w:pPr>
        <w:pStyle w:val="BodyTextMain"/>
        <w:ind w:left="720"/>
        <w:rPr>
          <w:shd w:val="clear" w:color="auto" w:fill="FFFFFF"/>
          <w:lang w:val="en-GB"/>
        </w:rPr>
      </w:pPr>
      <w:r w:rsidRPr="00420F76">
        <w:rPr>
          <w:lang w:val="en-GB"/>
        </w:rPr>
        <w:t>It is important to highlight that the capacity to provide coverage for pandemic risk is limited, it is a very systemic factor. The losses</w:t>
      </w:r>
      <w:r>
        <w:rPr>
          <w:lang w:val="en-GB"/>
        </w:rPr>
        <w:t xml:space="preserve"> . . . </w:t>
      </w:r>
      <w:r w:rsidRPr="00420F76">
        <w:rPr>
          <w:lang w:val="en-GB"/>
        </w:rPr>
        <w:t xml:space="preserve">impacts go across the whole world. It affects the underwriting </w:t>
      </w:r>
      <w:r w:rsidRPr="00420F76">
        <w:rPr>
          <w:lang w:val="en-GB"/>
        </w:rPr>
        <w:lastRenderedPageBreak/>
        <w:t>side and also the financial market side. So, we can only provide pandemic cover to a limited extent, and there needs to be solutions that also involve government backup as it would go beyond the ability of the insurance industry alone.</w:t>
      </w:r>
      <w:r w:rsidRPr="00420F76">
        <w:rPr>
          <w:rStyle w:val="EndnoteReference"/>
          <w:lang w:val="en-GB"/>
        </w:rPr>
        <w:endnoteReference w:id="59"/>
      </w:r>
    </w:p>
    <w:p w14:paraId="2103124A" w14:textId="77777777" w:rsidR="007B72F2" w:rsidRDefault="007B72F2" w:rsidP="00330F81">
      <w:pPr>
        <w:pStyle w:val="BodyTextMain"/>
        <w:rPr>
          <w:shd w:val="clear" w:color="auto" w:fill="FFFFFF"/>
          <w:lang w:val="en-GB"/>
        </w:rPr>
      </w:pPr>
    </w:p>
    <w:p w14:paraId="7243E261" w14:textId="6E4E6E32" w:rsidR="007B72F2" w:rsidRPr="00420F76" w:rsidRDefault="007B72F2" w:rsidP="00330F81">
      <w:pPr>
        <w:pStyle w:val="BodyTextMain"/>
        <w:rPr>
          <w:shd w:val="clear" w:color="auto" w:fill="FFFFFF"/>
          <w:lang w:val="en-GB"/>
        </w:rPr>
      </w:pPr>
      <w:r w:rsidRPr="00420F76">
        <w:rPr>
          <w:shd w:val="clear" w:color="auto" w:fill="FFFFFF"/>
          <w:lang w:val="en-GB"/>
        </w:rPr>
        <w:t>If the PRIA w</w:t>
      </w:r>
      <w:r>
        <w:rPr>
          <w:shd w:val="clear" w:color="auto" w:fill="FFFFFF"/>
          <w:lang w:val="en-GB"/>
        </w:rPr>
        <w:t>ere</w:t>
      </w:r>
      <w:r w:rsidRPr="00420F76">
        <w:rPr>
          <w:shd w:val="clear" w:color="auto" w:fill="FFFFFF"/>
          <w:lang w:val="en-GB"/>
        </w:rPr>
        <w:t xml:space="preserve"> passed by </w:t>
      </w:r>
      <w:r>
        <w:rPr>
          <w:shd w:val="clear" w:color="auto" w:fill="FFFFFF"/>
          <w:lang w:val="en-GB"/>
        </w:rPr>
        <w:t xml:space="preserve">the </w:t>
      </w:r>
      <w:r w:rsidRPr="00420F76">
        <w:rPr>
          <w:shd w:val="clear" w:color="auto" w:fill="FFFFFF"/>
          <w:lang w:val="en-GB"/>
        </w:rPr>
        <w:t>U</w:t>
      </w:r>
      <w:r>
        <w:rPr>
          <w:shd w:val="clear" w:color="auto" w:fill="FFFFFF"/>
          <w:lang w:val="en-GB"/>
        </w:rPr>
        <w:t xml:space="preserve">nited </w:t>
      </w:r>
      <w:r w:rsidRPr="00420F76">
        <w:rPr>
          <w:shd w:val="clear" w:color="auto" w:fill="FFFFFF"/>
          <w:lang w:val="en-GB"/>
        </w:rPr>
        <w:t>S</w:t>
      </w:r>
      <w:r>
        <w:rPr>
          <w:shd w:val="clear" w:color="auto" w:fill="FFFFFF"/>
          <w:lang w:val="en-GB"/>
        </w:rPr>
        <w:t>tates</w:t>
      </w:r>
      <w:r w:rsidRPr="00420F76">
        <w:rPr>
          <w:shd w:val="clear" w:color="auto" w:fill="FFFFFF"/>
          <w:lang w:val="en-GB"/>
        </w:rPr>
        <w:t xml:space="preserve"> Congress, the </w:t>
      </w:r>
      <w:r>
        <w:rPr>
          <w:shd w:val="clear" w:color="auto" w:fill="FFFFFF"/>
          <w:lang w:val="en-GB"/>
        </w:rPr>
        <w:t>US</w:t>
      </w:r>
      <w:r w:rsidRPr="00420F76">
        <w:rPr>
          <w:shd w:val="clear" w:color="auto" w:fill="FFFFFF"/>
          <w:lang w:val="en-GB"/>
        </w:rPr>
        <w:t xml:space="preserve"> government w</w:t>
      </w:r>
      <w:r>
        <w:rPr>
          <w:shd w:val="clear" w:color="auto" w:fill="FFFFFF"/>
          <w:lang w:val="en-GB"/>
        </w:rPr>
        <w:t>ould be</w:t>
      </w:r>
      <w:r w:rsidRPr="00420F76">
        <w:rPr>
          <w:shd w:val="clear" w:color="auto" w:fill="FFFFFF"/>
          <w:lang w:val="en-GB"/>
        </w:rPr>
        <w:t xml:space="preserve"> expected to intervene through a federal backstop program whenever claims related to a future pandemic (other than COVID-19) or epidemic exceeded $250 million, </w:t>
      </w:r>
      <w:r>
        <w:rPr>
          <w:shd w:val="clear" w:color="auto" w:fill="FFFFFF"/>
          <w:lang w:val="en-GB"/>
        </w:rPr>
        <w:t>with a</w:t>
      </w:r>
      <w:r w:rsidRPr="00420F76">
        <w:rPr>
          <w:shd w:val="clear" w:color="auto" w:fill="FFFFFF"/>
          <w:lang w:val="en-GB"/>
        </w:rPr>
        <w:t xml:space="preserve"> cap</w:t>
      </w:r>
      <w:r>
        <w:rPr>
          <w:shd w:val="clear" w:color="auto" w:fill="FFFFFF"/>
          <w:lang w:val="en-GB"/>
        </w:rPr>
        <w:t xml:space="preserve"> set</w:t>
      </w:r>
      <w:r w:rsidRPr="00420F76">
        <w:rPr>
          <w:shd w:val="clear" w:color="auto" w:fill="FFFFFF"/>
          <w:lang w:val="en-GB"/>
        </w:rPr>
        <w:t xml:space="preserve"> at $500 billion. Businesses w</w:t>
      </w:r>
      <w:r>
        <w:rPr>
          <w:shd w:val="clear" w:color="auto" w:fill="FFFFFF"/>
          <w:lang w:val="en-GB"/>
        </w:rPr>
        <w:t>ould be</w:t>
      </w:r>
      <w:r w:rsidRPr="00420F76">
        <w:rPr>
          <w:shd w:val="clear" w:color="auto" w:fill="FFFFFF"/>
          <w:lang w:val="en-GB"/>
        </w:rPr>
        <w:t xml:space="preserve"> required to prove that they </w:t>
      </w:r>
      <w:r>
        <w:rPr>
          <w:shd w:val="clear" w:color="auto" w:fill="FFFFFF"/>
          <w:lang w:val="en-GB"/>
        </w:rPr>
        <w:t xml:space="preserve">had </w:t>
      </w:r>
      <w:r w:rsidRPr="00420F76">
        <w:rPr>
          <w:shd w:val="clear" w:color="auto" w:fill="FFFFFF"/>
          <w:lang w:val="en-GB"/>
        </w:rPr>
        <w:t xml:space="preserve">suffered </w:t>
      </w:r>
      <w:r>
        <w:rPr>
          <w:shd w:val="clear" w:color="auto" w:fill="FFFFFF"/>
          <w:lang w:val="en-GB"/>
        </w:rPr>
        <w:t xml:space="preserve">a </w:t>
      </w:r>
      <w:r w:rsidRPr="00420F76">
        <w:rPr>
          <w:shd w:val="clear" w:color="auto" w:fill="FFFFFF"/>
          <w:lang w:val="en-GB"/>
        </w:rPr>
        <w:t>significant drop in revenue due to business interruption.</w:t>
      </w:r>
      <w:r w:rsidRPr="00420F76">
        <w:rPr>
          <w:rStyle w:val="EndnoteReference"/>
          <w:shd w:val="clear" w:color="auto" w:fill="FFFFFF"/>
          <w:lang w:val="en-GB"/>
        </w:rPr>
        <w:endnoteReference w:id="60"/>
      </w:r>
      <w:r w:rsidRPr="00420F76">
        <w:rPr>
          <w:shd w:val="clear" w:color="auto" w:fill="FFFFFF"/>
          <w:lang w:val="en-GB"/>
        </w:rPr>
        <w:t xml:space="preserve"> Commenting on previous government-backed policies, David French, </w:t>
      </w:r>
      <w:r>
        <w:rPr>
          <w:shd w:val="clear" w:color="auto" w:fill="FFFFFF"/>
          <w:lang w:val="en-GB"/>
        </w:rPr>
        <w:t>the s</w:t>
      </w:r>
      <w:r w:rsidRPr="00420F76">
        <w:rPr>
          <w:shd w:val="clear" w:color="auto" w:fill="FFFFFF"/>
          <w:lang w:val="en-GB"/>
        </w:rPr>
        <w:t xml:space="preserve">enior </w:t>
      </w:r>
      <w:r>
        <w:rPr>
          <w:shd w:val="clear" w:color="auto" w:fill="FFFFFF"/>
          <w:lang w:val="en-GB"/>
        </w:rPr>
        <w:t>v</w:t>
      </w:r>
      <w:r w:rsidRPr="00420F76">
        <w:rPr>
          <w:shd w:val="clear" w:color="auto" w:fill="FFFFFF"/>
          <w:lang w:val="en-GB"/>
        </w:rPr>
        <w:t>ice</w:t>
      </w:r>
      <w:r>
        <w:rPr>
          <w:shd w:val="clear" w:color="auto" w:fill="FFFFFF"/>
          <w:lang w:val="en-GB"/>
        </w:rPr>
        <w:t>-p</w:t>
      </w:r>
      <w:r w:rsidRPr="00420F76">
        <w:rPr>
          <w:shd w:val="clear" w:color="auto" w:fill="FFFFFF"/>
          <w:lang w:val="en-GB"/>
        </w:rPr>
        <w:t xml:space="preserve">resident for </w:t>
      </w:r>
      <w:r>
        <w:rPr>
          <w:shd w:val="clear" w:color="auto" w:fill="FFFFFF"/>
          <w:lang w:val="en-GB"/>
        </w:rPr>
        <w:t>g</w:t>
      </w:r>
      <w:r w:rsidRPr="00420F76">
        <w:rPr>
          <w:shd w:val="clear" w:color="auto" w:fill="FFFFFF"/>
          <w:lang w:val="en-GB"/>
        </w:rPr>
        <w:t xml:space="preserve">overnment </w:t>
      </w:r>
      <w:r>
        <w:rPr>
          <w:shd w:val="clear" w:color="auto" w:fill="FFFFFF"/>
          <w:lang w:val="en-GB"/>
        </w:rPr>
        <w:t>r</w:t>
      </w:r>
      <w:r w:rsidRPr="00420F76">
        <w:rPr>
          <w:shd w:val="clear" w:color="auto" w:fill="FFFFFF"/>
          <w:lang w:val="en-GB"/>
        </w:rPr>
        <w:t>elations at NRF, s</w:t>
      </w:r>
      <w:r>
        <w:rPr>
          <w:shd w:val="clear" w:color="auto" w:fill="FFFFFF"/>
          <w:lang w:val="en-GB"/>
        </w:rPr>
        <w:t>t</w:t>
      </w:r>
      <w:r w:rsidRPr="00420F76">
        <w:rPr>
          <w:shd w:val="clear" w:color="auto" w:fill="FFFFFF"/>
          <w:lang w:val="en-GB"/>
        </w:rPr>
        <w:t>a</w:t>
      </w:r>
      <w:r>
        <w:rPr>
          <w:shd w:val="clear" w:color="auto" w:fill="FFFFFF"/>
          <w:lang w:val="en-GB"/>
        </w:rPr>
        <w:t>te</w:t>
      </w:r>
      <w:r w:rsidRPr="00420F76">
        <w:rPr>
          <w:shd w:val="clear" w:color="auto" w:fill="FFFFFF"/>
          <w:lang w:val="en-GB"/>
        </w:rPr>
        <w:t>d, “When businesses couldn’t obtain coverage for acts of terrorism after 9/11, Congress stepped in</w:t>
      </w:r>
      <w:r>
        <w:rPr>
          <w:shd w:val="clear" w:color="auto" w:fill="FFFFFF"/>
          <w:lang w:val="en-GB"/>
        </w:rPr>
        <w:t xml:space="preserve">. . . . </w:t>
      </w:r>
      <w:r w:rsidRPr="00420F76">
        <w:rPr>
          <w:shd w:val="clear" w:color="auto" w:fill="FFFFFF"/>
          <w:lang w:val="en-GB"/>
        </w:rPr>
        <w:t>It’s time for Washington to do the same for pandemics.”</w:t>
      </w:r>
      <w:r w:rsidRPr="00420F76">
        <w:rPr>
          <w:rStyle w:val="EndnoteReference"/>
          <w:shd w:val="clear" w:color="auto" w:fill="FFFFFF"/>
          <w:lang w:val="en-GB"/>
        </w:rPr>
        <w:endnoteReference w:id="61"/>
      </w:r>
      <w:r w:rsidRPr="00420F76">
        <w:rPr>
          <w:shd w:val="clear" w:color="auto" w:fill="FFFFFF"/>
          <w:lang w:val="en-GB"/>
        </w:rPr>
        <w:t xml:space="preserve"> </w:t>
      </w:r>
    </w:p>
    <w:p w14:paraId="3150955B" w14:textId="0B594D1D" w:rsidR="007B72F2" w:rsidRPr="00302FFF" w:rsidRDefault="007B72F2" w:rsidP="00330F81">
      <w:pPr>
        <w:pStyle w:val="BodyTextMain"/>
        <w:rPr>
          <w:spacing w:val="-5"/>
          <w:shd w:val="clear" w:color="auto" w:fill="FFFFFF"/>
          <w:lang w:val="en-GB"/>
        </w:rPr>
      </w:pPr>
    </w:p>
    <w:p w14:paraId="7BEFFEDD" w14:textId="77777777" w:rsidR="007B72F2" w:rsidRPr="00302FFF" w:rsidRDefault="007B72F2" w:rsidP="00330F81">
      <w:pPr>
        <w:pStyle w:val="BodyTextMain"/>
        <w:rPr>
          <w:spacing w:val="-5"/>
          <w:shd w:val="clear" w:color="auto" w:fill="FFFFFF"/>
          <w:lang w:val="en-GB"/>
        </w:rPr>
      </w:pPr>
    </w:p>
    <w:p w14:paraId="7B7E901C" w14:textId="6AF369AC" w:rsidR="007B72F2" w:rsidRPr="00302FFF" w:rsidRDefault="007B72F2" w:rsidP="00330F81">
      <w:pPr>
        <w:pStyle w:val="Casehead2"/>
        <w:rPr>
          <w:shd w:val="clear" w:color="auto" w:fill="FFFFFF"/>
          <w:lang w:val="en-GB"/>
        </w:rPr>
      </w:pPr>
      <w:r w:rsidRPr="00302FFF">
        <w:rPr>
          <w:shd w:val="clear" w:color="auto" w:fill="FFFFFF"/>
          <w:lang w:val="en-GB"/>
        </w:rPr>
        <w:t xml:space="preserve">Past Interventions by the </w:t>
      </w:r>
      <w:r>
        <w:rPr>
          <w:shd w:val="clear" w:color="auto" w:fill="FFFFFF"/>
          <w:lang w:val="en-GB"/>
        </w:rPr>
        <w:t>US</w:t>
      </w:r>
      <w:r w:rsidRPr="00302FFF">
        <w:rPr>
          <w:shd w:val="clear" w:color="auto" w:fill="FFFFFF"/>
          <w:lang w:val="en-GB"/>
        </w:rPr>
        <w:t xml:space="preserve"> Government in Catastrophic Business Interruption Insurance</w:t>
      </w:r>
    </w:p>
    <w:p w14:paraId="416B6A06" w14:textId="77777777" w:rsidR="007B72F2" w:rsidRPr="00302FFF" w:rsidRDefault="007B72F2" w:rsidP="00330F81">
      <w:pPr>
        <w:pStyle w:val="BodyTextMain"/>
        <w:rPr>
          <w:spacing w:val="-5"/>
          <w:shd w:val="clear" w:color="auto" w:fill="FFFFFF"/>
          <w:lang w:val="en-GB"/>
        </w:rPr>
      </w:pPr>
    </w:p>
    <w:p w14:paraId="2C993CF5" w14:textId="4AD453FE" w:rsidR="007B72F2" w:rsidRDefault="007B72F2" w:rsidP="00330F81">
      <w:pPr>
        <w:pStyle w:val="BodyTextMain"/>
        <w:rPr>
          <w:lang w:val="en-GB"/>
        </w:rPr>
      </w:pPr>
      <w:r>
        <w:rPr>
          <w:shd w:val="clear" w:color="auto" w:fill="FFFFFF"/>
          <w:lang w:val="en-GB"/>
        </w:rPr>
        <w:t>T</w:t>
      </w:r>
      <w:r w:rsidRPr="00302FFF">
        <w:rPr>
          <w:shd w:val="clear" w:color="auto" w:fill="FFFFFF"/>
          <w:lang w:val="en-GB"/>
        </w:rPr>
        <w:t>he tragedy of September 11, 2001</w:t>
      </w:r>
      <w:r>
        <w:rPr>
          <w:shd w:val="clear" w:color="auto" w:fill="FFFFFF"/>
          <w:lang w:val="en-GB"/>
        </w:rPr>
        <w:t>,</w:t>
      </w:r>
      <w:r w:rsidRPr="00302FFF">
        <w:rPr>
          <w:shd w:val="clear" w:color="auto" w:fill="FFFFFF"/>
          <w:lang w:val="en-GB"/>
        </w:rPr>
        <w:t xml:space="preserve"> was considered </w:t>
      </w:r>
      <w:r>
        <w:rPr>
          <w:shd w:val="clear" w:color="auto" w:fill="FFFFFF"/>
          <w:lang w:val="en-GB"/>
        </w:rPr>
        <w:t>an</w:t>
      </w:r>
      <w:r w:rsidRPr="00302FFF">
        <w:rPr>
          <w:shd w:val="clear" w:color="auto" w:fill="FFFFFF"/>
          <w:lang w:val="en-GB"/>
        </w:rPr>
        <w:t xml:space="preserve"> appropriate comparison in magnitude to </w:t>
      </w:r>
      <w:r>
        <w:rPr>
          <w:shd w:val="clear" w:color="auto" w:fill="FFFFFF"/>
          <w:lang w:val="en-GB"/>
        </w:rPr>
        <w:t xml:space="preserve">the </w:t>
      </w:r>
      <w:r w:rsidRPr="00302FFF">
        <w:rPr>
          <w:shd w:val="clear" w:color="auto" w:fill="FFFFFF"/>
          <w:lang w:val="en-GB"/>
        </w:rPr>
        <w:t xml:space="preserve">COVID-19 </w:t>
      </w:r>
      <w:r>
        <w:rPr>
          <w:shd w:val="clear" w:color="auto" w:fill="FFFFFF"/>
          <w:lang w:val="en-GB"/>
        </w:rPr>
        <w:t>pandemic. After that tragedy</w:t>
      </w:r>
      <w:r w:rsidRPr="00302FFF">
        <w:rPr>
          <w:shd w:val="clear" w:color="auto" w:fill="FFFFFF"/>
          <w:lang w:val="en-GB"/>
        </w:rPr>
        <w:t xml:space="preserve">, </w:t>
      </w:r>
      <w:r>
        <w:rPr>
          <w:shd w:val="clear" w:color="auto" w:fill="FFFFFF"/>
          <w:lang w:val="en-GB"/>
        </w:rPr>
        <w:t xml:space="preserve">the </w:t>
      </w:r>
      <w:r w:rsidRPr="00302FFF">
        <w:rPr>
          <w:shd w:val="clear" w:color="auto" w:fill="FFFFFF"/>
          <w:lang w:val="en-GB"/>
        </w:rPr>
        <w:t>U</w:t>
      </w:r>
      <w:r>
        <w:rPr>
          <w:shd w:val="clear" w:color="auto" w:fill="FFFFFF"/>
          <w:lang w:val="en-GB"/>
        </w:rPr>
        <w:t xml:space="preserve">nited </w:t>
      </w:r>
      <w:r w:rsidRPr="00302FFF">
        <w:rPr>
          <w:shd w:val="clear" w:color="auto" w:fill="FFFFFF"/>
          <w:lang w:val="en-GB"/>
        </w:rPr>
        <w:t>S</w:t>
      </w:r>
      <w:r>
        <w:rPr>
          <w:shd w:val="clear" w:color="auto" w:fill="FFFFFF"/>
          <w:lang w:val="en-GB"/>
        </w:rPr>
        <w:t>tates</w:t>
      </w:r>
      <w:r w:rsidRPr="00302FFF">
        <w:rPr>
          <w:shd w:val="clear" w:color="auto" w:fill="FFFFFF"/>
          <w:lang w:val="en-GB"/>
        </w:rPr>
        <w:t xml:space="preserve"> Congress passed the</w:t>
      </w:r>
      <w:r>
        <w:rPr>
          <w:shd w:val="clear" w:color="auto" w:fill="FFFFFF"/>
          <w:lang w:val="en-GB"/>
        </w:rPr>
        <w:t xml:space="preserve"> </w:t>
      </w:r>
      <w:r w:rsidRPr="00A15306">
        <w:rPr>
          <w:i/>
          <w:iCs/>
          <w:bdr w:val="none" w:sz="0" w:space="0" w:color="auto" w:frame="1"/>
          <w:shd w:val="clear" w:color="auto" w:fill="FFFFFF"/>
          <w:lang w:val="en-GB"/>
        </w:rPr>
        <w:t>Terrorism Risk Insurance Act</w:t>
      </w:r>
      <w:r w:rsidRPr="00302FFF">
        <w:rPr>
          <w:bdr w:val="none" w:sz="0" w:space="0" w:color="auto" w:frame="1"/>
          <w:shd w:val="clear" w:color="auto" w:fill="FFFFFF"/>
          <w:lang w:val="en-GB"/>
        </w:rPr>
        <w:t xml:space="preserve"> (TRIA)</w:t>
      </w:r>
      <w:r w:rsidRPr="00302FFF">
        <w:rPr>
          <w:shd w:val="clear" w:color="auto" w:fill="FFFFFF"/>
          <w:lang w:val="en-GB"/>
        </w:rPr>
        <w:t xml:space="preserve">. </w:t>
      </w:r>
      <w:r>
        <w:rPr>
          <w:shd w:val="clear" w:color="auto" w:fill="FFFFFF"/>
          <w:lang w:val="en-GB"/>
        </w:rPr>
        <w:t>In partnership with</w:t>
      </w:r>
      <w:r w:rsidRPr="00302FFF">
        <w:rPr>
          <w:shd w:val="clear" w:color="auto" w:fill="FFFFFF"/>
          <w:lang w:val="en-GB"/>
        </w:rPr>
        <w:t xml:space="preserve"> the federal Terrorism Risk Insurance Program, </w:t>
      </w:r>
      <w:r>
        <w:rPr>
          <w:shd w:val="clear" w:color="auto" w:fill="FFFFFF"/>
          <w:lang w:val="en-GB"/>
        </w:rPr>
        <w:t>TRIA</w:t>
      </w:r>
      <w:r w:rsidRPr="00302FFF">
        <w:rPr>
          <w:shd w:val="clear" w:color="auto" w:fill="FFFFFF"/>
          <w:lang w:val="en-GB"/>
        </w:rPr>
        <w:t xml:space="preserve"> provided terrorism insurance to </w:t>
      </w:r>
      <w:r>
        <w:rPr>
          <w:shd w:val="clear" w:color="auto" w:fill="FFFFFF"/>
          <w:lang w:val="en-GB"/>
        </w:rPr>
        <w:t>US</w:t>
      </w:r>
      <w:r w:rsidRPr="00302FFF">
        <w:rPr>
          <w:shd w:val="clear" w:color="auto" w:fill="FFFFFF"/>
          <w:lang w:val="en-GB"/>
        </w:rPr>
        <w:t xml:space="preserve"> policyholders by offering a backstop for losses payable by the U</w:t>
      </w:r>
      <w:r>
        <w:rPr>
          <w:shd w:val="clear" w:color="auto" w:fill="FFFFFF"/>
          <w:lang w:val="en-GB"/>
        </w:rPr>
        <w:t xml:space="preserve">nited </w:t>
      </w:r>
      <w:r w:rsidRPr="00302FFF">
        <w:rPr>
          <w:shd w:val="clear" w:color="auto" w:fill="FFFFFF"/>
          <w:lang w:val="en-GB"/>
        </w:rPr>
        <w:t>S</w:t>
      </w:r>
      <w:r>
        <w:rPr>
          <w:shd w:val="clear" w:color="auto" w:fill="FFFFFF"/>
          <w:lang w:val="en-GB"/>
        </w:rPr>
        <w:t>tates</w:t>
      </w:r>
      <w:r w:rsidRPr="00302FFF">
        <w:rPr>
          <w:shd w:val="clear" w:color="auto" w:fill="FFFFFF"/>
          <w:lang w:val="en-GB"/>
        </w:rPr>
        <w:t xml:space="preserve"> Secretary of the Treasury.</w:t>
      </w:r>
      <w:r w:rsidRPr="00302FFF">
        <w:rPr>
          <w:rStyle w:val="EndnoteReference"/>
          <w:shd w:val="clear" w:color="auto" w:fill="FFFFFF"/>
          <w:lang w:val="en-GB"/>
        </w:rPr>
        <w:endnoteReference w:id="62"/>
      </w:r>
      <w:r w:rsidRPr="00302FFF">
        <w:rPr>
          <w:shd w:val="clear" w:color="auto" w:fill="FFFFFF"/>
          <w:lang w:val="en-GB"/>
        </w:rPr>
        <w:t xml:space="preserve"> </w:t>
      </w:r>
      <w:r w:rsidRPr="00302FFF">
        <w:rPr>
          <w:lang w:val="en-GB"/>
        </w:rPr>
        <w:t>Depending on company</w:t>
      </w:r>
      <w:r>
        <w:rPr>
          <w:lang w:val="en-GB"/>
        </w:rPr>
        <w:t xml:space="preserve"> </w:t>
      </w:r>
      <w:r w:rsidRPr="00302FFF">
        <w:rPr>
          <w:lang w:val="en-GB"/>
        </w:rPr>
        <w:t>size, premiums for terrorism coverage ranged $19</w:t>
      </w:r>
      <w:r>
        <w:rPr>
          <w:lang w:val="en-GB"/>
        </w:rPr>
        <w:t>–</w:t>
      </w:r>
      <w:r w:rsidRPr="00302FFF">
        <w:rPr>
          <w:lang w:val="en-GB"/>
        </w:rPr>
        <w:t xml:space="preserve">$49 </w:t>
      </w:r>
      <w:r>
        <w:rPr>
          <w:lang w:val="en-GB"/>
        </w:rPr>
        <w:t>for each $1</w:t>
      </w:r>
      <w:r w:rsidRPr="00302FFF">
        <w:rPr>
          <w:lang w:val="en-GB"/>
        </w:rPr>
        <w:t xml:space="preserve"> million </w:t>
      </w:r>
      <w:r>
        <w:rPr>
          <w:lang w:val="en-GB"/>
        </w:rPr>
        <w:t>in</w:t>
      </w:r>
      <w:r w:rsidRPr="00302FFF">
        <w:rPr>
          <w:lang w:val="en-GB"/>
        </w:rPr>
        <w:t xml:space="preserve"> insured value, and expenses generally represented 3</w:t>
      </w:r>
      <w:r>
        <w:rPr>
          <w:lang w:val="en-GB"/>
        </w:rPr>
        <w:t>–</w:t>
      </w:r>
      <w:r w:rsidRPr="00302FFF">
        <w:rPr>
          <w:lang w:val="en-GB"/>
        </w:rPr>
        <w:t>5 per</w:t>
      </w:r>
      <w:r>
        <w:rPr>
          <w:lang w:val="en-GB"/>
        </w:rPr>
        <w:t xml:space="preserve"> </w:t>
      </w:r>
      <w:r w:rsidRPr="00302FFF">
        <w:rPr>
          <w:lang w:val="en-GB"/>
        </w:rPr>
        <w:t>cent of a company’s property insurance costs. In 2020, a</w:t>
      </w:r>
      <w:r>
        <w:rPr>
          <w:lang w:val="en-GB"/>
        </w:rPr>
        <w:t>pp</w:t>
      </w:r>
      <w:r w:rsidRPr="00302FFF">
        <w:rPr>
          <w:lang w:val="en-GB"/>
        </w:rPr>
        <w:t>ro</w:t>
      </w:r>
      <w:r>
        <w:rPr>
          <w:lang w:val="en-GB"/>
        </w:rPr>
        <w:t>ximately</w:t>
      </w:r>
      <w:r w:rsidRPr="00302FFF">
        <w:rPr>
          <w:lang w:val="en-GB"/>
        </w:rPr>
        <w:t xml:space="preserve"> 60 per</w:t>
      </w:r>
      <w:r>
        <w:rPr>
          <w:lang w:val="en-GB"/>
        </w:rPr>
        <w:t xml:space="preserve"> </w:t>
      </w:r>
      <w:r w:rsidRPr="00302FFF">
        <w:rPr>
          <w:lang w:val="en-GB"/>
        </w:rPr>
        <w:t xml:space="preserve">cent of </w:t>
      </w:r>
      <w:r>
        <w:rPr>
          <w:lang w:val="en-GB"/>
        </w:rPr>
        <w:t xml:space="preserve">US </w:t>
      </w:r>
      <w:r w:rsidRPr="00302FFF">
        <w:rPr>
          <w:lang w:val="en-GB"/>
        </w:rPr>
        <w:t>businesses had</w:t>
      </w:r>
      <w:r>
        <w:rPr>
          <w:lang w:val="en-GB"/>
        </w:rPr>
        <w:t xml:space="preserve"> bought</w:t>
      </w:r>
      <w:r w:rsidRPr="00302FFF">
        <w:rPr>
          <w:lang w:val="en-GB"/>
        </w:rPr>
        <w:t xml:space="preserve"> terrorism insurance.</w:t>
      </w:r>
      <w:r w:rsidRPr="00302FFF">
        <w:rPr>
          <w:rStyle w:val="EndnoteReference"/>
          <w:lang w:val="en-GB"/>
        </w:rPr>
        <w:endnoteReference w:id="63"/>
      </w:r>
      <w:r w:rsidRPr="00302FFF">
        <w:rPr>
          <w:lang w:val="en-GB"/>
        </w:rPr>
        <w:t xml:space="preserve"> </w:t>
      </w:r>
    </w:p>
    <w:p w14:paraId="3C7BF212" w14:textId="77777777" w:rsidR="007B72F2" w:rsidRDefault="007B72F2" w:rsidP="00330F81">
      <w:pPr>
        <w:pStyle w:val="BodyTextMain"/>
        <w:rPr>
          <w:lang w:val="en-GB"/>
        </w:rPr>
      </w:pPr>
    </w:p>
    <w:p w14:paraId="50CF38BA" w14:textId="66C95FDD" w:rsidR="007B72F2" w:rsidRPr="00302FFF" w:rsidRDefault="007B72F2" w:rsidP="00330F81">
      <w:pPr>
        <w:pStyle w:val="BodyTextMain"/>
        <w:rPr>
          <w:lang w:val="en-GB"/>
        </w:rPr>
      </w:pPr>
      <w:r w:rsidRPr="00302FFF">
        <w:rPr>
          <w:lang w:val="en-GB"/>
        </w:rPr>
        <w:t xml:space="preserve">Government-backed insurance programs were also used in other countries. </w:t>
      </w:r>
      <w:r>
        <w:rPr>
          <w:lang w:val="en-GB"/>
        </w:rPr>
        <w:t xml:space="preserve">For example, </w:t>
      </w:r>
      <w:r w:rsidRPr="00302FFF">
        <w:rPr>
          <w:lang w:val="en-GB"/>
        </w:rPr>
        <w:t>France</w:t>
      </w:r>
      <w:r>
        <w:rPr>
          <w:lang w:val="en-GB"/>
        </w:rPr>
        <w:t xml:space="preserve"> had</w:t>
      </w:r>
      <w:r w:rsidRPr="00302FFF">
        <w:rPr>
          <w:lang w:val="en-GB"/>
        </w:rPr>
        <w:t xml:space="preserve"> installed the</w:t>
      </w:r>
      <w:bookmarkStart w:id="8" w:name="_Hlk45463336"/>
      <w:r>
        <w:rPr>
          <w:lang w:val="en-GB"/>
        </w:rPr>
        <w:t xml:space="preserve"> </w:t>
      </w:r>
      <w:r w:rsidRPr="00A15306">
        <w:rPr>
          <w:lang w:val="en-GB"/>
        </w:rPr>
        <w:t>Caisse Centrale de Réassurance</w:t>
      </w:r>
      <w:r>
        <w:rPr>
          <w:lang w:val="en-GB"/>
        </w:rPr>
        <w:t xml:space="preserve"> </w:t>
      </w:r>
      <w:r w:rsidRPr="00302FFF">
        <w:rPr>
          <w:lang w:val="en-GB"/>
        </w:rPr>
        <w:t>(CCR)</w:t>
      </w:r>
      <w:bookmarkEnd w:id="8"/>
      <w:r w:rsidRPr="00302FFF">
        <w:rPr>
          <w:lang w:val="en-GB"/>
        </w:rPr>
        <w:t>, a government-owned reinsurance company that provided coverage for natural disasters.</w:t>
      </w:r>
      <w:r w:rsidRPr="00302FFF">
        <w:rPr>
          <w:rStyle w:val="EndnoteReference"/>
          <w:lang w:val="en-GB"/>
        </w:rPr>
        <w:endnoteReference w:id="64"/>
      </w:r>
      <w:r w:rsidRPr="00302FFF">
        <w:rPr>
          <w:lang w:val="en-GB"/>
        </w:rPr>
        <w:t xml:space="preserve"> The </w:t>
      </w:r>
      <w:r>
        <w:rPr>
          <w:lang w:val="en-GB"/>
        </w:rPr>
        <w:t xml:space="preserve">government </w:t>
      </w:r>
      <w:r w:rsidRPr="00302FFF">
        <w:rPr>
          <w:lang w:val="en-GB"/>
        </w:rPr>
        <w:t xml:space="preserve">reinsurance </w:t>
      </w:r>
      <w:r>
        <w:rPr>
          <w:lang w:val="en-GB"/>
        </w:rPr>
        <w:t xml:space="preserve">program had reasonably priced </w:t>
      </w:r>
      <w:r w:rsidRPr="00302FFF">
        <w:rPr>
          <w:lang w:val="en-GB"/>
        </w:rPr>
        <w:t>premiums and offered unlimited coverage.</w:t>
      </w:r>
      <w:r w:rsidRPr="00302FFF">
        <w:rPr>
          <w:rStyle w:val="EndnoteReference"/>
          <w:lang w:val="en-GB"/>
        </w:rPr>
        <w:endnoteReference w:id="65"/>
      </w:r>
      <w:r w:rsidRPr="00302FFF">
        <w:rPr>
          <w:lang w:val="en-GB"/>
        </w:rPr>
        <w:t xml:space="preserve"> </w:t>
      </w:r>
      <w:r>
        <w:rPr>
          <w:lang w:val="en-GB"/>
        </w:rPr>
        <w:t>W</w:t>
      </w:r>
      <w:r w:rsidRPr="00302FFF">
        <w:rPr>
          <w:lang w:val="en-GB"/>
        </w:rPr>
        <w:t xml:space="preserve">hen the CCR was on the verge of bankruptcy in 1999, </w:t>
      </w:r>
      <w:r>
        <w:rPr>
          <w:lang w:val="en-GB"/>
        </w:rPr>
        <w:t xml:space="preserve">it received </w:t>
      </w:r>
      <w:bookmarkStart w:id="9" w:name="_Hlk45463358"/>
      <w:r w:rsidRPr="00302FFF">
        <w:rPr>
          <w:lang w:val="en-GB"/>
        </w:rPr>
        <w:t>$520 million</w:t>
      </w:r>
      <w:bookmarkEnd w:id="9"/>
      <w:r w:rsidRPr="00302FFF">
        <w:rPr>
          <w:lang w:val="en-GB"/>
        </w:rPr>
        <w:t xml:space="preserve"> </w:t>
      </w:r>
      <w:r>
        <w:rPr>
          <w:lang w:val="en-GB"/>
        </w:rPr>
        <w:t xml:space="preserve">from </w:t>
      </w:r>
      <w:r w:rsidRPr="00302FFF">
        <w:rPr>
          <w:lang w:val="en-GB"/>
        </w:rPr>
        <w:t>the French government so that it could hono</w:t>
      </w:r>
      <w:r>
        <w:rPr>
          <w:lang w:val="en-GB"/>
        </w:rPr>
        <w:t>u</w:t>
      </w:r>
      <w:r w:rsidRPr="00302FFF">
        <w:rPr>
          <w:lang w:val="en-GB"/>
        </w:rPr>
        <w:t>r its commitments.</w:t>
      </w:r>
      <w:r w:rsidRPr="00302FFF">
        <w:rPr>
          <w:rStyle w:val="EndnoteReference"/>
          <w:lang w:val="en-GB"/>
        </w:rPr>
        <w:endnoteReference w:id="66"/>
      </w:r>
    </w:p>
    <w:p w14:paraId="38C01B87" w14:textId="77777777" w:rsidR="007B72F2" w:rsidRPr="00302FFF" w:rsidRDefault="007B72F2" w:rsidP="00330F81">
      <w:pPr>
        <w:pStyle w:val="BodyTextMain"/>
        <w:rPr>
          <w:lang w:val="en-GB"/>
        </w:rPr>
      </w:pPr>
    </w:p>
    <w:p w14:paraId="3CECC95C" w14:textId="12DC6575" w:rsidR="007B72F2" w:rsidRPr="00302FFF" w:rsidRDefault="007B72F2" w:rsidP="00330F81">
      <w:pPr>
        <w:pStyle w:val="BodyTextMain"/>
        <w:rPr>
          <w:lang w:val="en-GB"/>
        </w:rPr>
      </w:pPr>
      <w:r w:rsidRPr="00302FFF">
        <w:rPr>
          <w:spacing w:val="-5"/>
          <w:shd w:val="clear" w:color="auto" w:fill="FFFFFF"/>
          <w:lang w:val="en-GB"/>
        </w:rPr>
        <w:t xml:space="preserve">In 2014, </w:t>
      </w:r>
      <w:r w:rsidRPr="00302FFF">
        <w:rPr>
          <w:lang w:val="en-GB"/>
        </w:rPr>
        <w:t xml:space="preserve">some conservative lawmakers demanded </w:t>
      </w:r>
      <w:r>
        <w:rPr>
          <w:lang w:val="en-GB"/>
        </w:rPr>
        <w:t>changes to the</w:t>
      </w:r>
      <w:r w:rsidRPr="00302FFF">
        <w:rPr>
          <w:spacing w:val="-5"/>
          <w:shd w:val="clear" w:color="auto" w:fill="FFFFFF"/>
          <w:lang w:val="en-GB"/>
        </w:rPr>
        <w:t xml:space="preserve"> TRIA</w:t>
      </w:r>
      <w:r>
        <w:rPr>
          <w:spacing w:val="-5"/>
          <w:shd w:val="clear" w:color="auto" w:fill="FFFFFF"/>
          <w:lang w:val="en-GB"/>
        </w:rPr>
        <w:t xml:space="preserve"> program. They asked</w:t>
      </w:r>
      <w:r w:rsidRPr="00302FFF">
        <w:rPr>
          <w:lang w:val="en-GB"/>
        </w:rPr>
        <w:t xml:space="preserve"> the private sector</w:t>
      </w:r>
      <w:r>
        <w:rPr>
          <w:lang w:val="en-GB"/>
        </w:rPr>
        <w:t xml:space="preserve"> to</w:t>
      </w:r>
      <w:r w:rsidRPr="00302FFF">
        <w:rPr>
          <w:lang w:val="en-GB"/>
        </w:rPr>
        <w:t xml:space="preserve"> pay more </w:t>
      </w:r>
      <w:r>
        <w:rPr>
          <w:lang w:val="en-GB"/>
        </w:rPr>
        <w:t xml:space="preserve">for </w:t>
      </w:r>
      <w:r w:rsidRPr="00302FFF">
        <w:rPr>
          <w:lang w:val="en-GB"/>
        </w:rPr>
        <w:t>terror-related losses before the federal government funding could come into play.</w:t>
      </w:r>
      <w:r w:rsidRPr="00302FFF">
        <w:rPr>
          <w:rStyle w:val="EndnoteReference"/>
          <w:lang w:val="en-GB"/>
        </w:rPr>
        <w:endnoteReference w:id="67"/>
      </w:r>
      <w:r w:rsidRPr="00302FFF">
        <w:rPr>
          <w:lang w:val="en-GB"/>
        </w:rPr>
        <w:t xml:space="preserve"> Jennifer Rubin, head of the terrorism, war, and political violence products line for </w:t>
      </w:r>
      <w:r>
        <w:rPr>
          <w:lang w:val="en-GB"/>
        </w:rPr>
        <w:t xml:space="preserve">the British insurance company </w:t>
      </w:r>
      <w:r w:rsidRPr="00302FFF">
        <w:rPr>
          <w:lang w:val="en-GB"/>
        </w:rPr>
        <w:t>Hiscox</w:t>
      </w:r>
      <w:r>
        <w:rPr>
          <w:lang w:val="en-GB"/>
        </w:rPr>
        <w:t xml:space="preserve"> Ltd.</w:t>
      </w:r>
      <w:r w:rsidRPr="00302FFF">
        <w:rPr>
          <w:lang w:val="en-GB"/>
        </w:rPr>
        <w:t xml:space="preserve">, </w:t>
      </w:r>
      <w:r>
        <w:rPr>
          <w:lang w:val="en-GB"/>
        </w:rPr>
        <w:t>c</w:t>
      </w:r>
      <w:r w:rsidRPr="00302FFF">
        <w:rPr>
          <w:lang w:val="en-GB"/>
        </w:rPr>
        <w:t>omment</w:t>
      </w:r>
      <w:r>
        <w:rPr>
          <w:lang w:val="en-GB"/>
        </w:rPr>
        <w:t>ed</w:t>
      </w:r>
      <w:r w:rsidRPr="00302FFF">
        <w:rPr>
          <w:lang w:val="en-GB"/>
        </w:rPr>
        <w:t xml:space="preserve"> on the federal government funding</w:t>
      </w:r>
      <w:r>
        <w:rPr>
          <w:lang w:val="en-GB"/>
        </w:rPr>
        <w:t>:</w:t>
      </w:r>
      <w:r w:rsidRPr="00302FFF">
        <w:rPr>
          <w:lang w:val="en-GB"/>
        </w:rPr>
        <w:t xml:space="preserve"> “What we experienced during that two-week period was basically insanity.”</w:t>
      </w:r>
      <w:r w:rsidRPr="00302FFF">
        <w:rPr>
          <w:rStyle w:val="EndnoteReference"/>
          <w:lang w:val="en-GB"/>
        </w:rPr>
        <w:endnoteReference w:id="68"/>
      </w:r>
      <w:r w:rsidRPr="00302FFF">
        <w:rPr>
          <w:lang w:val="en-GB"/>
        </w:rPr>
        <w:t xml:space="preserve"> </w:t>
      </w:r>
      <w:r>
        <w:rPr>
          <w:lang w:val="en-GB"/>
        </w:rPr>
        <w:t>The insurer</w:t>
      </w:r>
      <w:r w:rsidRPr="00302FFF">
        <w:rPr>
          <w:lang w:val="en-GB"/>
        </w:rPr>
        <w:t xml:space="preserve"> </w:t>
      </w:r>
      <w:r>
        <w:rPr>
          <w:lang w:val="en-GB"/>
        </w:rPr>
        <w:t>had been</w:t>
      </w:r>
      <w:r w:rsidRPr="00302FFF">
        <w:rPr>
          <w:lang w:val="en-GB"/>
        </w:rPr>
        <w:t xml:space="preserve"> inundated with requests for standalone coverage of terrorism policies that were not backed by government funding, despite the</w:t>
      </w:r>
      <w:r>
        <w:rPr>
          <w:lang w:val="en-GB"/>
        </w:rPr>
        <w:t>ir</w:t>
      </w:r>
      <w:r w:rsidRPr="00302FFF">
        <w:rPr>
          <w:lang w:val="en-GB"/>
        </w:rPr>
        <w:t xml:space="preserve"> much </w:t>
      </w:r>
      <w:r>
        <w:rPr>
          <w:lang w:val="en-GB"/>
        </w:rPr>
        <w:t xml:space="preserve">higher </w:t>
      </w:r>
      <w:r w:rsidRPr="00302FFF">
        <w:rPr>
          <w:lang w:val="en-GB"/>
        </w:rPr>
        <w:t>cost in metropolitan areas such as New York, Washington D</w:t>
      </w:r>
      <w:r>
        <w:rPr>
          <w:lang w:val="en-GB"/>
        </w:rPr>
        <w:t>.</w:t>
      </w:r>
      <w:r w:rsidRPr="00302FFF">
        <w:rPr>
          <w:lang w:val="en-GB"/>
        </w:rPr>
        <w:t>C</w:t>
      </w:r>
      <w:r>
        <w:rPr>
          <w:lang w:val="en-GB"/>
        </w:rPr>
        <w:t>.</w:t>
      </w:r>
      <w:r w:rsidRPr="00302FFF">
        <w:rPr>
          <w:lang w:val="en-GB"/>
        </w:rPr>
        <w:t>, or Los Angeles. Customers preferred Hiscox</w:t>
      </w:r>
      <w:r>
        <w:rPr>
          <w:lang w:val="en-GB"/>
        </w:rPr>
        <w:t xml:space="preserve"> Ltd. because</w:t>
      </w:r>
      <w:r w:rsidRPr="00302FFF">
        <w:rPr>
          <w:lang w:val="en-GB"/>
        </w:rPr>
        <w:t xml:space="preserve"> government-backed terrorism policies had more restrictions, </w:t>
      </w:r>
      <w:r>
        <w:rPr>
          <w:lang w:val="en-GB"/>
        </w:rPr>
        <w:t>such as</w:t>
      </w:r>
      <w:r w:rsidRPr="00302FFF">
        <w:rPr>
          <w:lang w:val="en-GB"/>
        </w:rPr>
        <w:t xml:space="preserve"> requir</w:t>
      </w:r>
      <w:r>
        <w:rPr>
          <w:lang w:val="en-GB"/>
        </w:rPr>
        <w:t>ing</w:t>
      </w:r>
      <w:r w:rsidRPr="00302FFF">
        <w:rPr>
          <w:lang w:val="en-GB"/>
        </w:rPr>
        <w:t xml:space="preserve"> a </w:t>
      </w:r>
      <w:r>
        <w:rPr>
          <w:lang w:val="en-GB"/>
        </w:rPr>
        <w:t>US</w:t>
      </w:r>
      <w:r w:rsidRPr="00302FFF">
        <w:rPr>
          <w:lang w:val="en-GB"/>
        </w:rPr>
        <w:t xml:space="preserve"> government declaration </w:t>
      </w:r>
      <w:r>
        <w:rPr>
          <w:lang w:val="en-GB"/>
        </w:rPr>
        <w:t>of</w:t>
      </w:r>
      <w:r w:rsidRPr="00302FFF">
        <w:rPr>
          <w:lang w:val="en-GB"/>
        </w:rPr>
        <w:t xml:space="preserve"> international terrorism </w:t>
      </w:r>
      <w:r>
        <w:rPr>
          <w:lang w:val="en-GB"/>
        </w:rPr>
        <w:t>before claims would be accepted</w:t>
      </w:r>
      <w:r w:rsidRPr="00302FFF">
        <w:rPr>
          <w:lang w:val="en-GB"/>
        </w:rPr>
        <w:t>.</w:t>
      </w:r>
      <w:r w:rsidRPr="00302FFF">
        <w:rPr>
          <w:rStyle w:val="EndnoteReference"/>
          <w:lang w:val="en-GB"/>
        </w:rPr>
        <w:endnoteReference w:id="69"/>
      </w:r>
      <w:r w:rsidRPr="00302FFF">
        <w:rPr>
          <w:lang w:val="en-GB"/>
        </w:rPr>
        <w:t xml:space="preserve"> </w:t>
      </w:r>
    </w:p>
    <w:p w14:paraId="62F5948E" w14:textId="77777777" w:rsidR="007B72F2" w:rsidRPr="00302FFF" w:rsidRDefault="007B72F2" w:rsidP="00330F81">
      <w:pPr>
        <w:pStyle w:val="BodyTextMain"/>
        <w:rPr>
          <w:lang w:val="en-GB"/>
        </w:rPr>
      </w:pPr>
    </w:p>
    <w:p w14:paraId="0250E607" w14:textId="6013734F" w:rsidR="007B72F2" w:rsidRDefault="007B72F2" w:rsidP="00330F81">
      <w:pPr>
        <w:pStyle w:val="BodyTextMain"/>
        <w:rPr>
          <w:lang w:val="en-GB"/>
        </w:rPr>
      </w:pPr>
      <w:r w:rsidRPr="00302FFF">
        <w:rPr>
          <w:lang w:val="en-GB"/>
        </w:rPr>
        <w:t>T</w:t>
      </w:r>
      <w:r w:rsidRPr="00302FFF">
        <w:rPr>
          <w:shd w:val="clear" w:color="auto" w:fill="FFFFFF"/>
          <w:lang w:val="en-GB"/>
        </w:rPr>
        <w:t>he federal Terrorism Risk Insurance Progra</w:t>
      </w:r>
      <w:r>
        <w:rPr>
          <w:shd w:val="clear" w:color="auto" w:fill="FFFFFF"/>
          <w:lang w:val="en-GB"/>
        </w:rPr>
        <w:t>m</w:t>
      </w:r>
      <w:r w:rsidRPr="00302FFF">
        <w:rPr>
          <w:lang w:val="en-GB"/>
        </w:rPr>
        <w:t xml:space="preserve"> was set to expire at the end of 2020. Insurance companies were exploring the possibility of a standalone contingency policy, which would be activated if the government policy was not renewed by the end of 2020. The American Property Casualty Insurance Association was concerned </w:t>
      </w:r>
      <w:r>
        <w:rPr>
          <w:lang w:val="en-GB"/>
        </w:rPr>
        <w:t>about</w:t>
      </w:r>
      <w:r w:rsidRPr="00302FFF">
        <w:rPr>
          <w:lang w:val="en-GB"/>
        </w:rPr>
        <w:t xml:space="preserve"> the program’s timely renewal</w:t>
      </w:r>
      <w:r>
        <w:rPr>
          <w:lang w:val="en-GB"/>
        </w:rPr>
        <w:t>. The association</w:t>
      </w:r>
      <w:r w:rsidRPr="00302FFF">
        <w:rPr>
          <w:lang w:val="en-GB"/>
        </w:rPr>
        <w:t xml:space="preserve"> wanted to make the program permanent and offer clarity on cyber-terrorism.</w:t>
      </w:r>
      <w:r w:rsidRPr="00302FFF">
        <w:rPr>
          <w:rStyle w:val="EndnoteReference"/>
          <w:lang w:val="en-GB"/>
        </w:rPr>
        <w:endnoteReference w:id="70"/>
      </w:r>
      <w:r w:rsidRPr="00302FFF">
        <w:rPr>
          <w:lang w:val="en-GB"/>
        </w:rPr>
        <w:t xml:space="preserve"> </w:t>
      </w:r>
      <w:r>
        <w:rPr>
          <w:lang w:val="en-GB"/>
        </w:rPr>
        <w:t>However, with the program potentially expiring soon, i</w:t>
      </w:r>
      <w:r w:rsidRPr="00302FFF">
        <w:rPr>
          <w:lang w:val="en-GB"/>
        </w:rPr>
        <w:t>nsurers and brokers were exploring alternatives for commercial customers.</w:t>
      </w:r>
      <w:r w:rsidRPr="00302FFF">
        <w:rPr>
          <w:rStyle w:val="EndnoteReference"/>
          <w:lang w:val="en-GB"/>
        </w:rPr>
        <w:endnoteReference w:id="71"/>
      </w:r>
    </w:p>
    <w:p w14:paraId="401E3326" w14:textId="593E0D02" w:rsidR="007B72F2" w:rsidRDefault="007B72F2" w:rsidP="008D4A02">
      <w:pPr>
        <w:pStyle w:val="Casehead2"/>
        <w:rPr>
          <w:lang w:val="en-GB"/>
        </w:rPr>
      </w:pPr>
    </w:p>
    <w:p w14:paraId="050ACE4E" w14:textId="77777777" w:rsidR="007B72F2" w:rsidRPr="00302FFF" w:rsidRDefault="007B72F2" w:rsidP="008D4A02">
      <w:pPr>
        <w:pStyle w:val="Casehead2"/>
        <w:rPr>
          <w:lang w:val="en-GB"/>
        </w:rPr>
      </w:pPr>
    </w:p>
    <w:p w14:paraId="73428039" w14:textId="77777777" w:rsidR="007B72F2" w:rsidRPr="00302FFF" w:rsidRDefault="007B72F2" w:rsidP="007B72F2">
      <w:pPr>
        <w:pStyle w:val="Casehead2"/>
        <w:keepNext/>
        <w:rPr>
          <w:lang w:val="en-GB"/>
        </w:rPr>
      </w:pPr>
      <w:r w:rsidRPr="00302FFF">
        <w:rPr>
          <w:lang w:val="en-GB"/>
        </w:rPr>
        <w:lastRenderedPageBreak/>
        <w:t>The Role of Private Reinsurance Companies</w:t>
      </w:r>
    </w:p>
    <w:p w14:paraId="6438775A" w14:textId="77777777" w:rsidR="007B72F2" w:rsidRPr="00302FFF" w:rsidRDefault="007B72F2" w:rsidP="007B72F2">
      <w:pPr>
        <w:pStyle w:val="BodyTextMain"/>
        <w:keepNext/>
        <w:rPr>
          <w:lang w:val="en-GB"/>
        </w:rPr>
      </w:pPr>
    </w:p>
    <w:p w14:paraId="6547AAEF" w14:textId="4104ED00" w:rsidR="007B72F2" w:rsidRPr="00302FFF" w:rsidRDefault="007B72F2" w:rsidP="007B72F2">
      <w:pPr>
        <w:pStyle w:val="BodyTextMain"/>
        <w:keepNext/>
        <w:rPr>
          <w:lang w:val="en-GB"/>
        </w:rPr>
      </w:pPr>
      <w:r w:rsidRPr="00302FFF">
        <w:rPr>
          <w:lang w:val="en-GB"/>
        </w:rPr>
        <w:t>The top 20 reinsurance companies in the world lost their AAA capital adequacy rating in 2018 due to heavy payments made for catastrophic losses.</w:t>
      </w:r>
      <w:r w:rsidRPr="00302FFF">
        <w:rPr>
          <w:rStyle w:val="EndnoteReference"/>
          <w:lang w:val="en-GB"/>
        </w:rPr>
        <w:endnoteReference w:id="72"/>
      </w:r>
      <w:r w:rsidRPr="00302FFF">
        <w:rPr>
          <w:lang w:val="en-GB"/>
        </w:rPr>
        <w:t xml:space="preserve"> Their return on equity declined to 1.6 per</w:t>
      </w:r>
      <w:r>
        <w:rPr>
          <w:lang w:val="en-GB"/>
        </w:rPr>
        <w:t xml:space="preserve"> </w:t>
      </w:r>
      <w:r w:rsidRPr="00302FFF">
        <w:rPr>
          <w:lang w:val="en-GB"/>
        </w:rPr>
        <w:t xml:space="preserve">cent </w:t>
      </w:r>
      <w:r>
        <w:rPr>
          <w:lang w:val="en-GB"/>
        </w:rPr>
        <w:t xml:space="preserve">in 2017 </w:t>
      </w:r>
      <w:r w:rsidRPr="00302FFF">
        <w:rPr>
          <w:lang w:val="en-GB"/>
        </w:rPr>
        <w:t>and 2.9 per</w:t>
      </w:r>
      <w:r>
        <w:rPr>
          <w:lang w:val="en-GB"/>
        </w:rPr>
        <w:t xml:space="preserve"> </w:t>
      </w:r>
      <w:r w:rsidRPr="00302FFF">
        <w:rPr>
          <w:lang w:val="en-GB"/>
        </w:rPr>
        <w:t>cent in 2018, compar</w:t>
      </w:r>
      <w:r>
        <w:rPr>
          <w:lang w:val="en-GB"/>
        </w:rPr>
        <w:t>ed</w:t>
      </w:r>
      <w:r w:rsidRPr="00302FFF">
        <w:rPr>
          <w:lang w:val="en-GB"/>
        </w:rPr>
        <w:t xml:space="preserve"> to 12.5 per</w:t>
      </w:r>
      <w:r>
        <w:rPr>
          <w:lang w:val="en-GB"/>
        </w:rPr>
        <w:t xml:space="preserve"> </w:t>
      </w:r>
      <w:r w:rsidRPr="00302FFF">
        <w:rPr>
          <w:lang w:val="en-GB"/>
        </w:rPr>
        <w:t>cent in 2014.</w:t>
      </w:r>
      <w:r w:rsidRPr="00302FFF">
        <w:rPr>
          <w:rStyle w:val="EndnoteReference"/>
          <w:lang w:val="en-GB"/>
        </w:rPr>
        <w:endnoteReference w:id="73"/>
      </w:r>
      <w:r w:rsidRPr="00302FFF">
        <w:rPr>
          <w:lang w:val="en-GB"/>
        </w:rPr>
        <w:t xml:space="preserve"> However, between 2014 </w:t>
      </w:r>
      <w:r>
        <w:rPr>
          <w:lang w:val="en-GB"/>
        </w:rPr>
        <w:t>and</w:t>
      </w:r>
      <w:r w:rsidRPr="00302FFF">
        <w:rPr>
          <w:lang w:val="en-GB"/>
        </w:rPr>
        <w:t xml:space="preserve"> 2018, asset</w:t>
      </w:r>
      <w:r>
        <w:rPr>
          <w:lang w:val="en-GB"/>
        </w:rPr>
        <w:t>s</w:t>
      </w:r>
      <w:r w:rsidRPr="00302FFF">
        <w:rPr>
          <w:lang w:val="en-GB"/>
        </w:rPr>
        <w:t xml:space="preserve"> under management </w:t>
      </w:r>
      <w:r>
        <w:rPr>
          <w:lang w:val="en-GB"/>
        </w:rPr>
        <w:t>by</w:t>
      </w:r>
      <w:r w:rsidRPr="00302FFF">
        <w:rPr>
          <w:lang w:val="en-GB"/>
        </w:rPr>
        <w:t xml:space="preserve"> reinsurance companies in alternative capital increased from 11.13 per</w:t>
      </w:r>
      <w:r>
        <w:rPr>
          <w:lang w:val="en-GB"/>
        </w:rPr>
        <w:t xml:space="preserve"> </w:t>
      </w:r>
      <w:r w:rsidRPr="00302FFF">
        <w:rPr>
          <w:lang w:val="en-GB"/>
        </w:rPr>
        <w:t>cent to 16.58 per</w:t>
      </w:r>
      <w:r>
        <w:rPr>
          <w:lang w:val="en-GB"/>
        </w:rPr>
        <w:t xml:space="preserve"> </w:t>
      </w:r>
      <w:r w:rsidRPr="00302FFF">
        <w:rPr>
          <w:lang w:val="en-GB"/>
        </w:rPr>
        <w:t xml:space="preserve">cent (see Exhibits 4 and 5). As investment by reinsurance companies </w:t>
      </w:r>
      <w:r>
        <w:rPr>
          <w:lang w:val="en-GB"/>
        </w:rPr>
        <w:t xml:space="preserve">increased </w:t>
      </w:r>
      <w:r w:rsidRPr="00302FFF">
        <w:rPr>
          <w:lang w:val="en-GB"/>
        </w:rPr>
        <w:t>in alternative capital market</w:t>
      </w:r>
      <w:r>
        <w:rPr>
          <w:lang w:val="en-GB"/>
        </w:rPr>
        <w:t>s</w:t>
      </w:r>
      <w:r w:rsidRPr="00302FFF">
        <w:rPr>
          <w:lang w:val="en-GB"/>
        </w:rPr>
        <w:t xml:space="preserve"> </w:t>
      </w:r>
      <w:r>
        <w:rPr>
          <w:lang w:val="en-GB"/>
        </w:rPr>
        <w:t>(e.g.,</w:t>
      </w:r>
      <w:r w:rsidRPr="00302FFF">
        <w:rPr>
          <w:lang w:val="en-GB"/>
        </w:rPr>
        <w:t xml:space="preserve"> collateralized reinsurance</w:t>
      </w:r>
      <w:r>
        <w:rPr>
          <w:lang w:val="en-GB"/>
        </w:rPr>
        <w:t>,</w:t>
      </w:r>
      <w:r w:rsidRPr="00302FFF">
        <w:rPr>
          <w:lang w:val="en-GB"/>
        </w:rPr>
        <w:t xml:space="preserve"> insurance-linked securities</w:t>
      </w:r>
      <w:r>
        <w:rPr>
          <w:lang w:val="en-GB"/>
        </w:rPr>
        <w:t>)</w:t>
      </w:r>
      <w:r w:rsidRPr="00302FFF">
        <w:rPr>
          <w:lang w:val="en-GB"/>
        </w:rPr>
        <w:t xml:space="preserve">, less capital </w:t>
      </w:r>
      <w:r>
        <w:rPr>
          <w:lang w:val="en-GB"/>
        </w:rPr>
        <w:t xml:space="preserve">was left </w:t>
      </w:r>
      <w:r w:rsidRPr="00302FFF">
        <w:rPr>
          <w:lang w:val="en-GB"/>
        </w:rPr>
        <w:t>for reinsurers, especially i</w:t>
      </w:r>
      <w:r>
        <w:rPr>
          <w:lang w:val="en-GB"/>
        </w:rPr>
        <w:t>n case o</w:t>
      </w:r>
      <w:r w:rsidRPr="00302FFF">
        <w:rPr>
          <w:lang w:val="en-GB"/>
        </w:rPr>
        <w:t xml:space="preserve">f a major catastrophic event. However, </w:t>
      </w:r>
      <w:r>
        <w:rPr>
          <w:lang w:val="en-GB"/>
        </w:rPr>
        <w:t>with</w:t>
      </w:r>
      <w:r w:rsidRPr="00302FFF">
        <w:rPr>
          <w:lang w:val="en-GB"/>
        </w:rPr>
        <w:t xml:space="preserve"> premiums for catastrophic events </w:t>
      </w:r>
      <w:r>
        <w:rPr>
          <w:lang w:val="en-GB"/>
        </w:rPr>
        <w:t>at a</w:t>
      </w:r>
      <w:r w:rsidRPr="00302FFF">
        <w:rPr>
          <w:lang w:val="en-GB"/>
        </w:rPr>
        <w:t xml:space="preserve"> high</w:t>
      </w:r>
      <w:r>
        <w:rPr>
          <w:lang w:val="en-GB"/>
        </w:rPr>
        <w:t xml:space="preserve"> level</w:t>
      </w:r>
      <w:r w:rsidRPr="00302FFF">
        <w:rPr>
          <w:lang w:val="en-GB"/>
        </w:rPr>
        <w:t>, reinsurance companies were even more willing to expose themselves to catastrophic reinsurance</w:t>
      </w:r>
      <w:r>
        <w:rPr>
          <w:lang w:val="en-GB"/>
        </w:rPr>
        <w:t xml:space="preserve">, </w:t>
      </w:r>
      <w:r w:rsidRPr="00302FFF">
        <w:rPr>
          <w:lang w:val="en-GB"/>
        </w:rPr>
        <w:t xml:space="preserve">despite back-to-back catastrophic events </w:t>
      </w:r>
      <w:r>
        <w:rPr>
          <w:lang w:val="en-GB"/>
        </w:rPr>
        <w:t xml:space="preserve">having taken place </w:t>
      </w:r>
      <w:r w:rsidRPr="00302FFF">
        <w:rPr>
          <w:lang w:val="en-GB"/>
        </w:rPr>
        <w:t>in the U</w:t>
      </w:r>
      <w:r>
        <w:rPr>
          <w:lang w:val="en-GB"/>
        </w:rPr>
        <w:t xml:space="preserve">nited </w:t>
      </w:r>
      <w:r w:rsidRPr="00302FFF">
        <w:rPr>
          <w:lang w:val="en-GB"/>
        </w:rPr>
        <w:t>S</w:t>
      </w:r>
      <w:r>
        <w:rPr>
          <w:lang w:val="en-GB"/>
        </w:rPr>
        <w:t xml:space="preserve">tates in </w:t>
      </w:r>
      <w:r w:rsidRPr="00302FFF">
        <w:rPr>
          <w:lang w:val="en-GB"/>
        </w:rPr>
        <w:t xml:space="preserve">2017 and </w:t>
      </w:r>
      <w:r>
        <w:rPr>
          <w:lang w:val="en-GB"/>
        </w:rPr>
        <w:t xml:space="preserve">in </w:t>
      </w:r>
      <w:r w:rsidRPr="00302FFF">
        <w:rPr>
          <w:lang w:val="en-GB"/>
        </w:rPr>
        <w:t>2018.</w:t>
      </w:r>
      <w:r w:rsidRPr="00302FFF">
        <w:rPr>
          <w:vertAlign w:val="superscript"/>
          <w:lang w:val="en-GB"/>
        </w:rPr>
        <w:endnoteReference w:id="74"/>
      </w:r>
    </w:p>
    <w:p w14:paraId="09757A9B" w14:textId="7CCEFC07" w:rsidR="007B72F2" w:rsidRPr="00302FFF" w:rsidRDefault="007B72F2" w:rsidP="00330F81">
      <w:pPr>
        <w:pStyle w:val="BodyTextMain"/>
        <w:rPr>
          <w:shd w:val="clear" w:color="auto" w:fill="FCFCFC"/>
          <w:lang w:val="en-GB"/>
        </w:rPr>
      </w:pPr>
    </w:p>
    <w:p w14:paraId="2BA79EE4" w14:textId="77777777" w:rsidR="007B72F2" w:rsidRPr="00302FFF" w:rsidRDefault="007B72F2" w:rsidP="00330F81">
      <w:pPr>
        <w:pStyle w:val="BodyTextMain"/>
        <w:rPr>
          <w:shd w:val="clear" w:color="auto" w:fill="FCFCFC"/>
          <w:lang w:val="en-GB"/>
        </w:rPr>
      </w:pPr>
    </w:p>
    <w:p w14:paraId="7AED2F5F" w14:textId="77777777" w:rsidR="007B72F2" w:rsidRPr="00302FFF" w:rsidRDefault="007B72F2" w:rsidP="00330F81">
      <w:pPr>
        <w:pStyle w:val="BodyTextMain"/>
        <w:rPr>
          <w:rFonts w:ascii="Arial" w:hAnsi="Arial" w:cs="Arial"/>
          <w:b/>
          <w:bCs/>
          <w:sz w:val="20"/>
          <w:szCs w:val="20"/>
          <w:lang w:val="en-GB"/>
        </w:rPr>
      </w:pPr>
      <w:r w:rsidRPr="00302FFF">
        <w:rPr>
          <w:rFonts w:ascii="Arial" w:hAnsi="Arial" w:cs="Arial"/>
          <w:b/>
          <w:bCs/>
          <w:sz w:val="20"/>
          <w:szCs w:val="20"/>
          <w:lang w:val="en-GB"/>
        </w:rPr>
        <w:t>THE ROAD AHEAD</w:t>
      </w:r>
    </w:p>
    <w:p w14:paraId="783F5003" w14:textId="77777777" w:rsidR="007B72F2" w:rsidRPr="00302FFF" w:rsidRDefault="007B72F2" w:rsidP="00330F81">
      <w:pPr>
        <w:pStyle w:val="BodyTextMain"/>
        <w:rPr>
          <w:shd w:val="clear" w:color="auto" w:fill="FCFCFC"/>
          <w:lang w:val="en-GB"/>
        </w:rPr>
      </w:pPr>
    </w:p>
    <w:p w14:paraId="2FED70B6" w14:textId="7CBF8F79" w:rsidR="00330F81" w:rsidRPr="00302FFF" w:rsidRDefault="007B72F2" w:rsidP="00330F81">
      <w:pPr>
        <w:pStyle w:val="BodyTextMain"/>
        <w:rPr>
          <w:spacing w:val="-1"/>
          <w:lang w:val="en-GB"/>
        </w:rPr>
      </w:pPr>
      <w:r w:rsidRPr="00302FFF">
        <w:rPr>
          <w:lang w:val="en-GB"/>
        </w:rPr>
        <w:t xml:space="preserve">Gunther Kraut, </w:t>
      </w:r>
      <w:r>
        <w:rPr>
          <w:lang w:val="en-GB"/>
        </w:rPr>
        <w:t>the h</w:t>
      </w:r>
      <w:r w:rsidRPr="00302FFF">
        <w:rPr>
          <w:lang w:val="en-GB"/>
        </w:rPr>
        <w:t xml:space="preserve">ead of </w:t>
      </w:r>
      <w:r>
        <w:rPr>
          <w:lang w:val="en-GB"/>
        </w:rPr>
        <w:t>e</w:t>
      </w:r>
      <w:r w:rsidRPr="00302FFF">
        <w:rPr>
          <w:lang w:val="en-GB"/>
        </w:rPr>
        <w:t xml:space="preserve">pidemic </w:t>
      </w:r>
      <w:r>
        <w:rPr>
          <w:lang w:val="en-GB"/>
        </w:rPr>
        <w:t>r</w:t>
      </w:r>
      <w:r w:rsidRPr="00302FFF">
        <w:rPr>
          <w:lang w:val="en-GB"/>
        </w:rPr>
        <w:t xml:space="preserve">isk </w:t>
      </w:r>
      <w:r>
        <w:rPr>
          <w:lang w:val="en-GB"/>
        </w:rPr>
        <w:t>s</w:t>
      </w:r>
      <w:r w:rsidRPr="00302FFF">
        <w:rPr>
          <w:lang w:val="en-GB"/>
        </w:rPr>
        <w:t xml:space="preserve">olutions </w:t>
      </w:r>
      <w:r>
        <w:rPr>
          <w:lang w:val="en-GB"/>
        </w:rPr>
        <w:t>for</w:t>
      </w:r>
      <w:r w:rsidRPr="00302FFF">
        <w:rPr>
          <w:lang w:val="en-GB"/>
        </w:rPr>
        <w:t xml:space="preserve"> Munich Re</w:t>
      </w:r>
      <w:r>
        <w:rPr>
          <w:lang w:val="en-GB"/>
        </w:rPr>
        <w:t xml:space="preserve"> Group</w:t>
      </w:r>
      <w:r w:rsidRPr="00302FFF">
        <w:rPr>
          <w:lang w:val="en-GB"/>
        </w:rPr>
        <w:t xml:space="preserve">, </w:t>
      </w:r>
      <w:r>
        <w:rPr>
          <w:lang w:val="en-GB"/>
        </w:rPr>
        <w:t>was confident about the company’s new venture:</w:t>
      </w:r>
      <w:r w:rsidRPr="00302FFF">
        <w:rPr>
          <w:lang w:val="en-GB"/>
        </w:rPr>
        <w:t xml:space="preserve"> “This joint effort is an important part in our continued strategic push for innovation. It will pave a new frontier for the insurance industry by helping businesses become more resolute to the evolving health threats facing the world.”</w:t>
      </w:r>
      <w:r w:rsidRPr="00302FFF">
        <w:rPr>
          <w:rStyle w:val="EndnoteReference"/>
          <w:lang w:val="en-GB"/>
        </w:rPr>
        <w:endnoteReference w:id="75"/>
      </w:r>
      <w:r w:rsidRPr="00302FFF">
        <w:rPr>
          <w:lang w:val="en-GB"/>
        </w:rPr>
        <w:t xml:space="preserve"> By May 2020, Marsh was also looking for more business by offering the PathogenRX product for future pandemics.</w:t>
      </w:r>
      <w:r w:rsidRPr="00302FFF">
        <w:rPr>
          <w:rStyle w:val="EndnoteReference"/>
          <w:lang w:val="en-GB"/>
        </w:rPr>
        <w:endnoteReference w:id="76"/>
      </w:r>
      <w:r w:rsidRPr="00302FFF">
        <w:rPr>
          <w:lang w:val="en-GB"/>
        </w:rPr>
        <w:t xml:space="preserve"> Lacovara </w:t>
      </w:r>
      <w:r>
        <w:rPr>
          <w:lang w:val="en-GB"/>
        </w:rPr>
        <w:t>was pushing forward to meet the demand:</w:t>
      </w:r>
      <w:r w:rsidRPr="00302FFF">
        <w:rPr>
          <w:lang w:val="en-GB"/>
        </w:rPr>
        <w:t xml:space="preserve"> “We are actively seeking additional markets to </w:t>
      </w:r>
      <w:r w:rsidRPr="004C581E">
        <w:rPr>
          <w:iCs/>
          <w:lang w:val="en-GB"/>
        </w:rPr>
        <w:t>quota share</w:t>
      </w:r>
      <w:r w:rsidRPr="00302FFF">
        <w:rPr>
          <w:lang w:val="en-GB"/>
        </w:rPr>
        <w:t xml:space="preserve"> the product. </w:t>
      </w:r>
      <w:r>
        <w:rPr>
          <w:lang w:val="en-GB"/>
        </w:rPr>
        <w:t xml:space="preserve">. . . </w:t>
      </w:r>
      <w:r w:rsidRPr="00302FFF">
        <w:rPr>
          <w:lang w:val="en-GB"/>
        </w:rPr>
        <w:t>There is more demand than you can imagine.”</w:t>
      </w:r>
      <w:r w:rsidRPr="00302FFF">
        <w:rPr>
          <w:rStyle w:val="EndnoteReference"/>
          <w:lang w:val="en-GB"/>
        </w:rPr>
        <w:endnoteReference w:id="77"/>
      </w:r>
      <w:r w:rsidRPr="00302FFF">
        <w:rPr>
          <w:lang w:val="en-GB"/>
        </w:rPr>
        <w:t xml:space="preserve"> Doyle, however, ha</w:t>
      </w:r>
      <w:r>
        <w:rPr>
          <w:lang w:val="en-GB"/>
        </w:rPr>
        <w:t>d</w:t>
      </w:r>
      <w:r w:rsidRPr="00302FFF">
        <w:rPr>
          <w:lang w:val="en-GB"/>
        </w:rPr>
        <w:t xml:space="preserve"> yet to resolve several challenges</w:t>
      </w:r>
      <w:r>
        <w:rPr>
          <w:lang w:val="en-GB"/>
        </w:rPr>
        <w:t>, including finding a suitable partner</w:t>
      </w:r>
      <w:r w:rsidRPr="00302FFF">
        <w:rPr>
          <w:lang w:val="en-GB"/>
        </w:rPr>
        <w:t xml:space="preserve">—the government or </w:t>
      </w:r>
      <w:r>
        <w:rPr>
          <w:lang w:val="en-GB"/>
        </w:rPr>
        <w:t xml:space="preserve">a </w:t>
      </w:r>
      <w:r w:rsidRPr="00302FFF">
        <w:rPr>
          <w:lang w:val="en-GB"/>
        </w:rPr>
        <w:t>private reinsurance compan</w:t>
      </w:r>
      <w:r>
        <w:rPr>
          <w:lang w:val="en-GB"/>
        </w:rPr>
        <w:t>y—and determining</w:t>
      </w:r>
      <w:r w:rsidRPr="00302FFF">
        <w:rPr>
          <w:spacing w:val="-1"/>
          <w:lang w:val="en-GB"/>
        </w:rPr>
        <w:t xml:space="preserve"> if the pandemic insurance segment ha</w:t>
      </w:r>
      <w:r>
        <w:rPr>
          <w:spacing w:val="-1"/>
          <w:lang w:val="en-GB"/>
        </w:rPr>
        <w:t>d</w:t>
      </w:r>
      <w:r w:rsidRPr="00302FFF">
        <w:rPr>
          <w:spacing w:val="-1"/>
          <w:lang w:val="en-GB"/>
        </w:rPr>
        <w:t xml:space="preserve"> any potential to grow.</w:t>
      </w:r>
      <w:r w:rsidRPr="00302FFF">
        <w:rPr>
          <w:rStyle w:val="EndnoteReference"/>
          <w:spacing w:val="-1"/>
          <w:lang w:val="en-GB"/>
        </w:rPr>
        <w:endnoteReference w:id="78"/>
      </w:r>
      <w:r w:rsidRPr="00302FFF">
        <w:rPr>
          <w:spacing w:val="-1"/>
          <w:lang w:val="en-GB"/>
        </w:rPr>
        <w:t xml:space="preserve"> </w:t>
      </w:r>
    </w:p>
    <w:p w14:paraId="015EB7A8" w14:textId="77777777" w:rsidR="00F0591D" w:rsidRDefault="00F0591D">
      <w:pPr>
        <w:spacing w:after="200" w:line="276" w:lineRule="auto"/>
        <w:rPr>
          <w:rFonts w:ascii="Arial" w:hAnsi="Arial" w:cs="Arial"/>
          <w:b/>
          <w:caps/>
          <w:lang w:val="en-GB"/>
        </w:rPr>
      </w:pPr>
      <w:r>
        <w:rPr>
          <w:lang w:val="en-GB"/>
        </w:rPr>
        <w:br w:type="page"/>
      </w:r>
    </w:p>
    <w:p w14:paraId="18AA48E1" w14:textId="7504F35C" w:rsidR="00330F81" w:rsidRPr="00302FFF" w:rsidRDefault="00330F81" w:rsidP="00330F81">
      <w:pPr>
        <w:pStyle w:val="ExhibitHeading"/>
        <w:rPr>
          <w:lang w:val="en-GB"/>
        </w:rPr>
      </w:pPr>
      <w:r w:rsidRPr="00302FFF">
        <w:rPr>
          <w:lang w:val="en-GB"/>
        </w:rPr>
        <w:lastRenderedPageBreak/>
        <w:t xml:space="preserve">EXHIBIT 1: PERCENTAGE OF INCOME </w:t>
      </w:r>
      <w:r w:rsidR="006B3A37" w:rsidRPr="00302FFF">
        <w:rPr>
          <w:lang w:val="en-GB"/>
        </w:rPr>
        <w:t>LOS</w:t>
      </w:r>
      <w:r w:rsidR="006B3A37">
        <w:rPr>
          <w:lang w:val="en-GB"/>
        </w:rPr>
        <w:t>t</w:t>
      </w:r>
      <w:r w:rsidR="006B3A37" w:rsidRPr="00302FFF">
        <w:rPr>
          <w:lang w:val="en-GB"/>
        </w:rPr>
        <w:t xml:space="preserve"> </w:t>
      </w:r>
      <w:r w:rsidRPr="00302FFF">
        <w:rPr>
          <w:lang w:val="en-GB"/>
        </w:rPr>
        <w:t>DUE TO COVID-19 PANDEMIC (MAY 2020)</w:t>
      </w:r>
    </w:p>
    <w:p w14:paraId="57BAA0A0" w14:textId="77777777" w:rsidR="00330F81" w:rsidRPr="00302FFF" w:rsidRDefault="00330F81" w:rsidP="00330F81">
      <w:pPr>
        <w:rPr>
          <w:b/>
          <w:bCs/>
          <w:sz w:val="18"/>
          <w:lang w:val="en-GB"/>
        </w:rPr>
      </w:pPr>
    </w:p>
    <w:p w14:paraId="358C81C4" w14:textId="6A5B0BDA" w:rsidR="00D24310" w:rsidRDefault="00074808" w:rsidP="00330F81">
      <w:pPr>
        <w:pStyle w:val="Footnote"/>
        <w:rPr>
          <w:spacing w:val="-4"/>
          <w:lang w:val="en-GB"/>
        </w:rPr>
      </w:pPr>
      <w:r>
        <w:rPr>
          <w:noProof/>
          <w:lang w:val="en-CA" w:eastAsia="en-CA"/>
        </w:rPr>
        <w:drawing>
          <wp:inline distT="0" distB="0" distL="0" distR="0" wp14:anchorId="7C97C79D" wp14:editId="6492F22E">
            <wp:extent cx="5943600" cy="3267075"/>
            <wp:effectExtent l="0" t="0" r="0" b="9525"/>
            <wp:docPr id="5" name="Chart 5" descr="Chart showing the percentage of income lost due to the COVID-19 pandemic in the United States, United Kingdom, and Germany. Categories include less than 10%, Between 10% and 25%, Between 25% and  50%, and More than 50%.">
              <a:extLst xmlns:a="http://schemas.openxmlformats.org/drawingml/2006/main">
                <a:ext uri="{FF2B5EF4-FFF2-40B4-BE49-F238E27FC236}">
                  <a16:creationId xmlns:a16="http://schemas.microsoft.com/office/drawing/2014/main" id="{F9080562-44AE-49A9-9346-AA14366E32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302FFF">
        <w:rPr>
          <w:spacing w:val="-4"/>
          <w:lang w:val="en-GB"/>
        </w:rPr>
        <w:t xml:space="preserve"> </w:t>
      </w:r>
    </w:p>
    <w:p w14:paraId="41E28742" w14:textId="77777777" w:rsidR="00D24310" w:rsidRDefault="00D24310" w:rsidP="00330F81">
      <w:pPr>
        <w:pStyle w:val="Footnote"/>
        <w:rPr>
          <w:spacing w:val="-4"/>
          <w:lang w:val="en-GB"/>
        </w:rPr>
      </w:pPr>
    </w:p>
    <w:p w14:paraId="7A46C87C" w14:textId="66A4291D" w:rsidR="00330F81" w:rsidRPr="00302FFF" w:rsidRDefault="00330F81" w:rsidP="00330F81">
      <w:pPr>
        <w:pStyle w:val="Footnote"/>
        <w:rPr>
          <w:spacing w:val="-4"/>
          <w:lang w:val="en-GB"/>
        </w:rPr>
      </w:pPr>
      <w:r w:rsidRPr="00302FFF">
        <w:rPr>
          <w:spacing w:val="-4"/>
          <w:lang w:val="en-GB"/>
        </w:rPr>
        <w:t xml:space="preserve">Source: </w:t>
      </w:r>
      <w:r w:rsidR="00653896">
        <w:rPr>
          <w:spacing w:val="-4"/>
          <w:lang w:val="en-GB"/>
        </w:rPr>
        <w:t xml:space="preserve">Adapted from </w:t>
      </w:r>
      <w:r w:rsidRPr="00302FFF">
        <w:rPr>
          <w:spacing w:val="-4"/>
          <w:lang w:val="en-GB"/>
        </w:rPr>
        <w:t xml:space="preserve">Alexander Kunst, “Thinking </w:t>
      </w:r>
      <w:r w:rsidR="002B66EE">
        <w:rPr>
          <w:spacing w:val="-4"/>
          <w:lang w:val="en-GB"/>
        </w:rPr>
        <w:t>a</w:t>
      </w:r>
      <w:r w:rsidRPr="00302FFF">
        <w:rPr>
          <w:spacing w:val="-4"/>
          <w:lang w:val="en-GB"/>
        </w:rPr>
        <w:t xml:space="preserve">bout What </w:t>
      </w:r>
      <w:r w:rsidR="002B66EE">
        <w:rPr>
          <w:spacing w:val="-4"/>
          <w:lang w:val="en-GB"/>
        </w:rPr>
        <w:t>Y</w:t>
      </w:r>
      <w:r w:rsidRPr="00302FFF">
        <w:rPr>
          <w:spacing w:val="-4"/>
          <w:lang w:val="en-GB"/>
        </w:rPr>
        <w:t xml:space="preserve">ou Earned on Average a Month, </w:t>
      </w:r>
      <w:r w:rsidR="002B66EE">
        <w:rPr>
          <w:spacing w:val="-4"/>
          <w:lang w:val="en-GB"/>
        </w:rPr>
        <w:t>b</w:t>
      </w:r>
      <w:r w:rsidRPr="00302FFF">
        <w:rPr>
          <w:spacing w:val="-4"/>
          <w:lang w:val="en-GB"/>
        </w:rPr>
        <w:t xml:space="preserve">efore the COVID-19 / Coronavirus Pandemic, What Percentage of Income Have </w:t>
      </w:r>
      <w:r w:rsidR="002B66EE">
        <w:rPr>
          <w:spacing w:val="-4"/>
          <w:lang w:val="en-GB"/>
        </w:rPr>
        <w:t>Y</w:t>
      </w:r>
      <w:r w:rsidRPr="00302FFF">
        <w:rPr>
          <w:spacing w:val="-4"/>
          <w:lang w:val="en-GB"/>
        </w:rPr>
        <w:t xml:space="preserve">ou Lost </w:t>
      </w:r>
      <w:r w:rsidR="002B66EE">
        <w:rPr>
          <w:spacing w:val="-4"/>
          <w:lang w:val="en-GB"/>
        </w:rPr>
        <w:t>o</w:t>
      </w:r>
      <w:r w:rsidRPr="00302FFF">
        <w:rPr>
          <w:spacing w:val="-4"/>
          <w:lang w:val="en-GB"/>
        </w:rPr>
        <w:t xml:space="preserve">ver the Past 4 Weeks Due to </w:t>
      </w:r>
      <w:r w:rsidR="002B66EE">
        <w:rPr>
          <w:spacing w:val="-4"/>
          <w:lang w:val="en-GB"/>
        </w:rPr>
        <w:t>I</w:t>
      </w:r>
      <w:r w:rsidRPr="00302FFF">
        <w:rPr>
          <w:spacing w:val="-4"/>
          <w:lang w:val="en-GB"/>
        </w:rPr>
        <w:t>ts Impact?</w:t>
      </w:r>
      <w:r w:rsidR="006B3A37">
        <w:rPr>
          <w:spacing w:val="-4"/>
          <w:lang w:val="en-GB"/>
        </w:rPr>
        <w:t>,</w:t>
      </w:r>
      <w:r w:rsidRPr="00302FFF">
        <w:rPr>
          <w:spacing w:val="-4"/>
          <w:lang w:val="en-GB"/>
        </w:rPr>
        <w:t xml:space="preserve">” Statista, May 31, 2020, accessed July 8, 2020, </w:t>
      </w:r>
      <w:r w:rsidRPr="00302FFF">
        <w:rPr>
          <w:rStyle w:val="Hyperlink"/>
          <w:color w:val="auto"/>
          <w:spacing w:val="-4"/>
          <w:u w:val="none"/>
          <w:lang w:val="en-GB"/>
        </w:rPr>
        <w:t>www.statista.com/statistics/1108072/percentage-of-income-loss-due-to-the-covid-19-corona-pandemic</w:t>
      </w:r>
      <w:r w:rsidRPr="00302FFF">
        <w:rPr>
          <w:spacing w:val="-4"/>
          <w:lang w:val="en-GB"/>
        </w:rPr>
        <w:t>.</w:t>
      </w:r>
    </w:p>
    <w:p w14:paraId="088627F9" w14:textId="77777777" w:rsidR="00330F81" w:rsidRPr="00302FFF" w:rsidRDefault="00330F81" w:rsidP="00330F81">
      <w:pPr>
        <w:pStyle w:val="ExhibitText"/>
        <w:rPr>
          <w:lang w:val="en-GB"/>
        </w:rPr>
      </w:pPr>
    </w:p>
    <w:p w14:paraId="1DB836BA" w14:textId="77777777" w:rsidR="00330F81" w:rsidRPr="00302FFF" w:rsidRDefault="00330F81" w:rsidP="00330F81">
      <w:pPr>
        <w:pStyle w:val="ExhibitText"/>
        <w:rPr>
          <w:lang w:val="en-GB"/>
        </w:rPr>
      </w:pPr>
    </w:p>
    <w:p w14:paraId="4FE5573E" w14:textId="77777777" w:rsidR="00D24310" w:rsidRDefault="00D24310">
      <w:pPr>
        <w:spacing w:after="200" w:line="276" w:lineRule="auto"/>
        <w:rPr>
          <w:rFonts w:ascii="Arial" w:hAnsi="Arial" w:cs="Arial"/>
          <w:b/>
          <w:caps/>
          <w:lang w:val="en-GB"/>
        </w:rPr>
      </w:pPr>
      <w:r>
        <w:rPr>
          <w:lang w:val="en-GB"/>
        </w:rPr>
        <w:br w:type="page"/>
      </w:r>
    </w:p>
    <w:p w14:paraId="3F184B0C" w14:textId="5CBCBE82" w:rsidR="00330F81" w:rsidRPr="00302FFF" w:rsidRDefault="00330F81" w:rsidP="00330F81">
      <w:pPr>
        <w:pStyle w:val="ExhibitHeading"/>
        <w:rPr>
          <w:lang w:val="en-GB"/>
        </w:rPr>
      </w:pPr>
      <w:r w:rsidRPr="00302FFF">
        <w:rPr>
          <w:lang w:val="en-GB"/>
        </w:rPr>
        <w:lastRenderedPageBreak/>
        <w:t xml:space="preserve">EXHIBIT 2: NET CHANGE </w:t>
      </w:r>
      <w:r w:rsidR="00240E0C">
        <w:rPr>
          <w:lang w:val="en-GB"/>
        </w:rPr>
        <w:t xml:space="preserve">in Number of </w:t>
      </w:r>
      <w:r w:rsidR="009552F8">
        <w:rPr>
          <w:lang w:val="en-GB"/>
        </w:rPr>
        <w:t>US</w:t>
      </w:r>
      <w:r w:rsidR="00240E0C" w:rsidRPr="00302FFF">
        <w:rPr>
          <w:lang w:val="en-GB"/>
        </w:rPr>
        <w:t xml:space="preserve"> JOBS </w:t>
      </w:r>
      <w:r w:rsidR="00240E0C">
        <w:rPr>
          <w:lang w:val="en-GB"/>
        </w:rPr>
        <w:t>by Sector</w:t>
      </w:r>
      <w:r w:rsidRPr="00302FFF">
        <w:rPr>
          <w:lang w:val="en-GB"/>
        </w:rPr>
        <w:t xml:space="preserve"> (MARCH 2020)</w:t>
      </w:r>
    </w:p>
    <w:p w14:paraId="2203DE28" w14:textId="77777777" w:rsidR="00330F81" w:rsidRPr="00302FFF" w:rsidRDefault="00330F81" w:rsidP="00330F81">
      <w:pPr>
        <w:jc w:val="both"/>
        <w:rPr>
          <w:rFonts w:ascii="Arial" w:hAnsi="Arial" w:cs="Arial"/>
          <w:lang w:val="en-GB"/>
        </w:rPr>
      </w:pPr>
    </w:p>
    <w:p w14:paraId="096E735C" w14:textId="77777777" w:rsidR="00330F81" w:rsidRPr="00302FFF" w:rsidRDefault="00330F81" w:rsidP="00330F81">
      <w:pPr>
        <w:jc w:val="both"/>
        <w:rPr>
          <w:rFonts w:ascii="Arial" w:hAnsi="Arial" w:cs="Arial"/>
          <w:sz w:val="17"/>
          <w:szCs w:val="17"/>
          <w:lang w:val="en-GB"/>
        </w:rPr>
      </w:pPr>
      <w:r w:rsidRPr="00302FFF">
        <w:rPr>
          <w:noProof/>
          <w:lang w:val="en-CA" w:eastAsia="en-CA"/>
        </w:rPr>
        <w:drawing>
          <wp:inline distT="0" distB="0" distL="0" distR="0" wp14:anchorId="2C301E45" wp14:editId="37FC210E">
            <wp:extent cx="5949950" cy="3190875"/>
            <wp:effectExtent l="0" t="0" r="12700" b="9525"/>
            <wp:docPr id="2" name="Chart 2" descr="Net change in number of US jobs by sector (March 2020). Sectors listed are government, information, manufacturing, construction, retail trade, professional and business services, health care and social assistance, and leisure and hospitality. Net change in 000s.">
              <a:extLst xmlns:a="http://schemas.openxmlformats.org/drawingml/2006/main">
                <a:ext uri="{FF2B5EF4-FFF2-40B4-BE49-F238E27FC236}">
                  <a16:creationId xmlns:a16="http://schemas.microsoft.com/office/drawing/2014/main" id="{9EEDF32B-DCD1-49A4-B5F9-D15BF91DDC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5DC52AB" w14:textId="77777777" w:rsidR="00240E0C" w:rsidRDefault="00240E0C" w:rsidP="00330F81">
      <w:pPr>
        <w:pStyle w:val="Footnote"/>
        <w:rPr>
          <w:lang w:val="en-GB"/>
        </w:rPr>
      </w:pPr>
    </w:p>
    <w:p w14:paraId="6D4C4731" w14:textId="36C8BA23" w:rsidR="00330F81" w:rsidRDefault="00330F81" w:rsidP="00330F81">
      <w:pPr>
        <w:pStyle w:val="Footnote"/>
        <w:rPr>
          <w:lang w:val="en-GB"/>
        </w:rPr>
      </w:pPr>
      <w:r w:rsidRPr="00302FFF">
        <w:rPr>
          <w:lang w:val="en-GB"/>
        </w:rPr>
        <w:t xml:space="preserve">Source: </w:t>
      </w:r>
      <w:r w:rsidR="006B3A37">
        <w:rPr>
          <w:lang w:val="en-GB"/>
        </w:rPr>
        <w:t xml:space="preserve">Adapted from </w:t>
      </w:r>
      <w:r w:rsidRPr="00302FFF">
        <w:rPr>
          <w:lang w:val="en-GB"/>
        </w:rPr>
        <w:t xml:space="preserve">Thomas Franck, “Here </w:t>
      </w:r>
      <w:r w:rsidR="00240E0C">
        <w:rPr>
          <w:lang w:val="en-GB"/>
        </w:rPr>
        <w:t>A</w:t>
      </w:r>
      <w:r w:rsidRPr="00302FFF">
        <w:rPr>
          <w:lang w:val="en-GB"/>
        </w:rPr>
        <w:t xml:space="preserve">re the Industries Suffering the Biggest Job Losses in </w:t>
      </w:r>
      <w:r w:rsidR="00240E0C">
        <w:rPr>
          <w:lang w:val="en-GB"/>
        </w:rPr>
        <w:t>a</w:t>
      </w:r>
      <w:r w:rsidRPr="00302FFF">
        <w:rPr>
          <w:lang w:val="en-GB"/>
        </w:rPr>
        <w:t xml:space="preserve">n Initial Look at Coronavirus Impact,” CNBC, April 3, 2020, accessed July 1, 2020, </w:t>
      </w:r>
      <w:r w:rsidR="00D24310" w:rsidRPr="00D24310">
        <w:rPr>
          <w:rStyle w:val="Hyperlink"/>
          <w:color w:val="auto"/>
          <w:u w:val="none"/>
          <w:lang w:val="en-GB"/>
        </w:rPr>
        <w:t>www.cnbc.com/2020/04/03/this-chart-shows-which-industries-saw-big-job-losses-in-march-2020.html</w:t>
      </w:r>
      <w:r w:rsidR="00240E0C">
        <w:rPr>
          <w:lang w:val="en-GB"/>
        </w:rPr>
        <w:t>.</w:t>
      </w:r>
    </w:p>
    <w:p w14:paraId="33CC81CC" w14:textId="23DB404D" w:rsidR="00D24310" w:rsidRDefault="00D24310" w:rsidP="00330F81">
      <w:pPr>
        <w:pStyle w:val="Footnote"/>
        <w:rPr>
          <w:lang w:val="en-GB"/>
        </w:rPr>
      </w:pPr>
    </w:p>
    <w:p w14:paraId="2D3E864B" w14:textId="77777777" w:rsidR="00D24310" w:rsidRPr="00302FFF" w:rsidRDefault="00D24310" w:rsidP="00330F81">
      <w:pPr>
        <w:pStyle w:val="Footnote"/>
        <w:rPr>
          <w:lang w:val="en-GB"/>
        </w:rPr>
      </w:pPr>
    </w:p>
    <w:p w14:paraId="0F8ADDCD" w14:textId="59F912DF" w:rsidR="00330F81" w:rsidRPr="00302FFF" w:rsidRDefault="00330F81" w:rsidP="009552F8">
      <w:pPr>
        <w:pStyle w:val="ExhibitHeading"/>
        <w:rPr>
          <w:bCs/>
          <w:lang w:val="en-GB"/>
        </w:rPr>
      </w:pPr>
      <w:r w:rsidRPr="00302FFF">
        <w:rPr>
          <w:bCs/>
          <w:lang w:val="en-GB"/>
        </w:rPr>
        <w:t>EXHIBIT 3: VIRUS AND FEAR RANK</w:t>
      </w:r>
      <w:r w:rsidR="00FE1008">
        <w:rPr>
          <w:bCs/>
          <w:lang w:val="en-GB"/>
        </w:rPr>
        <w:t>,</w:t>
      </w:r>
      <w:r w:rsidRPr="00302FFF">
        <w:rPr>
          <w:bCs/>
          <w:lang w:val="en-GB"/>
        </w:rPr>
        <w:t xml:space="preserve"> AS </w:t>
      </w:r>
      <w:r w:rsidR="00FE1008">
        <w:rPr>
          <w:bCs/>
          <w:lang w:val="en-GB"/>
        </w:rPr>
        <w:t>Indicated</w:t>
      </w:r>
      <w:r w:rsidRPr="00302FFF">
        <w:rPr>
          <w:bCs/>
          <w:lang w:val="en-GB"/>
        </w:rPr>
        <w:t xml:space="preserve"> BY THE PATHOGEN SENTIMENT INDEX</w:t>
      </w:r>
    </w:p>
    <w:p w14:paraId="5D6BC7C1" w14:textId="77777777" w:rsidR="00330F81" w:rsidRPr="00302FFF" w:rsidRDefault="00330F81" w:rsidP="00330F81">
      <w:pPr>
        <w:jc w:val="both"/>
        <w:rPr>
          <w:rFonts w:ascii="Arial" w:hAnsi="Arial" w:cs="Arial"/>
          <w:b/>
          <w:bCs/>
          <w:lang w:val="en-GB"/>
        </w:rPr>
      </w:pPr>
    </w:p>
    <w:tbl>
      <w:tblPr>
        <w:tblW w:w="8453" w:type="dxa"/>
        <w:jc w:val="center"/>
        <w:tblLook w:val="04A0" w:firstRow="1" w:lastRow="0" w:firstColumn="1" w:lastColumn="0" w:noHBand="0" w:noVBand="1"/>
        <w:tblCaption w:val="EXHIBIT 3: VIRUS AND FEAR RANK, AS INDICATED BY THE PATHOGEN SENTIMENT INDEX"/>
        <w:tblDescription w:val="Rankings for Marburg, Lujo, and Nipah in Germany, Japan, Mexico, and United States."/>
      </w:tblPr>
      <w:tblGrid>
        <w:gridCol w:w="1649"/>
        <w:gridCol w:w="1860"/>
        <w:gridCol w:w="1648"/>
        <w:gridCol w:w="1648"/>
        <w:gridCol w:w="1648"/>
      </w:tblGrid>
      <w:tr w:rsidR="00330F81" w:rsidRPr="00302FFF" w14:paraId="21F48ABF" w14:textId="77777777" w:rsidTr="009552F8">
        <w:trPr>
          <w:trHeight w:val="56"/>
          <w:jc w:val="center"/>
        </w:trPr>
        <w:tc>
          <w:tcPr>
            <w:tcW w:w="16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DB1F7E" w14:textId="7AA3636D" w:rsidR="00330F81" w:rsidRPr="00302FFF" w:rsidRDefault="00330F81" w:rsidP="00F0591D">
            <w:pPr>
              <w:jc w:val="center"/>
              <w:rPr>
                <w:rFonts w:ascii="Arial" w:hAnsi="Arial" w:cs="Arial"/>
                <w:b/>
                <w:bCs/>
                <w:color w:val="000000"/>
                <w:lang w:val="en-GB" w:eastAsia="en-GB"/>
              </w:rPr>
            </w:pPr>
            <w:r w:rsidRPr="00302FFF">
              <w:rPr>
                <w:rFonts w:ascii="Arial" w:hAnsi="Arial" w:cs="Arial"/>
                <w:b/>
                <w:bCs/>
                <w:color w:val="000000"/>
                <w:lang w:val="en-GB" w:eastAsia="en-GB"/>
              </w:rPr>
              <w:t>Virus</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14:paraId="1353D93A" w14:textId="77777777" w:rsidR="00330F81" w:rsidRPr="00302FFF" w:rsidRDefault="00330F81" w:rsidP="00F0591D">
            <w:pPr>
              <w:jc w:val="center"/>
              <w:rPr>
                <w:rFonts w:ascii="Arial" w:hAnsi="Arial" w:cs="Arial"/>
                <w:b/>
                <w:bCs/>
                <w:color w:val="000000"/>
                <w:lang w:val="en-GB" w:eastAsia="en-GB"/>
              </w:rPr>
            </w:pPr>
            <w:r w:rsidRPr="00302FFF">
              <w:rPr>
                <w:rFonts w:ascii="Arial" w:hAnsi="Arial" w:cs="Arial"/>
                <w:b/>
                <w:bCs/>
                <w:color w:val="000000"/>
                <w:lang w:val="en-GB" w:eastAsia="en-GB"/>
              </w:rPr>
              <w:t>Germany</w:t>
            </w:r>
          </w:p>
        </w:tc>
        <w:tc>
          <w:tcPr>
            <w:tcW w:w="1648" w:type="dxa"/>
            <w:tcBorders>
              <w:top w:val="single" w:sz="4" w:space="0" w:color="auto"/>
              <w:left w:val="nil"/>
              <w:bottom w:val="single" w:sz="4" w:space="0" w:color="auto"/>
              <w:right w:val="single" w:sz="4" w:space="0" w:color="auto"/>
            </w:tcBorders>
            <w:shd w:val="clear" w:color="auto" w:fill="auto"/>
            <w:noWrap/>
            <w:vAlign w:val="bottom"/>
            <w:hideMark/>
          </w:tcPr>
          <w:p w14:paraId="12C13F3E" w14:textId="77777777" w:rsidR="00330F81" w:rsidRPr="00302FFF" w:rsidRDefault="00330F81" w:rsidP="00F0591D">
            <w:pPr>
              <w:jc w:val="center"/>
              <w:rPr>
                <w:rFonts w:ascii="Arial" w:hAnsi="Arial" w:cs="Arial"/>
                <w:b/>
                <w:bCs/>
                <w:color w:val="000000"/>
                <w:lang w:val="en-GB" w:eastAsia="en-GB"/>
              </w:rPr>
            </w:pPr>
            <w:r w:rsidRPr="00302FFF">
              <w:rPr>
                <w:rFonts w:ascii="Arial" w:hAnsi="Arial" w:cs="Arial"/>
                <w:b/>
                <w:bCs/>
                <w:color w:val="000000"/>
                <w:lang w:val="en-GB" w:eastAsia="en-GB"/>
              </w:rPr>
              <w:t>Japan</w:t>
            </w:r>
          </w:p>
        </w:tc>
        <w:tc>
          <w:tcPr>
            <w:tcW w:w="1648" w:type="dxa"/>
            <w:tcBorders>
              <w:top w:val="single" w:sz="4" w:space="0" w:color="auto"/>
              <w:left w:val="nil"/>
              <w:bottom w:val="single" w:sz="4" w:space="0" w:color="auto"/>
              <w:right w:val="single" w:sz="4" w:space="0" w:color="auto"/>
            </w:tcBorders>
            <w:shd w:val="clear" w:color="auto" w:fill="auto"/>
            <w:noWrap/>
            <w:vAlign w:val="bottom"/>
            <w:hideMark/>
          </w:tcPr>
          <w:p w14:paraId="1AA3F7B4" w14:textId="77777777" w:rsidR="00330F81" w:rsidRPr="00302FFF" w:rsidRDefault="00330F81" w:rsidP="00F0591D">
            <w:pPr>
              <w:jc w:val="center"/>
              <w:rPr>
                <w:rFonts w:ascii="Arial" w:hAnsi="Arial" w:cs="Arial"/>
                <w:b/>
                <w:bCs/>
                <w:color w:val="000000"/>
                <w:lang w:val="en-GB" w:eastAsia="en-GB"/>
              </w:rPr>
            </w:pPr>
            <w:r w:rsidRPr="00302FFF">
              <w:rPr>
                <w:rFonts w:ascii="Arial" w:hAnsi="Arial" w:cs="Arial"/>
                <w:b/>
                <w:bCs/>
                <w:color w:val="000000"/>
                <w:lang w:val="en-GB" w:eastAsia="en-GB"/>
              </w:rPr>
              <w:t>Mexico</w:t>
            </w:r>
          </w:p>
        </w:tc>
        <w:tc>
          <w:tcPr>
            <w:tcW w:w="1648" w:type="dxa"/>
            <w:tcBorders>
              <w:top w:val="single" w:sz="4" w:space="0" w:color="auto"/>
              <w:left w:val="nil"/>
              <w:bottom w:val="single" w:sz="4" w:space="0" w:color="auto"/>
              <w:right w:val="single" w:sz="4" w:space="0" w:color="auto"/>
            </w:tcBorders>
            <w:shd w:val="clear" w:color="auto" w:fill="auto"/>
            <w:noWrap/>
            <w:vAlign w:val="bottom"/>
            <w:hideMark/>
          </w:tcPr>
          <w:p w14:paraId="1F62877D" w14:textId="1F67A6A6" w:rsidR="00330F81" w:rsidRPr="00302FFF" w:rsidRDefault="00330F81" w:rsidP="00F0591D">
            <w:pPr>
              <w:jc w:val="center"/>
              <w:rPr>
                <w:rFonts w:ascii="Arial" w:hAnsi="Arial" w:cs="Arial"/>
                <w:b/>
                <w:bCs/>
                <w:color w:val="000000"/>
                <w:lang w:val="en-GB" w:eastAsia="en-GB"/>
              </w:rPr>
            </w:pPr>
            <w:r w:rsidRPr="00302FFF">
              <w:rPr>
                <w:rFonts w:ascii="Arial" w:hAnsi="Arial" w:cs="Arial"/>
                <w:b/>
                <w:bCs/>
                <w:color w:val="000000"/>
                <w:lang w:val="en-GB" w:eastAsia="en-GB"/>
              </w:rPr>
              <w:t>U</w:t>
            </w:r>
            <w:r w:rsidR="00BA7EDA">
              <w:rPr>
                <w:rFonts w:ascii="Arial" w:hAnsi="Arial" w:cs="Arial"/>
                <w:b/>
                <w:bCs/>
                <w:color w:val="000000"/>
                <w:lang w:val="en-GB" w:eastAsia="en-GB"/>
              </w:rPr>
              <w:t xml:space="preserve">nited </w:t>
            </w:r>
            <w:r w:rsidRPr="00302FFF">
              <w:rPr>
                <w:rFonts w:ascii="Arial" w:hAnsi="Arial" w:cs="Arial"/>
                <w:b/>
                <w:bCs/>
                <w:color w:val="000000"/>
                <w:lang w:val="en-GB" w:eastAsia="en-GB"/>
              </w:rPr>
              <w:t>S</w:t>
            </w:r>
            <w:r w:rsidR="00BA7EDA">
              <w:rPr>
                <w:rFonts w:ascii="Arial" w:hAnsi="Arial" w:cs="Arial"/>
                <w:b/>
                <w:bCs/>
                <w:color w:val="000000"/>
                <w:lang w:val="en-GB" w:eastAsia="en-GB"/>
              </w:rPr>
              <w:t>tates</w:t>
            </w:r>
          </w:p>
        </w:tc>
      </w:tr>
      <w:tr w:rsidR="00330F81" w:rsidRPr="00302FFF" w14:paraId="03E7423F" w14:textId="77777777" w:rsidTr="009552F8">
        <w:trPr>
          <w:trHeight w:val="56"/>
          <w:jc w:val="center"/>
        </w:trPr>
        <w:tc>
          <w:tcPr>
            <w:tcW w:w="1649" w:type="dxa"/>
            <w:tcBorders>
              <w:top w:val="nil"/>
              <w:left w:val="single" w:sz="4" w:space="0" w:color="auto"/>
              <w:bottom w:val="single" w:sz="4" w:space="0" w:color="auto"/>
              <w:right w:val="single" w:sz="4" w:space="0" w:color="auto"/>
            </w:tcBorders>
            <w:shd w:val="clear" w:color="auto" w:fill="auto"/>
            <w:noWrap/>
            <w:vAlign w:val="bottom"/>
            <w:hideMark/>
          </w:tcPr>
          <w:p w14:paraId="3D7B8E0A" w14:textId="77777777" w:rsidR="00330F81" w:rsidRPr="00302FFF" w:rsidRDefault="00330F81" w:rsidP="00F0591D">
            <w:pPr>
              <w:jc w:val="center"/>
              <w:rPr>
                <w:rFonts w:ascii="Arial" w:hAnsi="Arial" w:cs="Arial"/>
                <w:color w:val="000000"/>
                <w:lang w:val="en-GB" w:eastAsia="en-GB"/>
              </w:rPr>
            </w:pPr>
            <w:r w:rsidRPr="00302FFF">
              <w:rPr>
                <w:rFonts w:ascii="Arial" w:hAnsi="Arial" w:cs="Arial"/>
                <w:color w:val="000000"/>
                <w:lang w:val="en-GB" w:eastAsia="en-GB"/>
              </w:rPr>
              <w:t xml:space="preserve">Marburg </w:t>
            </w:r>
          </w:p>
        </w:tc>
        <w:tc>
          <w:tcPr>
            <w:tcW w:w="1860" w:type="dxa"/>
            <w:tcBorders>
              <w:top w:val="nil"/>
              <w:left w:val="nil"/>
              <w:bottom w:val="single" w:sz="4" w:space="0" w:color="auto"/>
              <w:right w:val="single" w:sz="4" w:space="0" w:color="auto"/>
            </w:tcBorders>
            <w:shd w:val="clear" w:color="auto" w:fill="auto"/>
            <w:noWrap/>
            <w:vAlign w:val="bottom"/>
            <w:hideMark/>
          </w:tcPr>
          <w:p w14:paraId="4804E881" w14:textId="77777777" w:rsidR="00330F81" w:rsidRPr="00302FFF" w:rsidRDefault="00330F81" w:rsidP="00F0591D">
            <w:pPr>
              <w:jc w:val="center"/>
              <w:rPr>
                <w:rFonts w:ascii="Arial" w:hAnsi="Arial" w:cs="Arial"/>
                <w:color w:val="000000"/>
                <w:lang w:val="en-GB" w:eastAsia="en-GB"/>
              </w:rPr>
            </w:pPr>
            <w:r w:rsidRPr="00302FFF">
              <w:rPr>
                <w:rFonts w:ascii="Arial" w:hAnsi="Arial" w:cs="Arial"/>
                <w:color w:val="000000"/>
                <w:lang w:val="en-GB" w:eastAsia="en-GB"/>
              </w:rPr>
              <w:t>3</w:t>
            </w:r>
          </w:p>
        </w:tc>
        <w:tc>
          <w:tcPr>
            <w:tcW w:w="1648" w:type="dxa"/>
            <w:tcBorders>
              <w:top w:val="nil"/>
              <w:left w:val="nil"/>
              <w:bottom w:val="single" w:sz="4" w:space="0" w:color="auto"/>
              <w:right w:val="single" w:sz="4" w:space="0" w:color="auto"/>
            </w:tcBorders>
            <w:shd w:val="clear" w:color="auto" w:fill="auto"/>
            <w:noWrap/>
            <w:vAlign w:val="bottom"/>
            <w:hideMark/>
          </w:tcPr>
          <w:p w14:paraId="7F5872A7" w14:textId="77777777" w:rsidR="00330F81" w:rsidRPr="00302FFF" w:rsidRDefault="00330F81" w:rsidP="00F0591D">
            <w:pPr>
              <w:jc w:val="center"/>
              <w:rPr>
                <w:rFonts w:ascii="Arial" w:hAnsi="Arial" w:cs="Arial"/>
                <w:color w:val="000000"/>
                <w:lang w:val="en-GB" w:eastAsia="en-GB"/>
              </w:rPr>
            </w:pPr>
            <w:r w:rsidRPr="00302FFF">
              <w:rPr>
                <w:rFonts w:ascii="Arial" w:hAnsi="Arial" w:cs="Arial"/>
                <w:color w:val="000000"/>
                <w:lang w:val="en-GB" w:eastAsia="en-GB"/>
              </w:rPr>
              <w:t>2</w:t>
            </w:r>
          </w:p>
        </w:tc>
        <w:tc>
          <w:tcPr>
            <w:tcW w:w="1648" w:type="dxa"/>
            <w:tcBorders>
              <w:top w:val="nil"/>
              <w:left w:val="nil"/>
              <w:bottom w:val="single" w:sz="4" w:space="0" w:color="auto"/>
              <w:right w:val="single" w:sz="4" w:space="0" w:color="auto"/>
            </w:tcBorders>
            <w:shd w:val="clear" w:color="auto" w:fill="auto"/>
            <w:noWrap/>
            <w:vAlign w:val="bottom"/>
            <w:hideMark/>
          </w:tcPr>
          <w:p w14:paraId="7F33700B" w14:textId="77777777" w:rsidR="00330F81" w:rsidRPr="00302FFF" w:rsidRDefault="00330F81" w:rsidP="00F0591D">
            <w:pPr>
              <w:jc w:val="center"/>
              <w:rPr>
                <w:rFonts w:ascii="Arial" w:hAnsi="Arial" w:cs="Arial"/>
                <w:color w:val="000000"/>
                <w:lang w:val="en-GB" w:eastAsia="en-GB"/>
              </w:rPr>
            </w:pPr>
            <w:r w:rsidRPr="00302FFF">
              <w:rPr>
                <w:rFonts w:ascii="Arial" w:hAnsi="Arial" w:cs="Arial"/>
                <w:color w:val="000000"/>
                <w:lang w:val="en-GB" w:eastAsia="en-GB"/>
              </w:rPr>
              <w:t>2</w:t>
            </w:r>
          </w:p>
        </w:tc>
        <w:tc>
          <w:tcPr>
            <w:tcW w:w="1648" w:type="dxa"/>
            <w:tcBorders>
              <w:top w:val="nil"/>
              <w:left w:val="nil"/>
              <w:bottom w:val="single" w:sz="4" w:space="0" w:color="auto"/>
              <w:right w:val="single" w:sz="4" w:space="0" w:color="auto"/>
            </w:tcBorders>
            <w:shd w:val="clear" w:color="auto" w:fill="auto"/>
            <w:noWrap/>
            <w:vAlign w:val="bottom"/>
            <w:hideMark/>
          </w:tcPr>
          <w:p w14:paraId="735E4E1A" w14:textId="77777777" w:rsidR="00330F81" w:rsidRPr="00302FFF" w:rsidRDefault="00330F81" w:rsidP="00F0591D">
            <w:pPr>
              <w:jc w:val="center"/>
              <w:rPr>
                <w:rFonts w:ascii="Arial" w:hAnsi="Arial" w:cs="Arial"/>
                <w:color w:val="000000"/>
                <w:lang w:val="en-GB" w:eastAsia="en-GB"/>
              </w:rPr>
            </w:pPr>
            <w:r w:rsidRPr="00302FFF">
              <w:rPr>
                <w:rFonts w:ascii="Arial" w:hAnsi="Arial" w:cs="Arial"/>
                <w:color w:val="000000"/>
                <w:lang w:val="en-GB" w:eastAsia="en-GB"/>
              </w:rPr>
              <w:t>1</w:t>
            </w:r>
          </w:p>
        </w:tc>
      </w:tr>
      <w:tr w:rsidR="00330F81" w:rsidRPr="00302FFF" w14:paraId="4AA50C08" w14:textId="77777777" w:rsidTr="009552F8">
        <w:trPr>
          <w:trHeight w:val="56"/>
          <w:jc w:val="center"/>
        </w:trPr>
        <w:tc>
          <w:tcPr>
            <w:tcW w:w="1649" w:type="dxa"/>
            <w:tcBorders>
              <w:top w:val="nil"/>
              <w:left w:val="single" w:sz="4" w:space="0" w:color="auto"/>
              <w:bottom w:val="single" w:sz="4" w:space="0" w:color="auto"/>
              <w:right w:val="single" w:sz="4" w:space="0" w:color="auto"/>
            </w:tcBorders>
            <w:shd w:val="clear" w:color="auto" w:fill="auto"/>
            <w:noWrap/>
            <w:vAlign w:val="bottom"/>
            <w:hideMark/>
          </w:tcPr>
          <w:p w14:paraId="59E515AB" w14:textId="77777777" w:rsidR="00330F81" w:rsidRPr="00302FFF" w:rsidRDefault="00330F81" w:rsidP="00F0591D">
            <w:pPr>
              <w:jc w:val="center"/>
              <w:rPr>
                <w:rFonts w:ascii="Arial" w:hAnsi="Arial" w:cs="Arial"/>
                <w:color w:val="000000"/>
                <w:lang w:val="en-GB" w:eastAsia="en-GB"/>
              </w:rPr>
            </w:pPr>
            <w:r w:rsidRPr="00302FFF">
              <w:rPr>
                <w:rFonts w:ascii="Arial" w:hAnsi="Arial" w:cs="Arial"/>
                <w:color w:val="000000"/>
                <w:lang w:val="en-GB" w:eastAsia="en-GB"/>
              </w:rPr>
              <w:t xml:space="preserve">Lujo </w:t>
            </w:r>
          </w:p>
        </w:tc>
        <w:tc>
          <w:tcPr>
            <w:tcW w:w="1860" w:type="dxa"/>
            <w:tcBorders>
              <w:top w:val="nil"/>
              <w:left w:val="nil"/>
              <w:bottom w:val="single" w:sz="4" w:space="0" w:color="auto"/>
              <w:right w:val="single" w:sz="4" w:space="0" w:color="auto"/>
            </w:tcBorders>
            <w:shd w:val="clear" w:color="auto" w:fill="auto"/>
            <w:noWrap/>
            <w:vAlign w:val="bottom"/>
            <w:hideMark/>
          </w:tcPr>
          <w:p w14:paraId="447D3675" w14:textId="77777777" w:rsidR="00330F81" w:rsidRPr="00302FFF" w:rsidRDefault="00330F81" w:rsidP="00F0591D">
            <w:pPr>
              <w:jc w:val="center"/>
              <w:rPr>
                <w:rFonts w:ascii="Arial" w:hAnsi="Arial" w:cs="Arial"/>
                <w:color w:val="000000"/>
                <w:lang w:val="en-GB" w:eastAsia="en-GB"/>
              </w:rPr>
            </w:pPr>
            <w:r w:rsidRPr="00302FFF">
              <w:rPr>
                <w:rFonts w:ascii="Arial" w:hAnsi="Arial" w:cs="Arial"/>
                <w:color w:val="000000"/>
                <w:lang w:val="en-GB" w:eastAsia="en-GB"/>
              </w:rPr>
              <w:t>2</w:t>
            </w:r>
          </w:p>
        </w:tc>
        <w:tc>
          <w:tcPr>
            <w:tcW w:w="1648" w:type="dxa"/>
            <w:tcBorders>
              <w:top w:val="nil"/>
              <w:left w:val="nil"/>
              <w:bottom w:val="single" w:sz="4" w:space="0" w:color="auto"/>
              <w:right w:val="single" w:sz="4" w:space="0" w:color="auto"/>
            </w:tcBorders>
            <w:shd w:val="clear" w:color="auto" w:fill="auto"/>
            <w:noWrap/>
            <w:vAlign w:val="bottom"/>
            <w:hideMark/>
          </w:tcPr>
          <w:p w14:paraId="129F1194" w14:textId="77777777" w:rsidR="00330F81" w:rsidRPr="00302FFF" w:rsidRDefault="00330F81" w:rsidP="00F0591D">
            <w:pPr>
              <w:jc w:val="center"/>
              <w:rPr>
                <w:rFonts w:ascii="Arial" w:hAnsi="Arial" w:cs="Arial"/>
                <w:color w:val="000000"/>
                <w:lang w:val="en-GB" w:eastAsia="en-GB"/>
              </w:rPr>
            </w:pPr>
            <w:r w:rsidRPr="00302FFF">
              <w:rPr>
                <w:rFonts w:ascii="Arial" w:hAnsi="Arial" w:cs="Arial"/>
                <w:color w:val="000000"/>
                <w:lang w:val="en-GB" w:eastAsia="en-GB"/>
              </w:rPr>
              <w:t>3</w:t>
            </w:r>
          </w:p>
        </w:tc>
        <w:tc>
          <w:tcPr>
            <w:tcW w:w="1648" w:type="dxa"/>
            <w:tcBorders>
              <w:top w:val="nil"/>
              <w:left w:val="nil"/>
              <w:bottom w:val="single" w:sz="4" w:space="0" w:color="auto"/>
              <w:right w:val="single" w:sz="4" w:space="0" w:color="auto"/>
            </w:tcBorders>
            <w:shd w:val="clear" w:color="auto" w:fill="auto"/>
            <w:noWrap/>
            <w:vAlign w:val="bottom"/>
            <w:hideMark/>
          </w:tcPr>
          <w:p w14:paraId="7B7223E4" w14:textId="77777777" w:rsidR="00330F81" w:rsidRPr="00302FFF" w:rsidRDefault="00330F81" w:rsidP="00F0591D">
            <w:pPr>
              <w:jc w:val="center"/>
              <w:rPr>
                <w:rFonts w:ascii="Arial" w:hAnsi="Arial" w:cs="Arial"/>
                <w:color w:val="000000"/>
                <w:lang w:val="en-GB" w:eastAsia="en-GB"/>
              </w:rPr>
            </w:pPr>
            <w:r w:rsidRPr="00302FFF">
              <w:rPr>
                <w:rFonts w:ascii="Arial" w:hAnsi="Arial" w:cs="Arial"/>
                <w:color w:val="000000"/>
                <w:lang w:val="en-GB" w:eastAsia="en-GB"/>
              </w:rPr>
              <w:t>3</w:t>
            </w:r>
          </w:p>
        </w:tc>
        <w:tc>
          <w:tcPr>
            <w:tcW w:w="1648" w:type="dxa"/>
            <w:tcBorders>
              <w:top w:val="nil"/>
              <w:left w:val="nil"/>
              <w:bottom w:val="single" w:sz="4" w:space="0" w:color="auto"/>
              <w:right w:val="single" w:sz="4" w:space="0" w:color="auto"/>
            </w:tcBorders>
            <w:shd w:val="clear" w:color="auto" w:fill="auto"/>
            <w:noWrap/>
            <w:vAlign w:val="bottom"/>
            <w:hideMark/>
          </w:tcPr>
          <w:p w14:paraId="64D7ECD1" w14:textId="77777777" w:rsidR="00330F81" w:rsidRPr="00302FFF" w:rsidRDefault="00330F81" w:rsidP="00F0591D">
            <w:pPr>
              <w:jc w:val="center"/>
              <w:rPr>
                <w:rFonts w:ascii="Arial" w:hAnsi="Arial" w:cs="Arial"/>
                <w:color w:val="000000"/>
                <w:lang w:val="en-GB" w:eastAsia="en-GB"/>
              </w:rPr>
            </w:pPr>
            <w:r w:rsidRPr="00302FFF">
              <w:rPr>
                <w:rFonts w:ascii="Arial" w:hAnsi="Arial" w:cs="Arial"/>
                <w:color w:val="000000"/>
                <w:lang w:val="en-GB" w:eastAsia="en-GB"/>
              </w:rPr>
              <w:t>2</w:t>
            </w:r>
          </w:p>
        </w:tc>
      </w:tr>
      <w:tr w:rsidR="00330F81" w:rsidRPr="00302FFF" w14:paraId="3E4C3525" w14:textId="77777777" w:rsidTr="009552F8">
        <w:trPr>
          <w:trHeight w:val="56"/>
          <w:jc w:val="center"/>
        </w:trPr>
        <w:tc>
          <w:tcPr>
            <w:tcW w:w="1649" w:type="dxa"/>
            <w:tcBorders>
              <w:top w:val="nil"/>
              <w:left w:val="single" w:sz="4" w:space="0" w:color="auto"/>
              <w:bottom w:val="single" w:sz="4" w:space="0" w:color="auto"/>
              <w:right w:val="single" w:sz="4" w:space="0" w:color="auto"/>
            </w:tcBorders>
            <w:shd w:val="clear" w:color="auto" w:fill="auto"/>
            <w:noWrap/>
            <w:vAlign w:val="bottom"/>
            <w:hideMark/>
          </w:tcPr>
          <w:p w14:paraId="38CB5D48" w14:textId="77777777" w:rsidR="00330F81" w:rsidRPr="00302FFF" w:rsidRDefault="00330F81" w:rsidP="00F0591D">
            <w:pPr>
              <w:jc w:val="center"/>
              <w:rPr>
                <w:rFonts w:ascii="Arial" w:hAnsi="Arial" w:cs="Arial"/>
                <w:color w:val="000000"/>
                <w:lang w:val="en-GB" w:eastAsia="en-GB"/>
              </w:rPr>
            </w:pPr>
            <w:r w:rsidRPr="00302FFF">
              <w:rPr>
                <w:rFonts w:ascii="Arial" w:hAnsi="Arial" w:cs="Arial"/>
                <w:color w:val="000000"/>
                <w:lang w:val="en-GB" w:eastAsia="en-GB"/>
              </w:rPr>
              <w:t xml:space="preserve">Nipah </w:t>
            </w:r>
          </w:p>
        </w:tc>
        <w:tc>
          <w:tcPr>
            <w:tcW w:w="1860" w:type="dxa"/>
            <w:tcBorders>
              <w:top w:val="nil"/>
              <w:left w:val="nil"/>
              <w:bottom w:val="single" w:sz="4" w:space="0" w:color="auto"/>
              <w:right w:val="single" w:sz="4" w:space="0" w:color="auto"/>
            </w:tcBorders>
            <w:shd w:val="clear" w:color="auto" w:fill="auto"/>
            <w:noWrap/>
            <w:vAlign w:val="bottom"/>
            <w:hideMark/>
          </w:tcPr>
          <w:p w14:paraId="6CC66CD8" w14:textId="77777777" w:rsidR="00330F81" w:rsidRPr="00302FFF" w:rsidRDefault="00330F81" w:rsidP="00F0591D">
            <w:pPr>
              <w:jc w:val="center"/>
              <w:rPr>
                <w:rFonts w:ascii="Arial" w:hAnsi="Arial" w:cs="Arial"/>
                <w:color w:val="000000"/>
                <w:lang w:val="en-GB" w:eastAsia="en-GB"/>
              </w:rPr>
            </w:pPr>
            <w:r w:rsidRPr="00302FFF">
              <w:rPr>
                <w:rFonts w:ascii="Arial" w:hAnsi="Arial" w:cs="Arial"/>
                <w:color w:val="000000"/>
                <w:lang w:val="en-GB" w:eastAsia="en-GB"/>
              </w:rPr>
              <w:t>1</w:t>
            </w:r>
          </w:p>
        </w:tc>
        <w:tc>
          <w:tcPr>
            <w:tcW w:w="1648" w:type="dxa"/>
            <w:tcBorders>
              <w:top w:val="nil"/>
              <w:left w:val="nil"/>
              <w:bottom w:val="single" w:sz="4" w:space="0" w:color="auto"/>
              <w:right w:val="single" w:sz="4" w:space="0" w:color="auto"/>
            </w:tcBorders>
            <w:shd w:val="clear" w:color="auto" w:fill="auto"/>
            <w:noWrap/>
            <w:vAlign w:val="bottom"/>
            <w:hideMark/>
          </w:tcPr>
          <w:p w14:paraId="134A8492" w14:textId="77777777" w:rsidR="00330F81" w:rsidRPr="00302FFF" w:rsidRDefault="00330F81" w:rsidP="00F0591D">
            <w:pPr>
              <w:jc w:val="center"/>
              <w:rPr>
                <w:rFonts w:ascii="Arial" w:hAnsi="Arial" w:cs="Arial"/>
                <w:color w:val="000000"/>
                <w:lang w:val="en-GB" w:eastAsia="en-GB"/>
              </w:rPr>
            </w:pPr>
            <w:r w:rsidRPr="00302FFF">
              <w:rPr>
                <w:rFonts w:ascii="Arial" w:hAnsi="Arial" w:cs="Arial"/>
                <w:color w:val="000000"/>
                <w:lang w:val="en-GB" w:eastAsia="en-GB"/>
              </w:rPr>
              <w:t>1</w:t>
            </w:r>
          </w:p>
        </w:tc>
        <w:tc>
          <w:tcPr>
            <w:tcW w:w="1648" w:type="dxa"/>
            <w:tcBorders>
              <w:top w:val="nil"/>
              <w:left w:val="nil"/>
              <w:bottom w:val="single" w:sz="4" w:space="0" w:color="auto"/>
              <w:right w:val="single" w:sz="4" w:space="0" w:color="auto"/>
            </w:tcBorders>
            <w:shd w:val="clear" w:color="auto" w:fill="auto"/>
            <w:noWrap/>
            <w:vAlign w:val="bottom"/>
            <w:hideMark/>
          </w:tcPr>
          <w:p w14:paraId="2CCC904F" w14:textId="77777777" w:rsidR="00330F81" w:rsidRPr="00302FFF" w:rsidRDefault="00330F81" w:rsidP="00F0591D">
            <w:pPr>
              <w:jc w:val="center"/>
              <w:rPr>
                <w:rFonts w:ascii="Arial" w:hAnsi="Arial" w:cs="Arial"/>
                <w:color w:val="000000"/>
                <w:lang w:val="en-GB" w:eastAsia="en-GB"/>
              </w:rPr>
            </w:pPr>
            <w:r w:rsidRPr="00302FFF">
              <w:rPr>
                <w:rFonts w:ascii="Arial" w:hAnsi="Arial" w:cs="Arial"/>
                <w:color w:val="000000"/>
                <w:lang w:val="en-GB" w:eastAsia="en-GB"/>
              </w:rPr>
              <w:t>1</w:t>
            </w:r>
          </w:p>
        </w:tc>
        <w:tc>
          <w:tcPr>
            <w:tcW w:w="1648" w:type="dxa"/>
            <w:tcBorders>
              <w:top w:val="nil"/>
              <w:left w:val="nil"/>
              <w:bottom w:val="single" w:sz="4" w:space="0" w:color="auto"/>
              <w:right w:val="single" w:sz="4" w:space="0" w:color="auto"/>
            </w:tcBorders>
            <w:shd w:val="clear" w:color="auto" w:fill="auto"/>
            <w:noWrap/>
            <w:vAlign w:val="bottom"/>
            <w:hideMark/>
          </w:tcPr>
          <w:p w14:paraId="3EC8F42D" w14:textId="77777777" w:rsidR="00330F81" w:rsidRPr="00302FFF" w:rsidRDefault="00330F81" w:rsidP="00F0591D">
            <w:pPr>
              <w:jc w:val="center"/>
              <w:rPr>
                <w:rFonts w:ascii="Arial" w:hAnsi="Arial" w:cs="Arial"/>
                <w:color w:val="000000"/>
                <w:lang w:val="en-GB" w:eastAsia="en-GB"/>
              </w:rPr>
            </w:pPr>
            <w:r w:rsidRPr="00302FFF">
              <w:rPr>
                <w:rFonts w:ascii="Arial" w:hAnsi="Arial" w:cs="Arial"/>
                <w:color w:val="000000"/>
                <w:lang w:val="en-GB" w:eastAsia="en-GB"/>
              </w:rPr>
              <w:t>3</w:t>
            </w:r>
          </w:p>
        </w:tc>
      </w:tr>
    </w:tbl>
    <w:p w14:paraId="1B439DBB" w14:textId="77777777" w:rsidR="00330F81" w:rsidRPr="00302FFF" w:rsidRDefault="00330F81" w:rsidP="00330F81">
      <w:pPr>
        <w:jc w:val="both"/>
        <w:rPr>
          <w:rFonts w:ascii="Arial" w:hAnsi="Arial" w:cs="Arial"/>
          <w:b/>
          <w:bCs/>
          <w:sz w:val="17"/>
          <w:szCs w:val="17"/>
          <w:lang w:val="en-GB"/>
        </w:rPr>
      </w:pPr>
    </w:p>
    <w:p w14:paraId="259ED714" w14:textId="77777777" w:rsidR="00D777D7" w:rsidRPr="007B72F2" w:rsidRDefault="00330F81" w:rsidP="00330F81">
      <w:pPr>
        <w:pStyle w:val="Footnote"/>
        <w:rPr>
          <w:rStyle w:val="Hyperlink"/>
          <w:color w:val="auto"/>
          <w:spacing w:val="-2"/>
          <w:u w:val="none"/>
          <w:lang w:val="en-GB"/>
        </w:rPr>
      </w:pPr>
      <w:r w:rsidRPr="007B72F2">
        <w:rPr>
          <w:spacing w:val="-2"/>
          <w:lang w:val="en-GB"/>
        </w:rPr>
        <w:t xml:space="preserve">Source: </w:t>
      </w:r>
      <w:bookmarkStart w:id="10" w:name="_Hlk45633793"/>
      <w:bookmarkStart w:id="11" w:name="_Hlk45628564"/>
      <w:r w:rsidR="006B3A37" w:rsidRPr="007B72F2">
        <w:rPr>
          <w:spacing w:val="-2"/>
          <w:lang w:val="en-GB"/>
        </w:rPr>
        <w:t xml:space="preserve">Adapted from </w:t>
      </w:r>
      <w:r w:rsidR="00867385" w:rsidRPr="007B72F2">
        <w:rPr>
          <w:spacing w:val="-2"/>
          <w:lang w:val="en-GB"/>
        </w:rPr>
        <w:t xml:space="preserve">Metabiota Inc., </w:t>
      </w:r>
      <w:r w:rsidRPr="007B72F2">
        <w:rPr>
          <w:i/>
          <w:spacing w:val="-2"/>
          <w:lang w:val="en-GB"/>
        </w:rPr>
        <w:t>Infectious Disease Outbreaks Can Inflict Enormous Social and Economic Disruption</w:t>
      </w:r>
      <w:r w:rsidRPr="007B72F2">
        <w:rPr>
          <w:spacing w:val="-2"/>
          <w:lang w:val="en-GB"/>
        </w:rPr>
        <w:t xml:space="preserve">, </w:t>
      </w:r>
      <w:bookmarkEnd w:id="10"/>
      <w:r w:rsidR="00FE1008" w:rsidRPr="007B72F2">
        <w:rPr>
          <w:spacing w:val="-2"/>
          <w:lang w:val="en-GB"/>
        </w:rPr>
        <w:t xml:space="preserve">2018, </w:t>
      </w:r>
      <w:r w:rsidRPr="007B72F2">
        <w:rPr>
          <w:spacing w:val="-2"/>
          <w:lang w:val="en-GB"/>
        </w:rPr>
        <w:t xml:space="preserve">accessed June 1, 2020, </w:t>
      </w:r>
      <w:r w:rsidRPr="007B72F2">
        <w:rPr>
          <w:rStyle w:val="Hyperlink"/>
          <w:color w:val="auto"/>
          <w:spacing w:val="-2"/>
          <w:u w:val="none"/>
          <w:lang w:val="en-GB"/>
        </w:rPr>
        <w:t>https://metabiota.com/sites/default/files/presentation_files/Metabiota%20Pathogen%20Sentiment%20</w:t>
      </w:r>
    </w:p>
    <w:p w14:paraId="0C9F9B45" w14:textId="1B54F745" w:rsidR="00330F81" w:rsidRPr="007B72F2" w:rsidRDefault="00330F81" w:rsidP="00330F81">
      <w:pPr>
        <w:pStyle w:val="Footnote"/>
        <w:rPr>
          <w:spacing w:val="-2"/>
          <w:lang w:val="en-GB"/>
        </w:rPr>
      </w:pPr>
      <w:r w:rsidRPr="007B72F2">
        <w:rPr>
          <w:rStyle w:val="Hyperlink"/>
          <w:color w:val="auto"/>
          <w:spacing w:val="-2"/>
          <w:u w:val="none"/>
          <w:lang w:val="en-GB"/>
        </w:rPr>
        <w:t>Index%20Flyer_Apr%202018.pdf.</w:t>
      </w:r>
    </w:p>
    <w:bookmarkEnd w:id="11"/>
    <w:p w14:paraId="09365C3E" w14:textId="77777777" w:rsidR="00330F81" w:rsidRPr="00302FFF" w:rsidRDefault="00330F81" w:rsidP="00330F81">
      <w:pPr>
        <w:jc w:val="both"/>
        <w:rPr>
          <w:rFonts w:ascii="Arial" w:hAnsi="Arial" w:cs="Arial"/>
          <w:b/>
          <w:bCs/>
          <w:lang w:val="en-GB"/>
        </w:rPr>
      </w:pPr>
    </w:p>
    <w:p w14:paraId="057D5A6B" w14:textId="77777777" w:rsidR="00330F81" w:rsidRPr="00302FFF" w:rsidRDefault="00330F81" w:rsidP="00330F81">
      <w:pPr>
        <w:jc w:val="both"/>
        <w:rPr>
          <w:rFonts w:ascii="Arial" w:hAnsi="Arial" w:cs="Arial"/>
          <w:b/>
          <w:bCs/>
          <w:lang w:val="en-GB"/>
        </w:rPr>
      </w:pPr>
    </w:p>
    <w:p w14:paraId="72D54420" w14:textId="77777777" w:rsidR="00D24310" w:rsidRDefault="00D24310">
      <w:pPr>
        <w:spacing w:after="200" w:line="276" w:lineRule="auto"/>
        <w:rPr>
          <w:rFonts w:ascii="Arial" w:hAnsi="Arial" w:cs="Arial"/>
          <w:b/>
          <w:caps/>
          <w:lang w:val="en-GB"/>
        </w:rPr>
      </w:pPr>
      <w:r>
        <w:rPr>
          <w:lang w:val="en-GB"/>
        </w:rPr>
        <w:br w:type="page"/>
      </w:r>
    </w:p>
    <w:p w14:paraId="35026E93" w14:textId="595D7EC5" w:rsidR="00330F81" w:rsidRPr="00302FFF" w:rsidRDefault="00330F81" w:rsidP="00330F81">
      <w:pPr>
        <w:pStyle w:val="ExhibitHeading"/>
        <w:rPr>
          <w:lang w:val="en-GB"/>
        </w:rPr>
      </w:pPr>
      <w:r w:rsidRPr="00302FFF">
        <w:rPr>
          <w:lang w:val="en-GB"/>
        </w:rPr>
        <w:lastRenderedPageBreak/>
        <w:t xml:space="preserve">EXHIBIT 4: </w:t>
      </w:r>
      <w:r w:rsidR="00FE1008" w:rsidRPr="00302FFF">
        <w:rPr>
          <w:lang w:val="en-GB"/>
        </w:rPr>
        <w:t>RETURN ON EQUITY</w:t>
      </w:r>
      <w:r w:rsidR="00FE1008">
        <w:rPr>
          <w:lang w:val="en-GB"/>
        </w:rPr>
        <w:t xml:space="preserve"> of </w:t>
      </w:r>
      <w:r w:rsidRPr="00302FFF">
        <w:rPr>
          <w:lang w:val="en-GB"/>
        </w:rPr>
        <w:t>TOP 20 GLOBAL REINSURERS (2014</w:t>
      </w:r>
      <w:r w:rsidR="00FE1008">
        <w:rPr>
          <w:lang w:val="en-GB"/>
        </w:rPr>
        <w:t>–</w:t>
      </w:r>
      <w:r w:rsidRPr="00302FFF">
        <w:rPr>
          <w:lang w:val="en-GB"/>
        </w:rPr>
        <w:t>2018)</w:t>
      </w:r>
    </w:p>
    <w:p w14:paraId="3958BD9E" w14:textId="692A4AB3" w:rsidR="00330F81" w:rsidRPr="00302FFF" w:rsidRDefault="00330F81" w:rsidP="00330F81">
      <w:pPr>
        <w:jc w:val="both"/>
        <w:rPr>
          <w:rFonts w:ascii="Arial" w:hAnsi="Arial" w:cs="Arial"/>
          <w:b/>
          <w:bCs/>
          <w:lang w:val="en-GB"/>
        </w:rPr>
      </w:pPr>
    </w:p>
    <w:p w14:paraId="1C6F236D" w14:textId="77777777" w:rsidR="00330F81" w:rsidRPr="00302FFF" w:rsidRDefault="00330F81" w:rsidP="00330F81">
      <w:pPr>
        <w:jc w:val="both"/>
        <w:rPr>
          <w:rFonts w:ascii="Arial" w:hAnsi="Arial" w:cs="Arial"/>
          <w:b/>
          <w:bCs/>
          <w:lang w:val="en-GB"/>
        </w:rPr>
      </w:pPr>
      <w:r w:rsidRPr="007B72F2">
        <w:rPr>
          <w:rFonts w:ascii="Arial" w:hAnsi="Arial" w:cs="Arial"/>
          <w:noProof/>
          <w:lang w:val="en-CA" w:eastAsia="en-CA"/>
        </w:rPr>
        <w:drawing>
          <wp:inline distT="0" distB="0" distL="0" distR="0" wp14:anchorId="7CCC3DE8" wp14:editId="7D798648">
            <wp:extent cx="5958673" cy="2128520"/>
            <wp:effectExtent l="0" t="0" r="4445" b="5080"/>
            <wp:docPr id="3" name="Chart 3" descr="Return on Equity of Top 20 Global Reinsurers (%) for 2014-2018.">
              <a:extLst xmlns:a="http://schemas.openxmlformats.org/drawingml/2006/main">
                <a:ext uri="{FF2B5EF4-FFF2-40B4-BE49-F238E27FC236}">
                  <a16:creationId xmlns:a16="http://schemas.microsoft.com/office/drawing/2014/main" id="{17316CA9-D81F-40F5-AD78-B9A054920C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BD90CA6" w14:textId="77777777" w:rsidR="00FE1008" w:rsidRDefault="00FE1008" w:rsidP="00330F81">
      <w:pPr>
        <w:pStyle w:val="Footnote"/>
        <w:rPr>
          <w:lang w:val="en-GB"/>
        </w:rPr>
      </w:pPr>
    </w:p>
    <w:p w14:paraId="6EAEDBF2" w14:textId="2A9C6F7D" w:rsidR="00330F81" w:rsidRPr="00302FFF" w:rsidRDefault="00330F81" w:rsidP="00330F81">
      <w:pPr>
        <w:pStyle w:val="Footnote"/>
        <w:rPr>
          <w:lang w:val="en-GB"/>
        </w:rPr>
      </w:pPr>
      <w:r w:rsidRPr="00302FFF">
        <w:rPr>
          <w:lang w:val="en-GB"/>
        </w:rPr>
        <w:t xml:space="preserve">Source: </w:t>
      </w:r>
      <w:r w:rsidR="001A28EA">
        <w:rPr>
          <w:lang w:val="en-GB"/>
        </w:rPr>
        <w:t xml:space="preserve">Adapted from </w:t>
      </w:r>
      <w:r w:rsidR="001A28EA" w:rsidRPr="00302FFF">
        <w:rPr>
          <w:lang w:val="en-GB"/>
        </w:rPr>
        <w:t>S&amp;P Global Ratings,</w:t>
      </w:r>
      <w:r w:rsidR="001A28EA">
        <w:rPr>
          <w:lang w:val="en-GB"/>
        </w:rPr>
        <w:t xml:space="preserve"> </w:t>
      </w:r>
      <w:r w:rsidRPr="004C581E">
        <w:rPr>
          <w:i/>
          <w:lang w:val="en-GB"/>
        </w:rPr>
        <w:t>Global Reinsurance Highlights 2019</w:t>
      </w:r>
      <w:r w:rsidRPr="00302FFF">
        <w:rPr>
          <w:lang w:val="en-GB"/>
        </w:rPr>
        <w:t xml:space="preserve">, </w:t>
      </w:r>
      <w:r w:rsidR="00FE1008">
        <w:rPr>
          <w:lang w:val="en-GB"/>
        </w:rPr>
        <w:t>13,</w:t>
      </w:r>
      <w:r w:rsidRPr="00302FFF">
        <w:rPr>
          <w:lang w:val="en-GB"/>
        </w:rPr>
        <w:t xml:space="preserve"> 2019, accessed June 1, 2019, </w:t>
      </w:r>
      <w:r w:rsidRPr="00FE1008">
        <w:rPr>
          <w:rStyle w:val="Hyperlink"/>
          <w:color w:val="auto"/>
          <w:u w:val="none"/>
          <w:lang w:val="en-GB"/>
        </w:rPr>
        <w:t>www.spglobal.com/_assets/documents/ratings/research/global-reinsurance-highlights-2019.pdf</w:t>
      </w:r>
      <w:r w:rsidRPr="00302FFF">
        <w:rPr>
          <w:rStyle w:val="Hyperlink"/>
          <w:color w:val="auto"/>
          <w:u w:val="none"/>
          <w:lang w:val="en-GB"/>
        </w:rPr>
        <w:t>.</w:t>
      </w:r>
    </w:p>
    <w:p w14:paraId="4538BA77" w14:textId="4CC7CBFF" w:rsidR="00330F81" w:rsidRDefault="00330F81" w:rsidP="00330F81">
      <w:pPr>
        <w:jc w:val="both"/>
        <w:rPr>
          <w:rFonts w:ascii="Arial" w:hAnsi="Arial" w:cs="Arial"/>
          <w:sz w:val="17"/>
          <w:szCs w:val="17"/>
          <w:lang w:val="en-GB"/>
        </w:rPr>
      </w:pPr>
    </w:p>
    <w:p w14:paraId="27E9E20F" w14:textId="77777777" w:rsidR="00875E06" w:rsidRPr="00302FFF" w:rsidRDefault="00875E06" w:rsidP="00330F81">
      <w:pPr>
        <w:jc w:val="both"/>
        <w:rPr>
          <w:rFonts w:ascii="Arial" w:hAnsi="Arial" w:cs="Arial"/>
          <w:sz w:val="17"/>
          <w:szCs w:val="17"/>
          <w:lang w:val="en-GB"/>
        </w:rPr>
      </w:pPr>
    </w:p>
    <w:p w14:paraId="5FADA151" w14:textId="68DBE203" w:rsidR="00330F81" w:rsidRPr="00302FFF" w:rsidRDefault="00330F81" w:rsidP="009552F8">
      <w:pPr>
        <w:pStyle w:val="ExhibitHeading"/>
        <w:rPr>
          <w:lang w:val="en-GB"/>
        </w:rPr>
      </w:pPr>
      <w:r w:rsidRPr="00302FFF">
        <w:rPr>
          <w:lang w:val="en-GB"/>
        </w:rPr>
        <w:t xml:space="preserve">EXHIBIT 5: </w:t>
      </w:r>
      <w:r w:rsidR="00FE1008" w:rsidRPr="00302FFF">
        <w:rPr>
          <w:lang w:val="en-GB"/>
        </w:rPr>
        <w:t>REINSURANCE INDUSTRY</w:t>
      </w:r>
      <w:r w:rsidR="00FE1008">
        <w:rPr>
          <w:lang w:val="en-GB"/>
        </w:rPr>
        <w:t xml:space="preserve">’s </w:t>
      </w:r>
      <w:r w:rsidRPr="00302FFF">
        <w:rPr>
          <w:lang w:val="en-GB"/>
        </w:rPr>
        <w:t xml:space="preserve">ASSET UNDER MANAGEMENT (AUM) IN ALTERNATIVE CAPITAL </w:t>
      </w:r>
      <w:r w:rsidR="00FE1008">
        <w:rPr>
          <w:lang w:val="en-GB"/>
        </w:rPr>
        <w:t>Investments</w:t>
      </w:r>
    </w:p>
    <w:p w14:paraId="23128608" w14:textId="77777777" w:rsidR="00330F81" w:rsidRPr="00302FFF" w:rsidRDefault="00330F81" w:rsidP="00330F81">
      <w:pPr>
        <w:jc w:val="both"/>
        <w:rPr>
          <w:rFonts w:ascii="Arial" w:hAnsi="Arial" w:cs="Arial"/>
          <w:lang w:val="en-GB"/>
        </w:rPr>
      </w:pPr>
    </w:p>
    <w:p w14:paraId="18ACA013" w14:textId="77777777" w:rsidR="00330F81" w:rsidRPr="00302FFF" w:rsidRDefault="00330F81" w:rsidP="00330F81">
      <w:pPr>
        <w:jc w:val="center"/>
        <w:rPr>
          <w:rFonts w:ascii="Arial" w:hAnsi="Arial" w:cs="Arial"/>
          <w:lang w:val="en-GB"/>
        </w:rPr>
      </w:pPr>
      <w:r w:rsidRPr="00302FFF">
        <w:rPr>
          <w:noProof/>
          <w:lang w:val="en-CA" w:eastAsia="en-CA"/>
        </w:rPr>
        <w:drawing>
          <wp:inline distT="0" distB="0" distL="0" distR="0" wp14:anchorId="5C74CE84" wp14:editId="45B3C616">
            <wp:extent cx="5937724" cy="2421255"/>
            <wp:effectExtent l="0" t="0" r="6350" b="17145"/>
            <wp:docPr id="4" name="Chart 4" descr="Reinsurance industry's asset under management in alternative capital from 2014-2018.">
              <a:extLst xmlns:a="http://schemas.openxmlformats.org/drawingml/2006/main">
                <a:ext uri="{FF2B5EF4-FFF2-40B4-BE49-F238E27FC236}">
                  <a16:creationId xmlns:a16="http://schemas.microsoft.com/office/drawing/2014/main" id="{350BF1E6-1118-4943-A427-58F8166ECB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6180FBC" w14:textId="77777777" w:rsidR="00330F81" w:rsidRPr="00302FFF" w:rsidRDefault="00330F81" w:rsidP="004C581E">
      <w:pPr>
        <w:pStyle w:val="Footnote"/>
        <w:rPr>
          <w:lang w:val="en-GB"/>
        </w:rPr>
      </w:pPr>
    </w:p>
    <w:p w14:paraId="64725B17" w14:textId="4F4DFCA4" w:rsidR="0053394A" w:rsidRPr="00302FFF" w:rsidRDefault="00330F81" w:rsidP="0053394A">
      <w:pPr>
        <w:pStyle w:val="Footnote"/>
        <w:rPr>
          <w:rStyle w:val="Hyperlink"/>
          <w:color w:val="auto"/>
          <w:u w:val="none"/>
          <w:lang w:val="en-GB"/>
        </w:rPr>
      </w:pPr>
      <w:r w:rsidRPr="00302FFF">
        <w:rPr>
          <w:lang w:val="en-GB"/>
        </w:rPr>
        <w:t xml:space="preserve">Source: </w:t>
      </w:r>
      <w:r w:rsidR="001A28EA">
        <w:rPr>
          <w:lang w:val="en-GB"/>
        </w:rPr>
        <w:t xml:space="preserve">Adapted from </w:t>
      </w:r>
      <w:r w:rsidR="001A28EA" w:rsidRPr="00302FFF">
        <w:rPr>
          <w:lang w:val="en-GB"/>
        </w:rPr>
        <w:t>S&amp;P Global Ratings</w:t>
      </w:r>
      <w:r w:rsidR="001A28EA">
        <w:rPr>
          <w:lang w:val="en-GB"/>
        </w:rPr>
        <w:t xml:space="preserve">, </w:t>
      </w:r>
      <w:r w:rsidRPr="00D408A8">
        <w:rPr>
          <w:i/>
          <w:lang w:val="en-GB"/>
        </w:rPr>
        <w:t>Global Reinsurance Highlights 2019</w:t>
      </w:r>
      <w:r w:rsidRPr="00302FFF">
        <w:rPr>
          <w:lang w:val="en-GB"/>
        </w:rPr>
        <w:t xml:space="preserve">, </w:t>
      </w:r>
      <w:r w:rsidR="00FE1008">
        <w:rPr>
          <w:lang w:val="en-GB"/>
        </w:rPr>
        <w:t xml:space="preserve">33, </w:t>
      </w:r>
      <w:r w:rsidRPr="00302FFF">
        <w:rPr>
          <w:lang w:val="en-GB"/>
        </w:rPr>
        <w:t xml:space="preserve">2019, accessed June 1, 2019, </w:t>
      </w:r>
      <w:r w:rsidR="0053394A" w:rsidRPr="00653896">
        <w:rPr>
          <w:rStyle w:val="Hyperlink"/>
          <w:color w:val="auto"/>
          <w:u w:val="none"/>
          <w:lang w:val="en-GB"/>
        </w:rPr>
        <w:t>www.spglobal.com/_assets/documents/ratings/research/global-reinsurance-highlights-2019.pdf</w:t>
      </w:r>
      <w:r w:rsidRPr="00302FFF">
        <w:rPr>
          <w:rStyle w:val="Hyperlink"/>
          <w:color w:val="auto"/>
          <w:u w:val="none"/>
          <w:lang w:val="en-GB"/>
        </w:rPr>
        <w:t>.</w:t>
      </w:r>
    </w:p>
    <w:p w14:paraId="138A81A6" w14:textId="7DE209F9" w:rsidR="00330F81" w:rsidRPr="00302FFF" w:rsidRDefault="00D24310">
      <w:pPr>
        <w:pStyle w:val="Casehead1"/>
        <w:rPr>
          <w:lang w:val="en-GB"/>
        </w:rPr>
      </w:pPr>
      <w:r>
        <w:rPr>
          <w:lang w:val="en-GB"/>
        </w:rPr>
        <w:br w:type="page"/>
      </w:r>
      <w:r w:rsidR="00330F81" w:rsidRPr="00302FFF">
        <w:rPr>
          <w:lang w:val="en-GB"/>
        </w:rPr>
        <w:lastRenderedPageBreak/>
        <w:t>endnotes</w:t>
      </w:r>
    </w:p>
    <w:sectPr w:rsidR="00330F81" w:rsidRPr="00302FFF" w:rsidSect="00751E0B">
      <w:headerReference w:type="default" r:id="rId13"/>
      <w:endnotePr>
        <w:numFmt w:val="decimal"/>
      </w:endnotePr>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C3125" w16cex:dateUtc="2021-02-09T02:52:00Z"/>
  <w16cex:commentExtensible w16cex:durableId="23CC312A" w16cex:dateUtc="2021-02-09T02:52:00Z"/>
  <w16cex:commentExtensible w16cex:durableId="23CC3132" w16cex:dateUtc="2021-02-09T02:52:00Z"/>
  <w16cex:commentExtensible w16cex:durableId="23CC313D" w16cex:dateUtc="2021-02-09T02:53:00Z"/>
  <w16cex:commentExtensible w16cex:durableId="23CC3147" w16cex:dateUtc="2021-02-09T02:53:00Z"/>
  <w16cex:commentExtensible w16cex:durableId="23CC315A" w16cex:dateUtc="2021-02-09T02:5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52690" w14:textId="77777777" w:rsidR="00E858E6" w:rsidRDefault="00E858E6" w:rsidP="00D75295">
      <w:r>
        <w:separator/>
      </w:r>
    </w:p>
  </w:endnote>
  <w:endnote w:type="continuationSeparator" w:id="0">
    <w:p w14:paraId="37647CF8" w14:textId="77777777" w:rsidR="00E858E6" w:rsidRDefault="00E858E6" w:rsidP="00D75295">
      <w:r>
        <w:continuationSeparator/>
      </w:r>
    </w:p>
  </w:endnote>
  <w:endnote w:type="continuationNotice" w:id="1">
    <w:p w14:paraId="1AA690D8" w14:textId="77777777" w:rsidR="00E858E6" w:rsidRDefault="00E858E6"/>
  </w:endnote>
  <w:endnote w:id="2">
    <w:p w14:paraId="40351AA0" w14:textId="7304E1C2" w:rsidR="007B72F2" w:rsidRPr="00F71BBA" w:rsidRDefault="007B72F2" w:rsidP="007B72F2">
      <w:pPr>
        <w:pStyle w:val="Footnote"/>
        <w:rPr>
          <w:spacing w:val="-6"/>
        </w:rPr>
      </w:pPr>
      <w:r w:rsidRPr="00F71BBA">
        <w:rPr>
          <w:rStyle w:val="EndnoteReference"/>
          <w:spacing w:val="-6"/>
        </w:rPr>
        <w:endnoteRef/>
      </w:r>
      <w:r w:rsidRPr="00F71BBA">
        <w:rPr>
          <w:spacing w:val="-6"/>
        </w:rPr>
        <w:t xml:space="preserve"> This case has been written on the basis of published sources only. Consequently, the interpretation and perspectives presented in this case are not necessarily those of </w:t>
      </w:r>
      <w:r w:rsidRPr="00F71BBA">
        <w:rPr>
          <w:spacing w:val="-6"/>
          <w:lang w:val="en-GB"/>
        </w:rPr>
        <w:t>Marsh USA Inc.</w:t>
      </w:r>
      <w:r w:rsidRPr="00F71BBA">
        <w:rPr>
          <w:spacing w:val="-6"/>
        </w:rPr>
        <w:t xml:space="preserve"> or any of its employees.</w:t>
      </w:r>
    </w:p>
  </w:endnote>
  <w:endnote w:id="3">
    <w:p w14:paraId="1A1C0EE7" w14:textId="16532058" w:rsidR="007B72F2" w:rsidRPr="00F71BBA" w:rsidRDefault="007B72F2" w:rsidP="00310A4C">
      <w:pPr>
        <w:pStyle w:val="EndnoteText"/>
        <w:jc w:val="both"/>
        <w:rPr>
          <w:rFonts w:ascii="Arial" w:hAnsi="Arial" w:cs="Arial"/>
          <w:spacing w:val="-8"/>
          <w:sz w:val="17"/>
          <w:szCs w:val="17"/>
          <w:lang w:val="en-CA"/>
        </w:rPr>
      </w:pPr>
      <w:r w:rsidRPr="00F71BBA">
        <w:rPr>
          <w:rStyle w:val="EndnoteReference"/>
          <w:rFonts w:ascii="Arial" w:hAnsi="Arial" w:cs="Arial"/>
          <w:spacing w:val="-8"/>
          <w:sz w:val="17"/>
          <w:szCs w:val="17"/>
        </w:rPr>
        <w:endnoteRef/>
      </w:r>
      <w:r w:rsidRPr="00F71BBA">
        <w:rPr>
          <w:rFonts w:ascii="Arial" w:hAnsi="Arial" w:cs="Arial"/>
          <w:spacing w:val="-8"/>
          <w:sz w:val="17"/>
          <w:szCs w:val="17"/>
        </w:rPr>
        <w:t xml:space="preserve"> </w:t>
      </w:r>
      <w:r w:rsidRPr="00F71BBA">
        <w:rPr>
          <w:rFonts w:ascii="Arial" w:hAnsi="Arial" w:cs="Arial"/>
          <w:spacing w:val="-8"/>
          <w:sz w:val="17"/>
          <w:szCs w:val="17"/>
          <w:lang w:val="en-CA"/>
        </w:rPr>
        <w:t xml:space="preserve">Marsh LLC, </w:t>
      </w:r>
      <w:r w:rsidRPr="00F71BBA">
        <w:rPr>
          <w:rFonts w:ascii="Arial" w:hAnsi="Arial" w:cs="Arial"/>
          <w:spacing w:val="-8"/>
          <w:sz w:val="17"/>
          <w:szCs w:val="17"/>
        </w:rPr>
        <w:t xml:space="preserve">“Marsh to Help Businesses Minimize Financial Loss </w:t>
      </w:r>
      <w:r w:rsidRPr="00F71BBA">
        <w:rPr>
          <w:rFonts w:ascii="Arial" w:hAnsi="Arial" w:cs="Arial"/>
          <w:spacing w:val="-8"/>
          <w:sz w:val="17"/>
          <w:szCs w:val="17"/>
          <w:lang w:val="en-CA"/>
        </w:rPr>
        <w:t>f</w:t>
      </w:r>
      <w:r w:rsidRPr="00F71BBA">
        <w:rPr>
          <w:rFonts w:ascii="Arial" w:hAnsi="Arial" w:cs="Arial"/>
          <w:spacing w:val="-8"/>
          <w:sz w:val="17"/>
          <w:szCs w:val="17"/>
        </w:rPr>
        <w:t xml:space="preserve">rom Pandemics,” </w:t>
      </w:r>
      <w:r w:rsidRPr="00F71BBA">
        <w:rPr>
          <w:rFonts w:ascii="Arial" w:hAnsi="Arial" w:cs="Arial"/>
          <w:spacing w:val="-8"/>
          <w:sz w:val="17"/>
          <w:szCs w:val="17"/>
          <w:lang w:val="en-CA"/>
        </w:rPr>
        <w:t xml:space="preserve">news release, </w:t>
      </w:r>
      <w:r w:rsidRPr="00F71BBA">
        <w:rPr>
          <w:rFonts w:ascii="Arial" w:hAnsi="Arial" w:cs="Arial"/>
          <w:iCs/>
          <w:spacing w:val="-8"/>
          <w:sz w:val="17"/>
          <w:szCs w:val="17"/>
        </w:rPr>
        <w:t>Business Wire,</w:t>
      </w:r>
      <w:r w:rsidRPr="00F71BBA">
        <w:rPr>
          <w:rFonts w:ascii="Arial" w:hAnsi="Arial" w:cs="Arial"/>
          <w:i/>
          <w:iCs/>
          <w:spacing w:val="-8"/>
          <w:sz w:val="17"/>
          <w:szCs w:val="17"/>
        </w:rPr>
        <w:t xml:space="preserve"> </w:t>
      </w:r>
      <w:r w:rsidRPr="00F71BBA">
        <w:rPr>
          <w:rFonts w:ascii="Arial" w:hAnsi="Arial" w:cs="Arial"/>
          <w:spacing w:val="-8"/>
          <w:sz w:val="17"/>
          <w:szCs w:val="17"/>
        </w:rPr>
        <w:t xml:space="preserve">May 17, 2018, accessed June 1, 2020, </w:t>
      </w:r>
      <w:r w:rsidRPr="00F71BBA">
        <w:rPr>
          <w:rStyle w:val="Hyperlink"/>
          <w:rFonts w:ascii="Arial" w:hAnsi="Arial" w:cs="Arial"/>
          <w:color w:val="auto"/>
          <w:spacing w:val="-8"/>
          <w:sz w:val="17"/>
          <w:szCs w:val="17"/>
          <w:u w:val="none"/>
        </w:rPr>
        <w:t>www.businesswire.com/news/home/20180517005291/en/Marsh-Businesses-Minimize-Financial-Loss-Pandemics</w:t>
      </w:r>
      <w:r w:rsidRPr="00F71BBA">
        <w:rPr>
          <w:rFonts w:ascii="Arial" w:hAnsi="Arial" w:cs="Arial"/>
          <w:spacing w:val="-8"/>
          <w:sz w:val="17"/>
          <w:szCs w:val="17"/>
          <w:lang w:val="en-CA"/>
        </w:rPr>
        <w:t>.</w:t>
      </w:r>
    </w:p>
  </w:endnote>
  <w:endnote w:id="4">
    <w:p w14:paraId="4B8D1BAB" w14:textId="3B973472" w:rsidR="007B72F2" w:rsidRPr="00F71BBA" w:rsidRDefault="007B72F2" w:rsidP="00330F81">
      <w:pPr>
        <w:shd w:val="clear" w:color="auto" w:fill="FFFFFF"/>
        <w:jc w:val="both"/>
        <w:rPr>
          <w:rFonts w:ascii="Arial" w:hAnsi="Arial" w:cs="Arial"/>
          <w:spacing w:val="-6"/>
          <w:sz w:val="17"/>
          <w:szCs w:val="17"/>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Airmic, “Covering Pandemic Risks—Are Parametrics the Answer?,” </w:t>
      </w:r>
      <w:r w:rsidRPr="00F71BBA">
        <w:rPr>
          <w:rFonts w:ascii="Arial" w:hAnsi="Arial" w:cs="Arial"/>
          <w:iCs/>
          <w:spacing w:val="-6"/>
          <w:sz w:val="17"/>
          <w:szCs w:val="17"/>
        </w:rPr>
        <w:t>Airmic</w:t>
      </w:r>
      <w:r w:rsidRPr="00F71BBA">
        <w:rPr>
          <w:rFonts w:ascii="Arial" w:hAnsi="Arial" w:cs="Arial"/>
          <w:spacing w:val="-6"/>
          <w:sz w:val="17"/>
          <w:szCs w:val="17"/>
        </w:rPr>
        <w:t xml:space="preserve">, September 4, 2020, accessed June 1, 2020, </w:t>
      </w:r>
      <w:r w:rsidRPr="00F71BBA">
        <w:rPr>
          <w:rStyle w:val="Hyperlink"/>
          <w:rFonts w:ascii="Arial" w:hAnsi="Arial" w:cs="Arial"/>
          <w:color w:val="auto"/>
          <w:spacing w:val="-6"/>
          <w:sz w:val="17"/>
          <w:szCs w:val="17"/>
          <w:u w:val="none"/>
        </w:rPr>
        <w:t>www.airmic.com/news/guest-stories/covering-pandemic-risks-%E2%80%93-are-parametrics-answer.</w:t>
      </w:r>
    </w:p>
  </w:endnote>
  <w:endnote w:id="5">
    <w:p w14:paraId="7166287B" w14:textId="2FB7784E" w:rsidR="007B72F2" w:rsidRPr="00F71BBA" w:rsidRDefault="007B72F2" w:rsidP="00330F81">
      <w:pPr>
        <w:pStyle w:val="EndnoteText"/>
        <w:jc w:val="both"/>
        <w:rPr>
          <w:rFonts w:ascii="Arial" w:hAnsi="Arial" w:cs="Arial"/>
          <w:spacing w:val="-6"/>
          <w:sz w:val="17"/>
          <w:szCs w:val="17"/>
          <w:lang w:val="en-CA"/>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Bernard Goyder and Christie Smythe</w:t>
      </w:r>
      <w:r w:rsidRPr="00F71BBA">
        <w:rPr>
          <w:rFonts w:ascii="Arial" w:hAnsi="Arial" w:cs="Arial"/>
          <w:spacing w:val="-6"/>
          <w:sz w:val="17"/>
          <w:szCs w:val="17"/>
          <w:lang w:val="en-CA"/>
        </w:rPr>
        <w:t xml:space="preserve">, </w:t>
      </w:r>
      <w:r w:rsidRPr="00F71BBA">
        <w:rPr>
          <w:rFonts w:ascii="Arial" w:hAnsi="Arial" w:cs="Arial"/>
          <w:spacing w:val="-6"/>
          <w:sz w:val="17"/>
          <w:szCs w:val="17"/>
        </w:rPr>
        <w:t xml:space="preserve">“Insider in Full: Pandemic Product Saw </w:t>
      </w:r>
      <w:r w:rsidRPr="00F71BBA">
        <w:rPr>
          <w:rFonts w:ascii="Arial" w:hAnsi="Arial" w:cs="Arial"/>
          <w:spacing w:val="-6"/>
          <w:sz w:val="17"/>
          <w:szCs w:val="17"/>
          <w:lang w:val="en-CA"/>
        </w:rPr>
        <w:t>N</w:t>
      </w:r>
      <w:r w:rsidRPr="00F71BBA">
        <w:rPr>
          <w:rFonts w:ascii="Arial" w:hAnsi="Arial" w:cs="Arial"/>
          <w:spacing w:val="-6"/>
          <w:sz w:val="17"/>
          <w:szCs w:val="17"/>
        </w:rPr>
        <w:t xml:space="preserve">o Takers </w:t>
      </w:r>
      <w:r w:rsidRPr="00F71BBA">
        <w:rPr>
          <w:rFonts w:ascii="Arial" w:hAnsi="Arial" w:cs="Arial"/>
          <w:spacing w:val="-6"/>
          <w:sz w:val="17"/>
          <w:szCs w:val="17"/>
          <w:lang w:val="en-CA"/>
        </w:rPr>
        <w:t>b</w:t>
      </w:r>
      <w:r w:rsidRPr="00F71BBA">
        <w:rPr>
          <w:rFonts w:ascii="Arial" w:hAnsi="Arial" w:cs="Arial"/>
          <w:spacing w:val="-6"/>
          <w:sz w:val="17"/>
          <w:szCs w:val="17"/>
        </w:rPr>
        <w:t xml:space="preserve">efore Coronavirus: Marsh Broker,” </w:t>
      </w:r>
      <w:r w:rsidRPr="00F71BBA">
        <w:rPr>
          <w:rFonts w:ascii="Arial" w:hAnsi="Arial" w:cs="Arial"/>
          <w:iCs/>
          <w:spacing w:val="-6"/>
          <w:sz w:val="17"/>
          <w:szCs w:val="17"/>
        </w:rPr>
        <w:t>Slipcase</w:t>
      </w:r>
      <w:r w:rsidRPr="00F71BBA">
        <w:rPr>
          <w:rFonts w:ascii="Arial" w:hAnsi="Arial" w:cs="Arial"/>
          <w:i/>
          <w:iCs/>
          <w:spacing w:val="-6"/>
          <w:sz w:val="17"/>
          <w:szCs w:val="17"/>
        </w:rPr>
        <w:t>,</w:t>
      </w:r>
      <w:r w:rsidRPr="00F71BBA">
        <w:rPr>
          <w:rFonts w:ascii="Arial" w:hAnsi="Arial" w:cs="Arial"/>
          <w:spacing w:val="-6"/>
          <w:sz w:val="17"/>
          <w:szCs w:val="17"/>
        </w:rPr>
        <w:t xml:space="preserve"> March 20, 2020, accessed June 1, 2020, </w:t>
      </w:r>
      <w:r w:rsidRPr="00F71BBA">
        <w:rPr>
          <w:rStyle w:val="Hyperlink"/>
          <w:rFonts w:ascii="Arial" w:hAnsi="Arial" w:cs="Arial"/>
          <w:color w:val="auto"/>
          <w:spacing w:val="-6"/>
          <w:sz w:val="17"/>
          <w:szCs w:val="17"/>
          <w:u w:val="none"/>
        </w:rPr>
        <w:t>www.slipcase.com/view/inside-in-full-pandemic-product-saw-no-takers-before-coronavirus-marsh-broker</w:t>
      </w:r>
      <w:r w:rsidRPr="00F71BBA">
        <w:rPr>
          <w:rStyle w:val="Hyperlink"/>
          <w:rFonts w:ascii="Arial" w:hAnsi="Arial" w:cs="Arial"/>
          <w:color w:val="auto"/>
          <w:spacing w:val="-6"/>
          <w:sz w:val="17"/>
          <w:szCs w:val="17"/>
          <w:u w:val="none"/>
          <w:lang w:val="en-CA"/>
        </w:rPr>
        <w:t>.</w:t>
      </w:r>
    </w:p>
  </w:endnote>
  <w:endnote w:id="6">
    <w:p w14:paraId="6A554F1C" w14:textId="4BBBFD81" w:rsidR="007B72F2" w:rsidRPr="00F71BBA" w:rsidRDefault="007B72F2" w:rsidP="00330F81">
      <w:pPr>
        <w:jc w:val="both"/>
        <w:rPr>
          <w:rFonts w:ascii="Arial" w:hAnsi="Arial" w:cs="Arial"/>
          <w:spacing w:val="-10"/>
          <w:sz w:val="17"/>
          <w:szCs w:val="17"/>
        </w:rPr>
      </w:pPr>
      <w:r w:rsidRPr="00F71BBA">
        <w:rPr>
          <w:rStyle w:val="EndnoteReference"/>
          <w:rFonts w:ascii="Arial" w:hAnsi="Arial" w:cs="Arial"/>
          <w:spacing w:val="-10"/>
          <w:sz w:val="17"/>
          <w:szCs w:val="17"/>
        </w:rPr>
        <w:endnoteRef/>
      </w:r>
      <w:r w:rsidRPr="00F71BBA">
        <w:rPr>
          <w:rFonts w:ascii="Arial" w:hAnsi="Arial" w:cs="Arial"/>
          <w:spacing w:val="-10"/>
          <w:sz w:val="17"/>
          <w:szCs w:val="17"/>
        </w:rPr>
        <w:t xml:space="preserve"> Hanna Ziady, “It</w:t>
      </w:r>
      <w:r w:rsidRPr="00F71BBA">
        <w:rPr>
          <w:rFonts w:ascii="Arial" w:hAnsi="Arial" w:cs="Arial"/>
          <w:spacing w:val="-10"/>
          <w:sz w:val="17"/>
          <w:szCs w:val="17"/>
          <w:lang w:val="en-CA"/>
        </w:rPr>
        <w:t>’</w:t>
      </w:r>
      <w:r w:rsidRPr="00F71BBA">
        <w:rPr>
          <w:rFonts w:ascii="Arial" w:hAnsi="Arial" w:cs="Arial"/>
          <w:spacing w:val="-10"/>
          <w:sz w:val="17"/>
          <w:szCs w:val="17"/>
        </w:rPr>
        <w:t xml:space="preserve">s Too Late </w:t>
      </w:r>
      <w:r w:rsidRPr="00F71BBA">
        <w:rPr>
          <w:rFonts w:ascii="Arial" w:hAnsi="Arial" w:cs="Arial"/>
          <w:spacing w:val="-10"/>
          <w:sz w:val="17"/>
          <w:szCs w:val="17"/>
          <w:lang w:val="en-CA"/>
        </w:rPr>
        <w:t>f</w:t>
      </w:r>
      <w:r w:rsidRPr="00F71BBA">
        <w:rPr>
          <w:rFonts w:ascii="Arial" w:hAnsi="Arial" w:cs="Arial"/>
          <w:spacing w:val="-10"/>
          <w:sz w:val="17"/>
          <w:szCs w:val="17"/>
        </w:rPr>
        <w:t xml:space="preserve">or This Pandemic. But Everyone Wants Insurance </w:t>
      </w:r>
      <w:r w:rsidRPr="00F71BBA">
        <w:rPr>
          <w:rFonts w:ascii="Arial" w:hAnsi="Arial" w:cs="Arial"/>
          <w:spacing w:val="-10"/>
          <w:sz w:val="17"/>
          <w:szCs w:val="17"/>
          <w:lang w:val="en-CA"/>
        </w:rPr>
        <w:t>a</w:t>
      </w:r>
      <w:r w:rsidRPr="00F71BBA">
        <w:rPr>
          <w:rFonts w:ascii="Arial" w:hAnsi="Arial" w:cs="Arial"/>
          <w:spacing w:val="-10"/>
          <w:sz w:val="17"/>
          <w:szCs w:val="17"/>
        </w:rPr>
        <w:t xml:space="preserve">gainst the Next One,” </w:t>
      </w:r>
      <w:r w:rsidRPr="00F71BBA">
        <w:rPr>
          <w:rFonts w:ascii="Arial" w:hAnsi="Arial" w:cs="Arial"/>
          <w:iCs/>
          <w:spacing w:val="-10"/>
          <w:sz w:val="17"/>
          <w:szCs w:val="17"/>
        </w:rPr>
        <w:t>CNN</w:t>
      </w:r>
      <w:r w:rsidRPr="00F71BBA">
        <w:rPr>
          <w:rFonts w:ascii="Arial" w:hAnsi="Arial" w:cs="Arial"/>
          <w:iCs/>
          <w:spacing w:val="-10"/>
          <w:sz w:val="17"/>
          <w:szCs w:val="17"/>
          <w:lang w:val="en-CA"/>
        </w:rPr>
        <w:t xml:space="preserve"> Business</w:t>
      </w:r>
      <w:r w:rsidRPr="00F71BBA">
        <w:rPr>
          <w:rFonts w:ascii="Arial" w:hAnsi="Arial" w:cs="Arial"/>
          <w:i/>
          <w:iCs/>
          <w:spacing w:val="-10"/>
          <w:sz w:val="17"/>
          <w:szCs w:val="17"/>
        </w:rPr>
        <w:t>,</w:t>
      </w:r>
      <w:r w:rsidRPr="00F71BBA">
        <w:rPr>
          <w:rFonts w:ascii="Arial" w:hAnsi="Arial" w:cs="Arial"/>
          <w:spacing w:val="-10"/>
          <w:sz w:val="17"/>
          <w:szCs w:val="17"/>
        </w:rPr>
        <w:t xml:space="preserve"> March 19, 2020, accessed June 1, 2020, </w:t>
      </w:r>
      <w:r w:rsidRPr="00F71BBA">
        <w:rPr>
          <w:rStyle w:val="Hyperlink"/>
          <w:rFonts w:ascii="Arial" w:hAnsi="Arial" w:cs="Arial"/>
          <w:color w:val="auto"/>
          <w:spacing w:val="-10"/>
          <w:sz w:val="17"/>
          <w:szCs w:val="17"/>
          <w:u w:val="none"/>
        </w:rPr>
        <w:t xml:space="preserve">www.cnn.com/2020/03/19/business/pandemic-insurance-coronavirus/index.html; </w:t>
      </w:r>
      <w:r w:rsidRPr="00F71BBA">
        <w:rPr>
          <w:rFonts w:ascii="Arial" w:hAnsi="Arial" w:cs="Arial"/>
          <w:spacing w:val="-10"/>
          <w:sz w:val="17"/>
          <w:szCs w:val="17"/>
        </w:rPr>
        <w:t xml:space="preserve">Matthew Lerner, “Marsh Gears Up to Expand Capacity for Pandemic Insurance Product,” </w:t>
      </w:r>
      <w:r w:rsidRPr="00F71BBA">
        <w:rPr>
          <w:rFonts w:ascii="Arial" w:hAnsi="Arial" w:cs="Arial"/>
          <w:i/>
          <w:iCs/>
          <w:spacing w:val="-10"/>
          <w:sz w:val="17"/>
          <w:szCs w:val="17"/>
        </w:rPr>
        <w:t xml:space="preserve">Business Insurance, </w:t>
      </w:r>
      <w:r w:rsidRPr="00F71BBA">
        <w:rPr>
          <w:rFonts w:ascii="Arial" w:hAnsi="Arial" w:cs="Arial"/>
          <w:spacing w:val="-10"/>
          <w:sz w:val="17"/>
          <w:szCs w:val="17"/>
        </w:rPr>
        <w:t xml:space="preserve">April 1, 2020, accessed June 1, 2020, </w:t>
      </w:r>
      <w:r w:rsidRPr="00F71BBA">
        <w:rPr>
          <w:rStyle w:val="Hyperlink"/>
          <w:rFonts w:ascii="Arial" w:hAnsi="Arial" w:cs="Arial"/>
          <w:color w:val="auto"/>
          <w:spacing w:val="-10"/>
          <w:sz w:val="17"/>
          <w:szCs w:val="17"/>
          <w:u w:val="none"/>
        </w:rPr>
        <w:t>www.businessinsurance.com/article/20200401/NEWS06/912333820/Marsh-looks-to-expand-capacity-for-PathogenRX-pandemic-insurance#.</w:t>
      </w:r>
    </w:p>
  </w:endnote>
  <w:endnote w:id="7">
    <w:p w14:paraId="644B859E" w14:textId="1D6BAF53" w:rsidR="007B72F2" w:rsidRPr="00F71BBA" w:rsidRDefault="007B72F2" w:rsidP="00330F81">
      <w:pPr>
        <w:pStyle w:val="EndnoteText"/>
        <w:jc w:val="both"/>
        <w:rPr>
          <w:rFonts w:ascii="Arial" w:hAnsi="Arial" w:cs="Arial"/>
          <w:spacing w:val="-6"/>
          <w:sz w:val="17"/>
          <w:szCs w:val="17"/>
          <w:lang w:val="en-CA"/>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Ziady, op. cit</w:t>
      </w:r>
      <w:r w:rsidRPr="00F71BBA">
        <w:rPr>
          <w:rFonts w:ascii="Arial" w:hAnsi="Arial" w:cs="Arial"/>
          <w:spacing w:val="-6"/>
          <w:sz w:val="17"/>
          <w:szCs w:val="17"/>
          <w:lang w:val="en-CA"/>
        </w:rPr>
        <w:t>.</w:t>
      </w:r>
    </w:p>
  </w:endnote>
  <w:endnote w:id="8">
    <w:p w14:paraId="4051F05D" w14:textId="3171FEE9" w:rsidR="007B72F2" w:rsidRPr="00F71BBA" w:rsidRDefault="007B72F2" w:rsidP="00330F81">
      <w:pPr>
        <w:shd w:val="clear" w:color="auto" w:fill="FFFFFF"/>
        <w:jc w:val="both"/>
        <w:rPr>
          <w:rFonts w:ascii="Arial" w:hAnsi="Arial" w:cs="Arial"/>
          <w:spacing w:val="-6"/>
          <w:sz w:val="17"/>
          <w:szCs w:val="17"/>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Stuart Collins, “Insurers Wary of Meeting Growing Demand for Specialist Pandemic Cover,” </w:t>
      </w:r>
      <w:r w:rsidRPr="00F71BBA">
        <w:rPr>
          <w:rFonts w:ascii="Arial" w:hAnsi="Arial" w:cs="Arial"/>
          <w:iCs/>
          <w:spacing w:val="-6"/>
          <w:sz w:val="17"/>
          <w:szCs w:val="17"/>
        </w:rPr>
        <w:t>Commercial Risk</w:t>
      </w:r>
      <w:r w:rsidRPr="00F71BBA">
        <w:rPr>
          <w:rFonts w:ascii="Arial" w:hAnsi="Arial" w:cs="Arial"/>
          <w:i/>
          <w:iCs/>
          <w:spacing w:val="-6"/>
          <w:sz w:val="17"/>
          <w:szCs w:val="17"/>
        </w:rPr>
        <w:t xml:space="preserve">, </w:t>
      </w:r>
      <w:r w:rsidRPr="00F71BBA">
        <w:rPr>
          <w:rFonts w:ascii="Arial" w:hAnsi="Arial" w:cs="Arial"/>
          <w:spacing w:val="-6"/>
          <w:sz w:val="17"/>
          <w:szCs w:val="17"/>
        </w:rPr>
        <w:t>April 9, 2020, accessed June 1, 2020,</w:t>
      </w:r>
      <w:r w:rsidRPr="00F71BBA">
        <w:rPr>
          <w:rFonts w:ascii="Arial" w:hAnsi="Arial" w:cs="Arial"/>
          <w:i/>
          <w:iCs/>
          <w:spacing w:val="-6"/>
          <w:sz w:val="17"/>
          <w:szCs w:val="17"/>
        </w:rPr>
        <w:t xml:space="preserve"> </w:t>
      </w:r>
      <w:r w:rsidRPr="00F71BBA">
        <w:rPr>
          <w:rStyle w:val="Hyperlink"/>
          <w:rFonts w:ascii="Arial" w:hAnsi="Arial" w:cs="Arial"/>
          <w:color w:val="auto"/>
          <w:spacing w:val="-6"/>
          <w:sz w:val="17"/>
          <w:szCs w:val="17"/>
          <w:u w:val="none"/>
        </w:rPr>
        <w:t>www.commercialriskonline.com/insurers-wary-meeting-growing-demand-specialist-pandemic-cover.</w:t>
      </w:r>
    </w:p>
  </w:endnote>
  <w:endnote w:id="9">
    <w:p w14:paraId="227F0431" w14:textId="1FDD0550" w:rsidR="007B72F2" w:rsidRPr="00F71BBA" w:rsidRDefault="007B72F2" w:rsidP="00330F81">
      <w:pPr>
        <w:pStyle w:val="EndnoteText"/>
        <w:jc w:val="both"/>
        <w:rPr>
          <w:rFonts w:ascii="Arial" w:hAnsi="Arial" w:cs="Arial"/>
          <w:spacing w:val="-6"/>
          <w:sz w:val="17"/>
          <w:szCs w:val="17"/>
          <w:lang w:val="en-GB"/>
        </w:rPr>
      </w:pPr>
      <w:r w:rsidRPr="00F71BBA">
        <w:rPr>
          <w:rStyle w:val="EndnoteReference"/>
          <w:rFonts w:ascii="Arial" w:hAnsi="Arial" w:cs="Arial"/>
          <w:spacing w:val="-6"/>
          <w:sz w:val="17"/>
          <w:szCs w:val="17"/>
        </w:rPr>
        <w:endnoteRef/>
      </w:r>
      <w:r w:rsidRPr="00F71BBA">
        <w:rPr>
          <w:rFonts w:ascii="Arial" w:hAnsi="Arial" w:cs="Arial"/>
          <w:spacing w:val="-6"/>
          <w:sz w:val="17"/>
          <w:szCs w:val="17"/>
          <w:lang w:val="en-CA"/>
        </w:rPr>
        <w:t xml:space="preserve"> </w:t>
      </w:r>
      <w:r w:rsidRPr="00F71BBA">
        <w:rPr>
          <w:rFonts w:ascii="Arial" w:hAnsi="Arial" w:cs="Arial"/>
          <w:spacing w:val="-6"/>
          <w:sz w:val="17"/>
          <w:szCs w:val="17"/>
        </w:rPr>
        <w:t xml:space="preserve">Adrian Ladbury, “Risk Managers Back Pandemic Pools as US Congress Offered Pandemic Risk Insurance Act 2020,” </w:t>
      </w:r>
      <w:r w:rsidRPr="00F71BBA">
        <w:rPr>
          <w:rFonts w:ascii="Arial" w:hAnsi="Arial" w:cs="Arial"/>
          <w:iCs/>
          <w:spacing w:val="-6"/>
          <w:sz w:val="17"/>
          <w:szCs w:val="17"/>
        </w:rPr>
        <w:t>Commercial Risk</w:t>
      </w:r>
      <w:r w:rsidRPr="00F71BBA">
        <w:rPr>
          <w:rFonts w:ascii="Arial" w:hAnsi="Arial" w:cs="Arial"/>
          <w:i/>
          <w:iCs/>
          <w:spacing w:val="-6"/>
          <w:sz w:val="17"/>
          <w:szCs w:val="17"/>
        </w:rPr>
        <w:t xml:space="preserve">, </w:t>
      </w:r>
      <w:r w:rsidRPr="00F71BBA">
        <w:rPr>
          <w:rFonts w:ascii="Arial" w:hAnsi="Arial" w:cs="Arial"/>
          <w:spacing w:val="-6"/>
          <w:sz w:val="17"/>
          <w:szCs w:val="17"/>
        </w:rPr>
        <w:t xml:space="preserve">April 14, 2020, accessed June 1, 2020, </w:t>
      </w:r>
      <w:r w:rsidRPr="00F71BBA">
        <w:rPr>
          <w:rStyle w:val="Hyperlink"/>
          <w:rFonts w:ascii="Arial" w:hAnsi="Arial" w:cs="Arial"/>
          <w:color w:val="auto"/>
          <w:spacing w:val="-6"/>
          <w:sz w:val="17"/>
          <w:szCs w:val="17"/>
          <w:u w:val="none"/>
        </w:rPr>
        <w:t>www.commercialriskonline.com/risk-managers-back-pandemic-pools-as-us-congress-offered-pandemic-risk-insurance-act-2020</w:t>
      </w:r>
      <w:r w:rsidRPr="00F71BBA">
        <w:rPr>
          <w:rFonts w:ascii="Arial" w:hAnsi="Arial" w:cs="Arial"/>
          <w:spacing w:val="-6"/>
          <w:sz w:val="17"/>
          <w:szCs w:val="17"/>
          <w:lang w:val="en-CA"/>
        </w:rPr>
        <w:t>.</w:t>
      </w:r>
    </w:p>
  </w:endnote>
  <w:endnote w:id="10">
    <w:p w14:paraId="45954877" w14:textId="4731CF21" w:rsidR="007B72F2" w:rsidRPr="00F71BBA" w:rsidRDefault="007B72F2" w:rsidP="00330F81">
      <w:pPr>
        <w:pStyle w:val="EndnoteText"/>
        <w:jc w:val="both"/>
        <w:rPr>
          <w:rFonts w:ascii="Arial" w:hAnsi="Arial" w:cs="Arial"/>
          <w:spacing w:val="-6"/>
          <w:sz w:val="17"/>
          <w:szCs w:val="17"/>
          <w:lang w:val="en-GB"/>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Carolyn Cohn, Suzanne Barlyn, and Noor Z. Hussain, “Insurers Feel the Heat as Chefs, Trump Join Calls for Payouts,” </w:t>
      </w:r>
      <w:r w:rsidRPr="00F71BBA">
        <w:rPr>
          <w:rFonts w:ascii="Arial" w:hAnsi="Arial" w:cs="Arial"/>
          <w:iCs/>
          <w:spacing w:val="-6"/>
          <w:sz w:val="17"/>
          <w:szCs w:val="17"/>
        </w:rPr>
        <w:t>Reuters</w:t>
      </w:r>
      <w:r w:rsidRPr="00F71BBA">
        <w:rPr>
          <w:rFonts w:ascii="Arial" w:hAnsi="Arial" w:cs="Arial"/>
          <w:spacing w:val="-6"/>
          <w:sz w:val="17"/>
          <w:szCs w:val="17"/>
        </w:rPr>
        <w:t xml:space="preserve">, April 24, 2020, accessed June 1, 2020, </w:t>
      </w:r>
      <w:r w:rsidRPr="00F71BBA">
        <w:rPr>
          <w:rStyle w:val="Hyperlink"/>
          <w:rFonts w:ascii="Arial" w:hAnsi="Arial" w:cs="Arial"/>
          <w:color w:val="auto"/>
          <w:spacing w:val="-6"/>
          <w:sz w:val="17"/>
          <w:szCs w:val="17"/>
          <w:u w:val="none"/>
        </w:rPr>
        <w:t>www.reuters.com/article/us-health-coronavirus-insurance-business/insurers-feel-the-heat-as-chefs-trump-join-calls-for-payouts-idUSKCN22628P;</w:t>
      </w:r>
      <w:r w:rsidRPr="00F71BBA">
        <w:rPr>
          <w:rFonts w:ascii="Arial" w:hAnsi="Arial" w:cs="Arial"/>
          <w:spacing w:val="-6"/>
          <w:sz w:val="17"/>
          <w:szCs w:val="17"/>
          <w:lang w:val="en-CA"/>
        </w:rPr>
        <w:t xml:space="preserve"> </w:t>
      </w:r>
      <w:r w:rsidRPr="00F71BBA">
        <w:rPr>
          <w:rFonts w:ascii="Arial" w:hAnsi="Arial" w:cs="Arial"/>
          <w:spacing w:val="-6"/>
          <w:sz w:val="17"/>
          <w:szCs w:val="17"/>
          <w:lang w:val="en-GB"/>
        </w:rPr>
        <w:t>All currency amounts are in US$ unless otherwise specified.</w:t>
      </w:r>
    </w:p>
  </w:endnote>
  <w:endnote w:id="11">
    <w:p w14:paraId="0B09D919" w14:textId="79553576" w:rsidR="007B72F2" w:rsidRPr="00F71BBA" w:rsidRDefault="007B72F2" w:rsidP="00330F81">
      <w:pPr>
        <w:pStyle w:val="EndnoteText"/>
        <w:jc w:val="both"/>
        <w:rPr>
          <w:rFonts w:ascii="Arial" w:hAnsi="Arial" w:cs="Arial"/>
          <w:spacing w:val="-6"/>
          <w:sz w:val="17"/>
          <w:szCs w:val="17"/>
          <w:lang w:val="en-CA"/>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Lyle Adriano, “Pandemics Are Fundamentally Uninsurable Events,” </w:t>
      </w:r>
      <w:r w:rsidRPr="00F71BBA">
        <w:rPr>
          <w:rFonts w:ascii="Arial" w:hAnsi="Arial" w:cs="Arial"/>
          <w:i/>
          <w:iCs/>
          <w:spacing w:val="-6"/>
          <w:sz w:val="17"/>
          <w:szCs w:val="17"/>
        </w:rPr>
        <w:t>Insurance Business</w:t>
      </w:r>
      <w:r w:rsidRPr="00F71BBA">
        <w:rPr>
          <w:rFonts w:ascii="Arial" w:hAnsi="Arial" w:cs="Arial"/>
          <w:i/>
          <w:iCs/>
          <w:spacing w:val="-6"/>
          <w:sz w:val="17"/>
          <w:szCs w:val="17"/>
          <w:lang w:val="en-CA"/>
        </w:rPr>
        <w:t xml:space="preserve"> America</w:t>
      </w:r>
      <w:r w:rsidRPr="00F71BBA">
        <w:rPr>
          <w:rFonts w:ascii="Arial" w:hAnsi="Arial" w:cs="Arial"/>
          <w:i/>
          <w:iCs/>
          <w:spacing w:val="-6"/>
          <w:sz w:val="17"/>
          <w:szCs w:val="17"/>
        </w:rPr>
        <w:t xml:space="preserve">, </w:t>
      </w:r>
      <w:r w:rsidRPr="00F71BBA">
        <w:rPr>
          <w:rFonts w:ascii="Arial" w:hAnsi="Arial" w:cs="Arial"/>
          <w:spacing w:val="-6"/>
          <w:sz w:val="17"/>
          <w:szCs w:val="17"/>
        </w:rPr>
        <w:t xml:space="preserve">May 19, 2020, accessed June 1, 2020, </w:t>
      </w:r>
      <w:r w:rsidRPr="00F71BBA">
        <w:rPr>
          <w:rStyle w:val="Hyperlink"/>
          <w:rFonts w:ascii="Arial" w:hAnsi="Arial" w:cs="Arial"/>
          <w:color w:val="auto"/>
          <w:spacing w:val="-6"/>
          <w:sz w:val="17"/>
          <w:szCs w:val="17"/>
          <w:u w:val="none"/>
        </w:rPr>
        <w:t>www.insurancebusinessmag.com/us/news/breaking-news/pandemics-are-fundamentally-uninsurable-events-222743.aspx</w:t>
      </w:r>
      <w:r w:rsidRPr="00F71BBA">
        <w:rPr>
          <w:rStyle w:val="Hyperlink"/>
          <w:rFonts w:ascii="Arial" w:hAnsi="Arial" w:cs="Arial"/>
          <w:color w:val="auto"/>
          <w:spacing w:val="-6"/>
          <w:sz w:val="17"/>
          <w:szCs w:val="17"/>
          <w:u w:val="none"/>
          <w:lang w:val="en-CA"/>
        </w:rPr>
        <w:t>.</w:t>
      </w:r>
    </w:p>
  </w:endnote>
  <w:endnote w:id="12">
    <w:p w14:paraId="13DA3BB9" w14:textId="5CE405DE" w:rsidR="007B72F2" w:rsidRPr="00F71BBA" w:rsidRDefault="007B72F2" w:rsidP="00330F81">
      <w:pPr>
        <w:pStyle w:val="EndnoteText"/>
        <w:jc w:val="both"/>
        <w:rPr>
          <w:rFonts w:ascii="Arial" w:hAnsi="Arial" w:cs="Arial"/>
          <w:spacing w:val="-6"/>
          <w:sz w:val="17"/>
          <w:szCs w:val="17"/>
          <w:lang w:val="en-CA"/>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w:t>
      </w:r>
      <w:r w:rsidRPr="00F71BBA">
        <w:rPr>
          <w:rFonts w:ascii="Arial" w:hAnsi="Arial" w:cs="Arial"/>
          <w:spacing w:val="-6"/>
          <w:sz w:val="17"/>
          <w:szCs w:val="17"/>
          <w:lang w:val="en-CA"/>
        </w:rPr>
        <w:t xml:space="preserve">Marsh LLC, </w:t>
      </w:r>
      <w:r w:rsidRPr="00F71BBA">
        <w:rPr>
          <w:rFonts w:ascii="Arial" w:hAnsi="Arial" w:cs="Arial"/>
          <w:spacing w:val="-6"/>
          <w:sz w:val="17"/>
          <w:szCs w:val="17"/>
        </w:rPr>
        <w:t xml:space="preserve">“PathogenRX: An Exclusive Solution for Pandemic and Epidemic Risks,” </w:t>
      </w:r>
      <w:r w:rsidRPr="00F71BBA">
        <w:rPr>
          <w:rFonts w:ascii="Arial" w:hAnsi="Arial" w:cs="Arial"/>
          <w:iCs/>
          <w:spacing w:val="-6"/>
          <w:sz w:val="17"/>
          <w:szCs w:val="17"/>
        </w:rPr>
        <w:t>Marsh</w:t>
      </w:r>
      <w:r w:rsidRPr="00F71BBA">
        <w:rPr>
          <w:rFonts w:ascii="Arial" w:hAnsi="Arial" w:cs="Arial"/>
          <w:i/>
          <w:iCs/>
          <w:spacing w:val="-6"/>
          <w:sz w:val="17"/>
          <w:szCs w:val="17"/>
        </w:rPr>
        <w:t xml:space="preserve">, </w:t>
      </w:r>
      <w:r w:rsidRPr="00F71BBA">
        <w:rPr>
          <w:rFonts w:ascii="Arial" w:hAnsi="Arial" w:cs="Arial"/>
          <w:spacing w:val="-6"/>
          <w:sz w:val="17"/>
          <w:szCs w:val="17"/>
        </w:rPr>
        <w:t xml:space="preserve">March 24, 2020, accessed June 1, 2020, </w:t>
      </w:r>
      <w:r w:rsidRPr="00F71BBA">
        <w:rPr>
          <w:rStyle w:val="Hyperlink"/>
          <w:rFonts w:ascii="Arial" w:hAnsi="Arial" w:cs="Arial"/>
          <w:color w:val="auto"/>
          <w:spacing w:val="-6"/>
          <w:sz w:val="17"/>
          <w:szCs w:val="17"/>
          <w:u w:val="none"/>
        </w:rPr>
        <w:t>www.marsh.com/pr/en/campaigns/pathogenrx.html</w:t>
      </w:r>
      <w:r w:rsidRPr="00F71BBA">
        <w:rPr>
          <w:rStyle w:val="Hyperlink"/>
          <w:rFonts w:ascii="Arial" w:hAnsi="Arial" w:cs="Arial"/>
          <w:color w:val="auto"/>
          <w:spacing w:val="-6"/>
          <w:sz w:val="17"/>
          <w:szCs w:val="17"/>
          <w:u w:val="none"/>
          <w:lang w:val="en-CA"/>
        </w:rPr>
        <w:t>.</w:t>
      </w:r>
    </w:p>
  </w:endnote>
  <w:endnote w:id="13">
    <w:p w14:paraId="33DFD0AA" w14:textId="277E17A8" w:rsidR="007B72F2" w:rsidRPr="00F71BBA" w:rsidRDefault="007B72F2" w:rsidP="00330F81">
      <w:pPr>
        <w:pStyle w:val="EndnoteText"/>
        <w:jc w:val="both"/>
        <w:rPr>
          <w:rFonts w:ascii="Arial" w:hAnsi="Arial" w:cs="Arial"/>
          <w:spacing w:val="-6"/>
          <w:sz w:val="17"/>
          <w:szCs w:val="17"/>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w:t>
      </w:r>
      <w:r w:rsidRPr="00F71BBA">
        <w:rPr>
          <w:rFonts w:ascii="Arial" w:hAnsi="Arial" w:cs="Arial"/>
          <w:iCs/>
          <w:spacing w:val="-6"/>
          <w:sz w:val="17"/>
          <w:szCs w:val="17"/>
        </w:rPr>
        <w:t>Marsh</w:t>
      </w:r>
      <w:r w:rsidRPr="00F71BBA">
        <w:rPr>
          <w:rFonts w:ascii="Arial" w:hAnsi="Arial" w:cs="Arial"/>
          <w:iCs/>
          <w:spacing w:val="-6"/>
          <w:sz w:val="17"/>
          <w:szCs w:val="17"/>
          <w:lang w:val="en-CA"/>
        </w:rPr>
        <w:t xml:space="preserve"> LLC official website</w:t>
      </w:r>
      <w:r w:rsidRPr="00F71BBA">
        <w:rPr>
          <w:rFonts w:ascii="Arial" w:hAnsi="Arial" w:cs="Arial"/>
          <w:spacing w:val="-6"/>
          <w:sz w:val="17"/>
          <w:szCs w:val="17"/>
        </w:rPr>
        <w:t xml:space="preserve">, accessed June 1, 2020, </w:t>
      </w:r>
      <w:r w:rsidRPr="00F71BBA">
        <w:rPr>
          <w:rStyle w:val="Hyperlink"/>
          <w:rFonts w:ascii="Arial" w:hAnsi="Arial" w:cs="Arial"/>
          <w:color w:val="auto"/>
          <w:spacing w:val="-6"/>
          <w:sz w:val="17"/>
          <w:szCs w:val="17"/>
          <w:u w:val="none"/>
        </w:rPr>
        <w:t>www.marsh.com</w:t>
      </w:r>
      <w:r w:rsidRPr="00F71BBA">
        <w:rPr>
          <w:rStyle w:val="Hyperlink"/>
          <w:rFonts w:ascii="Arial" w:hAnsi="Arial" w:cs="Arial"/>
          <w:color w:val="auto"/>
          <w:spacing w:val="-6"/>
          <w:sz w:val="17"/>
          <w:szCs w:val="17"/>
          <w:u w:val="none"/>
          <w:lang w:val="en-CA"/>
        </w:rPr>
        <w:t>.</w:t>
      </w:r>
    </w:p>
  </w:endnote>
  <w:endnote w:id="14">
    <w:p w14:paraId="2C54DEBA" w14:textId="459286DD" w:rsidR="007B72F2" w:rsidRPr="00F71BBA" w:rsidRDefault="007B72F2" w:rsidP="00330F81">
      <w:pPr>
        <w:pStyle w:val="EndnoteText"/>
        <w:jc w:val="both"/>
        <w:rPr>
          <w:rFonts w:ascii="Arial" w:hAnsi="Arial" w:cs="Arial"/>
          <w:spacing w:val="-6"/>
          <w:sz w:val="17"/>
          <w:szCs w:val="17"/>
          <w:lang w:val="en-CA"/>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Marsh &amp; McLennan Companies</w:t>
      </w:r>
      <w:r w:rsidRPr="00F71BBA">
        <w:rPr>
          <w:rFonts w:ascii="Arial" w:hAnsi="Arial" w:cs="Arial"/>
          <w:spacing w:val="-6"/>
          <w:sz w:val="17"/>
          <w:szCs w:val="17"/>
          <w:lang w:val="en-CA"/>
        </w:rPr>
        <w:t>,</w:t>
      </w:r>
      <w:r w:rsidRPr="00F71BBA">
        <w:rPr>
          <w:rFonts w:ascii="Arial" w:hAnsi="Arial" w:cs="Arial"/>
          <w:spacing w:val="-6"/>
          <w:sz w:val="17"/>
          <w:szCs w:val="17"/>
        </w:rPr>
        <w:t xml:space="preserve"> </w:t>
      </w:r>
      <w:r w:rsidRPr="00F71BBA">
        <w:rPr>
          <w:rFonts w:ascii="Arial" w:hAnsi="Arial" w:cs="Arial"/>
          <w:i/>
          <w:spacing w:val="-6"/>
          <w:sz w:val="17"/>
          <w:szCs w:val="17"/>
        </w:rPr>
        <w:t>At a Glance</w:t>
      </w:r>
      <w:r w:rsidRPr="00F71BBA">
        <w:rPr>
          <w:rFonts w:ascii="Arial" w:hAnsi="Arial" w:cs="Arial"/>
          <w:spacing w:val="-6"/>
          <w:sz w:val="17"/>
          <w:szCs w:val="17"/>
        </w:rPr>
        <w:t xml:space="preserve">, February 2, 2020, accessed June 1, 2020, </w:t>
      </w:r>
      <w:r w:rsidRPr="00F71BBA">
        <w:rPr>
          <w:rStyle w:val="Hyperlink"/>
          <w:rFonts w:ascii="Arial" w:hAnsi="Arial" w:cs="Arial"/>
          <w:color w:val="auto"/>
          <w:spacing w:val="-6"/>
          <w:sz w:val="17"/>
          <w:szCs w:val="17"/>
          <w:u w:val="none"/>
        </w:rPr>
        <w:t>www.mmc.com/content/dam/mmc-web/Files/MMC_AtAGlance_02022020_web.pdf</w:t>
      </w:r>
      <w:r w:rsidRPr="00F71BBA">
        <w:rPr>
          <w:rStyle w:val="Hyperlink"/>
          <w:rFonts w:ascii="Arial" w:hAnsi="Arial" w:cs="Arial"/>
          <w:color w:val="auto"/>
          <w:spacing w:val="-6"/>
          <w:sz w:val="17"/>
          <w:szCs w:val="17"/>
          <w:u w:val="none"/>
          <w:lang w:val="en-CA"/>
        </w:rPr>
        <w:t>.</w:t>
      </w:r>
    </w:p>
  </w:endnote>
  <w:endnote w:id="15">
    <w:p w14:paraId="4EF15EA9" w14:textId="5C1D751D" w:rsidR="007B72F2" w:rsidRPr="00F71BBA" w:rsidRDefault="007B72F2" w:rsidP="00330F81">
      <w:pPr>
        <w:pStyle w:val="EndnoteText"/>
        <w:jc w:val="both"/>
        <w:rPr>
          <w:rFonts w:ascii="Arial" w:hAnsi="Arial" w:cs="Arial"/>
          <w:spacing w:val="-6"/>
          <w:sz w:val="17"/>
          <w:szCs w:val="17"/>
          <w:lang w:val="en-CA"/>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Ibid</w:t>
      </w:r>
      <w:r w:rsidRPr="00F71BBA">
        <w:rPr>
          <w:rFonts w:ascii="Arial" w:hAnsi="Arial" w:cs="Arial"/>
          <w:spacing w:val="-6"/>
          <w:sz w:val="17"/>
          <w:szCs w:val="17"/>
          <w:lang w:val="en-CA"/>
        </w:rPr>
        <w:t>.</w:t>
      </w:r>
    </w:p>
  </w:endnote>
  <w:endnote w:id="16">
    <w:p w14:paraId="1CC9521D" w14:textId="7122C91A" w:rsidR="007B72F2" w:rsidRPr="00F71BBA" w:rsidRDefault="007B72F2" w:rsidP="00330F81">
      <w:pPr>
        <w:shd w:val="clear" w:color="auto" w:fill="FFFFFF"/>
        <w:jc w:val="both"/>
        <w:rPr>
          <w:rFonts w:ascii="Arial" w:hAnsi="Arial" w:cs="Arial"/>
          <w:spacing w:val="-6"/>
          <w:sz w:val="17"/>
          <w:szCs w:val="17"/>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Neda Blocho, “How Parametric Insurance Could’ve Saved the Economy,” </w:t>
      </w:r>
      <w:r w:rsidRPr="00F71BBA">
        <w:rPr>
          <w:rFonts w:ascii="Arial" w:hAnsi="Arial" w:cs="Arial"/>
          <w:i/>
          <w:iCs/>
          <w:spacing w:val="-6"/>
          <w:sz w:val="17"/>
          <w:szCs w:val="17"/>
        </w:rPr>
        <w:t xml:space="preserve">The Hive, </w:t>
      </w:r>
      <w:r w:rsidRPr="00F71BBA">
        <w:rPr>
          <w:rFonts w:ascii="Arial" w:hAnsi="Arial" w:cs="Arial"/>
          <w:spacing w:val="-6"/>
          <w:sz w:val="17"/>
          <w:szCs w:val="17"/>
        </w:rPr>
        <w:t xml:space="preserve">April 27, 2020, accessed June 1, 2020, </w:t>
      </w:r>
      <w:r w:rsidRPr="00F71BBA">
        <w:rPr>
          <w:rStyle w:val="Hyperlink"/>
          <w:rFonts w:ascii="Arial" w:hAnsi="Arial" w:cs="Arial"/>
          <w:color w:val="auto"/>
          <w:spacing w:val="-6"/>
          <w:sz w:val="17"/>
          <w:szCs w:val="17"/>
          <w:u w:val="none"/>
        </w:rPr>
        <w:t>https://medium.com/hivedata/how-parametric-insurance-couldve-saved-the-economy-b65d29a3f522.</w:t>
      </w:r>
    </w:p>
  </w:endnote>
  <w:endnote w:id="17">
    <w:p w14:paraId="725FD868" w14:textId="3D50B0F0" w:rsidR="007B72F2" w:rsidRPr="00F71BBA" w:rsidRDefault="007B72F2" w:rsidP="00330F81">
      <w:pPr>
        <w:shd w:val="clear" w:color="auto" w:fill="FFFFFF"/>
        <w:jc w:val="both"/>
        <w:rPr>
          <w:rFonts w:ascii="Arial" w:hAnsi="Arial" w:cs="Arial"/>
          <w:spacing w:val="-6"/>
          <w:sz w:val="17"/>
          <w:szCs w:val="17"/>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Ibid.</w:t>
      </w:r>
    </w:p>
  </w:endnote>
  <w:endnote w:id="18">
    <w:p w14:paraId="514DF42A" w14:textId="77777777" w:rsidR="007B72F2" w:rsidRPr="00F71BBA" w:rsidRDefault="007B72F2" w:rsidP="00B706A2">
      <w:pPr>
        <w:pStyle w:val="Footnote"/>
        <w:rPr>
          <w:spacing w:val="-6"/>
          <w:lang w:val="en-CA"/>
        </w:rPr>
      </w:pPr>
      <w:r w:rsidRPr="00F71BBA">
        <w:rPr>
          <w:rStyle w:val="EndnoteReference"/>
          <w:spacing w:val="-6"/>
        </w:rPr>
        <w:endnoteRef/>
      </w:r>
      <w:r w:rsidRPr="00F71BBA">
        <w:rPr>
          <w:spacing w:val="-6"/>
        </w:rPr>
        <w:t xml:space="preserve"> Véronique Bruggeman, Michael G</w:t>
      </w:r>
      <w:r w:rsidRPr="00F71BBA">
        <w:rPr>
          <w:spacing w:val="-6"/>
          <w:lang w:val="en-CA"/>
        </w:rPr>
        <w:t>.</w:t>
      </w:r>
      <w:r w:rsidRPr="00F71BBA">
        <w:rPr>
          <w:spacing w:val="-6"/>
        </w:rPr>
        <w:t xml:space="preserve"> Faure, and Karine Fiore, “The Government as Reinsurer of Catastrophe Risks?</w:t>
      </w:r>
      <w:r w:rsidRPr="00F71BBA">
        <w:rPr>
          <w:spacing w:val="-6"/>
          <w:lang w:val="en-CA"/>
        </w:rPr>
        <w:t>,</w:t>
      </w:r>
      <w:r w:rsidRPr="00F71BBA">
        <w:rPr>
          <w:spacing w:val="-6"/>
        </w:rPr>
        <w:t xml:space="preserve">” </w:t>
      </w:r>
      <w:r w:rsidRPr="00F71BBA">
        <w:rPr>
          <w:i/>
          <w:iCs/>
          <w:spacing w:val="-6"/>
        </w:rPr>
        <w:t>The Geneva Papers on Risk and Insurance</w:t>
      </w:r>
      <w:r w:rsidRPr="00F71BBA">
        <w:rPr>
          <w:i/>
          <w:iCs/>
          <w:spacing w:val="-6"/>
          <w:lang w:val="en-CA"/>
        </w:rPr>
        <w:t>—</w:t>
      </w:r>
      <w:r w:rsidRPr="00F71BBA">
        <w:rPr>
          <w:i/>
          <w:iCs/>
          <w:spacing w:val="-6"/>
        </w:rPr>
        <w:t>Issues and Practice</w:t>
      </w:r>
      <w:r w:rsidRPr="00F71BBA">
        <w:rPr>
          <w:spacing w:val="-6"/>
        </w:rPr>
        <w:t xml:space="preserve"> 35, no. 3 (2010): 369</w:t>
      </w:r>
      <w:r w:rsidRPr="00F71BBA">
        <w:rPr>
          <w:spacing w:val="-6"/>
          <w:lang w:val="en-CA"/>
        </w:rPr>
        <w:t>–</w:t>
      </w:r>
      <w:r w:rsidRPr="00F71BBA">
        <w:rPr>
          <w:spacing w:val="-6"/>
        </w:rPr>
        <w:t>390</w:t>
      </w:r>
    </w:p>
  </w:endnote>
  <w:endnote w:id="19">
    <w:p w14:paraId="61FDFE9F" w14:textId="639B715A" w:rsidR="007B72F2" w:rsidRPr="00F71BBA" w:rsidRDefault="007B72F2" w:rsidP="00330F81">
      <w:pPr>
        <w:pStyle w:val="EndnoteText"/>
        <w:jc w:val="both"/>
        <w:rPr>
          <w:rFonts w:ascii="Arial" w:hAnsi="Arial" w:cs="Arial"/>
          <w:spacing w:val="-6"/>
          <w:sz w:val="17"/>
          <w:szCs w:val="17"/>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Ibid. </w:t>
      </w:r>
    </w:p>
  </w:endnote>
  <w:endnote w:id="20">
    <w:p w14:paraId="681E08E1" w14:textId="0C5AFB5A" w:rsidR="007B72F2" w:rsidRPr="00F71BBA" w:rsidRDefault="007B72F2" w:rsidP="00330F81">
      <w:pPr>
        <w:pStyle w:val="EndnoteText"/>
        <w:jc w:val="both"/>
        <w:rPr>
          <w:rFonts w:ascii="Arial" w:hAnsi="Arial" w:cs="Arial"/>
          <w:spacing w:val="-6"/>
          <w:sz w:val="17"/>
          <w:szCs w:val="17"/>
          <w:lang w:val="en-CA"/>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Ibid</w:t>
      </w:r>
      <w:r w:rsidRPr="00F71BBA">
        <w:rPr>
          <w:rFonts w:ascii="Arial" w:hAnsi="Arial" w:cs="Arial"/>
          <w:spacing w:val="-6"/>
          <w:sz w:val="17"/>
          <w:szCs w:val="17"/>
          <w:lang w:val="en-CA"/>
        </w:rPr>
        <w:t>.</w:t>
      </w:r>
    </w:p>
  </w:endnote>
  <w:endnote w:id="21">
    <w:p w14:paraId="634787E3" w14:textId="16362290" w:rsidR="007B72F2" w:rsidRPr="00F71BBA" w:rsidRDefault="007B72F2" w:rsidP="00330F81">
      <w:pPr>
        <w:pStyle w:val="EndnoteText"/>
        <w:jc w:val="both"/>
        <w:rPr>
          <w:rFonts w:ascii="Arial" w:hAnsi="Arial" w:cs="Arial"/>
          <w:spacing w:val="-6"/>
          <w:sz w:val="17"/>
          <w:szCs w:val="17"/>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w:t>
      </w:r>
      <w:r w:rsidRPr="00F71BBA">
        <w:rPr>
          <w:rFonts w:ascii="Arial" w:hAnsi="Arial" w:cs="Arial"/>
          <w:spacing w:val="-6"/>
          <w:sz w:val="17"/>
          <w:szCs w:val="17"/>
          <w:lang w:val="en-CA"/>
        </w:rPr>
        <w:t xml:space="preserve">Marsh LLC, </w:t>
      </w:r>
      <w:r w:rsidRPr="00F71BBA">
        <w:rPr>
          <w:rFonts w:ascii="Arial" w:hAnsi="Arial" w:cs="Arial"/>
          <w:spacing w:val="-6"/>
          <w:sz w:val="17"/>
          <w:szCs w:val="17"/>
        </w:rPr>
        <w:t>“Marsh to Help Businesses Minimize Financial Loss from Pandemics,” op. cit</w:t>
      </w:r>
      <w:r w:rsidRPr="00F71BBA">
        <w:rPr>
          <w:rFonts w:ascii="Arial" w:hAnsi="Arial" w:cs="Arial"/>
          <w:spacing w:val="-6"/>
          <w:sz w:val="17"/>
          <w:szCs w:val="17"/>
          <w:lang w:val="en-CA"/>
        </w:rPr>
        <w:t>.</w:t>
      </w:r>
    </w:p>
  </w:endnote>
  <w:endnote w:id="22">
    <w:p w14:paraId="4A34FBBC" w14:textId="4E21E5A9" w:rsidR="007B72F2" w:rsidRPr="00F71BBA" w:rsidRDefault="007B72F2" w:rsidP="00330F81">
      <w:pPr>
        <w:shd w:val="clear" w:color="auto" w:fill="FFFFFF"/>
        <w:jc w:val="both"/>
        <w:rPr>
          <w:rFonts w:ascii="Arial" w:hAnsi="Arial" w:cs="Arial"/>
          <w:spacing w:val="-6"/>
          <w:sz w:val="17"/>
          <w:szCs w:val="17"/>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Blocho, op. cit.</w:t>
      </w:r>
      <w:r w:rsidRPr="00F71BBA">
        <w:rPr>
          <w:rFonts w:ascii="Arial" w:hAnsi="Arial" w:cs="Arial"/>
          <w:spacing w:val="-6"/>
          <w:sz w:val="17"/>
          <w:szCs w:val="17"/>
          <w:lang w:val="en-CA"/>
        </w:rPr>
        <w:t xml:space="preserve"> </w:t>
      </w:r>
    </w:p>
  </w:endnote>
  <w:endnote w:id="23">
    <w:p w14:paraId="6DAA4731" w14:textId="3290287B" w:rsidR="007B72F2" w:rsidRPr="00F71BBA" w:rsidRDefault="007B72F2" w:rsidP="00330F81">
      <w:pPr>
        <w:pStyle w:val="EndnoteText"/>
        <w:jc w:val="both"/>
        <w:rPr>
          <w:rFonts w:ascii="Arial" w:hAnsi="Arial" w:cs="Arial"/>
          <w:spacing w:val="-6"/>
          <w:sz w:val="17"/>
          <w:szCs w:val="17"/>
          <w:lang w:val="en-CA"/>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Russ Banham, “This Insurance Would Have Helped in Coronavirus Crisis </w:t>
      </w:r>
      <w:r w:rsidRPr="00F71BBA">
        <w:rPr>
          <w:rFonts w:ascii="Arial" w:hAnsi="Arial" w:cs="Arial"/>
          <w:spacing w:val="-6"/>
          <w:sz w:val="17"/>
          <w:szCs w:val="17"/>
          <w:lang w:val="en-CA"/>
        </w:rPr>
        <w:t>b</w:t>
      </w:r>
      <w:r w:rsidRPr="00F71BBA">
        <w:rPr>
          <w:rFonts w:ascii="Arial" w:hAnsi="Arial" w:cs="Arial"/>
          <w:spacing w:val="-6"/>
          <w:sz w:val="17"/>
          <w:szCs w:val="17"/>
        </w:rPr>
        <w:t xml:space="preserve">ut Nobody Bought It,” </w:t>
      </w:r>
      <w:r w:rsidRPr="00F71BBA">
        <w:rPr>
          <w:rFonts w:ascii="Arial" w:hAnsi="Arial" w:cs="Arial"/>
          <w:i/>
          <w:iCs/>
          <w:spacing w:val="-6"/>
          <w:sz w:val="17"/>
          <w:szCs w:val="17"/>
        </w:rPr>
        <w:t xml:space="preserve">Insurance Journal, </w:t>
      </w:r>
      <w:r w:rsidRPr="00F71BBA">
        <w:rPr>
          <w:rFonts w:ascii="Arial" w:hAnsi="Arial" w:cs="Arial"/>
          <w:spacing w:val="-6"/>
          <w:sz w:val="17"/>
          <w:szCs w:val="17"/>
        </w:rPr>
        <w:t xml:space="preserve">April 3, 2020, accessed June 1, 2020, </w:t>
      </w:r>
      <w:r w:rsidRPr="00F71BBA">
        <w:rPr>
          <w:rStyle w:val="Hyperlink"/>
          <w:rFonts w:ascii="Arial" w:hAnsi="Arial" w:cs="Arial"/>
          <w:color w:val="auto"/>
          <w:spacing w:val="-6"/>
          <w:sz w:val="17"/>
          <w:szCs w:val="17"/>
          <w:u w:val="none"/>
        </w:rPr>
        <w:t>www.insurancejournal.com/news/national/2020/04/03/563224.htm#</w:t>
      </w:r>
      <w:r w:rsidRPr="00F71BBA">
        <w:rPr>
          <w:rStyle w:val="Hyperlink"/>
          <w:rFonts w:ascii="Arial" w:hAnsi="Arial" w:cs="Arial"/>
          <w:color w:val="auto"/>
          <w:spacing w:val="-6"/>
          <w:sz w:val="17"/>
          <w:szCs w:val="17"/>
          <w:u w:val="none"/>
          <w:lang w:val="en-CA"/>
        </w:rPr>
        <w:t>.</w:t>
      </w:r>
    </w:p>
  </w:endnote>
  <w:endnote w:id="24">
    <w:p w14:paraId="2B6315FD" w14:textId="2BBC0846" w:rsidR="007B72F2" w:rsidRPr="00F71BBA" w:rsidRDefault="007B72F2" w:rsidP="00D408A8">
      <w:pPr>
        <w:pStyle w:val="Footnote"/>
        <w:rPr>
          <w:spacing w:val="-6"/>
          <w:lang w:val="en-CA"/>
        </w:rPr>
      </w:pPr>
      <w:r w:rsidRPr="00F71BBA">
        <w:rPr>
          <w:rStyle w:val="EndnoteReference"/>
          <w:spacing w:val="-6"/>
        </w:rPr>
        <w:endnoteRef/>
      </w:r>
      <w:r w:rsidRPr="00F71BBA">
        <w:rPr>
          <w:spacing w:val="-6"/>
        </w:rPr>
        <w:t xml:space="preserve"> </w:t>
      </w:r>
      <w:r w:rsidRPr="00F71BBA">
        <w:rPr>
          <w:spacing w:val="-6"/>
          <w:lang w:val="en-CA"/>
        </w:rPr>
        <w:t>Ibid.</w:t>
      </w:r>
    </w:p>
  </w:endnote>
  <w:endnote w:id="25">
    <w:p w14:paraId="77C7140D" w14:textId="5F6DB94B" w:rsidR="007B72F2" w:rsidRPr="00F71BBA" w:rsidRDefault="007B72F2" w:rsidP="00330F81">
      <w:pPr>
        <w:pStyle w:val="EndnoteText"/>
        <w:jc w:val="both"/>
        <w:rPr>
          <w:rFonts w:ascii="Arial" w:hAnsi="Arial" w:cs="Arial"/>
          <w:spacing w:val="-6"/>
          <w:sz w:val="17"/>
          <w:szCs w:val="17"/>
          <w:lang w:val="en-CA"/>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Mark A. Hofmann, “2018 Innovation Awards: PathogenRX,” </w:t>
      </w:r>
      <w:r w:rsidRPr="00F71BBA">
        <w:rPr>
          <w:rFonts w:ascii="Arial" w:hAnsi="Arial" w:cs="Arial"/>
          <w:i/>
          <w:iCs/>
          <w:spacing w:val="-6"/>
          <w:sz w:val="17"/>
          <w:szCs w:val="17"/>
        </w:rPr>
        <w:t xml:space="preserve">Business Insurance, </w:t>
      </w:r>
      <w:r w:rsidRPr="00F71BBA">
        <w:rPr>
          <w:rFonts w:ascii="Arial" w:hAnsi="Arial" w:cs="Arial"/>
          <w:spacing w:val="-6"/>
          <w:sz w:val="17"/>
          <w:szCs w:val="17"/>
        </w:rPr>
        <w:t xml:space="preserve">November 4, 2018, accessed June 1, 2020, </w:t>
      </w:r>
      <w:r w:rsidRPr="00F71BBA">
        <w:rPr>
          <w:rStyle w:val="Hyperlink"/>
          <w:rFonts w:ascii="Arial" w:hAnsi="Arial" w:cs="Arial"/>
          <w:color w:val="auto"/>
          <w:spacing w:val="-6"/>
          <w:sz w:val="17"/>
          <w:szCs w:val="17"/>
          <w:u w:val="none"/>
        </w:rPr>
        <w:t>www.businessinsurance.com/article/20181104/NEWS06/912324901/Business-Insurance-2018-Innovation-Awards-PathogenRX-Marsh-Munich-Re-Metabiota</w:t>
      </w:r>
      <w:r w:rsidRPr="00F71BBA">
        <w:rPr>
          <w:rStyle w:val="Hyperlink"/>
          <w:rFonts w:ascii="Arial" w:hAnsi="Arial" w:cs="Arial"/>
          <w:color w:val="auto"/>
          <w:spacing w:val="-6"/>
          <w:sz w:val="17"/>
          <w:szCs w:val="17"/>
          <w:u w:val="none"/>
          <w:lang w:val="en-CA"/>
        </w:rPr>
        <w:t>.</w:t>
      </w:r>
    </w:p>
  </w:endnote>
  <w:endnote w:id="26">
    <w:p w14:paraId="4D3BEF17" w14:textId="7EB5F9FA" w:rsidR="007B72F2" w:rsidRPr="00F71BBA" w:rsidRDefault="007B72F2" w:rsidP="00330F81">
      <w:pPr>
        <w:pStyle w:val="EndnoteText"/>
        <w:jc w:val="both"/>
        <w:rPr>
          <w:rFonts w:ascii="Arial" w:hAnsi="Arial" w:cs="Arial"/>
          <w:spacing w:val="-6"/>
          <w:sz w:val="17"/>
          <w:szCs w:val="17"/>
          <w:lang w:val="en-GB"/>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Luke Gallin, “Metabiota Unveils Pathogen Sentiment Index &amp; Agreement with Munich Re, Marsh,” </w:t>
      </w:r>
      <w:r w:rsidRPr="00F71BBA">
        <w:rPr>
          <w:rFonts w:ascii="Arial" w:hAnsi="Arial" w:cs="Arial"/>
          <w:i/>
          <w:iCs/>
          <w:spacing w:val="-6"/>
          <w:sz w:val="17"/>
          <w:szCs w:val="17"/>
        </w:rPr>
        <w:t xml:space="preserve">Reinsurance News, </w:t>
      </w:r>
      <w:r w:rsidRPr="00F71BBA">
        <w:rPr>
          <w:rFonts w:ascii="Arial" w:hAnsi="Arial" w:cs="Arial"/>
          <w:spacing w:val="-6"/>
          <w:sz w:val="17"/>
          <w:szCs w:val="17"/>
        </w:rPr>
        <w:t xml:space="preserve">April 20, 2018, June 1, 2020, </w:t>
      </w:r>
      <w:r w:rsidRPr="00F71BBA">
        <w:rPr>
          <w:rStyle w:val="Hyperlink"/>
          <w:rFonts w:ascii="Arial" w:hAnsi="Arial" w:cs="Arial"/>
          <w:color w:val="auto"/>
          <w:spacing w:val="-6"/>
          <w:sz w:val="17"/>
          <w:szCs w:val="17"/>
          <w:u w:val="none"/>
        </w:rPr>
        <w:t>www.reinsurancene.ws/metabiota-unveils-pathogen-sentiment-index-agreement-with-munich-re-marsh</w:t>
      </w:r>
      <w:r w:rsidRPr="00F71BBA">
        <w:rPr>
          <w:rStyle w:val="Hyperlink"/>
          <w:rFonts w:ascii="Arial" w:hAnsi="Arial" w:cs="Arial"/>
          <w:color w:val="auto"/>
          <w:spacing w:val="-6"/>
          <w:sz w:val="17"/>
          <w:szCs w:val="17"/>
          <w:u w:val="none"/>
          <w:lang w:val="en-CA"/>
        </w:rPr>
        <w:t>.</w:t>
      </w:r>
    </w:p>
  </w:endnote>
  <w:endnote w:id="27">
    <w:p w14:paraId="0F502724" w14:textId="590E974A" w:rsidR="007B72F2" w:rsidRPr="00F71BBA" w:rsidRDefault="007B72F2" w:rsidP="00330F81">
      <w:pPr>
        <w:pStyle w:val="EndnoteText"/>
        <w:jc w:val="both"/>
        <w:rPr>
          <w:rFonts w:ascii="Arial" w:hAnsi="Arial" w:cs="Arial"/>
          <w:spacing w:val="-6"/>
          <w:sz w:val="17"/>
          <w:szCs w:val="17"/>
          <w:lang w:val="en-GB"/>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Ibid</w:t>
      </w:r>
      <w:r w:rsidRPr="00F71BBA">
        <w:rPr>
          <w:rFonts w:ascii="Arial" w:hAnsi="Arial" w:cs="Arial"/>
          <w:spacing w:val="-6"/>
          <w:sz w:val="17"/>
          <w:szCs w:val="17"/>
          <w:lang w:val="en-CA"/>
        </w:rPr>
        <w:t xml:space="preserve">. </w:t>
      </w:r>
    </w:p>
  </w:endnote>
  <w:endnote w:id="28">
    <w:p w14:paraId="2DD90AC3" w14:textId="706D23CD" w:rsidR="007B72F2" w:rsidRPr="00F71BBA" w:rsidRDefault="007B72F2" w:rsidP="00391EBE">
      <w:pPr>
        <w:jc w:val="both"/>
        <w:rPr>
          <w:rFonts w:ascii="Arial" w:hAnsi="Arial" w:cs="Arial"/>
          <w:spacing w:val="-6"/>
          <w:sz w:val="17"/>
          <w:szCs w:val="17"/>
        </w:rPr>
      </w:pPr>
      <w:r w:rsidRPr="00F71BBA">
        <w:rPr>
          <w:rFonts w:ascii="Arial" w:hAnsi="Arial" w:cs="Arial"/>
          <w:spacing w:val="-6"/>
          <w:sz w:val="17"/>
          <w:szCs w:val="17"/>
          <w:vertAlign w:val="superscript"/>
        </w:rPr>
        <w:t>27</w:t>
      </w:r>
      <w:r w:rsidRPr="00F71BBA">
        <w:rPr>
          <w:rFonts w:ascii="Arial" w:hAnsi="Arial" w:cs="Arial"/>
          <w:spacing w:val="-6"/>
          <w:sz w:val="17"/>
          <w:szCs w:val="17"/>
        </w:rPr>
        <w:t xml:space="preserve"> Metabiota Inc., </w:t>
      </w:r>
      <w:r w:rsidRPr="00F71BBA">
        <w:rPr>
          <w:rFonts w:ascii="Arial" w:hAnsi="Arial" w:cs="Arial"/>
          <w:i/>
          <w:spacing w:val="-6"/>
          <w:sz w:val="17"/>
          <w:szCs w:val="17"/>
        </w:rPr>
        <w:t>Infectious Disease Outbreaks Can Inflict Enormous Social and Economic Disruption</w:t>
      </w:r>
      <w:r w:rsidRPr="00F71BBA">
        <w:rPr>
          <w:rFonts w:ascii="Arial" w:hAnsi="Arial" w:cs="Arial"/>
          <w:spacing w:val="-6"/>
          <w:sz w:val="17"/>
          <w:szCs w:val="17"/>
        </w:rPr>
        <w:t>, 2018, accessed June 1, 2020, https://metabiota.com/sites/default/files/presentation_files/Metabiota%20Pathogen%20Sentiment%20Index%20 Flyer_Apr%202018.pdf.</w:t>
      </w:r>
    </w:p>
  </w:endnote>
  <w:endnote w:id="29">
    <w:p w14:paraId="6C3ACD8A" w14:textId="3DB80A6F" w:rsidR="007B72F2" w:rsidRPr="00F71BBA" w:rsidRDefault="007B72F2" w:rsidP="00330F81">
      <w:pPr>
        <w:pStyle w:val="EndnoteText"/>
        <w:jc w:val="both"/>
        <w:rPr>
          <w:rFonts w:ascii="Arial" w:hAnsi="Arial" w:cs="Arial"/>
          <w:spacing w:val="-6"/>
          <w:sz w:val="17"/>
          <w:szCs w:val="17"/>
          <w:lang w:val="en-CA"/>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w:t>
      </w:r>
      <w:r w:rsidRPr="00F71BBA">
        <w:rPr>
          <w:rFonts w:ascii="Arial" w:hAnsi="Arial" w:cs="Arial"/>
          <w:iCs/>
          <w:spacing w:val="-6"/>
          <w:sz w:val="17"/>
          <w:szCs w:val="17"/>
        </w:rPr>
        <w:t>Metabiota</w:t>
      </w:r>
      <w:r w:rsidRPr="00F71BBA">
        <w:rPr>
          <w:rFonts w:ascii="Arial" w:hAnsi="Arial" w:cs="Arial"/>
          <w:iCs/>
          <w:spacing w:val="-6"/>
          <w:sz w:val="17"/>
          <w:szCs w:val="17"/>
          <w:lang w:val="en-CA"/>
        </w:rPr>
        <w:t xml:space="preserve"> Inc.</w:t>
      </w:r>
      <w:r w:rsidRPr="00F71BBA">
        <w:rPr>
          <w:rFonts w:ascii="Arial" w:hAnsi="Arial" w:cs="Arial"/>
          <w:i/>
          <w:iCs/>
          <w:spacing w:val="-6"/>
          <w:sz w:val="17"/>
          <w:szCs w:val="17"/>
        </w:rPr>
        <w:t xml:space="preserve">, </w:t>
      </w:r>
      <w:r w:rsidRPr="00F71BBA">
        <w:rPr>
          <w:rFonts w:ascii="Arial" w:hAnsi="Arial" w:cs="Arial"/>
          <w:i/>
          <w:spacing w:val="-6"/>
          <w:sz w:val="17"/>
          <w:szCs w:val="17"/>
        </w:rPr>
        <w:t>Monitoring and Risk Analytics for the 2019 Novel Coronavirus (COVID-19) Epidemic</w:t>
      </w:r>
      <w:r w:rsidRPr="00F71BBA">
        <w:rPr>
          <w:rFonts w:ascii="Arial" w:hAnsi="Arial" w:cs="Arial"/>
          <w:spacing w:val="-6"/>
          <w:sz w:val="17"/>
          <w:szCs w:val="17"/>
        </w:rPr>
        <w:t xml:space="preserve">, February 25, 2020, accessed June 1, 2020, </w:t>
      </w:r>
      <w:r w:rsidRPr="00F71BBA">
        <w:rPr>
          <w:rStyle w:val="Hyperlink"/>
          <w:rFonts w:ascii="Arial" w:hAnsi="Arial" w:cs="Arial"/>
          <w:color w:val="auto"/>
          <w:spacing w:val="-6"/>
          <w:sz w:val="17"/>
          <w:szCs w:val="17"/>
          <w:u w:val="none"/>
        </w:rPr>
        <w:t>https://metabiota.com/sites/default/files/inline-files/Metabiota_Risk_Report_No.3-25Feb2020-COVID-2019_0.pdf</w:t>
      </w:r>
      <w:r w:rsidRPr="00F71BBA">
        <w:rPr>
          <w:rStyle w:val="Hyperlink"/>
          <w:rFonts w:ascii="Arial" w:hAnsi="Arial" w:cs="Arial"/>
          <w:color w:val="auto"/>
          <w:spacing w:val="-6"/>
          <w:sz w:val="17"/>
          <w:szCs w:val="17"/>
          <w:u w:val="none"/>
          <w:lang w:val="en-CA"/>
        </w:rPr>
        <w:t>.</w:t>
      </w:r>
    </w:p>
  </w:endnote>
  <w:endnote w:id="30">
    <w:p w14:paraId="26EC1D12" w14:textId="5D68D91F" w:rsidR="007B72F2" w:rsidRPr="00F71BBA" w:rsidRDefault="007B72F2" w:rsidP="00330F81">
      <w:pPr>
        <w:pStyle w:val="EndnoteText"/>
        <w:jc w:val="both"/>
        <w:rPr>
          <w:rFonts w:ascii="Arial" w:hAnsi="Arial" w:cs="Arial"/>
          <w:spacing w:val="-6"/>
          <w:sz w:val="17"/>
          <w:szCs w:val="17"/>
          <w:lang w:val="en-CA"/>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Ibid</w:t>
      </w:r>
      <w:r w:rsidRPr="00F71BBA">
        <w:rPr>
          <w:rFonts w:ascii="Arial" w:hAnsi="Arial" w:cs="Arial"/>
          <w:spacing w:val="-6"/>
          <w:sz w:val="17"/>
          <w:szCs w:val="17"/>
          <w:lang w:val="en-CA"/>
        </w:rPr>
        <w:t>.</w:t>
      </w:r>
    </w:p>
  </w:endnote>
  <w:endnote w:id="31">
    <w:p w14:paraId="4B2411C8" w14:textId="43285A49" w:rsidR="007B72F2" w:rsidRPr="00F71BBA" w:rsidRDefault="007B72F2" w:rsidP="00330F81">
      <w:pPr>
        <w:pStyle w:val="EndnoteText"/>
        <w:jc w:val="both"/>
        <w:rPr>
          <w:rFonts w:ascii="Arial" w:hAnsi="Arial" w:cs="Arial"/>
          <w:spacing w:val="-6"/>
          <w:sz w:val="17"/>
          <w:szCs w:val="17"/>
          <w:lang w:val="en-CA"/>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Volodymyr Serhiyenko, </w:t>
      </w:r>
      <w:r w:rsidRPr="00F71BBA">
        <w:rPr>
          <w:rFonts w:ascii="Arial" w:hAnsi="Arial" w:cs="Arial"/>
          <w:i/>
          <w:spacing w:val="-6"/>
          <w:sz w:val="17"/>
          <w:szCs w:val="17"/>
        </w:rPr>
        <w:t>Stochastic Modelling of Infectious Diseases</w:t>
      </w:r>
      <w:r w:rsidRPr="00F71BBA">
        <w:rPr>
          <w:rFonts w:ascii="Arial" w:hAnsi="Arial" w:cs="Arial"/>
          <w:spacing w:val="-6"/>
          <w:sz w:val="17"/>
          <w:szCs w:val="17"/>
          <w:lang w:val="en-CA"/>
        </w:rPr>
        <w:t xml:space="preserve"> (</w:t>
      </w:r>
      <w:r w:rsidRPr="00F71BBA">
        <w:rPr>
          <w:rFonts w:ascii="Arial" w:hAnsi="Arial" w:cs="Arial"/>
          <w:iCs/>
          <w:spacing w:val="-6"/>
          <w:sz w:val="17"/>
          <w:szCs w:val="17"/>
          <w:lang w:val="en-CA"/>
        </w:rPr>
        <w:t xml:space="preserve">presentation, </w:t>
      </w:r>
      <w:r w:rsidRPr="00F71BBA">
        <w:rPr>
          <w:rFonts w:ascii="Arial" w:hAnsi="Arial" w:cs="Arial"/>
          <w:iCs/>
          <w:spacing w:val="-6"/>
          <w:sz w:val="17"/>
          <w:szCs w:val="17"/>
        </w:rPr>
        <w:t>34th Quality and Productivity Research Conference</w:t>
      </w:r>
      <w:r w:rsidRPr="00F71BBA">
        <w:rPr>
          <w:rFonts w:ascii="Arial" w:hAnsi="Arial" w:cs="Arial"/>
          <w:iCs/>
          <w:spacing w:val="-6"/>
          <w:sz w:val="17"/>
          <w:szCs w:val="17"/>
          <w:lang w:val="en-CA"/>
        </w:rPr>
        <w:t>—</w:t>
      </w:r>
      <w:r w:rsidRPr="00F71BBA">
        <w:rPr>
          <w:rFonts w:ascii="Arial" w:hAnsi="Arial" w:cs="Arial"/>
          <w:iCs/>
          <w:spacing w:val="-6"/>
          <w:sz w:val="17"/>
          <w:szCs w:val="17"/>
        </w:rPr>
        <w:t>2017</w:t>
      </w:r>
      <w:r w:rsidRPr="00F71BBA">
        <w:rPr>
          <w:rFonts w:ascii="Arial" w:hAnsi="Arial" w:cs="Arial"/>
          <w:spacing w:val="-6"/>
          <w:sz w:val="17"/>
          <w:szCs w:val="17"/>
        </w:rPr>
        <w:t xml:space="preserve">, </w:t>
      </w:r>
      <w:r w:rsidRPr="00F71BBA">
        <w:rPr>
          <w:rFonts w:ascii="Arial" w:hAnsi="Arial" w:cs="Arial"/>
          <w:spacing w:val="-6"/>
          <w:sz w:val="17"/>
          <w:szCs w:val="17"/>
          <w:lang w:val="en-CA"/>
        </w:rPr>
        <w:t xml:space="preserve">Department of Statistics, University of Connecticut, </w:t>
      </w:r>
      <w:r w:rsidRPr="00F71BBA">
        <w:rPr>
          <w:rFonts w:ascii="Arial" w:hAnsi="Arial" w:cs="Arial"/>
          <w:spacing w:val="-6"/>
          <w:sz w:val="17"/>
          <w:szCs w:val="17"/>
        </w:rPr>
        <w:t>June 15, 2017</w:t>
      </w:r>
      <w:r w:rsidRPr="00F71BBA">
        <w:rPr>
          <w:rFonts w:ascii="Arial" w:hAnsi="Arial" w:cs="Arial"/>
          <w:spacing w:val="-6"/>
          <w:sz w:val="17"/>
          <w:szCs w:val="17"/>
          <w:lang w:val="en-CA"/>
        </w:rPr>
        <w:t>0</w:t>
      </w:r>
      <w:r w:rsidRPr="00F71BBA">
        <w:rPr>
          <w:rFonts w:ascii="Arial" w:hAnsi="Arial" w:cs="Arial"/>
          <w:spacing w:val="-6"/>
          <w:sz w:val="17"/>
          <w:szCs w:val="17"/>
        </w:rPr>
        <w:t xml:space="preserve">, accessed June 1, 2020, </w:t>
      </w:r>
      <w:r w:rsidRPr="00F71BBA">
        <w:rPr>
          <w:rStyle w:val="Hyperlink"/>
          <w:rFonts w:ascii="Arial" w:hAnsi="Arial" w:cs="Arial"/>
          <w:color w:val="auto"/>
          <w:spacing w:val="-6"/>
          <w:sz w:val="17"/>
          <w:szCs w:val="17"/>
          <w:u w:val="none"/>
        </w:rPr>
        <w:t>http://archive.stat.uconn.edu/qprc17/media/slides/Volodymyr_Serhiyenko.pdf</w:t>
      </w:r>
      <w:r w:rsidRPr="00F71BBA">
        <w:rPr>
          <w:rStyle w:val="Hyperlink"/>
          <w:rFonts w:ascii="Arial" w:hAnsi="Arial" w:cs="Arial"/>
          <w:color w:val="auto"/>
          <w:spacing w:val="-6"/>
          <w:sz w:val="17"/>
          <w:szCs w:val="17"/>
          <w:u w:val="none"/>
          <w:lang w:val="en-CA"/>
        </w:rPr>
        <w:t>.</w:t>
      </w:r>
    </w:p>
  </w:endnote>
  <w:endnote w:id="32">
    <w:p w14:paraId="41CB021E" w14:textId="7D270F93" w:rsidR="007B72F2" w:rsidRPr="00F71BBA" w:rsidRDefault="007B72F2" w:rsidP="00330F81">
      <w:pPr>
        <w:pStyle w:val="EndnoteText"/>
        <w:jc w:val="both"/>
        <w:rPr>
          <w:rFonts w:ascii="Arial" w:hAnsi="Arial" w:cs="Arial"/>
          <w:spacing w:val="-6"/>
          <w:sz w:val="17"/>
          <w:szCs w:val="17"/>
          <w:lang w:val="en-CA"/>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w:t>
      </w:r>
      <w:r w:rsidRPr="00F71BBA">
        <w:rPr>
          <w:rFonts w:ascii="Arial" w:hAnsi="Arial" w:cs="Arial"/>
          <w:spacing w:val="-6"/>
          <w:sz w:val="17"/>
          <w:szCs w:val="17"/>
          <w:lang w:val="en-CA"/>
        </w:rPr>
        <w:t xml:space="preserve">Metabiota, </w:t>
      </w:r>
      <w:r w:rsidRPr="00F71BBA">
        <w:rPr>
          <w:rFonts w:ascii="Arial" w:hAnsi="Arial" w:cs="Arial"/>
          <w:spacing w:val="-6"/>
          <w:sz w:val="17"/>
          <w:szCs w:val="17"/>
        </w:rPr>
        <w:t>“Metabiota</w:t>
      </w:r>
      <w:r w:rsidRPr="00F71BBA">
        <w:rPr>
          <w:rFonts w:ascii="Arial" w:hAnsi="Arial" w:cs="Arial"/>
          <w:spacing w:val="-6"/>
          <w:sz w:val="17"/>
          <w:szCs w:val="17"/>
          <w:lang w:val="en-CA"/>
        </w:rPr>
        <w:t>’</w:t>
      </w:r>
      <w:r w:rsidRPr="00F71BBA">
        <w:rPr>
          <w:rFonts w:ascii="Arial" w:hAnsi="Arial" w:cs="Arial"/>
          <w:spacing w:val="-6"/>
          <w:sz w:val="17"/>
          <w:szCs w:val="17"/>
        </w:rPr>
        <w:t xml:space="preserve">s Pathogen Sentiment Index to Fuel Innovative Epidemic Insurance Offering for Travel &amp; Tourism Industry,” news release, </w:t>
      </w:r>
      <w:r w:rsidRPr="00F71BBA">
        <w:rPr>
          <w:rFonts w:ascii="Arial" w:hAnsi="Arial" w:cs="Arial"/>
          <w:iCs/>
          <w:spacing w:val="-6"/>
          <w:sz w:val="17"/>
          <w:szCs w:val="17"/>
          <w:lang w:val="en-CA"/>
        </w:rPr>
        <w:t>Business</w:t>
      </w:r>
      <w:r w:rsidRPr="00F71BBA">
        <w:rPr>
          <w:rFonts w:ascii="Arial" w:hAnsi="Arial" w:cs="Arial"/>
          <w:iCs/>
          <w:spacing w:val="-6"/>
          <w:sz w:val="17"/>
          <w:szCs w:val="17"/>
        </w:rPr>
        <w:t xml:space="preserve"> Insider,</w:t>
      </w:r>
      <w:r w:rsidRPr="00F71BBA">
        <w:rPr>
          <w:rFonts w:ascii="Arial" w:hAnsi="Arial" w:cs="Arial"/>
          <w:i/>
          <w:iCs/>
          <w:spacing w:val="-6"/>
          <w:sz w:val="17"/>
          <w:szCs w:val="17"/>
        </w:rPr>
        <w:t xml:space="preserve"> </w:t>
      </w:r>
      <w:r w:rsidRPr="00F71BBA">
        <w:rPr>
          <w:rFonts w:ascii="Arial" w:hAnsi="Arial" w:cs="Arial"/>
          <w:spacing w:val="-6"/>
          <w:sz w:val="17"/>
          <w:szCs w:val="17"/>
        </w:rPr>
        <w:t xml:space="preserve">April 16, 2018, accessed June 1, 2020, </w:t>
      </w:r>
      <w:r w:rsidRPr="00F71BBA">
        <w:rPr>
          <w:rStyle w:val="Hyperlink"/>
          <w:rFonts w:ascii="Arial" w:hAnsi="Arial" w:cs="Arial"/>
          <w:color w:val="auto"/>
          <w:spacing w:val="-6"/>
          <w:sz w:val="17"/>
          <w:szCs w:val="17"/>
          <w:u w:val="none"/>
        </w:rPr>
        <w:t>https://markets.businessinsider.com/news/stocks/metabiota-s-pathogen-sentiment-index-to-fuel-innovative-epidemic-insurance-offering-for-travel-tourism-industry-1021398599#</w:t>
      </w:r>
      <w:r w:rsidRPr="00F71BBA">
        <w:rPr>
          <w:rStyle w:val="Hyperlink"/>
          <w:rFonts w:ascii="Arial" w:hAnsi="Arial" w:cs="Arial"/>
          <w:color w:val="auto"/>
          <w:spacing w:val="-6"/>
          <w:sz w:val="17"/>
          <w:szCs w:val="17"/>
          <w:u w:val="none"/>
          <w:lang w:val="en-CA"/>
        </w:rPr>
        <w:t>.</w:t>
      </w:r>
    </w:p>
  </w:endnote>
  <w:endnote w:id="33">
    <w:p w14:paraId="241D1849" w14:textId="6FC9E1E9" w:rsidR="007B72F2" w:rsidRPr="00F71BBA" w:rsidRDefault="007B72F2" w:rsidP="00330F81">
      <w:pPr>
        <w:pStyle w:val="EndnoteText"/>
        <w:jc w:val="both"/>
        <w:rPr>
          <w:rFonts w:ascii="Arial" w:hAnsi="Arial" w:cs="Arial"/>
          <w:spacing w:val="-6"/>
          <w:sz w:val="17"/>
          <w:szCs w:val="17"/>
          <w:lang w:val="en-CA"/>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w:t>
      </w:r>
      <w:r w:rsidRPr="00F71BBA">
        <w:rPr>
          <w:rFonts w:ascii="Arial" w:hAnsi="Arial" w:cs="Arial"/>
          <w:iCs/>
          <w:spacing w:val="-6"/>
          <w:sz w:val="17"/>
          <w:szCs w:val="17"/>
        </w:rPr>
        <w:t>World Health Organization</w:t>
      </w:r>
      <w:r w:rsidRPr="00F71BBA">
        <w:rPr>
          <w:rFonts w:ascii="Arial" w:hAnsi="Arial" w:cs="Arial"/>
          <w:iCs/>
          <w:spacing w:val="-6"/>
          <w:sz w:val="17"/>
          <w:szCs w:val="17"/>
          <w:lang w:val="en-CA"/>
        </w:rPr>
        <w:t>,</w:t>
      </w:r>
      <w:r w:rsidRPr="00F71BBA">
        <w:rPr>
          <w:rFonts w:ascii="Arial" w:hAnsi="Arial" w:cs="Arial"/>
          <w:i/>
          <w:iCs/>
          <w:spacing w:val="-6"/>
          <w:sz w:val="17"/>
          <w:szCs w:val="17"/>
          <w:lang w:val="en-CA"/>
        </w:rPr>
        <w:t xml:space="preserve"> </w:t>
      </w:r>
      <w:r w:rsidRPr="00F71BBA">
        <w:rPr>
          <w:rFonts w:ascii="Arial" w:hAnsi="Arial" w:cs="Arial"/>
          <w:i/>
          <w:spacing w:val="-6"/>
          <w:sz w:val="17"/>
          <w:szCs w:val="17"/>
        </w:rPr>
        <w:t>Coronavirus Disease 2019 (COVID-19): Situation Report</w:t>
      </w:r>
      <w:r w:rsidRPr="00F71BBA">
        <w:rPr>
          <w:rFonts w:ascii="Arial" w:hAnsi="Arial" w:cs="Arial"/>
          <w:i/>
          <w:spacing w:val="-6"/>
          <w:sz w:val="17"/>
          <w:szCs w:val="17"/>
          <w:lang w:val="en-CA"/>
        </w:rPr>
        <w:t>—</w:t>
      </w:r>
      <w:r w:rsidRPr="00F71BBA">
        <w:rPr>
          <w:rFonts w:ascii="Arial" w:hAnsi="Arial" w:cs="Arial"/>
          <w:i/>
          <w:spacing w:val="-6"/>
          <w:sz w:val="17"/>
          <w:szCs w:val="17"/>
        </w:rPr>
        <w:t>67</w:t>
      </w:r>
      <w:r w:rsidRPr="00F71BBA">
        <w:rPr>
          <w:rFonts w:ascii="Arial" w:hAnsi="Arial" w:cs="Arial"/>
          <w:spacing w:val="-6"/>
          <w:sz w:val="17"/>
          <w:szCs w:val="17"/>
        </w:rPr>
        <w:t xml:space="preserve">, March 27, 2020, accessed June 1, 2020, </w:t>
      </w:r>
      <w:r w:rsidRPr="00F71BBA">
        <w:rPr>
          <w:rStyle w:val="Hyperlink"/>
          <w:rFonts w:ascii="Arial" w:hAnsi="Arial" w:cs="Arial"/>
          <w:color w:val="auto"/>
          <w:spacing w:val="-6"/>
          <w:sz w:val="17"/>
          <w:szCs w:val="17"/>
          <w:u w:val="none"/>
        </w:rPr>
        <w:t>www.who.int/docs/default-source/coronaviruse/situation-reports/20200327-sitrep-67-covid-19.pdf?sfvrsn=b65f68eb_4</w:t>
      </w:r>
      <w:r w:rsidRPr="00F71BBA">
        <w:rPr>
          <w:rStyle w:val="Hyperlink"/>
          <w:rFonts w:ascii="Arial" w:hAnsi="Arial" w:cs="Arial"/>
          <w:color w:val="auto"/>
          <w:spacing w:val="-6"/>
          <w:sz w:val="17"/>
          <w:szCs w:val="17"/>
          <w:u w:val="none"/>
          <w:lang w:val="en-CA"/>
        </w:rPr>
        <w:t>.</w:t>
      </w:r>
    </w:p>
  </w:endnote>
  <w:endnote w:id="34">
    <w:p w14:paraId="0B3964C4" w14:textId="390EA97E" w:rsidR="007B72F2" w:rsidRPr="00F71BBA" w:rsidRDefault="007B72F2" w:rsidP="00330F81">
      <w:pPr>
        <w:pStyle w:val="EndnoteText"/>
        <w:jc w:val="both"/>
        <w:rPr>
          <w:rFonts w:ascii="Arial" w:hAnsi="Arial" w:cs="Arial"/>
          <w:spacing w:val="-6"/>
          <w:sz w:val="17"/>
          <w:szCs w:val="17"/>
          <w:lang w:val="en-CA"/>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Regine Ann Blanco, “Marsh Introduces Pandemic Policy; XL Catlin Boosts M&amp;A Insurance Capacity,” </w:t>
      </w:r>
      <w:r w:rsidRPr="00F71BBA">
        <w:rPr>
          <w:rFonts w:ascii="Arial" w:hAnsi="Arial" w:cs="Arial"/>
          <w:spacing w:val="-6"/>
          <w:sz w:val="17"/>
          <w:szCs w:val="17"/>
          <w:lang w:val="en-CA"/>
        </w:rPr>
        <w:t xml:space="preserve">S&amp;P Global Market Intelligence, </w:t>
      </w:r>
      <w:r w:rsidRPr="00F71BBA">
        <w:rPr>
          <w:rFonts w:ascii="Arial" w:hAnsi="Arial" w:cs="Arial"/>
          <w:spacing w:val="-6"/>
          <w:sz w:val="17"/>
          <w:szCs w:val="17"/>
        </w:rPr>
        <w:t xml:space="preserve">May 21, 2018, accessed June 1, 2020, </w:t>
      </w:r>
      <w:r w:rsidRPr="00F71BBA">
        <w:rPr>
          <w:rStyle w:val="Hyperlink"/>
          <w:rFonts w:ascii="Arial" w:hAnsi="Arial" w:cs="Arial"/>
          <w:color w:val="auto"/>
          <w:spacing w:val="-6"/>
          <w:sz w:val="17"/>
          <w:szCs w:val="17"/>
          <w:u w:val="none"/>
        </w:rPr>
        <w:t>www.spglobal.com/marketintelligence/en/news-insights/trending/fejxwg3hoj7ddcplaocala2</w:t>
      </w:r>
      <w:r w:rsidRPr="00F71BBA">
        <w:rPr>
          <w:rStyle w:val="Hyperlink"/>
          <w:rFonts w:ascii="Arial" w:hAnsi="Arial" w:cs="Arial"/>
          <w:color w:val="auto"/>
          <w:spacing w:val="-6"/>
          <w:sz w:val="17"/>
          <w:szCs w:val="17"/>
          <w:u w:val="none"/>
          <w:lang w:val="en-CA"/>
        </w:rPr>
        <w:t>.</w:t>
      </w:r>
    </w:p>
  </w:endnote>
  <w:endnote w:id="35">
    <w:p w14:paraId="33DB682E" w14:textId="00EE15D5" w:rsidR="007B72F2" w:rsidRPr="00F71BBA" w:rsidRDefault="007B72F2" w:rsidP="00330F81">
      <w:pPr>
        <w:jc w:val="both"/>
        <w:rPr>
          <w:rFonts w:ascii="Arial" w:hAnsi="Arial" w:cs="Arial"/>
          <w:spacing w:val="-6"/>
          <w:sz w:val="17"/>
          <w:szCs w:val="17"/>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Goyder and Smythe, op. cit.</w:t>
      </w:r>
    </w:p>
  </w:endnote>
  <w:endnote w:id="36">
    <w:p w14:paraId="2738E74E" w14:textId="4BD5FC5B" w:rsidR="007B72F2" w:rsidRPr="00F71BBA" w:rsidRDefault="007B72F2" w:rsidP="00330F81">
      <w:pPr>
        <w:jc w:val="both"/>
        <w:rPr>
          <w:rFonts w:ascii="Arial" w:hAnsi="Arial" w:cs="Arial"/>
          <w:spacing w:val="-6"/>
          <w:sz w:val="17"/>
          <w:szCs w:val="17"/>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Marsh LLC, “PathogenRX: An Exclusive Solution for Pandemic and Epidemic Risks,” op. cit.</w:t>
      </w:r>
    </w:p>
  </w:endnote>
  <w:endnote w:id="37">
    <w:p w14:paraId="4D0E710E" w14:textId="494AB7EE" w:rsidR="007B72F2" w:rsidRPr="00F71BBA" w:rsidRDefault="007B72F2" w:rsidP="00330F81">
      <w:pPr>
        <w:pStyle w:val="EndnoteText"/>
        <w:jc w:val="both"/>
        <w:rPr>
          <w:rFonts w:ascii="Arial" w:hAnsi="Arial" w:cs="Arial"/>
          <w:spacing w:val="-6"/>
          <w:sz w:val="17"/>
          <w:szCs w:val="17"/>
          <w:lang w:val="en-GB"/>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Hofmann, op. cit</w:t>
      </w:r>
      <w:r w:rsidRPr="00F71BBA">
        <w:rPr>
          <w:rFonts w:ascii="Arial" w:hAnsi="Arial" w:cs="Arial"/>
          <w:spacing w:val="-6"/>
          <w:sz w:val="17"/>
          <w:szCs w:val="17"/>
          <w:lang w:val="en-CA"/>
        </w:rPr>
        <w:t>.</w:t>
      </w:r>
    </w:p>
  </w:endnote>
  <w:endnote w:id="38">
    <w:p w14:paraId="6B6FFA7B" w14:textId="5140EF9B" w:rsidR="007B72F2" w:rsidRPr="00F71BBA" w:rsidRDefault="007B72F2" w:rsidP="008B1471">
      <w:pPr>
        <w:pStyle w:val="EndnoteText"/>
        <w:jc w:val="both"/>
        <w:rPr>
          <w:rFonts w:ascii="Arial" w:hAnsi="Arial" w:cs="Arial"/>
          <w:spacing w:val="-6"/>
          <w:sz w:val="17"/>
          <w:szCs w:val="17"/>
          <w:lang w:val="en-CA"/>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w:t>
      </w:r>
      <w:r w:rsidRPr="00F71BBA">
        <w:rPr>
          <w:rFonts w:ascii="Arial" w:hAnsi="Arial" w:cs="Arial"/>
          <w:spacing w:val="-6"/>
          <w:sz w:val="17"/>
          <w:szCs w:val="17"/>
          <w:lang w:val="en-CA"/>
        </w:rPr>
        <w:t>Ibid.</w:t>
      </w:r>
    </w:p>
  </w:endnote>
  <w:endnote w:id="39">
    <w:p w14:paraId="4EA70AE6" w14:textId="77777777" w:rsidR="007B72F2" w:rsidRPr="00F71BBA" w:rsidRDefault="007B72F2" w:rsidP="000750E2">
      <w:pPr>
        <w:jc w:val="both"/>
        <w:rPr>
          <w:rFonts w:ascii="Arial" w:hAnsi="Arial" w:cs="Arial"/>
          <w:spacing w:val="-6"/>
          <w:sz w:val="17"/>
          <w:szCs w:val="17"/>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Ibid.</w:t>
      </w:r>
      <w:r w:rsidRPr="00F71BBA">
        <w:rPr>
          <w:rFonts w:ascii="Arial" w:hAnsi="Arial" w:cs="Arial"/>
          <w:spacing w:val="-6"/>
          <w:sz w:val="17"/>
          <w:szCs w:val="17"/>
          <w:lang w:val="en-CA"/>
        </w:rPr>
        <w:t xml:space="preserve"> </w:t>
      </w:r>
    </w:p>
  </w:endnote>
  <w:endnote w:id="40">
    <w:p w14:paraId="22957E85" w14:textId="2FAC4E44" w:rsidR="007B72F2" w:rsidRPr="00F71BBA" w:rsidRDefault="007B72F2" w:rsidP="00330F81">
      <w:pPr>
        <w:jc w:val="both"/>
        <w:rPr>
          <w:rFonts w:ascii="Arial" w:hAnsi="Arial" w:cs="Arial"/>
          <w:spacing w:val="-6"/>
          <w:sz w:val="17"/>
          <w:szCs w:val="17"/>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Ibid.</w:t>
      </w:r>
      <w:r w:rsidRPr="00F71BBA">
        <w:rPr>
          <w:rFonts w:ascii="Arial" w:hAnsi="Arial" w:cs="Arial"/>
          <w:spacing w:val="-6"/>
          <w:sz w:val="17"/>
          <w:szCs w:val="17"/>
          <w:lang w:val="en-CA"/>
        </w:rPr>
        <w:t xml:space="preserve"> </w:t>
      </w:r>
    </w:p>
  </w:endnote>
  <w:endnote w:id="41">
    <w:p w14:paraId="5C236EC2" w14:textId="00434CEA" w:rsidR="007B72F2" w:rsidRPr="00F71BBA" w:rsidRDefault="007B72F2" w:rsidP="00330F81">
      <w:pPr>
        <w:pStyle w:val="EndnoteText"/>
        <w:jc w:val="both"/>
        <w:rPr>
          <w:rFonts w:ascii="Arial" w:hAnsi="Arial" w:cs="Arial"/>
          <w:spacing w:val="-6"/>
          <w:sz w:val="17"/>
          <w:szCs w:val="17"/>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Daniel J. Rozell, “A Critique of Pandemic Catastrophe Modelling,” </w:t>
      </w:r>
      <w:r w:rsidRPr="00F71BBA">
        <w:rPr>
          <w:rFonts w:ascii="Arial" w:hAnsi="Arial" w:cs="Arial"/>
          <w:i/>
          <w:iCs/>
          <w:spacing w:val="-6"/>
          <w:sz w:val="17"/>
          <w:szCs w:val="17"/>
        </w:rPr>
        <w:t>Journal of Risk Analysis and Crisis Response</w:t>
      </w:r>
      <w:r w:rsidRPr="00F71BBA">
        <w:rPr>
          <w:rFonts w:ascii="Arial" w:hAnsi="Arial" w:cs="Arial"/>
          <w:spacing w:val="-6"/>
          <w:sz w:val="17"/>
          <w:szCs w:val="17"/>
        </w:rPr>
        <w:t xml:space="preserve"> 9, no. 3 (2019): 128</w:t>
      </w:r>
      <w:r w:rsidRPr="00F71BBA">
        <w:rPr>
          <w:rFonts w:ascii="Arial" w:hAnsi="Arial" w:cs="Arial"/>
          <w:spacing w:val="-6"/>
          <w:sz w:val="17"/>
          <w:szCs w:val="17"/>
          <w:lang w:val="en-CA"/>
        </w:rPr>
        <w:t>–</w:t>
      </w:r>
      <w:r w:rsidRPr="00F71BBA">
        <w:rPr>
          <w:rFonts w:ascii="Arial" w:hAnsi="Arial" w:cs="Arial"/>
          <w:spacing w:val="-6"/>
          <w:sz w:val="17"/>
          <w:szCs w:val="17"/>
        </w:rPr>
        <w:t xml:space="preserve">133. </w:t>
      </w:r>
    </w:p>
  </w:endnote>
  <w:endnote w:id="42">
    <w:p w14:paraId="565CFC64" w14:textId="34D1C2D9" w:rsidR="007B72F2" w:rsidRPr="00F71BBA" w:rsidRDefault="007B72F2" w:rsidP="00330F81">
      <w:pPr>
        <w:pStyle w:val="EndnoteText"/>
        <w:jc w:val="both"/>
        <w:rPr>
          <w:rFonts w:ascii="Arial" w:hAnsi="Arial" w:cs="Arial"/>
          <w:spacing w:val="-6"/>
          <w:sz w:val="17"/>
          <w:szCs w:val="17"/>
          <w:lang w:val="en-CA"/>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Ibid</w:t>
      </w:r>
      <w:r w:rsidRPr="00F71BBA">
        <w:rPr>
          <w:rFonts w:ascii="Arial" w:hAnsi="Arial" w:cs="Arial"/>
          <w:spacing w:val="-6"/>
          <w:sz w:val="17"/>
          <w:szCs w:val="17"/>
          <w:lang w:val="en-CA"/>
        </w:rPr>
        <w:t>.</w:t>
      </w:r>
    </w:p>
  </w:endnote>
  <w:endnote w:id="43">
    <w:p w14:paraId="484B6218" w14:textId="34AD127F" w:rsidR="007B72F2" w:rsidRPr="00F71BBA" w:rsidRDefault="007B72F2" w:rsidP="00330F81">
      <w:pPr>
        <w:pStyle w:val="EndnoteText"/>
        <w:jc w:val="both"/>
        <w:rPr>
          <w:rFonts w:ascii="Arial" w:hAnsi="Arial" w:cs="Arial"/>
          <w:spacing w:val="-6"/>
          <w:sz w:val="17"/>
          <w:szCs w:val="17"/>
          <w:lang w:val="en-CA"/>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Ibid</w:t>
      </w:r>
      <w:r w:rsidRPr="00F71BBA">
        <w:rPr>
          <w:rFonts w:ascii="Arial" w:hAnsi="Arial" w:cs="Arial"/>
          <w:spacing w:val="-6"/>
          <w:sz w:val="17"/>
          <w:szCs w:val="17"/>
          <w:lang w:val="en-CA"/>
        </w:rPr>
        <w:t>.</w:t>
      </w:r>
    </w:p>
  </w:endnote>
  <w:endnote w:id="44">
    <w:p w14:paraId="0EFEFD6D" w14:textId="24C7692D" w:rsidR="007B72F2" w:rsidRPr="00F71BBA" w:rsidRDefault="007B72F2" w:rsidP="00330F81">
      <w:pPr>
        <w:pStyle w:val="EndnoteText"/>
        <w:jc w:val="both"/>
        <w:rPr>
          <w:rFonts w:ascii="Arial" w:hAnsi="Arial" w:cs="Arial"/>
          <w:spacing w:val="-6"/>
          <w:sz w:val="17"/>
          <w:szCs w:val="17"/>
          <w:lang w:val="en-CA"/>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Ibid</w:t>
      </w:r>
      <w:r w:rsidRPr="00F71BBA">
        <w:rPr>
          <w:rFonts w:ascii="Arial" w:hAnsi="Arial" w:cs="Arial"/>
          <w:spacing w:val="-6"/>
          <w:sz w:val="17"/>
          <w:szCs w:val="17"/>
          <w:lang w:val="en-CA"/>
        </w:rPr>
        <w:t>.</w:t>
      </w:r>
    </w:p>
  </w:endnote>
  <w:endnote w:id="45">
    <w:p w14:paraId="674CF5BE" w14:textId="3B11639B" w:rsidR="007B72F2" w:rsidRPr="00F71BBA" w:rsidRDefault="007B72F2" w:rsidP="00330F81">
      <w:pPr>
        <w:pStyle w:val="EndnoteText"/>
        <w:jc w:val="both"/>
        <w:rPr>
          <w:rFonts w:ascii="Arial" w:hAnsi="Arial" w:cs="Arial"/>
          <w:spacing w:val="-6"/>
          <w:sz w:val="17"/>
          <w:szCs w:val="17"/>
          <w:lang w:val="en-CA"/>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Ibid</w:t>
      </w:r>
      <w:r w:rsidRPr="00F71BBA">
        <w:rPr>
          <w:rFonts w:ascii="Arial" w:hAnsi="Arial" w:cs="Arial"/>
          <w:spacing w:val="-6"/>
          <w:sz w:val="17"/>
          <w:szCs w:val="17"/>
          <w:lang w:val="en-CA"/>
        </w:rPr>
        <w:t>.</w:t>
      </w:r>
    </w:p>
  </w:endnote>
  <w:endnote w:id="46">
    <w:p w14:paraId="0E7C6E3E" w14:textId="081DB9DE" w:rsidR="007B72F2" w:rsidRPr="00F71BBA" w:rsidRDefault="007B72F2" w:rsidP="00330F81">
      <w:pPr>
        <w:pStyle w:val="EndnoteText"/>
        <w:jc w:val="both"/>
        <w:rPr>
          <w:rFonts w:ascii="Arial" w:hAnsi="Arial" w:cs="Arial"/>
          <w:spacing w:val="-6"/>
          <w:sz w:val="17"/>
          <w:szCs w:val="17"/>
          <w:lang w:val="en-CA"/>
        </w:rPr>
      </w:pPr>
      <w:r w:rsidRPr="00F71BBA">
        <w:rPr>
          <w:rStyle w:val="EndnoteReference"/>
          <w:rFonts w:ascii="Arial" w:hAnsi="Arial" w:cs="Arial"/>
          <w:spacing w:val="-6"/>
          <w:sz w:val="17"/>
          <w:szCs w:val="17"/>
        </w:rPr>
        <w:endnoteRef/>
      </w:r>
      <w:r w:rsidRPr="00F71BBA">
        <w:rPr>
          <w:rFonts w:ascii="Arial" w:hAnsi="Arial" w:cs="Arial"/>
          <w:spacing w:val="-6"/>
          <w:sz w:val="17"/>
          <w:szCs w:val="17"/>
          <w:lang w:val="en-CA"/>
        </w:rPr>
        <w:t xml:space="preserve"> </w:t>
      </w:r>
      <w:r w:rsidRPr="00F71BBA">
        <w:rPr>
          <w:rFonts w:ascii="Arial" w:hAnsi="Arial" w:cs="Arial"/>
          <w:spacing w:val="-6"/>
          <w:sz w:val="17"/>
          <w:szCs w:val="17"/>
        </w:rPr>
        <w:t xml:space="preserve">Amelia Lucas, “Insurers </w:t>
      </w:r>
      <w:r w:rsidRPr="00F71BBA">
        <w:rPr>
          <w:rFonts w:ascii="Arial" w:hAnsi="Arial" w:cs="Arial"/>
          <w:spacing w:val="-6"/>
          <w:sz w:val="17"/>
          <w:szCs w:val="17"/>
          <w:lang w:val="en-CA"/>
        </w:rPr>
        <w:t>A</w:t>
      </w:r>
      <w:r w:rsidRPr="00F71BBA">
        <w:rPr>
          <w:rFonts w:ascii="Arial" w:hAnsi="Arial" w:cs="Arial"/>
          <w:spacing w:val="-6"/>
          <w:sz w:val="17"/>
          <w:szCs w:val="17"/>
        </w:rPr>
        <w:t xml:space="preserve">re Denying Coronavirus Claims. Restaurants </w:t>
      </w:r>
      <w:r w:rsidRPr="00F71BBA">
        <w:rPr>
          <w:rFonts w:ascii="Arial" w:hAnsi="Arial" w:cs="Arial"/>
          <w:spacing w:val="-6"/>
          <w:sz w:val="17"/>
          <w:szCs w:val="17"/>
          <w:lang w:val="en-CA"/>
        </w:rPr>
        <w:t>A</w:t>
      </w:r>
      <w:r w:rsidRPr="00F71BBA">
        <w:rPr>
          <w:rFonts w:ascii="Arial" w:hAnsi="Arial" w:cs="Arial"/>
          <w:spacing w:val="-6"/>
          <w:sz w:val="17"/>
          <w:szCs w:val="17"/>
        </w:rPr>
        <w:t xml:space="preserve">re Fighting Back,” </w:t>
      </w:r>
      <w:r w:rsidRPr="00F71BBA">
        <w:rPr>
          <w:rFonts w:ascii="Arial" w:hAnsi="Arial" w:cs="Arial"/>
          <w:iCs/>
          <w:spacing w:val="-6"/>
          <w:sz w:val="17"/>
          <w:szCs w:val="17"/>
        </w:rPr>
        <w:t>CNBC</w:t>
      </w:r>
      <w:r w:rsidRPr="00F71BBA">
        <w:rPr>
          <w:rFonts w:ascii="Arial" w:hAnsi="Arial" w:cs="Arial"/>
          <w:i/>
          <w:iCs/>
          <w:spacing w:val="-6"/>
          <w:sz w:val="17"/>
          <w:szCs w:val="17"/>
        </w:rPr>
        <w:t xml:space="preserve">, </w:t>
      </w:r>
      <w:r w:rsidRPr="00F71BBA">
        <w:rPr>
          <w:rFonts w:ascii="Arial" w:hAnsi="Arial" w:cs="Arial"/>
          <w:spacing w:val="-6"/>
          <w:sz w:val="17"/>
          <w:szCs w:val="17"/>
        </w:rPr>
        <w:t xml:space="preserve">April 20, 2020, accessed June 1, 2020, </w:t>
      </w:r>
      <w:r w:rsidRPr="00F71BBA">
        <w:rPr>
          <w:rStyle w:val="Hyperlink"/>
          <w:rFonts w:ascii="Arial" w:hAnsi="Arial" w:cs="Arial"/>
          <w:color w:val="auto"/>
          <w:spacing w:val="-6"/>
          <w:sz w:val="17"/>
          <w:szCs w:val="17"/>
          <w:u w:val="none"/>
        </w:rPr>
        <w:t>www.cnbc.com/2020/04/20/insurers-are-denying-coronavirus-claims-restaurants-are-fighting-back.html</w:t>
      </w:r>
      <w:r w:rsidRPr="00F71BBA">
        <w:rPr>
          <w:rStyle w:val="Hyperlink"/>
          <w:rFonts w:ascii="Arial" w:hAnsi="Arial" w:cs="Arial"/>
          <w:color w:val="auto"/>
          <w:spacing w:val="-6"/>
          <w:sz w:val="17"/>
          <w:szCs w:val="17"/>
          <w:u w:val="none"/>
          <w:lang w:val="en-CA"/>
        </w:rPr>
        <w:t>.</w:t>
      </w:r>
    </w:p>
  </w:endnote>
  <w:endnote w:id="47">
    <w:p w14:paraId="569DE96F" w14:textId="37D93F42" w:rsidR="007B72F2" w:rsidRPr="00F71BBA" w:rsidRDefault="007B72F2" w:rsidP="00330F81">
      <w:pPr>
        <w:pStyle w:val="EndnoteText"/>
        <w:jc w:val="both"/>
        <w:rPr>
          <w:rFonts w:ascii="Arial" w:hAnsi="Arial" w:cs="Arial"/>
          <w:spacing w:val="-6"/>
          <w:sz w:val="17"/>
          <w:szCs w:val="17"/>
          <w:lang w:val="en-CA"/>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Ibid</w:t>
      </w:r>
      <w:r w:rsidRPr="00F71BBA">
        <w:rPr>
          <w:rFonts w:ascii="Arial" w:hAnsi="Arial" w:cs="Arial"/>
          <w:spacing w:val="-6"/>
          <w:sz w:val="17"/>
          <w:szCs w:val="17"/>
          <w:lang w:val="en-CA"/>
        </w:rPr>
        <w:t>.</w:t>
      </w:r>
    </w:p>
  </w:endnote>
  <w:endnote w:id="48">
    <w:p w14:paraId="031127E9" w14:textId="27296329" w:rsidR="007B72F2" w:rsidRPr="00F71BBA" w:rsidRDefault="007B72F2" w:rsidP="00330F81">
      <w:pPr>
        <w:pStyle w:val="EndnoteText"/>
        <w:jc w:val="both"/>
        <w:rPr>
          <w:rFonts w:ascii="Arial" w:hAnsi="Arial" w:cs="Arial"/>
          <w:spacing w:val="-6"/>
          <w:sz w:val="17"/>
          <w:szCs w:val="17"/>
          <w:lang w:val="en-GB"/>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Jim Sams, “Trump Tells Insurers to Pay Virus Claims if Pandemics Not Excluded,” </w:t>
      </w:r>
      <w:r w:rsidRPr="00F71BBA">
        <w:rPr>
          <w:rFonts w:ascii="Arial" w:hAnsi="Arial" w:cs="Arial"/>
          <w:i/>
          <w:iCs/>
          <w:spacing w:val="-6"/>
          <w:sz w:val="17"/>
          <w:szCs w:val="17"/>
        </w:rPr>
        <w:t xml:space="preserve">Claims Journal, </w:t>
      </w:r>
      <w:r w:rsidRPr="00F71BBA">
        <w:rPr>
          <w:rFonts w:ascii="Arial" w:hAnsi="Arial" w:cs="Arial"/>
          <w:spacing w:val="-6"/>
          <w:sz w:val="17"/>
          <w:szCs w:val="17"/>
        </w:rPr>
        <w:t xml:space="preserve">April 10, 2020, accessed June 1, 2020, </w:t>
      </w:r>
      <w:r w:rsidRPr="00F71BBA">
        <w:rPr>
          <w:rStyle w:val="Hyperlink"/>
          <w:rFonts w:ascii="Arial" w:hAnsi="Arial" w:cs="Arial"/>
          <w:color w:val="auto"/>
          <w:spacing w:val="-6"/>
          <w:sz w:val="17"/>
          <w:szCs w:val="17"/>
          <w:u w:val="none"/>
        </w:rPr>
        <w:t>www.claimsjournal.com/news/national/2020/04/10/296516.htm</w:t>
      </w:r>
      <w:r w:rsidRPr="00F71BBA">
        <w:rPr>
          <w:rFonts w:ascii="Arial" w:hAnsi="Arial" w:cs="Arial"/>
          <w:spacing w:val="-6"/>
          <w:sz w:val="17"/>
          <w:szCs w:val="17"/>
          <w:lang w:val="en-CA"/>
        </w:rPr>
        <w:t>.</w:t>
      </w:r>
    </w:p>
  </w:endnote>
  <w:endnote w:id="49">
    <w:p w14:paraId="4434CE4A" w14:textId="0CE61BE8" w:rsidR="007B72F2" w:rsidRPr="00F71BBA" w:rsidRDefault="007B72F2" w:rsidP="00330F81">
      <w:pPr>
        <w:shd w:val="clear" w:color="auto" w:fill="FFFFFF"/>
        <w:jc w:val="both"/>
        <w:rPr>
          <w:rFonts w:ascii="Arial" w:hAnsi="Arial" w:cs="Arial"/>
          <w:spacing w:val="-6"/>
          <w:sz w:val="17"/>
          <w:szCs w:val="17"/>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Ibid.</w:t>
      </w:r>
    </w:p>
  </w:endnote>
  <w:endnote w:id="50">
    <w:p w14:paraId="38DAD303" w14:textId="7FEFF50C" w:rsidR="007B72F2" w:rsidRPr="00F71BBA" w:rsidRDefault="007B72F2" w:rsidP="00330F81">
      <w:pPr>
        <w:pStyle w:val="EndnoteText"/>
        <w:jc w:val="both"/>
        <w:rPr>
          <w:rFonts w:ascii="Arial" w:hAnsi="Arial" w:cs="Arial"/>
          <w:spacing w:val="-6"/>
          <w:sz w:val="17"/>
          <w:szCs w:val="17"/>
          <w:lang w:val="en-CA"/>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Lucas, op. cit</w:t>
      </w:r>
      <w:r w:rsidRPr="00F71BBA">
        <w:rPr>
          <w:rFonts w:ascii="Arial" w:hAnsi="Arial" w:cs="Arial"/>
          <w:spacing w:val="-6"/>
          <w:sz w:val="17"/>
          <w:szCs w:val="17"/>
          <w:lang w:val="en-CA"/>
        </w:rPr>
        <w:t>.</w:t>
      </w:r>
    </w:p>
  </w:endnote>
  <w:endnote w:id="51">
    <w:p w14:paraId="3DDDFAAC" w14:textId="7ED649ED" w:rsidR="007B72F2" w:rsidRPr="00F71BBA" w:rsidRDefault="007B72F2" w:rsidP="00330F81">
      <w:pPr>
        <w:pStyle w:val="EndnoteText"/>
        <w:jc w:val="both"/>
        <w:rPr>
          <w:rFonts w:ascii="Arial" w:hAnsi="Arial" w:cs="Arial"/>
          <w:spacing w:val="-6"/>
          <w:sz w:val="17"/>
          <w:szCs w:val="17"/>
          <w:lang w:val="en-CA"/>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Thomas Keller, “Coronavirus Restaurant Closures are Devastating. We Thought We Had Insurance for That,” </w:t>
      </w:r>
      <w:r w:rsidRPr="00F71BBA">
        <w:rPr>
          <w:rFonts w:ascii="Arial" w:hAnsi="Arial" w:cs="Arial"/>
          <w:iCs/>
          <w:spacing w:val="-6"/>
          <w:sz w:val="17"/>
          <w:szCs w:val="17"/>
        </w:rPr>
        <w:t>NBC News</w:t>
      </w:r>
      <w:r w:rsidRPr="00F71BBA">
        <w:rPr>
          <w:rFonts w:ascii="Arial" w:hAnsi="Arial" w:cs="Arial"/>
          <w:spacing w:val="-6"/>
          <w:sz w:val="17"/>
          <w:szCs w:val="17"/>
        </w:rPr>
        <w:t xml:space="preserve">, April 15, 2020, accessed June 1, 2020, </w:t>
      </w:r>
      <w:r w:rsidRPr="00F71BBA">
        <w:rPr>
          <w:rStyle w:val="Hyperlink"/>
          <w:rFonts w:ascii="Arial" w:hAnsi="Arial" w:cs="Arial"/>
          <w:color w:val="auto"/>
          <w:spacing w:val="-6"/>
          <w:sz w:val="17"/>
          <w:szCs w:val="17"/>
          <w:u w:val="none"/>
        </w:rPr>
        <w:t>www.nbcnews.com/think/opinion/coronavirus-restaurant-closures-are-devastating-we-thought-we-had-insurance-ncna1184521</w:t>
      </w:r>
      <w:r w:rsidRPr="00F71BBA">
        <w:rPr>
          <w:rStyle w:val="Hyperlink"/>
          <w:rFonts w:ascii="Arial" w:hAnsi="Arial" w:cs="Arial"/>
          <w:color w:val="auto"/>
          <w:spacing w:val="-6"/>
          <w:sz w:val="17"/>
          <w:szCs w:val="17"/>
          <w:u w:val="none"/>
          <w:lang w:val="en-CA"/>
        </w:rPr>
        <w:t>.</w:t>
      </w:r>
    </w:p>
  </w:endnote>
  <w:endnote w:id="52">
    <w:p w14:paraId="07E6777F" w14:textId="6E559D6F" w:rsidR="007B72F2" w:rsidRPr="00F71BBA" w:rsidRDefault="007B72F2" w:rsidP="00330F81">
      <w:pPr>
        <w:shd w:val="clear" w:color="auto" w:fill="FFFFFF"/>
        <w:jc w:val="both"/>
        <w:rPr>
          <w:rFonts w:ascii="Arial" w:hAnsi="Arial" w:cs="Arial"/>
          <w:spacing w:val="-6"/>
          <w:sz w:val="17"/>
          <w:szCs w:val="17"/>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Sams, op. cit.</w:t>
      </w:r>
    </w:p>
  </w:endnote>
  <w:endnote w:id="53">
    <w:p w14:paraId="2F8302E7" w14:textId="77A95C53" w:rsidR="007B72F2" w:rsidRPr="00F71BBA" w:rsidRDefault="007B72F2" w:rsidP="00330F81">
      <w:pPr>
        <w:shd w:val="clear" w:color="auto" w:fill="FFFFFF"/>
        <w:jc w:val="both"/>
        <w:rPr>
          <w:rFonts w:ascii="Arial" w:hAnsi="Arial" w:cs="Arial"/>
          <w:spacing w:val="-6"/>
          <w:sz w:val="17"/>
          <w:szCs w:val="17"/>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Ibid.</w:t>
      </w:r>
    </w:p>
  </w:endnote>
  <w:endnote w:id="54">
    <w:p w14:paraId="5013217F" w14:textId="591BF82A" w:rsidR="007B72F2" w:rsidRPr="00F71BBA" w:rsidRDefault="007B72F2" w:rsidP="00330F81">
      <w:pPr>
        <w:pStyle w:val="EndnoteText"/>
        <w:jc w:val="both"/>
        <w:rPr>
          <w:rFonts w:ascii="Arial" w:hAnsi="Arial" w:cs="Arial"/>
          <w:b/>
          <w:bCs/>
          <w:spacing w:val="-6"/>
          <w:sz w:val="17"/>
          <w:szCs w:val="17"/>
          <w:lang w:val="en-CA"/>
        </w:rPr>
      </w:pPr>
      <w:r w:rsidRPr="00F71BBA">
        <w:rPr>
          <w:rStyle w:val="EndnoteReference"/>
          <w:rFonts w:ascii="Arial" w:hAnsi="Arial" w:cs="Arial"/>
          <w:spacing w:val="-6"/>
          <w:sz w:val="17"/>
          <w:szCs w:val="17"/>
        </w:rPr>
        <w:endnoteRef/>
      </w:r>
      <w:r w:rsidRPr="00F71BBA">
        <w:rPr>
          <w:rFonts w:ascii="Arial" w:hAnsi="Arial" w:cs="Arial"/>
          <w:spacing w:val="-6"/>
          <w:sz w:val="17"/>
          <w:szCs w:val="17"/>
          <w:lang w:val="en-CA"/>
        </w:rPr>
        <w:t xml:space="preserve"> </w:t>
      </w:r>
      <w:r w:rsidRPr="00F71BBA">
        <w:rPr>
          <w:rFonts w:ascii="Arial" w:hAnsi="Arial" w:cs="Arial"/>
          <w:spacing w:val="-6"/>
          <w:sz w:val="17"/>
          <w:szCs w:val="17"/>
        </w:rPr>
        <w:t xml:space="preserve">John H. Jones, “Marsh CEO Doyle Calls on US to Launch Pandemic Backstop,” </w:t>
      </w:r>
      <w:r w:rsidRPr="00F71BBA">
        <w:rPr>
          <w:rFonts w:ascii="Arial" w:hAnsi="Arial" w:cs="Arial"/>
          <w:i/>
          <w:iCs/>
          <w:spacing w:val="-6"/>
          <w:sz w:val="17"/>
          <w:szCs w:val="17"/>
        </w:rPr>
        <w:t xml:space="preserve">Insurance Insider, </w:t>
      </w:r>
      <w:r w:rsidRPr="00F71BBA">
        <w:rPr>
          <w:rFonts w:ascii="Arial" w:hAnsi="Arial" w:cs="Arial"/>
          <w:spacing w:val="-6"/>
          <w:sz w:val="17"/>
          <w:szCs w:val="17"/>
        </w:rPr>
        <w:t xml:space="preserve">March 31, 2020, accessed June 1, 2020, </w:t>
      </w:r>
      <w:r w:rsidRPr="00F71BBA">
        <w:rPr>
          <w:rStyle w:val="Hyperlink"/>
          <w:rFonts w:ascii="Arial" w:hAnsi="Arial" w:cs="Arial"/>
          <w:color w:val="auto"/>
          <w:spacing w:val="-6"/>
          <w:sz w:val="17"/>
          <w:szCs w:val="17"/>
          <w:u w:val="none"/>
        </w:rPr>
        <w:t>https://insuranceinsider.com/articles/132379/marsh-ceo-doyle-calls-on-us-to-launch-pandemic-backstop</w:t>
      </w:r>
      <w:r w:rsidRPr="00F71BBA">
        <w:rPr>
          <w:rFonts w:ascii="Arial" w:hAnsi="Arial" w:cs="Arial"/>
          <w:spacing w:val="-6"/>
          <w:sz w:val="17"/>
          <w:szCs w:val="17"/>
        </w:rPr>
        <w:t>; Ladbury, op. cit</w:t>
      </w:r>
      <w:r w:rsidRPr="00F71BBA">
        <w:rPr>
          <w:rFonts w:ascii="Arial" w:hAnsi="Arial" w:cs="Arial"/>
          <w:spacing w:val="-6"/>
          <w:sz w:val="17"/>
          <w:szCs w:val="17"/>
          <w:lang w:val="en-CA"/>
        </w:rPr>
        <w:t>.</w:t>
      </w:r>
    </w:p>
  </w:endnote>
  <w:endnote w:id="55">
    <w:p w14:paraId="08F8ED37" w14:textId="6B77D257" w:rsidR="007B72F2" w:rsidRPr="00F71BBA" w:rsidRDefault="007B72F2" w:rsidP="00330F81">
      <w:pPr>
        <w:jc w:val="both"/>
        <w:rPr>
          <w:rFonts w:ascii="Arial" w:hAnsi="Arial" w:cs="Arial"/>
          <w:spacing w:val="-6"/>
          <w:sz w:val="17"/>
          <w:szCs w:val="17"/>
          <w:shd w:val="clear" w:color="auto" w:fill="FFFFFF"/>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Collins, op. cit.</w:t>
      </w:r>
    </w:p>
  </w:endnote>
  <w:endnote w:id="56">
    <w:p w14:paraId="50B115EB" w14:textId="56DC19ED" w:rsidR="007B72F2" w:rsidRPr="00F71BBA" w:rsidRDefault="007B72F2" w:rsidP="00330F81">
      <w:pPr>
        <w:shd w:val="clear" w:color="auto" w:fill="FFFFFF"/>
        <w:jc w:val="both"/>
        <w:rPr>
          <w:rFonts w:ascii="Arial" w:hAnsi="Arial" w:cs="Arial"/>
          <w:spacing w:val="-6"/>
          <w:sz w:val="17"/>
          <w:szCs w:val="17"/>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Ibid.</w:t>
      </w:r>
    </w:p>
  </w:endnote>
  <w:endnote w:id="57">
    <w:p w14:paraId="34A2C864" w14:textId="54DB884A" w:rsidR="007B72F2" w:rsidRPr="00F71BBA" w:rsidRDefault="007B72F2" w:rsidP="00330F81">
      <w:pPr>
        <w:pStyle w:val="EndnoteText"/>
        <w:jc w:val="both"/>
        <w:rPr>
          <w:rFonts w:ascii="Arial" w:hAnsi="Arial" w:cs="Arial"/>
          <w:spacing w:val="-6"/>
          <w:sz w:val="17"/>
          <w:szCs w:val="17"/>
          <w:lang w:val="en-CA"/>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w:t>
      </w:r>
      <w:r w:rsidRPr="00F71BBA">
        <w:rPr>
          <w:rFonts w:ascii="Arial" w:hAnsi="Arial" w:cs="Arial"/>
          <w:spacing w:val="-6"/>
          <w:sz w:val="17"/>
          <w:szCs w:val="17"/>
          <w:lang w:val="en-CA"/>
        </w:rPr>
        <w:t>National Retail Federation</w:t>
      </w:r>
      <w:r w:rsidRPr="00F71BBA">
        <w:rPr>
          <w:rFonts w:ascii="Arial" w:hAnsi="Arial" w:cs="Arial"/>
          <w:spacing w:val="-6"/>
          <w:sz w:val="17"/>
          <w:szCs w:val="17"/>
        </w:rPr>
        <w:t xml:space="preserve">, “Retailers Urge Federal Pandemic Insurance Program Similar to 9/11 Terrorism Coverage,” </w:t>
      </w:r>
      <w:r w:rsidRPr="00F71BBA">
        <w:rPr>
          <w:rFonts w:ascii="Arial" w:hAnsi="Arial" w:cs="Arial"/>
          <w:spacing w:val="-6"/>
          <w:sz w:val="17"/>
          <w:szCs w:val="17"/>
          <w:lang w:val="en-CA"/>
        </w:rPr>
        <w:t xml:space="preserve">news release, </w:t>
      </w:r>
      <w:r w:rsidRPr="00F71BBA">
        <w:rPr>
          <w:rFonts w:ascii="Arial" w:hAnsi="Arial" w:cs="Arial"/>
          <w:iCs/>
          <w:spacing w:val="-6"/>
          <w:sz w:val="17"/>
          <w:szCs w:val="17"/>
        </w:rPr>
        <w:t>N</w:t>
      </w:r>
      <w:r w:rsidRPr="00F71BBA">
        <w:rPr>
          <w:rFonts w:ascii="Arial" w:hAnsi="Arial" w:cs="Arial"/>
          <w:iCs/>
          <w:spacing w:val="-6"/>
          <w:sz w:val="17"/>
          <w:szCs w:val="17"/>
          <w:lang w:val="en-CA"/>
        </w:rPr>
        <w:t xml:space="preserve">ational </w:t>
      </w:r>
      <w:r w:rsidRPr="00F71BBA">
        <w:rPr>
          <w:rFonts w:ascii="Arial" w:hAnsi="Arial" w:cs="Arial"/>
          <w:iCs/>
          <w:spacing w:val="-6"/>
          <w:sz w:val="17"/>
          <w:szCs w:val="17"/>
        </w:rPr>
        <w:t>R</w:t>
      </w:r>
      <w:r w:rsidRPr="00F71BBA">
        <w:rPr>
          <w:rFonts w:ascii="Arial" w:hAnsi="Arial" w:cs="Arial"/>
          <w:iCs/>
          <w:spacing w:val="-6"/>
          <w:sz w:val="17"/>
          <w:szCs w:val="17"/>
          <w:lang w:val="en-CA"/>
        </w:rPr>
        <w:t xml:space="preserve">etail </w:t>
      </w:r>
      <w:r w:rsidRPr="00F71BBA">
        <w:rPr>
          <w:rFonts w:ascii="Arial" w:hAnsi="Arial" w:cs="Arial"/>
          <w:iCs/>
          <w:spacing w:val="-6"/>
          <w:sz w:val="17"/>
          <w:szCs w:val="17"/>
        </w:rPr>
        <w:t>F</w:t>
      </w:r>
      <w:r w:rsidRPr="00F71BBA">
        <w:rPr>
          <w:rFonts w:ascii="Arial" w:hAnsi="Arial" w:cs="Arial"/>
          <w:iCs/>
          <w:spacing w:val="-6"/>
          <w:sz w:val="17"/>
          <w:szCs w:val="17"/>
          <w:lang w:val="en-CA"/>
        </w:rPr>
        <w:t>ederation</w:t>
      </w:r>
      <w:r w:rsidRPr="00F71BBA">
        <w:rPr>
          <w:rFonts w:ascii="Arial" w:hAnsi="Arial" w:cs="Arial"/>
          <w:i/>
          <w:iCs/>
          <w:spacing w:val="-6"/>
          <w:sz w:val="17"/>
          <w:szCs w:val="17"/>
        </w:rPr>
        <w:t xml:space="preserve">, </w:t>
      </w:r>
      <w:r w:rsidRPr="00F71BBA">
        <w:rPr>
          <w:rFonts w:ascii="Arial" w:hAnsi="Arial" w:cs="Arial"/>
          <w:spacing w:val="-6"/>
          <w:sz w:val="17"/>
          <w:szCs w:val="17"/>
        </w:rPr>
        <w:t xml:space="preserve">April 21, 2020, accessed June 1, 2020, </w:t>
      </w:r>
      <w:r w:rsidRPr="00F71BBA">
        <w:rPr>
          <w:rStyle w:val="Hyperlink"/>
          <w:rFonts w:ascii="Arial" w:hAnsi="Arial" w:cs="Arial"/>
          <w:color w:val="auto"/>
          <w:spacing w:val="-6"/>
          <w:sz w:val="17"/>
          <w:szCs w:val="17"/>
          <w:u w:val="none"/>
        </w:rPr>
        <w:t>https://nrf.com/media-center/press-releases/retailers-urge-federal-pandemic-insurance-program-similar-9/11</w:t>
      </w:r>
      <w:r w:rsidRPr="00F71BBA">
        <w:rPr>
          <w:rStyle w:val="Hyperlink"/>
          <w:rFonts w:ascii="Arial" w:hAnsi="Arial" w:cs="Arial"/>
          <w:color w:val="auto"/>
          <w:spacing w:val="-6"/>
          <w:sz w:val="17"/>
          <w:szCs w:val="17"/>
          <w:u w:val="none"/>
          <w:lang w:val="en-CA"/>
        </w:rPr>
        <w:t>.</w:t>
      </w:r>
    </w:p>
  </w:endnote>
  <w:endnote w:id="58">
    <w:p w14:paraId="63EE6D02" w14:textId="22C766BB" w:rsidR="007B72F2" w:rsidRPr="00F71BBA" w:rsidRDefault="007B72F2" w:rsidP="00330F81">
      <w:pPr>
        <w:pStyle w:val="EndnoteText"/>
        <w:jc w:val="both"/>
        <w:rPr>
          <w:rFonts w:ascii="Arial" w:hAnsi="Arial" w:cs="Arial"/>
          <w:spacing w:val="-6"/>
          <w:sz w:val="17"/>
          <w:szCs w:val="17"/>
          <w:lang w:val="en-CA"/>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Ibid</w:t>
      </w:r>
      <w:r w:rsidRPr="00F71BBA">
        <w:rPr>
          <w:rFonts w:ascii="Arial" w:hAnsi="Arial" w:cs="Arial"/>
          <w:spacing w:val="-6"/>
          <w:sz w:val="17"/>
          <w:szCs w:val="17"/>
          <w:lang w:val="en-CA"/>
        </w:rPr>
        <w:t>.</w:t>
      </w:r>
    </w:p>
  </w:endnote>
  <w:endnote w:id="59">
    <w:p w14:paraId="4CD8C6E8" w14:textId="1BAFB3BE" w:rsidR="007B72F2" w:rsidRPr="00F71BBA" w:rsidRDefault="007B72F2" w:rsidP="00330F81">
      <w:pPr>
        <w:shd w:val="clear" w:color="auto" w:fill="FFFFFF"/>
        <w:jc w:val="both"/>
        <w:rPr>
          <w:rFonts w:ascii="Arial" w:hAnsi="Arial" w:cs="Arial"/>
          <w:spacing w:val="-6"/>
          <w:sz w:val="17"/>
          <w:szCs w:val="17"/>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Collins, op. cit.</w:t>
      </w:r>
    </w:p>
  </w:endnote>
  <w:endnote w:id="60">
    <w:p w14:paraId="3353A2AD" w14:textId="613101B3" w:rsidR="007B72F2" w:rsidRPr="00F71BBA" w:rsidRDefault="007B72F2" w:rsidP="00330F81">
      <w:pPr>
        <w:pStyle w:val="EndnoteText"/>
        <w:jc w:val="both"/>
        <w:rPr>
          <w:rFonts w:ascii="Arial" w:hAnsi="Arial" w:cs="Arial"/>
          <w:spacing w:val="-6"/>
          <w:sz w:val="17"/>
          <w:szCs w:val="17"/>
          <w:lang w:val="en-CA"/>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National Retail Federation, , op. cit</w:t>
      </w:r>
      <w:r w:rsidRPr="00F71BBA">
        <w:rPr>
          <w:rFonts w:ascii="Arial" w:hAnsi="Arial" w:cs="Arial"/>
          <w:spacing w:val="-6"/>
          <w:sz w:val="17"/>
          <w:szCs w:val="17"/>
          <w:lang w:val="en-CA"/>
        </w:rPr>
        <w:t>.</w:t>
      </w:r>
    </w:p>
  </w:endnote>
  <w:endnote w:id="61">
    <w:p w14:paraId="32DD47FC" w14:textId="6B7DCAF3" w:rsidR="007B72F2" w:rsidRPr="00F71BBA" w:rsidRDefault="007B72F2" w:rsidP="00420F76">
      <w:pPr>
        <w:pStyle w:val="EndnoteText"/>
        <w:jc w:val="both"/>
        <w:rPr>
          <w:rFonts w:ascii="Arial" w:hAnsi="Arial" w:cs="Arial"/>
          <w:spacing w:val="-6"/>
          <w:sz w:val="17"/>
          <w:szCs w:val="17"/>
          <w:lang w:val="en-CA"/>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Ibid</w:t>
      </w:r>
      <w:r w:rsidRPr="00F71BBA">
        <w:rPr>
          <w:rFonts w:ascii="Arial" w:hAnsi="Arial" w:cs="Arial"/>
          <w:spacing w:val="-6"/>
          <w:sz w:val="17"/>
          <w:szCs w:val="17"/>
          <w:lang w:val="en-CA"/>
        </w:rPr>
        <w:t>.</w:t>
      </w:r>
    </w:p>
  </w:endnote>
  <w:endnote w:id="62">
    <w:p w14:paraId="1FCBF54E" w14:textId="7EB6CCB9" w:rsidR="007B72F2" w:rsidRPr="00F71BBA" w:rsidRDefault="007B72F2" w:rsidP="00330F81">
      <w:pPr>
        <w:jc w:val="both"/>
        <w:rPr>
          <w:rFonts w:ascii="Arial" w:hAnsi="Arial" w:cs="Arial"/>
          <w:spacing w:val="-6"/>
          <w:sz w:val="17"/>
          <w:szCs w:val="17"/>
          <w:shd w:val="clear" w:color="auto" w:fill="FFFFFF"/>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Zachary Lerner, “Pandemic Risk Insurance Act and the Future of Business Interruption Insurance,” </w:t>
      </w:r>
      <w:r w:rsidRPr="00F71BBA">
        <w:rPr>
          <w:rFonts w:ascii="Arial" w:hAnsi="Arial" w:cs="Arial"/>
          <w:i/>
          <w:iCs/>
          <w:spacing w:val="-6"/>
          <w:sz w:val="17"/>
          <w:szCs w:val="17"/>
        </w:rPr>
        <w:t xml:space="preserve">InsureReinsure </w:t>
      </w:r>
      <w:r w:rsidRPr="00F71BBA">
        <w:rPr>
          <w:rFonts w:ascii="Arial" w:hAnsi="Arial" w:cs="Arial"/>
          <w:iCs/>
          <w:spacing w:val="-6"/>
          <w:sz w:val="17"/>
          <w:szCs w:val="17"/>
        </w:rPr>
        <w:t>(blog),</w:t>
      </w:r>
      <w:r w:rsidRPr="00F71BBA">
        <w:rPr>
          <w:rFonts w:ascii="Arial" w:hAnsi="Arial" w:cs="Arial"/>
          <w:i/>
          <w:iCs/>
          <w:spacing w:val="-6"/>
          <w:sz w:val="17"/>
          <w:szCs w:val="17"/>
        </w:rPr>
        <w:t xml:space="preserve"> </w:t>
      </w:r>
      <w:r w:rsidRPr="00F71BBA">
        <w:rPr>
          <w:rFonts w:ascii="Arial" w:hAnsi="Arial" w:cs="Arial"/>
          <w:spacing w:val="-6"/>
          <w:sz w:val="17"/>
          <w:szCs w:val="17"/>
        </w:rPr>
        <w:t xml:space="preserve">April 21, 2020, accessed June 1, 2020, </w:t>
      </w:r>
      <w:r w:rsidRPr="00F71BBA">
        <w:rPr>
          <w:rStyle w:val="Hyperlink"/>
          <w:rFonts w:ascii="Arial" w:hAnsi="Arial" w:cs="Arial"/>
          <w:color w:val="auto"/>
          <w:spacing w:val="-6"/>
          <w:sz w:val="17"/>
          <w:szCs w:val="17"/>
          <w:u w:val="none"/>
        </w:rPr>
        <w:t>www.insurereinsure.com/2020/04/21/pandemic-risk-insurance-act-and-the-future-of-business-interruption-insurance.</w:t>
      </w:r>
    </w:p>
  </w:endnote>
  <w:endnote w:id="63">
    <w:p w14:paraId="6E8E7D3C" w14:textId="026A9D2E" w:rsidR="007B72F2" w:rsidRPr="00F71BBA" w:rsidRDefault="007B72F2" w:rsidP="00330F81">
      <w:pPr>
        <w:pStyle w:val="EndnoteText"/>
        <w:jc w:val="both"/>
        <w:rPr>
          <w:rFonts w:ascii="Arial" w:hAnsi="Arial" w:cs="Arial"/>
          <w:spacing w:val="-6"/>
          <w:sz w:val="17"/>
          <w:szCs w:val="17"/>
          <w:lang w:val="en-CA"/>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“Does </w:t>
      </w:r>
      <w:r w:rsidRPr="00F71BBA">
        <w:rPr>
          <w:rFonts w:ascii="Arial" w:hAnsi="Arial" w:cs="Arial"/>
          <w:spacing w:val="-6"/>
          <w:sz w:val="17"/>
          <w:szCs w:val="17"/>
          <w:lang w:val="en-CA"/>
        </w:rPr>
        <w:t>M</w:t>
      </w:r>
      <w:r w:rsidRPr="00F71BBA">
        <w:rPr>
          <w:rFonts w:ascii="Arial" w:hAnsi="Arial" w:cs="Arial"/>
          <w:spacing w:val="-6"/>
          <w:sz w:val="17"/>
          <w:szCs w:val="17"/>
        </w:rPr>
        <w:t xml:space="preserve">y </w:t>
      </w:r>
      <w:r w:rsidRPr="00F71BBA">
        <w:rPr>
          <w:rFonts w:ascii="Arial" w:hAnsi="Arial" w:cs="Arial"/>
          <w:spacing w:val="-6"/>
          <w:sz w:val="17"/>
          <w:szCs w:val="17"/>
          <w:lang w:val="en-CA"/>
        </w:rPr>
        <w:t>B</w:t>
      </w:r>
      <w:r w:rsidRPr="00F71BBA">
        <w:rPr>
          <w:rFonts w:ascii="Arial" w:hAnsi="Arial" w:cs="Arial"/>
          <w:spacing w:val="-6"/>
          <w:sz w:val="17"/>
          <w:szCs w:val="17"/>
        </w:rPr>
        <w:t xml:space="preserve">usiness </w:t>
      </w:r>
      <w:r w:rsidRPr="00F71BBA">
        <w:rPr>
          <w:rFonts w:ascii="Arial" w:hAnsi="Arial" w:cs="Arial"/>
          <w:spacing w:val="-6"/>
          <w:sz w:val="17"/>
          <w:szCs w:val="17"/>
          <w:lang w:val="en-CA"/>
        </w:rPr>
        <w:t>N</w:t>
      </w:r>
      <w:r w:rsidRPr="00F71BBA">
        <w:rPr>
          <w:rFonts w:ascii="Arial" w:hAnsi="Arial" w:cs="Arial"/>
          <w:spacing w:val="-6"/>
          <w:sz w:val="17"/>
          <w:szCs w:val="17"/>
        </w:rPr>
        <w:t xml:space="preserve">eed </w:t>
      </w:r>
      <w:r w:rsidRPr="00F71BBA">
        <w:rPr>
          <w:rFonts w:ascii="Arial" w:hAnsi="Arial" w:cs="Arial"/>
          <w:spacing w:val="-6"/>
          <w:sz w:val="17"/>
          <w:szCs w:val="17"/>
          <w:lang w:val="en-CA"/>
        </w:rPr>
        <w:t>T</w:t>
      </w:r>
      <w:r w:rsidRPr="00F71BBA">
        <w:rPr>
          <w:rFonts w:ascii="Arial" w:hAnsi="Arial" w:cs="Arial"/>
          <w:spacing w:val="-6"/>
          <w:sz w:val="17"/>
          <w:szCs w:val="17"/>
        </w:rPr>
        <w:t xml:space="preserve">errorism </w:t>
      </w:r>
      <w:r w:rsidRPr="00F71BBA">
        <w:rPr>
          <w:rFonts w:ascii="Arial" w:hAnsi="Arial" w:cs="Arial"/>
          <w:spacing w:val="-6"/>
          <w:sz w:val="17"/>
          <w:szCs w:val="17"/>
          <w:lang w:val="en-CA"/>
        </w:rPr>
        <w:t>I</w:t>
      </w:r>
      <w:r w:rsidRPr="00F71BBA">
        <w:rPr>
          <w:rFonts w:ascii="Arial" w:hAnsi="Arial" w:cs="Arial"/>
          <w:spacing w:val="-6"/>
          <w:sz w:val="17"/>
          <w:szCs w:val="17"/>
        </w:rPr>
        <w:t>nsurance?</w:t>
      </w:r>
      <w:r w:rsidRPr="00F71BBA">
        <w:rPr>
          <w:rFonts w:ascii="Arial" w:hAnsi="Arial" w:cs="Arial"/>
          <w:spacing w:val="-6"/>
          <w:sz w:val="17"/>
          <w:szCs w:val="17"/>
          <w:lang w:val="en-CA"/>
        </w:rPr>
        <w:t>,</w:t>
      </w:r>
      <w:r w:rsidRPr="00F71BBA">
        <w:rPr>
          <w:rFonts w:ascii="Arial" w:hAnsi="Arial" w:cs="Arial"/>
          <w:spacing w:val="-6"/>
          <w:sz w:val="17"/>
          <w:szCs w:val="17"/>
        </w:rPr>
        <w:t xml:space="preserve">” </w:t>
      </w:r>
      <w:r w:rsidRPr="00F71BBA">
        <w:rPr>
          <w:rFonts w:ascii="Arial" w:hAnsi="Arial" w:cs="Arial"/>
          <w:i/>
          <w:iCs/>
          <w:spacing w:val="-6"/>
          <w:sz w:val="17"/>
          <w:szCs w:val="17"/>
        </w:rPr>
        <w:t xml:space="preserve">Insurance Information Institute, </w:t>
      </w:r>
      <w:r w:rsidRPr="00F71BBA">
        <w:rPr>
          <w:rFonts w:ascii="Arial" w:hAnsi="Arial" w:cs="Arial"/>
          <w:spacing w:val="-6"/>
          <w:sz w:val="17"/>
          <w:szCs w:val="17"/>
        </w:rPr>
        <w:t xml:space="preserve">April 10, 2015, accessed June 1, 2020, </w:t>
      </w:r>
      <w:r w:rsidRPr="00F71BBA">
        <w:rPr>
          <w:rStyle w:val="Hyperlink"/>
          <w:rFonts w:ascii="Arial" w:hAnsi="Arial" w:cs="Arial"/>
          <w:color w:val="auto"/>
          <w:spacing w:val="-6"/>
          <w:sz w:val="17"/>
          <w:szCs w:val="17"/>
          <w:u w:val="none"/>
        </w:rPr>
        <w:t>www.iii.org/article/does-my-business-need-terrorism-insurance</w:t>
      </w:r>
      <w:r w:rsidRPr="00F71BBA">
        <w:rPr>
          <w:rStyle w:val="Hyperlink"/>
          <w:rFonts w:ascii="Arial" w:hAnsi="Arial" w:cs="Arial"/>
          <w:color w:val="auto"/>
          <w:spacing w:val="-6"/>
          <w:sz w:val="17"/>
          <w:szCs w:val="17"/>
          <w:u w:val="none"/>
          <w:lang w:val="en-CA"/>
        </w:rPr>
        <w:t>.</w:t>
      </w:r>
    </w:p>
  </w:endnote>
  <w:endnote w:id="64">
    <w:p w14:paraId="6B676712" w14:textId="4095ECB1" w:rsidR="007B72F2" w:rsidRPr="00F71BBA" w:rsidRDefault="007B72F2" w:rsidP="00330F81">
      <w:pPr>
        <w:pStyle w:val="EndnoteText"/>
        <w:jc w:val="both"/>
        <w:rPr>
          <w:rFonts w:ascii="Arial" w:hAnsi="Arial" w:cs="Arial"/>
          <w:spacing w:val="-6"/>
          <w:sz w:val="17"/>
          <w:szCs w:val="17"/>
          <w:lang w:val="en-CA"/>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Christian Wuestner, “CCR CEO Explains Why the Reinsurer Merits French Gov. Backing,” </w:t>
      </w:r>
      <w:r w:rsidRPr="00F71BBA">
        <w:rPr>
          <w:rFonts w:ascii="Arial" w:hAnsi="Arial" w:cs="Arial"/>
          <w:i/>
          <w:iCs/>
          <w:spacing w:val="-6"/>
          <w:sz w:val="17"/>
          <w:szCs w:val="17"/>
        </w:rPr>
        <w:t xml:space="preserve">Intelligent Insurer, </w:t>
      </w:r>
      <w:r w:rsidRPr="00F71BBA">
        <w:rPr>
          <w:rFonts w:ascii="Arial" w:hAnsi="Arial" w:cs="Arial"/>
          <w:spacing w:val="-6"/>
          <w:sz w:val="17"/>
          <w:szCs w:val="17"/>
        </w:rPr>
        <w:t xml:space="preserve">September 27, 2016, accessed June 1, 2020, </w:t>
      </w:r>
      <w:r w:rsidRPr="00F71BBA">
        <w:rPr>
          <w:rStyle w:val="Hyperlink"/>
          <w:rFonts w:ascii="Arial" w:hAnsi="Arial" w:cs="Arial"/>
          <w:color w:val="auto"/>
          <w:spacing w:val="-6"/>
          <w:sz w:val="17"/>
          <w:szCs w:val="17"/>
          <w:u w:val="none"/>
        </w:rPr>
        <w:t>www.intelligentinsurer.com/article/ccr-ceo-explains-why-the-reinsurer-merits-french-gov-backing-new</w:t>
      </w:r>
      <w:r w:rsidRPr="00F71BBA">
        <w:rPr>
          <w:rStyle w:val="Hyperlink"/>
          <w:rFonts w:ascii="Arial" w:hAnsi="Arial" w:cs="Arial"/>
          <w:color w:val="auto"/>
          <w:spacing w:val="-6"/>
          <w:sz w:val="17"/>
          <w:szCs w:val="17"/>
          <w:u w:val="none"/>
          <w:lang w:val="en-CA"/>
        </w:rPr>
        <w:t>.</w:t>
      </w:r>
    </w:p>
  </w:endnote>
  <w:endnote w:id="65">
    <w:p w14:paraId="78EA1C8A" w14:textId="6F0263EA" w:rsidR="007B72F2" w:rsidRPr="00F71BBA" w:rsidRDefault="007B72F2" w:rsidP="00330F81">
      <w:pPr>
        <w:pStyle w:val="EndnoteText"/>
        <w:jc w:val="both"/>
        <w:rPr>
          <w:rFonts w:ascii="Arial" w:hAnsi="Arial" w:cs="Arial"/>
          <w:spacing w:val="-6"/>
          <w:sz w:val="17"/>
          <w:szCs w:val="17"/>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Bruggeman, Faure, and Fiore, op. cit</w:t>
      </w:r>
      <w:r w:rsidRPr="00F71BBA">
        <w:rPr>
          <w:rFonts w:ascii="Arial" w:hAnsi="Arial" w:cs="Arial"/>
          <w:spacing w:val="-6"/>
          <w:sz w:val="17"/>
          <w:szCs w:val="17"/>
          <w:lang w:val="en-CA"/>
        </w:rPr>
        <w:t>.</w:t>
      </w:r>
    </w:p>
  </w:endnote>
  <w:endnote w:id="66">
    <w:p w14:paraId="4855D5D7" w14:textId="0E33DF31" w:rsidR="007B72F2" w:rsidRPr="00F71BBA" w:rsidRDefault="007B72F2" w:rsidP="00330F81">
      <w:pPr>
        <w:pStyle w:val="EndnoteText"/>
        <w:jc w:val="both"/>
        <w:rPr>
          <w:rFonts w:ascii="Arial" w:hAnsi="Arial" w:cs="Arial"/>
          <w:spacing w:val="-6"/>
          <w:sz w:val="17"/>
          <w:szCs w:val="17"/>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Ibid</w:t>
      </w:r>
      <w:r w:rsidRPr="00F71BBA">
        <w:rPr>
          <w:rFonts w:ascii="Arial" w:hAnsi="Arial" w:cs="Arial"/>
          <w:spacing w:val="-6"/>
          <w:sz w:val="17"/>
          <w:szCs w:val="17"/>
          <w:lang w:val="en-CA"/>
        </w:rPr>
        <w:t>.</w:t>
      </w:r>
    </w:p>
  </w:endnote>
  <w:endnote w:id="67">
    <w:p w14:paraId="1FF96EC0" w14:textId="7700F1FB" w:rsidR="007B72F2" w:rsidRPr="00F71BBA" w:rsidRDefault="007B72F2" w:rsidP="00330F81">
      <w:pPr>
        <w:pStyle w:val="EndnoteText"/>
        <w:jc w:val="both"/>
        <w:rPr>
          <w:rFonts w:ascii="Arial" w:hAnsi="Arial" w:cs="Arial"/>
          <w:spacing w:val="-6"/>
          <w:sz w:val="17"/>
          <w:szCs w:val="17"/>
          <w:lang w:val="en-CA"/>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Suzanne Barlyn, “U.S. Insurers Seek Renewal of Federal </w:t>
      </w:r>
      <w:r w:rsidRPr="00F71BBA">
        <w:rPr>
          <w:rFonts w:ascii="Arial" w:hAnsi="Arial" w:cs="Arial"/>
          <w:spacing w:val="-6"/>
          <w:sz w:val="17"/>
          <w:szCs w:val="17"/>
          <w:lang w:val="en-CA"/>
        </w:rPr>
        <w:t>‘</w:t>
      </w:r>
      <w:r w:rsidRPr="00F71BBA">
        <w:rPr>
          <w:rFonts w:ascii="Arial" w:hAnsi="Arial" w:cs="Arial"/>
          <w:spacing w:val="-6"/>
          <w:sz w:val="17"/>
          <w:szCs w:val="17"/>
        </w:rPr>
        <w:t>Backstop</w:t>
      </w:r>
      <w:r w:rsidRPr="00F71BBA">
        <w:rPr>
          <w:rFonts w:ascii="Arial" w:hAnsi="Arial" w:cs="Arial"/>
          <w:spacing w:val="-6"/>
          <w:sz w:val="17"/>
          <w:szCs w:val="17"/>
          <w:lang w:val="en-CA"/>
        </w:rPr>
        <w:t>’</w:t>
      </w:r>
      <w:r w:rsidRPr="00F71BBA">
        <w:rPr>
          <w:rFonts w:ascii="Arial" w:hAnsi="Arial" w:cs="Arial"/>
          <w:spacing w:val="-6"/>
          <w:sz w:val="17"/>
          <w:szCs w:val="17"/>
        </w:rPr>
        <w:t xml:space="preserve"> </w:t>
      </w:r>
      <w:r w:rsidRPr="00F71BBA">
        <w:rPr>
          <w:rFonts w:ascii="Arial" w:hAnsi="Arial" w:cs="Arial"/>
          <w:spacing w:val="-6"/>
          <w:sz w:val="17"/>
          <w:szCs w:val="17"/>
          <w:lang w:val="en-CA"/>
        </w:rPr>
        <w:t>a</w:t>
      </w:r>
      <w:r w:rsidRPr="00F71BBA">
        <w:rPr>
          <w:rFonts w:ascii="Arial" w:hAnsi="Arial" w:cs="Arial"/>
          <w:spacing w:val="-6"/>
          <w:sz w:val="17"/>
          <w:szCs w:val="17"/>
        </w:rPr>
        <w:t xml:space="preserve">gainst Acts of Terrorism,” </w:t>
      </w:r>
      <w:r w:rsidRPr="00F71BBA">
        <w:rPr>
          <w:rFonts w:ascii="Arial" w:hAnsi="Arial" w:cs="Arial"/>
          <w:iCs/>
          <w:spacing w:val="-6"/>
          <w:sz w:val="17"/>
          <w:szCs w:val="17"/>
        </w:rPr>
        <w:t>Reuters</w:t>
      </w:r>
      <w:r w:rsidRPr="00F71BBA">
        <w:rPr>
          <w:rFonts w:ascii="Arial" w:hAnsi="Arial" w:cs="Arial"/>
          <w:i/>
          <w:iCs/>
          <w:spacing w:val="-6"/>
          <w:sz w:val="17"/>
          <w:szCs w:val="17"/>
        </w:rPr>
        <w:t xml:space="preserve">, </w:t>
      </w:r>
      <w:r w:rsidRPr="00F71BBA">
        <w:rPr>
          <w:rFonts w:ascii="Arial" w:hAnsi="Arial" w:cs="Arial"/>
          <w:spacing w:val="-6"/>
          <w:sz w:val="17"/>
          <w:szCs w:val="17"/>
        </w:rPr>
        <w:t xml:space="preserve">March 5, 2019, accessed June 1, 2020, </w:t>
      </w:r>
      <w:r w:rsidRPr="00F71BBA">
        <w:rPr>
          <w:rStyle w:val="Hyperlink"/>
          <w:rFonts w:ascii="Arial" w:hAnsi="Arial" w:cs="Arial"/>
          <w:color w:val="auto"/>
          <w:spacing w:val="-6"/>
          <w:sz w:val="17"/>
          <w:szCs w:val="17"/>
          <w:u w:val="none"/>
        </w:rPr>
        <w:t>www.reuters.com/article/us-insurance-terrorism-program/us-insurers-seek-renewal-of-federal-backstop-against-acts-of-terrorism-idUSKCN1QM1CI</w:t>
      </w:r>
      <w:r w:rsidRPr="00F71BBA">
        <w:rPr>
          <w:rStyle w:val="Hyperlink"/>
          <w:rFonts w:ascii="Arial" w:hAnsi="Arial" w:cs="Arial"/>
          <w:color w:val="auto"/>
          <w:spacing w:val="-6"/>
          <w:sz w:val="17"/>
          <w:szCs w:val="17"/>
          <w:u w:val="none"/>
          <w:lang w:val="en-CA"/>
        </w:rPr>
        <w:t>.</w:t>
      </w:r>
    </w:p>
  </w:endnote>
  <w:endnote w:id="68">
    <w:p w14:paraId="3F1A86D4" w14:textId="3A0C6D22" w:rsidR="007B72F2" w:rsidRPr="00F71BBA" w:rsidRDefault="007B72F2" w:rsidP="00330F81">
      <w:pPr>
        <w:pStyle w:val="EndnoteText"/>
        <w:jc w:val="both"/>
        <w:rPr>
          <w:rFonts w:ascii="Arial" w:hAnsi="Arial" w:cs="Arial"/>
          <w:spacing w:val="-6"/>
          <w:sz w:val="17"/>
          <w:szCs w:val="17"/>
          <w:lang w:val="en-CA"/>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Ibid</w:t>
      </w:r>
      <w:r w:rsidRPr="00F71BBA">
        <w:rPr>
          <w:rFonts w:ascii="Arial" w:hAnsi="Arial" w:cs="Arial"/>
          <w:spacing w:val="-6"/>
          <w:sz w:val="17"/>
          <w:szCs w:val="17"/>
          <w:lang w:val="en-CA"/>
        </w:rPr>
        <w:t>.</w:t>
      </w:r>
    </w:p>
  </w:endnote>
  <w:endnote w:id="69">
    <w:p w14:paraId="77B34D00" w14:textId="5DAFE37F" w:rsidR="007B72F2" w:rsidRPr="00F71BBA" w:rsidRDefault="007B72F2" w:rsidP="00330F81">
      <w:pPr>
        <w:pStyle w:val="EndnoteText"/>
        <w:jc w:val="both"/>
        <w:rPr>
          <w:rFonts w:ascii="Arial" w:hAnsi="Arial" w:cs="Arial"/>
          <w:spacing w:val="-6"/>
          <w:sz w:val="17"/>
          <w:szCs w:val="17"/>
          <w:lang w:val="en-CA"/>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Ibid</w:t>
      </w:r>
      <w:r w:rsidRPr="00F71BBA">
        <w:rPr>
          <w:rFonts w:ascii="Arial" w:hAnsi="Arial" w:cs="Arial"/>
          <w:spacing w:val="-6"/>
          <w:sz w:val="17"/>
          <w:szCs w:val="17"/>
          <w:lang w:val="en-CA"/>
        </w:rPr>
        <w:t>.</w:t>
      </w:r>
    </w:p>
  </w:endnote>
  <w:endnote w:id="70">
    <w:p w14:paraId="349DFEF9" w14:textId="341E580D" w:rsidR="007B72F2" w:rsidRPr="00F71BBA" w:rsidRDefault="007B72F2" w:rsidP="00330F81">
      <w:pPr>
        <w:pStyle w:val="EndnoteText"/>
        <w:jc w:val="both"/>
        <w:rPr>
          <w:rFonts w:ascii="Arial" w:hAnsi="Arial" w:cs="Arial"/>
          <w:spacing w:val="-6"/>
          <w:sz w:val="17"/>
          <w:szCs w:val="17"/>
          <w:lang w:val="en-CA"/>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Ibid</w:t>
      </w:r>
      <w:r w:rsidRPr="00F71BBA">
        <w:rPr>
          <w:rFonts w:ascii="Arial" w:hAnsi="Arial" w:cs="Arial"/>
          <w:spacing w:val="-6"/>
          <w:sz w:val="17"/>
          <w:szCs w:val="17"/>
          <w:lang w:val="en-CA"/>
        </w:rPr>
        <w:t>.</w:t>
      </w:r>
    </w:p>
  </w:endnote>
  <w:endnote w:id="71">
    <w:p w14:paraId="2C4B679B" w14:textId="46E91FC3" w:rsidR="007B72F2" w:rsidRPr="00F71BBA" w:rsidRDefault="007B72F2" w:rsidP="00330F81">
      <w:pPr>
        <w:pStyle w:val="EndnoteText"/>
        <w:jc w:val="both"/>
        <w:rPr>
          <w:rFonts w:ascii="Arial" w:hAnsi="Arial" w:cs="Arial"/>
          <w:spacing w:val="-6"/>
          <w:sz w:val="17"/>
          <w:szCs w:val="17"/>
          <w:lang w:val="en-CA"/>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Ibid</w:t>
      </w:r>
      <w:r w:rsidRPr="00F71BBA">
        <w:rPr>
          <w:rFonts w:ascii="Arial" w:hAnsi="Arial" w:cs="Arial"/>
          <w:spacing w:val="-6"/>
          <w:sz w:val="17"/>
          <w:szCs w:val="17"/>
          <w:lang w:val="en-CA"/>
        </w:rPr>
        <w:t>.</w:t>
      </w:r>
    </w:p>
  </w:endnote>
  <w:endnote w:id="72">
    <w:p w14:paraId="63D27448" w14:textId="313718E4" w:rsidR="007B72F2" w:rsidRPr="00F71BBA" w:rsidRDefault="007B72F2" w:rsidP="00330F81">
      <w:pPr>
        <w:pStyle w:val="EndnoteText"/>
        <w:jc w:val="both"/>
        <w:rPr>
          <w:rFonts w:ascii="Arial" w:hAnsi="Arial" w:cs="Arial"/>
          <w:spacing w:val="-6"/>
          <w:sz w:val="17"/>
          <w:szCs w:val="17"/>
          <w:lang w:val="en-GB"/>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S&amp;P Global Ratings, </w:t>
      </w:r>
      <w:r w:rsidRPr="00F71BBA">
        <w:rPr>
          <w:rFonts w:ascii="Arial" w:hAnsi="Arial" w:cs="Arial"/>
          <w:i/>
          <w:spacing w:val="-6"/>
          <w:sz w:val="17"/>
          <w:szCs w:val="17"/>
        </w:rPr>
        <w:t>Global Reinsurance Highlights 2019</w:t>
      </w:r>
      <w:r w:rsidRPr="00F71BBA">
        <w:rPr>
          <w:rFonts w:ascii="Arial" w:hAnsi="Arial" w:cs="Arial"/>
          <w:spacing w:val="-6"/>
          <w:sz w:val="17"/>
          <w:szCs w:val="17"/>
        </w:rPr>
        <w:t xml:space="preserve">, S&amp;P Global Ratings, 2019, accessed June 1, 2019, </w:t>
      </w:r>
      <w:r w:rsidRPr="00F71BBA">
        <w:rPr>
          <w:rStyle w:val="Hyperlink"/>
          <w:rFonts w:ascii="Arial" w:hAnsi="Arial" w:cs="Arial"/>
          <w:color w:val="auto"/>
          <w:spacing w:val="-6"/>
          <w:sz w:val="17"/>
          <w:szCs w:val="17"/>
          <w:u w:val="none"/>
        </w:rPr>
        <w:t>www.spglobal.com/_assets/documents/ratings/research/global-reinsurance-highlights-2019.pdf</w:t>
      </w:r>
      <w:r w:rsidRPr="00F71BBA">
        <w:rPr>
          <w:rFonts w:ascii="Arial" w:hAnsi="Arial" w:cs="Arial"/>
          <w:spacing w:val="-6"/>
          <w:sz w:val="17"/>
          <w:szCs w:val="17"/>
          <w:lang w:val="en-CA"/>
        </w:rPr>
        <w:t>.</w:t>
      </w:r>
    </w:p>
  </w:endnote>
  <w:endnote w:id="73">
    <w:p w14:paraId="1BC3D93B" w14:textId="36889F7E" w:rsidR="007B72F2" w:rsidRPr="00F71BBA" w:rsidRDefault="007B72F2" w:rsidP="00330F81">
      <w:pPr>
        <w:pStyle w:val="EndnoteText"/>
        <w:jc w:val="both"/>
        <w:rPr>
          <w:rFonts w:ascii="Arial" w:hAnsi="Arial" w:cs="Arial"/>
          <w:spacing w:val="-6"/>
          <w:sz w:val="17"/>
          <w:szCs w:val="17"/>
          <w:lang w:val="en-GB"/>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Ibid</w:t>
      </w:r>
      <w:r w:rsidRPr="00F71BBA">
        <w:rPr>
          <w:rFonts w:ascii="Arial" w:hAnsi="Arial" w:cs="Arial"/>
          <w:spacing w:val="-6"/>
          <w:sz w:val="17"/>
          <w:szCs w:val="17"/>
          <w:lang w:val="en-CA"/>
        </w:rPr>
        <w:t xml:space="preserve">. </w:t>
      </w:r>
    </w:p>
  </w:endnote>
  <w:endnote w:id="74">
    <w:p w14:paraId="72B7F9F0" w14:textId="7C14F332" w:rsidR="007B72F2" w:rsidRPr="00F71BBA" w:rsidRDefault="007B72F2" w:rsidP="00330F81">
      <w:pPr>
        <w:pStyle w:val="EndnoteText"/>
        <w:jc w:val="both"/>
        <w:rPr>
          <w:rFonts w:ascii="Arial" w:hAnsi="Arial" w:cs="Arial"/>
          <w:spacing w:val="-6"/>
          <w:sz w:val="17"/>
          <w:szCs w:val="17"/>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Ibid</w:t>
      </w:r>
      <w:r w:rsidRPr="00F71BBA">
        <w:rPr>
          <w:rFonts w:ascii="Arial" w:hAnsi="Arial" w:cs="Arial"/>
          <w:spacing w:val="-6"/>
          <w:sz w:val="17"/>
          <w:szCs w:val="17"/>
          <w:lang w:val="en-CA"/>
        </w:rPr>
        <w:t xml:space="preserve">. </w:t>
      </w:r>
    </w:p>
  </w:endnote>
  <w:endnote w:id="75">
    <w:p w14:paraId="16FC6A38" w14:textId="274BCFE6" w:rsidR="007B72F2" w:rsidRPr="00F71BBA" w:rsidRDefault="007B72F2" w:rsidP="00330F81">
      <w:pPr>
        <w:pStyle w:val="EndnoteText"/>
        <w:jc w:val="both"/>
        <w:rPr>
          <w:rFonts w:ascii="Arial" w:hAnsi="Arial" w:cs="Arial"/>
          <w:spacing w:val="-6"/>
          <w:sz w:val="17"/>
          <w:szCs w:val="17"/>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Matt Sheehan, “Munich Re and Marsh Collaborate on Pandemic </w:t>
      </w:r>
      <w:r w:rsidRPr="00F71BBA">
        <w:rPr>
          <w:rFonts w:ascii="Arial" w:hAnsi="Arial" w:cs="Arial"/>
          <w:spacing w:val="-6"/>
          <w:sz w:val="17"/>
          <w:szCs w:val="17"/>
          <w:lang w:val="en-CA"/>
        </w:rPr>
        <w:t>R</w:t>
      </w:r>
      <w:r w:rsidRPr="00F71BBA">
        <w:rPr>
          <w:rFonts w:ascii="Arial" w:hAnsi="Arial" w:cs="Arial"/>
          <w:spacing w:val="-6"/>
          <w:sz w:val="17"/>
          <w:szCs w:val="17"/>
        </w:rPr>
        <w:t xml:space="preserve">isk </w:t>
      </w:r>
      <w:r w:rsidRPr="00F71BBA">
        <w:rPr>
          <w:rFonts w:ascii="Arial" w:hAnsi="Arial" w:cs="Arial"/>
          <w:spacing w:val="-6"/>
          <w:sz w:val="17"/>
          <w:szCs w:val="17"/>
          <w:lang w:val="en-CA"/>
        </w:rPr>
        <w:t>S</w:t>
      </w:r>
      <w:r w:rsidRPr="00F71BBA">
        <w:rPr>
          <w:rFonts w:ascii="Arial" w:hAnsi="Arial" w:cs="Arial"/>
          <w:spacing w:val="-6"/>
          <w:sz w:val="17"/>
          <w:szCs w:val="17"/>
        </w:rPr>
        <w:t xml:space="preserve">olution,” </w:t>
      </w:r>
      <w:r w:rsidRPr="00F71BBA">
        <w:rPr>
          <w:rFonts w:ascii="Arial" w:hAnsi="Arial" w:cs="Arial"/>
          <w:i/>
          <w:iCs/>
          <w:spacing w:val="-6"/>
          <w:sz w:val="17"/>
          <w:szCs w:val="17"/>
        </w:rPr>
        <w:t xml:space="preserve">Reinsurance News, </w:t>
      </w:r>
      <w:r w:rsidRPr="00F71BBA">
        <w:rPr>
          <w:rFonts w:ascii="Arial" w:hAnsi="Arial" w:cs="Arial"/>
          <w:spacing w:val="-6"/>
          <w:sz w:val="17"/>
          <w:szCs w:val="17"/>
        </w:rPr>
        <w:t xml:space="preserve">May 18, 2018, accessed June 1, 2020, </w:t>
      </w:r>
      <w:r w:rsidRPr="00F71BBA">
        <w:rPr>
          <w:rStyle w:val="Hyperlink"/>
          <w:rFonts w:ascii="Arial" w:hAnsi="Arial" w:cs="Arial"/>
          <w:color w:val="auto"/>
          <w:spacing w:val="-6"/>
          <w:sz w:val="17"/>
          <w:szCs w:val="17"/>
          <w:u w:val="none"/>
        </w:rPr>
        <w:t>www.reinsurancene.ws/munich-re-and-marsh-collaborate-on-pandemic-risk-solution</w:t>
      </w:r>
      <w:r w:rsidRPr="00F71BBA">
        <w:rPr>
          <w:rStyle w:val="Hyperlink"/>
          <w:rFonts w:ascii="Arial" w:hAnsi="Arial" w:cs="Arial"/>
          <w:color w:val="auto"/>
          <w:spacing w:val="-6"/>
          <w:sz w:val="17"/>
          <w:szCs w:val="17"/>
          <w:u w:val="none"/>
          <w:lang w:val="en-CA"/>
        </w:rPr>
        <w:t>.</w:t>
      </w:r>
    </w:p>
  </w:endnote>
  <w:endnote w:id="76">
    <w:p w14:paraId="6C83ADE6" w14:textId="4A1FB3DC" w:rsidR="007B72F2" w:rsidRPr="00F71BBA" w:rsidRDefault="007B72F2" w:rsidP="00330F81">
      <w:pPr>
        <w:pStyle w:val="EndnoteText"/>
        <w:jc w:val="both"/>
        <w:rPr>
          <w:rFonts w:ascii="Arial" w:hAnsi="Arial" w:cs="Arial"/>
          <w:spacing w:val="-6"/>
          <w:sz w:val="17"/>
          <w:szCs w:val="17"/>
          <w:lang w:val="en-CA"/>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Banham, op. cit</w:t>
      </w:r>
      <w:r w:rsidRPr="00F71BBA">
        <w:rPr>
          <w:rFonts w:ascii="Arial" w:hAnsi="Arial" w:cs="Arial"/>
          <w:spacing w:val="-6"/>
          <w:sz w:val="17"/>
          <w:szCs w:val="17"/>
          <w:lang w:val="en-CA"/>
        </w:rPr>
        <w:t>.</w:t>
      </w:r>
    </w:p>
  </w:endnote>
  <w:endnote w:id="77">
    <w:p w14:paraId="12B33C4E" w14:textId="5BDC6D3F" w:rsidR="007B72F2" w:rsidRPr="00F71BBA" w:rsidRDefault="007B72F2" w:rsidP="00330F81">
      <w:pPr>
        <w:jc w:val="both"/>
        <w:rPr>
          <w:rFonts w:ascii="Arial" w:hAnsi="Arial" w:cs="Arial"/>
          <w:spacing w:val="-6"/>
          <w:sz w:val="17"/>
          <w:szCs w:val="17"/>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Goyder and Smythe, op. cit.</w:t>
      </w:r>
    </w:p>
  </w:endnote>
  <w:endnote w:id="78">
    <w:p w14:paraId="011D379C" w14:textId="30DCBD32" w:rsidR="007B72F2" w:rsidRPr="00F71BBA" w:rsidRDefault="007B72F2" w:rsidP="00330F81">
      <w:pPr>
        <w:shd w:val="clear" w:color="auto" w:fill="FFFFFF"/>
        <w:jc w:val="both"/>
        <w:rPr>
          <w:rFonts w:ascii="Arial" w:hAnsi="Arial" w:cs="Arial"/>
          <w:spacing w:val="-6"/>
          <w:sz w:val="17"/>
          <w:szCs w:val="17"/>
        </w:rPr>
      </w:pPr>
      <w:r w:rsidRPr="00F71BBA">
        <w:rPr>
          <w:rStyle w:val="EndnoteReference"/>
          <w:rFonts w:ascii="Arial" w:hAnsi="Arial" w:cs="Arial"/>
          <w:spacing w:val="-6"/>
          <w:sz w:val="17"/>
          <w:szCs w:val="17"/>
        </w:rPr>
        <w:endnoteRef/>
      </w:r>
      <w:r w:rsidRPr="00F71BBA">
        <w:rPr>
          <w:rFonts w:ascii="Arial" w:hAnsi="Arial" w:cs="Arial"/>
          <w:spacing w:val="-6"/>
          <w:sz w:val="17"/>
          <w:szCs w:val="17"/>
        </w:rPr>
        <w:t xml:space="preserve"> Blocho, op. cit.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095D8" w14:textId="77777777" w:rsidR="00E858E6" w:rsidRDefault="00E858E6" w:rsidP="00D75295">
      <w:r>
        <w:separator/>
      </w:r>
    </w:p>
  </w:footnote>
  <w:footnote w:type="continuationSeparator" w:id="0">
    <w:p w14:paraId="249460EC" w14:textId="77777777" w:rsidR="00E858E6" w:rsidRDefault="00E858E6" w:rsidP="00D75295">
      <w:r>
        <w:continuationSeparator/>
      </w:r>
    </w:p>
  </w:footnote>
  <w:footnote w:type="continuationNotice" w:id="1">
    <w:p w14:paraId="037B9EC1" w14:textId="77777777" w:rsidR="00E858E6" w:rsidRDefault="00E858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623326FC" w:rsidR="00DA3173" w:rsidRPr="00C92CC4" w:rsidRDefault="00DA3173" w:rsidP="00D24310">
    <w:pPr>
      <w:pBdr>
        <w:bottom w:val="single" w:sz="18" w:space="0" w:color="auto"/>
      </w:pBdr>
      <w:tabs>
        <w:tab w:val="left" w:pos="-1440"/>
        <w:tab w:val="left" w:pos="-720"/>
        <w:tab w:val="right" w:pos="9360"/>
      </w:tabs>
      <w:rPr>
        <w:sz w:val="18"/>
        <w:szCs w:val="18"/>
      </w:rPr>
    </w:pPr>
    <w:bookmarkStart w:id="12" w:name="_Hlk57610516"/>
    <w:bookmarkStart w:id="13" w:name="_Hlk57610517"/>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53896">
      <w:rPr>
        <w:rFonts w:ascii="Arial" w:hAnsi="Arial"/>
        <w:b/>
        <w:noProof/>
      </w:rPr>
      <w:t>13</w:t>
    </w:r>
    <w:r>
      <w:rPr>
        <w:rFonts w:ascii="Arial" w:hAnsi="Arial"/>
        <w:b/>
      </w:rPr>
      <w:fldChar w:fldCharType="end"/>
    </w:r>
    <w:r>
      <w:rPr>
        <w:rFonts w:ascii="Arial" w:hAnsi="Arial"/>
        <w:b/>
      </w:rPr>
      <w:tab/>
    </w:r>
    <w:r w:rsidR="008D6F47">
      <w:rPr>
        <w:rFonts w:ascii="Arial" w:hAnsi="Arial"/>
        <w:b/>
      </w:rPr>
      <w:t>9B21M012</w:t>
    </w:r>
  </w:p>
  <w:p w14:paraId="2B53C0A0" w14:textId="77777777" w:rsidR="00DA3173" w:rsidRDefault="00DA3173" w:rsidP="00D13667">
    <w:pPr>
      <w:pStyle w:val="Header"/>
      <w:tabs>
        <w:tab w:val="clear" w:pos="4680"/>
      </w:tabs>
      <w:rPr>
        <w:sz w:val="18"/>
        <w:szCs w:val="18"/>
      </w:rPr>
    </w:pPr>
  </w:p>
  <w:bookmarkEnd w:id="12"/>
  <w:bookmarkEnd w:id="13"/>
  <w:p w14:paraId="47119730" w14:textId="77777777" w:rsidR="00DA3173" w:rsidRPr="00C92CC4" w:rsidRDefault="00DA3173"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2731B"/>
    <w:multiLevelType w:val="multilevel"/>
    <w:tmpl w:val="6388E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A340C4D"/>
    <w:multiLevelType w:val="multilevel"/>
    <w:tmpl w:val="0972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3"/>
  </w:num>
  <w:num w:numId="4">
    <w:abstractNumId w:val="11"/>
  </w:num>
  <w:num w:numId="5">
    <w:abstractNumId w:val="4"/>
  </w:num>
  <w:num w:numId="6">
    <w:abstractNumId w:val="8"/>
  </w:num>
  <w:num w:numId="7">
    <w:abstractNumId w:val="1"/>
  </w:num>
  <w:num w:numId="8">
    <w:abstractNumId w:val="13"/>
  </w:num>
  <w:num w:numId="9">
    <w:abstractNumId w:val="10"/>
  </w:num>
  <w:num w:numId="10">
    <w:abstractNumId w:val="2"/>
  </w:num>
  <w:num w:numId="11">
    <w:abstractNumId w:val="6"/>
  </w:num>
  <w:num w:numId="12">
    <w:abstractNumId w:val="7"/>
  </w:num>
  <w:num w:numId="13">
    <w:abstractNumId w:val="9"/>
  </w:num>
  <w:num w:numId="1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337F"/>
    <w:rsid w:val="00033E6F"/>
    <w:rsid w:val="00035F09"/>
    <w:rsid w:val="00044ECC"/>
    <w:rsid w:val="000531D3"/>
    <w:rsid w:val="0005646B"/>
    <w:rsid w:val="000615D1"/>
    <w:rsid w:val="000627F3"/>
    <w:rsid w:val="00074808"/>
    <w:rsid w:val="000750E2"/>
    <w:rsid w:val="0008102D"/>
    <w:rsid w:val="000814EA"/>
    <w:rsid w:val="00086B26"/>
    <w:rsid w:val="00094C0E"/>
    <w:rsid w:val="000A146D"/>
    <w:rsid w:val="000C6AC1"/>
    <w:rsid w:val="000D01B8"/>
    <w:rsid w:val="000D09CE"/>
    <w:rsid w:val="000D2A2F"/>
    <w:rsid w:val="000D7091"/>
    <w:rsid w:val="000E0AAC"/>
    <w:rsid w:val="000E1CB7"/>
    <w:rsid w:val="000F0C22"/>
    <w:rsid w:val="000F6B09"/>
    <w:rsid w:val="000F6FDC"/>
    <w:rsid w:val="00100054"/>
    <w:rsid w:val="00104567"/>
    <w:rsid w:val="00104916"/>
    <w:rsid w:val="00104AA7"/>
    <w:rsid w:val="00114E8B"/>
    <w:rsid w:val="0012209B"/>
    <w:rsid w:val="0012732D"/>
    <w:rsid w:val="00143F25"/>
    <w:rsid w:val="00146B04"/>
    <w:rsid w:val="00152682"/>
    <w:rsid w:val="00154FC9"/>
    <w:rsid w:val="00182E20"/>
    <w:rsid w:val="001901C0"/>
    <w:rsid w:val="0019241A"/>
    <w:rsid w:val="00192A18"/>
    <w:rsid w:val="001A22D1"/>
    <w:rsid w:val="001A28EA"/>
    <w:rsid w:val="001A752D"/>
    <w:rsid w:val="001A757E"/>
    <w:rsid w:val="001B15E5"/>
    <w:rsid w:val="001B40BE"/>
    <w:rsid w:val="001B5032"/>
    <w:rsid w:val="001C7777"/>
    <w:rsid w:val="001D10A6"/>
    <w:rsid w:val="001D344B"/>
    <w:rsid w:val="001E364F"/>
    <w:rsid w:val="001F4222"/>
    <w:rsid w:val="00203AA1"/>
    <w:rsid w:val="0020753E"/>
    <w:rsid w:val="00213E98"/>
    <w:rsid w:val="00230150"/>
    <w:rsid w:val="0023081A"/>
    <w:rsid w:val="00233111"/>
    <w:rsid w:val="00240E0C"/>
    <w:rsid w:val="002422A4"/>
    <w:rsid w:val="002527B5"/>
    <w:rsid w:val="00256B7B"/>
    <w:rsid w:val="0026063B"/>
    <w:rsid w:val="00265FA8"/>
    <w:rsid w:val="00273F26"/>
    <w:rsid w:val="002B40FF"/>
    <w:rsid w:val="002B66EE"/>
    <w:rsid w:val="002C4E29"/>
    <w:rsid w:val="002F0452"/>
    <w:rsid w:val="002F0573"/>
    <w:rsid w:val="002F1F90"/>
    <w:rsid w:val="002F460C"/>
    <w:rsid w:val="002F48D6"/>
    <w:rsid w:val="00302FFF"/>
    <w:rsid w:val="00310A4C"/>
    <w:rsid w:val="00311743"/>
    <w:rsid w:val="00313DE4"/>
    <w:rsid w:val="00317391"/>
    <w:rsid w:val="00326216"/>
    <w:rsid w:val="00330F81"/>
    <w:rsid w:val="003354D7"/>
    <w:rsid w:val="00336580"/>
    <w:rsid w:val="003521A1"/>
    <w:rsid w:val="00354899"/>
    <w:rsid w:val="00355FD6"/>
    <w:rsid w:val="00356022"/>
    <w:rsid w:val="00364A5C"/>
    <w:rsid w:val="00373FB1"/>
    <w:rsid w:val="00375B2E"/>
    <w:rsid w:val="00391337"/>
    <w:rsid w:val="00391EBE"/>
    <w:rsid w:val="0039422F"/>
    <w:rsid w:val="00396C76"/>
    <w:rsid w:val="003B30D8"/>
    <w:rsid w:val="003B7EF2"/>
    <w:rsid w:val="003C3FA4"/>
    <w:rsid w:val="003D0BA1"/>
    <w:rsid w:val="003E767B"/>
    <w:rsid w:val="003F2B0C"/>
    <w:rsid w:val="003F2C01"/>
    <w:rsid w:val="00402D4D"/>
    <w:rsid w:val="004105B2"/>
    <w:rsid w:val="0041145A"/>
    <w:rsid w:val="00412900"/>
    <w:rsid w:val="0041398E"/>
    <w:rsid w:val="00420EE5"/>
    <w:rsid w:val="00420F76"/>
    <w:rsid w:val="004221E4"/>
    <w:rsid w:val="004273F8"/>
    <w:rsid w:val="004355A3"/>
    <w:rsid w:val="00446546"/>
    <w:rsid w:val="00452769"/>
    <w:rsid w:val="00454FA7"/>
    <w:rsid w:val="00465348"/>
    <w:rsid w:val="0047133F"/>
    <w:rsid w:val="004979A5"/>
    <w:rsid w:val="004A25E0"/>
    <w:rsid w:val="004B1CCB"/>
    <w:rsid w:val="004B632F"/>
    <w:rsid w:val="004C581E"/>
    <w:rsid w:val="004D3FB1"/>
    <w:rsid w:val="004D6F21"/>
    <w:rsid w:val="004D73A5"/>
    <w:rsid w:val="004E2918"/>
    <w:rsid w:val="004E5EB5"/>
    <w:rsid w:val="0051546A"/>
    <w:rsid w:val="005160F1"/>
    <w:rsid w:val="00524F2F"/>
    <w:rsid w:val="00527E5C"/>
    <w:rsid w:val="00532CF5"/>
    <w:rsid w:val="0053394A"/>
    <w:rsid w:val="005528CB"/>
    <w:rsid w:val="00557830"/>
    <w:rsid w:val="00566771"/>
    <w:rsid w:val="00581E2E"/>
    <w:rsid w:val="00584F15"/>
    <w:rsid w:val="00590022"/>
    <w:rsid w:val="0059514B"/>
    <w:rsid w:val="005A1B0F"/>
    <w:rsid w:val="005A72D8"/>
    <w:rsid w:val="005B4CE6"/>
    <w:rsid w:val="005B5EFE"/>
    <w:rsid w:val="005D4A78"/>
    <w:rsid w:val="005D6543"/>
    <w:rsid w:val="005F4D06"/>
    <w:rsid w:val="005F4F73"/>
    <w:rsid w:val="005F671D"/>
    <w:rsid w:val="006163F7"/>
    <w:rsid w:val="00626DD3"/>
    <w:rsid w:val="00627C63"/>
    <w:rsid w:val="0063350B"/>
    <w:rsid w:val="00652606"/>
    <w:rsid w:val="00653896"/>
    <w:rsid w:val="0065657A"/>
    <w:rsid w:val="00675E89"/>
    <w:rsid w:val="006946EE"/>
    <w:rsid w:val="00695753"/>
    <w:rsid w:val="006A58A9"/>
    <w:rsid w:val="006A606D"/>
    <w:rsid w:val="006B1E8E"/>
    <w:rsid w:val="006B3A37"/>
    <w:rsid w:val="006C0371"/>
    <w:rsid w:val="006C08B6"/>
    <w:rsid w:val="006C0B1A"/>
    <w:rsid w:val="006C6065"/>
    <w:rsid w:val="006C7F9F"/>
    <w:rsid w:val="006E2F6D"/>
    <w:rsid w:val="006E58F6"/>
    <w:rsid w:val="006E77E1"/>
    <w:rsid w:val="006F131D"/>
    <w:rsid w:val="006F43FA"/>
    <w:rsid w:val="006F6AE4"/>
    <w:rsid w:val="00701C54"/>
    <w:rsid w:val="00711642"/>
    <w:rsid w:val="007403E5"/>
    <w:rsid w:val="0074126A"/>
    <w:rsid w:val="007507C6"/>
    <w:rsid w:val="00751E0B"/>
    <w:rsid w:val="00752A1E"/>
    <w:rsid w:val="00752BCD"/>
    <w:rsid w:val="00766DA1"/>
    <w:rsid w:val="007672B6"/>
    <w:rsid w:val="00780D94"/>
    <w:rsid w:val="007866A6"/>
    <w:rsid w:val="007A130D"/>
    <w:rsid w:val="007A2449"/>
    <w:rsid w:val="007A30C7"/>
    <w:rsid w:val="007A3862"/>
    <w:rsid w:val="007B180F"/>
    <w:rsid w:val="007B53BE"/>
    <w:rsid w:val="007B6BDC"/>
    <w:rsid w:val="007B72F2"/>
    <w:rsid w:val="007C1D89"/>
    <w:rsid w:val="007D1A2D"/>
    <w:rsid w:val="007D2E0D"/>
    <w:rsid w:val="007D32E6"/>
    <w:rsid w:val="007D4102"/>
    <w:rsid w:val="007E272B"/>
    <w:rsid w:val="007E333C"/>
    <w:rsid w:val="007E54A7"/>
    <w:rsid w:val="007F43B7"/>
    <w:rsid w:val="00814911"/>
    <w:rsid w:val="00814FFF"/>
    <w:rsid w:val="00821FFC"/>
    <w:rsid w:val="008271CA"/>
    <w:rsid w:val="008467D5"/>
    <w:rsid w:val="00867385"/>
    <w:rsid w:val="00870A64"/>
    <w:rsid w:val="00875E06"/>
    <w:rsid w:val="008A127A"/>
    <w:rsid w:val="008A4DC4"/>
    <w:rsid w:val="008B1471"/>
    <w:rsid w:val="008B438C"/>
    <w:rsid w:val="008D06CA"/>
    <w:rsid w:val="008D3A46"/>
    <w:rsid w:val="008D4A02"/>
    <w:rsid w:val="008D6F47"/>
    <w:rsid w:val="008F2385"/>
    <w:rsid w:val="009067A4"/>
    <w:rsid w:val="00930885"/>
    <w:rsid w:val="00933D68"/>
    <w:rsid w:val="009340DB"/>
    <w:rsid w:val="0094618C"/>
    <w:rsid w:val="009552F8"/>
    <w:rsid w:val="0095684B"/>
    <w:rsid w:val="009664CB"/>
    <w:rsid w:val="00972498"/>
    <w:rsid w:val="0097481F"/>
    <w:rsid w:val="00974CC6"/>
    <w:rsid w:val="00976AD4"/>
    <w:rsid w:val="00981CD0"/>
    <w:rsid w:val="00995547"/>
    <w:rsid w:val="009A312F"/>
    <w:rsid w:val="009A5348"/>
    <w:rsid w:val="009B0AB7"/>
    <w:rsid w:val="009C76D5"/>
    <w:rsid w:val="009D67A1"/>
    <w:rsid w:val="009F7AA4"/>
    <w:rsid w:val="00A06E40"/>
    <w:rsid w:val="00A10AD7"/>
    <w:rsid w:val="00A15306"/>
    <w:rsid w:val="00A312F2"/>
    <w:rsid w:val="00A323B0"/>
    <w:rsid w:val="00A352BF"/>
    <w:rsid w:val="00A559DB"/>
    <w:rsid w:val="00A569EA"/>
    <w:rsid w:val="00A641A4"/>
    <w:rsid w:val="00A66BFC"/>
    <w:rsid w:val="00A676A0"/>
    <w:rsid w:val="00A96F37"/>
    <w:rsid w:val="00AA639E"/>
    <w:rsid w:val="00AB1527"/>
    <w:rsid w:val="00AD46EF"/>
    <w:rsid w:val="00AF35FC"/>
    <w:rsid w:val="00AF5556"/>
    <w:rsid w:val="00B03639"/>
    <w:rsid w:val="00B0652A"/>
    <w:rsid w:val="00B40937"/>
    <w:rsid w:val="00B423EF"/>
    <w:rsid w:val="00B453DE"/>
    <w:rsid w:val="00B62497"/>
    <w:rsid w:val="00B706A2"/>
    <w:rsid w:val="00B72597"/>
    <w:rsid w:val="00B748FB"/>
    <w:rsid w:val="00B87DC0"/>
    <w:rsid w:val="00B901F9"/>
    <w:rsid w:val="00B90ECB"/>
    <w:rsid w:val="00BA51F4"/>
    <w:rsid w:val="00BA7EDA"/>
    <w:rsid w:val="00BC4D98"/>
    <w:rsid w:val="00BD6695"/>
    <w:rsid w:val="00BD6EFB"/>
    <w:rsid w:val="00BE0BF2"/>
    <w:rsid w:val="00BE3DF5"/>
    <w:rsid w:val="00BF5EAB"/>
    <w:rsid w:val="00C02410"/>
    <w:rsid w:val="00C0344D"/>
    <w:rsid w:val="00C115E5"/>
    <w:rsid w:val="00C1584D"/>
    <w:rsid w:val="00C15BE2"/>
    <w:rsid w:val="00C3447F"/>
    <w:rsid w:val="00C44714"/>
    <w:rsid w:val="00C57513"/>
    <w:rsid w:val="00C67102"/>
    <w:rsid w:val="00C677B0"/>
    <w:rsid w:val="00C81491"/>
    <w:rsid w:val="00C81676"/>
    <w:rsid w:val="00C85C5D"/>
    <w:rsid w:val="00C92CC4"/>
    <w:rsid w:val="00C95CD9"/>
    <w:rsid w:val="00CA0AFB"/>
    <w:rsid w:val="00CA2CE1"/>
    <w:rsid w:val="00CA3976"/>
    <w:rsid w:val="00CA3B0F"/>
    <w:rsid w:val="00CA50E3"/>
    <w:rsid w:val="00CA757B"/>
    <w:rsid w:val="00CB6885"/>
    <w:rsid w:val="00CC1787"/>
    <w:rsid w:val="00CC182C"/>
    <w:rsid w:val="00CD0824"/>
    <w:rsid w:val="00CD2908"/>
    <w:rsid w:val="00CE5D56"/>
    <w:rsid w:val="00CE640A"/>
    <w:rsid w:val="00D03A82"/>
    <w:rsid w:val="00D13667"/>
    <w:rsid w:val="00D15344"/>
    <w:rsid w:val="00D23F57"/>
    <w:rsid w:val="00D24310"/>
    <w:rsid w:val="00D31BEC"/>
    <w:rsid w:val="00D35F18"/>
    <w:rsid w:val="00D408A8"/>
    <w:rsid w:val="00D530F2"/>
    <w:rsid w:val="00D54580"/>
    <w:rsid w:val="00D63150"/>
    <w:rsid w:val="00D636BA"/>
    <w:rsid w:val="00D64A32"/>
    <w:rsid w:val="00D64EFC"/>
    <w:rsid w:val="00D74BD6"/>
    <w:rsid w:val="00D75295"/>
    <w:rsid w:val="00D75C33"/>
    <w:rsid w:val="00D76CE9"/>
    <w:rsid w:val="00D777D7"/>
    <w:rsid w:val="00D80451"/>
    <w:rsid w:val="00D8453B"/>
    <w:rsid w:val="00D849E3"/>
    <w:rsid w:val="00D97F12"/>
    <w:rsid w:val="00DA3173"/>
    <w:rsid w:val="00DA6095"/>
    <w:rsid w:val="00DB42E7"/>
    <w:rsid w:val="00DC09D8"/>
    <w:rsid w:val="00DD1F03"/>
    <w:rsid w:val="00DE01A6"/>
    <w:rsid w:val="00DE3F1E"/>
    <w:rsid w:val="00DE7A98"/>
    <w:rsid w:val="00DF1710"/>
    <w:rsid w:val="00DF32C2"/>
    <w:rsid w:val="00E25342"/>
    <w:rsid w:val="00E4194D"/>
    <w:rsid w:val="00E42500"/>
    <w:rsid w:val="00E471A7"/>
    <w:rsid w:val="00E635CF"/>
    <w:rsid w:val="00E76A32"/>
    <w:rsid w:val="00E858E6"/>
    <w:rsid w:val="00EA5B70"/>
    <w:rsid w:val="00EA778E"/>
    <w:rsid w:val="00EB00D7"/>
    <w:rsid w:val="00EB1E3B"/>
    <w:rsid w:val="00EB1F34"/>
    <w:rsid w:val="00EC6E0A"/>
    <w:rsid w:val="00ED4E18"/>
    <w:rsid w:val="00ED642E"/>
    <w:rsid w:val="00ED7922"/>
    <w:rsid w:val="00EE02C4"/>
    <w:rsid w:val="00EE1939"/>
    <w:rsid w:val="00EE1F37"/>
    <w:rsid w:val="00EF3F56"/>
    <w:rsid w:val="00F0159C"/>
    <w:rsid w:val="00F0591D"/>
    <w:rsid w:val="00F105B7"/>
    <w:rsid w:val="00F13220"/>
    <w:rsid w:val="00F13D44"/>
    <w:rsid w:val="00F17A21"/>
    <w:rsid w:val="00F36FC2"/>
    <w:rsid w:val="00F37B27"/>
    <w:rsid w:val="00F46556"/>
    <w:rsid w:val="00F50E91"/>
    <w:rsid w:val="00F56799"/>
    <w:rsid w:val="00F57D29"/>
    <w:rsid w:val="00F60413"/>
    <w:rsid w:val="00F60786"/>
    <w:rsid w:val="00F71BBA"/>
    <w:rsid w:val="00F77AF0"/>
    <w:rsid w:val="00F812BF"/>
    <w:rsid w:val="00F91BC7"/>
    <w:rsid w:val="00F9246F"/>
    <w:rsid w:val="00F96201"/>
    <w:rsid w:val="00FA1BBC"/>
    <w:rsid w:val="00FC114A"/>
    <w:rsid w:val="00FD0B18"/>
    <w:rsid w:val="00FD2FAD"/>
    <w:rsid w:val="00FE1008"/>
    <w:rsid w:val="00FE714F"/>
    <w:rsid w:val="00FF04DF"/>
    <w:rsid w:val="00FF17E8"/>
    <w:rsid w:val="00FF7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9AA937"/>
  <w15:docId w15:val="{A47FC3B8-1CD3-49E5-87AF-EBC515DF5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customStyle="1" w:styleId="hq">
    <w:name w:val="hq"/>
    <w:basedOn w:val="Normal"/>
    <w:rsid w:val="00330F81"/>
    <w:pPr>
      <w:spacing w:before="100" w:beforeAutospacing="1" w:after="100" w:afterAutospacing="1"/>
    </w:pPr>
    <w:rPr>
      <w:sz w:val="24"/>
      <w:szCs w:val="24"/>
    </w:rPr>
  </w:style>
  <w:style w:type="character" w:customStyle="1" w:styleId="UnresolvedMention1">
    <w:name w:val="Unresolved Mention1"/>
    <w:basedOn w:val="DefaultParagraphFont"/>
    <w:uiPriority w:val="99"/>
    <w:semiHidden/>
    <w:unhideWhenUsed/>
    <w:rsid w:val="00330F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vda\OneDrive\Desktop\Desktop\Case\Ivey\Marsh\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b3ec590974fed779/Desktop/Desktop/Case/Marsh/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b3ec590974fed779/Desktop/Desktop/Case/Marsh/New%20Microsoft%20Excel%20Workshe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b3ec590974fed779/Desktop/Desktop/Case/Marsh/New%20Microsoft%20Excel%20Workshee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bar"/>
        <c:grouping val="clustered"/>
        <c:varyColors val="0"/>
        <c:ser>
          <c:idx val="0"/>
          <c:order val="0"/>
          <c:tx>
            <c:strRef>
              <c:f>Sheet1!$A$2</c:f>
              <c:strCache>
                <c:ptCount val="1"/>
                <c:pt idx="0">
                  <c:v>Germany</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Sheet1!$B$1:$E$1</c:f>
              <c:strCache>
                <c:ptCount val="4"/>
                <c:pt idx="0">
                  <c:v>Less than 10%</c:v>
                </c:pt>
                <c:pt idx="1">
                  <c:v>Between 10% and 25%</c:v>
                </c:pt>
                <c:pt idx="2">
                  <c:v>Between 25% and 50%</c:v>
                </c:pt>
                <c:pt idx="3">
                  <c:v>More than 50%</c:v>
                </c:pt>
              </c:strCache>
            </c:strRef>
          </c:cat>
          <c:val>
            <c:numRef>
              <c:f>Sheet1!$B$2:$E$2</c:f>
              <c:numCache>
                <c:formatCode>#,##0</c:formatCode>
                <c:ptCount val="4"/>
                <c:pt idx="0">
                  <c:v>14</c:v>
                </c:pt>
                <c:pt idx="1">
                  <c:v>41</c:v>
                </c:pt>
                <c:pt idx="2">
                  <c:v>29</c:v>
                </c:pt>
                <c:pt idx="3">
                  <c:v>17</c:v>
                </c:pt>
              </c:numCache>
            </c:numRef>
          </c:val>
          <c:extLst>
            <c:ext xmlns:c16="http://schemas.microsoft.com/office/drawing/2014/chart" uri="{C3380CC4-5D6E-409C-BE32-E72D297353CC}">
              <c16:uniqueId val="{00000000-E6DA-4C59-B65B-958DF75B5DA1}"/>
            </c:ext>
          </c:extLst>
        </c:ser>
        <c:ser>
          <c:idx val="1"/>
          <c:order val="1"/>
          <c:tx>
            <c:strRef>
              <c:f>Sheet1!$A$3</c:f>
              <c:strCache>
                <c:ptCount val="1"/>
                <c:pt idx="0">
                  <c:v>United Kingdom</c:v>
                </c:pt>
              </c:strCache>
            </c:strRef>
          </c:tx>
          <c:spPr>
            <a:solidFill>
              <a:schemeClr val="dk1">
                <a:tint val="550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Sheet1!$B$1:$E$1</c:f>
              <c:strCache>
                <c:ptCount val="4"/>
                <c:pt idx="0">
                  <c:v>Less than 10%</c:v>
                </c:pt>
                <c:pt idx="1">
                  <c:v>Between 10% and 25%</c:v>
                </c:pt>
                <c:pt idx="2">
                  <c:v>Between 25% and 50%</c:v>
                </c:pt>
                <c:pt idx="3">
                  <c:v>More than 50%</c:v>
                </c:pt>
              </c:strCache>
            </c:strRef>
          </c:cat>
          <c:val>
            <c:numRef>
              <c:f>Sheet1!$B$3:$E$3</c:f>
              <c:numCache>
                <c:formatCode>#,##0</c:formatCode>
                <c:ptCount val="4"/>
                <c:pt idx="0">
                  <c:v>12</c:v>
                </c:pt>
                <c:pt idx="1">
                  <c:v>48</c:v>
                </c:pt>
                <c:pt idx="2">
                  <c:v>19</c:v>
                </c:pt>
                <c:pt idx="3">
                  <c:v>22</c:v>
                </c:pt>
              </c:numCache>
            </c:numRef>
          </c:val>
          <c:extLst>
            <c:ext xmlns:c16="http://schemas.microsoft.com/office/drawing/2014/chart" uri="{C3380CC4-5D6E-409C-BE32-E72D297353CC}">
              <c16:uniqueId val="{00000001-E6DA-4C59-B65B-958DF75B5DA1}"/>
            </c:ext>
          </c:extLst>
        </c:ser>
        <c:ser>
          <c:idx val="2"/>
          <c:order val="2"/>
          <c:tx>
            <c:strRef>
              <c:f>Sheet1!$A$4</c:f>
              <c:strCache>
                <c:ptCount val="1"/>
                <c:pt idx="0">
                  <c:v>United States</c:v>
                </c:pt>
              </c:strCache>
            </c:strRef>
          </c:tx>
          <c:spPr>
            <a:solidFill>
              <a:schemeClr val="dk1">
                <a:tint val="750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Sheet1!$B$1:$E$1</c:f>
              <c:strCache>
                <c:ptCount val="4"/>
                <c:pt idx="0">
                  <c:v>Less than 10%</c:v>
                </c:pt>
                <c:pt idx="1">
                  <c:v>Between 10% and 25%</c:v>
                </c:pt>
                <c:pt idx="2">
                  <c:v>Between 25% and 50%</c:v>
                </c:pt>
                <c:pt idx="3">
                  <c:v>More than 50%</c:v>
                </c:pt>
              </c:strCache>
            </c:strRef>
          </c:cat>
          <c:val>
            <c:numRef>
              <c:f>Sheet1!$B$4:$E$4</c:f>
              <c:numCache>
                <c:formatCode>#,##0</c:formatCode>
                <c:ptCount val="4"/>
                <c:pt idx="0">
                  <c:v>15</c:v>
                </c:pt>
                <c:pt idx="1">
                  <c:v>34</c:v>
                </c:pt>
                <c:pt idx="2">
                  <c:v>20</c:v>
                </c:pt>
                <c:pt idx="3">
                  <c:v>32</c:v>
                </c:pt>
              </c:numCache>
            </c:numRef>
          </c:val>
          <c:extLst>
            <c:ext xmlns:c16="http://schemas.microsoft.com/office/drawing/2014/chart" uri="{C3380CC4-5D6E-409C-BE32-E72D297353CC}">
              <c16:uniqueId val="{00000002-E6DA-4C59-B65B-958DF75B5DA1}"/>
            </c:ext>
          </c:extLst>
        </c:ser>
        <c:dLbls>
          <c:dLblPos val="outEnd"/>
          <c:showLegendKey val="0"/>
          <c:showVal val="1"/>
          <c:showCatName val="0"/>
          <c:showSerName val="0"/>
          <c:showPercent val="0"/>
          <c:showBubbleSize val="0"/>
        </c:dLbls>
        <c:gapWidth val="182"/>
        <c:axId val="1015458032"/>
        <c:axId val="1015467832"/>
      </c:barChart>
      <c:catAx>
        <c:axId val="1015458032"/>
        <c:scaling>
          <c:orientation val="minMax"/>
        </c:scaling>
        <c:delete val="0"/>
        <c:axPos val="l"/>
        <c:title>
          <c:tx>
            <c:rich>
              <a:bodyPr rot="-540000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r>
                  <a:rPr lang="en-GB" b="1"/>
                  <a:t>Category</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015467832"/>
        <c:crosses val="autoZero"/>
        <c:auto val="1"/>
        <c:lblAlgn val="ctr"/>
        <c:lblOffset val="100"/>
        <c:noMultiLvlLbl val="0"/>
      </c:catAx>
      <c:valAx>
        <c:axId val="10154678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r>
                  <a:rPr lang="en-GB" b="1"/>
                  <a:t>Percentage of Income Lost Due to the COVID-19 Pandemic</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015458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'[New Microsoft Excel Worksheet.xlsx]Sheet2'!$B$1</c:f>
              <c:strCache>
                <c:ptCount val="1"/>
                <c:pt idx="0">
                  <c:v>One-Month Net Change</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'[New Microsoft Excel Worksheet.xlsx]Sheet2'!$A$2:$A$9</c:f>
              <c:strCache>
                <c:ptCount val="8"/>
                <c:pt idx="0">
                  <c:v>Government</c:v>
                </c:pt>
                <c:pt idx="1">
                  <c:v>Information</c:v>
                </c:pt>
                <c:pt idx="2">
                  <c:v>Manufacturing</c:v>
                </c:pt>
                <c:pt idx="3">
                  <c:v>Construction</c:v>
                </c:pt>
                <c:pt idx="4">
                  <c:v>Retail trade</c:v>
                </c:pt>
                <c:pt idx="5">
                  <c:v>Professional and business Services</c:v>
                </c:pt>
                <c:pt idx="6">
                  <c:v>Health care and social assistance</c:v>
                </c:pt>
                <c:pt idx="7">
                  <c:v>Leisure and hospitality</c:v>
                </c:pt>
              </c:strCache>
            </c:strRef>
          </c:cat>
          <c:val>
            <c:numRef>
              <c:f>'[New Microsoft Excel Worksheet.xlsx]Sheet2'!$B$2:$B$9</c:f>
              <c:numCache>
                <c:formatCode>0</c:formatCode>
                <c:ptCount val="8"/>
                <c:pt idx="0">
                  <c:v>12</c:v>
                </c:pt>
                <c:pt idx="1">
                  <c:v>2</c:v>
                </c:pt>
                <c:pt idx="2">
                  <c:v>-18</c:v>
                </c:pt>
                <c:pt idx="3">
                  <c:v>-29</c:v>
                </c:pt>
                <c:pt idx="4">
                  <c:v>-46.2</c:v>
                </c:pt>
                <c:pt idx="5">
                  <c:v>-52</c:v>
                </c:pt>
                <c:pt idx="6">
                  <c:v>-61.2</c:v>
                </c:pt>
                <c:pt idx="7">
                  <c:v>-459</c:v>
                </c:pt>
              </c:numCache>
            </c:numRef>
          </c:val>
          <c:extLst>
            <c:ext xmlns:c16="http://schemas.microsoft.com/office/drawing/2014/chart" uri="{C3380CC4-5D6E-409C-BE32-E72D297353CC}">
              <c16:uniqueId val="{00000000-C357-4901-96DC-898FD5AC6BAD}"/>
            </c:ext>
          </c:extLst>
        </c:ser>
        <c:dLbls>
          <c:dLblPos val="outEnd"/>
          <c:showLegendKey val="0"/>
          <c:showVal val="1"/>
          <c:showCatName val="0"/>
          <c:showSerName val="0"/>
          <c:showPercent val="0"/>
          <c:showBubbleSize val="0"/>
        </c:dLbls>
        <c:gapWidth val="219"/>
        <c:overlap val="-27"/>
        <c:axId val="1015457640"/>
        <c:axId val="1015458424"/>
      </c:barChart>
      <c:catAx>
        <c:axId val="101545764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r>
                  <a:rPr lang="en-GB" b="1"/>
                  <a:t>Sector</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015458424"/>
        <c:crosses val="autoZero"/>
        <c:auto val="1"/>
        <c:lblAlgn val="ctr"/>
        <c:lblOffset val="200"/>
        <c:noMultiLvlLbl val="0"/>
      </c:catAx>
      <c:valAx>
        <c:axId val="1015458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r>
                  <a:rPr lang="en-GB" b="1"/>
                  <a:t>Net Change (in 000s)</a:t>
                </a:r>
              </a:p>
            </c:rich>
          </c:tx>
          <c:layout>
            <c:manualLayout>
              <c:xMode val="edge"/>
              <c:yMode val="edge"/>
              <c:x val="2.6981445476057863E-2"/>
              <c:y val="0.37311616869809078"/>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0154576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'[New Microsoft Excel Worksheet.xlsx]Sheet4'!$B$1</c:f>
              <c:strCache>
                <c:ptCount val="1"/>
                <c:pt idx="0">
                  <c:v>Return on Equity (%)</c:v>
                </c:pt>
              </c:strCache>
            </c:strRef>
          </c:tx>
          <c:spPr>
            <a:ln w="28575" cap="rnd">
              <a:solidFill>
                <a:schemeClr val="dk1">
                  <a:tint val="88500"/>
                </a:schemeClr>
              </a:solidFill>
              <a:round/>
            </a:ln>
            <a:effectLst/>
          </c:spPr>
          <c:marker>
            <c:symbol val="none"/>
          </c:marker>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 Microsoft Excel Worksheet.xlsx]Sheet4'!$A$2:$A$6</c:f>
              <c:numCache>
                <c:formatCode>General</c:formatCode>
                <c:ptCount val="5"/>
                <c:pt idx="0">
                  <c:v>2014</c:v>
                </c:pt>
                <c:pt idx="1">
                  <c:v>2015</c:v>
                </c:pt>
                <c:pt idx="2">
                  <c:v>2016</c:v>
                </c:pt>
                <c:pt idx="3">
                  <c:v>2017</c:v>
                </c:pt>
                <c:pt idx="4">
                  <c:v>2018</c:v>
                </c:pt>
              </c:numCache>
            </c:numRef>
          </c:cat>
          <c:val>
            <c:numRef>
              <c:f>'[New Microsoft Excel Worksheet.xlsx]Sheet4'!$B$2:$B$6</c:f>
              <c:numCache>
                <c:formatCode>General</c:formatCode>
                <c:ptCount val="5"/>
                <c:pt idx="0">
                  <c:v>12.5</c:v>
                </c:pt>
                <c:pt idx="1">
                  <c:v>10.4</c:v>
                </c:pt>
                <c:pt idx="2">
                  <c:v>8.4</c:v>
                </c:pt>
                <c:pt idx="3">
                  <c:v>1.6</c:v>
                </c:pt>
                <c:pt idx="4">
                  <c:v>2.9</c:v>
                </c:pt>
              </c:numCache>
            </c:numRef>
          </c:val>
          <c:smooth val="0"/>
          <c:extLst>
            <c:ext xmlns:c16="http://schemas.microsoft.com/office/drawing/2014/chart" uri="{C3380CC4-5D6E-409C-BE32-E72D297353CC}">
              <c16:uniqueId val="{00000000-09E6-4613-81F4-077C77BACA62}"/>
            </c:ext>
          </c:extLst>
        </c:ser>
        <c:dLbls>
          <c:dLblPos val="t"/>
          <c:showLegendKey val="0"/>
          <c:showVal val="1"/>
          <c:showCatName val="0"/>
          <c:showSerName val="0"/>
          <c:showPercent val="0"/>
          <c:showBubbleSize val="0"/>
        </c:dLbls>
        <c:smooth val="0"/>
        <c:axId val="1015465480"/>
        <c:axId val="1015461560"/>
      </c:lineChart>
      <c:catAx>
        <c:axId val="101546548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r>
                  <a:rPr lang="en-US" b="1"/>
                  <a:t>Year</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015461560"/>
        <c:crosses val="autoZero"/>
        <c:auto val="1"/>
        <c:lblAlgn val="ctr"/>
        <c:lblOffset val="100"/>
        <c:noMultiLvlLbl val="0"/>
      </c:catAx>
      <c:valAx>
        <c:axId val="1015461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r>
                  <a:rPr lang="en-GB" b="1"/>
                  <a:t>Return on Equity %</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0154654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'[New Microsoft Excel Worksheet.xlsx]Sheet5'!$F$1</c:f>
              <c:strCache>
                <c:ptCount val="1"/>
                <c:pt idx="0">
                  <c:v>AUM in Alternative Capital (%)</c:v>
                </c:pt>
              </c:strCache>
            </c:strRef>
          </c:tx>
          <c:spPr>
            <a:ln w="31750" cap="rnd">
              <a:solidFill>
                <a:schemeClr val="dk1">
                  <a:tint val="88500"/>
                </a:schemeClr>
              </a:solidFill>
              <a:round/>
            </a:ln>
            <a:effectLst/>
          </c:spPr>
          <c:marker>
            <c:symbol val="circle"/>
            <c:size val="17"/>
            <c:spPr>
              <a:solidFill>
                <a:schemeClr val="dk1">
                  <a:tint val="88500"/>
                </a:schemeClr>
              </a:solidFill>
              <a:ln>
                <a:noFill/>
              </a:ln>
              <a:effectLst/>
            </c:spPr>
          </c:marker>
          <c:dLbls>
            <c:dLbl>
              <c:idx val="0"/>
              <c:layout>
                <c:manualLayout>
                  <c:x val="-6.8379746835443039E-2"/>
                  <c:y val="8.27886710239650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868-45F8-A9F0-09B8F4BEC978}"/>
                </c:ext>
              </c:extLst>
            </c:dLbl>
            <c:dLbl>
              <c:idx val="1"/>
              <c:layout>
                <c:manualLayout>
                  <c:x val="-5.825316455696207E-2"/>
                  <c:y val="7.843137254901964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868-45F8-A9F0-09B8F4BEC978}"/>
                </c:ext>
              </c:extLst>
            </c:dLbl>
            <c:dLbl>
              <c:idx val="2"/>
              <c:layout>
                <c:manualLayout>
                  <c:x val="-5.8253164556962028E-2"/>
                  <c:y val="8.278867102396510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868-45F8-A9F0-09B8F4BEC978}"/>
                </c:ext>
              </c:extLst>
            </c:dLbl>
            <c:dLbl>
              <c:idx val="3"/>
              <c:layout>
                <c:manualLayout>
                  <c:x val="-5.3189873417721516E-2"/>
                  <c:y val="8.278867102396514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868-45F8-A9F0-09B8F4BEC978}"/>
                </c:ext>
              </c:extLst>
            </c:dLbl>
            <c:dLbl>
              <c:idx val="4"/>
              <c:layout>
                <c:manualLayout>
                  <c:x val="-5.3189873417721516E-2"/>
                  <c:y val="7.843137254901959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868-45F8-A9F0-09B8F4BEC978}"/>
                </c:ext>
              </c:extLst>
            </c:dLbl>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'[New Microsoft Excel Worksheet.xlsx]Sheet5'!$E$2:$E$6</c:f>
              <c:numCache>
                <c:formatCode>General</c:formatCode>
                <c:ptCount val="5"/>
                <c:pt idx="0">
                  <c:v>2014</c:v>
                </c:pt>
                <c:pt idx="1">
                  <c:v>2015</c:v>
                </c:pt>
                <c:pt idx="2">
                  <c:v>2016</c:v>
                </c:pt>
                <c:pt idx="3">
                  <c:v>2017</c:v>
                </c:pt>
                <c:pt idx="4">
                  <c:v>2018</c:v>
                </c:pt>
              </c:numCache>
            </c:numRef>
          </c:cat>
          <c:val>
            <c:numRef>
              <c:f>'[New Microsoft Excel Worksheet.xlsx]Sheet5'!$F$2:$F$6</c:f>
              <c:numCache>
                <c:formatCode>0.00</c:formatCode>
                <c:ptCount val="5"/>
                <c:pt idx="0">
                  <c:v>11.130434782608695</c:v>
                </c:pt>
                <c:pt idx="1">
                  <c:v>12.743362831858407</c:v>
                </c:pt>
                <c:pt idx="2">
                  <c:v>13.61344537815126</c:v>
                </c:pt>
                <c:pt idx="3">
                  <c:v>14.710743801652892</c:v>
                </c:pt>
                <c:pt idx="4">
                  <c:v>16.581196581196579</c:v>
                </c:pt>
              </c:numCache>
            </c:numRef>
          </c:val>
          <c:smooth val="0"/>
          <c:extLst>
            <c:ext xmlns:c16="http://schemas.microsoft.com/office/drawing/2014/chart" uri="{C3380CC4-5D6E-409C-BE32-E72D297353CC}">
              <c16:uniqueId val="{00000005-7868-45F8-A9F0-09B8F4BEC978}"/>
            </c:ext>
          </c:extLst>
        </c:ser>
        <c:dLbls>
          <c:dLblPos val="ctr"/>
          <c:showLegendKey val="0"/>
          <c:showVal val="1"/>
          <c:showCatName val="0"/>
          <c:showSerName val="0"/>
          <c:showPercent val="0"/>
          <c:showBubbleSize val="0"/>
        </c:dLbls>
        <c:marker val="1"/>
        <c:smooth val="0"/>
        <c:axId val="1015466264"/>
        <c:axId val="1015466656"/>
      </c:lineChart>
      <c:catAx>
        <c:axId val="1015466264"/>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r>
                  <a:rPr lang="en-US"/>
                  <a:t>Year</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1000" b="0" i="0" u="none" strike="noStrike" kern="1200" cap="all" baseline="0">
                <a:solidFill>
                  <a:schemeClr val="tx1"/>
                </a:solidFill>
                <a:latin typeface="Arial" panose="020B0604020202020204" pitchFamily="34" charset="0"/>
                <a:ea typeface="+mn-ea"/>
                <a:cs typeface="Arial" panose="020B0604020202020204" pitchFamily="34" charset="0"/>
              </a:defRPr>
            </a:pPr>
            <a:endParaRPr lang="en-US"/>
          </a:p>
        </c:txPr>
        <c:crossAx val="1015466656"/>
        <c:crosses val="autoZero"/>
        <c:auto val="1"/>
        <c:lblAlgn val="ctr"/>
        <c:lblOffset val="100"/>
        <c:noMultiLvlLbl val="0"/>
      </c:catAx>
      <c:valAx>
        <c:axId val="1015466656"/>
        <c:scaling>
          <c:orientation val="minMax"/>
        </c:scaling>
        <c:delete val="1"/>
        <c:axPos val="l"/>
        <c:title>
          <c:tx>
            <c:rich>
              <a:bodyPr rot="-540000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r>
                  <a:rPr lang="en-US"/>
                  <a:t>AUM in Alternative Capital (%)</a:t>
                </a:r>
                <a:endParaRPr lang="en-GB"/>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0.00" sourceLinked="1"/>
        <c:majorTickMark val="none"/>
        <c:minorTickMark val="none"/>
        <c:tickLblPos val="nextTo"/>
        <c:crossAx val="1015466264"/>
        <c:crosses val="autoZero"/>
        <c:crossBetween val="between"/>
      </c:valAx>
      <c:spPr>
        <a:noFill/>
        <a:ln>
          <a:noFill/>
        </a:ln>
        <a:effectLst/>
      </c:spPr>
    </c:plotArea>
    <c:plotVisOnly val="1"/>
    <c:dispBlanksAs val="gap"/>
    <c:showDLblsOverMax val="0"/>
  </c:chart>
  <c:spPr>
    <a:noFill/>
    <a:ln w="9525" cap="flat" cmpd="sng" algn="ctr">
      <a:solidFill>
        <a:schemeClr val="tx1"/>
      </a:solidFill>
      <a:round/>
    </a:ln>
    <a:effectLst/>
  </c:spPr>
  <c:txPr>
    <a:bodyPr/>
    <a:lstStyle/>
    <a:p>
      <a:pPr>
        <a:defRPr sz="10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20E634-EE11-4185-BA38-7BA92280C1B4}">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28AD9-AE22-471C-AE73-95DB1674B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3419</Words>
  <Characters>19494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cp:lastModifiedBy>McCutcheon, Amber</cp:lastModifiedBy>
  <cp:revision>4</cp:revision>
  <dcterms:created xsi:type="dcterms:W3CDTF">2021-02-16T21:44:00Z</dcterms:created>
  <dcterms:modified xsi:type="dcterms:W3CDTF">2021-02-17T13:05:00Z</dcterms:modified>
</cp:coreProperties>
</file>