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5"/>
        <w:gridCol w:w="4605"/>
      </w:tblGrid>
      <w:tr w:rsidR="0042456E" w:rsidRPr="0042456E" w14:paraId="476D2C35" w14:textId="77777777" w:rsidTr="00D66E77">
        <w:tc>
          <w:tcPr>
            <w:tcW w:w="4788" w:type="dxa"/>
          </w:tcPr>
          <w:p w14:paraId="0A89F702" w14:textId="77777777" w:rsidR="0042456E" w:rsidRPr="0042456E" w:rsidRDefault="0042456E" w:rsidP="0042456E">
            <w:pPr>
              <w:tabs>
                <w:tab w:val="left" w:pos="-1440"/>
                <w:tab w:val="left" w:pos="-720"/>
                <w:tab w:val="left" w:pos="1"/>
              </w:tabs>
              <w:jc w:val="both"/>
              <w:rPr>
                <w:rFonts w:ascii="Arial" w:hAnsi="Arial"/>
                <w:b/>
                <w:sz w:val="24"/>
              </w:rPr>
            </w:pPr>
            <w:r w:rsidRPr="0042456E">
              <w:rPr>
                <w:rFonts w:ascii="Arial" w:hAnsi="Arial"/>
                <w:b/>
                <w:noProof/>
                <w:sz w:val="24"/>
              </w:rPr>
              <w:drawing>
                <wp:inline distT="0" distB="0" distL="0" distR="0" wp14:anchorId="457FDB4E" wp14:editId="361836EE">
                  <wp:extent cx="2613804" cy="551245"/>
                  <wp:effectExtent l="0" t="0" r="0" b="1270"/>
                  <wp:docPr id="2" name="Picture 2" descr="Ivey Publish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tc>
        <w:tc>
          <w:tcPr>
            <w:tcW w:w="4788" w:type="dxa"/>
          </w:tcPr>
          <w:p w14:paraId="69D5BAD3" w14:textId="77777777" w:rsidR="0042456E" w:rsidRPr="0042456E" w:rsidRDefault="0042456E" w:rsidP="0042456E">
            <w:pPr>
              <w:tabs>
                <w:tab w:val="left" w:pos="-1440"/>
                <w:tab w:val="left" w:pos="-720"/>
                <w:tab w:val="left" w:pos="1"/>
              </w:tabs>
              <w:jc w:val="both"/>
              <w:rPr>
                <w:rFonts w:ascii="Arial" w:hAnsi="Arial"/>
                <w:b/>
                <w:sz w:val="24"/>
              </w:rPr>
            </w:pPr>
            <w:r w:rsidRPr="0042456E">
              <w:rPr>
                <w:rFonts w:ascii="Arial" w:hAnsi="Arial"/>
                <w:b/>
                <w:noProof/>
                <w:sz w:val="24"/>
              </w:rPr>
              <w:drawing>
                <wp:anchor distT="0" distB="0" distL="114300" distR="114300" simplePos="0" relativeHeight="251659264" behindDoc="1" locked="0" layoutInCell="1" allowOverlap="1" wp14:anchorId="7468CF8C" wp14:editId="621DEF12">
                  <wp:simplePos x="0" y="0"/>
                  <wp:positionH relativeFrom="column">
                    <wp:posOffset>1651635</wp:posOffset>
                  </wp:positionH>
                  <wp:positionV relativeFrom="paragraph">
                    <wp:posOffset>20320</wp:posOffset>
                  </wp:positionV>
                  <wp:extent cx="1304290" cy="548640"/>
                  <wp:effectExtent l="0" t="0" r="0" b="3810"/>
                  <wp:wrapTight wrapText="bothSides">
                    <wp:wrapPolygon edited="0">
                      <wp:start x="0" y="0"/>
                      <wp:lineTo x="0" y="21000"/>
                      <wp:lineTo x="21137" y="21000"/>
                      <wp:lineTo x="21137" y="0"/>
                      <wp:lineTo x="0" y="0"/>
                    </wp:wrapPolygon>
                  </wp:wrapTight>
                  <wp:docPr id="3" name="Picture 3" descr="National University of Singapor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_greyscale"/>
                          <pic:cNvPicPr>
                            <a:picLocks noChangeAspect="1" noChangeArrowheads="1"/>
                          </pic:cNvPicPr>
                        </pic:nvPicPr>
                        <pic:blipFill>
                          <a:blip r:embed="rId9" cstate="print">
                            <a:extLst>
                              <a:ext uri="{28A0092B-C50C-407E-A947-70E740481C1C}">
                                <a14:useLocalDpi xmlns:a14="http://schemas.microsoft.com/office/drawing/2010/main" val="0"/>
                              </a:ext>
                            </a:extLst>
                          </a:blip>
                          <a:srcRect t="13083" b="16718"/>
                          <a:stretch>
                            <a:fillRect/>
                          </a:stretch>
                        </pic:blipFill>
                        <pic:spPr bwMode="auto">
                          <a:xfrm>
                            <a:off x="0" y="0"/>
                            <a:ext cx="1304290" cy="54864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14:paraId="4245DB40" w14:textId="77777777" w:rsidR="0042456E" w:rsidRPr="0042456E" w:rsidRDefault="0042456E" w:rsidP="0042456E">
      <w:pPr>
        <w:pBdr>
          <w:bottom w:val="single" w:sz="18" w:space="1" w:color="auto"/>
        </w:pBdr>
        <w:tabs>
          <w:tab w:val="left" w:pos="-1440"/>
          <w:tab w:val="left" w:pos="-720"/>
          <w:tab w:val="left" w:pos="1"/>
        </w:tabs>
        <w:jc w:val="both"/>
        <w:rPr>
          <w:rFonts w:ascii="Arial" w:hAnsi="Arial"/>
          <w:b/>
          <w:sz w:val="2"/>
          <w:szCs w:val="2"/>
          <w:lang w:val="en-CA"/>
        </w:rPr>
      </w:pPr>
    </w:p>
    <w:p w14:paraId="61BBD9A0" w14:textId="1D203306" w:rsidR="00C02410" w:rsidRPr="00F03407" w:rsidRDefault="00F03407" w:rsidP="0042456E">
      <w:pPr>
        <w:pStyle w:val="ProductNumber"/>
        <w:rPr>
          <w:rFonts w:cs="Arial"/>
          <w:szCs w:val="24"/>
          <w:lang w:val="en-GB"/>
        </w:rPr>
      </w:pPr>
      <w:r w:rsidRPr="00F03407">
        <w:rPr>
          <w:rFonts w:cs="Arial"/>
          <w:caps w:val="0"/>
          <w:szCs w:val="24"/>
          <w:lang w:val="en-CA"/>
        </w:rPr>
        <w:t>9B21M024</w:t>
      </w:r>
    </w:p>
    <w:p w14:paraId="4E057522" w14:textId="7A113CB1" w:rsidR="00D75295" w:rsidRPr="00B04967" w:rsidRDefault="00D75295" w:rsidP="00D75295">
      <w:pPr>
        <w:jc w:val="right"/>
        <w:rPr>
          <w:rFonts w:ascii="Arial" w:hAnsi="Arial"/>
          <w:b/>
          <w:lang w:val="en-GB"/>
        </w:rPr>
      </w:pPr>
    </w:p>
    <w:p w14:paraId="02524312" w14:textId="77777777" w:rsidR="001901C0" w:rsidRPr="00B04967" w:rsidRDefault="001901C0" w:rsidP="00D75295">
      <w:pPr>
        <w:jc w:val="right"/>
        <w:rPr>
          <w:rFonts w:ascii="Arial" w:hAnsi="Arial"/>
          <w:b/>
          <w:lang w:val="en-GB"/>
        </w:rPr>
      </w:pPr>
    </w:p>
    <w:p w14:paraId="2F03D26A" w14:textId="71FC6BC5" w:rsidR="00EF5834" w:rsidRPr="00B04967" w:rsidRDefault="00825E1E" w:rsidP="00013360">
      <w:pPr>
        <w:pStyle w:val="CaseTitle"/>
        <w:spacing w:after="0" w:line="240" w:lineRule="auto"/>
        <w:rPr>
          <w:sz w:val="20"/>
          <w:szCs w:val="20"/>
          <w:lang w:val="en-GB"/>
        </w:rPr>
      </w:pPr>
      <w:r w:rsidRPr="00B04967">
        <w:rPr>
          <w:lang w:val="en-GB"/>
        </w:rPr>
        <w:t>USHA MARTIN</w:t>
      </w:r>
      <w:r w:rsidR="00C77F83">
        <w:rPr>
          <w:lang w:val="en-GB"/>
        </w:rPr>
        <w:t xml:space="preserve"> Limited</w:t>
      </w:r>
      <w:r w:rsidRPr="00B04967">
        <w:rPr>
          <w:lang w:val="en-GB"/>
        </w:rPr>
        <w:t xml:space="preserve">: </w:t>
      </w:r>
      <w:r w:rsidR="00A74C7E">
        <w:rPr>
          <w:lang w:val="en-GB"/>
        </w:rPr>
        <w:t>Unravelling</w:t>
      </w:r>
      <w:r w:rsidR="00A74C7E" w:rsidRPr="00B04967">
        <w:rPr>
          <w:lang w:val="en-GB"/>
        </w:rPr>
        <w:t xml:space="preserve"> </w:t>
      </w:r>
      <w:r w:rsidRPr="00B04967">
        <w:rPr>
          <w:lang w:val="en-GB"/>
        </w:rPr>
        <w:t>the VERT</w:t>
      </w:r>
      <w:r w:rsidR="00D92414" w:rsidRPr="00B04967">
        <w:rPr>
          <w:lang w:val="en-GB"/>
        </w:rPr>
        <w:t>I</w:t>
      </w:r>
      <w:r w:rsidRPr="00B04967">
        <w:rPr>
          <w:lang w:val="en-GB"/>
        </w:rPr>
        <w:t>CAL INTEGRATION STRATEGY</w:t>
      </w:r>
      <w:r w:rsidR="00EF5834" w:rsidRPr="00B04967">
        <w:rPr>
          <w:rStyle w:val="EndnoteReference"/>
          <w:lang w:val="en-GB"/>
        </w:rPr>
        <w:endnoteReference w:id="1"/>
      </w:r>
    </w:p>
    <w:p w14:paraId="40ABF6FD" w14:textId="77777777" w:rsidR="00EF5834" w:rsidRPr="00B04967" w:rsidRDefault="00EF5834" w:rsidP="00013360">
      <w:pPr>
        <w:pStyle w:val="CaseTitle"/>
        <w:spacing w:after="0" w:line="240" w:lineRule="auto"/>
        <w:rPr>
          <w:sz w:val="20"/>
          <w:szCs w:val="20"/>
          <w:lang w:val="en-GB"/>
        </w:rPr>
      </w:pPr>
    </w:p>
    <w:p w14:paraId="202F1085" w14:textId="77777777" w:rsidR="00EF5834" w:rsidRPr="00B04967" w:rsidRDefault="00EF5834" w:rsidP="00013360">
      <w:pPr>
        <w:pStyle w:val="CaseTitle"/>
        <w:spacing w:after="0" w:line="240" w:lineRule="auto"/>
        <w:rPr>
          <w:sz w:val="20"/>
          <w:szCs w:val="20"/>
          <w:lang w:val="en-GB"/>
        </w:rPr>
      </w:pPr>
    </w:p>
    <w:p w14:paraId="58B0C73F" w14:textId="581C8A3A" w:rsidR="00EF5834" w:rsidRPr="00B04967" w:rsidRDefault="00EF5834" w:rsidP="00086B26">
      <w:pPr>
        <w:pStyle w:val="StyleCopyrightStatementAfter0ptBottomSinglesolidline1"/>
        <w:rPr>
          <w:lang w:val="en-GB"/>
        </w:rPr>
      </w:pPr>
      <w:r w:rsidRPr="00B04967">
        <w:rPr>
          <w:lang w:val="en-GB"/>
        </w:rPr>
        <w:t>Professor Nitin Pangarkar</w:t>
      </w:r>
      <w:r w:rsidRPr="00B04967">
        <w:rPr>
          <w:rFonts w:cs="Arial"/>
          <w:szCs w:val="16"/>
          <w:lang w:val="en-GB"/>
        </w:rPr>
        <w:t xml:space="preserve"> </w:t>
      </w:r>
      <w:r w:rsidRPr="00B04967">
        <w:rPr>
          <w:lang w:val="en-GB"/>
        </w:rPr>
        <w:t xml:space="preserve">wrote this case solely to provide material for class discussion. The </w:t>
      </w:r>
      <w:r>
        <w:rPr>
          <w:lang w:val="en-GB"/>
        </w:rPr>
        <w:t>author does</w:t>
      </w:r>
      <w:r w:rsidRPr="00B04967">
        <w:rPr>
          <w:lang w:val="en-GB"/>
        </w:rPr>
        <w:t xml:space="preserve"> not intend to illustrate either effective or ineffective handling of a managerial situation. The </w:t>
      </w:r>
      <w:r>
        <w:rPr>
          <w:lang w:val="en-GB"/>
        </w:rPr>
        <w:t>author</w:t>
      </w:r>
      <w:r w:rsidRPr="00B04967">
        <w:rPr>
          <w:lang w:val="en-GB"/>
        </w:rPr>
        <w:t xml:space="preserve"> may have disguised certain names and other identifying information to protect confidentiality.</w:t>
      </w:r>
    </w:p>
    <w:p w14:paraId="10D89D5F" w14:textId="77777777" w:rsidR="00EF5834" w:rsidRPr="00B04967" w:rsidRDefault="00EF5834" w:rsidP="00086B26">
      <w:pPr>
        <w:pStyle w:val="StyleCopyrightStatementAfter0ptBottomSinglesolidline1"/>
        <w:rPr>
          <w:lang w:val="en-GB"/>
        </w:rPr>
      </w:pPr>
    </w:p>
    <w:p w14:paraId="4E3C6BA4" w14:textId="77777777" w:rsidR="00EF5834" w:rsidRDefault="00EF5834" w:rsidP="00F03407">
      <w:pPr>
        <w:jc w:val="both"/>
        <w:rPr>
          <w:rFonts w:ascii="Arial" w:hAnsi="Arial" w:cs="Arial"/>
          <w:i/>
          <w:iCs/>
          <w:sz w:val="16"/>
          <w:szCs w:val="16"/>
          <w:lang w:val="en-CA"/>
        </w:rPr>
      </w:pPr>
      <w:r>
        <w:rPr>
          <w:rFonts w:ascii="Arial" w:hAnsi="Arial" w:cs="Arial"/>
          <w:i/>
          <w:iCs/>
          <w:sz w:val="16"/>
          <w:szCs w:val="16"/>
          <w:lang w:val="en-CA"/>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452769">
          <w:rPr>
            <w:rFonts w:ascii="Arial" w:hAnsi="Arial" w:cs="Arial"/>
            <w:i/>
            <w:iCs/>
            <w:sz w:val="16"/>
            <w:szCs w:val="16"/>
            <w:lang w:val="en-CA"/>
          </w:rPr>
          <w:t>cases@ivey.ca</w:t>
        </w:r>
      </w:hyperlink>
      <w:r>
        <w:rPr>
          <w:rFonts w:ascii="Arial" w:hAnsi="Arial" w:cs="Arial"/>
          <w:i/>
          <w:iCs/>
          <w:sz w:val="16"/>
          <w:szCs w:val="16"/>
          <w:lang w:val="en-CA"/>
        </w:rPr>
        <w:t xml:space="preserve">; </w:t>
      </w:r>
      <w:hyperlink r:id="rId11" w:history="1">
        <w:r w:rsidRPr="00452769">
          <w:rPr>
            <w:rFonts w:ascii="Arial" w:hAnsi="Arial" w:cs="Arial"/>
            <w:i/>
            <w:iCs/>
            <w:sz w:val="16"/>
            <w:szCs w:val="16"/>
            <w:lang w:val="en-CA"/>
          </w:rPr>
          <w:t>www.iveycases.com</w:t>
        </w:r>
      </w:hyperlink>
      <w:r>
        <w:rPr>
          <w:rFonts w:ascii="Arial" w:hAnsi="Arial" w:cs="Arial"/>
          <w:i/>
          <w:iCs/>
          <w:sz w:val="16"/>
          <w:szCs w:val="16"/>
          <w:lang w:val="en-CA"/>
        </w:rPr>
        <w:t>.</w:t>
      </w:r>
    </w:p>
    <w:p w14:paraId="7EFA3FD3" w14:textId="77777777" w:rsidR="00EF5834" w:rsidRDefault="00EF5834" w:rsidP="00F03407">
      <w:pPr>
        <w:pStyle w:val="StyleCopyrightStatementAfter0ptBottomSinglesolidline1"/>
        <w:pBdr>
          <w:top w:val="none" w:sz="0" w:space="0" w:color="auto"/>
        </w:pBdr>
      </w:pPr>
    </w:p>
    <w:p w14:paraId="3922E14F" w14:textId="3015ECE7" w:rsidR="00EF5834" w:rsidRPr="00B04967" w:rsidRDefault="00EF5834" w:rsidP="00F03407">
      <w:pPr>
        <w:pStyle w:val="StyleStyleCopyrightStatementAfter0ptBottomSinglesolid"/>
        <w:rPr>
          <w:rFonts w:cs="Arial"/>
          <w:szCs w:val="16"/>
          <w:lang w:val="en-GB"/>
        </w:rPr>
      </w:pPr>
      <w:r>
        <w:t>Copyright © 20</w:t>
      </w:r>
      <w:r>
        <w:t>21</w:t>
      </w:r>
      <w:r>
        <w:t xml:space="preserve">, </w:t>
      </w:r>
      <w:r w:rsidRPr="004415A3">
        <w:rPr>
          <w:lang w:val="en-CA"/>
        </w:rPr>
        <w:t xml:space="preserve">National University of Singapore and Ivey Business </w:t>
      </w:r>
      <w:r>
        <w:rPr>
          <w:lang w:val="en-CA"/>
        </w:rPr>
        <w:t xml:space="preserve">School </w:t>
      </w:r>
      <w:r w:rsidRPr="004415A3">
        <w:rPr>
          <w:lang w:val="en-CA"/>
        </w:rPr>
        <w:t>Foundation</w:t>
      </w:r>
      <w:r w:rsidRPr="00007B22">
        <w:rPr>
          <w:lang w:val="en-CA"/>
        </w:rPr>
        <w:tab/>
        <w:t xml:space="preserve">Version: </w:t>
      </w:r>
      <w:r>
        <w:rPr>
          <w:lang w:val="en-CA"/>
        </w:rPr>
        <w:t>2021-03-04</w:t>
      </w:r>
    </w:p>
    <w:p w14:paraId="0A2A54E4" w14:textId="77777777" w:rsidR="00EF5834" w:rsidRPr="00B04967" w:rsidRDefault="00EF5834" w:rsidP="00751E0B">
      <w:pPr>
        <w:pStyle w:val="StyleCopyrightStatementAfter0ptBottomSinglesolidline1"/>
        <w:rPr>
          <w:rFonts w:ascii="Times New Roman" w:hAnsi="Times New Roman"/>
          <w:sz w:val="20"/>
          <w:lang w:val="en-GB"/>
        </w:rPr>
      </w:pPr>
    </w:p>
    <w:p w14:paraId="2C183161" w14:textId="15513BA7" w:rsidR="00EF5834" w:rsidRPr="00B04967" w:rsidRDefault="00EF5834" w:rsidP="002B40FF">
      <w:pPr>
        <w:pStyle w:val="Casehead1"/>
        <w:rPr>
          <w:lang w:val="en-GB"/>
        </w:rPr>
      </w:pPr>
    </w:p>
    <w:p w14:paraId="4EB5DFB6" w14:textId="75E76E60" w:rsidR="00EF5834" w:rsidRPr="00B04967" w:rsidRDefault="00EF5834">
      <w:pPr>
        <w:pStyle w:val="BodyTextMain"/>
        <w:rPr>
          <w:lang w:val="en-GB"/>
        </w:rPr>
      </w:pPr>
      <w:r w:rsidRPr="00B04967">
        <w:rPr>
          <w:lang w:val="en-GB"/>
        </w:rPr>
        <w:t>In May 2020, Usha Martin</w:t>
      </w:r>
      <w:r>
        <w:rPr>
          <w:lang w:val="en-GB"/>
        </w:rPr>
        <w:t xml:space="preserve"> Limited (Usha Martin)</w:t>
      </w:r>
      <w:r w:rsidRPr="00B04967">
        <w:rPr>
          <w:lang w:val="en-GB"/>
        </w:rPr>
        <w:t>, a diversified engineering group based in India</w:t>
      </w:r>
      <w:r>
        <w:rPr>
          <w:lang w:val="en-GB"/>
        </w:rPr>
        <w:t>,</w:t>
      </w:r>
      <w:r w:rsidRPr="00B04967">
        <w:rPr>
          <w:lang w:val="en-GB"/>
        </w:rPr>
        <w:t xml:space="preserve"> was at a critical juncture in its history.</w:t>
      </w:r>
      <w:r w:rsidRPr="009160DE">
        <w:rPr>
          <w:rStyle w:val="EndnoteReference"/>
          <w:bCs/>
          <w:lang w:val="en-GB"/>
        </w:rPr>
        <w:endnoteReference w:id="2"/>
      </w:r>
      <w:r w:rsidRPr="00DE522E">
        <w:rPr>
          <w:lang w:val="en-GB"/>
        </w:rPr>
        <w:t xml:space="preserve"> </w:t>
      </w:r>
      <w:r>
        <w:rPr>
          <w:lang w:val="en-GB"/>
        </w:rPr>
        <w:t xml:space="preserve">In </w:t>
      </w:r>
      <w:r w:rsidRPr="00B04967">
        <w:rPr>
          <w:lang w:val="en-GB"/>
        </w:rPr>
        <w:t xml:space="preserve">April 2019, the company had divested its </w:t>
      </w:r>
      <w:r>
        <w:rPr>
          <w:lang w:val="en-GB"/>
        </w:rPr>
        <w:t>steelmaking</w:t>
      </w:r>
      <w:r w:rsidRPr="00B04967">
        <w:rPr>
          <w:lang w:val="en-GB"/>
        </w:rPr>
        <w:t xml:space="preserve"> and related operations to reduce its debt load.</w:t>
      </w:r>
      <w:r w:rsidRPr="009160DE">
        <w:rPr>
          <w:rStyle w:val="EndnoteReference"/>
          <w:bCs/>
          <w:lang w:val="en-GB"/>
        </w:rPr>
        <w:endnoteReference w:id="3"/>
      </w:r>
      <w:r w:rsidRPr="00B04967">
        <w:rPr>
          <w:lang w:val="en-GB"/>
        </w:rPr>
        <w:t xml:space="preserve"> Though the divestment meant a large decline in </w:t>
      </w:r>
      <w:r>
        <w:rPr>
          <w:lang w:val="en-GB"/>
        </w:rPr>
        <w:t>Usha Martin’s</w:t>
      </w:r>
      <w:r w:rsidRPr="00B04967">
        <w:rPr>
          <w:lang w:val="en-GB"/>
        </w:rPr>
        <w:t xml:space="preserve"> revenues for the </w:t>
      </w:r>
      <w:r>
        <w:rPr>
          <w:lang w:val="en-GB"/>
        </w:rPr>
        <w:t xml:space="preserve">financial </w:t>
      </w:r>
      <w:r w:rsidRPr="00B04967">
        <w:rPr>
          <w:lang w:val="en-GB"/>
        </w:rPr>
        <w:t>year</w:t>
      </w:r>
      <w:r>
        <w:rPr>
          <w:lang w:val="en-GB"/>
        </w:rPr>
        <w:t xml:space="preserve"> (FY)</w:t>
      </w:r>
      <w:r w:rsidRPr="00B04967">
        <w:rPr>
          <w:lang w:val="en-GB"/>
        </w:rPr>
        <w:t xml:space="preserve"> ended March 2020, the move helped the company to reverse the trend of losses incurred in several recent quarters and years to earn positive profits (see Exhibits </w:t>
      </w:r>
      <w:r>
        <w:rPr>
          <w:lang w:val="en-GB"/>
        </w:rPr>
        <w:t>1</w:t>
      </w:r>
      <w:r w:rsidRPr="00B04967">
        <w:rPr>
          <w:lang w:val="en-GB"/>
        </w:rPr>
        <w:t xml:space="preserve"> and </w:t>
      </w:r>
      <w:r>
        <w:rPr>
          <w:lang w:val="en-GB"/>
        </w:rPr>
        <w:t>2)</w:t>
      </w:r>
      <w:r w:rsidRPr="00B04967">
        <w:rPr>
          <w:lang w:val="en-GB"/>
        </w:rPr>
        <w:t xml:space="preserve">. </w:t>
      </w:r>
      <w:r>
        <w:rPr>
          <w:lang w:val="en-GB"/>
        </w:rPr>
        <w:t>However</w:t>
      </w:r>
      <w:r w:rsidRPr="00B04967">
        <w:rPr>
          <w:lang w:val="en-GB"/>
        </w:rPr>
        <w:t xml:space="preserve">, attaining future growth remained a challenge for the </w:t>
      </w:r>
      <w:r>
        <w:rPr>
          <w:lang w:val="en-GB"/>
        </w:rPr>
        <w:t>small,</w:t>
      </w:r>
      <w:r w:rsidRPr="00B04967">
        <w:rPr>
          <w:lang w:val="en-GB"/>
        </w:rPr>
        <w:t xml:space="preserve"> focused company, especially given the weak economic performance of the Indian and global economies </w:t>
      </w:r>
      <w:r>
        <w:rPr>
          <w:lang w:val="en-GB"/>
        </w:rPr>
        <w:t>as a consequence</w:t>
      </w:r>
      <w:r w:rsidRPr="00B04967">
        <w:rPr>
          <w:lang w:val="en-GB"/>
        </w:rPr>
        <w:t xml:space="preserve"> of the COVID-19 pandemic. Many developing countries</w:t>
      </w:r>
      <w:r>
        <w:rPr>
          <w:lang w:val="en-GB"/>
        </w:rPr>
        <w:t>,</w:t>
      </w:r>
      <w:r w:rsidRPr="00B04967">
        <w:rPr>
          <w:lang w:val="en-GB"/>
        </w:rPr>
        <w:t xml:space="preserve"> including India and Brazil, which formed key markets for </w:t>
      </w:r>
      <w:r>
        <w:rPr>
          <w:lang w:val="en-GB"/>
        </w:rPr>
        <w:t>Usha Martin’s</w:t>
      </w:r>
      <w:r w:rsidRPr="00B04967">
        <w:rPr>
          <w:lang w:val="en-GB"/>
        </w:rPr>
        <w:t xml:space="preserve"> </w:t>
      </w:r>
      <w:r>
        <w:rPr>
          <w:lang w:val="en-GB"/>
        </w:rPr>
        <w:t>wire and wire rope</w:t>
      </w:r>
      <w:r w:rsidRPr="00B04967">
        <w:rPr>
          <w:lang w:val="en-GB"/>
        </w:rPr>
        <w:t xml:space="preserve"> (WWR) business, were going through particularly difficult economic conditions </w:t>
      </w:r>
      <w:r>
        <w:rPr>
          <w:lang w:val="en-GB"/>
        </w:rPr>
        <w:t>as a result</w:t>
      </w:r>
      <w:r w:rsidRPr="00B04967">
        <w:rPr>
          <w:lang w:val="en-GB"/>
        </w:rPr>
        <w:t xml:space="preserve"> of the pandemic.</w:t>
      </w:r>
      <w:r w:rsidRPr="009160DE">
        <w:rPr>
          <w:rStyle w:val="EndnoteReference"/>
          <w:bCs/>
          <w:lang w:val="en-GB"/>
        </w:rPr>
        <w:endnoteReference w:id="4"/>
      </w:r>
      <w:r w:rsidRPr="00C77F83">
        <w:rPr>
          <w:lang w:val="en-GB"/>
        </w:rPr>
        <w:t xml:space="preserve"> </w:t>
      </w:r>
      <w:r w:rsidRPr="00B04967">
        <w:rPr>
          <w:lang w:val="en-GB"/>
        </w:rPr>
        <w:t xml:space="preserve">As the world economy slowly limped back to </w:t>
      </w:r>
      <w:r>
        <w:rPr>
          <w:lang w:val="en-GB"/>
        </w:rPr>
        <w:t xml:space="preserve">post-lockdown </w:t>
      </w:r>
      <w:r w:rsidRPr="00B04967">
        <w:rPr>
          <w:lang w:val="en-GB"/>
        </w:rPr>
        <w:t xml:space="preserve">normalcy in several countries, </w:t>
      </w:r>
      <w:r>
        <w:rPr>
          <w:lang w:val="en-GB"/>
        </w:rPr>
        <w:t xml:space="preserve">the </w:t>
      </w:r>
      <w:r w:rsidRPr="00B04967">
        <w:rPr>
          <w:lang w:val="en-GB"/>
        </w:rPr>
        <w:t xml:space="preserve">near-term outlook for the scaled-down engineering group remained uncertain. With demand for its industry’s products negatively </w:t>
      </w:r>
      <w:r>
        <w:rPr>
          <w:lang w:val="en-GB"/>
        </w:rPr>
        <w:t>affected</w:t>
      </w:r>
      <w:r w:rsidRPr="00B04967">
        <w:rPr>
          <w:lang w:val="en-GB"/>
        </w:rPr>
        <w:t xml:space="preserve"> around the world because of </w:t>
      </w:r>
      <w:r>
        <w:rPr>
          <w:lang w:val="en-GB"/>
        </w:rPr>
        <w:t xml:space="preserve">a </w:t>
      </w:r>
      <w:r w:rsidRPr="00B04967">
        <w:rPr>
          <w:lang w:val="en-GB"/>
        </w:rPr>
        <w:t>slowdown in end-use sectors such as construction and oil exploration,</w:t>
      </w:r>
      <w:r>
        <w:rPr>
          <w:rStyle w:val="EndnoteReference"/>
          <w:lang w:val="en-GB"/>
        </w:rPr>
        <w:endnoteReference w:id="5"/>
      </w:r>
      <w:r w:rsidRPr="00B04967">
        <w:rPr>
          <w:lang w:val="en-GB"/>
        </w:rPr>
        <w:t xml:space="preserve"> Usha Martin’s</w:t>
      </w:r>
      <w:r>
        <w:rPr>
          <w:lang w:val="en-GB"/>
        </w:rPr>
        <w:t xml:space="preserve"> </w:t>
      </w:r>
      <w:r w:rsidRPr="00B04967">
        <w:rPr>
          <w:lang w:val="en-GB"/>
        </w:rPr>
        <w:t xml:space="preserve">management would have to be strategically creative </w:t>
      </w:r>
      <w:r>
        <w:rPr>
          <w:lang w:val="en-GB"/>
        </w:rPr>
        <w:t>in</w:t>
      </w:r>
      <w:r w:rsidRPr="00B04967">
        <w:rPr>
          <w:lang w:val="en-GB"/>
        </w:rPr>
        <w:t xml:space="preserve"> growing the company. International growth would be especially critical for the company because it already enjoyed a large market share in India, making any further gains in market share difficult.</w:t>
      </w:r>
    </w:p>
    <w:p w14:paraId="325432D8" w14:textId="0B53AA7F" w:rsidR="00EF5834" w:rsidRPr="00B04967" w:rsidRDefault="00EF5834" w:rsidP="00825E1E">
      <w:pPr>
        <w:pStyle w:val="BodyTextMain"/>
        <w:rPr>
          <w:lang w:val="en-GB"/>
        </w:rPr>
      </w:pPr>
    </w:p>
    <w:p w14:paraId="23C0772C" w14:textId="77777777" w:rsidR="00EF5834" w:rsidRPr="00B04967" w:rsidRDefault="00EF5834" w:rsidP="00825E1E">
      <w:pPr>
        <w:pStyle w:val="BodyTextMain"/>
        <w:rPr>
          <w:lang w:val="en-GB"/>
        </w:rPr>
      </w:pPr>
    </w:p>
    <w:p w14:paraId="632F4742" w14:textId="0EBFDAD6" w:rsidR="00EF5834" w:rsidRPr="00B04967" w:rsidRDefault="00EF5834" w:rsidP="00F03407">
      <w:pPr>
        <w:pStyle w:val="Casehead1"/>
        <w:keepNext/>
        <w:rPr>
          <w:lang w:val="en-GB"/>
        </w:rPr>
      </w:pPr>
      <w:r w:rsidRPr="00B04967">
        <w:rPr>
          <w:lang w:val="en-GB"/>
        </w:rPr>
        <w:t>HISTORY</w:t>
      </w:r>
    </w:p>
    <w:p w14:paraId="422F838C" w14:textId="77777777" w:rsidR="00EF5834" w:rsidRPr="00B04967" w:rsidRDefault="00EF5834" w:rsidP="00F03407">
      <w:pPr>
        <w:pStyle w:val="BodyTextMain"/>
        <w:keepNext/>
        <w:rPr>
          <w:lang w:val="en-GB"/>
        </w:rPr>
      </w:pPr>
    </w:p>
    <w:p w14:paraId="27CD910F" w14:textId="2F99C043" w:rsidR="00EF5834" w:rsidRPr="001748BB" w:rsidRDefault="00EF5834" w:rsidP="00F03407">
      <w:pPr>
        <w:pStyle w:val="BodyTextMain"/>
        <w:keepNext/>
        <w:rPr>
          <w:lang w:val="en-GB"/>
        </w:rPr>
      </w:pPr>
      <w:r w:rsidRPr="00B04967">
        <w:rPr>
          <w:lang w:val="en-GB"/>
        </w:rPr>
        <w:t xml:space="preserve">In 1961, two brothers, Basant and Brij </w:t>
      </w:r>
      <w:proofErr w:type="spellStart"/>
      <w:r w:rsidRPr="00B04967">
        <w:rPr>
          <w:lang w:val="en-GB"/>
        </w:rPr>
        <w:t>Jhawar</w:t>
      </w:r>
      <w:proofErr w:type="spellEnd"/>
      <w:r w:rsidRPr="00B04967">
        <w:rPr>
          <w:lang w:val="en-GB"/>
        </w:rPr>
        <w:t xml:space="preserve">, partnered </w:t>
      </w:r>
      <w:r>
        <w:rPr>
          <w:lang w:val="en-GB"/>
        </w:rPr>
        <w:t xml:space="preserve">with </w:t>
      </w:r>
      <w:r w:rsidRPr="00B04967">
        <w:rPr>
          <w:lang w:val="en-GB"/>
        </w:rPr>
        <w:t xml:space="preserve">the Scottish company Martin Black to form Usha Martin, with Martin Black providing critical resources </w:t>
      </w:r>
      <w:r>
        <w:rPr>
          <w:lang w:val="en-GB"/>
        </w:rPr>
        <w:t>including</w:t>
      </w:r>
      <w:r w:rsidRPr="00B04967">
        <w:rPr>
          <w:lang w:val="en-GB"/>
        </w:rPr>
        <w:t xml:space="preserve"> capital and technology to the joint venture. Usha Martin aimed to make WWR products in its plant in Ranchi, a city in an economically </w:t>
      </w:r>
      <w:r>
        <w:rPr>
          <w:lang w:val="en-GB"/>
        </w:rPr>
        <w:t>underdeveloped</w:t>
      </w:r>
      <w:r w:rsidRPr="00B04967">
        <w:rPr>
          <w:lang w:val="en-GB"/>
        </w:rPr>
        <w:t xml:space="preserve"> state in India that was rich in natural resources such as coal and iron ore. Wire ropes </w:t>
      </w:r>
      <w:r>
        <w:rPr>
          <w:lang w:val="en-GB"/>
        </w:rPr>
        <w:t>were</w:t>
      </w:r>
      <w:r w:rsidRPr="00B04967">
        <w:rPr>
          <w:lang w:val="en-GB"/>
        </w:rPr>
        <w:t xml:space="preserve"> used in numerous different sectors and products, including elevators, cranes, mining, construction, </w:t>
      </w:r>
      <w:r>
        <w:rPr>
          <w:lang w:val="en-GB"/>
        </w:rPr>
        <w:t xml:space="preserve">and </w:t>
      </w:r>
      <w:r w:rsidRPr="00B04967">
        <w:rPr>
          <w:lang w:val="en-GB"/>
        </w:rPr>
        <w:t>fishing and oil exploration (rigs)</w:t>
      </w:r>
      <w:r>
        <w:rPr>
          <w:lang w:val="en-GB"/>
        </w:rPr>
        <w:t>.</w:t>
      </w:r>
      <w:r w:rsidRPr="00B04967">
        <w:rPr>
          <w:lang w:val="en-GB"/>
        </w:rPr>
        <w:t xml:space="preserve"> Because of the </w:t>
      </w:r>
      <w:proofErr w:type="spellStart"/>
      <w:r w:rsidRPr="00B04967">
        <w:rPr>
          <w:lang w:val="en-GB"/>
        </w:rPr>
        <w:t>anemic</w:t>
      </w:r>
      <w:proofErr w:type="spellEnd"/>
      <w:r w:rsidRPr="00B04967">
        <w:rPr>
          <w:lang w:val="en-GB"/>
        </w:rPr>
        <w:t xml:space="preserve"> performance of the Indian economy in the 1960s, domestic demand for wire ropes was weak</w:t>
      </w:r>
      <w:r>
        <w:rPr>
          <w:lang w:val="en-GB"/>
        </w:rPr>
        <w:t>, but that</w:t>
      </w:r>
      <w:r w:rsidRPr="00B04967">
        <w:rPr>
          <w:lang w:val="en-GB"/>
        </w:rPr>
        <w:t xml:space="preserve"> did not stop Usha Martin from earning its maiden profit in the Ranchi plant’s first full year of operations. Environmental uncertainty was magnified over the next few years </w:t>
      </w:r>
      <w:r>
        <w:rPr>
          <w:lang w:val="en-GB"/>
        </w:rPr>
        <w:t>due to</w:t>
      </w:r>
      <w:r w:rsidRPr="00B04967">
        <w:rPr>
          <w:lang w:val="en-GB"/>
        </w:rPr>
        <w:t xml:space="preserve"> wars between India and China (1962), and India and Pakistan (1965)</w:t>
      </w:r>
      <w:r>
        <w:rPr>
          <w:lang w:val="en-GB"/>
        </w:rPr>
        <w:t>, but</w:t>
      </w:r>
      <w:r w:rsidRPr="00B04967">
        <w:rPr>
          <w:lang w:val="en-GB"/>
        </w:rPr>
        <w:t xml:space="preserve"> the </w:t>
      </w:r>
      <w:proofErr w:type="spellStart"/>
      <w:r w:rsidRPr="00B04967">
        <w:rPr>
          <w:lang w:val="en-GB"/>
        </w:rPr>
        <w:t>Jhawars</w:t>
      </w:r>
      <w:proofErr w:type="spellEnd"/>
      <w:r w:rsidRPr="00B04967">
        <w:rPr>
          <w:lang w:val="en-GB"/>
        </w:rPr>
        <w:t xml:space="preserve"> and Usha Martin overcame the challenges</w:t>
      </w:r>
      <w:r>
        <w:rPr>
          <w:lang w:val="en-GB"/>
        </w:rPr>
        <w:t xml:space="preserve"> brought about by wars and economic uncertainty</w:t>
      </w:r>
      <w:r w:rsidRPr="00B04967">
        <w:rPr>
          <w:lang w:val="en-GB"/>
        </w:rPr>
        <w:t xml:space="preserve"> by enhancing core operations and pursuing diversification and internationalization</w:t>
      </w:r>
      <w:r w:rsidRPr="001748BB">
        <w:rPr>
          <w:lang w:val="en-GB"/>
        </w:rPr>
        <w:t>.</w:t>
      </w:r>
      <w:r w:rsidRPr="009160DE">
        <w:rPr>
          <w:rStyle w:val="EndnoteReference"/>
          <w:lang w:val="en-GB"/>
        </w:rPr>
        <w:endnoteReference w:id="6"/>
      </w:r>
    </w:p>
    <w:p w14:paraId="1442BD60" w14:textId="77777777" w:rsidR="00EF5834" w:rsidRPr="00B04967" w:rsidRDefault="00EF5834" w:rsidP="00825E1E">
      <w:pPr>
        <w:pStyle w:val="BodyTextMain"/>
        <w:rPr>
          <w:lang w:val="en-GB"/>
        </w:rPr>
      </w:pPr>
    </w:p>
    <w:p w14:paraId="399A4B8D" w14:textId="7202A05D" w:rsidR="00EF5834" w:rsidRPr="00B04967" w:rsidRDefault="00EF5834" w:rsidP="00CC462A">
      <w:pPr>
        <w:pStyle w:val="Casehead1"/>
        <w:rPr>
          <w:lang w:val="en-GB"/>
        </w:rPr>
      </w:pPr>
      <w:r w:rsidRPr="00B04967">
        <w:rPr>
          <w:lang w:val="en-GB"/>
        </w:rPr>
        <w:lastRenderedPageBreak/>
        <w:t>STRATEGY</w:t>
      </w:r>
    </w:p>
    <w:p w14:paraId="23BAA5A8" w14:textId="77777777" w:rsidR="00EF5834" w:rsidRPr="00B04967" w:rsidRDefault="00EF5834" w:rsidP="00825E1E">
      <w:pPr>
        <w:pStyle w:val="BodyTextMain"/>
        <w:rPr>
          <w:lang w:val="en-GB"/>
        </w:rPr>
      </w:pPr>
    </w:p>
    <w:p w14:paraId="5F67C5F1" w14:textId="6F0F825C" w:rsidR="00EF5834" w:rsidRPr="00B04967" w:rsidRDefault="00EF5834" w:rsidP="00825E1E">
      <w:pPr>
        <w:pStyle w:val="BodyTextMain"/>
        <w:rPr>
          <w:lang w:val="en-GB"/>
        </w:rPr>
      </w:pPr>
      <w:r w:rsidRPr="00B04967">
        <w:rPr>
          <w:lang w:val="en-GB"/>
        </w:rPr>
        <w:t xml:space="preserve">Since </w:t>
      </w:r>
      <w:r>
        <w:rPr>
          <w:lang w:val="en-GB"/>
        </w:rPr>
        <w:t xml:space="preserve">its </w:t>
      </w:r>
      <w:r w:rsidRPr="00B04967">
        <w:rPr>
          <w:lang w:val="en-GB"/>
        </w:rPr>
        <w:t>inception, Usha Martin had continuously enhanced its strategy in its core operations in two key areas</w:t>
      </w:r>
      <w:r>
        <w:rPr>
          <w:lang w:val="en-GB"/>
        </w:rPr>
        <w:t>:</w:t>
      </w:r>
      <w:r w:rsidRPr="00B04967">
        <w:rPr>
          <w:lang w:val="en-GB"/>
        </w:rPr>
        <w:t xml:space="preserve"> (</w:t>
      </w:r>
      <w:r>
        <w:rPr>
          <w:lang w:val="en-GB"/>
        </w:rPr>
        <w:t>a</w:t>
      </w:r>
      <w:r w:rsidRPr="00B04967">
        <w:rPr>
          <w:lang w:val="en-GB"/>
        </w:rPr>
        <w:t xml:space="preserve">) </w:t>
      </w:r>
      <w:r>
        <w:rPr>
          <w:lang w:val="en-GB"/>
        </w:rPr>
        <w:t xml:space="preserve">reducing </w:t>
      </w:r>
      <w:r w:rsidRPr="00B04967">
        <w:rPr>
          <w:lang w:val="en-GB"/>
        </w:rPr>
        <w:t>cost</w:t>
      </w:r>
      <w:r>
        <w:rPr>
          <w:lang w:val="en-GB"/>
        </w:rPr>
        <w:t>s</w:t>
      </w:r>
      <w:r w:rsidRPr="00B04967">
        <w:rPr>
          <w:lang w:val="en-GB"/>
        </w:rPr>
        <w:t xml:space="preserve"> without compromising the quality of its products, specifically by deploying improvements and new systems such as automation</w:t>
      </w:r>
      <w:r>
        <w:rPr>
          <w:lang w:val="en-GB"/>
        </w:rPr>
        <w:t>;</w:t>
      </w:r>
      <w:r w:rsidRPr="00B04967">
        <w:rPr>
          <w:lang w:val="en-GB"/>
        </w:rPr>
        <w:t xml:space="preserve"> and (</w:t>
      </w:r>
      <w:r>
        <w:rPr>
          <w:lang w:val="en-GB"/>
        </w:rPr>
        <w:t>b</w:t>
      </w:r>
      <w:r w:rsidRPr="00B04967">
        <w:rPr>
          <w:lang w:val="en-GB"/>
        </w:rPr>
        <w:t xml:space="preserve">) undertaking a variety of </w:t>
      </w:r>
      <w:r>
        <w:rPr>
          <w:lang w:val="en-GB"/>
        </w:rPr>
        <w:t>corporate social responsibility</w:t>
      </w:r>
      <w:r w:rsidRPr="00B04967">
        <w:rPr>
          <w:lang w:val="en-GB"/>
        </w:rPr>
        <w:t xml:space="preserve"> (CSR) initiatives</w:t>
      </w:r>
      <w:r>
        <w:rPr>
          <w:lang w:val="en-GB"/>
        </w:rPr>
        <w:t>,</w:t>
      </w:r>
      <w:r w:rsidRPr="00B04967">
        <w:rPr>
          <w:lang w:val="en-GB"/>
        </w:rPr>
        <w:t xml:space="preserve"> including </w:t>
      </w:r>
      <w:r>
        <w:rPr>
          <w:lang w:val="en-GB"/>
        </w:rPr>
        <w:t>the promotion of</w:t>
      </w:r>
      <w:r w:rsidRPr="00B04967">
        <w:rPr>
          <w:lang w:val="en-GB"/>
        </w:rPr>
        <w:t xml:space="preserve"> natural resource management, renewable energy, </w:t>
      </w:r>
      <w:r>
        <w:rPr>
          <w:lang w:val="en-GB"/>
        </w:rPr>
        <w:t xml:space="preserve">and </w:t>
      </w:r>
      <w:r w:rsidRPr="00B04967">
        <w:rPr>
          <w:lang w:val="en-GB"/>
        </w:rPr>
        <w:t>women</w:t>
      </w:r>
      <w:r>
        <w:rPr>
          <w:lang w:val="en-GB"/>
        </w:rPr>
        <w:t>’s</w:t>
      </w:r>
      <w:r w:rsidRPr="00B04967">
        <w:rPr>
          <w:lang w:val="en-GB"/>
        </w:rPr>
        <w:t xml:space="preserve"> empowerment in the nearby villages</w:t>
      </w:r>
      <w:r>
        <w:rPr>
          <w:lang w:val="en-GB"/>
        </w:rPr>
        <w:t>,</w:t>
      </w:r>
      <w:r w:rsidRPr="00B04967">
        <w:rPr>
          <w:lang w:val="en-GB"/>
        </w:rPr>
        <w:t xml:space="preserve"> and even </w:t>
      </w:r>
      <w:r>
        <w:rPr>
          <w:lang w:val="en-GB"/>
        </w:rPr>
        <w:t xml:space="preserve">by </w:t>
      </w:r>
      <w:r w:rsidRPr="00B04967">
        <w:rPr>
          <w:lang w:val="en-GB"/>
        </w:rPr>
        <w:t xml:space="preserve">opening schools. Its job creation in an economically underdeveloped area combined with its CSR activities earned </w:t>
      </w:r>
      <w:r>
        <w:rPr>
          <w:lang w:val="en-GB"/>
        </w:rPr>
        <w:t>Usha Martin</w:t>
      </w:r>
      <w:r w:rsidRPr="00B04967">
        <w:rPr>
          <w:lang w:val="en-GB"/>
        </w:rPr>
        <w:t xml:space="preserve"> </w:t>
      </w:r>
      <w:r>
        <w:rPr>
          <w:lang w:val="en-GB"/>
        </w:rPr>
        <w:t>co-operation</w:t>
      </w:r>
      <w:r w:rsidRPr="00B04967">
        <w:rPr>
          <w:lang w:val="en-GB"/>
        </w:rPr>
        <w:t xml:space="preserve"> from the local government as well as villagers, and helped in </w:t>
      </w:r>
      <w:r>
        <w:rPr>
          <w:lang w:val="en-GB"/>
        </w:rPr>
        <w:t xml:space="preserve">the </w:t>
      </w:r>
      <w:r w:rsidRPr="00B04967">
        <w:rPr>
          <w:lang w:val="en-GB"/>
        </w:rPr>
        <w:t xml:space="preserve">timely and cost-effective </w:t>
      </w:r>
      <w:r>
        <w:rPr>
          <w:lang w:val="en-GB"/>
        </w:rPr>
        <w:t>implementation of</w:t>
      </w:r>
      <w:r w:rsidRPr="00B04967">
        <w:rPr>
          <w:lang w:val="en-GB"/>
        </w:rPr>
        <w:t xml:space="preserve"> projects such as capacity expansions of the plant.</w:t>
      </w:r>
      <w:r w:rsidRPr="009160DE">
        <w:rPr>
          <w:rStyle w:val="EndnoteReference"/>
          <w:lang w:val="en-GB"/>
        </w:rPr>
        <w:endnoteReference w:id="7"/>
      </w:r>
    </w:p>
    <w:p w14:paraId="2B21A5FD" w14:textId="77777777" w:rsidR="00EF5834" w:rsidRPr="00B04967" w:rsidRDefault="00EF5834" w:rsidP="00825E1E">
      <w:pPr>
        <w:pStyle w:val="BodyTextMain"/>
        <w:rPr>
          <w:lang w:val="en-GB"/>
        </w:rPr>
      </w:pPr>
    </w:p>
    <w:p w14:paraId="44E9A2EB" w14:textId="38904E41" w:rsidR="00EF5834" w:rsidRPr="00B72450" w:rsidRDefault="00EF5834" w:rsidP="00825E1E">
      <w:pPr>
        <w:pStyle w:val="BodyTextMain"/>
        <w:rPr>
          <w:lang w:val="en-GB"/>
        </w:rPr>
      </w:pPr>
      <w:r w:rsidRPr="00B04967">
        <w:rPr>
          <w:lang w:val="en-GB"/>
        </w:rPr>
        <w:t xml:space="preserve">Building and maintaining close relationships with governments was another pillar of the company’s strategy since inception. For instance, during the </w:t>
      </w:r>
      <w:r>
        <w:rPr>
          <w:lang w:val="en-GB"/>
        </w:rPr>
        <w:t>Indo-Pakistani</w:t>
      </w:r>
      <w:r w:rsidRPr="00B04967">
        <w:rPr>
          <w:lang w:val="en-GB"/>
        </w:rPr>
        <w:t xml:space="preserve"> war in 1965, the company went to great lengths to supply the special requirements of the Indian </w:t>
      </w:r>
      <w:r>
        <w:rPr>
          <w:lang w:val="en-GB"/>
        </w:rPr>
        <w:t>defence</w:t>
      </w:r>
      <w:r w:rsidRPr="00B04967">
        <w:rPr>
          <w:lang w:val="en-GB"/>
        </w:rPr>
        <w:t xml:space="preserve"> sector. In 1971, when India and Pakistan waged another war, the Indian government approached Usha Martin for the special ropes needed for its aircraft carrier </w:t>
      </w:r>
      <w:r w:rsidRPr="004373B4">
        <w:rPr>
          <w:i/>
          <w:lang w:val="en-GB"/>
        </w:rPr>
        <w:t>INS Vikrant</w:t>
      </w:r>
      <w:r w:rsidRPr="00B04967">
        <w:rPr>
          <w:lang w:val="en-GB"/>
        </w:rPr>
        <w:t>.</w:t>
      </w:r>
      <w:r w:rsidRPr="00B04967">
        <w:rPr>
          <w:rStyle w:val="EndnoteReference"/>
          <w:rFonts w:ascii="Arial" w:hAnsi="Arial" w:cs="Arial"/>
          <w:lang w:val="en-GB"/>
        </w:rPr>
        <w:endnoteReference w:id="8"/>
      </w:r>
      <w:r w:rsidRPr="00B04967">
        <w:rPr>
          <w:lang w:val="en-GB"/>
        </w:rPr>
        <w:t xml:space="preserve"> Usha Martin completed this task in record time, earning praise and goodwill from the government and opening the path to future government contracts. In 1976, </w:t>
      </w:r>
      <w:r>
        <w:rPr>
          <w:lang w:val="en-GB"/>
        </w:rPr>
        <w:t xml:space="preserve">the </w:t>
      </w:r>
      <w:r w:rsidRPr="00B04967">
        <w:rPr>
          <w:lang w:val="en-GB"/>
        </w:rPr>
        <w:t xml:space="preserve">company was given the contract for manufacturing cables for supporting another prestigious project, the </w:t>
      </w:r>
      <w:r>
        <w:rPr>
          <w:lang w:val="en-GB"/>
        </w:rPr>
        <w:t>Second</w:t>
      </w:r>
      <w:r w:rsidRPr="00B04967">
        <w:rPr>
          <w:lang w:val="en-GB"/>
        </w:rPr>
        <w:t xml:space="preserve"> Hooghly </w:t>
      </w:r>
      <w:r>
        <w:rPr>
          <w:lang w:val="en-GB"/>
        </w:rPr>
        <w:t>Bridge</w:t>
      </w:r>
      <w:r w:rsidRPr="00B04967">
        <w:rPr>
          <w:lang w:val="en-GB"/>
        </w:rPr>
        <w:t xml:space="preserve"> in Kolkata, one of India’s most populous cities.</w:t>
      </w:r>
      <w:r w:rsidRPr="009160DE">
        <w:rPr>
          <w:rStyle w:val="EndnoteReference"/>
          <w:lang w:val="en-GB"/>
        </w:rPr>
        <w:endnoteReference w:id="9"/>
      </w:r>
      <w:r w:rsidRPr="00B04967">
        <w:rPr>
          <w:lang w:val="en-GB"/>
        </w:rPr>
        <w:t xml:space="preserve"> More recently, Usha Martin supplied cables for the Statue of Unity, </w:t>
      </w:r>
      <w:r>
        <w:rPr>
          <w:lang w:val="en-GB"/>
        </w:rPr>
        <w:t>(</w:t>
      </w:r>
      <w:r w:rsidRPr="00B04967">
        <w:rPr>
          <w:lang w:val="en-GB"/>
        </w:rPr>
        <w:t>the world’s tallest statue</w:t>
      </w:r>
      <w:r>
        <w:rPr>
          <w:lang w:val="en-GB"/>
        </w:rPr>
        <w:t>)</w:t>
      </w:r>
      <w:r>
        <w:rPr>
          <w:lang w:val="en-GB"/>
        </w:rPr>
        <w:t xml:space="preserve"> located</w:t>
      </w:r>
      <w:r w:rsidRPr="00B04967">
        <w:rPr>
          <w:lang w:val="en-GB"/>
        </w:rPr>
        <w:t xml:space="preserve"> in </w:t>
      </w:r>
      <w:r>
        <w:rPr>
          <w:lang w:val="en-GB"/>
        </w:rPr>
        <w:t>western</w:t>
      </w:r>
      <w:r w:rsidRPr="00B04967">
        <w:rPr>
          <w:lang w:val="en-GB"/>
        </w:rPr>
        <w:t xml:space="preserve"> India.</w:t>
      </w:r>
      <w:r w:rsidRPr="00B72450">
        <w:rPr>
          <w:lang w:val="en-GB"/>
        </w:rPr>
        <w:t xml:space="preserve"> </w:t>
      </w:r>
      <w:r w:rsidRPr="00B04967">
        <w:rPr>
          <w:lang w:val="en-GB"/>
        </w:rPr>
        <w:t xml:space="preserve">As a result of close relations with the state and central governments in India, </w:t>
      </w:r>
      <w:r>
        <w:rPr>
          <w:lang w:val="en-GB"/>
        </w:rPr>
        <w:t>the company</w:t>
      </w:r>
      <w:r w:rsidRPr="00B04967">
        <w:rPr>
          <w:lang w:val="en-GB"/>
        </w:rPr>
        <w:t xml:space="preserve"> </w:t>
      </w:r>
      <w:r>
        <w:rPr>
          <w:lang w:val="en-GB"/>
        </w:rPr>
        <w:t>received</w:t>
      </w:r>
      <w:r w:rsidRPr="00B04967">
        <w:rPr>
          <w:lang w:val="en-GB"/>
        </w:rPr>
        <w:t xml:space="preserve"> a lease from the</w:t>
      </w:r>
      <w:r>
        <w:rPr>
          <w:lang w:val="en-GB"/>
        </w:rPr>
        <w:t xml:space="preserve"> state</w:t>
      </w:r>
      <w:r w:rsidRPr="00B04967">
        <w:rPr>
          <w:lang w:val="en-GB"/>
        </w:rPr>
        <w:t xml:space="preserve"> </w:t>
      </w:r>
      <w:r>
        <w:rPr>
          <w:lang w:val="en-GB"/>
        </w:rPr>
        <w:t xml:space="preserve">government </w:t>
      </w:r>
      <w:r w:rsidRPr="00B04967">
        <w:rPr>
          <w:lang w:val="en-GB"/>
        </w:rPr>
        <w:t xml:space="preserve">of Jharkhand (the state in which </w:t>
      </w:r>
      <w:r>
        <w:rPr>
          <w:lang w:val="en-GB"/>
        </w:rPr>
        <w:t>Usha Martin’s</w:t>
      </w:r>
      <w:r w:rsidRPr="00B04967">
        <w:rPr>
          <w:lang w:val="en-GB"/>
        </w:rPr>
        <w:t xml:space="preserve"> plants were located) to mine iron ore deposits</w:t>
      </w:r>
      <w:r w:rsidRPr="00B72450">
        <w:rPr>
          <w:lang w:val="en-GB"/>
        </w:rPr>
        <w:t>.</w:t>
      </w:r>
      <w:r w:rsidRPr="009160DE">
        <w:rPr>
          <w:rStyle w:val="EndnoteReference"/>
          <w:lang w:val="en-GB"/>
        </w:rPr>
        <w:endnoteReference w:id="10"/>
      </w:r>
    </w:p>
    <w:p w14:paraId="521BDA33" w14:textId="77777777" w:rsidR="00EF5834" w:rsidRPr="00B04967" w:rsidRDefault="00EF5834" w:rsidP="00825E1E">
      <w:pPr>
        <w:pStyle w:val="BodyTextMain"/>
        <w:rPr>
          <w:lang w:val="en-GB"/>
        </w:rPr>
      </w:pPr>
    </w:p>
    <w:p w14:paraId="118EC5A6" w14:textId="6FB7A2CC" w:rsidR="00EF5834" w:rsidRPr="00723D70" w:rsidRDefault="00EF5834" w:rsidP="00825E1E">
      <w:pPr>
        <w:pStyle w:val="BodyTextMain"/>
        <w:rPr>
          <w:lang w:val="en-GB"/>
        </w:rPr>
      </w:pPr>
      <w:r w:rsidRPr="00B04967">
        <w:rPr>
          <w:lang w:val="en-GB"/>
        </w:rPr>
        <w:t xml:space="preserve">The emerging nature of the Indian economy challenged Usha Martin in terms of securing the right quality </w:t>
      </w:r>
      <w:r>
        <w:rPr>
          <w:lang w:val="en-GB"/>
        </w:rPr>
        <w:t xml:space="preserve">of </w:t>
      </w:r>
      <w:r w:rsidRPr="00B04967">
        <w:rPr>
          <w:lang w:val="en-GB"/>
        </w:rPr>
        <w:t xml:space="preserve">raw materials as well as reliable services such as </w:t>
      </w:r>
      <w:r>
        <w:rPr>
          <w:lang w:val="en-GB"/>
        </w:rPr>
        <w:t xml:space="preserve">electrical </w:t>
      </w:r>
      <w:r w:rsidRPr="00B04967">
        <w:rPr>
          <w:lang w:val="en-GB"/>
        </w:rPr>
        <w:t xml:space="preserve">power. Though the company had pursued vertical integration since its early days, it intensified its pursuit after </w:t>
      </w:r>
      <w:r>
        <w:rPr>
          <w:lang w:val="en-GB"/>
        </w:rPr>
        <w:t xml:space="preserve">FY </w:t>
      </w:r>
      <w:r w:rsidRPr="00B04967">
        <w:rPr>
          <w:lang w:val="en-GB"/>
        </w:rPr>
        <w:t>2004</w:t>
      </w:r>
      <w:r>
        <w:rPr>
          <w:lang w:val="en-GB"/>
        </w:rPr>
        <w:t>–05,</w:t>
      </w:r>
      <w:r w:rsidRPr="00B04967">
        <w:rPr>
          <w:lang w:val="en-GB"/>
        </w:rPr>
        <w:t xml:space="preserve"> when it faced bottlenecks in production due to supply shortages and also experienced fluctuating profits because of volatility in </w:t>
      </w:r>
      <w:r>
        <w:rPr>
          <w:lang w:val="en-GB"/>
        </w:rPr>
        <w:t xml:space="preserve">the </w:t>
      </w:r>
      <w:r w:rsidRPr="00B04967">
        <w:rPr>
          <w:lang w:val="en-GB"/>
        </w:rPr>
        <w:t xml:space="preserve">prices of steel. The company ramped up capacity in </w:t>
      </w:r>
      <w:r>
        <w:rPr>
          <w:lang w:val="en-GB"/>
        </w:rPr>
        <w:t>steelmaking</w:t>
      </w:r>
      <w:r w:rsidRPr="00B04967">
        <w:rPr>
          <w:lang w:val="en-GB"/>
        </w:rPr>
        <w:t xml:space="preserve"> and accelerated its plans for operating a coal mine. Interestingly, all of the key activities such as wire making, </w:t>
      </w:r>
      <w:r>
        <w:rPr>
          <w:lang w:val="en-GB"/>
        </w:rPr>
        <w:t>steelmaking</w:t>
      </w:r>
      <w:r w:rsidRPr="00B04967">
        <w:rPr>
          <w:lang w:val="en-GB"/>
        </w:rPr>
        <w:t>, coal mining</w:t>
      </w:r>
      <w:r>
        <w:rPr>
          <w:lang w:val="en-GB"/>
        </w:rPr>
        <w:t>,</w:t>
      </w:r>
      <w:r w:rsidRPr="00B04967">
        <w:rPr>
          <w:lang w:val="en-GB"/>
        </w:rPr>
        <w:t xml:space="preserve"> and power plant operation were located within 100 kilometres of each other.</w:t>
      </w:r>
      <w:r w:rsidRPr="009160DE">
        <w:rPr>
          <w:rStyle w:val="EndnoteReference"/>
          <w:lang w:val="en-GB"/>
        </w:rPr>
        <w:endnoteReference w:id="11"/>
      </w:r>
      <w:r w:rsidRPr="00C24692">
        <w:rPr>
          <w:lang w:val="en-GB"/>
        </w:rPr>
        <w:t xml:space="preserve"> </w:t>
      </w:r>
      <w:r w:rsidRPr="00B04967">
        <w:rPr>
          <w:lang w:val="en-GB"/>
        </w:rPr>
        <w:t xml:space="preserve">By 2011, the company had scaled up its </w:t>
      </w:r>
      <w:r>
        <w:rPr>
          <w:lang w:val="en-GB"/>
        </w:rPr>
        <w:t>steelmaking</w:t>
      </w:r>
      <w:r w:rsidRPr="00B04967">
        <w:rPr>
          <w:lang w:val="en-GB"/>
        </w:rPr>
        <w:t xml:space="preserve"> capacity significantly and was</w:t>
      </w:r>
      <w:r>
        <w:rPr>
          <w:lang w:val="en-GB"/>
        </w:rPr>
        <w:t xml:space="preserve"> </w:t>
      </w:r>
      <w:r w:rsidRPr="00B04967">
        <w:rPr>
          <w:lang w:val="en-GB"/>
        </w:rPr>
        <w:t xml:space="preserve">supplying as much as </w:t>
      </w:r>
      <w:r>
        <w:rPr>
          <w:lang w:val="en-GB"/>
        </w:rPr>
        <w:t>two-thirds</w:t>
      </w:r>
      <w:r w:rsidRPr="00B04967">
        <w:rPr>
          <w:lang w:val="en-GB"/>
        </w:rPr>
        <w:t xml:space="preserve"> of</w:t>
      </w:r>
      <w:r>
        <w:rPr>
          <w:lang w:val="en-GB"/>
        </w:rPr>
        <w:t xml:space="preserve"> </w:t>
      </w:r>
      <w:r w:rsidRPr="00B04967">
        <w:rPr>
          <w:lang w:val="en-GB"/>
        </w:rPr>
        <w:t>its steel output to external customers in automobile and engineering industries.</w:t>
      </w:r>
      <w:r w:rsidRPr="009160DE">
        <w:rPr>
          <w:rStyle w:val="EndnoteReference"/>
          <w:lang w:val="en-GB"/>
        </w:rPr>
        <w:endnoteReference w:id="12"/>
      </w:r>
      <w:r w:rsidRPr="007467AB">
        <w:rPr>
          <w:lang w:val="en-GB"/>
        </w:rPr>
        <w:t xml:space="preserve"> </w:t>
      </w:r>
      <w:r w:rsidRPr="00B04967">
        <w:rPr>
          <w:lang w:val="en-GB"/>
        </w:rPr>
        <w:t>Lured by the profit potential in end uses of wire ropes, Usha Martin also utilized every opportunity to integrate forward into value-added products of steel wire and ropes</w:t>
      </w:r>
      <w:r>
        <w:rPr>
          <w:lang w:val="en-GB"/>
        </w:rPr>
        <w:t>,</w:t>
      </w:r>
      <w:r w:rsidRPr="00B04967">
        <w:rPr>
          <w:lang w:val="en-GB"/>
        </w:rPr>
        <w:t xml:space="preserve"> including accessories and telecom cables (e.g., jelly-filled and </w:t>
      </w:r>
      <w:r>
        <w:rPr>
          <w:lang w:val="en-GB"/>
        </w:rPr>
        <w:t>fibre-optic</w:t>
      </w:r>
      <w:r w:rsidRPr="00B04967">
        <w:rPr>
          <w:lang w:val="en-GB"/>
        </w:rPr>
        <w:t xml:space="preserve"> cables)</w:t>
      </w:r>
      <w:r>
        <w:rPr>
          <w:lang w:val="en-GB"/>
        </w:rPr>
        <w:t xml:space="preserve"> </w:t>
      </w:r>
      <w:r w:rsidRPr="00B04967">
        <w:rPr>
          <w:lang w:val="en-GB"/>
        </w:rPr>
        <w:t xml:space="preserve">(see Exhibit </w:t>
      </w:r>
      <w:r>
        <w:rPr>
          <w:lang w:val="en-GB"/>
        </w:rPr>
        <w:t>3</w:t>
      </w:r>
      <w:r w:rsidRPr="00B04967">
        <w:rPr>
          <w:lang w:val="en-GB"/>
        </w:rPr>
        <w:t>).</w:t>
      </w:r>
      <w:r w:rsidRPr="009160DE">
        <w:rPr>
          <w:rStyle w:val="EndnoteReference"/>
          <w:lang w:val="en-GB"/>
        </w:rPr>
        <w:endnoteReference w:id="13"/>
      </w:r>
      <w:r w:rsidRPr="00723D70">
        <w:rPr>
          <w:lang w:val="en-GB"/>
        </w:rPr>
        <w:t xml:space="preserve"> </w:t>
      </w:r>
      <w:r w:rsidRPr="00B04967">
        <w:rPr>
          <w:lang w:val="en-GB"/>
        </w:rPr>
        <w:t xml:space="preserve">In 2019, </w:t>
      </w:r>
      <w:r>
        <w:rPr>
          <w:lang w:val="en-GB"/>
        </w:rPr>
        <w:t>UM Cables Limited, a subsidiary of Usha Martin,</w:t>
      </w:r>
      <w:r w:rsidRPr="00B04967">
        <w:rPr>
          <w:lang w:val="en-GB"/>
        </w:rPr>
        <w:t xml:space="preserve"> achieved revenues of </w:t>
      </w:r>
      <w:r w:rsidRPr="00E250FC">
        <w:rPr>
          <w:rFonts w:ascii="Arial" w:hAnsi="Arial" w:cs="Arial"/>
          <w:sz w:val="20"/>
          <w:szCs w:val="20"/>
          <w:lang w:val="en-GB"/>
        </w:rPr>
        <w:t>₹</w:t>
      </w:r>
      <w:r w:rsidRPr="00B04967">
        <w:rPr>
          <w:lang w:val="en-GB"/>
        </w:rPr>
        <w:t>1.031 billion</w:t>
      </w:r>
      <w:r>
        <w:rPr>
          <w:rStyle w:val="EndnoteReference"/>
          <w:lang w:val="en-GB"/>
        </w:rPr>
        <w:endnoteReference w:id="14"/>
      </w:r>
      <w:r w:rsidRPr="00B04967">
        <w:rPr>
          <w:lang w:val="en-GB"/>
        </w:rPr>
        <w:t xml:space="preserve"> and </w:t>
      </w:r>
      <w:r>
        <w:rPr>
          <w:lang w:val="en-GB"/>
        </w:rPr>
        <w:t>incurred</w:t>
      </w:r>
      <w:r w:rsidRPr="00B04967">
        <w:rPr>
          <w:lang w:val="en-GB"/>
        </w:rPr>
        <w:t xml:space="preserve"> a loss of </w:t>
      </w:r>
      <w:r w:rsidRPr="00E250FC">
        <w:rPr>
          <w:rFonts w:ascii="Arial" w:hAnsi="Arial" w:cs="Arial"/>
          <w:sz w:val="20"/>
          <w:szCs w:val="20"/>
          <w:lang w:val="en-GB"/>
        </w:rPr>
        <w:t>₹</w:t>
      </w:r>
      <w:r w:rsidRPr="00B04967">
        <w:rPr>
          <w:lang w:val="en-GB"/>
        </w:rPr>
        <w:t>333 million</w:t>
      </w:r>
      <w:r>
        <w:rPr>
          <w:lang w:val="en-GB"/>
        </w:rPr>
        <w:t xml:space="preserve"> </w:t>
      </w:r>
      <w:r w:rsidRPr="00B04967">
        <w:rPr>
          <w:lang w:val="en-GB"/>
        </w:rPr>
        <w:t xml:space="preserve">due to intense competition, high input </w:t>
      </w:r>
      <w:r>
        <w:rPr>
          <w:lang w:val="en-GB"/>
        </w:rPr>
        <w:t>costs,</w:t>
      </w:r>
      <w:r w:rsidRPr="00B04967">
        <w:rPr>
          <w:lang w:val="en-GB"/>
        </w:rPr>
        <w:t xml:space="preserve"> and increased finance costs. The business </w:t>
      </w:r>
      <w:r>
        <w:rPr>
          <w:lang w:val="en-GB"/>
        </w:rPr>
        <w:t>had</w:t>
      </w:r>
      <w:r w:rsidRPr="00B04967">
        <w:rPr>
          <w:lang w:val="en-GB"/>
        </w:rPr>
        <w:t xml:space="preserve"> made small profits for the two prior years</w:t>
      </w:r>
      <w:r w:rsidRPr="00723D70">
        <w:rPr>
          <w:lang w:val="en-GB"/>
        </w:rPr>
        <w:t>.</w:t>
      </w:r>
      <w:r w:rsidRPr="009160DE">
        <w:rPr>
          <w:rStyle w:val="EndnoteReference"/>
          <w:lang w:val="en-GB"/>
        </w:rPr>
        <w:endnoteReference w:id="15"/>
      </w:r>
    </w:p>
    <w:p w14:paraId="2D413318" w14:textId="77777777" w:rsidR="00EF5834" w:rsidRPr="00B04967" w:rsidRDefault="00EF5834" w:rsidP="00825E1E">
      <w:pPr>
        <w:pStyle w:val="BodyTextMain"/>
        <w:rPr>
          <w:lang w:val="en-GB"/>
        </w:rPr>
      </w:pPr>
    </w:p>
    <w:p w14:paraId="3951E5A1" w14:textId="693F00B5" w:rsidR="00EF5834" w:rsidRPr="00B04967" w:rsidRDefault="00EF5834" w:rsidP="00825E1E">
      <w:pPr>
        <w:pStyle w:val="BodyTextMain"/>
        <w:rPr>
          <w:lang w:val="en-GB"/>
        </w:rPr>
      </w:pPr>
      <w:r w:rsidRPr="00B04967">
        <w:rPr>
          <w:lang w:val="en-GB"/>
        </w:rPr>
        <w:t>In addition to vertical integration, the company also developed and grew along two other directions. First, it established international operations, sometimes through joint ventures. Many of the international operations were for distributing products</w:t>
      </w:r>
      <w:r>
        <w:rPr>
          <w:lang w:val="en-GB"/>
        </w:rPr>
        <w:t>;</w:t>
      </w:r>
      <w:r w:rsidRPr="00B04967">
        <w:rPr>
          <w:lang w:val="en-GB"/>
        </w:rPr>
        <w:t xml:space="preserve"> a few had </w:t>
      </w:r>
      <w:r>
        <w:rPr>
          <w:lang w:val="en-GB"/>
        </w:rPr>
        <w:t>project-execution</w:t>
      </w:r>
      <w:r w:rsidRPr="00B04967">
        <w:rPr>
          <w:lang w:val="en-GB"/>
        </w:rPr>
        <w:t xml:space="preserve"> capability (e.g., engineering contracts)</w:t>
      </w:r>
      <w:r>
        <w:rPr>
          <w:lang w:val="en-GB"/>
        </w:rPr>
        <w:t>;</w:t>
      </w:r>
      <w:r w:rsidRPr="00B04967">
        <w:rPr>
          <w:lang w:val="en-GB"/>
        </w:rPr>
        <w:t xml:space="preserve"> and only three (</w:t>
      </w:r>
      <w:r>
        <w:rPr>
          <w:lang w:val="en-GB"/>
        </w:rPr>
        <w:t xml:space="preserve">in </w:t>
      </w:r>
      <w:r w:rsidRPr="00B04967">
        <w:rPr>
          <w:lang w:val="en-GB"/>
        </w:rPr>
        <w:t>Dubai, Thailand</w:t>
      </w:r>
      <w:r>
        <w:rPr>
          <w:lang w:val="en-GB"/>
        </w:rPr>
        <w:t>,</w:t>
      </w:r>
      <w:r w:rsidRPr="00B04967">
        <w:rPr>
          <w:lang w:val="en-GB"/>
        </w:rPr>
        <w:t xml:space="preserve"> and </w:t>
      </w:r>
      <w:r>
        <w:rPr>
          <w:lang w:val="en-GB"/>
        </w:rPr>
        <w:t>the United Kingdom</w:t>
      </w:r>
      <w:r w:rsidRPr="00B04967">
        <w:rPr>
          <w:lang w:val="en-GB"/>
        </w:rPr>
        <w:t>) had their own manufacturing facilities.</w:t>
      </w:r>
      <w:r w:rsidRPr="009160DE">
        <w:rPr>
          <w:rStyle w:val="EndnoteReference"/>
          <w:lang w:val="en-GB"/>
        </w:rPr>
        <w:endnoteReference w:id="16"/>
      </w:r>
      <w:r w:rsidRPr="00B04967">
        <w:rPr>
          <w:lang w:val="en-GB"/>
        </w:rPr>
        <w:t xml:space="preserve"> By 2020, the company’s reach spanned all </w:t>
      </w:r>
      <w:r>
        <w:rPr>
          <w:lang w:val="en-GB"/>
        </w:rPr>
        <w:t xml:space="preserve">of </w:t>
      </w:r>
      <w:r w:rsidRPr="00B04967">
        <w:rPr>
          <w:lang w:val="en-GB"/>
        </w:rPr>
        <w:t>the key geographic regions</w:t>
      </w:r>
      <w:r>
        <w:rPr>
          <w:lang w:val="en-GB"/>
        </w:rPr>
        <w:t>,</w:t>
      </w:r>
      <w:r w:rsidRPr="00B04967">
        <w:rPr>
          <w:lang w:val="en-GB"/>
        </w:rPr>
        <w:t xml:space="preserve"> including Southeast Asia, the Middle East, Africa, Australia, Europe</w:t>
      </w:r>
      <w:r>
        <w:rPr>
          <w:lang w:val="en-GB"/>
        </w:rPr>
        <w:t>,</w:t>
      </w:r>
      <w:r w:rsidRPr="00B04967">
        <w:rPr>
          <w:lang w:val="en-GB"/>
        </w:rPr>
        <w:t xml:space="preserve"> and the Americas (see Exhibit </w:t>
      </w:r>
      <w:r>
        <w:rPr>
          <w:lang w:val="en-GB"/>
        </w:rPr>
        <w:t>4</w:t>
      </w:r>
      <w:r w:rsidRPr="00B04967">
        <w:rPr>
          <w:lang w:val="en-GB"/>
        </w:rPr>
        <w:t>).</w:t>
      </w:r>
    </w:p>
    <w:p w14:paraId="15E31706" w14:textId="77777777" w:rsidR="00EF5834" w:rsidRPr="00B04967" w:rsidRDefault="00EF5834" w:rsidP="00825E1E">
      <w:pPr>
        <w:pStyle w:val="BodyTextMain"/>
        <w:rPr>
          <w:lang w:val="en-GB"/>
        </w:rPr>
      </w:pPr>
    </w:p>
    <w:p w14:paraId="43F70A3C" w14:textId="07A06DCD" w:rsidR="00EF5834" w:rsidRPr="00B04967" w:rsidRDefault="00EF5834" w:rsidP="00825E1E">
      <w:pPr>
        <w:pStyle w:val="BodyTextMain"/>
        <w:rPr>
          <w:lang w:val="en-GB"/>
        </w:rPr>
      </w:pPr>
      <w:r w:rsidRPr="00B04967">
        <w:rPr>
          <w:lang w:val="en-GB"/>
        </w:rPr>
        <w:t>Diversification formed the second key thrust of Usha Martin’s growth strategy. The company diversified into many areas unrelated to its core business. At various points in time, the company was involved in telecom</w:t>
      </w:r>
      <w:r>
        <w:rPr>
          <w:lang w:val="en-GB"/>
        </w:rPr>
        <w:t>munication</w:t>
      </w:r>
      <w:r w:rsidRPr="00B04967">
        <w:rPr>
          <w:lang w:val="en-GB"/>
        </w:rPr>
        <w:t xml:space="preserve"> </w:t>
      </w:r>
      <w:r>
        <w:rPr>
          <w:lang w:val="en-GB"/>
        </w:rPr>
        <w:t xml:space="preserve">(telecom) </w:t>
      </w:r>
      <w:r w:rsidRPr="00B04967">
        <w:rPr>
          <w:lang w:val="en-GB"/>
        </w:rPr>
        <w:t>and outsourcing services, realty and construction</w:t>
      </w:r>
      <w:r>
        <w:rPr>
          <w:lang w:val="en-GB"/>
        </w:rPr>
        <w:t>,</w:t>
      </w:r>
      <w:r w:rsidRPr="00B04967">
        <w:rPr>
          <w:lang w:val="en-GB"/>
        </w:rPr>
        <w:t xml:space="preserve"> and the education sector. For some of these initiatives</w:t>
      </w:r>
      <w:r>
        <w:rPr>
          <w:lang w:val="en-GB"/>
        </w:rPr>
        <w:t>,</w:t>
      </w:r>
      <w:r w:rsidRPr="00B04967">
        <w:rPr>
          <w:lang w:val="en-GB"/>
        </w:rPr>
        <w:t xml:space="preserve"> such as the telecom services, the company was able to make an early and </w:t>
      </w:r>
      <w:r w:rsidRPr="00B04967">
        <w:rPr>
          <w:lang w:val="en-GB"/>
        </w:rPr>
        <w:lastRenderedPageBreak/>
        <w:t>profitable exit. A few other initiatives (e.g., education and information technology) enjoyed some success at specific points in time and were part of the overall portfolio (as related companies)</w:t>
      </w:r>
      <w:r>
        <w:rPr>
          <w:lang w:val="en-GB"/>
        </w:rPr>
        <w:t>,</w:t>
      </w:r>
      <w:r w:rsidRPr="00B04967">
        <w:rPr>
          <w:lang w:val="en-GB"/>
        </w:rPr>
        <w:t xml:space="preserve"> even in 2020.</w:t>
      </w:r>
      <w:r>
        <w:rPr>
          <w:lang w:val="en-GB"/>
        </w:rPr>
        <w:t xml:space="preserve"> However</w:t>
      </w:r>
      <w:r w:rsidRPr="00B04967">
        <w:rPr>
          <w:lang w:val="en-GB"/>
        </w:rPr>
        <w:t xml:space="preserve">, implementing </w:t>
      </w:r>
      <w:r>
        <w:rPr>
          <w:lang w:val="en-GB"/>
        </w:rPr>
        <w:t xml:space="preserve">a </w:t>
      </w:r>
      <w:r w:rsidRPr="00B04967">
        <w:rPr>
          <w:lang w:val="en-GB"/>
        </w:rPr>
        <w:t>growth strategy along three different directions likely stretched the company’s managerial and financial resources.</w:t>
      </w:r>
      <w:r w:rsidRPr="009160DE">
        <w:rPr>
          <w:rStyle w:val="EndnoteReference"/>
          <w:lang w:val="en-GB"/>
        </w:rPr>
        <w:endnoteReference w:id="17"/>
      </w:r>
    </w:p>
    <w:p w14:paraId="77507D74" w14:textId="77777777" w:rsidR="00EF5834" w:rsidRPr="00B04967" w:rsidRDefault="00EF5834" w:rsidP="00825E1E">
      <w:pPr>
        <w:pStyle w:val="BodyTextMain"/>
        <w:rPr>
          <w:lang w:val="en-GB"/>
        </w:rPr>
      </w:pPr>
    </w:p>
    <w:p w14:paraId="434121AB" w14:textId="1260B925" w:rsidR="00EF5834" w:rsidRDefault="00EF5834" w:rsidP="00825E1E">
      <w:pPr>
        <w:pStyle w:val="BodyTextMain"/>
        <w:rPr>
          <w:lang w:val="en-GB"/>
        </w:rPr>
      </w:pPr>
      <w:r w:rsidRPr="00B04967">
        <w:rPr>
          <w:lang w:val="en-GB"/>
        </w:rPr>
        <w:t xml:space="preserve">The </w:t>
      </w:r>
      <w:r>
        <w:rPr>
          <w:lang w:val="en-GB"/>
        </w:rPr>
        <w:t xml:space="preserve">company’s </w:t>
      </w:r>
      <w:r w:rsidRPr="00B04967">
        <w:rPr>
          <w:lang w:val="en-GB"/>
        </w:rPr>
        <w:t xml:space="preserve">expansionary strategy, in terms of entering different products or geographies, was fuelled by the optimism of </w:t>
      </w:r>
      <w:r>
        <w:rPr>
          <w:lang w:val="en-GB"/>
        </w:rPr>
        <w:t>Usha Martin’s</w:t>
      </w:r>
      <w:r w:rsidRPr="00B04967">
        <w:rPr>
          <w:lang w:val="en-GB"/>
        </w:rPr>
        <w:t xml:space="preserve"> leadership</w:t>
      </w:r>
      <w:r>
        <w:rPr>
          <w:lang w:val="en-GB"/>
        </w:rPr>
        <w:t>,</w:t>
      </w:r>
      <w:r w:rsidRPr="00B04967">
        <w:rPr>
          <w:lang w:val="en-GB"/>
        </w:rPr>
        <w:t xml:space="preserve"> which consisted of the founders and their families. The company’s leaders took special pride in </w:t>
      </w:r>
      <w:r>
        <w:rPr>
          <w:lang w:val="en-GB"/>
        </w:rPr>
        <w:t>Usha Martin’s</w:t>
      </w:r>
      <w:r w:rsidRPr="00B04967">
        <w:rPr>
          <w:lang w:val="en-GB"/>
        </w:rPr>
        <w:t xml:space="preserve"> vertical integration strategy and often spoke about it in their public statements. For instance, in its annual report for 2016</w:t>
      </w:r>
      <w:r>
        <w:rPr>
          <w:lang w:val="en-GB"/>
        </w:rPr>
        <w:t>–</w:t>
      </w:r>
      <w:r w:rsidRPr="00B04967">
        <w:rPr>
          <w:lang w:val="en-GB"/>
        </w:rPr>
        <w:t>17, the company made the following comment:</w:t>
      </w:r>
    </w:p>
    <w:p w14:paraId="30D26AD7" w14:textId="77777777" w:rsidR="00EF5834" w:rsidRDefault="00EF5834" w:rsidP="00825E1E">
      <w:pPr>
        <w:pStyle w:val="BodyTextMain"/>
        <w:rPr>
          <w:lang w:val="en-GB"/>
        </w:rPr>
      </w:pPr>
    </w:p>
    <w:p w14:paraId="6F7C11D9" w14:textId="23AB6B27" w:rsidR="00EF5834" w:rsidRPr="001222C1" w:rsidRDefault="00EF5834" w:rsidP="003A2605">
      <w:pPr>
        <w:pStyle w:val="BodyTextMain"/>
        <w:ind w:left="720"/>
        <w:rPr>
          <w:iCs/>
          <w:lang w:val="en-GB"/>
        </w:rPr>
      </w:pPr>
      <w:r w:rsidRPr="009160DE">
        <w:rPr>
          <w:iCs/>
          <w:lang w:val="en-GB"/>
        </w:rPr>
        <w:t>The strategy of integration places the Company in a unique position by combining both ends of value chain, from iron ore mining to high value wire ropes and further providing end use solutions on its key product applications. In addition to providing benefits of quality, consistency and self-sufficiency for principal raw materials, it provides captive markets for a sizeable portion of the finished products. Also, it enables the Company to aspire to become truly competitive across the entire value chain of its chosen product range</w:t>
      </w:r>
      <w:r w:rsidRPr="00F449E3">
        <w:rPr>
          <w:iCs/>
          <w:lang w:val="en-GB"/>
        </w:rPr>
        <w:t>.</w:t>
      </w:r>
      <w:r w:rsidRPr="009160DE">
        <w:rPr>
          <w:rStyle w:val="EndnoteReference"/>
          <w:iCs/>
          <w:lang w:val="en-GB"/>
        </w:rPr>
        <w:endnoteReference w:id="18"/>
      </w:r>
    </w:p>
    <w:p w14:paraId="0CB63029" w14:textId="77777777" w:rsidR="00EF5834" w:rsidRDefault="00EF5834" w:rsidP="003A2605">
      <w:pPr>
        <w:pStyle w:val="BodyTextMain"/>
        <w:rPr>
          <w:i/>
          <w:lang w:val="en-GB"/>
        </w:rPr>
      </w:pPr>
    </w:p>
    <w:p w14:paraId="65E9CD4A" w14:textId="5D4A7275" w:rsidR="00EF5834" w:rsidRPr="00B04967" w:rsidRDefault="00EF5834" w:rsidP="00F449E3">
      <w:pPr>
        <w:pStyle w:val="BodyTextMain"/>
        <w:rPr>
          <w:lang w:val="en-GB"/>
        </w:rPr>
      </w:pPr>
      <w:r w:rsidRPr="00B04967">
        <w:rPr>
          <w:lang w:val="en-GB"/>
        </w:rPr>
        <w:t>The strategy, which was viewed favourably by investors as well as lenders such as banks, led to good results when the environment was conducive</w:t>
      </w:r>
      <w:r>
        <w:rPr>
          <w:lang w:val="en-GB"/>
        </w:rPr>
        <w:t xml:space="preserve"> (</w:t>
      </w:r>
      <w:r w:rsidRPr="00B04967">
        <w:rPr>
          <w:lang w:val="en-GB"/>
        </w:rPr>
        <w:t>e.g., when the broader economy was growing and/or supply was unreliable because of the emerging nature of the Indian economy</w:t>
      </w:r>
      <w:r>
        <w:rPr>
          <w:lang w:val="en-GB"/>
        </w:rPr>
        <w:t>)</w:t>
      </w:r>
      <w:r w:rsidRPr="00B04967">
        <w:rPr>
          <w:lang w:val="en-GB"/>
        </w:rPr>
        <w:t>.</w:t>
      </w:r>
      <w:r>
        <w:rPr>
          <w:lang w:val="en-GB"/>
        </w:rPr>
        <w:t xml:space="preserve"> </w:t>
      </w:r>
      <w:r w:rsidRPr="00B04967">
        <w:rPr>
          <w:lang w:val="en-GB"/>
        </w:rPr>
        <w:t>For its golden anniversary year (ended March 2011), Usha Martin’s</w:t>
      </w:r>
      <w:r>
        <w:rPr>
          <w:lang w:val="en-GB"/>
        </w:rPr>
        <w:t xml:space="preserve"> (consolidated) </w:t>
      </w:r>
      <w:r w:rsidRPr="00B04967">
        <w:rPr>
          <w:lang w:val="en-GB"/>
        </w:rPr>
        <w:t xml:space="preserve">profits </w:t>
      </w:r>
      <w:r>
        <w:rPr>
          <w:lang w:val="en-GB"/>
        </w:rPr>
        <w:t>after</w:t>
      </w:r>
      <w:r w:rsidRPr="00B04967">
        <w:rPr>
          <w:lang w:val="en-GB"/>
        </w:rPr>
        <w:t xml:space="preserve"> tax stood at an impressive </w:t>
      </w:r>
      <w:r w:rsidRPr="00810241">
        <w:rPr>
          <w:rFonts w:ascii="Arial" w:hAnsi="Arial" w:cs="Arial"/>
          <w:sz w:val="20"/>
          <w:szCs w:val="20"/>
          <w:lang w:val="en-GB"/>
        </w:rPr>
        <w:t>₹</w:t>
      </w:r>
      <w:r>
        <w:rPr>
          <w:lang w:val="en-GB"/>
        </w:rPr>
        <w:t>1.4 billion (</w:t>
      </w:r>
      <w:r w:rsidRPr="00B04967">
        <w:rPr>
          <w:lang w:val="en-GB"/>
        </w:rPr>
        <w:t xml:space="preserve">versus </w:t>
      </w:r>
      <w:r w:rsidRPr="00810241">
        <w:rPr>
          <w:rFonts w:ascii="Arial" w:hAnsi="Arial" w:cs="Arial"/>
          <w:sz w:val="20"/>
          <w:szCs w:val="20"/>
          <w:lang w:val="en-GB"/>
        </w:rPr>
        <w:t>₹</w:t>
      </w:r>
      <w:r>
        <w:rPr>
          <w:lang w:val="en-GB"/>
        </w:rPr>
        <w:t>32.3</w:t>
      </w:r>
      <w:r>
        <w:rPr>
          <w:lang w:val="en-GB"/>
        </w:rPr>
        <w:t xml:space="preserve"> </w:t>
      </w:r>
      <w:r w:rsidRPr="00B04967">
        <w:rPr>
          <w:lang w:val="en-GB"/>
        </w:rPr>
        <w:t xml:space="preserve">million for </w:t>
      </w:r>
      <w:r>
        <w:rPr>
          <w:lang w:val="en-GB"/>
        </w:rPr>
        <w:t xml:space="preserve">FY </w:t>
      </w:r>
      <w:r w:rsidRPr="00B04967">
        <w:rPr>
          <w:lang w:val="en-GB"/>
        </w:rPr>
        <w:t>200</w:t>
      </w:r>
      <w:r>
        <w:rPr>
          <w:lang w:val="en-GB"/>
        </w:rPr>
        <w:t>3–</w:t>
      </w:r>
      <w:r w:rsidRPr="00B04967">
        <w:rPr>
          <w:lang w:val="en-GB"/>
        </w:rPr>
        <w:t>0</w:t>
      </w:r>
      <w:r>
        <w:rPr>
          <w:lang w:val="en-GB"/>
        </w:rPr>
        <w:t>4)</w:t>
      </w:r>
      <w:r w:rsidRPr="00B04967">
        <w:rPr>
          <w:lang w:val="en-GB"/>
        </w:rPr>
        <w:t>, a compounded annual growth rate of 3</w:t>
      </w:r>
      <w:r>
        <w:rPr>
          <w:lang w:val="en-GB"/>
        </w:rPr>
        <w:t>0</w:t>
      </w:r>
      <w:r w:rsidRPr="00B04967">
        <w:rPr>
          <w:lang w:val="en-GB"/>
        </w:rPr>
        <w:t>.</w:t>
      </w:r>
      <w:r>
        <w:rPr>
          <w:lang w:val="en-GB"/>
        </w:rPr>
        <w:t>39 per cent</w:t>
      </w:r>
      <w:r w:rsidRPr="00B04967">
        <w:rPr>
          <w:lang w:val="en-GB"/>
        </w:rPr>
        <w:t>.</w:t>
      </w:r>
      <w:r w:rsidRPr="00337324">
        <w:rPr>
          <w:rStyle w:val="EndnoteReference"/>
          <w:lang w:val="en-GB"/>
        </w:rPr>
        <w:endnoteReference w:id="19"/>
      </w:r>
      <w:r w:rsidRPr="00F449E3">
        <w:rPr>
          <w:lang w:val="en-GB"/>
        </w:rPr>
        <w:t xml:space="preserve"> </w:t>
      </w:r>
      <w:r>
        <w:rPr>
          <w:lang w:val="en-GB"/>
        </w:rPr>
        <w:t>However</w:t>
      </w:r>
      <w:r w:rsidRPr="00B04967">
        <w:rPr>
          <w:lang w:val="en-GB"/>
        </w:rPr>
        <w:t>, this would prove to be the calm before the storm.</w:t>
      </w:r>
    </w:p>
    <w:p w14:paraId="55757D5A" w14:textId="15474F4C" w:rsidR="00EF5834" w:rsidRPr="00B04967" w:rsidRDefault="00EF5834" w:rsidP="00825E1E">
      <w:pPr>
        <w:pStyle w:val="BodyTextMain"/>
        <w:rPr>
          <w:lang w:val="en-GB"/>
        </w:rPr>
      </w:pPr>
    </w:p>
    <w:p w14:paraId="6BB9D6E5" w14:textId="77777777" w:rsidR="00EF5834" w:rsidRPr="00B04967" w:rsidRDefault="00EF5834" w:rsidP="00825E1E">
      <w:pPr>
        <w:pStyle w:val="BodyTextMain"/>
        <w:rPr>
          <w:lang w:val="en-GB"/>
        </w:rPr>
      </w:pPr>
    </w:p>
    <w:p w14:paraId="1756CE00" w14:textId="77777777" w:rsidR="00EF5834" w:rsidRPr="00B04967" w:rsidRDefault="00EF5834" w:rsidP="00825E1E">
      <w:pPr>
        <w:pStyle w:val="Casehead1"/>
        <w:rPr>
          <w:lang w:val="en-GB"/>
        </w:rPr>
      </w:pPr>
      <w:r w:rsidRPr="00B04967">
        <w:rPr>
          <w:lang w:val="en-GB"/>
        </w:rPr>
        <w:t>The flip side of the vertical integration strategy</w:t>
      </w:r>
    </w:p>
    <w:p w14:paraId="72593186" w14:textId="77777777" w:rsidR="00EF5834" w:rsidRPr="00B04967" w:rsidRDefault="00EF5834" w:rsidP="00825E1E">
      <w:pPr>
        <w:pStyle w:val="BodyTextMain"/>
        <w:rPr>
          <w:lang w:val="en-GB"/>
        </w:rPr>
      </w:pPr>
    </w:p>
    <w:p w14:paraId="7829837A" w14:textId="72ED4F89" w:rsidR="00EF5834" w:rsidRPr="00B04967" w:rsidRDefault="00EF5834" w:rsidP="00825E1E">
      <w:pPr>
        <w:pStyle w:val="BodyTextMain"/>
        <w:rPr>
          <w:lang w:val="en-GB"/>
        </w:rPr>
      </w:pPr>
      <w:r>
        <w:rPr>
          <w:lang w:val="en-GB"/>
        </w:rPr>
        <w:t>Although</w:t>
      </w:r>
      <w:r w:rsidRPr="00B04967">
        <w:rPr>
          <w:lang w:val="en-GB"/>
        </w:rPr>
        <w:t xml:space="preserve"> the vertical integration strategy provided the company </w:t>
      </w:r>
      <w:r>
        <w:rPr>
          <w:lang w:val="en-GB"/>
        </w:rPr>
        <w:t xml:space="preserve">with </w:t>
      </w:r>
      <w:r w:rsidRPr="00B04967">
        <w:rPr>
          <w:lang w:val="en-GB"/>
        </w:rPr>
        <w:t xml:space="preserve">predictability of supply volumes and prices, the strategy also exposed </w:t>
      </w:r>
      <w:r>
        <w:rPr>
          <w:lang w:val="en-GB"/>
        </w:rPr>
        <w:t>Usha Martin</w:t>
      </w:r>
      <w:r w:rsidRPr="00B04967">
        <w:rPr>
          <w:lang w:val="en-GB"/>
        </w:rPr>
        <w:t xml:space="preserve"> to a number of challenges and risks. One such risk was related to environmental concerns. Steel (especially </w:t>
      </w:r>
      <w:r>
        <w:rPr>
          <w:lang w:val="en-GB"/>
        </w:rPr>
        <w:t>older-generation</w:t>
      </w:r>
      <w:r w:rsidRPr="00B04967">
        <w:rPr>
          <w:lang w:val="en-GB"/>
        </w:rPr>
        <w:t xml:space="preserve"> steel plants) and coal (all aspects related to </w:t>
      </w:r>
      <w:r>
        <w:rPr>
          <w:lang w:val="en-GB"/>
        </w:rPr>
        <w:t xml:space="preserve">the </w:t>
      </w:r>
      <w:r w:rsidRPr="00B04967">
        <w:rPr>
          <w:lang w:val="en-GB"/>
        </w:rPr>
        <w:t xml:space="preserve">mining and burning of coal in uses such as power plant operation) were considered environmentally unfriendly and </w:t>
      </w:r>
      <w:r>
        <w:rPr>
          <w:lang w:val="en-GB"/>
        </w:rPr>
        <w:t xml:space="preserve">were </w:t>
      </w:r>
      <w:r w:rsidRPr="00B04967">
        <w:rPr>
          <w:lang w:val="en-GB"/>
        </w:rPr>
        <w:t>subject to regulation</w:t>
      </w:r>
      <w:r>
        <w:rPr>
          <w:lang w:val="en-GB"/>
        </w:rPr>
        <w:t xml:space="preserve"> as well as</w:t>
      </w:r>
      <w:r w:rsidRPr="00B04967">
        <w:rPr>
          <w:lang w:val="en-GB"/>
        </w:rPr>
        <w:t xml:space="preserve"> environmental activism </w:t>
      </w:r>
      <w:r>
        <w:rPr>
          <w:lang w:val="en-GB"/>
        </w:rPr>
        <w:t>and</w:t>
      </w:r>
      <w:r w:rsidRPr="00B04967">
        <w:rPr>
          <w:lang w:val="en-GB"/>
        </w:rPr>
        <w:t xml:space="preserve"> negative publicity in </w:t>
      </w:r>
      <w:r>
        <w:rPr>
          <w:lang w:val="en-GB"/>
        </w:rPr>
        <w:t xml:space="preserve">the </w:t>
      </w:r>
      <w:r w:rsidRPr="00B04967">
        <w:rPr>
          <w:lang w:val="en-GB"/>
        </w:rPr>
        <w:t xml:space="preserve">case of adverse events such as </w:t>
      </w:r>
      <w:r>
        <w:rPr>
          <w:lang w:val="en-GB"/>
        </w:rPr>
        <w:t xml:space="preserve">industrial </w:t>
      </w:r>
      <w:r w:rsidRPr="00B04967">
        <w:rPr>
          <w:lang w:val="en-GB"/>
        </w:rPr>
        <w:t>accidents. Usha Martin’s end-to-end vertical integration strategy meant that it was involved in steel, mining</w:t>
      </w:r>
      <w:r>
        <w:rPr>
          <w:lang w:val="en-GB"/>
        </w:rPr>
        <w:t>,</w:t>
      </w:r>
      <w:r w:rsidRPr="00B04967">
        <w:rPr>
          <w:lang w:val="en-GB"/>
        </w:rPr>
        <w:t xml:space="preserve"> and power plant operations</w:t>
      </w:r>
      <w:r>
        <w:rPr>
          <w:lang w:val="en-GB"/>
        </w:rPr>
        <w:t>;</w:t>
      </w:r>
      <w:r w:rsidRPr="00B04967">
        <w:rPr>
          <w:lang w:val="en-GB"/>
        </w:rPr>
        <w:t xml:space="preserve"> thus</w:t>
      </w:r>
      <w:r>
        <w:rPr>
          <w:lang w:val="en-GB"/>
        </w:rPr>
        <w:t>,</w:t>
      </w:r>
      <w:r w:rsidRPr="00B04967">
        <w:rPr>
          <w:lang w:val="en-GB"/>
        </w:rPr>
        <w:t xml:space="preserve"> multiplying the possibility that it would run afoul of environmental regulations or activism.</w:t>
      </w:r>
      <w:r w:rsidRPr="00337324">
        <w:rPr>
          <w:rStyle w:val="EndnoteReference"/>
          <w:lang w:val="en-GB"/>
        </w:rPr>
        <w:endnoteReference w:id="20"/>
      </w:r>
    </w:p>
    <w:p w14:paraId="6BA5E956" w14:textId="77777777" w:rsidR="00EF5834" w:rsidRPr="00B04967" w:rsidRDefault="00EF5834" w:rsidP="00825E1E">
      <w:pPr>
        <w:pStyle w:val="BodyTextMain"/>
        <w:rPr>
          <w:lang w:val="en-GB"/>
        </w:rPr>
      </w:pPr>
    </w:p>
    <w:p w14:paraId="56F5788F" w14:textId="66874EED" w:rsidR="00EF5834" w:rsidRPr="00B04967" w:rsidRDefault="00EF5834" w:rsidP="00825E1E">
      <w:pPr>
        <w:pStyle w:val="BodyTextMain"/>
        <w:rPr>
          <w:lang w:val="en-GB"/>
        </w:rPr>
      </w:pPr>
      <w:r w:rsidRPr="00B04967">
        <w:rPr>
          <w:lang w:val="en-GB"/>
        </w:rPr>
        <w:t>High capital intensity posed another risk. The steel business, in which Usha Martin had rapidly expanded capacity between 2006</w:t>
      </w:r>
      <w:r>
        <w:rPr>
          <w:lang w:val="en-GB"/>
        </w:rPr>
        <w:t>–</w:t>
      </w:r>
      <w:r w:rsidRPr="00B04967">
        <w:rPr>
          <w:lang w:val="en-GB"/>
        </w:rPr>
        <w:t>07 and 2010</w:t>
      </w:r>
      <w:r>
        <w:rPr>
          <w:lang w:val="en-GB"/>
        </w:rPr>
        <w:t>–</w:t>
      </w:r>
      <w:r w:rsidRPr="00B04967">
        <w:rPr>
          <w:lang w:val="en-GB"/>
        </w:rPr>
        <w:t>11, was particularly capital intensive.</w:t>
      </w:r>
      <w:r w:rsidRPr="00337324">
        <w:rPr>
          <w:rStyle w:val="EndnoteReference"/>
          <w:lang w:val="en-GB"/>
        </w:rPr>
        <w:endnoteReference w:id="21"/>
      </w:r>
      <w:r w:rsidRPr="001222C1">
        <w:rPr>
          <w:lang w:val="en-GB"/>
        </w:rPr>
        <w:t xml:space="preserve"> </w:t>
      </w:r>
      <w:r w:rsidRPr="00B04967">
        <w:rPr>
          <w:lang w:val="en-GB"/>
        </w:rPr>
        <w:t xml:space="preserve">The risk in investing large </w:t>
      </w:r>
      <w:r>
        <w:rPr>
          <w:lang w:val="en-GB"/>
        </w:rPr>
        <w:t>amounts</w:t>
      </w:r>
      <w:r w:rsidRPr="00B04967">
        <w:rPr>
          <w:lang w:val="en-GB"/>
        </w:rPr>
        <w:t xml:space="preserve"> of capital in steelmaking was magnified because of two factors: the cyclical nature of the demand for steel and the numerous external factors affecting the performance of the industry, over which the steelmakers had little control.</w:t>
      </w:r>
    </w:p>
    <w:p w14:paraId="221EEA94" w14:textId="77777777" w:rsidR="00EF5834" w:rsidRPr="00B04967" w:rsidRDefault="00EF5834" w:rsidP="00825E1E">
      <w:pPr>
        <w:pStyle w:val="BodyTextMain"/>
        <w:rPr>
          <w:lang w:val="en-GB"/>
        </w:rPr>
      </w:pPr>
    </w:p>
    <w:p w14:paraId="171A076F" w14:textId="661F5E3B" w:rsidR="00EF5834" w:rsidRDefault="00EF5834" w:rsidP="00825E1E">
      <w:pPr>
        <w:pStyle w:val="BodyTextMain"/>
        <w:rPr>
          <w:lang w:val="en-GB"/>
        </w:rPr>
      </w:pPr>
      <w:r w:rsidRPr="00B04967">
        <w:rPr>
          <w:lang w:val="en-GB"/>
        </w:rPr>
        <w:t xml:space="preserve">Demand for steel was sensitive to the performance of the Indian economy (e.g., expansion </w:t>
      </w:r>
      <w:r>
        <w:rPr>
          <w:lang w:val="en-GB"/>
        </w:rPr>
        <w:t>or</w:t>
      </w:r>
      <w:r w:rsidRPr="00B04967">
        <w:rPr>
          <w:lang w:val="en-GB"/>
        </w:rPr>
        <w:t xml:space="preserve"> contraction)</w:t>
      </w:r>
      <w:r>
        <w:rPr>
          <w:lang w:val="en-GB"/>
        </w:rPr>
        <w:t>,</w:t>
      </w:r>
      <w:r w:rsidRPr="00B04967">
        <w:rPr>
          <w:lang w:val="en-GB"/>
        </w:rPr>
        <w:t xml:space="preserve"> in general</w:t>
      </w:r>
      <w:r>
        <w:rPr>
          <w:lang w:val="en-GB"/>
        </w:rPr>
        <w:t>,</w:t>
      </w:r>
      <w:r w:rsidRPr="00B04967">
        <w:rPr>
          <w:lang w:val="en-GB"/>
        </w:rPr>
        <w:t xml:space="preserve"> and demand for discretionary and durable goods such as cars and home appliances, in particular. </w:t>
      </w:r>
      <w:r>
        <w:rPr>
          <w:lang w:val="en-GB"/>
        </w:rPr>
        <w:t>The s</w:t>
      </w:r>
      <w:r w:rsidRPr="00B04967">
        <w:rPr>
          <w:lang w:val="en-GB"/>
        </w:rPr>
        <w:t xml:space="preserve">upply of steel was affected by </w:t>
      </w:r>
      <w:r>
        <w:rPr>
          <w:lang w:val="en-GB"/>
        </w:rPr>
        <w:t xml:space="preserve">the </w:t>
      </w:r>
      <w:r w:rsidRPr="00B04967">
        <w:rPr>
          <w:lang w:val="en-GB"/>
        </w:rPr>
        <w:t>demand</w:t>
      </w:r>
      <w:r>
        <w:rPr>
          <w:lang w:val="en-GB"/>
        </w:rPr>
        <w:t>–</w:t>
      </w:r>
      <w:r w:rsidRPr="00B04967">
        <w:rPr>
          <w:lang w:val="en-GB"/>
        </w:rPr>
        <w:t xml:space="preserve">supply balance globally as well </w:t>
      </w:r>
      <w:r>
        <w:rPr>
          <w:lang w:val="en-GB"/>
        </w:rPr>
        <w:t xml:space="preserve">as the </w:t>
      </w:r>
      <w:r w:rsidRPr="00B04967">
        <w:rPr>
          <w:lang w:val="en-GB"/>
        </w:rPr>
        <w:t xml:space="preserve">trade policies of the Indian and foreign governments. For instance, domestic producers of steel could suffer from lower </w:t>
      </w:r>
      <w:r>
        <w:rPr>
          <w:lang w:val="en-GB"/>
        </w:rPr>
        <w:t xml:space="preserve">steel </w:t>
      </w:r>
      <w:r w:rsidRPr="00B04967">
        <w:rPr>
          <w:lang w:val="en-GB"/>
        </w:rPr>
        <w:t xml:space="preserve">prices </w:t>
      </w:r>
      <w:r>
        <w:rPr>
          <w:lang w:val="en-GB"/>
        </w:rPr>
        <w:t>due to</w:t>
      </w:r>
      <w:r w:rsidRPr="00B04967">
        <w:rPr>
          <w:lang w:val="en-GB"/>
        </w:rPr>
        <w:t xml:space="preserve"> excess supply in other countries and/or fewer trade barriers for steel imports into India</w:t>
      </w:r>
      <w:r>
        <w:rPr>
          <w:lang w:val="en-GB"/>
        </w:rPr>
        <w:t>,</w:t>
      </w:r>
      <w:r w:rsidRPr="00B04967">
        <w:rPr>
          <w:lang w:val="en-GB"/>
        </w:rPr>
        <w:t xml:space="preserve"> which could imply a flood of cheap steel imports into India</w:t>
      </w:r>
      <w:r w:rsidRPr="001222C1">
        <w:rPr>
          <w:lang w:val="en-GB"/>
        </w:rPr>
        <w:t>.</w:t>
      </w:r>
      <w:r w:rsidRPr="00337324">
        <w:rPr>
          <w:rStyle w:val="EndnoteReference"/>
          <w:lang w:val="en-GB"/>
        </w:rPr>
        <w:endnoteReference w:id="22"/>
      </w:r>
    </w:p>
    <w:p w14:paraId="660887BE" w14:textId="454F31EA" w:rsidR="00EF5834" w:rsidRPr="00B04967" w:rsidRDefault="00EF5834" w:rsidP="00825E1E">
      <w:pPr>
        <w:pStyle w:val="BodyTextMain"/>
        <w:rPr>
          <w:lang w:val="en-GB"/>
        </w:rPr>
      </w:pPr>
      <w:bookmarkStart w:id="1" w:name="_GoBack"/>
      <w:bookmarkEnd w:id="1"/>
      <w:r w:rsidRPr="00B04967">
        <w:rPr>
          <w:lang w:val="en-GB"/>
        </w:rPr>
        <w:lastRenderedPageBreak/>
        <w:t xml:space="preserve">A third source of risk was political risk, especially with regard to acquiring </w:t>
      </w:r>
      <w:r>
        <w:rPr>
          <w:lang w:val="en-GB"/>
        </w:rPr>
        <w:t xml:space="preserve">licences </w:t>
      </w:r>
      <w:r w:rsidRPr="00B04967">
        <w:rPr>
          <w:lang w:val="en-GB"/>
        </w:rPr>
        <w:t>for mining natural resources such as iron ore and coal. The acquisition process was often politicized in India, with frequent allegations of corruption or favouritism following the conclusion of any award</w:t>
      </w:r>
      <w:r>
        <w:rPr>
          <w:lang w:val="en-GB"/>
        </w:rPr>
        <w:t>ing of contracts</w:t>
      </w:r>
      <w:r w:rsidRPr="00B04967">
        <w:rPr>
          <w:lang w:val="en-GB"/>
        </w:rPr>
        <w:t>.</w:t>
      </w:r>
      <w:r w:rsidRPr="00337324">
        <w:rPr>
          <w:rStyle w:val="EndnoteReference"/>
          <w:lang w:val="en-GB"/>
        </w:rPr>
        <w:endnoteReference w:id="23"/>
      </w:r>
    </w:p>
    <w:p w14:paraId="704C6DBF" w14:textId="77777777" w:rsidR="00EF5834" w:rsidRPr="00B04967" w:rsidRDefault="00EF5834" w:rsidP="00825E1E">
      <w:pPr>
        <w:pStyle w:val="BodyTextMain"/>
        <w:rPr>
          <w:lang w:val="en-GB"/>
        </w:rPr>
      </w:pPr>
    </w:p>
    <w:p w14:paraId="3F1B1D8A" w14:textId="18C0BD75" w:rsidR="00EF5834" w:rsidRPr="00B04967" w:rsidRDefault="00EF5834" w:rsidP="00825E1E">
      <w:pPr>
        <w:pStyle w:val="BodyTextMain"/>
        <w:rPr>
          <w:lang w:val="en-GB"/>
        </w:rPr>
      </w:pPr>
      <w:r>
        <w:rPr>
          <w:lang w:val="en-GB"/>
        </w:rPr>
        <w:t>For Usha Martin, many</w:t>
      </w:r>
      <w:r w:rsidRPr="00B04967">
        <w:rPr>
          <w:lang w:val="en-GB"/>
        </w:rPr>
        <w:t xml:space="preserve"> of the risks in the vertical integration strategy came to pass after 2010. In 2011, an environmental</w:t>
      </w:r>
      <w:r>
        <w:rPr>
          <w:lang w:val="en-GB"/>
        </w:rPr>
        <w:t xml:space="preserve"> </w:t>
      </w:r>
      <w:r w:rsidRPr="00B04967">
        <w:rPr>
          <w:lang w:val="en-GB"/>
        </w:rPr>
        <w:t>activist website</w:t>
      </w:r>
      <w:r>
        <w:rPr>
          <w:lang w:val="en-GB"/>
        </w:rPr>
        <w:t>,</w:t>
      </w:r>
      <w:r w:rsidRPr="00B04967">
        <w:rPr>
          <w:lang w:val="en-GB"/>
        </w:rPr>
        <w:t xml:space="preserve"> </w:t>
      </w:r>
      <w:r w:rsidRPr="00337324">
        <w:rPr>
          <w:iCs/>
          <w:lang w:val="en-GB"/>
        </w:rPr>
        <w:t>Down to Earth</w:t>
      </w:r>
      <w:r>
        <w:rPr>
          <w:iCs/>
          <w:lang w:val="en-GB"/>
        </w:rPr>
        <w:t>,</w:t>
      </w:r>
      <w:r w:rsidRPr="00B04967">
        <w:rPr>
          <w:lang w:val="en-GB"/>
        </w:rPr>
        <w:t xml:space="preserve"> accused Usha Martin of a poor occupational safety record and </w:t>
      </w:r>
      <w:r>
        <w:rPr>
          <w:lang w:val="en-GB"/>
        </w:rPr>
        <w:t>of</w:t>
      </w:r>
      <w:r w:rsidRPr="00B04967">
        <w:rPr>
          <w:lang w:val="en-GB"/>
        </w:rPr>
        <w:t xml:space="preserve"> causing severe pollution </w:t>
      </w:r>
      <w:r>
        <w:rPr>
          <w:lang w:val="en-GB"/>
        </w:rPr>
        <w:t>that had</w:t>
      </w:r>
      <w:r w:rsidRPr="00B04967">
        <w:rPr>
          <w:lang w:val="en-GB"/>
        </w:rPr>
        <w:t xml:space="preserve"> impacted the lives of the villagers residing near the mill in a multitude of ways</w:t>
      </w:r>
      <w:r>
        <w:rPr>
          <w:lang w:val="en-GB"/>
        </w:rPr>
        <w:t>,</w:t>
      </w:r>
      <w:r w:rsidRPr="00B04967">
        <w:rPr>
          <w:lang w:val="en-GB"/>
        </w:rPr>
        <w:t xml:space="preserve"> including </w:t>
      </w:r>
      <w:r>
        <w:rPr>
          <w:lang w:val="en-GB"/>
        </w:rPr>
        <w:t xml:space="preserve">by </w:t>
      </w:r>
      <w:r w:rsidRPr="00B04967">
        <w:rPr>
          <w:lang w:val="en-GB"/>
        </w:rPr>
        <w:t>causing multiple health problems (e.g., respiratory problems among adults and children)</w:t>
      </w:r>
      <w:r>
        <w:rPr>
          <w:lang w:val="en-GB"/>
        </w:rPr>
        <w:t>. The website accused Usha Martin of</w:t>
      </w:r>
      <w:r w:rsidRPr="00B04967">
        <w:rPr>
          <w:lang w:val="en-GB"/>
        </w:rPr>
        <w:t xml:space="preserve"> discharging untreated </w:t>
      </w:r>
      <w:r>
        <w:rPr>
          <w:lang w:val="en-GB"/>
        </w:rPr>
        <w:t>waste water</w:t>
      </w:r>
      <w:r w:rsidRPr="00B04967">
        <w:rPr>
          <w:lang w:val="en-GB"/>
        </w:rPr>
        <w:t xml:space="preserve"> into a nearby water source</w:t>
      </w:r>
      <w:r>
        <w:rPr>
          <w:lang w:val="en-GB"/>
        </w:rPr>
        <w:t xml:space="preserve"> and</w:t>
      </w:r>
      <w:r w:rsidRPr="00B04967">
        <w:rPr>
          <w:lang w:val="en-GB"/>
        </w:rPr>
        <w:t xml:space="preserve"> </w:t>
      </w:r>
      <w:r>
        <w:rPr>
          <w:lang w:val="en-GB"/>
        </w:rPr>
        <w:t xml:space="preserve">of </w:t>
      </w:r>
      <w:r w:rsidRPr="00B04967">
        <w:rPr>
          <w:lang w:val="en-GB"/>
        </w:rPr>
        <w:t>dumping solid waste near railway tracks</w:t>
      </w:r>
      <w:r>
        <w:rPr>
          <w:lang w:val="en-GB"/>
        </w:rPr>
        <w:t>,</w:t>
      </w:r>
      <w:r w:rsidRPr="00B04967">
        <w:rPr>
          <w:lang w:val="en-GB"/>
        </w:rPr>
        <w:t xml:space="preserve"> affecting </w:t>
      </w:r>
      <w:r>
        <w:rPr>
          <w:lang w:val="en-GB"/>
        </w:rPr>
        <w:t>many people’s</w:t>
      </w:r>
      <w:r w:rsidRPr="00B04967">
        <w:rPr>
          <w:lang w:val="en-GB"/>
        </w:rPr>
        <w:t xml:space="preserve"> lives and making the agricultural land unproductive.</w:t>
      </w:r>
      <w:r w:rsidRPr="00337324">
        <w:rPr>
          <w:rStyle w:val="EndnoteReference"/>
          <w:lang w:val="en-GB"/>
        </w:rPr>
        <w:endnoteReference w:id="24"/>
      </w:r>
      <w:r w:rsidRPr="00B04967">
        <w:rPr>
          <w:lang w:val="en-GB"/>
        </w:rPr>
        <w:t xml:space="preserve"> While Usha Martin acknowledged the problem of pollution (especially solid waste), it argued that it was in the process of upgrading the emission control equipment in its 25-year-old plant, which would reduce pollution by 2012. It also suggested that</w:t>
      </w:r>
      <w:r>
        <w:rPr>
          <w:lang w:val="en-GB"/>
        </w:rPr>
        <w:t>,</w:t>
      </w:r>
      <w:r w:rsidRPr="00B04967">
        <w:rPr>
          <w:lang w:val="en-GB"/>
        </w:rPr>
        <w:t xml:space="preserve"> with a slated increase in its steelmaking capacity to </w:t>
      </w:r>
      <w:r>
        <w:rPr>
          <w:lang w:val="en-GB"/>
        </w:rPr>
        <w:t>one</w:t>
      </w:r>
      <w:r w:rsidRPr="00B04967">
        <w:rPr>
          <w:lang w:val="en-GB"/>
        </w:rPr>
        <w:t xml:space="preserve"> million tons, it would reuse some of the solid waste and also dispose of the remaining waste in an environmentally friendly manner.</w:t>
      </w:r>
      <w:r w:rsidRPr="00337324">
        <w:rPr>
          <w:rStyle w:val="EndnoteReference"/>
          <w:lang w:val="en-GB"/>
        </w:rPr>
        <w:endnoteReference w:id="25"/>
      </w:r>
    </w:p>
    <w:p w14:paraId="0E49195E" w14:textId="77777777" w:rsidR="00EF5834" w:rsidRPr="00B04967" w:rsidRDefault="00EF5834" w:rsidP="00825E1E">
      <w:pPr>
        <w:pStyle w:val="BodyTextMain"/>
        <w:rPr>
          <w:lang w:val="en-GB"/>
        </w:rPr>
      </w:pPr>
    </w:p>
    <w:p w14:paraId="255EE3A5" w14:textId="5149B19E" w:rsidR="00EF5834" w:rsidRPr="002A074A" w:rsidRDefault="00EF5834" w:rsidP="00825E1E">
      <w:pPr>
        <w:pStyle w:val="BodyTextMain"/>
        <w:rPr>
          <w:lang w:val="en-GB"/>
        </w:rPr>
      </w:pPr>
      <w:r w:rsidRPr="00B04967">
        <w:rPr>
          <w:lang w:val="en-GB"/>
        </w:rPr>
        <w:t xml:space="preserve">Political risks became a big issue for Usha Martin in September 2014. Because of alleged corruption during the </w:t>
      </w:r>
      <w:r>
        <w:rPr>
          <w:lang w:val="en-GB"/>
        </w:rPr>
        <w:t>licence-awarding</w:t>
      </w:r>
      <w:r w:rsidRPr="00B04967">
        <w:rPr>
          <w:lang w:val="en-GB"/>
        </w:rPr>
        <w:t xml:space="preserve"> process, the Supreme Court of India ordered the deallocation of one of Usha Martin’s key coal mines</w:t>
      </w:r>
      <w:r>
        <w:rPr>
          <w:lang w:val="en-GB"/>
        </w:rPr>
        <w:t>,</w:t>
      </w:r>
      <w:r w:rsidRPr="00B04967">
        <w:rPr>
          <w:lang w:val="en-GB"/>
        </w:rPr>
        <w:t xml:space="preserve"> </w:t>
      </w:r>
      <w:r>
        <w:rPr>
          <w:lang w:val="en-GB"/>
        </w:rPr>
        <w:t>(</w:t>
      </w:r>
      <w:r w:rsidRPr="00B04967">
        <w:rPr>
          <w:lang w:val="en-GB"/>
        </w:rPr>
        <w:t xml:space="preserve">the </w:t>
      </w:r>
      <w:proofErr w:type="spellStart"/>
      <w:r w:rsidRPr="00B04967">
        <w:rPr>
          <w:lang w:val="en-GB"/>
        </w:rPr>
        <w:t>Kathautia</w:t>
      </w:r>
      <w:proofErr w:type="spellEnd"/>
      <w:r w:rsidRPr="00B04967">
        <w:rPr>
          <w:lang w:val="en-GB"/>
        </w:rPr>
        <w:t xml:space="preserve"> coal mine</w:t>
      </w:r>
      <w:r>
        <w:rPr>
          <w:lang w:val="en-GB"/>
        </w:rPr>
        <w:t>)</w:t>
      </w:r>
      <w:r w:rsidRPr="00B04967">
        <w:rPr>
          <w:lang w:val="en-GB"/>
        </w:rPr>
        <w:t xml:space="preserve"> which was considered a good mine in terms of </w:t>
      </w:r>
      <w:r>
        <w:rPr>
          <w:lang w:val="en-GB"/>
        </w:rPr>
        <w:t xml:space="preserve">the </w:t>
      </w:r>
      <w:r w:rsidRPr="00B04967">
        <w:rPr>
          <w:lang w:val="en-GB"/>
        </w:rPr>
        <w:t>quality and quant</w:t>
      </w:r>
      <w:r>
        <w:rPr>
          <w:lang w:val="en-GB"/>
        </w:rPr>
        <w:t>ity</w:t>
      </w:r>
      <w:r w:rsidRPr="00B04967">
        <w:rPr>
          <w:lang w:val="en-GB"/>
        </w:rPr>
        <w:t xml:space="preserve"> of coal. The company also lost another mine</w:t>
      </w:r>
      <w:r>
        <w:rPr>
          <w:lang w:val="en-GB"/>
        </w:rPr>
        <w:t>,</w:t>
      </w:r>
      <w:r w:rsidRPr="00B04967">
        <w:rPr>
          <w:lang w:val="en-GB"/>
        </w:rPr>
        <w:t xml:space="preserve"> </w:t>
      </w:r>
      <w:r>
        <w:rPr>
          <w:lang w:val="en-GB"/>
        </w:rPr>
        <w:t>(</w:t>
      </w:r>
      <w:r w:rsidRPr="00B04967">
        <w:rPr>
          <w:lang w:val="en-GB"/>
        </w:rPr>
        <w:t xml:space="preserve">the </w:t>
      </w:r>
      <w:proofErr w:type="spellStart"/>
      <w:r w:rsidRPr="00B04967">
        <w:rPr>
          <w:lang w:val="en-GB"/>
        </w:rPr>
        <w:t>Lohari</w:t>
      </w:r>
      <w:proofErr w:type="spellEnd"/>
      <w:r w:rsidRPr="00B04967">
        <w:rPr>
          <w:lang w:val="en-GB"/>
        </w:rPr>
        <w:t xml:space="preserve"> </w:t>
      </w:r>
      <w:r>
        <w:rPr>
          <w:lang w:val="en-GB"/>
        </w:rPr>
        <w:t>coal mine</w:t>
      </w:r>
      <w:r>
        <w:rPr>
          <w:lang w:val="en-GB"/>
        </w:rPr>
        <w:t>)</w:t>
      </w:r>
      <w:r w:rsidRPr="00B04967">
        <w:rPr>
          <w:lang w:val="en-GB"/>
        </w:rPr>
        <w:t xml:space="preserve"> which was less consequential because it was non-operating. To further aggravate the situation for Usha Martin, the court directed </w:t>
      </w:r>
      <w:r>
        <w:rPr>
          <w:lang w:val="en-GB"/>
        </w:rPr>
        <w:t>the company</w:t>
      </w:r>
      <w:r w:rsidRPr="00B04967">
        <w:rPr>
          <w:lang w:val="en-GB"/>
        </w:rPr>
        <w:t xml:space="preserve"> to pay fines of </w:t>
      </w:r>
      <w:r w:rsidRPr="00325171">
        <w:rPr>
          <w:rFonts w:ascii="Arial" w:hAnsi="Arial" w:cs="Arial"/>
          <w:sz w:val="20"/>
          <w:szCs w:val="20"/>
          <w:lang w:val="en-GB"/>
        </w:rPr>
        <w:t>₹</w:t>
      </w:r>
      <w:r w:rsidRPr="00B04967">
        <w:rPr>
          <w:lang w:val="en-GB"/>
        </w:rPr>
        <w:t xml:space="preserve">837.3 million as compensation for underpayment for the coal it had extracted from the </w:t>
      </w:r>
      <w:proofErr w:type="spellStart"/>
      <w:r w:rsidRPr="00B04967">
        <w:rPr>
          <w:lang w:val="en-GB"/>
        </w:rPr>
        <w:t>Kathautia</w:t>
      </w:r>
      <w:proofErr w:type="spellEnd"/>
      <w:r w:rsidRPr="00B04967">
        <w:rPr>
          <w:lang w:val="en-GB"/>
        </w:rPr>
        <w:t xml:space="preserve"> mine over the years</w:t>
      </w:r>
      <w:r w:rsidRPr="002A074A">
        <w:rPr>
          <w:lang w:val="en-GB"/>
        </w:rPr>
        <w:t>.</w:t>
      </w:r>
      <w:r w:rsidRPr="00337324">
        <w:rPr>
          <w:rStyle w:val="EndnoteReference"/>
          <w:lang w:val="en-GB"/>
        </w:rPr>
        <w:endnoteReference w:id="26"/>
      </w:r>
    </w:p>
    <w:p w14:paraId="44500922" w14:textId="62CDD092" w:rsidR="00EF5834" w:rsidRPr="00B04967" w:rsidRDefault="00EF5834" w:rsidP="00825E1E">
      <w:pPr>
        <w:pStyle w:val="BodyTextMain"/>
        <w:rPr>
          <w:lang w:val="en-GB"/>
        </w:rPr>
      </w:pPr>
    </w:p>
    <w:p w14:paraId="0CC76AA7" w14:textId="77777777" w:rsidR="00EF5834" w:rsidRPr="00B04967" w:rsidRDefault="00EF5834" w:rsidP="00825E1E">
      <w:pPr>
        <w:pStyle w:val="BodyTextMain"/>
        <w:rPr>
          <w:lang w:val="en-GB"/>
        </w:rPr>
      </w:pPr>
    </w:p>
    <w:p w14:paraId="4D7B2F2C" w14:textId="0D1B31BF" w:rsidR="00EF5834" w:rsidRPr="00B04967" w:rsidRDefault="00EF5834" w:rsidP="00825E1E">
      <w:pPr>
        <w:pStyle w:val="Casehead1"/>
        <w:rPr>
          <w:lang w:val="en-GB"/>
        </w:rPr>
      </w:pPr>
      <w:r>
        <w:rPr>
          <w:lang w:val="en-GB"/>
        </w:rPr>
        <w:t>The Fluctuating</w:t>
      </w:r>
      <w:r w:rsidRPr="00B04967">
        <w:rPr>
          <w:lang w:val="en-GB"/>
        </w:rPr>
        <w:t xml:space="preserve"> performance of the steel business</w:t>
      </w:r>
      <w:r>
        <w:rPr>
          <w:lang w:val="en-GB"/>
        </w:rPr>
        <w:t>,</w:t>
      </w:r>
      <w:r w:rsidRPr="00B04967">
        <w:rPr>
          <w:lang w:val="en-GB"/>
        </w:rPr>
        <w:t xml:space="preserve"> and the divestment decision</w:t>
      </w:r>
    </w:p>
    <w:p w14:paraId="09CD9250" w14:textId="77777777" w:rsidR="00EF5834" w:rsidRPr="00B04967" w:rsidRDefault="00EF5834" w:rsidP="00825E1E">
      <w:pPr>
        <w:pStyle w:val="BodyTextMain"/>
        <w:rPr>
          <w:lang w:val="en-GB"/>
        </w:rPr>
      </w:pPr>
    </w:p>
    <w:p w14:paraId="2E72CD0C" w14:textId="132FD511" w:rsidR="00EF5834" w:rsidRPr="00B04967" w:rsidRDefault="00EF5834" w:rsidP="00825E1E">
      <w:pPr>
        <w:pStyle w:val="BodyTextMain"/>
        <w:rPr>
          <w:lang w:val="en-GB"/>
        </w:rPr>
      </w:pPr>
      <w:r w:rsidRPr="00B04967">
        <w:rPr>
          <w:lang w:val="en-GB"/>
        </w:rPr>
        <w:t xml:space="preserve">Between </w:t>
      </w:r>
      <w:r>
        <w:rPr>
          <w:lang w:val="en-GB"/>
        </w:rPr>
        <w:t xml:space="preserve">FYs </w:t>
      </w:r>
      <w:r w:rsidRPr="00B04967">
        <w:rPr>
          <w:lang w:val="en-GB"/>
        </w:rPr>
        <w:t>2006</w:t>
      </w:r>
      <w:r>
        <w:rPr>
          <w:lang w:val="en-GB"/>
        </w:rPr>
        <w:t>–</w:t>
      </w:r>
      <w:r w:rsidRPr="00B04967">
        <w:rPr>
          <w:lang w:val="en-GB"/>
        </w:rPr>
        <w:t>07 and 2010</w:t>
      </w:r>
      <w:r>
        <w:rPr>
          <w:lang w:val="en-GB"/>
        </w:rPr>
        <w:t>–</w:t>
      </w:r>
      <w:r w:rsidRPr="00B04967">
        <w:rPr>
          <w:lang w:val="en-GB"/>
        </w:rPr>
        <w:t xml:space="preserve">11, Usha Martin invested heavily in boosting capacity for steelmaking. For instance, while the value of its net fixed (i.e., depreciated) </w:t>
      </w:r>
      <w:r w:rsidRPr="00B04967">
        <w:rPr>
          <w:lang w:val="en-GB"/>
        </w:rPr>
        <w:t>assets</w:t>
      </w:r>
      <w:r>
        <w:rPr>
          <w:lang w:val="en-GB"/>
        </w:rPr>
        <w:t xml:space="preserve"> </w:t>
      </w:r>
      <w:r w:rsidRPr="00B04967">
        <w:rPr>
          <w:lang w:val="en-GB"/>
        </w:rPr>
        <w:t>grew by 22.14</w:t>
      </w:r>
      <w:r>
        <w:rPr>
          <w:lang w:val="en-GB"/>
        </w:rPr>
        <w:t xml:space="preserve"> per cent</w:t>
      </w:r>
      <w:r w:rsidRPr="00B04967">
        <w:rPr>
          <w:lang w:val="en-GB"/>
        </w:rPr>
        <w:t xml:space="preserve"> between March 2003 and March 2007 (from </w:t>
      </w:r>
      <w:r w:rsidRPr="00325171">
        <w:rPr>
          <w:rFonts w:ascii="Arial" w:hAnsi="Arial" w:cs="Arial"/>
          <w:sz w:val="20"/>
          <w:szCs w:val="20"/>
          <w:lang w:val="en-GB"/>
        </w:rPr>
        <w:t>₹</w:t>
      </w:r>
      <w:r w:rsidRPr="00B04967">
        <w:rPr>
          <w:lang w:val="en-GB"/>
        </w:rPr>
        <w:t xml:space="preserve">8.981 billion in March 2003 to </w:t>
      </w:r>
      <w:r w:rsidRPr="00325171">
        <w:rPr>
          <w:rFonts w:ascii="Arial" w:hAnsi="Arial" w:cs="Arial"/>
          <w:sz w:val="20"/>
          <w:szCs w:val="20"/>
          <w:lang w:val="en-GB"/>
        </w:rPr>
        <w:t>₹</w:t>
      </w:r>
      <w:r w:rsidRPr="00B04967">
        <w:rPr>
          <w:lang w:val="en-GB"/>
        </w:rPr>
        <w:t>10.970 billion in 2007)</w:t>
      </w:r>
      <w:r>
        <w:rPr>
          <w:lang w:val="en-GB"/>
        </w:rPr>
        <w:t xml:space="preserve">, this value </w:t>
      </w:r>
      <w:r w:rsidRPr="00B04967">
        <w:rPr>
          <w:lang w:val="en-GB"/>
        </w:rPr>
        <w:t xml:space="preserve">grew by almost another 170 </w:t>
      </w:r>
      <w:r>
        <w:rPr>
          <w:lang w:val="en-GB"/>
        </w:rPr>
        <w:t>per cent</w:t>
      </w:r>
      <w:r w:rsidRPr="00B04967">
        <w:rPr>
          <w:lang w:val="en-GB"/>
        </w:rPr>
        <w:t xml:space="preserve"> by March 2010 to </w:t>
      </w:r>
      <w:r w:rsidRPr="00325171">
        <w:rPr>
          <w:rFonts w:ascii="Arial" w:hAnsi="Arial" w:cs="Arial"/>
          <w:sz w:val="20"/>
          <w:szCs w:val="20"/>
          <w:lang w:val="en-GB"/>
        </w:rPr>
        <w:t>₹</w:t>
      </w:r>
      <w:r w:rsidRPr="00B04967">
        <w:rPr>
          <w:lang w:val="en-GB"/>
        </w:rPr>
        <w:t>28,575.3 million</w:t>
      </w:r>
      <w:r>
        <w:rPr>
          <w:lang w:val="en-GB"/>
        </w:rPr>
        <w:t xml:space="preserve"> and</w:t>
      </w:r>
      <w:r w:rsidRPr="00B04967">
        <w:rPr>
          <w:lang w:val="en-GB"/>
        </w:rPr>
        <w:t xml:space="preserve"> </w:t>
      </w:r>
      <w:r>
        <w:rPr>
          <w:lang w:val="en-GB"/>
        </w:rPr>
        <w:t xml:space="preserve">to </w:t>
      </w:r>
      <w:r w:rsidRPr="00325171">
        <w:rPr>
          <w:rFonts w:ascii="Arial" w:hAnsi="Arial" w:cs="Arial"/>
          <w:sz w:val="20"/>
          <w:szCs w:val="20"/>
          <w:lang w:val="en-GB"/>
        </w:rPr>
        <w:t>₹</w:t>
      </w:r>
      <w:r w:rsidRPr="00B04967">
        <w:rPr>
          <w:lang w:val="en-GB"/>
        </w:rPr>
        <w:t>31,299.9 million by 2011</w:t>
      </w:r>
      <w:r w:rsidRPr="002A074A">
        <w:rPr>
          <w:lang w:val="en-GB"/>
        </w:rPr>
        <w:t>.</w:t>
      </w:r>
      <w:r w:rsidRPr="00B04967">
        <w:rPr>
          <w:lang w:val="en-GB"/>
        </w:rPr>
        <w:t xml:space="preserve"> Many of these fixed investments had been financed through borrowings</w:t>
      </w:r>
      <w:r>
        <w:rPr>
          <w:lang w:val="en-GB"/>
        </w:rPr>
        <w:t>,</w:t>
      </w:r>
      <w:r w:rsidRPr="00B04967">
        <w:rPr>
          <w:lang w:val="en-GB"/>
        </w:rPr>
        <w:t xml:space="preserve"> and the company’s debt level went up correspondingly.</w:t>
      </w:r>
      <w:r w:rsidRPr="00337324">
        <w:rPr>
          <w:rStyle w:val="EndnoteReference"/>
          <w:lang w:val="en-GB"/>
        </w:rPr>
        <w:endnoteReference w:id="27"/>
      </w:r>
    </w:p>
    <w:p w14:paraId="053111DD" w14:textId="77777777" w:rsidR="00EF5834" w:rsidRPr="00B04967" w:rsidRDefault="00EF5834" w:rsidP="00825E1E">
      <w:pPr>
        <w:pStyle w:val="BodyTextMain"/>
        <w:rPr>
          <w:lang w:val="en-GB"/>
        </w:rPr>
      </w:pPr>
    </w:p>
    <w:p w14:paraId="46871038" w14:textId="3DB553DD" w:rsidR="00EF5834" w:rsidRPr="00337324" w:rsidRDefault="00EF5834" w:rsidP="00825E1E">
      <w:pPr>
        <w:pStyle w:val="BodyTextMain"/>
        <w:rPr>
          <w:lang w:val="en-GB" w:eastAsia="zh-CN"/>
        </w:rPr>
      </w:pPr>
      <w:r w:rsidRPr="00337324">
        <w:rPr>
          <w:lang w:val="en-GB"/>
        </w:rPr>
        <w:t xml:space="preserve">Despite the massive investments in steelmaking, Usha Martin was a small player in India’s steel industry and even </w:t>
      </w:r>
      <w:r w:rsidRPr="0098088E">
        <w:rPr>
          <w:lang w:val="en-GB"/>
        </w:rPr>
        <w:t>smaller on a global scale. In 2011, the global steelmaking capacity amounted to 1,527 million tons, with India accounting for 72.2 million tons.</w:t>
      </w:r>
      <w:r w:rsidRPr="00337324">
        <w:rPr>
          <w:rStyle w:val="EndnoteReference"/>
          <w:lang w:val="en-GB"/>
        </w:rPr>
        <w:endnoteReference w:id="28"/>
      </w:r>
      <w:r w:rsidRPr="00337324">
        <w:rPr>
          <w:lang w:val="en-GB"/>
        </w:rPr>
        <w:t xml:space="preserve"> Usha Martin’s capacity was 1 million tons,</w:t>
      </w:r>
      <w:r w:rsidRPr="00337324">
        <w:rPr>
          <w:rStyle w:val="EndnoteReference"/>
          <w:lang w:val="en-GB"/>
        </w:rPr>
        <w:endnoteReference w:id="29"/>
      </w:r>
      <w:r w:rsidRPr="00337324">
        <w:rPr>
          <w:lang w:val="en-GB"/>
        </w:rPr>
        <w:t xml:space="preserve"> just over 1 per cent of the capacity of </w:t>
      </w:r>
      <w:bookmarkStart w:id="3" w:name="_Hlk62030831"/>
      <w:r w:rsidRPr="00337324">
        <w:rPr>
          <w:lang w:val="en-GB"/>
        </w:rPr>
        <w:t>ArcelorMittal SA</w:t>
      </w:r>
      <w:bookmarkEnd w:id="3"/>
      <w:r w:rsidRPr="00337324">
        <w:rPr>
          <w:lang w:val="en-GB"/>
        </w:rPr>
        <w:t>,</w:t>
      </w:r>
      <w:r w:rsidRPr="00337324">
        <w:rPr>
          <w:lang w:val="en-GB" w:eastAsia="zh-CN"/>
        </w:rPr>
        <w:t xml:space="preserve"> the world’s largest global producer, which had a capacity of 98.2 million tons. Tata Steel Limited (Tata Steel), India’s largest producer, had a capacity of 23.2 million tons, and Vizag Steel, also based in India, </w:t>
      </w:r>
      <w:r>
        <w:t>was the 46th-largest steel producer in the world</w:t>
      </w:r>
      <w:r w:rsidRPr="00337324">
        <w:rPr>
          <w:lang w:val="en-GB" w:eastAsia="zh-CN"/>
        </w:rPr>
        <w:t xml:space="preserve"> and had a capacity of 3.2 million tons.</w:t>
      </w:r>
      <w:r w:rsidRPr="00337324">
        <w:rPr>
          <w:rStyle w:val="EndnoteReference"/>
          <w:rFonts w:ascii="Arial" w:hAnsi="Arial" w:cs="Arial"/>
          <w:lang w:val="en-GB" w:eastAsia="zh-CN"/>
        </w:rPr>
        <w:endnoteReference w:id="30"/>
      </w:r>
    </w:p>
    <w:p w14:paraId="46861261" w14:textId="77777777" w:rsidR="00EF5834" w:rsidRPr="00337324" w:rsidRDefault="00EF5834" w:rsidP="00825E1E">
      <w:pPr>
        <w:pStyle w:val="BodyTextMain"/>
        <w:rPr>
          <w:lang w:val="en-GB"/>
        </w:rPr>
      </w:pPr>
    </w:p>
    <w:p w14:paraId="207BEB82" w14:textId="1A4F82E5" w:rsidR="00EF5834" w:rsidRPr="00B04967" w:rsidRDefault="00EF5834" w:rsidP="00825E1E">
      <w:pPr>
        <w:pStyle w:val="BodyTextMain"/>
        <w:rPr>
          <w:lang w:val="en-GB"/>
        </w:rPr>
      </w:pPr>
      <w:r w:rsidRPr="00B04967">
        <w:rPr>
          <w:lang w:val="en-GB"/>
        </w:rPr>
        <w:t xml:space="preserve">Over the next few years, the steel business would prove to be volatile </w:t>
      </w:r>
      <w:r>
        <w:rPr>
          <w:lang w:val="en-GB"/>
        </w:rPr>
        <w:t>due to</w:t>
      </w:r>
      <w:r w:rsidRPr="00B04967">
        <w:rPr>
          <w:lang w:val="en-GB"/>
        </w:rPr>
        <w:t xml:space="preserve"> a variety of factors</w:t>
      </w:r>
      <w:r>
        <w:rPr>
          <w:lang w:val="en-GB"/>
        </w:rPr>
        <w:t>,</w:t>
      </w:r>
      <w:r w:rsidRPr="00B04967">
        <w:rPr>
          <w:lang w:val="en-GB"/>
        </w:rPr>
        <w:t xml:space="preserve"> including downward pressure on prices </w:t>
      </w:r>
      <w:r>
        <w:rPr>
          <w:lang w:val="en-GB"/>
        </w:rPr>
        <w:t>from</w:t>
      </w:r>
      <w:r w:rsidRPr="00B04967">
        <w:rPr>
          <w:lang w:val="en-GB"/>
        </w:rPr>
        <w:t xml:space="preserve"> excess capacity </w:t>
      </w:r>
      <w:r>
        <w:rPr>
          <w:lang w:val="en-GB"/>
        </w:rPr>
        <w:t xml:space="preserve">both </w:t>
      </w:r>
      <w:r w:rsidRPr="00B04967">
        <w:rPr>
          <w:lang w:val="en-GB"/>
        </w:rPr>
        <w:t xml:space="preserve">globally and in China (especially between 2014 and 2017) and </w:t>
      </w:r>
      <w:r>
        <w:rPr>
          <w:lang w:val="en-GB"/>
        </w:rPr>
        <w:t xml:space="preserve">the </w:t>
      </w:r>
      <w:r w:rsidRPr="00B04967">
        <w:rPr>
          <w:lang w:val="en-GB"/>
        </w:rPr>
        <w:t>fluctuating performance of the Indian economy</w:t>
      </w:r>
      <w:r>
        <w:rPr>
          <w:lang w:val="en-GB"/>
        </w:rPr>
        <w:t>,</w:t>
      </w:r>
      <w:r w:rsidRPr="00B04967">
        <w:rPr>
          <w:lang w:val="en-GB"/>
        </w:rPr>
        <w:t xml:space="preserve"> in general</w:t>
      </w:r>
      <w:r>
        <w:rPr>
          <w:lang w:val="en-GB"/>
        </w:rPr>
        <w:t>,</w:t>
      </w:r>
      <w:r w:rsidRPr="00B04967">
        <w:rPr>
          <w:lang w:val="en-GB"/>
        </w:rPr>
        <w:t xml:space="preserve"> and the </w:t>
      </w:r>
      <w:r>
        <w:rPr>
          <w:lang w:val="en-GB"/>
        </w:rPr>
        <w:t xml:space="preserve">appliances and automobile </w:t>
      </w:r>
      <w:r w:rsidRPr="00B04967">
        <w:rPr>
          <w:lang w:val="en-GB"/>
        </w:rPr>
        <w:t>industries</w:t>
      </w:r>
      <w:r>
        <w:rPr>
          <w:lang w:val="en-GB"/>
        </w:rPr>
        <w:t xml:space="preserve">, </w:t>
      </w:r>
      <w:r w:rsidRPr="00B04967">
        <w:rPr>
          <w:lang w:val="en-GB"/>
        </w:rPr>
        <w:t>in particular.</w:t>
      </w:r>
      <w:r w:rsidRPr="00337324">
        <w:rPr>
          <w:rStyle w:val="EndnoteReference"/>
          <w:lang w:val="en-GB"/>
        </w:rPr>
        <w:endnoteReference w:id="31"/>
      </w:r>
      <w:r w:rsidRPr="002A074A">
        <w:rPr>
          <w:lang w:val="en-GB"/>
        </w:rPr>
        <w:t xml:space="preserve"> </w:t>
      </w:r>
      <w:r>
        <w:rPr>
          <w:lang w:val="en-GB"/>
        </w:rPr>
        <w:t>Usha Martin’s</w:t>
      </w:r>
      <w:r w:rsidRPr="00B04967">
        <w:rPr>
          <w:lang w:val="en-GB"/>
        </w:rPr>
        <w:t xml:space="preserve"> extensive usage of debt to finance expansion of steelmaking capacity also magnified the impact of demand and capacity utilization fluctuations on the company’s profits</w:t>
      </w:r>
      <w:r>
        <w:rPr>
          <w:lang w:val="en-GB"/>
        </w:rPr>
        <w:t xml:space="preserve"> (see Exhibit 1)</w:t>
      </w:r>
      <w:r w:rsidRPr="00B04967">
        <w:rPr>
          <w:lang w:val="en-GB"/>
        </w:rPr>
        <w:t>.</w:t>
      </w:r>
    </w:p>
    <w:p w14:paraId="4D068CA7" w14:textId="77777777" w:rsidR="00EF5834" w:rsidRPr="00B04967" w:rsidRDefault="00EF5834" w:rsidP="00825E1E">
      <w:pPr>
        <w:pStyle w:val="BodyTextMain"/>
        <w:rPr>
          <w:lang w:val="en-GB"/>
        </w:rPr>
      </w:pPr>
    </w:p>
    <w:p w14:paraId="0F4EC5E0" w14:textId="2D0D9869" w:rsidR="00EF5834" w:rsidRPr="00B04967" w:rsidRDefault="00EF5834" w:rsidP="00825E1E">
      <w:pPr>
        <w:pStyle w:val="BodyTextMain"/>
        <w:rPr>
          <w:lang w:val="en-GB"/>
        </w:rPr>
      </w:pPr>
      <w:r w:rsidRPr="00B04967">
        <w:rPr>
          <w:lang w:val="en-GB"/>
        </w:rPr>
        <w:lastRenderedPageBreak/>
        <w:t xml:space="preserve">The interest burden </w:t>
      </w:r>
      <w:r>
        <w:rPr>
          <w:lang w:val="en-GB"/>
        </w:rPr>
        <w:t>that resulted from the company’s</w:t>
      </w:r>
      <w:r w:rsidRPr="00B04967">
        <w:rPr>
          <w:lang w:val="en-GB"/>
        </w:rPr>
        <w:t xml:space="preserve"> high debt </w:t>
      </w:r>
      <w:r>
        <w:rPr>
          <w:lang w:val="en-GB"/>
        </w:rPr>
        <w:t xml:space="preserve">level </w:t>
      </w:r>
      <w:r w:rsidRPr="00B04967">
        <w:rPr>
          <w:lang w:val="en-GB"/>
        </w:rPr>
        <w:t xml:space="preserve">caused </w:t>
      </w:r>
      <w:r>
        <w:rPr>
          <w:lang w:val="en-GB"/>
        </w:rPr>
        <w:t>Usha Martin</w:t>
      </w:r>
      <w:r w:rsidRPr="00B04967">
        <w:rPr>
          <w:lang w:val="en-GB"/>
        </w:rPr>
        <w:t xml:space="preserve"> to make negative net profits for each quarter between </w:t>
      </w:r>
      <w:r>
        <w:rPr>
          <w:lang w:val="en-GB"/>
        </w:rPr>
        <w:t xml:space="preserve">FYs </w:t>
      </w:r>
      <w:r w:rsidRPr="00B04967">
        <w:rPr>
          <w:lang w:val="en-GB"/>
        </w:rPr>
        <w:t>2013</w:t>
      </w:r>
      <w:r>
        <w:rPr>
          <w:lang w:val="en-GB"/>
        </w:rPr>
        <w:t>–</w:t>
      </w:r>
      <w:r w:rsidRPr="00B04967">
        <w:rPr>
          <w:lang w:val="en-GB"/>
        </w:rPr>
        <w:t>14 and 2016</w:t>
      </w:r>
      <w:r>
        <w:rPr>
          <w:lang w:val="en-GB"/>
        </w:rPr>
        <w:t>–</w:t>
      </w:r>
      <w:r w:rsidRPr="00B04967">
        <w:rPr>
          <w:lang w:val="en-GB"/>
        </w:rPr>
        <w:t xml:space="preserve">17. </w:t>
      </w:r>
      <w:r>
        <w:rPr>
          <w:lang w:val="en-GB"/>
        </w:rPr>
        <w:t>In FY 2017–18, there</w:t>
      </w:r>
      <w:r w:rsidRPr="00B04967">
        <w:rPr>
          <w:lang w:val="en-GB"/>
        </w:rPr>
        <w:t xml:space="preserve"> was a slight improvement in performance</w:t>
      </w:r>
      <w:r>
        <w:rPr>
          <w:lang w:val="en-GB"/>
        </w:rPr>
        <w:t xml:space="preserve">, </w:t>
      </w:r>
      <w:r w:rsidRPr="00B04967">
        <w:rPr>
          <w:lang w:val="en-GB"/>
        </w:rPr>
        <w:t xml:space="preserve">driven by an improvement in </w:t>
      </w:r>
      <w:r>
        <w:rPr>
          <w:lang w:val="en-GB"/>
        </w:rPr>
        <w:t>Usha Martin’s</w:t>
      </w:r>
      <w:r w:rsidRPr="00B04967">
        <w:rPr>
          <w:lang w:val="en-GB"/>
        </w:rPr>
        <w:t xml:space="preserve"> steel business</w:t>
      </w:r>
      <w:r>
        <w:rPr>
          <w:lang w:val="en-GB"/>
        </w:rPr>
        <w:t>,</w:t>
      </w:r>
      <w:r w:rsidRPr="00B04967">
        <w:rPr>
          <w:lang w:val="en-GB"/>
        </w:rPr>
        <w:t xml:space="preserve"> which achieved higher revenues (</w:t>
      </w:r>
      <w:r>
        <w:rPr>
          <w:lang w:val="en-GB"/>
        </w:rPr>
        <w:t xml:space="preserve">a </w:t>
      </w:r>
      <w:r w:rsidRPr="00B04967">
        <w:rPr>
          <w:lang w:val="en-GB"/>
        </w:rPr>
        <w:t>16.57</w:t>
      </w:r>
      <w:r>
        <w:rPr>
          <w:lang w:val="en-GB"/>
        </w:rPr>
        <w:t xml:space="preserve"> per cent increase</w:t>
      </w:r>
      <w:r w:rsidRPr="00B04967">
        <w:rPr>
          <w:lang w:val="en-GB"/>
        </w:rPr>
        <w:t>), and a marginally higher contribution to the overall sales of the company (63.35</w:t>
      </w:r>
      <w:r>
        <w:rPr>
          <w:lang w:val="en-GB"/>
        </w:rPr>
        <w:t xml:space="preserve"> per cent</w:t>
      </w:r>
      <w:r w:rsidRPr="00B04967">
        <w:rPr>
          <w:lang w:val="en-GB"/>
        </w:rPr>
        <w:t xml:space="preserve"> of revenue against 62.48</w:t>
      </w:r>
      <w:r>
        <w:rPr>
          <w:lang w:val="en-GB"/>
        </w:rPr>
        <w:t xml:space="preserve"> per cent</w:t>
      </w:r>
      <w:r w:rsidRPr="00B04967">
        <w:rPr>
          <w:lang w:val="en-GB"/>
        </w:rPr>
        <w:t>).</w:t>
      </w:r>
      <w:r w:rsidRPr="00337324">
        <w:rPr>
          <w:rStyle w:val="EndnoteReference"/>
          <w:lang w:val="en-GB"/>
        </w:rPr>
        <w:endnoteReference w:id="32"/>
      </w:r>
      <w:r w:rsidRPr="00B04967">
        <w:rPr>
          <w:lang w:val="en-GB"/>
        </w:rPr>
        <w:t xml:space="preserve"> The improved performance, in turn, could be attributed to the global rise in steel prices</w:t>
      </w:r>
      <w:r>
        <w:rPr>
          <w:lang w:val="en-GB"/>
        </w:rPr>
        <w:t xml:space="preserve"> resulting from </w:t>
      </w:r>
      <w:r w:rsidRPr="00B04967">
        <w:rPr>
          <w:lang w:val="en-GB"/>
        </w:rPr>
        <w:t xml:space="preserve">China’s decision to reduce its steel </w:t>
      </w:r>
      <w:r>
        <w:rPr>
          <w:lang w:val="en-GB"/>
        </w:rPr>
        <w:t>capacity</w:t>
      </w:r>
      <w:r w:rsidRPr="00B04967">
        <w:rPr>
          <w:lang w:val="en-GB"/>
        </w:rPr>
        <w:t>.</w:t>
      </w:r>
      <w:r w:rsidRPr="00337324">
        <w:rPr>
          <w:rStyle w:val="EndnoteReference"/>
          <w:lang w:val="en-GB"/>
        </w:rPr>
        <w:endnoteReference w:id="33"/>
      </w:r>
      <w:r w:rsidRPr="002A074A">
        <w:rPr>
          <w:lang w:val="en-GB"/>
        </w:rPr>
        <w:t xml:space="preserve"> </w:t>
      </w:r>
      <w:r w:rsidRPr="00B04967">
        <w:rPr>
          <w:lang w:val="en-GB"/>
        </w:rPr>
        <w:t xml:space="preserve">The boost of firmer prices was sufficient to overcome the adverse effects of the loss of coal mines and </w:t>
      </w:r>
      <w:r>
        <w:rPr>
          <w:lang w:val="en-GB"/>
        </w:rPr>
        <w:t xml:space="preserve">the </w:t>
      </w:r>
      <w:r w:rsidRPr="00B04967">
        <w:rPr>
          <w:lang w:val="en-GB"/>
        </w:rPr>
        <w:t>high prices of raw materials such as coking coal and ferro-alloys. The good results enabled the company to repay a small portion of its debt.</w:t>
      </w:r>
      <w:r w:rsidRPr="00337324">
        <w:rPr>
          <w:rStyle w:val="EndnoteReference"/>
          <w:lang w:val="en-GB"/>
        </w:rPr>
        <w:endnoteReference w:id="34"/>
      </w:r>
    </w:p>
    <w:p w14:paraId="5C09E8BB" w14:textId="22F23AC1" w:rsidR="00EF5834" w:rsidRPr="00B04967" w:rsidRDefault="00EF5834" w:rsidP="00825E1E">
      <w:pPr>
        <w:pStyle w:val="BodyTextMain"/>
        <w:rPr>
          <w:lang w:val="en-GB"/>
        </w:rPr>
      </w:pPr>
    </w:p>
    <w:p w14:paraId="748E9A83" w14:textId="775D4EC6" w:rsidR="00EF5834" w:rsidRDefault="00EF5834" w:rsidP="00825E1E">
      <w:pPr>
        <w:pStyle w:val="BodyTextMain"/>
        <w:rPr>
          <w:lang w:val="en-GB"/>
        </w:rPr>
      </w:pPr>
      <w:r w:rsidRPr="00B04967">
        <w:rPr>
          <w:lang w:val="en-GB"/>
        </w:rPr>
        <w:t>Pressured by numerous losses, Usha Martin attempted to deleverage its balance sheet through divestment of the WWR business. In January 2016</w:t>
      </w:r>
      <w:r>
        <w:rPr>
          <w:lang w:val="en-GB"/>
        </w:rPr>
        <w:t>,</w:t>
      </w:r>
      <w:r w:rsidRPr="00B04967">
        <w:rPr>
          <w:lang w:val="en-GB"/>
        </w:rPr>
        <w:t xml:space="preserve"> when the oil prices collapsed to US$30 per barrel from US$108 in 2014,</w:t>
      </w:r>
      <w:r w:rsidRPr="00337324">
        <w:rPr>
          <w:rStyle w:val="EndnoteReference"/>
          <w:lang w:val="en-GB"/>
        </w:rPr>
        <w:endnoteReference w:id="35"/>
      </w:r>
      <w:r w:rsidRPr="002A074A">
        <w:rPr>
          <w:lang w:val="en-GB"/>
        </w:rPr>
        <w:t xml:space="preserve"> </w:t>
      </w:r>
      <w:r w:rsidRPr="00B04967">
        <w:rPr>
          <w:lang w:val="en-GB"/>
        </w:rPr>
        <w:t>the WWR business suffered</w:t>
      </w:r>
      <w:r>
        <w:rPr>
          <w:lang w:val="en-GB"/>
        </w:rPr>
        <w:t>,</w:t>
      </w:r>
      <w:r w:rsidRPr="00B04967">
        <w:rPr>
          <w:lang w:val="en-GB"/>
        </w:rPr>
        <w:t xml:space="preserve"> </w:t>
      </w:r>
      <w:r>
        <w:rPr>
          <w:lang w:val="en-GB"/>
        </w:rPr>
        <w:t>due to</w:t>
      </w:r>
      <w:r w:rsidRPr="00B04967">
        <w:rPr>
          <w:lang w:val="en-GB"/>
        </w:rPr>
        <w:t xml:space="preserve"> lack of demand from the oil and gas exploration sector.</w:t>
      </w:r>
      <w:r>
        <w:rPr>
          <w:lang w:val="en-GB"/>
        </w:rPr>
        <w:t xml:space="preserve"> </w:t>
      </w:r>
      <w:r w:rsidRPr="00B04967">
        <w:rPr>
          <w:lang w:val="en-GB"/>
        </w:rPr>
        <w:t>In its 2017</w:t>
      </w:r>
      <w:r>
        <w:rPr>
          <w:lang w:val="en-GB"/>
        </w:rPr>
        <w:t>–</w:t>
      </w:r>
      <w:r w:rsidRPr="00B04967">
        <w:rPr>
          <w:lang w:val="en-GB"/>
        </w:rPr>
        <w:t xml:space="preserve">18 annual report, Usha Martin’s </w:t>
      </w:r>
      <w:r>
        <w:rPr>
          <w:lang w:val="en-GB"/>
        </w:rPr>
        <w:t>managing director,</w:t>
      </w:r>
      <w:r w:rsidRPr="00B04967">
        <w:rPr>
          <w:lang w:val="en-GB"/>
        </w:rPr>
        <w:t xml:space="preserve"> Rajeev </w:t>
      </w:r>
      <w:proofErr w:type="spellStart"/>
      <w:r w:rsidRPr="00B04967">
        <w:rPr>
          <w:lang w:val="en-GB"/>
        </w:rPr>
        <w:t>Jhawar</w:t>
      </w:r>
      <w:proofErr w:type="spellEnd"/>
      <w:r>
        <w:rPr>
          <w:lang w:val="en-GB"/>
        </w:rPr>
        <w:t>,</w:t>
      </w:r>
      <w:r w:rsidRPr="00B04967">
        <w:rPr>
          <w:lang w:val="en-GB"/>
        </w:rPr>
        <w:t xml:space="preserve"> noted</w:t>
      </w:r>
      <w:r>
        <w:rPr>
          <w:lang w:val="en-GB"/>
        </w:rPr>
        <w:t xml:space="preserve"> the following:</w:t>
      </w:r>
    </w:p>
    <w:p w14:paraId="7F4707E8" w14:textId="15A3E91E" w:rsidR="00EF5834" w:rsidRDefault="00EF5834" w:rsidP="00825E1E">
      <w:pPr>
        <w:pStyle w:val="BodyTextMain"/>
        <w:rPr>
          <w:i/>
          <w:iCs/>
          <w:lang w:val="en-GB"/>
        </w:rPr>
      </w:pPr>
    </w:p>
    <w:p w14:paraId="03323D48" w14:textId="4EC12F64" w:rsidR="00EF5834" w:rsidRPr="00337324" w:rsidRDefault="00EF5834" w:rsidP="007E327A">
      <w:pPr>
        <w:pStyle w:val="BodyTextMain"/>
        <w:ind w:left="720"/>
        <w:rPr>
          <w:lang w:val="en-GB"/>
        </w:rPr>
      </w:pPr>
      <w:r w:rsidRPr="00337324">
        <w:rPr>
          <w:lang w:val="en-GB"/>
        </w:rPr>
        <w:t>The Company has also been working, albeit with moderate success, on the disposal of identified non-core assets as a short-term measure to meet its liquidity challenges. Our endeavour to address the debt burden of the Company by looking for a buyer for our Wire and Wire Ropes business has not met with success so far. We do realise that in the changed business environment, deleveraging the Company is imperative and we’ll continue to strive to achieve it in a manner which is in the best interest of all stakeholders.</w:t>
      </w:r>
      <w:r>
        <w:rPr>
          <w:rStyle w:val="EndnoteReference"/>
          <w:lang w:val="en-GB"/>
        </w:rPr>
        <w:endnoteReference w:id="36"/>
      </w:r>
    </w:p>
    <w:p w14:paraId="3965A37C" w14:textId="77777777" w:rsidR="00EF5834" w:rsidRPr="00B04967" w:rsidRDefault="00EF5834" w:rsidP="00825E1E">
      <w:pPr>
        <w:pStyle w:val="BodyTextMain"/>
        <w:rPr>
          <w:lang w:val="en-GB"/>
        </w:rPr>
      </w:pPr>
    </w:p>
    <w:p w14:paraId="0B3DABF6" w14:textId="30365670" w:rsidR="00EF5834" w:rsidRPr="002A074A" w:rsidRDefault="00EF5834" w:rsidP="00825E1E">
      <w:pPr>
        <w:pStyle w:val="BodyTextMain"/>
        <w:rPr>
          <w:lang w:val="en-GB"/>
        </w:rPr>
      </w:pPr>
      <w:r w:rsidRPr="00B04967">
        <w:rPr>
          <w:lang w:val="en-GB"/>
        </w:rPr>
        <w:t>After it failed to sell the WWR business</w:t>
      </w:r>
      <w:r>
        <w:rPr>
          <w:lang w:val="en-GB"/>
        </w:rPr>
        <w:t>,</w:t>
      </w:r>
      <w:r w:rsidRPr="00B04967">
        <w:rPr>
          <w:lang w:val="en-GB"/>
        </w:rPr>
        <w:t xml:space="preserve"> despite vigorous efforts over 18 months, the company’s top management considered the other possibility: divestment of its steel business. Though the company expected full recovery of its steel business over the coming years because of an anticipated uptrend in the Indian economy and automotive industry, the high debt load was causing extreme stress</w:t>
      </w:r>
      <w:r w:rsidRPr="002A074A">
        <w:rPr>
          <w:lang w:val="en-GB"/>
        </w:rPr>
        <w:t>.</w:t>
      </w:r>
      <w:r w:rsidRPr="00337324">
        <w:rPr>
          <w:rStyle w:val="EndnoteReference"/>
          <w:lang w:val="en-GB"/>
        </w:rPr>
        <w:endnoteReference w:id="37"/>
      </w:r>
    </w:p>
    <w:p w14:paraId="57FAB3AA" w14:textId="77777777" w:rsidR="00EF5834" w:rsidRPr="00B04967" w:rsidRDefault="00EF5834" w:rsidP="00825E1E">
      <w:pPr>
        <w:pStyle w:val="BodyTextMain"/>
        <w:rPr>
          <w:lang w:val="en-GB"/>
        </w:rPr>
      </w:pPr>
    </w:p>
    <w:p w14:paraId="47CB5C8B" w14:textId="194E17E1" w:rsidR="00EF5834" w:rsidRPr="002A074A" w:rsidRDefault="00EF5834" w:rsidP="002A074A">
      <w:pPr>
        <w:pStyle w:val="BodyTextMain"/>
        <w:rPr>
          <w:lang w:val="en-GB"/>
        </w:rPr>
      </w:pPr>
      <w:r w:rsidRPr="00B04967">
        <w:rPr>
          <w:lang w:val="en-GB"/>
        </w:rPr>
        <w:t>In June 2018, the board pressed the management for the sale of the steel division</w:t>
      </w:r>
      <w:r>
        <w:rPr>
          <w:lang w:val="en-GB"/>
        </w:rPr>
        <w:t>,</w:t>
      </w:r>
      <w:r w:rsidRPr="00B04967">
        <w:rPr>
          <w:lang w:val="en-GB"/>
        </w:rPr>
        <w:t xml:space="preserve"> which included a </w:t>
      </w:r>
      <w:r>
        <w:rPr>
          <w:lang w:val="en-GB"/>
        </w:rPr>
        <w:t>one-million-tons-per-annum</w:t>
      </w:r>
      <w:r w:rsidRPr="00B04967">
        <w:rPr>
          <w:lang w:val="en-GB"/>
        </w:rPr>
        <w:t xml:space="preserve"> specialty steel plant in Jamshedpur, a </w:t>
      </w:r>
      <w:r>
        <w:rPr>
          <w:lang w:val="en-GB"/>
        </w:rPr>
        <w:t>135-megawatt</w:t>
      </w:r>
      <w:r w:rsidRPr="00B04967">
        <w:rPr>
          <w:lang w:val="en-GB"/>
        </w:rPr>
        <w:t xml:space="preserve"> captive power plant, a functioning iron ore mine</w:t>
      </w:r>
      <w:r>
        <w:rPr>
          <w:lang w:val="en-GB"/>
        </w:rPr>
        <w:t>,</w:t>
      </w:r>
      <w:r w:rsidRPr="00B04967">
        <w:rPr>
          <w:lang w:val="en-GB"/>
        </w:rPr>
        <w:t xml:space="preserve"> and</w:t>
      </w:r>
      <w:r>
        <w:rPr>
          <w:lang w:val="en-GB"/>
        </w:rPr>
        <w:t xml:space="preserve"> a</w:t>
      </w:r>
      <w:r w:rsidRPr="00B04967">
        <w:rPr>
          <w:lang w:val="en-GB"/>
        </w:rPr>
        <w:t xml:space="preserve"> coal mine (in development). Clarifying the change in the strategy, a company representative said</w:t>
      </w:r>
      <w:r>
        <w:rPr>
          <w:lang w:val="en-GB"/>
        </w:rPr>
        <w:t xml:space="preserve"> that initially the</w:t>
      </w:r>
      <w:r w:rsidRPr="0098088E">
        <w:rPr>
          <w:lang w:val="en-GB"/>
        </w:rPr>
        <w:t xml:space="preserve"> plan was to hive off wire rope</w:t>
      </w:r>
      <w:r>
        <w:rPr>
          <w:lang w:val="en-GB"/>
        </w:rPr>
        <w:t>,</w:t>
      </w:r>
      <w:r w:rsidRPr="0098088E">
        <w:rPr>
          <w:lang w:val="en-GB"/>
        </w:rPr>
        <w:t xml:space="preserve"> but the company </w:t>
      </w:r>
      <w:r>
        <w:rPr>
          <w:lang w:val="en-GB"/>
        </w:rPr>
        <w:t>realized</w:t>
      </w:r>
      <w:r w:rsidRPr="0098088E">
        <w:rPr>
          <w:lang w:val="en-GB"/>
        </w:rPr>
        <w:t xml:space="preserve"> later that valuation of </w:t>
      </w:r>
      <w:r>
        <w:rPr>
          <w:lang w:val="en-GB"/>
        </w:rPr>
        <w:t xml:space="preserve">the </w:t>
      </w:r>
      <w:r w:rsidRPr="0098088E">
        <w:rPr>
          <w:lang w:val="en-GB"/>
        </w:rPr>
        <w:t>steel</w:t>
      </w:r>
      <w:r>
        <w:rPr>
          <w:lang w:val="en-GB"/>
        </w:rPr>
        <w:t xml:space="preserve"> division</w:t>
      </w:r>
      <w:r w:rsidRPr="0098088E">
        <w:rPr>
          <w:lang w:val="en-GB"/>
        </w:rPr>
        <w:t xml:space="preserve"> could be better. Incidentally, the turnover of </w:t>
      </w:r>
      <w:r>
        <w:rPr>
          <w:lang w:val="en-GB"/>
        </w:rPr>
        <w:t xml:space="preserve">the </w:t>
      </w:r>
      <w:r w:rsidRPr="0098088E">
        <w:rPr>
          <w:lang w:val="en-GB"/>
        </w:rPr>
        <w:t xml:space="preserve">steel business </w:t>
      </w:r>
      <w:r>
        <w:rPr>
          <w:lang w:val="en-GB"/>
        </w:rPr>
        <w:t>was</w:t>
      </w:r>
      <w:r w:rsidRPr="0098088E">
        <w:rPr>
          <w:lang w:val="en-GB"/>
        </w:rPr>
        <w:t xml:space="preserve"> </w:t>
      </w:r>
      <w:r w:rsidRPr="00325171">
        <w:rPr>
          <w:rFonts w:ascii="Arial" w:hAnsi="Arial" w:cs="Arial"/>
          <w:sz w:val="20"/>
          <w:szCs w:val="20"/>
          <w:lang w:val="en-GB"/>
        </w:rPr>
        <w:t>₹</w:t>
      </w:r>
      <w:r>
        <w:rPr>
          <w:lang w:val="en-GB"/>
        </w:rPr>
        <w:t>30 billion</w:t>
      </w:r>
      <w:r w:rsidRPr="00AC1BEE">
        <w:rPr>
          <w:lang w:val="en-GB"/>
        </w:rPr>
        <w:t xml:space="preserve">, while </w:t>
      </w:r>
      <w:r>
        <w:rPr>
          <w:lang w:val="en-GB"/>
        </w:rPr>
        <w:t>the WWR</w:t>
      </w:r>
      <w:r w:rsidRPr="00AC1BEE">
        <w:rPr>
          <w:lang w:val="en-GB"/>
        </w:rPr>
        <w:t xml:space="preserve"> business </w:t>
      </w:r>
      <w:r>
        <w:rPr>
          <w:lang w:val="en-GB"/>
        </w:rPr>
        <w:t>had</w:t>
      </w:r>
      <w:r w:rsidRPr="00AC1BEE">
        <w:rPr>
          <w:lang w:val="en-GB"/>
        </w:rPr>
        <w:t xml:space="preserve"> a turnover of</w:t>
      </w:r>
      <w:r>
        <w:rPr>
          <w:lang w:val="en-GB"/>
        </w:rPr>
        <w:t xml:space="preserve"> </w:t>
      </w:r>
      <w:r w:rsidRPr="00325171">
        <w:rPr>
          <w:rFonts w:ascii="Arial" w:hAnsi="Arial" w:cs="Arial"/>
          <w:sz w:val="20"/>
          <w:szCs w:val="20"/>
          <w:lang w:val="en-GB"/>
        </w:rPr>
        <w:t>₹</w:t>
      </w:r>
      <w:r>
        <w:rPr>
          <w:lang w:val="en-GB"/>
        </w:rPr>
        <w:t>18 billion</w:t>
      </w:r>
      <w:r w:rsidRPr="00AC1BEE">
        <w:rPr>
          <w:lang w:val="en-GB"/>
        </w:rPr>
        <w:t>.</w:t>
      </w:r>
      <w:r w:rsidRPr="00AC1BEE">
        <w:rPr>
          <w:rStyle w:val="EndnoteReference"/>
          <w:lang w:val="en-GB"/>
        </w:rPr>
        <w:endnoteReference w:id="38"/>
      </w:r>
      <w:r w:rsidRPr="002A074A">
        <w:rPr>
          <w:lang w:val="en-GB"/>
        </w:rPr>
        <w:t xml:space="preserve"> A company source close to the development said, “</w:t>
      </w:r>
      <w:r w:rsidRPr="00AC1BEE">
        <w:rPr>
          <w:lang w:val="en-GB"/>
        </w:rPr>
        <w:t>Since, wire rope</w:t>
      </w:r>
      <w:r>
        <w:rPr>
          <w:lang w:val="en-GB"/>
        </w:rPr>
        <w:t>s</w:t>
      </w:r>
      <w:r w:rsidRPr="00AC1BEE">
        <w:rPr>
          <w:lang w:val="en-GB"/>
        </w:rPr>
        <w:t xml:space="preserve"> is a global business and has historically been UML’s </w:t>
      </w:r>
      <w:r>
        <w:rPr>
          <w:lang w:val="en-GB"/>
        </w:rPr>
        <w:t xml:space="preserve">[Usha Martin’s] </w:t>
      </w:r>
      <w:r w:rsidRPr="00AC1BEE">
        <w:rPr>
          <w:lang w:val="en-GB"/>
        </w:rPr>
        <w:t>mainstay</w:t>
      </w:r>
      <w:r>
        <w:rPr>
          <w:lang w:val="en-GB"/>
        </w:rPr>
        <w:t>—</w:t>
      </w:r>
      <w:r w:rsidRPr="00AC1BEE">
        <w:rPr>
          <w:lang w:val="en-GB"/>
        </w:rPr>
        <w:t xml:space="preserve">the company started off in the 1960s as a wire </w:t>
      </w:r>
      <w:r>
        <w:rPr>
          <w:lang w:val="en-GB"/>
        </w:rPr>
        <w:t>ropes</w:t>
      </w:r>
      <w:r w:rsidRPr="00AC1BEE">
        <w:rPr>
          <w:lang w:val="en-GB"/>
        </w:rPr>
        <w:t xml:space="preserve"> maker</w:t>
      </w:r>
      <w:r>
        <w:rPr>
          <w:lang w:val="en-GB"/>
        </w:rPr>
        <w:t>—</w:t>
      </w:r>
      <w:r w:rsidRPr="00AC1BEE">
        <w:rPr>
          <w:lang w:val="en-GB"/>
        </w:rPr>
        <w:t>the board felt it would be appropriate to retain it for the time being and instead scout for buyers for the steel unit.</w:t>
      </w:r>
      <w:r>
        <w:rPr>
          <w:lang w:val="en-GB"/>
        </w:rPr>
        <w:t>”</w:t>
      </w:r>
      <w:r w:rsidRPr="00AC1BEE">
        <w:rPr>
          <w:rStyle w:val="EndnoteReference"/>
          <w:lang w:val="en-GB"/>
        </w:rPr>
        <w:endnoteReference w:id="39"/>
      </w:r>
    </w:p>
    <w:p w14:paraId="5FAA2DE4" w14:textId="77777777" w:rsidR="00EF5834" w:rsidRPr="00B04967" w:rsidRDefault="00EF5834" w:rsidP="00825E1E">
      <w:pPr>
        <w:pStyle w:val="BodyTextMain"/>
        <w:rPr>
          <w:lang w:val="en-GB"/>
        </w:rPr>
      </w:pPr>
    </w:p>
    <w:p w14:paraId="1EAF652A" w14:textId="0C3AC54A" w:rsidR="00EF5834" w:rsidRPr="00B04967" w:rsidRDefault="00EF5834" w:rsidP="00825E1E">
      <w:pPr>
        <w:pStyle w:val="BodyTextMain"/>
        <w:rPr>
          <w:lang w:val="en-GB"/>
        </w:rPr>
      </w:pPr>
      <w:r w:rsidRPr="00B04967">
        <w:rPr>
          <w:lang w:val="en-GB"/>
        </w:rPr>
        <w:t>Usha Martin also expected that a global turnaround in the steel business cycle over the previous year would increase the valuation of its steel assets.</w:t>
      </w:r>
      <w:r w:rsidRPr="00AC1BEE">
        <w:rPr>
          <w:rStyle w:val="EndnoteReference"/>
          <w:lang w:val="en-GB"/>
        </w:rPr>
        <w:endnoteReference w:id="40"/>
      </w:r>
      <w:r w:rsidRPr="002A074A">
        <w:rPr>
          <w:lang w:val="en-GB"/>
        </w:rPr>
        <w:t xml:space="preserve"> </w:t>
      </w:r>
      <w:r w:rsidRPr="00B04967">
        <w:rPr>
          <w:lang w:val="en-GB"/>
        </w:rPr>
        <w:t xml:space="preserve">However, </w:t>
      </w:r>
      <w:r>
        <w:rPr>
          <w:lang w:val="en-GB"/>
        </w:rPr>
        <w:t>selling</w:t>
      </w:r>
      <w:r w:rsidRPr="00B04967">
        <w:rPr>
          <w:lang w:val="en-GB"/>
        </w:rPr>
        <w:t xml:space="preserve"> the steel business would completely dismantle the end-to-end integration strategy, which could mean volatile input prices for </w:t>
      </w:r>
      <w:r>
        <w:rPr>
          <w:lang w:val="en-GB"/>
        </w:rPr>
        <w:t>Usha Martin’s</w:t>
      </w:r>
      <w:r w:rsidRPr="00B04967">
        <w:rPr>
          <w:lang w:val="en-GB"/>
        </w:rPr>
        <w:t xml:space="preserve"> </w:t>
      </w:r>
      <w:r>
        <w:rPr>
          <w:lang w:val="en-GB"/>
        </w:rPr>
        <w:t>WWR</w:t>
      </w:r>
      <w:r w:rsidRPr="00B04967">
        <w:rPr>
          <w:lang w:val="en-GB"/>
        </w:rPr>
        <w:t xml:space="preserve"> business. Despite this risk, the divestment strategy made sense to </w:t>
      </w:r>
      <w:r>
        <w:rPr>
          <w:lang w:val="en-GB"/>
        </w:rPr>
        <w:t xml:space="preserve">the </w:t>
      </w:r>
      <w:r w:rsidRPr="00B04967">
        <w:rPr>
          <w:lang w:val="en-GB"/>
        </w:rPr>
        <w:t>company’s management.</w:t>
      </w:r>
      <w:r w:rsidRPr="00325171">
        <w:rPr>
          <w:rStyle w:val="EndnoteReference"/>
          <w:lang w:val="en-GB"/>
        </w:rPr>
        <w:endnoteReference w:id="41"/>
      </w:r>
    </w:p>
    <w:p w14:paraId="49C8ADDC" w14:textId="77777777" w:rsidR="00EF5834" w:rsidRPr="00B04967" w:rsidRDefault="00EF5834" w:rsidP="00825E1E">
      <w:pPr>
        <w:pStyle w:val="BodyTextMain"/>
        <w:rPr>
          <w:lang w:val="en-GB"/>
        </w:rPr>
      </w:pPr>
    </w:p>
    <w:p w14:paraId="32C2B434" w14:textId="054A900D" w:rsidR="00EF5834" w:rsidRPr="00B04967" w:rsidRDefault="00EF5834" w:rsidP="00825E1E">
      <w:pPr>
        <w:pStyle w:val="BodyTextMain"/>
        <w:rPr>
          <w:lang w:val="en-GB"/>
        </w:rPr>
      </w:pPr>
      <w:r w:rsidRPr="00B04967">
        <w:rPr>
          <w:lang w:val="en-GB"/>
        </w:rPr>
        <w:t xml:space="preserve">Usha Martin’s </w:t>
      </w:r>
      <w:r>
        <w:rPr>
          <w:lang w:val="en-GB"/>
        </w:rPr>
        <w:t>board</w:t>
      </w:r>
      <w:r w:rsidRPr="00B04967">
        <w:rPr>
          <w:lang w:val="en-GB"/>
        </w:rPr>
        <w:t xml:space="preserve"> created a six-member committee to oversee the divestment process. Tenders were invited</w:t>
      </w:r>
      <w:r>
        <w:rPr>
          <w:lang w:val="en-GB"/>
        </w:rPr>
        <w:t>,</w:t>
      </w:r>
      <w:r w:rsidRPr="00B04967">
        <w:rPr>
          <w:lang w:val="en-GB"/>
        </w:rPr>
        <w:t xml:space="preserve"> and the process attracted interest from almost all </w:t>
      </w:r>
      <w:r>
        <w:rPr>
          <w:lang w:val="en-GB"/>
        </w:rPr>
        <w:t xml:space="preserve">of </w:t>
      </w:r>
      <w:r w:rsidRPr="00B04967">
        <w:rPr>
          <w:lang w:val="en-GB"/>
        </w:rPr>
        <w:t>the major Indian steel manufacturers</w:t>
      </w:r>
      <w:r>
        <w:rPr>
          <w:lang w:val="en-GB"/>
        </w:rPr>
        <w:t>,</w:t>
      </w:r>
      <w:r w:rsidRPr="00B04967">
        <w:rPr>
          <w:lang w:val="en-GB"/>
        </w:rPr>
        <w:t xml:space="preserve"> including two of the biggest</w:t>
      </w:r>
      <w:r>
        <w:rPr>
          <w:lang w:val="en-GB"/>
        </w:rPr>
        <w:t>—</w:t>
      </w:r>
      <w:r w:rsidRPr="00B04967">
        <w:rPr>
          <w:lang w:val="en-GB"/>
        </w:rPr>
        <w:t>Tata Steel and JSW Steel</w:t>
      </w:r>
      <w:r>
        <w:rPr>
          <w:lang w:val="en-GB"/>
        </w:rPr>
        <w:t xml:space="preserve"> Ltd</w:t>
      </w:r>
      <w:r w:rsidRPr="00B04967">
        <w:rPr>
          <w:lang w:val="en-GB"/>
        </w:rPr>
        <w:t>.</w:t>
      </w:r>
      <w:r>
        <w:rPr>
          <w:lang w:val="en-GB"/>
        </w:rPr>
        <w:t>.</w:t>
      </w:r>
      <w:r w:rsidRPr="00B04967">
        <w:rPr>
          <w:lang w:val="en-GB"/>
        </w:rPr>
        <w:t xml:space="preserve"> In September 2018, after evaluating all </w:t>
      </w:r>
      <w:r>
        <w:rPr>
          <w:lang w:val="en-GB"/>
        </w:rPr>
        <w:t xml:space="preserve">of </w:t>
      </w:r>
      <w:r w:rsidRPr="00B04967">
        <w:rPr>
          <w:lang w:val="en-GB"/>
        </w:rPr>
        <w:t>the offers, Usha Martin</w:t>
      </w:r>
      <w:r>
        <w:rPr>
          <w:lang w:val="en-GB"/>
        </w:rPr>
        <w:t>’s</w:t>
      </w:r>
      <w:r w:rsidRPr="00B04967">
        <w:rPr>
          <w:lang w:val="en-GB"/>
        </w:rPr>
        <w:t xml:space="preserve"> board approved divestment of </w:t>
      </w:r>
      <w:r>
        <w:rPr>
          <w:lang w:val="en-GB"/>
        </w:rPr>
        <w:t xml:space="preserve">the </w:t>
      </w:r>
      <w:r w:rsidRPr="00B04967">
        <w:rPr>
          <w:lang w:val="en-GB"/>
        </w:rPr>
        <w:t xml:space="preserve">fixed assets of its steel business to Tata Steel for approximately </w:t>
      </w:r>
      <w:r w:rsidRPr="00325171">
        <w:rPr>
          <w:rFonts w:ascii="Arial" w:hAnsi="Arial" w:cs="Arial"/>
          <w:sz w:val="20"/>
          <w:szCs w:val="20"/>
          <w:lang w:val="en-GB"/>
        </w:rPr>
        <w:t>₹</w:t>
      </w:r>
      <w:r w:rsidRPr="00B04967">
        <w:rPr>
          <w:lang w:val="en-GB"/>
        </w:rPr>
        <w:t xml:space="preserve">46 billion. With the inclusion of nominal working capital of </w:t>
      </w:r>
      <w:r w:rsidRPr="00325171">
        <w:rPr>
          <w:rFonts w:ascii="Arial" w:hAnsi="Arial" w:cs="Arial"/>
          <w:sz w:val="20"/>
          <w:szCs w:val="20"/>
          <w:lang w:val="en-GB"/>
        </w:rPr>
        <w:t>₹</w:t>
      </w:r>
      <w:r w:rsidRPr="00B04967">
        <w:rPr>
          <w:lang w:val="en-GB"/>
        </w:rPr>
        <w:t xml:space="preserve">6 billion, the sale was worth </w:t>
      </w:r>
      <w:r w:rsidRPr="00325171">
        <w:rPr>
          <w:rFonts w:ascii="Arial" w:hAnsi="Arial" w:cs="Arial"/>
          <w:sz w:val="20"/>
          <w:szCs w:val="20"/>
          <w:lang w:val="en-GB"/>
        </w:rPr>
        <w:t>₹</w:t>
      </w:r>
      <w:r w:rsidRPr="00B04967">
        <w:rPr>
          <w:lang w:val="en-GB"/>
        </w:rPr>
        <w:t>52 billion. The Tata Steel</w:t>
      </w:r>
      <w:r>
        <w:rPr>
          <w:lang w:val="en-GB"/>
        </w:rPr>
        <w:t>–</w:t>
      </w:r>
      <w:r w:rsidRPr="00B04967">
        <w:rPr>
          <w:lang w:val="en-GB"/>
        </w:rPr>
        <w:t>Usha Martin deal surprised many observers and analysts because it was a rare case of an Indian corporat</w:t>
      </w:r>
      <w:r>
        <w:rPr>
          <w:lang w:val="en-GB"/>
        </w:rPr>
        <w:t>ion</w:t>
      </w:r>
      <w:r w:rsidRPr="00B04967">
        <w:rPr>
          <w:lang w:val="en-GB"/>
        </w:rPr>
        <w:t xml:space="preserve"> opting for divestment to meet its loan obligations. After the deal approval, </w:t>
      </w:r>
      <w:r w:rsidRPr="00B04967">
        <w:rPr>
          <w:lang w:val="en-GB"/>
        </w:rPr>
        <w:lastRenderedPageBreak/>
        <w:t>Rajeev said</w:t>
      </w:r>
      <w:r>
        <w:rPr>
          <w:lang w:val="en-GB"/>
        </w:rPr>
        <w:t>,</w:t>
      </w:r>
      <w:r w:rsidRPr="00B04967">
        <w:rPr>
          <w:lang w:val="en-GB"/>
        </w:rPr>
        <w:t xml:space="preserve"> </w:t>
      </w:r>
      <w:r w:rsidRPr="002A074A">
        <w:rPr>
          <w:lang w:val="en-GB"/>
        </w:rPr>
        <w:t>“</w:t>
      </w:r>
      <w:r w:rsidRPr="00AC1BEE">
        <w:rPr>
          <w:lang w:val="en-GB"/>
        </w:rPr>
        <w:t xml:space="preserve">Ours is a unique case where lenders will get paid back without any haircut. </w:t>
      </w:r>
      <w:r>
        <w:rPr>
          <w:lang w:val="en-GB"/>
        </w:rPr>
        <w:t xml:space="preserve">. . . </w:t>
      </w:r>
      <w:r w:rsidRPr="00AC1BEE">
        <w:rPr>
          <w:lang w:val="en-GB"/>
        </w:rPr>
        <w:t>We had certain obligations to our lenders and we have kept our commitments despite the hardship.</w:t>
      </w:r>
      <w:r w:rsidRPr="002A074A">
        <w:rPr>
          <w:lang w:val="en-GB"/>
        </w:rPr>
        <w:t>”</w:t>
      </w:r>
      <w:r w:rsidRPr="00AC1BEE">
        <w:rPr>
          <w:rStyle w:val="EndnoteReference"/>
          <w:lang w:val="en-GB"/>
        </w:rPr>
        <w:endnoteReference w:id="42"/>
      </w:r>
    </w:p>
    <w:p w14:paraId="7287FC37" w14:textId="77777777" w:rsidR="00EF5834" w:rsidRPr="00B04967" w:rsidRDefault="00EF5834" w:rsidP="00825E1E">
      <w:pPr>
        <w:pStyle w:val="BodyTextMain"/>
        <w:rPr>
          <w:lang w:val="en-GB"/>
        </w:rPr>
      </w:pPr>
    </w:p>
    <w:p w14:paraId="65E3B533" w14:textId="06F134C7" w:rsidR="00EF5834" w:rsidRPr="00B04967" w:rsidRDefault="00EF5834" w:rsidP="00825E1E">
      <w:pPr>
        <w:pStyle w:val="BodyTextMain"/>
        <w:rPr>
          <w:lang w:val="en-GB"/>
        </w:rPr>
      </w:pPr>
      <w:r w:rsidRPr="00B04967">
        <w:rPr>
          <w:lang w:val="en-GB"/>
        </w:rPr>
        <w:t>Further, Tata Steel would supply steel to Usha Martin at market price for five years, thus protecting Usha Martin’s WWR business from either potential shortage</w:t>
      </w:r>
      <w:r>
        <w:rPr>
          <w:lang w:val="en-GB"/>
        </w:rPr>
        <w:t>s</w:t>
      </w:r>
      <w:r w:rsidRPr="00B04967">
        <w:rPr>
          <w:lang w:val="en-GB"/>
        </w:rPr>
        <w:t xml:space="preserve"> or high prices of raw material in the near future. Employees of Usha Martin’s steel business would also be transferred to Tata Steel. The transition for employees who had been transferred to Tata Steel was helped by the fact that the Tata Steel and Usha Martin plants were just 16 </w:t>
      </w:r>
      <w:r>
        <w:rPr>
          <w:lang w:val="en-GB"/>
        </w:rPr>
        <w:t>kilometres</w:t>
      </w:r>
      <w:r w:rsidRPr="00B04967">
        <w:rPr>
          <w:lang w:val="en-GB"/>
        </w:rPr>
        <w:t xml:space="preserve"> apart.</w:t>
      </w:r>
      <w:r w:rsidRPr="00AC1BEE">
        <w:rPr>
          <w:rStyle w:val="EndnoteReference"/>
          <w:lang w:val="en-GB"/>
        </w:rPr>
        <w:endnoteReference w:id="43"/>
      </w:r>
    </w:p>
    <w:p w14:paraId="6BAB6308" w14:textId="77777777" w:rsidR="00EF5834" w:rsidRPr="00B04967" w:rsidRDefault="00EF5834" w:rsidP="00825E1E">
      <w:pPr>
        <w:pStyle w:val="BodyTextMain"/>
        <w:rPr>
          <w:lang w:val="en-GB"/>
        </w:rPr>
      </w:pPr>
    </w:p>
    <w:p w14:paraId="29030D43" w14:textId="76366E3D" w:rsidR="00EF5834" w:rsidRPr="00B04967" w:rsidRDefault="00EF5834" w:rsidP="002A074A">
      <w:pPr>
        <w:pStyle w:val="BodyTextMain"/>
        <w:rPr>
          <w:lang w:val="en-GB"/>
        </w:rPr>
      </w:pPr>
      <w:r w:rsidRPr="00B04967">
        <w:rPr>
          <w:lang w:val="en-GB"/>
        </w:rPr>
        <w:t>Post-divestment, the company was optimistic that the WWR business would get rejuvenated</w:t>
      </w:r>
      <w:r>
        <w:rPr>
          <w:lang w:val="en-GB"/>
        </w:rPr>
        <w:t xml:space="preserve">, as there would no longer be as much </w:t>
      </w:r>
      <w:r w:rsidRPr="00B04967">
        <w:rPr>
          <w:lang w:val="en-GB"/>
        </w:rPr>
        <w:t>stress on the company’s cash flow</w:t>
      </w:r>
      <w:r>
        <w:rPr>
          <w:lang w:val="en-GB"/>
        </w:rPr>
        <w:t>,</w:t>
      </w:r>
      <w:r w:rsidRPr="00B04967">
        <w:rPr>
          <w:lang w:val="en-GB"/>
        </w:rPr>
        <w:t xml:space="preserve"> caused by the high debt burden.</w:t>
      </w:r>
      <w:r w:rsidRPr="00AC1BEE">
        <w:rPr>
          <w:rStyle w:val="EndnoteReference"/>
          <w:lang w:val="en-GB"/>
        </w:rPr>
        <w:endnoteReference w:id="44"/>
      </w:r>
      <w:r w:rsidRPr="002A074A">
        <w:rPr>
          <w:lang w:val="en-GB"/>
        </w:rPr>
        <w:t xml:space="preserve"> </w:t>
      </w:r>
      <w:r w:rsidRPr="00B04967">
        <w:rPr>
          <w:lang w:val="en-GB"/>
        </w:rPr>
        <w:t xml:space="preserve">Having suffered from the </w:t>
      </w:r>
      <w:r>
        <w:rPr>
          <w:lang w:val="en-GB"/>
        </w:rPr>
        <w:t>ill effects</w:t>
      </w:r>
      <w:r w:rsidRPr="00B04967">
        <w:rPr>
          <w:lang w:val="en-GB"/>
        </w:rPr>
        <w:t xml:space="preserve"> of a heavy debt load, the company was looking to adopt a rather cautious approach, especially </w:t>
      </w:r>
      <w:r>
        <w:rPr>
          <w:lang w:val="en-GB"/>
        </w:rPr>
        <w:t>toward</w:t>
      </w:r>
      <w:r w:rsidRPr="00B04967">
        <w:rPr>
          <w:lang w:val="en-GB"/>
        </w:rPr>
        <w:t xml:space="preserve"> using debt to fund future expansion. In September 2019, Rajeev</w:t>
      </w:r>
      <w:r>
        <w:rPr>
          <w:lang w:val="en-GB"/>
        </w:rPr>
        <w:t xml:space="preserve"> </w:t>
      </w:r>
      <w:r w:rsidRPr="00B04967">
        <w:rPr>
          <w:lang w:val="en-GB"/>
        </w:rPr>
        <w:t>spoke about ambitious plans for the company. He said</w:t>
      </w:r>
      <w:r>
        <w:rPr>
          <w:lang w:val="en-GB"/>
        </w:rPr>
        <w:t>,</w:t>
      </w:r>
      <w:r w:rsidRPr="002A074A">
        <w:rPr>
          <w:lang w:val="en-GB"/>
        </w:rPr>
        <w:t xml:space="preserve"> </w:t>
      </w:r>
      <w:r>
        <w:rPr>
          <w:lang w:val="en-GB"/>
        </w:rPr>
        <w:t>“</w:t>
      </w:r>
      <w:r w:rsidRPr="00AC1BEE">
        <w:rPr>
          <w:lang w:val="en-GB"/>
        </w:rPr>
        <w:t>With the deleveraged balance sheet and healthy cash flows expected out of the business, we hope to grow both organically and inorganically over 3</w:t>
      </w:r>
      <w:r>
        <w:rPr>
          <w:lang w:val="en-GB"/>
        </w:rPr>
        <w:t>–</w:t>
      </w:r>
      <w:r w:rsidRPr="00AC1BEE">
        <w:rPr>
          <w:lang w:val="en-GB"/>
        </w:rPr>
        <w:t>5 years and rank among the top three players globally.</w:t>
      </w:r>
      <w:r>
        <w:rPr>
          <w:lang w:val="en-GB"/>
        </w:rPr>
        <w:t>”</w:t>
      </w:r>
      <w:r w:rsidRPr="00F11D23">
        <w:rPr>
          <w:rStyle w:val="EndnoteReference"/>
          <w:lang w:val="en-GB"/>
        </w:rPr>
        <w:t xml:space="preserve"> </w:t>
      </w:r>
      <w:r w:rsidRPr="00E33336">
        <w:rPr>
          <w:rStyle w:val="EndnoteReference"/>
          <w:lang w:val="en-GB"/>
        </w:rPr>
        <w:endnoteReference w:id="45"/>
      </w:r>
      <w:r w:rsidRPr="00AC1BEE">
        <w:rPr>
          <w:lang w:val="en-GB"/>
        </w:rPr>
        <w:t xml:space="preserve"> </w:t>
      </w:r>
      <w:r>
        <w:rPr>
          <w:lang w:val="en-GB"/>
        </w:rPr>
        <w:t>To this he added, “</w:t>
      </w:r>
      <w:r w:rsidRPr="00AC1BEE">
        <w:rPr>
          <w:lang w:val="en-GB"/>
        </w:rPr>
        <w:t>I would never like to grow on the strength of taking debt; it would be more on internal accruals and a very conservative financial commitment</w:t>
      </w:r>
      <w:r w:rsidRPr="002A074A">
        <w:rPr>
          <w:lang w:val="en-GB"/>
        </w:rPr>
        <w:t>.</w:t>
      </w:r>
      <w:r>
        <w:rPr>
          <w:lang w:val="en-GB"/>
        </w:rPr>
        <w:t>”</w:t>
      </w:r>
      <w:r w:rsidRPr="00AC1BEE">
        <w:rPr>
          <w:rStyle w:val="EndnoteReference"/>
          <w:lang w:val="en-GB"/>
        </w:rPr>
        <w:endnoteReference w:id="46"/>
      </w:r>
    </w:p>
    <w:p w14:paraId="752097C8" w14:textId="1D2DABD9" w:rsidR="00EF5834" w:rsidRPr="00B04967" w:rsidRDefault="00EF5834" w:rsidP="00825E1E">
      <w:pPr>
        <w:pStyle w:val="BodyTextMain"/>
        <w:rPr>
          <w:lang w:val="en-GB"/>
        </w:rPr>
      </w:pPr>
    </w:p>
    <w:p w14:paraId="7C2653A3" w14:textId="77777777" w:rsidR="00EF5834" w:rsidRPr="00B04967" w:rsidRDefault="00EF5834" w:rsidP="00825E1E">
      <w:pPr>
        <w:pStyle w:val="BodyTextMain"/>
        <w:rPr>
          <w:lang w:val="en-GB"/>
        </w:rPr>
      </w:pPr>
    </w:p>
    <w:p w14:paraId="7E6BC8B1" w14:textId="53804094" w:rsidR="00EF5834" w:rsidRPr="00B04967" w:rsidRDefault="00EF5834" w:rsidP="00825E1E">
      <w:pPr>
        <w:pStyle w:val="Casehead1"/>
        <w:rPr>
          <w:lang w:val="en-GB"/>
        </w:rPr>
      </w:pPr>
      <w:r w:rsidRPr="00B04967">
        <w:rPr>
          <w:lang w:val="en-GB"/>
        </w:rPr>
        <w:t>The Road Ahead</w:t>
      </w:r>
    </w:p>
    <w:p w14:paraId="07FF2404" w14:textId="77777777" w:rsidR="00EF5834" w:rsidRPr="00B04967" w:rsidRDefault="00EF5834" w:rsidP="00825E1E">
      <w:pPr>
        <w:pStyle w:val="BodyTextMain"/>
        <w:rPr>
          <w:lang w:val="en-GB"/>
        </w:rPr>
      </w:pPr>
    </w:p>
    <w:p w14:paraId="62156EB7" w14:textId="4B17CC56" w:rsidR="00EF5834" w:rsidRPr="00B04967" w:rsidRDefault="00EF5834" w:rsidP="00825E1E">
      <w:pPr>
        <w:pStyle w:val="BodyTextMain"/>
        <w:rPr>
          <w:lang w:val="en-GB"/>
        </w:rPr>
      </w:pPr>
      <w:r w:rsidRPr="00B04967">
        <w:rPr>
          <w:lang w:val="en-GB"/>
        </w:rPr>
        <w:t>With the divestment of the steel business</w:t>
      </w:r>
      <w:r>
        <w:rPr>
          <w:lang w:val="en-GB"/>
        </w:rPr>
        <w:t>, which</w:t>
      </w:r>
      <w:r w:rsidRPr="00B04967">
        <w:rPr>
          <w:lang w:val="en-GB"/>
        </w:rPr>
        <w:t xml:space="preserve"> had contributed </w:t>
      </w:r>
      <w:r>
        <w:rPr>
          <w:lang w:val="en-GB"/>
        </w:rPr>
        <w:t xml:space="preserve">the </w:t>
      </w:r>
      <w:r w:rsidRPr="00B04967">
        <w:rPr>
          <w:lang w:val="en-GB"/>
        </w:rPr>
        <w:t>majority of the company</w:t>
      </w:r>
      <w:r>
        <w:rPr>
          <w:lang w:val="en-GB"/>
        </w:rPr>
        <w:t>’s</w:t>
      </w:r>
      <w:r w:rsidRPr="00B04967">
        <w:rPr>
          <w:lang w:val="en-GB"/>
        </w:rPr>
        <w:t xml:space="preserve"> revenues, the WWR business became the key driver of Usha Martin’s future growth (see Exhibit </w:t>
      </w:r>
      <w:r>
        <w:rPr>
          <w:lang w:val="en-GB"/>
        </w:rPr>
        <w:t>4</w:t>
      </w:r>
      <w:r w:rsidRPr="00B04967">
        <w:rPr>
          <w:lang w:val="en-GB"/>
        </w:rPr>
        <w:t xml:space="preserve">). Other than a few dips in performance over the years, the WWR business had generally performed well (see Exhibit </w:t>
      </w:r>
      <w:r>
        <w:rPr>
          <w:lang w:val="en-GB"/>
        </w:rPr>
        <w:t>5</w:t>
      </w:r>
      <w:r w:rsidRPr="00B04967">
        <w:rPr>
          <w:lang w:val="en-GB"/>
        </w:rPr>
        <w:t xml:space="preserve">). For instance, after hitting bottom in </w:t>
      </w:r>
      <w:r>
        <w:rPr>
          <w:lang w:val="en-GB"/>
        </w:rPr>
        <w:t xml:space="preserve">FY </w:t>
      </w:r>
      <w:r w:rsidRPr="00B04967">
        <w:rPr>
          <w:lang w:val="en-GB"/>
        </w:rPr>
        <w:t>2015</w:t>
      </w:r>
      <w:r>
        <w:rPr>
          <w:lang w:val="en-GB"/>
        </w:rPr>
        <w:t>–</w:t>
      </w:r>
      <w:r w:rsidRPr="00B04967">
        <w:rPr>
          <w:lang w:val="en-GB"/>
        </w:rPr>
        <w:t xml:space="preserve">16 </w:t>
      </w:r>
      <w:r>
        <w:rPr>
          <w:lang w:val="en-GB"/>
        </w:rPr>
        <w:t>due to</w:t>
      </w:r>
      <w:r w:rsidRPr="00B04967">
        <w:rPr>
          <w:lang w:val="en-GB"/>
        </w:rPr>
        <w:t xml:space="preserve"> the oil price collapse, </w:t>
      </w:r>
      <w:r>
        <w:rPr>
          <w:lang w:val="en-GB"/>
        </w:rPr>
        <w:t xml:space="preserve">the </w:t>
      </w:r>
      <w:r w:rsidRPr="00B04967">
        <w:rPr>
          <w:lang w:val="en-GB"/>
        </w:rPr>
        <w:t xml:space="preserve">WWR business was back on the recovery path by </w:t>
      </w:r>
      <w:r>
        <w:rPr>
          <w:lang w:val="en-GB"/>
        </w:rPr>
        <w:t>the e</w:t>
      </w:r>
      <w:r w:rsidRPr="00B04967">
        <w:rPr>
          <w:lang w:val="en-GB"/>
        </w:rPr>
        <w:t>nd</w:t>
      </w:r>
      <w:r>
        <w:rPr>
          <w:lang w:val="en-GB"/>
        </w:rPr>
        <w:t xml:space="preserve"> of</w:t>
      </w:r>
      <w:r w:rsidRPr="00B04967">
        <w:rPr>
          <w:lang w:val="en-GB"/>
        </w:rPr>
        <w:t xml:space="preserve"> 2016. In FY 2017</w:t>
      </w:r>
      <w:r>
        <w:rPr>
          <w:lang w:val="en-GB"/>
        </w:rPr>
        <w:t>–</w:t>
      </w:r>
      <w:r w:rsidRPr="00B04967">
        <w:rPr>
          <w:lang w:val="en-GB"/>
        </w:rPr>
        <w:t>18</w:t>
      </w:r>
      <w:r>
        <w:rPr>
          <w:lang w:val="en-GB"/>
        </w:rPr>
        <w:t>,</w:t>
      </w:r>
      <w:r w:rsidRPr="00B04967">
        <w:rPr>
          <w:lang w:val="en-GB"/>
        </w:rPr>
        <w:t xml:space="preserve"> the WWR business showed significant </w:t>
      </w:r>
      <w:r>
        <w:rPr>
          <w:lang w:val="en-GB"/>
        </w:rPr>
        <w:t>growth</w:t>
      </w:r>
      <w:r w:rsidRPr="00B04967">
        <w:rPr>
          <w:lang w:val="en-GB"/>
        </w:rPr>
        <w:t xml:space="preserve"> </w:t>
      </w:r>
      <w:r>
        <w:rPr>
          <w:lang w:val="en-GB"/>
        </w:rPr>
        <w:t>over</w:t>
      </w:r>
      <w:r w:rsidRPr="00B04967">
        <w:rPr>
          <w:lang w:val="en-GB"/>
        </w:rPr>
        <w:t xml:space="preserve"> the previous year, </w:t>
      </w:r>
      <w:r>
        <w:rPr>
          <w:lang w:val="en-GB"/>
        </w:rPr>
        <w:t>with</w:t>
      </w:r>
      <w:r w:rsidRPr="00B04967">
        <w:rPr>
          <w:lang w:val="en-GB"/>
        </w:rPr>
        <w:t xml:space="preserve"> improvement in most end uses </w:t>
      </w:r>
      <w:r>
        <w:rPr>
          <w:lang w:val="en-GB"/>
        </w:rPr>
        <w:t>(with the exception of</w:t>
      </w:r>
      <w:r w:rsidRPr="00B04967">
        <w:rPr>
          <w:lang w:val="en-GB"/>
        </w:rPr>
        <w:t xml:space="preserve"> </w:t>
      </w:r>
      <w:r>
        <w:rPr>
          <w:lang w:val="en-GB"/>
        </w:rPr>
        <w:t>oil and offshore</w:t>
      </w:r>
      <w:r w:rsidRPr="00B04967">
        <w:rPr>
          <w:lang w:val="en-GB"/>
        </w:rPr>
        <w:t xml:space="preserve"> wire ropes</w:t>
      </w:r>
      <w:r>
        <w:rPr>
          <w:lang w:val="en-GB"/>
        </w:rPr>
        <w:t xml:space="preserve">), </w:t>
      </w:r>
      <w:r w:rsidRPr="00B04967">
        <w:rPr>
          <w:lang w:val="en-GB"/>
        </w:rPr>
        <w:t>reflected in an impressive 41.95</w:t>
      </w:r>
      <w:r>
        <w:rPr>
          <w:lang w:val="en-GB"/>
        </w:rPr>
        <w:t xml:space="preserve"> per cent</w:t>
      </w:r>
      <w:r w:rsidRPr="00B04967">
        <w:rPr>
          <w:lang w:val="en-GB"/>
        </w:rPr>
        <w:t xml:space="preserve"> increase in </w:t>
      </w:r>
      <w:r>
        <w:rPr>
          <w:lang w:val="en-GB"/>
        </w:rPr>
        <w:t>earnings</w:t>
      </w:r>
      <w:r w:rsidRPr="00B04967">
        <w:rPr>
          <w:lang w:val="en-GB"/>
        </w:rPr>
        <w:t xml:space="preserve"> before interest, taxes, depreciation</w:t>
      </w:r>
      <w:r>
        <w:rPr>
          <w:lang w:val="en-GB"/>
        </w:rPr>
        <w:t>,</w:t>
      </w:r>
      <w:r w:rsidRPr="00B04967">
        <w:rPr>
          <w:lang w:val="en-GB"/>
        </w:rPr>
        <w:t xml:space="preserve"> and amortization. The WWR business continued to remain the undisputed leader in India</w:t>
      </w:r>
      <w:r>
        <w:rPr>
          <w:lang w:val="en-GB"/>
        </w:rPr>
        <w:t>,</w:t>
      </w:r>
      <w:r w:rsidRPr="00B04967">
        <w:rPr>
          <w:lang w:val="en-GB"/>
        </w:rPr>
        <w:t xml:space="preserve"> with 60</w:t>
      </w:r>
      <w:r>
        <w:rPr>
          <w:lang w:val="en-GB"/>
        </w:rPr>
        <w:t xml:space="preserve"> per cent</w:t>
      </w:r>
      <w:r w:rsidRPr="00B04967">
        <w:rPr>
          <w:lang w:val="en-GB"/>
        </w:rPr>
        <w:t xml:space="preserve"> market share</w:t>
      </w:r>
      <w:r>
        <w:rPr>
          <w:lang w:val="en-GB"/>
        </w:rPr>
        <w:t>.</w:t>
      </w:r>
      <w:r w:rsidRPr="00B04967">
        <w:rPr>
          <w:lang w:val="en-GB"/>
        </w:rPr>
        <w:t xml:space="preserve"> </w:t>
      </w:r>
      <w:r>
        <w:rPr>
          <w:lang w:val="en-GB"/>
        </w:rPr>
        <w:t>The</w:t>
      </w:r>
      <w:r w:rsidRPr="00B04967">
        <w:rPr>
          <w:lang w:val="en-GB"/>
        </w:rPr>
        <w:t xml:space="preserve"> </w:t>
      </w:r>
      <w:r>
        <w:rPr>
          <w:lang w:val="en-GB"/>
        </w:rPr>
        <w:t xml:space="preserve">sales </w:t>
      </w:r>
      <w:r w:rsidRPr="00B04967">
        <w:rPr>
          <w:lang w:val="en-GB"/>
        </w:rPr>
        <w:t>volume also rose by 40</w:t>
      </w:r>
      <w:r>
        <w:rPr>
          <w:lang w:val="en-GB"/>
        </w:rPr>
        <w:t xml:space="preserve"> per cent</w:t>
      </w:r>
      <w:r w:rsidRPr="00B04967">
        <w:rPr>
          <w:lang w:val="en-GB"/>
        </w:rPr>
        <w:t>, helped by a robust surge in demand.</w:t>
      </w:r>
      <w:r w:rsidRPr="00AC1BEE">
        <w:rPr>
          <w:rStyle w:val="EndnoteReference"/>
          <w:lang w:val="en-GB"/>
        </w:rPr>
        <w:endnoteReference w:id="47"/>
      </w:r>
    </w:p>
    <w:p w14:paraId="6B454456" w14:textId="77777777" w:rsidR="00EF5834" w:rsidRPr="00B04967" w:rsidRDefault="00EF5834" w:rsidP="00825E1E">
      <w:pPr>
        <w:pStyle w:val="BodyTextMain"/>
        <w:rPr>
          <w:lang w:val="en-GB"/>
        </w:rPr>
      </w:pPr>
    </w:p>
    <w:p w14:paraId="5B5B799F" w14:textId="2361AC18" w:rsidR="00EF5834" w:rsidRPr="00C77F83" w:rsidRDefault="00EF5834" w:rsidP="00825E1E">
      <w:pPr>
        <w:pStyle w:val="BodyTextMain"/>
        <w:rPr>
          <w:lang w:val="en-GB"/>
        </w:rPr>
      </w:pPr>
      <w:r>
        <w:rPr>
          <w:lang w:val="en-GB"/>
        </w:rPr>
        <w:t>However, the</w:t>
      </w:r>
      <w:r w:rsidRPr="00B04967">
        <w:rPr>
          <w:lang w:val="en-GB"/>
        </w:rPr>
        <w:t xml:space="preserve"> road ahead seemed challenging for several reasons. First, there was </w:t>
      </w:r>
      <w:r>
        <w:rPr>
          <w:lang w:val="en-GB"/>
        </w:rPr>
        <w:t>the</w:t>
      </w:r>
      <w:r w:rsidRPr="00B04967">
        <w:rPr>
          <w:lang w:val="en-GB"/>
        </w:rPr>
        <w:t xml:space="preserve"> </w:t>
      </w:r>
      <w:r>
        <w:rPr>
          <w:lang w:val="en-GB"/>
        </w:rPr>
        <w:t>short-term</w:t>
      </w:r>
      <w:r w:rsidRPr="00B04967">
        <w:rPr>
          <w:lang w:val="en-GB"/>
        </w:rPr>
        <w:t xml:space="preserve"> challenge </w:t>
      </w:r>
      <w:r>
        <w:rPr>
          <w:lang w:val="en-GB"/>
        </w:rPr>
        <w:t xml:space="preserve">posed by worldwide government-imposed lockdowns intended </w:t>
      </w:r>
      <w:r w:rsidRPr="00B04967">
        <w:rPr>
          <w:lang w:val="en-GB"/>
        </w:rPr>
        <w:t xml:space="preserve">to </w:t>
      </w:r>
      <w:r>
        <w:rPr>
          <w:lang w:val="en-GB"/>
        </w:rPr>
        <w:t xml:space="preserve">help </w:t>
      </w:r>
      <w:r w:rsidRPr="00B04967">
        <w:rPr>
          <w:lang w:val="en-GB"/>
        </w:rPr>
        <w:t>stop the spread of COVID-19, bringing industrial and commercial activity</w:t>
      </w:r>
      <w:r>
        <w:rPr>
          <w:lang w:val="en-GB"/>
        </w:rPr>
        <w:t>,</w:t>
      </w:r>
      <w:r w:rsidRPr="00B04967">
        <w:rPr>
          <w:lang w:val="en-GB"/>
        </w:rPr>
        <w:t xml:space="preserve"> including construction</w:t>
      </w:r>
      <w:r>
        <w:rPr>
          <w:lang w:val="en-GB"/>
        </w:rPr>
        <w:t>,</w:t>
      </w:r>
      <w:r w:rsidRPr="00B04967">
        <w:rPr>
          <w:lang w:val="en-GB"/>
        </w:rPr>
        <w:t xml:space="preserve"> to a halt. For an industrial product </w:t>
      </w:r>
      <w:r>
        <w:rPr>
          <w:lang w:val="en-GB"/>
        </w:rPr>
        <w:t>such as</w:t>
      </w:r>
      <w:r w:rsidRPr="00B04967">
        <w:rPr>
          <w:lang w:val="en-GB"/>
        </w:rPr>
        <w:t xml:space="preserve"> wire ropes, this could mean drastically reduced demand.</w:t>
      </w:r>
      <w:r w:rsidRPr="00AC1BEE">
        <w:rPr>
          <w:rStyle w:val="EndnoteReference"/>
          <w:bCs/>
          <w:lang w:val="en-GB"/>
        </w:rPr>
        <w:endnoteReference w:id="48"/>
      </w:r>
      <w:r w:rsidRPr="00F42EFE">
        <w:rPr>
          <w:lang w:val="en-GB"/>
        </w:rPr>
        <w:t xml:space="preserve"> </w:t>
      </w:r>
      <w:r w:rsidRPr="00B04967">
        <w:rPr>
          <w:lang w:val="en-GB"/>
        </w:rPr>
        <w:t xml:space="preserve">Second, in the </w:t>
      </w:r>
      <w:r>
        <w:rPr>
          <w:lang w:val="en-GB"/>
        </w:rPr>
        <w:t>longer term</w:t>
      </w:r>
      <w:r w:rsidRPr="00B04967">
        <w:rPr>
          <w:lang w:val="en-GB"/>
        </w:rPr>
        <w:t>, some of the end-user industries of the WWR division</w:t>
      </w:r>
      <w:r>
        <w:rPr>
          <w:lang w:val="en-GB"/>
        </w:rPr>
        <w:t>,</w:t>
      </w:r>
      <w:r w:rsidRPr="00B04967">
        <w:rPr>
          <w:lang w:val="en-GB"/>
        </w:rPr>
        <w:t xml:space="preserve"> such as mining and oil exploration</w:t>
      </w:r>
      <w:r>
        <w:rPr>
          <w:lang w:val="en-GB"/>
        </w:rPr>
        <w:t>,</w:t>
      </w:r>
      <w:r w:rsidRPr="00B04967">
        <w:rPr>
          <w:lang w:val="en-GB"/>
        </w:rPr>
        <w:t xml:space="preserve"> would face challenges </w:t>
      </w:r>
      <w:r>
        <w:rPr>
          <w:lang w:val="en-GB"/>
        </w:rPr>
        <w:t>posed by</w:t>
      </w:r>
      <w:r w:rsidRPr="00B04967">
        <w:rPr>
          <w:lang w:val="en-GB"/>
        </w:rPr>
        <w:t xml:space="preserve"> environmental concerns</w:t>
      </w:r>
      <w:r w:rsidRPr="00F42EFE">
        <w:rPr>
          <w:lang w:val="en-GB"/>
        </w:rPr>
        <w:t>.</w:t>
      </w:r>
      <w:r w:rsidRPr="00AC1BEE">
        <w:rPr>
          <w:rStyle w:val="EndnoteReference"/>
          <w:lang w:val="en-GB"/>
        </w:rPr>
        <w:endnoteReference w:id="49"/>
      </w:r>
    </w:p>
    <w:p w14:paraId="5F55B5A2" w14:textId="77777777" w:rsidR="00825E1E" w:rsidRPr="00B04967" w:rsidRDefault="00825E1E" w:rsidP="00825E1E">
      <w:pPr>
        <w:pStyle w:val="BodyTextMain"/>
        <w:rPr>
          <w:lang w:val="en-GB"/>
        </w:rPr>
      </w:pPr>
    </w:p>
    <w:p w14:paraId="7625DEC4" w14:textId="1549DCF0" w:rsidR="00825E1E" w:rsidRPr="00B04967" w:rsidRDefault="00825E1E" w:rsidP="00825E1E">
      <w:pPr>
        <w:pStyle w:val="BodyTextMain"/>
        <w:rPr>
          <w:lang w:val="en-GB"/>
        </w:rPr>
      </w:pPr>
      <w:r w:rsidRPr="00B04967">
        <w:rPr>
          <w:lang w:val="en-GB"/>
        </w:rPr>
        <w:t>On the other hand, there was</w:t>
      </w:r>
      <w:r w:rsidR="00E8330D">
        <w:rPr>
          <w:lang w:val="en-GB"/>
        </w:rPr>
        <w:t xml:space="preserve"> </w:t>
      </w:r>
      <w:r w:rsidR="007D6AD8">
        <w:rPr>
          <w:lang w:val="en-GB"/>
        </w:rPr>
        <w:t>also</w:t>
      </w:r>
      <w:r w:rsidR="00E8330D">
        <w:rPr>
          <w:lang w:val="en-GB"/>
        </w:rPr>
        <w:t xml:space="preserve"> a</w:t>
      </w:r>
      <w:r w:rsidR="007D6AD8">
        <w:rPr>
          <w:lang w:val="en-GB"/>
        </w:rPr>
        <w:t xml:space="preserve"> </w:t>
      </w:r>
      <w:r w:rsidRPr="00B04967">
        <w:rPr>
          <w:lang w:val="en-GB"/>
        </w:rPr>
        <w:t xml:space="preserve">positive trend for some end-user industries. </w:t>
      </w:r>
      <w:bookmarkStart w:id="6" w:name="_Hlk62034718"/>
      <w:r w:rsidRPr="00B04967">
        <w:rPr>
          <w:lang w:val="en-GB"/>
        </w:rPr>
        <w:t>Increasing urbanization meant greater use of high-rise buildings for both office and residential use</w:t>
      </w:r>
      <w:bookmarkEnd w:id="6"/>
      <w:r w:rsidRPr="00B04967">
        <w:rPr>
          <w:lang w:val="en-GB"/>
        </w:rPr>
        <w:t xml:space="preserve">, which would </w:t>
      </w:r>
      <w:r w:rsidR="007D6AD8">
        <w:rPr>
          <w:lang w:val="en-GB"/>
        </w:rPr>
        <w:t>lead to</w:t>
      </w:r>
      <w:r w:rsidR="007D6AD8" w:rsidRPr="00B04967">
        <w:rPr>
          <w:lang w:val="en-GB"/>
        </w:rPr>
        <w:t xml:space="preserve"> </w:t>
      </w:r>
      <w:r w:rsidRPr="00B04967">
        <w:rPr>
          <w:lang w:val="en-GB"/>
        </w:rPr>
        <w:t>greater use of elevators, in turn boosting the demand for wire ropes. The construction sector</w:t>
      </w:r>
      <w:r w:rsidR="000C22F4">
        <w:rPr>
          <w:lang w:val="en-GB"/>
        </w:rPr>
        <w:t>,</w:t>
      </w:r>
      <w:r w:rsidRPr="00B04967">
        <w:rPr>
          <w:lang w:val="en-GB"/>
        </w:rPr>
        <w:t xml:space="preserve"> even in developing countries</w:t>
      </w:r>
      <w:r w:rsidR="000C22F4">
        <w:rPr>
          <w:lang w:val="en-GB"/>
        </w:rPr>
        <w:t>,</w:t>
      </w:r>
      <w:r w:rsidRPr="00B04967">
        <w:rPr>
          <w:lang w:val="en-GB"/>
        </w:rPr>
        <w:t xml:space="preserve"> was likely to use equipment such as cranes, which would give the demand a further boost. Though the C</w:t>
      </w:r>
      <w:r w:rsidR="006D68A8" w:rsidRPr="00B04967">
        <w:rPr>
          <w:lang w:val="en-GB"/>
        </w:rPr>
        <w:t>OVID</w:t>
      </w:r>
      <w:r w:rsidRPr="00B04967">
        <w:rPr>
          <w:lang w:val="en-GB"/>
        </w:rPr>
        <w:t>-19 pandemic had raised some short-term doubts about the trends of continued urbanization and high-rise office and residential buildings, the broader trend might remain intact as long as the pandemic did not last too long.</w:t>
      </w:r>
    </w:p>
    <w:p w14:paraId="25DFFA05" w14:textId="77777777" w:rsidR="00825E1E" w:rsidRPr="00B04967" w:rsidRDefault="00825E1E" w:rsidP="00825E1E">
      <w:pPr>
        <w:pStyle w:val="BodyTextMain"/>
        <w:rPr>
          <w:lang w:val="en-GB"/>
        </w:rPr>
      </w:pPr>
    </w:p>
    <w:p w14:paraId="385B9C37" w14:textId="166218C8" w:rsidR="00C466CD" w:rsidRPr="00B04967" w:rsidRDefault="00D560DE" w:rsidP="00C466CD">
      <w:pPr>
        <w:pStyle w:val="BodyTextMain"/>
        <w:rPr>
          <w:lang w:val="en-GB"/>
        </w:rPr>
      </w:pPr>
      <w:r w:rsidRPr="00B04967">
        <w:rPr>
          <w:lang w:val="en-GB"/>
        </w:rPr>
        <w:t xml:space="preserve">The smaller portfolio of businesses created </w:t>
      </w:r>
      <w:r w:rsidR="00C466CD" w:rsidRPr="00B04967">
        <w:rPr>
          <w:lang w:val="en-GB"/>
        </w:rPr>
        <w:t>several</w:t>
      </w:r>
      <w:r w:rsidRPr="00B04967">
        <w:rPr>
          <w:lang w:val="en-GB"/>
        </w:rPr>
        <w:t xml:space="preserve"> major challenge</w:t>
      </w:r>
      <w:r w:rsidR="00C466CD" w:rsidRPr="00B04967">
        <w:rPr>
          <w:lang w:val="en-GB"/>
        </w:rPr>
        <w:t>s</w:t>
      </w:r>
      <w:r w:rsidRPr="00B04967">
        <w:rPr>
          <w:lang w:val="en-GB"/>
        </w:rPr>
        <w:t xml:space="preserve"> for Usha Martin</w:t>
      </w:r>
      <w:r w:rsidR="00C466CD" w:rsidRPr="00B04967">
        <w:rPr>
          <w:lang w:val="en-GB"/>
        </w:rPr>
        <w:t xml:space="preserve">. First, </w:t>
      </w:r>
      <w:r w:rsidR="000C22F4">
        <w:rPr>
          <w:lang w:val="en-GB"/>
        </w:rPr>
        <w:t>the company</w:t>
      </w:r>
      <w:r w:rsidR="000C22F4" w:rsidRPr="00B04967">
        <w:rPr>
          <w:lang w:val="en-GB"/>
        </w:rPr>
        <w:t xml:space="preserve"> </w:t>
      </w:r>
      <w:r w:rsidR="00C466CD" w:rsidRPr="00B04967">
        <w:rPr>
          <w:lang w:val="en-GB"/>
        </w:rPr>
        <w:t xml:space="preserve">had to </w:t>
      </w:r>
      <w:r w:rsidRPr="00B04967">
        <w:rPr>
          <w:lang w:val="en-GB"/>
        </w:rPr>
        <w:t>f</w:t>
      </w:r>
      <w:r w:rsidR="00825E1E" w:rsidRPr="00B04967">
        <w:rPr>
          <w:lang w:val="en-GB"/>
        </w:rPr>
        <w:t>ind new sources of growth in revenues</w:t>
      </w:r>
      <w:r w:rsidR="000A1A38" w:rsidRPr="00B04967">
        <w:rPr>
          <w:lang w:val="en-GB"/>
        </w:rPr>
        <w:t xml:space="preserve">, </w:t>
      </w:r>
      <w:r w:rsidR="000C22F4">
        <w:rPr>
          <w:lang w:val="en-GB"/>
        </w:rPr>
        <w:t xml:space="preserve">which was </w:t>
      </w:r>
      <w:r w:rsidR="000A1A38" w:rsidRPr="00B04967">
        <w:rPr>
          <w:lang w:val="en-GB"/>
        </w:rPr>
        <w:t xml:space="preserve">especially </w:t>
      </w:r>
      <w:r w:rsidR="00C466CD" w:rsidRPr="00B04967">
        <w:rPr>
          <w:lang w:val="en-GB"/>
        </w:rPr>
        <w:t xml:space="preserve">difficult </w:t>
      </w:r>
      <w:r w:rsidR="000A1A38" w:rsidRPr="00B04967">
        <w:rPr>
          <w:lang w:val="en-GB"/>
        </w:rPr>
        <w:t xml:space="preserve">considering the struggles of </w:t>
      </w:r>
      <w:r w:rsidR="00057AFC" w:rsidRPr="00B04967">
        <w:rPr>
          <w:lang w:val="en-GB"/>
        </w:rPr>
        <w:t xml:space="preserve">key </w:t>
      </w:r>
      <w:r w:rsidR="000A1A38" w:rsidRPr="00B04967">
        <w:rPr>
          <w:lang w:val="en-GB"/>
        </w:rPr>
        <w:t>end-user industries such as construction and oil exploration</w:t>
      </w:r>
      <w:r w:rsidR="00C466CD" w:rsidRPr="00B04967">
        <w:rPr>
          <w:lang w:val="en-GB"/>
        </w:rPr>
        <w:t xml:space="preserve">. Because of </w:t>
      </w:r>
      <w:r w:rsidR="000C22F4">
        <w:rPr>
          <w:lang w:val="en-GB"/>
        </w:rPr>
        <w:t>Usha Martin’s</w:t>
      </w:r>
      <w:r w:rsidR="00C466CD" w:rsidRPr="00B04967">
        <w:rPr>
          <w:lang w:val="en-GB"/>
        </w:rPr>
        <w:t xml:space="preserve"> large domestic </w:t>
      </w:r>
      <w:r w:rsidR="00C466CD" w:rsidRPr="00B04967">
        <w:rPr>
          <w:lang w:val="en-GB"/>
        </w:rPr>
        <w:lastRenderedPageBreak/>
        <w:t>market share, gains in the domestic market were challenging</w:t>
      </w:r>
      <w:r w:rsidR="00057AFC" w:rsidRPr="00B04967">
        <w:rPr>
          <w:lang w:val="en-GB"/>
        </w:rPr>
        <w:t xml:space="preserve"> as well</w:t>
      </w:r>
      <w:r w:rsidR="00C466CD" w:rsidRPr="00B04967">
        <w:rPr>
          <w:lang w:val="en-GB"/>
        </w:rPr>
        <w:t xml:space="preserve">. </w:t>
      </w:r>
      <w:r w:rsidR="00057AFC" w:rsidRPr="00B04967">
        <w:rPr>
          <w:lang w:val="en-GB"/>
        </w:rPr>
        <w:t>Second, f</w:t>
      </w:r>
      <w:r w:rsidR="00C466CD" w:rsidRPr="00B04967">
        <w:rPr>
          <w:lang w:val="en-GB"/>
        </w:rPr>
        <w:t>luctuations in demand for WWR products</w:t>
      </w:r>
      <w:r w:rsidR="00E8330D">
        <w:rPr>
          <w:lang w:val="en-GB"/>
        </w:rPr>
        <w:t xml:space="preserve"> </w:t>
      </w:r>
      <w:r w:rsidR="00E8330D" w:rsidRPr="00B04967">
        <w:rPr>
          <w:lang w:val="en-GB"/>
        </w:rPr>
        <w:t>(especially negative)</w:t>
      </w:r>
      <w:r w:rsidR="00057AFC" w:rsidRPr="00B04967">
        <w:rPr>
          <w:lang w:val="en-GB"/>
        </w:rPr>
        <w:t xml:space="preserve">, </w:t>
      </w:r>
      <w:r w:rsidR="005B404C">
        <w:rPr>
          <w:lang w:val="en-GB"/>
        </w:rPr>
        <w:t>such as those that occurred</w:t>
      </w:r>
      <w:r w:rsidR="00057AFC" w:rsidRPr="00B04967">
        <w:rPr>
          <w:lang w:val="en-GB"/>
        </w:rPr>
        <w:t xml:space="preserve"> after the oil price crash in 2015</w:t>
      </w:r>
      <w:r w:rsidR="00F53CDB" w:rsidRPr="00B04967">
        <w:rPr>
          <w:lang w:val="en-GB"/>
        </w:rPr>
        <w:t>,</w:t>
      </w:r>
      <w:r w:rsidR="00057AFC" w:rsidRPr="00B04967">
        <w:rPr>
          <w:lang w:val="en-GB"/>
        </w:rPr>
        <w:t xml:space="preserve"> </w:t>
      </w:r>
      <w:r w:rsidR="00C466CD" w:rsidRPr="00B04967">
        <w:rPr>
          <w:lang w:val="en-GB"/>
        </w:rPr>
        <w:t xml:space="preserve">would have </w:t>
      </w:r>
      <w:r w:rsidR="00F53CDB" w:rsidRPr="00B04967">
        <w:rPr>
          <w:lang w:val="en-GB"/>
        </w:rPr>
        <w:t>large</w:t>
      </w:r>
      <w:r w:rsidR="00C466CD" w:rsidRPr="00B04967">
        <w:rPr>
          <w:lang w:val="en-GB"/>
        </w:rPr>
        <w:t xml:space="preserve"> impact</w:t>
      </w:r>
      <w:r w:rsidR="00F53CDB" w:rsidRPr="00B04967">
        <w:rPr>
          <w:lang w:val="en-GB"/>
        </w:rPr>
        <w:t>s</w:t>
      </w:r>
      <w:r w:rsidR="00C466CD" w:rsidRPr="00B04967">
        <w:rPr>
          <w:lang w:val="en-GB"/>
        </w:rPr>
        <w:t xml:space="preserve"> on the </w:t>
      </w:r>
      <w:r w:rsidR="00F53CDB" w:rsidRPr="00B04967">
        <w:rPr>
          <w:lang w:val="en-GB"/>
        </w:rPr>
        <w:t xml:space="preserve">sales and </w:t>
      </w:r>
      <w:r w:rsidR="00C466CD" w:rsidRPr="00B04967">
        <w:rPr>
          <w:lang w:val="en-GB"/>
        </w:rPr>
        <w:t xml:space="preserve">profits of </w:t>
      </w:r>
      <w:r w:rsidR="0092037C" w:rsidRPr="00B04967">
        <w:rPr>
          <w:lang w:val="en-GB"/>
        </w:rPr>
        <w:t xml:space="preserve">the </w:t>
      </w:r>
      <w:r w:rsidR="00F53CDB" w:rsidRPr="00B04967">
        <w:rPr>
          <w:lang w:val="en-GB"/>
        </w:rPr>
        <w:t>more focused</w:t>
      </w:r>
      <w:r w:rsidR="0092037C" w:rsidRPr="00B04967">
        <w:rPr>
          <w:lang w:val="en-GB"/>
        </w:rPr>
        <w:t xml:space="preserve"> </w:t>
      </w:r>
      <w:r w:rsidR="00C466CD" w:rsidRPr="00B04967">
        <w:rPr>
          <w:lang w:val="en-GB"/>
        </w:rPr>
        <w:t>Usha Martin</w:t>
      </w:r>
      <w:r w:rsidR="00293BD2">
        <w:rPr>
          <w:lang w:val="en-GB"/>
        </w:rPr>
        <w:t>,</w:t>
      </w:r>
      <w:r w:rsidR="00057AFC" w:rsidRPr="00B04967">
        <w:rPr>
          <w:lang w:val="en-GB"/>
        </w:rPr>
        <w:t xml:space="preserve"> and the company </w:t>
      </w:r>
      <w:r w:rsidR="00F53CDB" w:rsidRPr="00B04967">
        <w:rPr>
          <w:lang w:val="en-GB"/>
        </w:rPr>
        <w:t xml:space="preserve">had to </w:t>
      </w:r>
      <w:r w:rsidR="00B611A1" w:rsidRPr="00B04967">
        <w:rPr>
          <w:lang w:val="en-GB"/>
        </w:rPr>
        <w:t>find</w:t>
      </w:r>
      <w:r w:rsidR="00F53CDB" w:rsidRPr="00B04967">
        <w:rPr>
          <w:lang w:val="en-GB"/>
        </w:rPr>
        <w:t xml:space="preserve"> ways to achieve stability in revenues and profits</w:t>
      </w:r>
      <w:r w:rsidR="00293BD2">
        <w:rPr>
          <w:lang w:val="en-GB"/>
        </w:rPr>
        <w:t>—for instance, by</w:t>
      </w:r>
      <w:r w:rsidR="00B611A1" w:rsidRPr="00B04967">
        <w:rPr>
          <w:lang w:val="en-GB"/>
        </w:rPr>
        <w:t xml:space="preserve"> growing its international operations</w:t>
      </w:r>
      <w:r w:rsidR="00C466CD" w:rsidRPr="00B04967">
        <w:rPr>
          <w:lang w:val="en-GB"/>
        </w:rPr>
        <w:t xml:space="preserve">. Finally, having reversed its end-to-end integration strategy, the company had to manage its exposure to fluctuating raw material prices. Regardless of </w:t>
      </w:r>
      <w:r w:rsidR="005C3DE0" w:rsidRPr="00B04967">
        <w:rPr>
          <w:lang w:val="en-GB"/>
        </w:rPr>
        <w:t>the strategy</w:t>
      </w:r>
      <w:r w:rsidR="00E8330D">
        <w:rPr>
          <w:lang w:val="en-GB"/>
        </w:rPr>
        <w:t xml:space="preserve"> through which</w:t>
      </w:r>
      <w:r w:rsidR="00764C9B">
        <w:rPr>
          <w:lang w:val="en-GB"/>
        </w:rPr>
        <w:t xml:space="preserve"> </w:t>
      </w:r>
      <w:r w:rsidR="00C466CD" w:rsidRPr="00B04967">
        <w:rPr>
          <w:lang w:val="en-GB"/>
        </w:rPr>
        <w:t xml:space="preserve">the company chose to </w:t>
      </w:r>
      <w:r w:rsidR="0092037C" w:rsidRPr="00B04967">
        <w:rPr>
          <w:lang w:val="en-GB"/>
        </w:rPr>
        <w:t>achieve profitable growth,</w:t>
      </w:r>
      <w:r w:rsidR="00C466CD" w:rsidRPr="00B04967">
        <w:rPr>
          <w:lang w:val="en-GB"/>
        </w:rPr>
        <w:t xml:space="preserve"> </w:t>
      </w:r>
      <w:r w:rsidR="00764C9B">
        <w:rPr>
          <w:lang w:val="en-GB"/>
        </w:rPr>
        <w:t>Usha Martin</w:t>
      </w:r>
      <w:r w:rsidR="00C466CD" w:rsidRPr="00B04967">
        <w:rPr>
          <w:lang w:val="en-GB"/>
        </w:rPr>
        <w:t xml:space="preserve"> would have to arrange resources and manage risks</w:t>
      </w:r>
      <w:r w:rsidR="0092037C" w:rsidRPr="00B04967">
        <w:rPr>
          <w:lang w:val="en-GB"/>
        </w:rPr>
        <w:t xml:space="preserve">. Having suffered the negative effects of taking on a large amount of debt, the </w:t>
      </w:r>
      <w:r w:rsidR="00976E6A" w:rsidRPr="00B04967">
        <w:rPr>
          <w:lang w:val="en-GB"/>
        </w:rPr>
        <w:t>company would be careful to deploy debt</w:t>
      </w:r>
      <w:r w:rsidR="00C466CD" w:rsidRPr="00B04967">
        <w:rPr>
          <w:lang w:val="en-GB"/>
        </w:rPr>
        <w:t>,</w:t>
      </w:r>
      <w:r w:rsidR="00976E6A" w:rsidRPr="00B04967">
        <w:rPr>
          <w:lang w:val="en-GB"/>
        </w:rPr>
        <w:t xml:space="preserve"> at least in the near future. </w:t>
      </w:r>
      <w:r w:rsidR="00F53CDB" w:rsidRPr="00B04967">
        <w:rPr>
          <w:lang w:val="en-GB"/>
        </w:rPr>
        <w:t xml:space="preserve">In summary, Usha Martin’s </w:t>
      </w:r>
      <w:r w:rsidR="005C3DE0" w:rsidRPr="00B04967">
        <w:rPr>
          <w:lang w:val="en-GB"/>
        </w:rPr>
        <w:t xml:space="preserve">management was faced with a number of key decisions that would have a bearing on its </w:t>
      </w:r>
      <w:r w:rsidR="00764C9B">
        <w:rPr>
          <w:lang w:val="en-GB"/>
        </w:rPr>
        <w:t>long-term</w:t>
      </w:r>
      <w:r w:rsidR="005C3DE0" w:rsidRPr="00B04967">
        <w:rPr>
          <w:lang w:val="en-GB"/>
        </w:rPr>
        <w:t xml:space="preserve"> future.</w:t>
      </w:r>
    </w:p>
    <w:p w14:paraId="686A3D13" w14:textId="1568C3F1" w:rsidR="00825E1E" w:rsidRPr="00B04967" w:rsidRDefault="00825E1E">
      <w:pPr>
        <w:spacing w:after="200" w:line="276" w:lineRule="auto"/>
        <w:rPr>
          <w:rFonts w:ascii="Arial" w:hAnsi="Arial" w:cs="Arial"/>
          <w:b/>
          <w:caps/>
          <w:lang w:val="en-GB"/>
        </w:rPr>
      </w:pPr>
      <w:r w:rsidRPr="00B04967">
        <w:rPr>
          <w:lang w:val="en-GB"/>
        </w:rPr>
        <w:br w:type="page"/>
      </w:r>
    </w:p>
    <w:p w14:paraId="07232116" w14:textId="38949E78" w:rsidR="00825E1E" w:rsidRPr="00B04967" w:rsidRDefault="00825E1E" w:rsidP="00825E1E">
      <w:pPr>
        <w:pStyle w:val="ExhibitHeading"/>
        <w:rPr>
          <w:lang w:val="en-GB"/>
        </w:rPr>
      </w:pPr>
      <w:r w:rsidRPr="00B04967">
        <w:rPr>
          <w:lang w:val="en-GB"/>
        </w:rPr>
        <w:lastRenderedPageBreak/>
        <w:t>Exhibit 1: Usha Martin</w:t>
      </w:r>
      <w:r w:rsidR="00DF5DC2">
        <w:rPr>
          <w:lang w:val="en-GB"/>
        </w:rPr>
        <w:t>,</w:t>
      </w:r>
      <w:r w:rsidRPr="00B04967">
        <w:rPr>
          <w:lang w:val="en-GB"/>
        </w:rPr>
        <w:t xml:space="preserve"> </w:t>
      </w:r>
      <w:r w:rsidR="00DF5DC2">
        <w:rPr>
          <w:lang w:val="en-GB"/>
        </w:rPr>
        <w:t>STand-Alone</w:t>
      </w:r>
      <w:r w:rsidRPr="00B04967">
        <w:rPr>
          <w:lang w:val="en-GB"/>
        </w:rPr>
        <w:t xml:space="preserve"> results</w:t>
      </w:r>
      <w:r w:rsidR="002B3769">
        <w:rPr>
          <w:lang w:val="en-GB"/>
        </w:rPr>
        <w:t xml:space="preserve"> (₹ Millions)*</w:t>
      </w:r>
    </w:p>
    <w:p w14:paraId="7A19097C" w14:textId="77777777" w:rsidR="00825E1E" w:rsidRPr="00B04967" w:rsidRDefault="00825E1E" w:rsidP="00825E1E">
      <w:pPr>
        <w:rPr>
          <w:rFonts w:ascii="Arial" w:hAnsi="Arial" w:cs="Arial"/>
          <w:lang w:val="en-GB"/>
        </w:rPr>
      </w:pPr>
    </w:p>
    <w:tbl>
      <w:tblPr>
        <w:tblStyle w:val="TableGrid"/>
        <w:tblW w:w="4955" w:type="pct"/>
        <w:tblLayout w:type="fixed"/>
        <w:tblLook w:val="04A0" w:firstRow="1" w:lastRow="0" w:firstColumn="1" w:lastColumn="0" w:noHBand="0" w:noVBand="1"/>
        <w:tblCaption w:val="USHA MARTIN, STAND-ALONE RESULTS (₹ MILLIONS)"/>
        <w:tblDescription w:val="From year ending March 2016 to year ending March 2020."/>
      </w:tblPr>
      <w:tblGrid>
        <w:gridCol w:w="3873"/>
        <w:gridCol w:w="1070"/>
        <w:gridCol w:w="1083"/>
        <w:gridCol w:w="1080"/>
        <w:gridCol w:w="1080"/>
        <w:gridCol w:w="1080"/>
      </w:tblGrid>
      <w:tr w:rsidR="00825E1E" w:rsidRPr="00B04967" w14:paraId="1198378F" w14:textId="77777777" w:rsidTr="00F03407">
        <w:trPr>
          <w:tblHeader/>
        </w:trPr>
        <w:tc>
          <w:tcPr>
            <w:tcW w:w="3872" w:type="dxa"/>
          </w:tcPr>
          <w:p w14:paraId="2D8DD5C1" w14:textId="77777777" w:rsidR="00825E1E" w:rsidRPr="00B04967" w:rsidRDefault="00825E1E" w:rsidP="00D92414">
            <w:pPr>
              <w:rPr>
                <w:rFonts w:ascii="Arial" w:hAnsi="Arial" w:cs="Arial"/>
                <w:bCs/>
                <w:lang w:val="en-GB"/>
              </w:rPr>
            </w:pPr>
          </w:p>
        </w:tc>
        <w:tc>
          <w:tcPr>
            <w:tcW w:w="5393" w:type="dxa"/>
            <w:gridSpan w:val="5"/>
          </w:tcPr>
          <w:p w14:paraId="354E22C2" w14:textId="389032E4" w:rsidR="00825E1E" w:rsidRPr="00B04967" w:rsidRDefault="00825E1E" w:rsidP="00D92414">
            <w:pPr>
              <w:jc w:val="center"/>
              <w:rPr>
                <w:rFonts w:ascii="Arial" w:hAnsi="Arial" w:cs="Arial"/>
                <w:bCs/>
                <w:lang w:val="en-GB"/>
              </w:rPr>
            </w:pPr>
            <w:r w:rsidRPr="00B04967">
              <w:rPr>
                <w:rFonts w:ascii="Arial" w:hAnsi="Arial" w:cs="Arial"/>
                <w:bCs/>
                <w:lang w:val="en-GB"/>
              </w:rPr>
              <w:t xml:space="preserve">Year </w:t>
            </w:r>
            <w:r w:rsidR="0002249D">
              <w:rPr>
                <w:rFonts w:ascii="Arial" w:hAnsi="Arial" w:cs="Arial"/>
                <w:bCs/>
                <w:lang w:val="en-GB"/>
              </w:rPr>
              <w:t>Ending</w:t>
            </w:r>
          </w:p>
        </w:tc>
      </w:tr>
      <w:tr w:rsidR="00825E1E" w:rsidRPr="00B04967" w14:paraId="2790DF33" w14:textId="77777777" w:rsidTr="00F03407">
        <w:trPr>
          <w:tblHeader/>
        </w:trPr>
        <w:tc>
          <w:tcPr>
            <w:tcW w:w="3872" w:type="dxa"/>
            <w:hideMark/>
          </w:tcPr>
          <w:p w14:paraId="17981C94" w14:textId="77777777" w:rsidR="00825E1E" w:rsidRPr="00B04967" w:rsidRDefault="00825E1E" w:rsidP="00D92414">
            <w:pPr>
              <w:rPr>
                <w:rFonts w:ascii="Arial" w:hAnsi="Arial" w:cs="Arial"/>
                <w:bCs/>
                <w:lang w:val="en-GB"/>
              </w:rPr>
            </w:pPr>
          </w:p>
        </w:tc>
        <w:tc>
          <w:tcPr>
            <w:tcW w:w="1070" w:type="dxa"/>
            <w:vAlign w:val="center"/>
            <w:hideMark/>
          </w:tcPr>
          <w:p w14:paraId="418D1303" w14:textId="77777777" w:rsidR="00825E1E" w:rsidRPr="00AC1BEE" w:rsidRDefault="00825E1E" w:rsidP="00AC1BEE">
            <w:pPr>
              <w:jc w:val="center"/>
              <w:rPr>
                <w:rFonts w:ascii="Arial" w:hAnsi="Arial" w:cs="Arial"/>
                <w:b/>
                <w:lang w:val="en-GB"/>
              </w:rPr>
            </w:pPr>
            <w:r w:rsidRPr="00AC1BEE">
              <w:rPr>
                <w:rFonts w:ascii="Arial" w:hAnsi="Arial" w:cs="Arial"/>
                <w:b/>
                <w:lang w:val="en-GB"/>
              </w:rPr>
              <w:t>March 2020</w:t>
            </w:r>
          </w:p>
        </w:tc>
        <w:tc>
          <w:tcPr>
            <w:tcW w:w="1083" w:type="dxa"/>
            <w:vAlign w:val="center"/>
            <w:hideMark/>
          </w:tcPr>
          <w:p w14:paraId="5C1F2B3C" w14:textId="77777777" w:rsidR="00825E1E" w:rsidRPr="00AC1BEE" w:rsidRDefault="00825E1E" w:rsidP="00AC1BEE">
            <w:pPr>
              <w:jc w:val="center"/>
              <w:rPr>
                <w:rFonts w:ascii="Arial" w:hAnsi="Arial" w:cs="Arial"/>
                <w:b/>
                <w:lang w:val="en-GB"/>
              </w:rPr>
            </w:pPr>
            <w:r w:rsidRPr="00AC1BEE">
              <w:rPr>
                <w:rFonts w:ascii="Arial" w:hAnsi="Arial" w:cs="Arial"/>
                <w:b/>
                <w:lang w:val="en-GB"/>
              </w:rPr>
              <w:t>March 2019</w:t>
            </w:r>
          </w:p>
        </w:tc>
        <w:tc>
          <w:tcPr>
            <w:tcW w:w="1080" w:type="dxa"/>
            <w:vAlign w:val="center"/>
            <w:hideMark/>
          </w:tcPr>
          <w:p w14:paraId="32CA9223" w14:textId="77777777" w:rsidR="00825E1E" w:rsidRPr="00AC1BEE" w:rsidRDefault="00825E1E" w:rsidP="00AC1BEE">
            <w:pPr>
              <w:jc w:val="center"/>
              <w:rPr>
                <w:rFonts w:ascii="Arial" w:hAnsi="Arial" w:cs="Arial"/>
                <w:b/>
                <w:lang w:val="en-GB"/>
              </w:rPr>
            </w:pPr>
            <w:r w:rsidRPr="00AC1BEE">
              <w:rPr>
                <w:rFonts w:ascii="Arial" w:hAnsi="Arial" w:cs="Arial"/>
                <w:b/>
                <w:lang w:val="en-GB"/>
              </w:rPr>
              <w:t>March 2018</w:t>
            </w:r>
          </w:p>
        </w:tc>
        <w:tc>
          <w:tcPr>
            <w:tcW w:w="1080" w:type="dxa"/>
            <w:vAlign w:val="center"/>
            <w:hideMark/>
          </w:tcPr>
          <w:p w14:paraId="20550D6D" w14:textId="77777777" w:rsidR="00825E1E" w:rsidRPr="00AC1BEE" w:rsidRDefault="00825E1E" w:rsidP="00AC1BEE">
            <w:pPr>
              <w:jc w:val="center"/>
              <w:rPr>
                <w:rFonts w:ascii="Arial" w:hAnsi="Arial" w:cs="Arial"/>
                <w:b/>
                <w:lang w:val="en-GB"/>
              </w:rPr>
            </w:pPr>
            <w:r w:rsidRPr="00AC1BEE">
              <w:rPr>
                <w:rFonts w:ascii="Arial" w:hAnsi="Arial" w:cs="Arial"/>
                <w:b/>
                <w:lang w:val="en-GB"/>
              </w:rPr>
              <w:t>March 2017</w:t>
            </w:r>
          </w:p>
        </w:tc>
        <w:tc>
          <w:tcPr>
            <w:tcW w:w="1080" w:type="dxa"/>
            <w:vAlign w:val="center"/>
            <w:hideMark/>
          </w:tcPr>
          <w:p w14:paraId="79F0D7B9" w14:textId="77777777" w:rsidR="00825E1E" w:rsidRPr="00AC1BEE" w:rsidRDefault="00825E1E" w:rsidP="00AC1BEE">
            <w:pPr>
              <w:jc w:val="center"/>
              <w:rPr>
                <w:rFonts w:ascii="Arial" w:hAnsi="Arial" w:cs="Arial"/>
                <w:b/>
                <w:lang w:val="en-GB"/>
              </w:rPr>
            </w:pPr>
            <w:r w:rsidRPr="00AC1BEE">
              <w:rPr>
                <w:rFonts w:ascii="Arial" w:hAnsi="Arial" w:cs="Arial"/>
                <w:b/>
                <w:lang w:val="en-GB"/>
              </w:rPr>
              <w:t>March 2016</w:t>
            </w:r>
          </w:p>
        </w:tc>
      </w:tr>
      <w:tr w:rsidR="00825E1E" w:rsidRPr="00B04967" w14:paraId="1105B4D7" w14:textId="77777777" w:rsidTr="00F03407">
        <w:trPr>
          <w:tblHeader/>
        </w:trPr>
        <w:tc>
          <w:tcPr>
            <w:tcW w:w="3872" w:type="dxa"/>
            <w:hideMark/>
          </w:tcPr>
          <w:p w14:paraId="7BCF7F44" w14:textId="0EFD31BE" w:rsidR="00825E1E" w:rsidRPr="00B04967" w:rsidRDefault="00825E1E" w:rsidP="00D92414">
            <w:pPr>
              <w:rPr>
                <w:rFonts w:ascii="Arial" w:hAnsi="Arial" w:cs="Arial"/>
                <w:b/>
                <w:bCs/>
                <w:lang w:val="en-GB"/>
              </w:rPr>
            </w:pPr>
            <w:r w:rsidRPr="00B04967">
              <w:rPr>
                <w:rFonts w:ascii="Arial" w:hAnsi="Arial" w:cs="Arial"/>
                <w:b/>
                <w:bCs/>
                <w:lang w:val="en-GB"/>
              </w:rPr>
              <w:t xml:space="preserve">Revenue from </w:t>
            </w:r>
            <w:r w:rsidR="00862564">
              <w:rPr>
                <w:rFonts w:ascii="Arial" w:hAnsi="Arial" w:cs="Arial"/>
                <w:b/>
                <w:bCs/>
                <w:lang w:val="en-GB"/>
              </w:rPr>
              <w:t>Operations</w:t>
            </w:r>
            <w:r w:rsidR="00862564" w:rsidRPr="00B04967">
              <w:rPr>
                <w:rFonts w:ascii="Arial" w:hAnsi="Arial" w:cs="Arial"/>
                <w:b/>
                <w:bCs/>
                <w:lang w:val="en-GB"/>
              </w:rPr>
              <w:t xml:space="preserve"> </w:t>
            </w:r>
            <w:r w:rsidRPr="00B04967">
              <w:rPr>
                <w:rFonts w:ascii="Arial" w:hAnsi="Arial" w:cs="Arial"/>
                <w:b/>
                <w:bCs/>
                <w:lang w:val="en-GB"/>
              </w:rPr>
              <w:t xml:space="preserve">(Gross) </w:t>
            </w:r>
          </w:p>
        </w:tc>
        <w:tc>
          <w:tcPr>
            <w:tcW w:w="1070" w:type="dxa"/>
            <w:vAlign w:val="center"/>
            <w:hideMark/>
          </w:tcPr>
          <w:p w14:paraId="62524871"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13,926.2</w:t>
            </w:r>
          </w:p>
        </w:tc>
        <w:tc>
          <w:tcPr>
            <w:tcW w:w="1083" w:type="dxa"/>
            <w:vAlign w:val="center"/>
            <w:hideMark/>
          </w:tcPr>
          <w:p w14:paraId="09B1F0E5"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16,531.9</w:t>
            </w:r>
          </w:p>
        </w:tc>
        <w:tc>
          <w:tcPr>
            <w:tcW w:w="1080" w:type="dxa"/>
            <w:vAlign w:val="center"/>
            <w:hideMark/>
          </w:tcPr>
          <w:p w14:paraId="0A732C81"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13,834.0</w:t>
            </w:r>
          </w:p>
        </w:tc>
        <w:tc>
          <w:tcPr>
            <w:tcW w:w="1080" w:type="dxa"/>
            <w:vAlign w:val="center"/>
            <w:hideMark/>
          </w:tcPr>
          <w:p w14:paraId="7F7F03E3"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35,059.7</w:t>
            </w:r>
          </w:p>
        </w:tc>
        <w:tc>
          <w:tcPr>
            <w:tcW w:w="1080" w:type="dxa"/>
            <w:vAlign w:val="center"/>
            <w:hideMark/>
          </w:tcPr>
          <w:p w14:paraId="46C5100E"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37,291.4</w:t>
            </w:r>
          </w:p>
        </w:tc>
      </w:tr>
      <w:tr w:rsidR="00825E1E" w:rsidRPr="00B04967" w14:paraId="528D504E" w14:textId="77777777" w:rsidTr="00F03407">
        <w:trPr>
          <w:tblHeader/>
        </w:trPr>
        <w:tc>
          <w:tcPr>
            <w:tcW w:w="3872" w:type="dxa"/>
            <w:hideMark/>
          </w:tcPr>
          <w:p w14:paraId="22F76816" w14:textId="57EE65A7" w:rsidR="00825E1E" w:rsidRPr="00B04967" w:rsidRDefault="00825E1E" w:rsidP="00D92414">
            <w:pPr>
              <w:rPr>
                <w:rFonts w:ascii="Arial" w:hAnsi="Arial" w:cs="Arial"/>
                <w:lang w:val="en-GB"/>
              </w:rPr>
            </w:pPr>
            <w:r w:rsidRPr="00B04967">
              <w:rPr>
                <w:rFonts w:ascii="Arial" w:hAnsi="Arial" w:cs="Arial"/>
                <w:lang w:val="en-GB"/>
              </w:rPr>
              <w:t>Less: Excise</w:t>
            </w:r>
            <w:r w:rsidR="00862564">
              <w:rPr>
                <w:rFonts w:ascii="Arial" w:hAnsi="Arial" w:cs="Arial"/>
                <w:lang w:val="en-GB"/>
              </w:rPr>
              <w:t xml:space="preserve"> and </w:t>
            </w:r>
            <w:r w:rsidRPr="00B04967">
              <w:rPr>
                <w:rFonts w:ascii="Arial" w:hAnsi="Arial" w:cs="Arial"/>
                <w:lang w:val="en-GB"/>
              </w:rPr>
              <w:t xml:space="preserve">Service </w:t>
            </w:r>
            <w:r w:rsidR="00862564">
              <w:rPr>
                <w:rFonts w:ascii="Arial" w:hAnsi="Arial" w:cs="Arial"/>
                <w:lang w:val="en-GB"/>
              </w:rPr>
              <w:t xml:space="preserve">Taxes, and </w:t>
            </w:r>
            <w:r w:rsidRPr="00B04967">
              <w:rPr>
                <w:rFonts w:ascii="Arial" w:hAnsi="Arial" w:cs="Arial"/>
                <w:lang w:val="en-GB"/>
              </w:rPr>
              <w:t>Other Levies</w:t>
            </w:r>
          </w:p>
        </w:tc>
        <w:tc>
          <w:tcPr>
            <w:tcW w:w="1070" w:type="dxa"/>
            <w:vAlign w:val="center"/>
            <w:hideMark/>
          </w:tcPr>
          <w:p w14:paraId="0860CE84"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3" w:type="dxa"/>
            <w:vAlign w:val="center"/>
            <w:hideMark/>
          </w:tcPr>
          <w:p w14:paraId="04DF4C1D"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0577A3D2" w14:textId="77777777" w:rsidR="00825E1E" w:rsidRPr="00B04967" w:rsidRDefault="00825E1E" w:rsidP="00AC1BEE">
            <w:pPr>
              <w:jc w:val="right"/>
              <w:rPr>
                <w:rFonts w:ascii="Arial" w:hAnsi="Arial" w:cs="Arial"/>
                <w:lang w:val="en-GB"/>
              </w:rPr>
            </w:pPr>
            <w:r w:rsidRPr="00B04967">
              <w:rPr>
                <w:rFonts w:ascii="Arial" w:hAnsi="Arial" w:cs="Arial"/>
                <w:lang w:val="en-GB"/>
              </w:rPr>
              <w:t>31.02</w:t>
            </w:r>
          </w:p>
        </w:tc>
        <w:tc>
          <w:tcPr>
            <w:tcW w:w="1080" w:type="dxa"/>
            <w:vAlign w:val="center"/>
            <w:hideMark/>
          </w:tcPr>
          <w:p w14:paraId="59D45401" w14:textId="77777777" w:rsidR="00825E1E" w:rsidRPr="00B04967" w:rsidRDefault="00825E1E" w:rsidP="00AC1BEE">
            <w:pPr>
              <w:jc w:val="right"/>
              <w:rPr>
                <w:rFonts w:ascii="Arial" w:hAnsi="Arial" w:cs="Arial"/>
                <w:lang w:val="en-GB"/>
              </w:rPr>
            </w:pPr>
            <w:r w:rsidRPr="00B04967">
              <w:rPr>
                <w:rFonts w:ascii="Arial" w:hAnsi="Arial" w:cs="Arial"/>
                <w:lang w:val="en-GB"/>
              </w:rPr>
              <w:t>359.39</w:t>
            </w:r>
          </w:p>
        </w:tc>
        <w:tc>
          <w:tcPr>
            <w:tcW w:w="1080" w:type="dxa"/>
            <w:vAlign w:val="center"/>
            <w:hideMark/>
          </w:tcPr>
          <w:p w14:paraId="41A7845A" w14:textId="77777777" w:rsidR="00825E1E" w:rsidRPr="00B04967" w:rsidRDefault="00825E1E" w:rsidP="00AC1BEE">
            <w:pPr>
              <w:jc w:val="right"/>
              <w:rPr>
                <w:rFonts w:ascii="Arial" w:hAnsi="Arial" w:cs="Arial"/>
                <w:lang w:val="en-GB"/>
              </w:rPr>
            </w:pPr>
            <w:r w:rsidRPr="00B04967">
              <w:rPr>
                <w:rFonts w:ascii="Arial" w:hAnsi="Arial" w:cs="Arial"/>
                <w:lang w:val="en-GB"/>
              </w:rPr>
              <w:t>383.01</w:t>
            </w:r>
          </w:p>
        </w:tc>
      </w:tr>
      <w:tr w:rsidR="00825E1E" w:rsidRPr="00B04967" w14:paraId="060AE4EE" w14:textId="77777777" w:rsidTr="00F03407">
        <w:trPr>
          <w:tblHeader/>
        </w:trPr>
        <w:tc>
          <w:tcPr>
            <w:tcW w:w="3872" w:type="dxa"/>
            <w:hideMark/>
          </w:tcPr>
          <w:p w14:paraId="124E917D" w14:textId="6FBE9540" w:rsidR="00825E1E" w:rsidRPr="00B04967" w:rsidRDefault="00825E1E" w:rsidP="00D92414">
            <w:pPr>
              <w:rPr>
                <w:rFonts w:ascii="Arial" w:hAnsi="Arial" w:cs="Arial"/>
                <w:b/>
                <w:bCs/>
                <w:lang w:val="en-GB"/>
              </w:rPr>
            </w:pPr>
            <w:r w:rsidRPr="00B04967">
              <w:rPr>
                <w:rFonts w:ascii="Arial" w:hAnsi="Arial" w:cs="Arial"/>
                <w:b/>
                <w:bCs/>
                <w:lang w:val="en-GB"/>
              </w:rPr>
              <w:t xml:space="preserve">Revenue from </w:t>
            </w:r>
            <w:r w:rsidR="00862564">
              <w:rPr>
                <w:rFonts w:ascii="Arial" w:hAnsi="Arial" w:cs="Arial"/>
                <w:b/>
                <w:bCs/>
                <w:lang w:val="en-GB"/>
              </w:rPr>
              <w:t>Operations</w:t>
            </w:r>
            <w:r w:rsidR="00862564" w:rsidRPr="00B04967">
              <w:rPr>
                <w:rFonts w:ascii="Arial" w:hAnsi="Arial" w:cs="Arial"/>
                <w:b/>
                <w:bCs/>
                <w:lang w:val="en-GB"/>
              </w:rPr>
              <w:t xml:space="preserve"> </w:t>
            </w:r>
            <w:r w:rsidRPr="00B04967">
              <w:rPr>
                <w:rFonts w:ascii="Arial" w:hAnsi="Arial" w:cs="Arial"/>
                <w:b/>
                <w:bCs/>
                <w:lang w:val="en-GB"/>
              </w:rPr>
              <w:t>(Net)</w:t>
            </w:r>
          </w:p>
        </w:tc>
        <w:tc>
          <w:tcPr>
            <w:tcW w:w="1070" w:type="dxa"/>
            <w:vAlign w:val="center"/>
            <w:hideMark/>
          </w:tcPr>
          <w:p w14:paraId="6B301105"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13,926,2</w:t>
            </w:r>
          </w:p>
        </w:tc>
        <w:tc>
          <w:tcPr>
            <w:tcW w:w="1083" w:type="dxa"/>
            <w:vAlign w:val="center"/>
            <w:hideMark/>
          </w:tcPr>
          <w:p w14:paraId="2E09D7E4"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16,531.9</w:t>
            </w:r>
          </w:p>
        </w:tc>
        <w:tc>
          <w:tcPr>
            <w:tcW w:w="1080" w:type="dxa"/>
            <w:vAlign w:val="center"/>
            <w:hideMark/>
          </w:tcPr>
          <w:p w14:paraId="4AAC0F08"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13,523.8</w:t>
            </w:r>
          </w:p>
        </w:tc>
        <w:tc>
          <w:tcPr>
            <w:tcW w:w="1080" w:type="dxa"/>
            <w:vAlign w:val="center"/>
            <w:hideMark/>
          </w:tcPr>
          <w:p w14:paraId="45C99181"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31,465.8</w:t>
            </w:r>
          </w:p>
        </w:tc>
        <w:tc>
          <w:tcPr>
            <w:tcW w:w="1080" w:type="dxa"/>
            <w:vAlign w:val="center"/>
            <w:hideMark/>
          </w:tcPr>
          <w:p w14:paraId="60DFD568"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33,461.3</w:t>
            </w:r>
          </w:p>
        </w:tc>
      </w:tr>
      <w:tr w:rsidR="00825E1E" w:rsidRPr="00B04967" w14:paraId="6B4C699C" w14:textId="77777777" w:rsidTr="00F03407">
        <w:trPr>
          <w:tblHeader/>
        </w:trPr>
        <w:tc>
          <w:tcPr>
            <w:tcW w:w="3872" w:type="dxa"/>
            <w:hideMark/>
          </w:tcPr>
          <w:p w14:paraId="6AFD3262" w14:textId="7D70B36E" w:rsidR="00825E1E" w:rsidRPr="00B04967" w:rsidRDefault="00825E1E" w:rsidP="00D92414">
            <w:pPr>
              <w:rPr>
                <w:rFonts w:ascii="Arial" w:hAnsi="Arial" w:cs="Arial"/>
                <w:b/>
                <w:bCs/>
                <w:lang w:val="en-GB"/>
              </w:rPr>
            </w:pPr>
            <w:r w:rsidRPr="00B04967">
              <w:rPr>
                <w:rFonts w:ascii="Arial" w:hAnsi="Arial" w:cs="Arial"/>
                <w:b/>
                <w:bCs/>
                <w:lang w:val="en-GB"/>
              </w:rPr>
              <w:t xml:space="preserve">Total </w:t>
            </w:r>
            <w:r w:rsidR="00862564">
              <w:rPr>
                <w:rFonts w:ascii="Arial" w:hAnsi="Arial" w:cs="Arial"/>
                <w:b/>
                <w:bCs/>
                <w:lang w:val="en-GB"/>
              </w:rPr>
              <w:t>Operating Revenues</w:t>
            </w:r>
            <w:r w:rsidRPr="00B04967">
              <w:rPr>
                <w:rFonts w:ascii="Arial" w:hAnsi="Arial" w:cs="Arial"/>
                <w:b/>
                <w:bCs/>
                <w:lang w:val="en-GB"/>
              </w:rPr>
              <w:t xml:space="preserve"> </w:t>
            </w:r>
          </w:p>
        </w:tc>
        <w:tc>
          <w:tcPr>
            <w:tcW w:w="1070" w:type="dxa"/>
            <w:vAlign w:val="center"/>
            <w:hideMark/>
          </w:tcPr>
          <w:p w14:paraId="0E82D516"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13,926.2</w:t>
            </w:r>
          </w:p>
        </w:tc>
        <w:tc>
          <w:tcPr>
            <w:tcW w:w="1083" w:type="dxa"/>
            <w:vAlign w:val="center"/>
            <w:hideMark/>
          </w:tcPr>
          <w:p w14:paraId="4C356DA8"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16,904.8</w:t>
            </w:r>
          </w:p>
        </w:tc>
        <w:tc>
          <w:tcPr>
            <w:tcW w:w="1080" w:type="dxa"/>
            <w:vAlign w:val="center"/>
            <w:hideMark/>
          </w:tcPr>
          <w:p w14:paraId="38BC9681"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13,866.5</w:t>
            </w:r>
          </w:p>
        </w:tc>
        <w:tc>
          <w:tcPr>
            <w:tcW w:w="1080" w:type="dxa"/>
            <w:vAlign w:val="center"/>
            <w:hideMark/>
          </w:tcPr>
          <w:p w14:paraId="35E6AFDA"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32,465.4</w:t>
            </w:r>
          </w:p>
        </w:tc>
        <w:tc>
          <w:tcPr>
            <w:tcW w:w="1080" w:type="dxa"/>
            <w:vAlign w:val="center"/>
            <w:hideMark/>
          </w:tcPr>
          <w:p w14:paraId="6DF501A1"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34,317.9</w:t>
            </w:r>
          </w:p>
        </w:tc>
      </w:tr>
      <w:tr w:rsidR="00825E1E" w:rsidRPr="00B04967" w14:paraId="2932EEF7" w14:textId="77777777" w:rsidTr="00F03407">
        <w:trPr>
          <w:tblHeader/>
        </w:trPr>
        <w:tc>
          <w:tcPr>
            <w:tcW w:w="3872" w:type="dxa"/>
            <w:hideMark/>
          </w:tcPr>
          <w:p w14:paraId="6D7C63B4" w14:textId="77777777" w:rsidR="00825E1E" w:rsidRPr="00B04967" w:rsidRDefault="00825E1E" w:rsidP="00D92414">
            <w:pPr>
              <w:rPr>
                <w:rFonts w:ascii="Arial" w:hAnsi="Arial" w:cs="Arial"/>
                <w:lang w:val="en-GB"/>
              </w:rPr>
            </w:pPr>
            <w:r w:rsidRPr="00B04967">
              <w:rPr>
                <w:rFonts w:ascii="Arial" w:hAnsi="Arial" w:cs="Arial"/>
                <w:lang w:val="en-GB"/>
              </w:rPr>
              <w:t>Other Income</w:t>
            </w:r>
          </w:p>
        </w:tc>
        <w:tc>
          <w:tcPr>
            <w:tcW w:w="1070" w:type="dxa"/>
            <w:vAlign w:val="center"/>
            <w:hideMark/>
          </w:tcPr>
          <w:p w14:paraId="5809EF18" w14:textId="77777777" w:rsidR="00825E1E" w:rsidRPr="00B04967" w:rsidRDefault="00825E1E" w:rsidP="00AC1BEE">
            <w:pPr>
              <w:jc w:val="right"/>
              <w:rPr>
                <w:rFonts w:ascii="Arial" w:hAnsi="Arial" w:cs="Arial"/>
                <w:lang w:val="en-GB"/>
              </w:rPr>
            </w:pPr>
            <w:r w:rsidRPr="00B04967">
              <w:rPr>
                <w:rFonts w:ascii="Arial" w:hAnsi="Arial" w:cs="Arial"/>
                <w:lang w:val="en-GB"/>
              </w:rPr>
              <w:t>298.9</w:t>
            </w:r>
          </w:p>
        </w:tc>
        <w:tc>
          <w:tcPr>
            <w:tcW w:w="1083" w:type="dxa"/>
            <w:vAlign w:val="center"/>
            <w:hideMark/>
          </w:tcPr>
          <w:p w14:paraId="10264B8E" w14:textId="77777777" w:rsidR="00825E1E" w:rsidRPr="00B04967" w:rsidRDefault="00825E1E" w:rsidP="00AC1BEE">
            <w:pPr>
              <w:jc w:val="right"/>
              <w:rPr>
                <w:rFonts w:ascii="Arial" w:hAnsi="Arial" w:cs="Arial"/>
                <w:lang w:val="en-GB"/>
              </w:rPr>
            </w:pPr>
            <w:r w:rsidRPr="00B04967">
              <w:rPr>
                <w:rFonts w:ascii="Arial" w:hAnsi="Arial" w:cs="Arial"/>
                <w:lang w:val="en-GB"/>
              </w:rPr>
              <w:t>472.0</w:t>
            </w:r>
          </w:p>
        </w:tc>
        <w:tc>
          <w:tcPr>
            <w:tcW w:w="1080" w:type="dxa"/>
            <w:vAlign w:val="center"/>
            <w:hideMark/>
          </w:tcPr>
          <w:p w14:paraId="282D4647" w14:textId="77777777" w:rsidR="00825E1E" w:rsidRPr="00B04967" w:rsidRDefault="00825E1E" w:rsidP="00AC1BEE">
            <w:pPr>
              <w:jc w:val="right"/>
              <w:rPr>
                <w:rFonts w:ascii="Arial" w:hAnsi="Arial" w:cs="Arial"/>
                <w:lang w:val="en-GB"/>
              </w:rPr>
            </w:pPr>
            <w:r w:rsidRPr="00B04967">
              <w:rPr>
                <w:rFonts w:ascii="Arial" w:hAnsi="Arial" w:cs="Arial"/>
                <w:lang w:val="en-GB"/>
              </w:rPr>
              <w:t>751.5</w:t>
            </w:r>
          </w:p>
        </w:tc>
        <w:tc>
          <w:tcPr>
            <w:tcW w:w="1080" w:type="dxa"/>
            <w:vAlign w:val="center"/>
            <w:hideMark/>
          </w:tcPr>
          <w:p w14:paraId="6BEDD467" w14:textId="77777777" w:rsidR="00825E1E" w:rsidRPr="00B04967" w:rsidRDefault="00825E1E" w:rsidP="00AC1BEE">
            <w:pPr>
              <w:jc w:val="right"/>
              <w:rPr>
                <w:rFonts w:ascii="Arial" w:hAnsi="Arial" w:cs="Arial"/>
                <w:lang w:val="en-GB"/>
              </w:rPr>
            </w:pPr>
            <w:r w:rsidRPr="00B04967">
              <w:rPr>
                <w:rFonts w:ascii="Arial" w:hAnsi="Arial" w:cs="Arial"/>
                <w:lang w:val="en-GB"/>
              </w:rPr>
              <w:t>1,167.6</w:t>
            </w:r>
          </w:p>
        </w:tc>
        <w:tc>
          <w:tcPr>
            <w:tcW w:w="1080" w:type="dxa"/>
            <w:vAlign w:val="center"/>
            <w:hideMark/>
          </w:tcPr>
          <w:p w14:paraId="1DFA5F9E" w14:textId="77777777" w:rsidR="00825E1E" w:rsidRPr="00B04967" w:rsidRDefault="00825E1E" w:rsidP="00AC1BEE">
            <w:pPr>
              <w:jc w:val="right"/>
              <w:rPr>
                <w:rFonts w:ascii="Arial" w:hAnsi="Arial" w:cs="Arial"/>
                <w:lang w:val="en-GB"/>
              </w:rPr>
            </w:pPr>
            <w:r w:rsidRPr="00B04967">
              <w:rPr>
                <w:rFonts w:ascii="Arial" w:hAnsi="Arial" w:cs="Arial"/>
                <w:lang w:val="en-GB"/>
              </w:rPr>
              <w:t>343.6</w:t>
            </w:r>
          </w:p>
        </w:tc>
      </w:tr>
      <w:tr w:rsidR="00825E1E" w:rsidRPr="00B04967" w14:paraId="2484B738" w14:textId="77777777" w:rsidTr="00F03407">
        <w:trPr>
          <w:tblHeader/>
        </w:trPr>
        <w:tc>
          <w:tcPr>
            <w:tcW w:w="3872" w:type="dxa"/>
            <w:hideMark/>
          </w:tcPr>
          <w:p w14:paraId="220646E9" w14:textId="67A0747A" w:rsidR="00825E1E" w:rsidRPr="00B04967" w:rsidRDefault="00825E1E" w:rsidP="00D92414">
            <w:pPr>
              <w:rPr>
                <w:rFonts w:ascii="Arial" w:hAnsi="Arial" w:cs="Arial"/>
                <w:b/>
                <w:bCs/>
                <w:lang w:val="en-GB"/>
              </w:rPr>
            </w:pPr>
            <w:r w:rsidRPr="00B04967">
              <w:rPr>
                <w:rFonts w:ascii="Arial" w:hAnsi="Arial" w:cs="Arial"/>
                <w:b/>
                <w:bCs/>
                <w:lang w:val="en-GB"/>
              </w:rPr>
              <w:t xml:space="preserve">Total </w:t>
            </w:r>
            <w:r w:rsidR="00862564">
              <w:rPr>
                <w:rFonts w:ascii="Arial" w:hAnsi="Arial" w:cs="Arial"/>
                <w:b/>
                <w:bCs/>
                <w:lang w:val="en-GB"/>
              </w:rPr>
              <w:t>Revenue</w:t>
            </w:r>
          </w:p>
        </w:tc>
        <w:tc>
          <w:tcPr>
            <w:tcW w:w="1070" w:type="dxa"/>
            <w:vAlign w:val="center"/>
            <w:hideMark/>
          </w:tcPr>
          <w:p w14:paraId="65DB0F91"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14,225.1</w:t>
            </w:r>
          </w:p>
        </w:tc>
        <w:tc>
          <w:tcPr>
            <w:tcW w:w="1083" w:type="dxa"/>
            <w:vAlign w:val="center"/>
            <w:hideMark/>
          </w:tcPr>
          <w:p w14:paraId="1FF10CFD"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17,376.8</w:t>
            </w:r>
          </w:p>
        </w:tc>
        <w:tc>
          <w:tcPr>
            <w:tcW w:w="1080" w:type="dxa"/>
            <w:vAlign w:val="center"/>
            <w:hideMark/>
          </w:tcPr>
          <w:p w14:paraId="7D8BFB2E"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14,618.0</w:t>
            </w:r>
          </w:p>
        </w:tc>
        <w:tc>
          <w:tcPr>
            <w:tcW w:w="1080" w:type="dxa"/>
            <w:vAlign w:val="center"/>
            <w:hideMark/>
          </w:tcPr>
          <w:p w14:paraId="7E301988"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33,633.0</w:t>
            </w:r>
          </w:p>
        </w:tc>
        <w:tc>
          <w:tcPr>
            <w:tcW w:w="1080" w:type="dxa"/>
            <w:vAlign w:val="center"/>
            <w:hideMark/>
          </w:tcPr>
          <w:p w14:paraId="16506022"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34,661.5</w:t>
            </w:r>
          </w:p>
        </w:tc>
      </w:tr>
      <w:tr w:rsidR="00825E1E" w:rsidRPr="00B04967" w14:paraId="39275E1C" w14:textId="77777777" w:rsidTr="00F03407">
        <w:trPr>
          <w:tblHeader/>
        </w:trPr>
        <w:tc>
          <w:tcPr>
            <w:tcW w:w="3872" w:type="dxa"/>
            <w:hideMark/>
          </w:tcPr>
          <w:p w14:paraId="1275A208" w14:textId="77777777" w:rsidR="00825E1E" w:rsidRPr="00B04967" w:rsidRDefault="00825E1E" w:rsidP="00D92414">
            <w:pPr>
              <w:rPr>
                <w:rFonts w:ascii="Arial" w:hAnsi="Arial" w:cs="Arial"/>
                <w:b/>
                <w:bCs/>
                <w:lang w:val="en-GB"/>
              </w:rPr>
            </w:pPr>
            <w:r w:rsidRPr="00B04967">
              <w:rPr>
                <w:rFonts w:ascii="Arial" w:hAnsi="Arial" w:cs="Arial"/>
                <w:b/>
                <w:bCs/>
                <w:lang w:val="en-GB"/>
              </w:rPr>
              <w:t>EXPENSES</w:t>
            </w:r>
          </w:p>
        </w:tc>
        <w:tc>
          <w:tcPr>
            <w:tcW w:w="1070" w:type="dxa"/>
            <w:vAlign w:val="center"/>
            <w:hideMark/>
          </w:tcPr>
          <w:p w14:paraId="45D5D9B5" w14:textId="77777777" w:rsidR="00825E1E" w:rsidRPr="00B04967" w:rsidRDefault="00825E1E" w:rsidP="00AC1BEE">
            <w:pPr>
              <w:jc w:val="right"/>
              <w:rPr>
                <w:rFonts w:ascii="Arial" w:hAnsi="Arial" w:cs="Arial"/>
                <w:b/>
                <w:bCs/>
                <w:lang w:val="en-GB"/>
              </w:rPr>
            </w:pPr>
          </w:p>
        </w:tc>
        <w:tc>
          <w:tcPr>
            <w:tcW w:w="1083" w:type="dxa"/>
            <w:vAlign w:val="center"/>
            <w:hideMark/>
          </w:tcPr>
          <w:p w14:paraId="380DD590" w14:textId="77777777" w:rsidR="00825E1E" w:rsidRPr="00B04967" w:rsidRDefault="00825E1E" w:rsidP="00AC1BEE">
            <w:pPr>
              <w:jc w:val="right"/>
              <w:rPr>
                <w:rFonts w:ascii="Arial" w:hAnsi="Arial" w:cs="Arial"/>
                <w:lang w:val="en-GB"/>
              </w:rPr>
            </w:pPr>
          </w:p>
        </w:tc>
        <w:tc>
          <w:tcPr>
            <w:tcW w:w="1080" w:type="dxa"/>
            <w:vAlign w:val="center"/>
            <w:hideMark/>
          </w:tcPr>
          <w:p w14:paraId="05C6C2DE" w14:textId="77777777" w:rsidR="00825E1E" w:rsidRPr="00B04967" w:rsidRDefault="00825E1E" w:rsidP="00AC1BEE">
            <w:pPr>
              <w:jc w:val="right"/>
              <w:rPr>
                <w:rFonts w:ascii="Arial" w:hAnsi="Arial" w:cs="Arial"/>
                <w:lang w:val="en-GB"/>
              </w:rPr>
            </w:pPr>
          </w:p>
        </w:tc>
        <w:tc>
          <w:tcPr>
            <w:tcW w:w="1080" w:type="dxa"/>
            <w:vAlign w:val="center"/>
            <w:hideMark/>
          </w:tcPr>
          <w:p w14:paraId="352E720D" w14:textId="77777777" w:rsidR="00825E1E" w:rsidRPr="00B04967" w:rsidRDefault="00825E1E" w:rsidP="00AC1BEE">
            <w:pPr>
              <w:jc w:val="right"/>
              <w:rPr>
                <w:rFonts w:ascii="Arial" w:hAnsi="Arial" w:cs="Arial"/>
                <w:lang w:val="en-GB"/>
              </w:rPr>
            </w:pPr>
          </w:p>
        </w:tc>
        <w:tc>
          <w:tcPr>
            <w:tcW w:w="1080" w:type="dxa"/>
            <w:vAlign w:val="center"/>
            <w:hideMark/>
          </w:tcPr>
          <w:p w14:paraId="51DA276D" w14:textId="77777777" w:rsidR="00825E1E" w:rsidRPr="00B04967" w:rsidRDefault="00825E1E" w:rsidP="00AC1BEE">
            <w:pPr>
              <w:jc w:val="right"/>
              <w:rPr>
                <w:rFonts w:ascii="Arial" w:hAnsi="Arial" w:cs="Arial"/>
                <w:lang w:val="en-GB"/>
              </w:rPr>
            </w:pPr>
          </w:p>
        </w:tc>
      </w:tr>
      <w:tr w:rsidR="00825E1E" w:rsidRPr="00B04967" w14:paraId="351341FA" w14:textId="77777777" w:rsidTr="00F03407">
        <w:trPr>
          <w:tblHeader/>
        </w:trPr>
        <w:tc>
          <w:tcPr>
            <w:tcW w:w="3872" w:type="dxa"/>
            <w:hideMark/>
          </w:tcPr>
          <w:p w14:paraId="36522606" w14:textId="11A14D5B" w:rsidR="00825E1E" w:rsidRPr="00B04967" w:rsidRDefault="00825E1E" w:rsidP="00D92414">
            <w:pPr>
              <w:rPr>
                <w:rFonts w:ascii="Arial" w:hAnsi="Arial" w:cs="Arial"/>
                <w:lang w:val="en-GB"/>
              </w:rPr>
            </w:pPr>
            <w:r w:rsidRPr="00B04967">
              <w:rPr>
                <w:rFonts w:ascii="Arial" w:hAnsi="Arial" w:cs="Arial"/>
                <w:lang w:val="en-GB"/>
              </w:rPr>
              <w:t xml:space="preserve">Cost </w:t>
            </w:r>
            <w:r w:rsidR="00862564">
              <w:rPr>
                <w:rFonts w:ascii="Arial" w:hAnsi="Arial" w:cs="Arial"/>
                <w:lang w:val="en-GB"/>
              </w:rPr>
              <w:t>of</w:t>
            </w:r>
            <w:r w:rsidRPr="00B04967">
              <w:rPr>
                <w:rFonts w:ascii="Arial" w:hAnsi="Arial" w:cs="Arial"/>
                <w:lang w:val="en-GB"/>
              </w:rPr>
              <w:t xml:space="preserve"> Materials Consumed</w:t>
            </w:r>
          </w:p>
        </w:tc>
        <w:tc>
          <w:tcPr>
            <w:tcW w:w="1070" w:type="dxa"/>
            <w:vAlign w:val="center"/>
            <w:hideMark/>
          </w:tcPr>
          <w:p w14:paraId="08898375" w14:textId="77777777" w:rsidR="00825E1E" w:rsidRPr="00B04967" w:rsidRDefault="00825E1E" w:rsidP="00AC1BEE">
            <w:pPr>
              <w:jc w:val="right"/>
              <w:rPr>
                <w:rFonts w:ascii="Arial" w:hAnsi="Arial" w:cs="Arial"/>
                <w:lang w:val="en-GB"/>
              </w:rPr>
            </w:pPr>
            <w:r w:rsidRPr="00B04967">
              <w:rPr>
                <w:rFonts w:ascii="Arial" w:hAnsi="Arial" w:cs="Arial"/>
                <w:lang w:val="en-GB"/>
              </w:rPr>
              <w:t>7,409.0</w:t>
            </w:r>
          </w:p>
        </w:tc>
        <w:tc>
          <w:tcPr>
            <w:tcW w:w="1083" w:type="dxa"/>
            <w:vAlign w:val="center"/>
            <w:hideMark/>
          </w:tcPr>
          <w:p w14:paraId="1E84D9BA" w14:textId="77777777" w:rsidR="00825E1E" w:rsidRPr="00B04967" w:rsidRDefault="00825E1E" w:rsidP="00AC1BEE">
            <w:pPr>
              <w:jc w:val="right"/>
              <w:rPr>
                <w:rFonts w:ascii="Arial" w:hAnsi="Arial" w:cs="Arial"/>
                <w:lang w:val="en-GB"/>
              </w:rPr>
            </w:pPr>
            <w:r w:rsidRPr="00B04967">
              <w:rPr>
                <w:rFonts w:ascii="Arial" w:hAnsi="Arial" w:cs="Arial"/>
                <w:lang w:val="en-GB"/>
              </w:rPr>
              <w:t>11,552.9</w:t>
            </w:r>
          </w:p>
        </w:tc>
        <w:tc>
          <w:tcPr>
            <w:tcW w:w="1080" w:type="dxa"/>
            <w:vAlign w:val="center"/>
            <w:hideMark/>
          </w:tcPr>
          <w:p w14:paraId="69A16D37" w14:textId="77777777" w:rsidR="00825E1E" w:rsidRPr="00B04967" w:rsidRDefault="00825E1E" w:rsidP="00AC1BEE">
            <w:pPr>
              <w:jc w:val="right"/>
              <w:rPr>
                <w:rFonts w:ascii="Arial" w:hAnsi="Arial" w:cs="Arial"/>
                <w:lang w:val="en-GB"/>
              </w:rPr>
            </w:pPr>
            <w:r w:rsidRPr="00B04967">
              <w:rPr>
                <w:rFonts w:ascii="Arial" w:hAnsi="Arial" w:cs="Arial"/>
                <w:lang w:val="en-GB"/>
              </w:rPr>
              <w:t>8,806.8</w:t>
            </w:r>
          </w:p>
        </w:tc>
        <w:tc>
          <w:tcPr>
            <w:tcW w:w="1080" w:type="dxa"/>
            <w:vAlign w:val="center"/>
            <w:hideMark/>
          </w:tcPr>
          <w:p w14:paraId="70E7BD1B" w14:textId="77777777" w:rsidR="00825E1E" w:rsidRPr="00B04967" w:rsidRDefault="00825E1E" w:rsidP="00AC1BEE">
            <w:pPr>
              <w:jc w:val="right"/>
              <w:rPr>
                <w:rFonts w:ascii="Arial" w:hAnsi="Arial" w:cs="Arial"/>
                <w:lang w:val="en-GB"/>
              </w:rPr>
            </w:pPr>
            <w:r w:rsidRPr="00B04967">
              <w:rPr>
                <w:rFonts w:ascii="Arial" w:hAnsi="Arial" w:cs="Arial"/>
                <w:lang w:val="en-GB"/>
              </w:rPr>
              <w:t>14,277.7</w:t>
            </w:r>
          </w:p>
        </w:tc>
        <w:tc>
          <w:tcPr>
            <w:tcW w:w="1080" w:type="dxa"/>
            <w:vAlign w:val="center"/>
            <w:hideMark/>
          </w:tcPr>
          <w:p w14:paraId="054EA4C1" w14:textId="77777777" w:rsidR="00825E1E" w:rsidRPr="00B04967" w:rsidRDefault="00825E1E" w:rsidP="00AC1BEE">
            <w:pPr>
              <w:jc w:val="right"/>
              <w:rPr>
                <w:rFonts w:ascii="Arial" w:hAnsi="Arial" w:cs="Arial"/>
                <w:lang w:val="en-GB"/>
              </w:rPr>
            </w:pPr>
            <w:r w:rsidRPr="00B04967">
              <w:rPr>
                <w:rFonts w:ascii="Arial" w:hAnsi="Arial" w:cs="Arial"/>
                <w:lang w:val="en-GB"/>
              </w:rPr>
              <w:t>13,804.4</w:t>
            </w:r>
          </w:p>
        </w:tc>
      </w:tr>
      <w:tr w:rsidR="00825E1E" w:rsidRPr="00B04967" w14:paraId="55F71CEB" w14:textId="77777777" w:rsidTr="00F03407">
        <w:trPr>
          <w:tblHeader/>
        </w:trPr>
        <w:tc>
          <w:tcPr>
            <w:tcW w:w="3872" w:type="dxa"/>
            <w:hideMark/>
          </w:tcPr>
          <w:p w14:paraId="3ED6E0B2" w14:textId="74215826" w:rsidR="00825E1E" w:rsidRPr="00B04967" w:rsidRDefault="00825E1E" w:rsidP="00D92414">
            <w:pPr>
              <w:rPr>
                <w:rFonts w:ascii="Arial" w:hAnsi="Arial" w:cs="Arial"/>
                <w:lang w:val="en-GB"/>
              </w:rPr>
            </w:pPr>
            <w:r w:rsidRPr="00B04967">
              <w:rPr>
                <w:rFonts w:ascii="Arial" w:hAnsi="Arial" w:cs="Arial"/>
                <w:lang w:val="en-GB"/>
              </w:rPr>
              <w:t xml:space="preserve">Operating </w:t>
            </w:r>
            <w:r w:rsidR="00862564">
              <w:rPr>
                <w:rFonts w:ascii="Arial" w:hAnsi="Arial" w:cs="Arial"/>
                <w:lang w:val="en-GB"/>
              </w:rPr>
              <w:t>and</w:t>
            </w:r>
            <w:r w:rsidRPr="00B04967">
              <w:rPr>
                <w:rFonts w:ascii="Arial" w:hAnsi="Arial" w:cs="Arial"/>
                <w:lang w:val="en-GB"/>
              </w:rPr>
              <w:t xml:space="preserve"> Direct Expenses</w:t>
            </w:r>
          </w:p>
        </w:tc>
        <w:tc>
          <w:tcPr>
            <w:tcW w:w="1070" w:type="dxa"/>
            <w:vAlign w:val="center"/>
            <w:hideMark/>
          </w:tcPr>
          <w:p w14:paraId="5476F470"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3" w:type="dxa"/>
            <w:vAlign w:val="center"/>
            <w:hideMark/>
          </w:tcPr>
          <w:p w14:paraId="728C5C7A"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0DC4B4D3"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4E59C9E9"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65A3BF84"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r>
      <w:tr w:rsidR="00825E1E" w:rsidRPr="00B04967" w14:paraId="7A7E58B3" w14:textId="77777777" w:rsidTr="00F03407">
        <w:trPr>
          <w:tblHeader/>
        </w:trPr>
        <w:tc>
          <w:tcPr>
            <w:tcW w:w="3872" w:type="dxa"/>
            <w:hideMark/>
          </w:tcPr>
          <w:p w14:paraId="041D47C7" w14:textId="4CAD85DF" w:rsidR="00825E1E" w:rsidRPr="00B04967" w:rsidRDefault="00825E1E" w:rsidP="00D92414">
            <w:pPr>
              <w:rPr>
                <w:rFonts w:ascii="Arial" w:hAnsi="Arial" w:cs="Arial"/>
                <w:lang w:val="en-GB"/>
              </w:rPr>
            </w:pPr>
            <w:r w:rsidRPr="00B04967">
              <w:rPr>
                <w:rFonts w:ascii="Arial" w:hAnsi="Arial" w:cs="Arial"/>
                <w:lang w:val="en-GB"/>
              </w:rPr>
              <w:t xml:space="preserve">Changes </w:t>
            </w:r>
            <w:r w:rsidR="00862564">
              <w:rPr>
                <w:rFonts w:ascii="Arial" w:hAnsi="Arial" w:cs="Arial"/>
                <w:lang w:val="en-GB"/>
              </w:rPr>
              <w:t>in</w:t>
            </w:r>
            <w:r w:rsidRPr="00B04967">
              <w:rPr>
                <w:rFonts w:ascii="Arial" w:hAnsi="Arial" w:cs="Arial"/>
                <w:lang w:val="en-GB"/>
              </w:rPr>
              <w:t xml:space="preserve"> Inventories </w:t>
            </w:r>
            <w:r w:rsidR="00862564">
              <w:rPr>
                <w:rFonts w:ascii="Arial" w:hAnsi="Arial" w:cs="Arial"/>
                <w:lang w:val="en-GB"/>
              </w:rPr>
              <w:t>of</w:t>
            </w:r>
            <w:r w:rsidRPr="00B04967">
              <w:rPr>
                <w:rFonts w:ascii="Arial" w:hAnsi="Arial" w:cs="Arial"/>
                <w:lang w:val="en-GB"/>
              </w:rPr>
              <w:t xml:space="preserve"> FG,WIP</w:t>
            </w:r>
            <w:r w:rsidR="00862564">
              <w:rPr>
                <w:rFonts w:ascii="Arial" w:hAnsi="Arial" w:cs="Arial"/>
                <w:lang w:val="en-GB"/>
              </w:rPr>
              <w:t>,</w:t>
            </w:r>
            <w:r w:rsidRPr="00B04967">
              <w:rPr>
                <w:rFonts w:ascii="Arial" w:hAnsi="Arial" w:cs="Arial"/>
                <w:lang w:val="en-GB"/>
              </w:rPr>
              <w:t xml:space="preserve"> </w:t>
            </w:r>
            <w:r w:rsidR="00862564">
              <w:rPr>
                <w:rFonts w:ascii="Arial" w:hAnsi="Arial" w:cs="Arial"/>
                <w:lang w:val="en-GB"/>
              </w:rPr>
              <w:t>and</w:t>
            </w:r>
            <w:r w:rsidRPr="00B04967">
              <w:rPr>
                <w:rFonts w:ascii="Arial" w:hAnsi="Arial" w:cs="Arial"/>
                <w:lang w:val="en-GB"/>
              </w:rPr>
              <w:t xml:space="preserve"> </w:t>
            </w:r>
            <w:r w:rsidR="00862564">
              <w:rPr>
                <w:rFonts w:ascii="Arial" w:hAnsi="Arial" w:cs="Arial"/>
                <w:lang w:val="en-GB"/>
              </w:rPr>
              <w:t>Stock-in-Trade</w:t>
            </w:r>
          </w:p>
        </w:tc>
        <w:tc>
          <w:tcPr>
            <w:tcW w:w="1070" w:type="dxa"/>
            <w:vAlign w:val="center"/>
            <w:hideMark/>
          </w:tcPr>
          <w:p w14:paraId="7257600D" w14:textId="77777777" w:rsidR="00825E1E" w:rsidRPr="00B04967" w:rsidRDefault="00825E1E" w:rsidP="00AC1BEE">
            <w:pPr>
              <w:jc w:val="right"/>
              <w:rPr>
                <w:rFonts w:ascii="Arial" w:hAnsi="Arial" w:cs="Arial"/>
                <w:lang w:val="en-GB"/>
              </w:rPr>
            </w:pPr>
            <w:r w:rsidRPr="00B04967">
              <w:rPr>
                <w:rFonts w:ascii="Arial" w:hAnsi="Arial" w:cs="Arial"/>
                <w:lang w:val="en-GB"/>
              </w:rPr>
              <w:t>761.2</w:t>
            </w:r>
          </w:p>
        </w:tc>
        <w:tc>
          <w:tcPr>
            <w:tcW w:w="1083" w:type="dxa"/>
            <w:vAlign w:val="center"/>
            <w:hideMark/>
          </w:tcPr>
          <w:p w14:paraId="1D0CCCDC" w14:textId="213016B1" w:rsidR="00825E1E" w:rsidRPr="00B04967" w:rsidRDefault="00125084" w:rsidP="00AC1BEE">
            <w:pPr>
              <w:jc w:val="right"/>
              <w:rPr>
                <w:rFonts w:ascii="Arial" w:hAnsi="Arial" w:cs="Arial"/>
                <w:lang w:val="en-GB"/>
              </w:rPr>
            </w:pPr>
            <w:r>
              <w:rPr>
                <w:rFonts w:ascii="Arial" w:hAnsi="Arial" w:cs="Arial"/>
                <w:lang w:val="en-GB"/>
              </w:rPr>
              <w:t>(</w:t>
            </w:r>
            <w:r w:rsidR="00825E1E" w:rsidRPr="00B04967">
              <w:rPr>
                <w:rFonts w:ascii="Arial" w:hAnsi="Arial" w:cs="Arial"/>
                <w:lang w:val="en-GB"/>
              </w:rPr>
              <w:t>674.3</w:t>
            </w:r>
            <w:r>
              <w:rPr>
                <w:rFonts w:ascii="Arial" w:hAnsi="Arial" w:cs="Arial"/>
                <w:lang w:val="en-GB"/>
              </w:rPr>
              <w:t>)</w:t>
            </w:r>
          </w:p>
        </w:tc>
        <w:tc>
          <w:tcPr>
            <w:tcW w:w="1080" w:type="dxa"/>
            <w:vAlign w:val="center"/>
            <w:hideMark/>
          </w:tcPr>
          <w:p w14:paraId="0F1BCA66" w14:textId="77777777" w:rsidR="00825E1E" w:rsidRPr="00B04967" w:rsidRDefault="00825E1E" w:rsidP="00AC1BEE">
            <w:pPr>
              <w:jc w:val="right"/>
              <w:rPr>
                <w:rFonts w:ascii="Arial" w:hAnsi="Arial" w:cs="Arial"/>
                <w:lang w:val="en-GB"/>
              </w:rPr>
            </w:pPr>
            <w:r w:rsidRPr="00B04967">
              <w:rPr>
                <w:rFonts w:ascii="Arial" w:hAnsi="Arial" w:cs="Arial"/>
                <w:lang w:val="en-GB"/>
              </w:rPr>
              <w:t>325.0</w:t>
            </w:r>
          </w:p>
        </w:tc>
        <w:tc>
          <w:tcPr>
            <w:tcW w:w="1080" w:type="dxa"/>
            <w:vAlign w:val="center"/>
            <w:hideMark/>
          </w:tcPr>
          <w:p w14:paraId="3830608E" w14:textId="77777777" w:rsidR="00825E1E" w:rsidRPr="00B04967" w:rsidRDefault="00825E1E" w:rsidP="00AC1BEE">
            <w:pPr>
              <w:jc w:val="right"/>
              <w:rPr>
                <w:rFonts w:ascii="Arial" w:hAnsi="Arial" w:cs="Arial"/>
                <w:lang w:val="en-GB"/>
              </w:rPr>
            </w:pPr>
            <w:r w:rsidRPr="00B04967">
              <w:rPr>
                <w:rFonts w:ascii="Arial" w:hAnsi="Arial" w:cs="Arial"/>
                <w:lang w:val="en-GB"/>
              </w:rPr>
              <w:t>25.2</w:t>
            </w:r>
          </w:p>
        </w:tc>
        <w:tc>
          <w:tcPr>
            <w:tcW w:w="1080" w:type="dxa"/>
            <w:vAlign w:val="center"/>
            <w:hideMark/>
          </w:tcPr>
          <w:p w14:paraId="32F4F596" w14:textId="77777777" w:rsidR="00825E1E" w:rsidRPr="00B04967" w:rsidRDefault="00825E1E" w:rsidP="00AC1BEE">
            <w:pPr>
              <w:jc w:val="right"/>
              <w:rPr>
                <w:rFonts w:ascii="Arial" w:hAnsi="Arial" w:cs="Arial"/>
                <w:lang w:val="en-GB"/>
              </w:rPr>
            </w:pPr>
            <w:r w:rsidRPr="00B04967">
              <w:rPr>
                <w:rFonts w:ascii="Arial" w:hAnsi="Arial" w:cs="Arial"/>
                <w:lang w:val="en-GB"/>
              </w:rPr>
              <w:t>1,878.1</w:t>
            </w:r>
          </w:p>
        </w:tc>
      </w:tr>
      <w:tr w:rsidR="00825E1E" w:rsidRPr="00B04967" w14:paraId="2AE2B13B" w14:textId="77777777" w:rsidTr="00F03407">
        <w:trPr>
          <w:tblHeader/>
        </w:trPr>
        <w:tc>
          <w:tcPr>
            <w:tcW w:w="3872" w:type="dxa"/>
            <w:hideMark/>
          </w:tcPr>
          <w:p w14:paraId="5C1DC9BB" w14:textId="77777777" w:rsidR="00825E1E" w:rsidRPr="00B04967" w:rsidRDefault="00825E1E" w:rsidP="00D92414">
            <w:pPr>
              <w:rPr>
                <w:rFonts w:ascii="Arial" w:hAnsi="Arial" w:cs="Arial"/>
                <w:lang w:val="en-GB"/>
              </w:rPr>
            </w:pPr>
            <w:r w:rsidRPr="00B04967">
              <w:rPr>
                <w:rFonts w:ascii="Arial" w:hAnsi="Arial" w:cs="Arial"/>
                <w:lang w:val="en-GB"/>
              </w:rPr>
              <w:t>Employee Benefit Expenses</w:t>
            </w:r>
          </w:p>
        </w:tc>
        <w:tc>
          <w:tcPr>
            <w:tcW w:w="1070" w:type="dxa"/>
            <w:vAlign w:val="center"/>
            <w:hideMark/>
          </w:tcPr>
          <w:p w14:paraId="7DD0EAC3" w14:textId="77777777" w:rsidR="00825E1E" w:rsidRPr="00B04967" w:rsidRDefault="00825E1E" w:rsidP="00AC1BEE">
            <w:pPr>
              <w:jc w:val="right"/>
              <w:rPr>
                <w:rFonts w:ascii="Arial" w:hAnsi="Arial" w:cs="Arial"/>
                <w:lang w:val="en-GB"/>
              </w:rPr>
            </w:pPr>
            <w:r w:rsidRPr="00B04967">
              <w:rPr>
                <w:rFonts w:ascii="Arial" w:hAnsi="Arial" w:cs="Arial"/>
                <w:lang w:val="en-GB"/>
              </w:rPr>
              <w:t>1,275.1</w:t>
            </w:r>
          </w:p>
        </w:tc>
        <w:tc>
          <w:tcPr>
            <w:tcW w:w="1083" w:type="dxa"/>
            <w:vAlign w:val="center"/>
            <w:hideMark/>
          </w:tcPr>
          <w:p w14:paraId="52CB4741" w14:textId="77777777" w:rsidR="00825E1E" w:rsidRPr="00B04967" w:rsidRDefault="00825E1E" w:rsidP="00AC1BEE">
            <w:pPr>
              <w:jc w:val="right"/>
              <w:rPr>
                <w:rFonts w:ascii="Arial" w:hAnsi="Arial" w:cs="Arial"/>
                <w:lang w:val="en-GB"/>
              </w:rPr>
            </w:pPr>
            <w:r w:rsidRPr="00B04967">
              <w:rPr>
                <w:rFonts w:ascii="Arial" w:hAnsi="Arial" w:cs="Arial"/>
                <w:lang w:val="en-GB"/>
              </w:rPr>
              <w:t>1,138.7</w:t>
            </w:r>
          </w:p>
        </w:tc>
        <w:tc>
          <w:tcPr>
            <w:tcW w:w="1080" w:type="dxa"/>
            <w:vAlign w:val="center"/>
            <w:hideMark/>
          </w:tcPr>
          <w:p w14:paraId="5B7971BC" w14:textId="77777777" w:rsidR="00825E1E" w:rsidRPr="00B04967" w:rsidRDefault="00825E1E" w:rsidP="00AC1BEE">
            <w:pPr>
              <w:jc w:val="right"/>
              <w:rPr>
                <w:rFonts w:ascii="Arial" w:hAnsi="Arial" w:cs="Arial"/>
                <w:lang w:val="en-GB"/>
              </w:rPr>
            </w:pPr>
            <w:r w:rsidRPr="00B04967">
              <w:rPr>
                <w:rFonts w:ascii="Arial" w:hAnsi="Arial" w:cs="Arial"/>
                <w:lang w:val="en-GB"/>
              </w:rPr>
              <w:t>1,044.6</w:t>
            </w:r>
          </w:p>
        </w:tc>
        <w:tc>
          <w:tcPr>
            <w:tcW w:w="1080" w:type="dxa"/>
            <w:vAlign w:val="center"/>
            <w:hideMark/>
          </w:tcPr>
          <w:p w14:paraId="5D0D336E" w14:textId="77777777" w:rsidR="00825E1E" w:rsidRPr="00B04967" w:rsidRDefault="00825E1E" w:rsidP="00AC1BEE">
            <w:pPr>
              <w:jc w:val="right"/>
              <w:rPr>
                <w:rFonts w:ascii="Arial" w:hAnsi="Arial" w:cs="Arial"/>
                <w:lang w:val="en-GB"/>
              </w:rPr>
            </w:pPr>
            <w:r w:rsidRPr="00B04967">
              <w:rPr>
                <w:rFonts w:ascii="Arial" w:hAnsi="Arial" w:cs="Arial"/>
                <w:lang w:val="en-GB"/>
              </w:rPr>
              <w:t>2,320.1</w:t>
            </w:r>
          </w:p>
        </w:tc>
        <w:tc>
          <w:tcPr>
            <w:tcW w:w="1080" w:type="dxa"/>
            <w:vAlign w:val="center"/>
            <w:hideMark/>
          </w:tcPr>
          <w:p w14:paraId="5E7ADFA5" w14:textId="77777777" w:rsidR="00825E1E" w:rsidRPr="00B04967" w:rsidRDefault="00825E1E" w:rsidP="00AC1BEE">
            <w:pPr>
              <w:jc w:val="right"/>
              <w:rPr>
                <w:rFonts w:ascii="Arial" w:hAnsi="Arial" w:cs="Arial"/>
                <w:lang w:val="en-GB"/>
              </w:rPr>
            </w:pPr>
            <w:r w:rsidRPr="00B04967">
              <w:rPr>
                <w:rFonts w:ascii="Arial" w:hAnsi="Arial" w:cs="Arial"/>
                <w:lang w:val="en-GB"/>
              </w:rPr>
              <w:t>2,301.1</w:t>
            </w:r>
          </w:p>
        </w:tc>
      </w:tr>
      <w:tr w:rsidR="00825E1E" w:rsidRPr="00B04967" w14:paraId="37AE958A" w14:textId="77777777" w:rsidTr="00F03407">
        <w:trPr>
          <w:tblHeader/>
        </w:trPr>
        <w:tc>
          <w:tcPr>
            <w:tcW w:w="3872" w:type="dxa"/>
            <w:hideMark/>
          </w:tcPr>
          <w:p w14:paraId="55B5FAAD" w14:textId="77777777" w:rsidR="00825E1E" w:rsidRPr="00B04967" w:rsidRDefault="00825E1E" w:rsidP="00D92414">
            <w:pPr>
              <w:rPr>
                <w:rFonts w:ascii="Arial" w:hAnsi="Arial" w:cs="Arial"/>
                <w:lang w:val="en-GB"/>
              </w:rPr>
            </w:pPr>
            <w:r w:rsidRPr="00B04967">
              <w:rPr>
                <w:rFonts w:ascii="Arial" w:hAnsi="Arial" w:cs="Arial"/>
                <w:lang w:val="en-GB"/>
              </w:rPr>
              <w:t>Finance Costs</w:t>
            </w:r>
          </w:p>
        </w:tc>
        <w:tc>
          <w:tcPr>
            <w:tcW w:w="1070" w:type="dxa"/>
            <w:vAlign w:val="center"/>
            <w:hideMark/>
          </w:tcPr>
          <w:p w14:paraId="415E9B4F" w14:textId="77777777" w:rsidR="00825E1E" w:rsidRPr="00B04967" w:rsidRDefault="00825E1E" w:rsidP="00AC1BEE">
            <w:pPr>
              <w:jc w:val="right"/>
              <w:rPr>
                <w:rFonts w:ascii="Arial" w:hAnsi="Arial" w:cs="Arial"/>
                <w:lang w:val="en-GB"/>
              </w:rPr>
            </w:pPr>
            <w:r w:rsidRPr="00B04967">
              <w:rPr>
                <w:rFonts w:ascii="Arial" w:hAnsi="Arial" w:cs="Arial"/>
                <w:lang w:val="en-GB"/>
              </w:rPr>
              <w:t>580.7</w:t>
            </w:r>
          </w:p>
        </w:tc>
        <w:tc>
          <w:tcPr>
            <w:tcW w:w="1083" w:type="dxa"/>
            <w:vAlign w:val="center"/>
            <w:hideMark/>
          </w:tcPr>
          <w:p w14:paraId="65790515" w14:textId="77777777" w:rsidR="00825E1E" w:rsidRPr="00B04967" w:rsidRDefault="00825E1E" w:rsidP="00AC1BEE">
            <w:pPr>
              <w:jc w:val="right"/>
              <w:rPr>
                <w:rFonts w:ascii="Arial" w:hAnsi="Arial" w:cs="Arial"/>
                <w:lang w:val="en-GB"/>
              </w:rPr>
            </w:pPr>
            <w:r w:rsidRPr="00B04967">
              <w:rPr>
                <w:rFonts w:ascii="Arial" w:hAnsi="Arial" w:cs="Arial"/>
                <w:lang w:val="en-GB"/>
              </w:rPr>
              <w:t>902.2</w:t>
            </w:r>
          </w:p>
        </w:tc>
        <w:tc>
          <w:tcPr>
            <w:tcW w:w="1080" w:type="dxa"/>
            <w:vAlign w:val="center"/>
            <w:hideMark/>
          </w:tcPr>
          <w:p w14:paraId="6EC4D93B" w14:textId="77777777" w:rsidR="00825E1E" w:rsidRPr="00B04967" w:rsidRDefault="00825E1E" w:rsidP="00AC1BEE">
            <w:pPr>
              <w:jc w:val="right"/>
              <w:rPr>
                <w:rFonts w:ascii="Arial" w:hAnsi="Arial" w:cs="Arial"/>
                <w:lang w:val="en-GB"/>
              </w:rPr>
            </w:pPr>
            <w:r w:rsidRPr="00B04967">
              <w:rPr>
                <w:rFonts w:ascii="Arial" w:hAnsi="Arial" w:cs="Arial"/>
                <w:lang w:val="en-GB"/>
              </w:rPr>
              <w:t>764.8</w:t>
            </w:r>
          </w:p>
        </w:tc>
        <w:tc>
          <w:tcPr>
            <w:tcW w:w="1080" w:type="dxa"/>
            <w:vAlign w:val="center"/>
            <w:hideMark/>
          </w:tcPr>
          <w:p w14:paraId="10CEAE23" w14:textId="77777777" w:rsidR="00825E1E" w:rsidRPr="00B04967" w:rsidRDefault="00825E1E" w:rsidP="00AC1BEE">
            <w:pPr>
              <w:jc w:val="right"/>
              <w:rPr>
                <w:rFonts w:ascii="Arial" w:hAnsi="Arial" w:cs="Arial"/>
                <w:lang w:val="en-GB"/>
              </w:rPr>
            </w:pPr>
            <w:r w:rsidRPr="00B04967">
              <w:rPr>
                <w:rFonts w:ascii="Arial" w:hAnsi="Arial" w:cs="Arial"/>
                <w:lang w:val="en-GB"/>
              </w:rPr>
              <w:t>5,490.1</w:t>
            </w:r>
          </w:p>
        </w:tc>
        <w:tc>
          <w:tcPr>
            <w:tcW w:w="1080" w:type="dxa"/>
            <w:vAlign w:val="center"/>
            <w:hideMark/>
          </w:tcPr>
          <w:p w14:paraId="63FB3860" w14:textId="77777777" w:rsidR="00825E1E" w:rsidRPr="00B04967" w:rsidRDefault="00825E1E" w:rsidP="00AC1BEE">
            <w:pPr>
              <w:jc w:val="right"/>
              <w:rPr>
                <w:rFonts w:ascii="Arial" w:hAnsi="Arial" w:cs="Arial"/>
                <w:lang w:val="en-GB"/>
              </w:rPr>
            </w:pPr>
            <w:r w:rsidRPr="00B04967">
              <w:rPr>
                <w:rFonts w:ascii="Arial" w:hAnsi="Arial" w:cs="Arial"/>
                <w:lang w:val="en-GB"/>
              </w:rPr>
              <w:t>5,311.4</w:t>
            </w:r>
          </w:p>
        </w:tc>
      </w:tr>
      <w:tr w:rsidR="00825E1E" w:rsidRPr="00B04967" w14:paraId="2F534793" w14:textId="77777777" w:rsidTr="00F03407">
        <w:trPr>
          <w:tblHeader/>
        </w:trPr>
        <w:tc>
          <w:tcPr>
            <w:tcW w:w="3872" w:type="dxa"/>
            <w:hideMark/>
          </w:tcPr>
          <w:p w14:paraId="3FABA0BB" w14:textId="5E27EBB5" w:rsidR="00825E1E" w:rsidRPr="00B04967" w:rsidRDefault="00825E1E" w:rsidP="00D92414">
            <w:pPr>
              <w:rPr>
                <w:rFonts w:ascii="Arial" w:hAnsi="Arial" w:cs="Arial"/>
                <w:lang w:val="en-GB"/>
              </w:rPr>
            </w:pPr>
            <w:r w:rsidRPr="00B04967">
              <w:rPr>
                <w:rFonts w:ascii="Arial" w:hAnsi="Arial" w:cs="Arial"/>
                <w:lang w:val="en-GB"/>
              </w:rPr>
              <w:t xml:space="preserve">Depreciation </w:t>
            </w:r>
            <w:r w:rsidR="00862564">
              <w:rPr>
                <w:rFonts w:ascii="Arial" w:hAnsi="Arial" w:cs="Arial"/>
                <w:lang w:val="en-GB"/>
              </w:rPr>
              <w:t>and</w:t>
            </w:r>
            <w:r w:rsidRPr="00B04967">
              <w:rPr>
                <w:rFonts w:ascii="Arial" w:hAnsi="Arial" w:cs="Arial"/>
                <w:lang w:val="en-GB"/>
              </w:rPr>
              <w:t xml:space="preserve"> </w:t>
            </w:r>
            <w:r w:rsidR="00862564">
              <w:rPr>
                <w:rFonts w:ascii="Arial" w:hAnsi="Arial" w:cs="Arial"/>
                <w:lang w:val="en-GB"/>
              </w:rPr>
              <w:t>Amortization</w:t>
            </w:r>
            <w:r w:rsidR="00862564" w:rsidRPr="00B04967">
              <w:rPr>
                <w:rFonts w:ascii="Arial" w:hAnsi="Arial" w:cs="Arial"/>
                <w:lang w:val="en-GB"/>
              </w:rPr>
              <w:t xml:space="preserve"> </w:t>
            </w:r>
            <w:r w:rsidRPr="00B04967">
              <w:rPr>
                <w:rFonts w:ascii="Arial" w:hAnsi="Arial" w:cs="Arial"/>
                <w:lang w:val="en-GB"/>
              </w:rPr>
              <w:t>Expenses</w:t>
            </w:r>
          </w:p>
        </w:tc>
        <w:tc>
          <w:tcPr>
            <w:tcW w:w="1070" w:type="dxa"/>
            <w:vAlign w:val="center"/>
            <w:hideMark/>
          </w:tcPr>
          <w:p w14:paraId="3641F85B" w14:textId="77777777" w:rsidR="00825E1E" w:rsidRPr="00B04967" w:rsidRDefault="00825E1E" w:rsidP="00AC1BEE">
            <w:pPr>
              <w:jc w:val="right"/>
              <w:rPr>
                <w:rFonts w:ascii="Arial" w:hAnsi="Arial" w:cs="Arial"/>
                <w:lang w:val="en-GB"/>
              </w:rPr>
            </w:pPr>
            <w:r w:rsidRPr="00B04967">
              <w:rPr>
                <w:rFonts w:ascii="Arial" w:hAnsi="Arial" w:cs="Arial"/>
                <w:lang w:val="en-GB"/>
              </w:rPr>
              <w:t>277.7</w:t>
            </w:r>
          </w:p>
        </w:tc>
        <w:tc>
          <w:tcPr>
            <w:tcW w:w="1083" w:type="dxa"/>
            <w:vAlign w:val="center"/>
            <w:hideMark/>
          </w:tcPr>
          <w:p w14:paraId="1BE18D68" w14:textId="77777777" w:rsidR="00825E1E" w:rsidRPr="00B04967" w:rsidRDefault="00825E1E" w:rsidP="00AC1BEE">
            <w:pPr>
              <w:jc w:val="right"/>
              <w:rPr>
                <w:rFonts w:ascii="Arial" w:hAnsi="Arial" w:cs="Arial"/>
                <w:lang w:val="en-GB"/>
              </w:rPr>
            </w:pPr>
            <w:r w:rsidRPr="00B04967">
              <w:rPr>
                <w:rFonts w:ascii="Arial" w:hAnsi="Arial" w:cs="Arial"/>
                <w:lang w:val="en-GB"/>
              </w:rPr>
              <w:t>281.0</w:t>
            </w:r>
          </w:p>
        </w:tc>
        <w:tc>
          <w:tcPr>
            <w:tcW w:w="1080" w:type="dxa"/>
            <w:vAlign w:val="center"/>
            <w:hideMark/>
          </w:tcPr>
          <w:p w14:paraId="36FA9A29" w14:textId="77777777" w:rsidR="00825E1E" w:rsidRPr="00B04967" w:rsidRDefault="00825E1E" w:rsidP="00AC1BEE">
            <w:pPr>
              <w:jc w:val="right"/>
              <w:rPr>
                <w:rFonts w:ascii="Arial" w:hAnsi="Arial" w:cs="Arial"/>
                <w:lang w:val="en-GB"/>
              </w:rPr>
            </w:pPr>
            <w:r w:rsidRPr="00B04967">
              <w:rPr>
                <w:rFonts w:ascii="Arial" w:hAnsi="Arial" w:cs="Arial"/>
                <w:lang w:val="en-GB"/>
              </w:rPr>
              <w:t>289.6</w:t>
            </w:r>
          </w:p>
        </w:tc>
        <w:tc>
          <w:tcPr>
            <w:tcW w:w="1080" w:type="dxa"/>
            <w:vAlign w:val="center"/>
            <w:hideMark/>
          </w:tcPr>
          <w:p w14:paraId="46F8E665" w14:textId="77777777" w:rsidR="00825E1E" w:rsidRPr="00B04967" w:rsidRDefault="00825E1E" w:rsidP="00AC1BEE">
            <w:pPr>
              <w:jc w:val="right"/>
              <w:rPr>
                <w:rFonts w:ascii="Arial" w:hAnsi="Arial" w:cs="Arial"/>
                <w:lang w:val="en-GB"/>
              </w:rPr>
            </w:pPr>
            <w:r w:rsidRPr="00B04967">
              <w:rPr>
                <w:rFonts w:ascii="Arial" w:hAnsi="Arial" w:cs="Arial"/>
                <w:lang w:val="en-GB"/>
              </w:rPr>
              <w:t>2,685.8</w:t>
            </w:r>
          </w:p>
        </w:tc>
        <w:tc>
          <w:tcPr>
            <w:tcW w:w="1080" w:type="dxa"/>
            <w:vAlign w:val="center"/>
            <w:hideMark/>
          </w:tcPr>
          <w:p w14:paraId="55AB7FD1" w14:textId="77777777" w:rsidR="00825E1E" w:rsidRPr="00B04967" w:rsidRDefault="00825E1E" w:rsidP="00AC1BEE">
            <w:pPr>
              <w:jc w:val="right"/>
              <w:rPr>
                <w:rFonts w:ascii="Arial" w:hAnsi="Arial" w:cs="Arial"/>
                <w:lang w:val="en-GB"/>
              </w:rPr>
            </w:pPr>
            <w:r w:rsidRPr="00B04967">
              <w:rPr>
                <w:rFonts w:ascii="Arial" w:hAnsi="Arial" w:cs="Arial"/>
                <w:lang w:val="en-GB"/>
              </w:rPr>
              <w:t>2,731.1</w:t>
            </w:r>
          </w:p>
        </w:tc>
      </w:tr>
      <w:tr w:rsidR="00825E1E" w:rsidRPr="00B04967" w14:paraId="113346DF" w14:textId="77777777" w:rsidTr="00F03407">
        <w:trPr>
          <w:tblHeader/>
        </w:trPr>
        <w:tc>
          <w:tcPr>
            <w:tcW w:w="3872" w:type="dxa"/>
            <w:hideMark/>
          </w:tcPr>
          <w:p w14:paraId="28ED934B" w14:textId="77777777" w:rsidR="00825E1E" w:rsidRPr="00B04967" w:rsidRDefault="00825E1E" w:rsidP="00D92414">
            <w:pPr>
              <w:rPr>
                <w:rFonts w:ascii="Arial" w:hAnsi="Arial" w:cs="Arial"/>
                <w:lang w:val="en-GB"/>
              </w:rPr>
            </w:pPr>
            <w:r w:rsidRPr="00B04967">
              <w:rPr>
                <w:rFonts w:ascii="Arial" w:hAnsi="Arial" w:cs="Arial"/>
                <w:lang w:val="en-GB"/>
              </w:rPr>
              <w:t>Other Expenses</w:t>
            </w:r>
          </w:p>
        </w:tc>
        <w:tc>
          <w:tcPr>
            <w:tcW w:w="1070" w:type="dxa"/>
            <w:vAlign w:val="center"/>
            <w:hideMark/>
          </w:tcPr>
          <w:p w14:paraId="3D386343" w14:textId="77777777" w:rsidR="00825E1E" w:rsidRPr="00B04967" w:rsidRDefault="00825E1E" w:rsidP="00AC1BEE">
            <w:pPr>
              <w:jc w:val="right"/>
              <w:rPr>
                <w:rFonts w:ascii="Arial" w:hAnsi="Arial" w:cs="Arial"/>
                <w:lang w:val="en-GB"/>
              </w:rPr>
            </w:pPr>
            <w:r w:rsidRPr="00B04967">
              <w:rPr>
                <w:rFonts w:ascii="Arial" w:hAnsi="Arial" w:cs="Arial"/>
                <w:lang w:val="en-GB"/>
              </w:rPr>
              <w:t>2,543.0</w:t>
            </w:r>
          </w:p>
        </w:tc>
        <w:tc>
          <w:tcPr>
            <w:tcW w:w="1083" w:type="dxa"/>
            <w:vAlign w:val="center"/>
            <w:hideMark/>
          </w:tcPr>
          <w:p w14:paraId="3744D1F7" w14:textId="77777777" w:rsidR="00825E1E" w:rsidRPr="00B04967" w:rsidRDefault="00825E1E" w:rsidP="00AC1BEE">
            <w:pPr>
              <w:jc w:val="right"/>
              <w:rPr>
                <w:rFonts w:ascii="Arial" w:hAnsi="Arial" w:cs="Arial"/>
                <w:lang w:val="en-GB"/>
              </w:rPr>
            </w:pPr>
            <w:r w:rsidRPr="00B04967">
              <w:rPr>
                <w:rFonts w:ascii="Arial" w:hAnsi="Arial" w:cs="Arial"/>
                <w:lang w:val="en-GB"/>
              </w:rPr>
              <w:t>2,484.4</w:t>
            </w:r>
          </w:p>
        </w:tc>
        <w:tc>
          <w:tcPr>
            <w:tcW w:w="1080" w:type="dxa"/>
            <w:vAlign w:val="center"/>
            <w:hideMark/>
          </w:tcPr>
          <w:p w14:paraId="6637B54A" w14:textId="77777777" w:rsidR="00825E1E" w:rsidRPr="00B04967" w:rsidRDefault="00825E1E" w:rsidP="00AC1BEE">
            <w:pPr>
              <w:jc w:val="right"/>
              <w:rPr>
                <w:rFonts w:ascii="Arial" w:hAnsi="Arial" w:cs="Arial"/>
                <w:lang w:val="en-GB"/>
              </w:rPr>
            </w:pPr>
            <w:r w:rsidRPr="00B04967">
              <w:rPr>
                <w:rFonts w:ascii="Arial" w:hAnsi="Arial" w:cs="Arial"/>
                <w:lang w:val="en-GB"/>
              </w:rPr>
              <w:t>2,122.4</w:t>
            </w:r>
          </w:p>
        </w:tc>
        <w:tc>
          <w:tcPr>
            <w:tcW w:w="1080" w:type="dxa"/>
            <w:vAlign w:val="center"/>
            <w:hideMark/>
          </w:tcPr>
          <w:p w14:paraId="0232B972" w14:textId="77777777" w:rsidR="00825E1E" w:rsidRPr="00B04967" w:rsidRDefault="00825E1E" w:rsidP="00AC1BEE">
            <w:pPr>
              <w:jc w:val="right"/>
              <w:rPr>
                <w:rFonts w:ascii="Arial" w:hAnsi="Arial" w:cs="Arial"/>
                <w:lang w:val="en-GB"/>
              </w:rPr>
            </w:pPr>
            <w:r w:rsidRPr="00B04967">
              <w:rPr>
                <w:rFonts w:ascii="Arial" w:hAnsi="Arial" w:cs="Arial"/>
                <w:lang w:val="en-GB"/>
              </w:rPr>
              <w:t>11,850.3</w:t>
            </w:r>
          </w:p>
        </w:tc>
        <w:tc>
          <w:tcPr>
            <w:tcW w:w="1080" w:type="dxa"/>
            <w:vAlign w:val="center"/>
            <w:hideMark/>
          </w:tcPr>
          <w:p w14:paraId="6F00EA8E" w14:textId="77777777" w:rsidR="00825E1E" w:rsidRPr="00B04967" w:rsidRDefault="00825E1E" w:rsidP="00AC1BEE">
            <w:pPr>
              <w:jc w:val="right"/>
              <w:rPr>
                <w:rFonts w:ascii="Arial" w:hAnsi="Arial" w:cs="Arial"/>
                <w:lang w:val="en-GB"/>
              </w:rPr>
            </w:pPr>
            <w:r w:rsidRPr="00B04967">
              <w:rPr>
                <w:rFonts w:ascii="Arial" w:hAnsi="Arial" w:cs="Arial"/>
                <w:lang w:val="en-GB"/>
              </w:rPr>
              <w:t>13,159.0</w:t>
            </w:r>
          </w:p>
        </w:tc>
      </w:tr>
      <w:tr w:rsidR="00825E1E" w:rsidRPr="00B04967" w14:paraId="0C0C677E" w14:textId="77777777" w:rsidTr="00F03407">
        <w:trPr>
          <w:tblHeader/>
        </w:trPr>
        <w:tc>
          <w:tcPr>
            <w:tcW w:w="3872" w:type="dxa"/>
            <w:hideMark/>
          </w:tcPr>
          <w:p w14:paraId="7732982C" w14:textId="3C8A5C7D" w:rsidR="00825E1E" w:rsidRPr="00B04967" w:rsidRDefault="00825E1E" w:rsidP="00D92414">
            <w:pPr>
              <w:rPr>
                <w:rFonts w:ascii="Arial" w:hAnsi="Arial" w:cs="Arial"/>
                <w:b/>
                <w:bCs/>
                <w:lang w:val="en-GB"/>
              </w:rPr>
            </w:pPr>
            <w:r w:rsidRPr="00B04967">
              <w:rPr>
                <w:rFonts w:ascii="Arial" w:hAnsi="Arial" w:cs="Arial"/>
                <w:b/>
                <w:bCs/>
                <w:lang w:val="en-GB"/>
              </w:rPr>
              <w:t xml:space="preserve">Total </w:t>
            </w:r>
            <w:r w:rsidR="00862564">
              <w:rPr>
                <w:rFonts w:ascii="Arial" w:hAnsi="Arial" w:cs="Arial"/>
                <w:b/>
                <w:bCs/>
                <w:lang w:val="en-GB"/>
              </w:rPr>
              <w:t>Expenses</w:t>
            </w:r>
          </w:p>
        </w:tc>
        <w:tc>
          <w:tcPr>
            <w:tcW w:w="1070" w:type="dxa"/>
            <w:vAlign w:val="center"/>
            <w:hideMark/>
          </w:tcPr>
          <w:p w14:paraId="6B04D4E8"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13,078.0</w:t>
            </w:r>
          </w:p>
        </w:tc>
        <w:tc>
          <w:tcPr>
            <w:tcW w:w="1083" w:type="dxa"/>
            <w:vAlign w:val="center"/>
            <w:hideMark/>
          </w:tcPr>
          <w:p w14:paraId="3368AB1D"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15,736.8</w:t>
            </w:r>
          </w:p>
        </w:tc>
        <w:tc>
          <w:tcPr>
            <w:tcW w:w="1080" w:type="dxa"/>
            <w:vAlign w:val="center"/>
            <w:hideMark/>
          </w:tcPr>
          <w:p w14:paraId="5179417D"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13,404.6</w:t>
            </w:r>
          </w:p>
        </w:tc>
        <w:tc>
          <w:tcPr>
            <w:tcW w:w="1080" w:type="dxa"/>
            <w:vAlign w:val="center"/>
            <w:hideMark/>
          </w:tcPr>
          <w:p w14:paraId="33D23CF7"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37,182.5</w:t>
            </w:r>
          </w:p>
        </w:tc>
        <w:tc>
          <w:tcPr>
            <w:tcW w:w="1080" w:type="dxa"/>
            <w:vAlign w:val="center"/>
            <w:hideMark/>
          </w:tcPr>
          <w:p w14:paraId="2379A06E"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39,450.6</w:t>
            </w:r>
          </w:p>
        </w:tc>
      </w:tr>
      <w:tr w:rsidR="00825E1E" w:rsidRPr="00B04967" w14:paraId="6A1E15E8" w14:textId="77777777" w:rsidTr="00F03407">
        <w:trPr>
          <w:tblHeader/>
        </w:trPr>
        <w:tc>
          <w:tcPr>
            <w:tcW w:w="3872" w:type="dxa"/>
            <w:hideMark/>
          </w:tcPr>
          <w:p w14:paraId="52EB03D8" w14:textId="069530F0" w:rsidR="00825E1E" w:rsidRPr="00B04967" w:rsidRDefault="00825E1E" w:rsidP="00D92414">
            <w:pPr>
              <w:rPr>
                <w:rFonts w:ascii="Arial" w:hAnsi="Arial" w:cs="Arial"/>
                <w:b/>
                <w:bCs/>
                <w:lang w:val="en-GB"/>
              </w:rPr>
            </w:pPr>
            <w:r w:rsidRPr="00B04967">
              <w:rPr>
                <w:rFonts w:ascii="Arial" w:hAnsi="Arial" w:cs="Arial"/>
                <w:b/>
                <w:bCs/>
                <w:lang w:val="en-GB"/>
              </w:rPr>
              <w:t>Profit</w:t>
            </w:r>
            <w:r w:rsidR="00862564">
              <w:rPr>
                <w:rFonts w:ascii="Arial" w:hAnsi="Arial" w:cs="Arial"/>
                <w:b/>
                <w:bCs/>
                <w:lang w:val="en-GB"/>
              </w:rPr>
              <w:t xml:space="preserve"> and Loss</w:t>
            </w:r>
            <w:r w:rsidRPr="00B04967">
              <w:rPr>
                <w:rFonts w:ascii="Arial" w:hAnsi="Arial" w:cs="Arial"/>
                <w:b/>
                <w:bCs/>
                <w:lang w:val="en-GB"/>
              </w:rPr>
              <w:t xml:space="preserve"> before </w:t>
            </w:r>
            <w:r w:rsidR="00862564">
              <w:rPr>
                <w:rFonts w:ascii="Arial" w:hAnsi="Arial" w:cs="Arial"/>
                <w:b/>
                <w:bCs/>
                <w:lang w:val="en-GB"/>
              </w:rPr>
              <w:t>Exceptional and Extraordinary Items</w:t>
            </w:r>
            <w:r w:rsidRPr="00B04967">
              <w:rPr>
                <w:rFonts w:ascii="Arial" w:hAnsi="Arial" w:cs="Arial"/>
                <w:b/>
                <w:bCs/>
                <w:lang w:val="en-GB"/>
              </w:rPr>
              <w:t xml:space="preserve"> and </w:t>
            </w:r>
            <w:r w:rsidR="00862564">
              <w:rPr>
                <w:rFonts w:ascii="Arial" w:hAnsi="Arial" w:cs="Arial"/>
                <w:b/>
                <w:bCs/>
                <w:lang w:val="en-GB"/>
              </w:rPr>
              <w:t>Tax</w:t>
            </w:r>
          </w:p>
        </w:tc>
        <w:tc>
          <w:tcPr>
            <w:tcW w:w="1070" w:type="dxa"/>
            <w:vAlign w:val="center"/>
            <w:hideMark/>
          </w:tcPr>
          <w:p w14:paraId="1CFF62B7"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1,147.1</w:t>
            </w:r>
          </w:p>
        </w:tc>
        <w:tc>
          <w:tcPr>
            <w:tcW w:w="1083" w:type="dxa"/>
            <w:vAlign w:val="center"/>
            <w:hideMark/>
          </w:tcPr>
          <w:p w14:paraId="0C7AD9E1"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1,640.0</w:t>
            </w:r>
          </w:p>
        </w:tc>
        <w:tc>
          <w:tcPr>
            <w:tcW w:w="1080" w:type="dxa"/>
            <w:vAlign w:val="center"/>
            <w:hideMark/>
          </w:tcPr>
          <w:p w14:paraId="60054695"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1,213.4</w:t>
            </w:r>
          </w:p>
        </w:tc>
        <w:tc>
          <w:tcPr>
            <w:tcW w:w="1080" w:type="dxa"/>
            <w:vAlign w:val="center"/>
            <w:hideMark/>
          </w:tcPr>
          <w:p w14:paraId="4571A4A9" w14:textId="4CE359F1"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3,549.5</w:t>
            </w:r>
            <w:r>
              <w:rPr>
                <w:rFonts w:ascii="Arial" w:hAnsi="Arial" w:cs="Arial"/>
                <w:b/>
                <w:bCs/>
                <w:lang w:val="en-GB"/>
              </w:rPr>
              <w:t>)</w:t>
            </w:r>
          </w:p>
        </w:tc>
        <w:tc>
          <w:tcPr>
            <w:tcW w:w="1080" w:type="dxa"/>
            <w:vAlign w:val="center"/>
            <w:hideMark/>
          </w:tcPr>
          <w:p w14:paraId="33C6BBC4" w14:textId="48FE63FE"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4,789.1</w:t>
            </w:r>
            <w:r>
              <w:rPr>
                <w:rFonts w:ascii="Arial" w:hAnsi="Arial" w:cs="Arial"/>
                <w:b/>
                <w:bCs/>
                <w:lang w:val="en-GB"/>
              </w:rPr>
              <w:t>)</w:t>
            </w:r>
          </w:p>
        </w:tc>
      </w:tr>
      <w:tr w:rsidR="00825E1E" w:rsidRPr="00B04967" w14:paraId="307363EB" w14:textId="77777777" w:rsidTr="00F03407">
        <w:trPr>
          <w:tblHeader/>
        </w:trPr>
        <w:tc>
          <w:tcPr>
            <w:tcW w:w="3872" w:type="dxa"/>
            <w:hideMark/>
          </w:tcPr>
          <w:p w14:paraId="1F3B5EF8" w14:textId="77777777" w:rsidR="00825E1E" w:rsidRPr="00B04967" w:rsidRDefault="00825E1E" w:rsidP="00D92414">
            <w:pPr>
              <w:rPr>
                <w:rFonts w:ascii="Arial" w:hAnsi="Arial" w:cs="Arial"/>
                <w:lang w:val="en-GB"/>
              </w:rPr>
            </w:pPr>
            <w:r w:rsidRPr="00B04967">
              <w:rPr>
                <w:rFonts w:ascii="Arial" w:hAnsi="Arial" w:cs="Arial"/>
                <w:lang w:val="en-GB"/>
              </w:rPr>
              <w:t>Exceptional Items</w:t>
            </w:r>
          </w:p>
        </w:tc>
        <w:tc>
          <w:tcPr>
            <w:tcW w:w="1070" w:type="dxa"/>
            <w:vAlign w:val="center"/>
            <w:hideMark/>
          </w:tcPr>
          <w:p w14:paraId="43B702F8"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3" w:type="dxa"/>
            <w:vAlign w:val="center"/>
            <w:hideMark/>
          </w:tcPr>
          <w:p w14:paraId="5EF9CABE"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2FE3D562"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527DDBD4"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41673BF1"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r>
      <w:tr w:rsidR="00825E1E" w:rsidRPr="00B04967" w14:paraId="78FB2525" w14:textId="77777777" w:rsidTr="00F03407">
        <w:trPr>
          <w:tblHeader/>
        </w:trPr>
        <w:tc>
          <w:tcPr>
            <w:tcW w:w="3872" w:type="dxa"/>
            <w:hideMark/>
          </w:tcPr>
          <w:p w14:paraId="55CD0044" w14:textId="66CFB9B5" w:rsidR="00825E1E" w:rsidRPr="00B04967" w:rsidRDefault="00825E1E" w:rsidP="00D92414">
            <w:pPr>
              <w:rPr>
                <w:rFonts w:ascii="Arial" w:hAnsi="Arial" w:cs="Arial"/>
                <w:b/>
                <w:bCs/>
                <w:lang w:val="en-GB"/>
              </w:rPr>
            </w:pPr>
            <w:r w:rsidRPr="00B04967">
              <w:rPr>
                <w:rFonts w:ascii="Arial" w:hAnsi="Arial" w:cs="Arial"/>
                <w:b/>
                <w:bCs/>
                <w:lang w:val="en-GB"/>
              </w:rPr>
              <w:t>Profit</w:t>
            </w:r>
            <w:r w:rsidR="00862564">
              <w:rPr>
                <w:rFonts w:ascii="Arial" w:hAnsi="Arial" w:cs="Arial"/>
                <w:b/>
                <w:bCs/>
                <w:lang w:val="en-GB"/>
              </w:rPr>
              <w:t xml:space="preserve"> and Loss before Tax</w:t>
            </w:r>
          </w:p>
        </w:tc>
        <w:tc>
          <w:tcPr>
            <w:tcW w:w="1070" w:type="dxa"/>
            <w:vAlign w:val="center"/>
            <w:hideMark/>
          </w:tcPr>
          <w:p w14:paraId="34901F00"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1,147.1</w:t>
            </w:r>
          </w:p>
        </w:tc>
        <w:tc>
          <w:tcPr>
            <w:tcW w:w="1083" w:type="dxa"/>
            <w:vAlign w:val="center"/>
            <w:hideMark/>
          </w:tcPr>
          <w:p w14:paraId="180204DD"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1,640.0</w:t>
            </w:r>
          </w:p>
        </w:tc>
        <w:tc>
          <w:tcPr>
            <w:tcW w:w="1080" w:type="dxa"/>
            <w:vAlign w:val="center"/>
            <w:hideMark/>
          </w:tcPr>
          <w:p w14:paraId="20815F2A"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1,213.4</w:t>
            </w:r>
          </w:p>
        </w:tc>
        <w:tc>
          <w:tcPr>
            <w:tcW w:w="1080" w:type="dxa"/>
            <w:vAlign w:val="center"/>
            <w:hideMark/>
          </w:tcPr>
          <w:p w14:paraId="1E2C8FAC" w14:textId="624EE143"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3,549.5</w:t>
            </w:r>
            <w:r>
              <w:rPr>
                <w:rFonts w:ascii="Arial" w:hAnsi="Arial" w:cs="Arial"/>
                <w:b/>
                <w:bCs/>
                <w:lang w:val="en-GB"/>
              </w:rPr>
              <w:t>)</w:t>
            </w:r>
          </w:p>
        </w:tc>
        <w:tc>
          <w:tcPr>
            <w:tcW w:w="1080" w:type="dxa"/>
            <w:vAlign w:val="center"/>
            <w:hideMark/>
          </w:tcPr>
          <w:p w14:paraId="2E9082EA" w14:textId="0724A6F4"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4,789.1</w:t>
            </w:r>
            <w:r>
              <w:rPr>
                <w:rFonts w:ascii="Arial" w:hAnsi="Arial" w:cs="Arial"/>
                <w:b/>
                <w:bCs/>
                <w:lang w:val="en-GB"/>
              </w:rPr>
              <w:t>)</w:t>
            </w:r>
          </w:p>
        </w:tc>
      </w:tr>
      <w:tr w:rsidR="00825E1E" w:rsidRPr="00B04967" w14:paraId="1FBACD9B" w14:textId="77777777" w:rsidTr="00F03407">
        <w:trPr>
          <w:tblHeader/>
        </w:trPr>
        <w:tc>
          <w:tcPr>
            <w:tcW w:w="3872" w:type="dxa"/>
            <w:hideMark/>
          </w:tcPr>
          <w:p w14:paraId="55CCE9FC" w14:textId="05A3FB48" w:rsidR="00825E1E" w:rsidRPr="00B04967" w:rsidRDefault="00825E1E" w:rsidP="00D92414">
            <w:pPr>
              <w:rPr>
                <w:rFonts w:ascii="Arial" w:hAnsi="Arial" w:cs="Arial"/>
                <w:b/>
                <w:bCs/>
                <w:lang w:val="en-GB"/>
              </w:rPr>
            </w:pPr>
            <w:r w:rsidRPr="00B04967">
              <w:rPr>
                <w:rFonts w:ascii="Arial" w:hAnsi="Arial" w:cs="Arial"/>
                <w:b/>
                <w:bCs/>
                <w:lang w:val="en-GB"/>
              </w:rPr>
              <w:t xml:space="preserve">Tax </w:t>
            </w:r>
            <w:r w:rsidR="00862564">
              <w:rPr>
                <w:rFonts w:ascii="Arial" w:hAnsi="Arial" w:cs="Arial"/>
                <w:b/>
                <w:bCs/>
                <w:lang w:val="en-GB"/>
              </w:rPr>
              <w:t>Expenses—Continued Operations</w:t>
            </w:r>
            <w:r w:rsidRPr="00B04967">
              <w:rPr>
                <w:rFonts w:ascii="Arial" w:hAnsi="Arial" w:cs="Arial"/>
                <w:b/>
                <w:bCs/>
                <w:lang w:val="en-GB"/>
              </w:rPr>
              <w:t xml:space="preserve"> </w:t>
            </w:r>
          </w:p>
        </w:tc>
        <w:tc>
          <w:tcPr>
            <w:tcW w:w="1070" w:type="dxa"/>
            <w:vAlign w:val="center"/>
            <w:hideMark/>
          </w:tcPr>
          <w:p w14:paraId="313957F7" w14:textId="77777777" w:rsidR="00825E1E" w:rsidRPr="00B04967" w:rsidRDefault="00825E1E" w:rsidP="00AC1BEE">
            <w:pPr>
              <w:jc w:val="right"/>
              <w:rPr>
                <w:rFonts w:ascii="Arial" w:hAnsi="Arial" w:cs="Arial"/>
                <w:b/>
                <w:bCs/>
                <w:lang w:val="en-GB"/>
              </w:rPr>
            </w:pPr>
          </w:p>
        </w:tc>
        <w:tc>
          <w:tcPr>
            <w:tcW w:w="1083" w:type="dxa"/>
            <w:vAlign w:val="center"/>
            <w:hideMark/>
          </w:tcPr>
          <w:p w14:paraId="7FF07C63" w14:textId="77777777" w:rsidR="00825E1E" w:rsidRPr="00B04967" w:rsidRDefault="00825E1E" w:rsidP="00AC1BEE">
            <w:pPr>
              <w:jc w:val="right"/>
              <w:rPr>
                <w:rFonts w:ascii="Arial" w:hAnsi="Arial" w:cs="Arial"/>
                <w:lang w:val="en-GB"/>
              </w:rPr>
            </w:pPr>
          </w:p>
        </w:tc>
        <w:tc>
          <w:tcPr>
            <w:tcW w:w="1080" w:type="dxa"/>
            <w:vAlign w:val="center"/>
            <w:hideMark/>
          </w:tcPr>
          <w:p w14:paraId="47E0E41D" w14:textId="77777777" w:rsidR="00825E1E" w:rsidRPr="00B04967" w:rsidRDefault="00825E1E" w:rsidP="00AC1BEE">
            <w:pPr>
              <w:jc w:val="right"/>
              <w:rPr>
                <w:rFonts w:ascii="Arial" w:hAnsi="Arial" w:cs="Arial"/>
                <w:lang w:val="en-GB"/>
              </w:rPr>
            </w:pPr>
          </w:p>
        </w:tc>
        <w:tc>
          <w:tcPr>
            <w:tcW w:w="1080" w:type="dxa"/>
            <w:vAlign w:val="center"/>
            <w:hideMark/>
          </w:tcPr>
          <w:p w14:paraId="199C1A02" w14:textId="77777777" w:rsidR="00825E1E" w:rsidRPr="00B04967" w:rsidRDefault="00825E1E" w:rsidP="00AC1BEE">
            <w:pPr>
              <w:jc w:val="right"/>
              <w:rPr>
                <w:rFonts w:ascii="Arial" w:hAnsi="Arial" w:cs="Arial"/>
                <w:lang w:val="en-GB"/>
              </w:rPr>
            </w:pPr>
          </w:p>
        </w:tc>
        <w:tc>
          <w:tcPr>
            <w:tcW w:w="1080" w:type="dxa"/>
            <w:vAlign w:val="center"/>
            <w:hideMark/>
          </w:tcPr>
          <w:p w14:paraId="149E80AB" w14:textId="77777777" w:rsidR="00825E1E" w:rsidRPr="00B04967" w:rsidRDefault="00825E1E" w:rsidP="00AC1BEE">
            <w:pPr>
              <w:jc w:val="right"/>
              <w:rPr>
                <w:rFonts w:ascii="Arial" w:hAnsi="Arial" w:cs="Arial"/>
                <w:lang w:val="en-GB"/>
              </w:rPr>
            </w:pPr>
          </w:p>
        </w:tc>
      </w:tr>
      <w:tr w:rsidR="00825E1E" w:rsidRPr="00B04967" w14:paraId="62702026" w14:textId="77777777" w:rsidTr="00F03407">
        <w:trPr>
          <w:tblHeader/>
        </w:trPr>
        <w:tc>
          <w:tcPr>
            <w:tcW w:w="3872" w:type="dxa"/>
            <w:hideMark/>
          </w:tcPr>
          <w:p w14:paraId="5C6E7099" w14:textId="77777777" w:rsidR="00825E1E" w:rsidRPr="00B04967" w:rsidRDefault="00825E1E" w:rsidP="00D92414">
            <w:pPr>
              <w:rPr>
                <w:rFonts w:ascii="Arial" w:hAnsi="Arial" w:cs="Arial"/>
                <w:lang w:val="en-GB"/>
              </w:rPr>
            </w:pPr>
            <w:r w:rsidRPr="00B04967">
              <w:rPr>
                <w:rFonts w:ascii="Arial" w:hAnsi="Arial" w:cs="Arial"/>
                <w:lang w:val="en-GB"/>
              </w:rPr>
              <w:t>Current Tax</w:t>
            </w:r>
          </w:p>
        </w:tc>
        <w:tc>
          <w:tcPr>
            <w:tcW w:w="1070" w:type="dxa"/>
            <w:vAlign w:val="center"/>
            <w:hideMark/>
          </w:tcPr>
          <w:p w14:paraId="13E28DC1" w14:textId="77777777" w:rsidR="00825E1E" w:rsidRPr="00B04967" w:rsidRDefault="00825E1E" w:rsidP="00AC1BEE">
            <w:pPr>
              <w:jc w:val="right"/>
              <w:rPr>
                <w:rFonts w:ascii="Arial" w:hAnsi="Arial" w:cs="Arial"/>
                <w:lang w:val="en-GB"/>
              </w:rPr>
            </w:pPr>
            <w:r w:rsidRPr="00B04967">
              <w:rPr>
                <w:rFonts w:ascii="Arial" w:hAnsi="Arial" w:cs="Arial"/>
                <w:lang w:val="en-GB"/>
              </w:rPr>
              <w:t>2,007.5</w:t>
            </w:r>
          </w:p>
        </w:tc>
        <w:tc>
          <w:tcPr>
            <w:tcW w:w="1083" w:type="dxa"/>
            <w:vAlign w:val="center"/>
            <w:hideMark/>
          </w:tcPr>
          <w:p w14:paraId="7564D55D" w14:textId="77777777" w:rsidR="00825E1E" w:rsidRPr="00B04967" w:rsidRDefault="00825E1E" w:rsidP="00AC1BEE">
            <w:pPr>
              <w:jc w:val="right"/>
              <w:rPr>
                <w:rFonts w:ascii="Arial" w:hAnsi="Arial" w:cs="Arial"/>
                <w:lang w:val="en-GB"/>
              </w:rPr>
            </w:pPr>
            <w:r w:rsidRPr="00B04967">
              <w:rPr>
                <w:rFonts w:ascii="Arial" w:hAnsi="Arial" w:cs="Arial"/>
                <w:lang w:val="en-GB"/>
              </w:rPr>
              <w:t>6.5</w:t>
            </w:r>
          </w:p>
        </w:tc>
        <w:tc>
          <w:tcPr>
            <w:tcW w:w="1080" w:type="dxa"/>
            <w:vAlign w:val="center"/>
            <w:hideMark/>
          </w:tcPr>
          <w:p w14:paraId="385A5017"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7BBF4D35"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7501D5B3"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r>
      <w:tr w:rsidR="00825E1E" w:rsidRPr="00B04967" w14:paraId="78F29241" w14:textId="77777777" w:rsidTr="00F03407">
        <w:trPr>
          <w:tblHeader/>
        </w:trPr>
        <w:tc>
          <w:tcPr>
            <w:tcW w:w="3872" w:type="dxa"/>
            <w:hideMark/>
          </w:tcPr>
          <w:p w14:paraId="028E2FD8" w14:textId="77777777" w:rsidR="00825E1E" w:rsidRPr="00B04967" w:rsidRDefault="00825E1E" w:rsidP="00D92414">
            <w:pPr>
              <w:rPr>
                <w:rFonts w:ascii="Arial" w:hAnsi="Arial" w:cs="Arial"/>
                <w:lang w:val="en-GB"/>
              </w:rPr>
            </w:pPr>
            <w:r w:rsidRPr="00B04967">
              <w:rPr>
                <w:rFonts w:ascii="Arial" w:hAnsi="Arial" w:cs="Arial"/>
                <w:lang w:val="en-GB"/>
              </w:rPr>
              <w:t>Less: MAT Credit Entitlement</w:t>
            </w:r>
          </w:p>
        </w:tc>
        <w:tc>
          <w:tcPr>
            <w:tcW w:w="1070" w:type="dxa"/>
            <w:vAlign w:val="center"/>
            <w:hideMark/>
          </w:tcPr>
          <w:p w14:paraId="23CE235F"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3" w:type="dxa"/>
            <w:vAlign w:val="center"/>
            <w:hideMark/>
          </w:tcPr>
          <w:p w14:paraId="362FCC4E"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62BDA02E"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1FB6E85E"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46FD27F4"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r>
      <w:tr w:rsidR="00825E1E" w:rsidRPr="00B04967" w14:paraId="3F3B9CB6" w14:textId="77777777" w:rsidTr="00F03407">
        <w:trPr>
          <w:tblHeader/>
        </w:trPr>
        <w:tc>
          <w:tcPr>
            <w:tcW w:w="3872" w:type="dxa"/>
            <w:hideMark/>
          </w:tcPr>
          <w:p w14:paraId="0CE1C6EB" w14:textId="77777777" w:rsidR="00825E1E" w:rsidRPr="00B04967" w:rsidRDefault="00825E1E" w:rsidP="00D92414">
            <w:pPr>
              <w:rPr>
                <w:rFonts w:ascii="Arial" w:hAnsi="Arial" w:cs="Arial"/>
                <w:lang w:val="en-GB"/>
              </w:rPr>
            </w:pPr>
            <w:r w:rsidRPr="00B04967">
              <w:rPr>
                <w:rFonts w:ascii="Arial" w:hAnsi="Arial" w:cs="Arial"/>
                <w:lang w:val="en-GB"/>
              </w:rPr>
              <w:t>Deferred Tax</w:t>
            </w:r>
          </w:p>
        </w:tc>
        <w:tc>
          <w:tcPr>
            <w:tcW w:w="1070" w:type="dxa"/>
            <w:vAlign w:val="center"/>
            <w:hideMark/>
          </w:tcPr>
          <w:p w14:paraId="4C98F039"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3" w:type="dxa"/>
            <w:vAlign w:val="center"/>
            <w:hideMark/>
          </w:tcPr>
          <w:p w14:paraId="2244A628" w14:textId="2425896D" w:rsidR="00825E1E" w:rsidRPr="00B04967" w:rsidRDefault="00B47C9D" w:rsidP="00AC1BEE">
            <w:pPr>
              <w:jc w:val="right"/>
              <w:rPr>
                <w:rFonts w:ascii="Arial" w:hAnsi="Arial" w:cs="Arial"/>
                <w:lang w:val="en-GB"/>
              </w:rPr>
            </w:pPr>
            <w:r>
              <w:rPr>
                <w:rFonts w:ascii="Arial" w:hAnsi="Arial" w:cs="Arial"/>
                <w:lang w:val="en-GB"/>
              </w:rPr>
              <w:t>(</w:t>
            </w:r>
            <w:r w:rsidR="00825E1E" w:rsidRPr="00B04967">
              <w:rPr>
                <w:rFonts w:ascii="Arial" w:hAnsi="Arial" w:cs="Arial"/>
                <w:lang w:val="en-GB"/>
              </w:rPr>
              <w:t>2376.0</w:t>
            </w:r>
            <w:r>
              <w:rPr>
                <w:rFonts w:ascii="Arial" w:hAnsi="Arial" w:cs="Arial"/>
                <w:lang w:val="en-GB"/>
              </w:rPr>
              <w:t>)</w:t>
            </w:r>
          </w:p>
        </w:tc>
        <w:tc>
          <w:tcPr>
            <w:tcW w:w="1080" w:type="dxa"/>
            <w:vAlign w:val="center"/>
            <w:hideMark/>
          </w:tcPr>
          <w:p w14:paraId="3EA71224"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2A6FBF1A"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1C0321FD" w14:textId="4F15E992" w:rsidR="00825E1E" w:rsidRPr="00B04967" w:rsidRDefault="00B47C9D" w:rsidP="00AC1BEE">
            <w:pPr>
              <w:jc w:val="right"/>
              <w:rPr>
                <w:rFonts w:ascii="Arial" w:hAnsi="Arial" w:cs="Arial"/>
                <w:lang w:val="en-GB"/>
              </w:rPr>
            </w:pPr>
            <w:r>
              <w:rPr>
                <w:rFonts w:ascii="Arial" w:hAnsi="Arial" w:cs="Arial"/>
                <w:lang w:val="en-GB"/>
              </w:rPr>
              <w:t>(</w:t>
            </w:r>
            <w:r w:rsidR="00825E1E" w:rsidRPr="00B04967">
              <w:rPr>
                <w:rFonts w:ascii="Arial" w:hAnsi="Arial" w:cs="Arial"/>
                <w:lang w:val="en-GB"/>
              </w:rPr>
              <w:t>594.2</w:t>
            </w:r>
            <w:r>
              <w:rPr>
                <w:rFonts w:ascii="Arial" w:hAnsi="Arial" w:cs="Arial"/>
                <w:lang w:val="en-GB"/>
              </w:rPr>
              <w:t>)</w:t>
            </w:r>
          </w:p>
        </w:tc>
      </w:tr>
      <w:tr w:rsidR="00825E1E" w:rsidRPr="00B04967" w14:paraId="03710F3E" w14:textId="77777777" w:rsidTr="00F03407">
        <w:trPr>
          <w:tblHeader/>
        </w:trPr>
        <w:tc>
          <w:tcPr>
            <w:tcW w:w="3872" w:type="dxa"/>
            <w:hideMark/>
          </w:tcPr>
          <w:p w14:paraId="6CF7B5A0" w14:textId="7BB32689" w:rsidR="00825E1E" w:rsidRPr="00B04967" w:rsidRDefault="00825E1E" w:rsidP="00D92414">
            <w:pPr>
              <w:rPr>
                <w:rFonts w:ascii="Arial" w:hAnsi="Arial" w:cs="Arial"/>
                <w:lang w:val="en-GB"/>
              </w:rPr>
            </w:pPr>
            <w:r w:rsidRPr="00B04967">
              <w:rPr>
                <w:rFonts w:ascii="Arial" w:hAnsi="Arial" w:cs="Arial"/>
                <w:lang w:val="en-GB"/>
              </w:rPr>
              <w:t xml:space="preserve">Tax </w:t>
            </w:r>
            <w:r w:rsidR="00862564">
              <w:rPr>
                <w:rFonts w:ascii="Arial" w:hAnsi="Arial" w:cs="Arial"/>
                <w:lang w:val="en-GB"/>
              </w:rPr>
              <w:t>for</w:t>
            </w:r>
            <w:r w:rsidRPr="00B04967">
              <w:rPr>
                <w:rFonts w:ascii="Arial" w:hAnsi="Arial" w:cs="Arial"/>
                <w:lang w:val="en-GB"/>
              </w:rPr>
              <w:t xml:space="preserve"> Earlier Years</w:t>
            </w:r>
          </w:p>
        </w:tc>
        <w:tc>
          <w:tcPr>
            <w:tcW w:w="1070" w:type="dxa"/>
            <w:vAlign w:val="center"/>
            <w:hideMark/>
          </w:tcPr>
          <w:p w14:paraId="75FFAE36"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3" w:type="dxa"/>
            <w:vAlign w:val="center"/>
            <w:hideMark/>
          </w:tcPr>
          <w:p w14:paraId="6CCB4DD1" w14:textId="77777777" w:rsidR="00825E1E" w:rsidRPr="00B04967" w:rsidRDefault="00825E1E" w:rsidP="00AC1BEE">
            <w:pPr>
              <w:jc w:val="right"/>
              <w:rPr>
                <w:rFonts w:ascii="Arial" w:hAnsi="Arial" w:cs="Arial"/>
                <w:lang w:val="en-GB"/>
              </w:rPr>
            </w:pPr>
            <w:r w:rsidRPr="00B04967">
              <w:rPr>
                <w:rFonts w:ascii="Arial" w:hAnsi="Arial" w:cs="Arial"/>
                <w:lang w:val="en-GB"/>
              </w:rPr>
              <w:t>2.27</w:t>
            </w:r>
          </w:p>
        </w:tc>
        <w:tc>
          <w:tcPr>
            <w:tcW w:w="1080" w:type="dxa"/>
            <w:vAlign w:val="center"/>
            <w:hideMark/>
          </w:tcPr>
          <w:p w14:paraId="4E754309"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039990B5"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c>
          <w:tcPr>
            <w:tcW w:w="1080" w:type="dxa"/>
            <w:vAlign w:val="center"/>
            <w:hideMark/>
          </w:tcPr>
          <w:p w14:paraId="35511A77" w14:textId="77777777" w:rsidR="00825E1E" w:rsidRPr="00B04967" w:rsidRDefault="00825E1E" w:rsidP="00AC1BEE">
            <w:pPr>
              <w:jc w:val="right"/>
              <w:rPr>
                <w:rFonts w:ascii="Arial" w:hAnsi="Arial" w:cs="Arial"/>
                <w:lang w:val="en-GB"/>
              </w:rPr>
            </w:pPr>
            <w:r w:rsidRPr="00B04967">
              <w:rPr>
                <w:rFonts w:ascii="Arial" w:hAnsi="Arial" w:cs="Arial"/>
                <w:lang w:val="en-GB"/>
              </w:rPr>
              <w:t>0.00</w:t>
            </w:r>
          </w:p>
        </w:tc>
      </w:tr>
      <w:tr w:rsidR="00825E1E" w:rsidRPr="00B04967" w14:paraId="2DD9AE2F" w14:textId="77777777" w:rsidTr="00F03407">
        <w:trPr>
          <w:tblHeader/>
        </w:trPr>
        <w:tc>
          <w:tcPr>
            <w:tcW w:w="3872" w:type="dxa"/>
            <w:hideMark/>
          </w:tcPr>
          <w:p w14:paraId="23625FFE" w14:textId="22DA4F01" w:rsidR="00825E1E" w:rsidRPr="00B04967" w:rsidRDefault="00825E1E" w:rsidP="00D92414">
            <w:pPr>
              <w:rPr>
                <w:rFonts w:ascii="Arial" w:hAnsi="Arial" w:cs="Arial"/>
                <w:b/>
                <w:bCs/>
                <w:lang w:val="en-GB"/>
              </w:rPr>
            </w:pPr>
            <w:r w:rsidRPr="00B04967">
              <w:rPr>
                <w:rFonts w:ascii="Arial" w:hAnsi="Arial" w:cs="Arial"/>
                <w:b/>
                <w:bCs/>
                <w:lang w:val="en-GB"/>
              </w:rPr>
              <w:t xml:space="preserve">Total </w:t>
            </w:r>
            <w:r w:rsidR="00862564">
              <w:rPr>
                <w:rFonts w:ascii="Arial" w:hAnsi="Arial" w:cs="Arial"/>
                <w:b/>
                <w:bCs/>
                <w:lang w:val="en-GB"/>
              </w:rPr>
              <w:t>Tax Expenses</w:t>
            </w:r>
            <w:r w:rsidRPr="00B04967">
              <w:rPr>
                <w:rFonts w:ascii="Arial" w:hAnsi="Arial" w:cs="Arial"/>
                <w:b/>
                <w:bCs/>
                <w:lang w:val="en-GB"/>
              </w:rPr>
              <w:t xml:space="preserve"> </w:t>
            </w:r>
          </w:p>
        </w:tc>
        <w:tc>
          <w:tcPr>
            <w:tcW w:w="1070" w:type="dxa"/>
            <w:vAlign w:val="center"/>
            <w:hideMark/>
          </w:tcPr>
          <w:p w14:paraId="10095C08"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2,007.5</w:t>
            </w:r>
          </w:p>
        </w:tc>
        <w:tc>
          <w:tcPr>
            <w:tcW w:w="1083" w:type="dxa"/>
            <w:vAlign w:val="center"/>
            <w:hideMark/>
          </w:tcPr>
          <w:p w14:paraId="521C60B1" w14:textId="16AE711D"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2,346.8</w:t>
            </w:r>
            <w:r>
              <w:rPr>
                <w:rFonts w:ascii="Arial" w:hAnsi="Arial" w:cs="Arial"/>
                <w:b/>
                <w:bCs/>
                <w:lang w:val="en-GB"/>
              </w:rPr>
              <w:t>)</w:t>
            </w:r>
          </w:p>
        </w:tc>
        <w:tc>
          <w:tcPr>
            <w:tcW w:w="1080" w:type="dxa"/>
            <w:vAlign w:val="center"/>
            <w:hideMark/>
          </w:tcPr>
          <w:p w14:paraId="25B65293"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0.00</w:t>
            </w:r>
          </w:p>
        </w:tc>
        <w:tc>
          <w:tcPr>
            <w:tcW w:w="1080" w:type="dxa"/>
            <w:vAlign w:val="center"/>
            <w:hideMark/>
          </w:tcPr>
          <w:p w14:paraId="5E8A96EF"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0.00</w:t>
            </w:r>
          </w:p>
        </w:tc>
        <w:tc>
          <w:tcPr>
            <w:tcW w:w="1080" w:type="dxa"/>
            <w:vAlign w:val="center"/>
            <w:hideMark/>
          </w:tcPr>
          <w:p w14:paraId="05CD3E3F" w14:textId="3D362EAA"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594.2</w:t>
            </w:r>
            <w:r>
              <w:rPr>
                <w:rFonts w:ascii="Arial" w:hAnsi="Arial" w:cs="Arial"/>
                <w:b/>
                <w:bCs/>
                <w:lang w:val="en-GB"/>
              </w:rPr>
              <w:t>)</w:t>
            </w:r>
          </w:p>
        </w:tc>
      </w:tr>
      <w:tr w:rsidR="00825E1E" w:rsidRPr="00B04967" w14:paraId="4A27DFD7" w14:textId="77777777" w:rsidTr="00F03407">
        <w:trPr>
          <w:tblHeader/>
        </w:trPr>
        <w:tc>
          <w:tcPr>
            <w:tcW w:w="3872" w:type="dxa"/>
            <w:hideMark/>
          </w:tcPr>
          <w:p w14:paraId="12FC1CDD" w14:textId="2558C04B" w:rsidR="00825E1E" w:rsidRPr="00B04967" w:rsidRDefault="00825E1E" w:rsidP="00D92414">
            <w:pPr>
              <w:rPr>
                <w:rFonts w:ascii="Arial" w:hAnsi="Arial" w:cs="Arial"/>
                <w:b/>
                <w:bCs/>
                <w:lang w:val="en-GB"/>
              </w:rPr>
            </w:pPr>
            <w:r w:rsidRPr="00B04967">
              <w:rPr>
                <w:rFonts w:ascii="Arial" w:hAnsi="Arial" w:cs="Arial"/>
                <w:b/>
                <w:bCs/>
                <w:lang w:val="en-GB"/>
              </w:rPr>
              <w:t>Profit</w:t>
            </w:r>
            <w:r w:rsidR="00862564">
              <w:rPr>
                <w:rFonts w:ascii="Arial" w:hAnsi="Arial" w:cs="Arial"/>
                <w:b/>
                <w:bCs/>
                <w:lang w:val="en-GB"/>
              </w:rPr>
              <w:t xml:space="preserve"> and Loss</w:t>
            </w:r>
            <w:r w:rsidRPr="00B04967">
              <w:rPr>
                <w:rFonts w:ascii="Arial" w:hAnsi="Arial" w:cs="Arial"/>
                <w:b/>
                <w:bCs/>
                <w:lang w:val="en-GB"/>
              </w:rPr>
              <w:t xml:space="preserve"> after </w:t>
            </w:r>
            <w:r w:rsidR="00862564">
              <w:rPr>
                <w:rFonts w:ascii="Arial" w:hAnsi="Arial" w:cs="Arial"/>
                <w:b/>
                <w:bCs/>
                <w:lang w:val="en-GB"/>
              </w:rPr>
              <w:t>Tax</w:t>
            </w:r>
            <w:r w:rsidRPr="00B04967">
              <w:rPr>
                <w:rFonts w:ascii="Arial" w:hAnsi="Arial" w:cs="Arial"/>
                <w:b/>
                <w:bCs/>
                <w:lang w:val="en-GB"/>
              </w:rPr>
              <w:t xml:space="preserve"> and </w:t>
            </w:r>
            <w:r w:rsidR="00862564">
              <w:rPr>
                <w:rFonts w:ascii="Arial" w:hAnsi="Arial" w:cs="Arial"/>
                <w:b/>
                <w:bCs/>
                <w:lang w:val="en-GB"/>
              </w:rPr>
              <w:t>Before</w:t>
            </w:r>
            <w:r w:rsidRPr="00B04967">
              <w:rPr>
                <w:rFonts w:ascii="Arial" w:hAnsi="Arial" w:cs="Arial"/>
                <w:b/>
                <w:bCs/>
                <w:lang w:val="en-GB"/>
              </w:rPr>
              <w:t xml:space="preserve"> </w:t>
            </w:r>
            <w:r w:rsidR="00862564">
              <w:rPr>
                <w:rFonts w:ascii="Arial" w:hAnsi="Arial" w:cs="Arial"/>
                <w:b/>
                <w:bCs/>
                <w:lang w:val="en-GB"/>
              </w:rPr>
              <w:t>Extraordinary Items</w:t>
            </w:r>
          </w:p>
          <w:p w14:paraId="6CEC1151" w14:textId="77777777" w:rsidR="00825E1E" w:rsidRPr="00B04967" w:rsidRDefault="00825E1E" w:rsidP="00D92414">
            <w:pPr>
              <w:rPr>
                <w:rFonts w:ascii="Arial" w:hAnsi="Arial" w:cs="Arial"/>
                <w:b/>
                <w:bCs/>
                <w:lang w:val="en-GB"/>
              </w:rPr>
            </w:pPr>
          </w:p>
        </w:tc>
        <w:tc>
          <w:tcPr>
            <w:tcW w:w="1070" w:type="dxa"/>
            <w:vAlign w:val="center"/>
            <w:hideMark/>
          </w:tcPr>
          <w:p w14:paraId="376131C2" w14:textId="62A91462"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860.4</w:t>
            </w:r>
            <w:r>
              <w:rPr>
                <w:rFonts w:ascii="Arial" w:hAnsi="Arial" w:cs="Arial"/>
                <w:b/>
                <w:bCs/>
                <w:lang w:val="en-GB"/>
              </w:rPr>
              <w:t>)</w:t>
            </w:r>
          </w:p>
        </w:tc>
        <w:tc>
          <w:tcPr>
            <w:tcW w:w="1083" w:type="dxa"/>
            <w:vAlign w:val="center"/>
            <w:hideMark/>
          </w:tcPr>
          <w:p w14:paraId="26BEB785"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3,986.8</w:t>
            </w:r>
          </w:p>
        </w:tc>
        <w:tc>
          <w:tcPr>
            <w:tcW w:w="1080" w:type="dxa"/>
            <w:vAlign w:val="center"/>
            <w:hideMark/>
          </w:tcPr>
          <w:p w14:paraId="7D932D33"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1,213.4</w:t>
            </w:r>
          </w:p>
        </w:tc>
        <w:tc>
          <w:tcPr>
            <w:tcW w:w="1080" w:type="dxa"/>
            <w:vAlign w:val="center"/>
            <w:hideMark/>
          </w:tcPr>
          <w:p w14:paraId="1239ED19" w14:textId="0B7FF1A2"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3,549.5</w:t>
            </w:r>
            <w:r>
              <w:rPr>
                <w:rFonts w:ascii="Arial" w:hAnsi="Arial" w:cs="Arial"/>
                <w:b/>
                <w:bCs/>
                <w:lang w:val="en-GB"/>
              </w:rPr>
              <w:t>)</w:t>
            </w:r>
          </w:p>
        </w:tc>
        <w:tc>
          <w:tcPr>
            <w:tcW w:w="1080" w:type="dxa"/>
            <w:vAlign w:val="center"/>
            <w:hideMark/>
          </w:tcPr>
          <w:p w14:paraId="53499D64" w14:textId="46659B42"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4,194.9</w:t>
            </w:r>
            <w:r>
              <w:rPr>
                <w:rFonts w:ascii="Arial" w:hAnsi="Arial" w:cs="Arial"/>
                <w:b/>
                <w:bCs/>
                <w:lang w:val="en-GB"/>
              </w:rPr>
              <w:t>)</w:t>
            </w:r>
          </w:p>
        </w:tc>
      </w:tr>
      <w:tr w:rsidR="00825E1E" w:rsidRPr="00B04967" w14:paraId="31101D84" w14:textId="77777777" w:rsidTr="00F03407">
        <w:trPr>
          <w:tblHeader/>
        </w:trPr>
        <w:tc>
          <w:tcPr>
            <w:tcW w:w="3872" w:type="dxa"/>
            <w:hideMark/>
          </w:tcPr>
          <w:p w14:paraId="76C32520" w14:textId="14DDD172" w:rsidR="00825E1E" w:rsidRPr="00B04967" w:rsidRDefault="00825E1E" w:rsidP="00D92414">
            <w:pPr>
              <w:rPr>
                <w:rFonts w:ascii="Arial" w:hAnsi="Arial" w:cs="Arial"/>
                <w:b/>
                <w:bCs/>
                <w:lang w:val="en-GB"/>
              </w:rPr>
            </w:pPr>
            <w:r w:rsidRPr="00B04967">
              <w:rPr>
                <w:rFonts w:ascii="Arial" w:hAnsi="Arial" w:cs="Arial"/>
                <w:b/>
                <w:bCs/>
                <w:lang w:val="en-GB"/>
              </w:rPr>
              <w:t>Profit</w:t>
            </w:r>
            <w:r w:rsidR="00862564">
              <w:rPr>
                <w:rFonts w:ascii="Arial" w:hAnsi="Arial" w:cs="Arial"/>
                <w:b/>
                <w:bCs/>
                <w:lang w:val="en-GB"/>
              </w:rPr>
              <w:t xml:space="preserve"> and Loss</w:t>
            </w:r>
            <w:r w:rsidRPr="00B04967">
              <w:rPr>
                <w:rFonts w:ascii="Arial" w:hAnsi="Arial" w:cs="Arial"/>
                <w:b/>
                <w:bCs/>
                <w:lang w:val="en-GB"/>
              </w:rPr>
              <w:t xml:space="preserve"> from </w:t>
            </w:r>
            <w:r w:rsidR="00862564">
              <w:rPr>
                <w:rFonts w:ascii="Arial" w:hAnsi="Arial" w:cs="Arial"/>
                <w:b/>
                <w:bCs/>
                <w:lang w:val="en-GB"/>
              </w:rPr>
              <w:t>Continuing Operations</w:t>
            </w:r>
          </w:p>
          <w:p w14:paraId="37743DA7" w14:textId="77777777" w:rsidR="00825E1E" w:rsidRPr="00B04967" w:rsidRDefault="00825E1E" w:rsidP="00D92414">
            <w:pPr>
              <w:rPr>
                <w:rFonts w:ascii="Arial" w:hAnsi="Arial" w:cs="Arial"/>
                <w:b/>
                <w:bCs/>
                <w:lang w:val="en-GB"/>
              </w:rPr>
            </w:pPr>
          </w:p>
        </w:tc>
        <w:tc>
          <w:tcPr>
            <w:tcW w:w="1070" w:type="dxa"/>
            <w:vAlign w:val="center"/>
            <w:hideMark/>
          </w:tcPr>
          <w:p w14:paraId="016E016B"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3,954.0</w:t>
            </w:r>
          </w:p>
        </w:tc>
        <w:tc>
          <w:tcPr>
            <w:tcW w:w="1083" w:type="dxa"/>
            <w:vAlign w:val="center"/>
            <w:hideMark/>
          </w:tcPr>
          <w:p w14:paraId="74391FDD"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3,986.8</w:t>
            </w:r>
          </w:p>
        </w:tc>
        <w:tc>
          <w:tcPr>
            <w:tcW w:w="1080" w:type="dxa"/>
            <w:vAlign w:val="center"/>
            <w:hideMark/>
          </w:tcPr>
          <w:p w14:paraId="4E8851C1"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1,213.4</w:t>
            </w:r>
          </w:p>
        </w:tc>
        <w:tc>
          <w:tcPr>
            <w:tcW w:w="1080" w:type="dxa"/>
            <w:vAlign w:val="center"/>
            <w:hideMark/>
          </w:tcPr>
          <w:p w14:paraId="5EB530DA" w14:textId="430210C9"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3,549.5</w:t>
            </w:r>
            <w:r>
              <w:rPr>
                <w:rFonts w:ascii="Arial" w:hAnsi="Arial" w:cs="Arial"/>
                <w:b/>
                <w:bCs/>
                <w:lang w:val="en-GB"/>
              </w:rPr>
              <w:t>)</w:t>
            </w:r>
          </w:p>
        </w:tc>
        <w:tc>
          <w:tcPr>
            <w:tcW w:w="1080" w:type="dxa"/>
            <w:vAlign w:val="center"/>
            <w:hideMark/>
          </w:tcPr>
          <w:p w14:paraId="68200FEE" w14:textId="414AD8BE"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4,194.9</w:t>
            </w:r>
            <w:r>
              <w:rPr>
                <w:rFonts w:ascii="Arial" w:hAnsi="Arial" w:cs="Arial"/>
                <w:b/>
                <w:bCs/>
                <w:lang w:val="en-GB"/>
              </w:rPr>
              <w:t>)</w:t>
            </w:r>
          </w:p>
        </w:tc>
      </w:tr>
      <w:tr w:rsidR="00825E1E" w:rsidRPr="00B04967" w14:paraId="179510E5" w14:textId="77777777" w:rsidTr="00F03407">
        <w:trPr>
          <w:tblHeader/>
        </w:trPr>
        <w:tc>
          <w:tcPr>
            <w:tcW w:w="3872" w:type="dxa"/>
            <w:hideMark/>
          </w:tcPr>
          <w:p w14:paraId="524914B0" w14:textId="4AC3670F" w:rsidR="00825E1E" w:rsidRPr="00B04967" w:rsidRDefault="00825E1E" w:rsidP="00D92414">
            <w:pPr>
              <w:rPr>
                <w:rFonts w:ascii="Arial" w:hAnsi="Arial" w:cs="Arial"/>
                <w:b/>
                <w:bCs/>
                <w:lang w:val="en-GB"/>
              </w:rPr>
            </w:pPr>
            <w:r w:rsidRPr="00B04967">
              <w:rPr>
                <w:rFonts w:ascii="Arial" w:hAnsi="Arial" w:cs="Arial"/>
                <w:b/>
                <w:bCs/>
                <w:lang w:val="en-GB"/>
              </w:rPr>
              <w:t>Profit</w:t>
            </w:r>
            <w:r w:rsidR="00862564">
              <w:rPr>
                <w:rFonts w:ascii="Arial" w:hAnsi="Arial" w:cs="Arial"/>
                <w:b/>
                <w:bCs/>
                <w:lang w:val="en-GB"/>
              </w:rPr>
              <w:t xml:space="preserve"> and Loss</w:t>
            </w:r>
            <w:r w:rsidRPr="00B04967">
              <w:rPr>
                <w:rFonts w:ascii="Arial" w:hAnsi="Arial" w:cs="Arial"/>
                <w:b/>
                <w:bCs/>
                <w:lang w:val="en-GB"/>
              </w:rPr>
              <w:t xml:space="preserve"> for the</w:t>
            </w:r>
            <w:r w:rsidR="00862564">
              <w:rPr>
                <w:rFonts w:ascii="Arial" w:hAnsi="Arial" w:cs="Arial"/>
                <w:b/>
                <w:bCs/>
                <w:lang w:val="en-GB"/>
              </w:rPr>
              <w:t xml:space="preserve"> Period</w:t>
            </w:r>
          </w:p>
          <w:p w14:paraId="58AB8591" w14:textId="77777777" w:rsidR="00825E1E" w:rsidRPr="00B04967" w:rsidRDefault="00825E1E" w:rsidP="00D92414">
            <w:pPr>
              <w:rPr>
                <w:rFonts w:ascii="Arial" w:hAnsi="Arial" w:cs="Arial"/>
                <w:b/>
                <w:bCs/>
                <w:lang w:val="en-GB"/>
              </w:rPr>
            </w:pPr>
          </w:p>
        </w:tc>
        <w:tc>
          <w:tcPr>
            <w:tcW w:w="1070" w:type="dxa"/>
            <w:vAlign w:val="center"/>
            <w:hideMark/>
          </w:tcPr>
          <w:p w14:paraId="472FFF84"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3,954.0</w:t>
            </w:r>
          </w:p>
        </w:tc>
        <w:tc>
          <w:tcPr>
            <w:tcW w:w="1083" w:type="dxa"/>
            <w:vAlign w:val="center"/>
            <w:hideMark/>
          </w:tcPr>
          <w:p w14:paraId="176A3DC0" w14:textId="77777777" w:rsidR="00825E1E" w:rsidRPr="00B04967" w:rsidRDefault="00825E1E" w:rsidP="00AC1BEE">
            <w:pPr>
              <w:jc w:val="right"/>
              <w:rPr>
                <w:rFonts w:ascii="Arial" w:hAnsi="Arial" w:cs="Arial"/>
                <w:b/>
                <w:bCs/>
                <w:lang w:val="en-GB"/>
              </w:rPr>
            </w:pPr>
            <w:r w:rsidRPr="00B04967">
              <w:rPr>
                <w:rFonts w:ascii="Arial" w:hAnsi="Arial" w:cs="Arial"/>
                <w:b/>
                <w:bCs/>
                <w:lang w:val="en-GB"/>
              </w:rPr>
              <w:t>590.0</w:t>
            </w:r>
          </w:p>
        </w:tc>
        <w:tc>
          <w:tcPr>
            <w:tcW w:w="1080" w:type="dxa"/>
            <w:vAlign w:val="center"/>
            <w:hideMark/>
          </w:tcPr>
          <w:p w14:paraId="61CFBD93" w14:textId="6F69D62D"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2,823.4</w:t>
            </w:r>
            <w:r>
              <w:rPr>
                <w:rFonts w:ascii="Arial" w:hAnsi="Arial" w:cs="Arial"/>
                <w:b/>
                <w:bCs/>
                <w:lang w:val="en-GB"/>
              </w:rPr>
              <w:t>)</w:t>
            </w:r>
          </w:p>
        </w:tc>
        <w:tc>
          <w:tcPr>
            <w:tcW w:w="1080" w:type="dxa"/>
            <w:vAlign w:val="center"/>
            <w:hideMark/>
          </w:tcPr>
          <w:p w14:paraId="79A88D89" w14:textId="4A4A5E6E"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3,549.5</w:t>
            </w:r>
            <w:r>
              <w:rPr>
                <w:rFonts w:ascii="Arial" w:hAnsi="Arial" w:cs="Arial"/>
                <w:b/>
                <w:bCs/>
                <w:lang w:val="en-GB"/>
              </w:rPr>
              <w:t>)</w:t>
            </w:r>
          </w:p>
        </w:tc>
        <w:tc>
          <w:tcPr>
            <w:tcW w:w="1080" w:type="dxa"/>
            <w:vAlign w:val="center"/>
            <w:hideMark/>
          </w:tcPr>
          <w:p w14:paraId="524AB881" w14:textId="221572F6" w:rsidR="00825E1E" w:rsidRPr="00B04967" w:rsidRDefault="00B47C9D" w:rsidP="00AC1BEE">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4,194.9</w:t>
            </w:r>
            <w:r>
              <w:rPr>
                <w:rFonts w:ascii="Arial" w:hAnsi="Arial" w:cs="Arial"/>
                <w:b/>
                <w:bCs/>
                <w:lang w:val="en-GB"/>
              </w:rPr>
              <w:t>)</w:t>
            </w:r>
          </w:p>
        </w:tc>
      </w:tr>
      <w:tr w:rsidR="00825E1E" w:rsidRPr="00B04967" w14:paraId="03ECAA3B" w14:textId="77777777" w:rsidTr="00F03407">
        <w:trPr>
          <w:tblHeader/>
        </w:trPr>
        <w:tc>
          <w:tcPr>
            <w:tcW w:w="3872" w:type="dxa"/>
            <w:hideMark/>
          </w:tcPr>
          <w:p w14:paraId="4CB5E779" w14:textId="1B9322BF" w:rsidR="00825E1E" w:rsidRPr="00B04967" w:rsidRDefault="00825E1E" w:rsidP="00D92414">
            <w:pPr>
              <w:rPr>
                <w:rFonts w:ascii="Arial" w:hAnsi="Arial" w:cs="Arial"/>
                <w:b/>
                <w:bCs/>
                <w:lang w:val="en-GB"/>
              </w:rPr>
            </w:pPr>
            <w:r w:rsidRPr="00B04967">
              <w:rPr>
                <w:rFonts w:ascii="Arial" w:hAnsi="Arial" w:cs="Arial"/>
                <w:b/>
                <w:bCs/>
                <w:lang w:val="en-GB"/>
              </w:rPr>
              <w:t xml:space="preserve">Other </w:t>
            </w:r>
            <w:r w:rsidR="00862564">
              <w:rPr>
                <w:rFonts w:ascii="Arial" w:hAnsi="Arial" w:cs="Arial"/>
                <w:b/>
                <w:bCs/>
                <w:lang w:val="en-GB"/>
              </w:rPr>
              <w:t>Additional Information</w:t>
            </w:r>
          </w:p>
          <w:p w14:paraId="797DF554" w14:textId="77777777" w:rsidR="00825E1E" w:rsidRPr="00B04967" w:rsidRDefault="00825E1E" w:rsidP="00D92414">
            <w:pPr>
              <w:rPr>
                <w:rFonts w:ascii="Arial" w:hAnsi="Arial" w:cs="Arial"/>
                <w:b/>
                <w:bCs/>
                <w:lang w:val="en-GB"/>
              </w:rPr>
            </w:pPr>
          </w:p>
        </w:tc>
        <w:tc>
          <w:tcPr>
            <w:tcW w:w="1070" w:type="dxa"/>
            <w:vAlign w:val="center"/>
            <w:hideMark/>
          </w:tcPr>
          <w:p w14:paraId="703998B0" w14:textId="77777777" w:rsidR="00825E1E" w:rsidRPr="00B04967" w:rsidRDefault="00825E1E" w:rsidP="00AC1BEE">
            <w:pPr>
              <w:jc w:val="right"/>
              <w:rPr>
                <w:rFonts w:ascii="Arial" w:hAnsi="Arial" w:cs="Arial"/>
                <w:b/>
                <w:bCs/>
                <w:lang w:val="en-GB"/>
              </w:rPr>
            </w:pPr>
          </w:p>
        </w:tc>
        <w:tc>
          <w:tcPr>
            <w:tcW w:w="1083" w:type="dxa"/>
            <w:vAlign w:val="center"/>
            <w:hideMark/>
          </w:tcPr>
          <w:p w14:paraId="6CA39DD5" w14:textId="77777777" w:rsidR="00825E1E" w:rsidRPr="00B04967" w:rsidRDefault="00825E1E" w:rsidP="00AC1BEE">
            <w:pPr>
              <w:jc w:val="right"/>
              <w:rPr>
                <w:rFonts w:ascii="Arial" w:hAnsi="Arial" w:cs="Arial"/>
                <w:lang w:val="en-GB"/>
              </w:rPr>
            </w:pPr>
          </w:p>
        </w:tc>
        <w:tc>
          <w:tcPr>
            <w:tcW w:w="1080" w:type="dxa"/>
            <w:vAlign w:val="center"/>
            <w:hideMark/>
          </w:tcPr>
          <w:p w14:paraId="5BEAE4FF" w14:textId="77777777" w:rsidR="00825E1E" w:rsidRPr="00B04967" w:rsidRDefault="00825E1E" w:rsidP="00AC1BEE">
            <w:pPr>
              <w:jc w:val="right"/>
              <w:rPr>
                <w:rFonts w:ascii="Arial" w:hAnsi="Arial" w:cs="Arial"/>
                <w:lang w:val="en-GB"/>
              </w:rPr>
            </w:pPr>
          </w:p>
        </w:tc>
        <w:tc>
          <w:tcPr>
            <w:tcW w:w="1080" w:type="dxa"/>
            <w:vAlign w:val="center"/>
            <w:hideMark/>
          </w:tcPr>
          <w:p w14:paraId="5D5FE4C6" w14:textId="77777777" w:rsidR="00825E1E" w:rsidRPr="00B04967" w:rsidRDefault="00825E1E" w:rsidP="00AC1BEE">
            <w:pPr>
              <w:jc w:val="right"/>
              <w:rPr>
                <w:rFonts w:ascii="Arial" w:hAnsi="Arial" w:cs="Arial"/>
                <w:lang w:val="en-GB"/>
              </w:rPr>
            </w:pPr>
          </w:p>
        </w:tc>
        <w:tc>
          <w:tcPr>
            <w:tcW w:w="1080" w:type="dxa"/>
            <w:vAlign w:val="center"/>
            <w:hideMark/>
          </w:tcPr>
          <w:p w14:paraId="42D86D7A" w14:textId="77777777" w:rsidR="00825E1E" w:rsidRPr="00B04967" w:rsidRDefault="00825E1E" w:rsidP="00AC1BEE">
            <w:pPr>
              <w:jc w:val="right"/>
              <w:rPr>
                <w:rFonts w:ascii="Arial" w:hAnsi="Arial" w:cs="Arial"/>
                <w:lang w:val="en-GB"/>
              </w:rPr>
            </w:pPr>
          </w:p>
        </w:tc>
      </w:tr>
      <w:tr w:rsidR="00825E1E" w:rsidRPr="00B04967" w14:paraId="1BC68626" w14:textId="77777777" w:rsidTr="00F03407">
        <w:trPr>
          <w:tblHeader/>
        </w:trPr>
        <w:tc>
          <w:tcPr>
            <w:tcW w:w="3872" w:type="dxa"/>
            <w:hideMark/>
          </w:tcPr>
          <w:p w14:paraId="294B42CC" w14:textId="76A8AFEF" w:rsidR="00825E1E" w:rsidRPr="00B04967" w:rsidRDefault="00825E1E" w:rsidP="00D92414">
            <w:pPr>
              <w:rPr>
                <w:rFonts w:ascii="Arial" w:hAnsi="Arial" w:cs="Arial"/>
                <w:b/>
                <w:bCs/>
                <w:lang w:val="en-GB"/>
              </w:rPr>
            </w:pPr>
            <w:r w:rsidRPr="00B04967">
              <w:rPr>
                <w:rFonts w:ascii="Arial" w:hAnsi="Arial" w:cs="Arial"/>
                <w:b/>
                <w:bCs/>
                <w:lang w:val="en-GB"/>
              </w:rPr>
              <w:t xml:space="preserve">Earnings per </w:t>
            </w:r>
            <w:r w:rsidR="00862564">
              <w:rPr>
                <w:rFonts w:ascii="Arial" w:hAnsi="Arial" w:cs="Arial"/>
                <w:b/>
                <w:bCs/>
                <w:lang w:val="en-GB"/>
              </w:rPr>
              <w:t>Share</w:t>
            </w:r>
          </w:p>
        </w:tc>
        <w:tc>
          <w:tcPr>
            <w:tcW w:w="1070" w:type="dxa"/>
            <w:vAlign w:val="center"/>
            <w:hideMark/>
          </w:tcPr>
          <w:p w14:paraId="474E49C6" w14:textId="77777777" w:rsidR="00825E1E" w:rsidRPr="00B04967" w:rsidRDefault="00825E1E" w:rsidP="00AC1BEE">
            <w:pPr>
              <w:jc w:val="right"/>
              <w:rPr>
                <w:rFonts w:ascii="Arial" w:hAnsi="Arial" w:cs="Arial"/>
                <w:b/>
                <w:bCs/>
                <w:lang w:val="en-GB"/>
              </w:rPr>
            </w:pPr>
          </w:p>
        </w:tc>
        <w:tc>
          <w:tcPr>
            <w:tcW w:w="1083" w:type="dxa"/>
            <w:vAlign w:val="center"/>
            <w:hideMark/>
          </w:tcPr>
          <w:p w14:paraId="21711D94" w14:textId="77777777" w:rsidR="00825E1E" w:rsidRPr="00B04967" w:rsidRDefault="00825E1E" w:rsidP="00AC1BEE">
            <w:pPr>
              <w:jc w:val="right"/>
              <w:rPr>
                <w:rFonts w:ascii="Arial" w:hAnsi="Arial" w:cs="Arial"/>
                <w:lang w:val="en-GB"/>
              </w:rPr>
            </w:pPr>
          </w:p>
        </w:tc>
        <w:tc>
          <w:tcPr>
            <w:tcW w:w="1080" w:type="dxa"/>
            <w:vAlign w:val="center"/>
            <w:hideMark/>
          </w:tcPr>
          <w:p w14:paraId="0B8878C8" w14:textId="77777777" w:rsidR="00825E1E" w:rsidRPr="00B04967" w:rsidRDefault="00825E1E" w:rsidP="00AC1BEE">
            <w:pPr>
              <w:jc w:val="right"/>
              <w:rPr>
                <w:rFonts w:ascii="Arial" w:hAnsi="Arial" w:cs="Arial"/>
                <w:lang w:val="en-GB"/>
              </w:rPr>
            </w:pPr>
          </w:p>
        </w:tc>
        <w:tc>
          <w:tcPr>
            <w:tcW w:w="1080" w:type="dxa"/>
            <w:vAlign w:val="center"/>
            <w:hideMark/>
          </w:tcPr>
          <w:p w14:paraId="0D8E451C" w14:textId="77777777" w:rsidR="00825E1E" w:rsidRPr="00B04967" w:rsidRDefault="00825E1E" w:rsidP="00AC1BEE">
            <w:pPr>
              <w:jc w:val="right"/>
              <w:rPr>
                <w:rFonts w:ascii="Arial" w:hAnsi="Arial" w:cs="Arial"/>
                <w:lang w:val="en-GB"/>
              </w:rPr>
            </w:pPr>
          </w:p>
        </w:tc>
        <w:tc>
          <w:tcPr>
            <w:tcW w:w="1080" w:type="dxa"/>
            <w:vAlign w:val="center"/>
            <w:hideMark/>
          </w:tcPr>
          <w:p w14:paraId="25FDFC58" w14:textId="77777777" w:rsidR="00825E1E" w:rsidRPr="00B04967" w:rsidRDefault="00825E1E" w:rsidP="00AC1BEE">
            <w:pPr>
              <w:jc w:val="right"/>
              <w:rPr>
                <w:rFonts w:ascii="Arial" w:hAnsi="Arial" w:cs="Arial"/>
                <w:lang w:val="en-GB"/>
              </w:rPr>
            </w:pPr>
          </w:p>
        </w:tc>
      </w:tr>
      <w:tr w:rsidR="00825E1E" w:rsidRPr="00B04967" w14:paraId="339BA3C1" w14:textId="77777777" w:rsidTr="00F03407">
        <w:trPr>
          <w:tblHeader/>
        </w:trPr>
        <w:tc>
          <w:tcPr>
            <w:tcW w:w="3872" w:type="dxa"/>
            <w:hideMark/>
          </w:tcPr>
          <w:p w14:paraId="2A1532E7" w14:textId="4072544B" w:rsidR="00825E1E" w:rsidRPr="00B04967" w:rsidRDefault="00825E1E" w:rsidP="00D92414">
            <w:pPr>
              <w:rPr>
                <w:rFonts w:ascii="Arial" w:hAnsi="Arial" w:cs="Arial"/>
                <w:lang w:val="en-GB"/>
              </w:rPr>
            </w:pPr>
            <w:r w:rsidRPr="00B04967">
              <w:rPr>
                <w:rFonts w:ascii="Arial" w:hAnsi="Arial" w:cs="Arial"/>
                <w:lang w:val="en-GB"/>
              </w:rPr>
              <w:t>Basic EPS</w:t>
            </w:r>
          </w:p>
        </w:tc>
        <w:tc>
          <w:tcPr>
            <w:tcW w:w="1070" w:type="dxa"/>
            <w:vAlign w:val="center"/>
            <w:hideMark/>
          </w:tcPr>
          <w:p w14:paraId="0A4E8C42" w14:textId="77777777" w:rsidR="00825E1E" w:rsidRPr="00B04967" w:rsidRDefault="00825E1E" w:rsidP="00AC1BEE">
            <w:pPr>
              <w:jc w:val="right"/>
              <w:rPr>
                <w:rFonts w:ascii="Arial" w:hAnsi="Arial" w:cs="Arial"/>
                <w:lang w:val="en-GB"/>
              </w:rPr>
            </w:pPr>
            <w:r w:rsidRPr="00B04967">
              <w:rPr>
                <w:rFonts w:ascii="Arial" w:hAnsi="Arial" w:cs="Arial"/>
                <w:lang w:val="en-GB"/>
              </w:rPr>
              <w:t>12.98</w:t>
            </w:r>
          </w:p>
        </w:tc>
        <w:tc>
          <w:tcPr>
            <w:tcW w:w="1083" w:type="dxa"/>
            <w:vAlign w:val="center"/>
            <w:hideMark/>
          </w:tcPr>
          <w:p w14:paraId="02676645" w14:textId="77777777" w:rsidR="00825E1E" w:rsidRPr="00B04967" w:rsidRDefault="00825E1E" w:rsidP="00AC1BEE">
            <w:pPr>
              <w:jc w:val="right"/>
              <w:rPr>
                <w:rFonts w:ascii="Arial" w:hAnsi="Arial" w:cs="Arial"/>
                <w:lang w:val="en-GB"/>
              </w:rPr>
            </w:pPr>
            <w:r w:rsidRPr="00B04967">
              <w:rPr>
                <w:rFonts w:ascii="Arial" w:hAnsi="Arial" w:cs="Arial"/>
                <w:lang w:val="en-GB"/>
              </w:rPr>
              <w:t>1.93</w:t>
            </w:r>
          </w:p>
        </w:tc>
        <w:tc>
          <w:tcPr>
            <w:tcW w:w="1080" w:type="dxa"/>
            <w:vAlign w:val="center"/>
            <w:hideMark/>
          </w:tcPr>
          <w:p w14:paraId="53CB1193" w14:textId="2BE80868" w:rsidR="00825E1E" w:rsidRPr="00B04967" w:rsidRDefault="00B47C9D" w:rsidP="00AC1BEE">
            <w:pPr>
              <w:jc w:val="right"/>
              <w:rPr>
                <w:rFonts w:ascii="Arial" w:hAnsi="Arial" w:cs="Arial"/>
                <w:lang w:val="en-GB"/>
              </w:rPr>
            </w:pPr>
            <w:r>
              <w:rPr>
                <w:rFonts w:ascii="Arial" w:hAnsi="Arial" w:cs="Arial"/>
                <w:lang w:val="en-GB"/>
              </w:rPr>
              <w:t>(</w:t>
            </w:r>
            <w:r w:rsidR="00825E1E" w:rsidRPr="00B04967">
              <w:rPr>
                <w:rFonts w:ascii="Arial" w:hAnsi="Arial" w:cs="Arial"/>
                <w:lang w:val="en-GB"/>
              </w:rPr>
              <w:t>9.27</w:t>
            </w:r>
            <w:r>
              <w:rPr>
                <w:rFonts w:ascii="Arial" w:hAnsi="Arial" w:cs="Arial"/>
                <w:lang w:val="en-GB"/>
              </w:rPr>
              <w:t>)</w:t>
            </w:r>
          </w:p>
        </w:tc>
        <w:tc>
          <w:tcPr>
            <w:tcW w:w="1080" w:type="dxa"/>
            <w:vAlign w:val="center"/>
            <w:hideMark/>
          </w:tcPr>
          <w:p w14:paraId="306E0A33" w14:textId="7F974ABB" w:rsidR="00825E1E" w:rsidRPr="00B04967" w:rsidRDefault="00B47C9D" w:rsidP="00AC1BEE">
            <w:pPr>
              <w:jc w:val="right"/>
              <w:rPr>
                <w:rFonts w:ascii="Arial" w:hAnsi="Arial" w:cs="Arial"/>
                <w:lang w:val="en-GB"/>
              </w:rPr>
            </w:pPr>
            <w:r>
              <w:rPr>
                <w:rFonts w:ascii="Arial" w:hAnsi="Arial" w:cs="Arial"/>
                <w:lang w:val="en-GB"/>
              </w:rPr>
              <w:t>(</w:t>
            </w:r>
            <w:r w:rsidR="00825E1E" w:rsidRPr="00B04967">
              <w:rPr>
                <w:rFonts w:ascii="Arial" w:hAnsi="Arial" w:cs="Arial"/>
                <w:lang w:val="en-GB"/>
              </w:rPr>
              <w:t>11.65</w:t>
            </w:r>
            <w:r>
              <w:rPr>
                <w:rFonts w:ascii="Arial" w:hAnsi="Arial" w:cs="Arial"/>
                <w:lang w:val="en-GB"/>
              </w:rPr>
              <w:t>)</w:t>
            </w:r>
          </w:p>
        </w:tc>
        <w:tc>
          <w:tcPr>
            <w:tcW w:w="1080" w:type="dxa"/>
            <w:vAlign w:val="center"/>
            <w:hideMark/>
          </w:tcPr>
          <w:p w14:paraId="088A1030" w14:textId="6A1AD6AD" w:rsidR="00825E1E" w:rsidRPr="00B04967" w:rsidRDefault="00B47C9D" w:rsidP="00AC1BEE">
            <w:pPr>
              <w:jc w:val="right"/>
              <w:rPr>
                <w:rFonts w:ascii="Arial" w:hAnsi="Arial" w:cs="Arial"/>
                <w:lang w:val="en-GB"/>
              </w:rPr>
            </w:pPr>
            <w:r>
              <w:rPr>
                <w:rFonts w:ascii="Arial" w:hAnsi="Arial" w:cs="Arial"/>
                <w:lang w:val="en-GB"/>
              </w:rPr>
              <w:t>(</w:t>
            </w:r>
            <w:r w:rsidR="00825E1E" w:rsidRPr="00B04967">
              <w:rPr>
                <w:rFonts w:ascii="Arial" w:hAnsi="Arial" w:cs="Arial"/>
                <w:lang w:val="en-GB"/>
              </w:rPr>
              <w:t>13.77</w:t>
            </w:r>
            <w:r>
              <w:rPr>
                <w:rFonts w:ascii="Arial" w:hAnsi="Arial" w:cs="Arial"/>
                <w:lang w:val="en-GB"/>
              </w:rPr>
              <w:t>)</w:t>
            </w:r>
          </w:p>
        </w:tc>
      </w:tr>
      <w:tr w:rsidR="00825E1E" w:rsidRPr="00B04967" w14:paraId="6C876B14" w14:textId="77777777" w:rsidTr="00F03407">
        <w:trPr>
          <w:tblHeader/>
        </w:trPr>
        <w:tc>
          <w:tcPr>
            <w:tcW w:w="3872" w:type="dxa"/>
            <w:hideMark/>
          </w:tcPr>
          <w:p w14:paraId="74E6044B" w14:textId="03B26E21" w:rsidR="00825E1E" w:rsidRPr="00B04967" w:rsidRDefault="00825E1E" w:rsidP="00D92414">
            <w:pPr>
              <w:rPr>
                <w:rFonts w:ascii="Arial" w:hAnsi="Arial" w:cs="Arial"/>
                <w:lang w:val="en-GB"/>
              </w:rPr>
            </w:pPr>
            <w:r w:rsidRPr="00B04967">
              <w:rPr>
                <w:rFonts w:ascii="Arial" w:hAnsi="Arial" w:cs="Arial"/>
                <w:lang w:val="en-GB"/>
              </w:rPr>
              <w:t>Diluted EPS</w:t>
            </w:r>
          </w:p>
        </w:tc>
        <w:tc>
          <w:tcPr>
            <w:tcW w:w="1070" w:type="dxa"/>
            <w:vAlign w:val="center"/>
            <w:hideMark/>
          </w:tcPr>
          <w:p w14:paraId="373FA1A4" w14:textId="77777777" w:rsidR="00825E1E" w:rsidRPr="00B04967" w:rsidRDefault="00825E1E" w:rsidP="00AC1BEE">
            <w:pPr>
              <w:jc w:val="right"/>
              <w:rPr>
                <w:rFonts w:ascii="Arial" w:hAnsi="Arial" w:cs="Arial"/>
                <w:lang w:val="en-GB"/>
              </w:rPr>
            </w:pPr>
            <w:r w:rsidRPr="00B04967">
              <w:rPr>
                <w:rFonts w:ascii="Arial" w:hAnsi="Arial" w:cs="Arial"/>
                <w:lang w:val="en-GB"/>
              </w:rPr>
              <w:t>12.98</w:t>
            </w:r>
          </w:p>
        </w:tc>
        <w:tc>
          <w:tcPr>
            <w:tcW w:w="1083" w:type="dxa"/>
            <w:vAlign w:val="center"/>
            <w:hideMark/>
          </w:tcPr>
          <w:p w14:paraId="1F28D5BD" w14:textId="77777777" w:rsidR="00825E1E" w:rsidRPr="00B04967" w:rsidRDefault="00825E1E" w:rsidP="00AC1BEE">
            <w:pPr>
              <w:jc w:val="right"/>
              <w:rPr>
                <w:rFonts w:ascii="Arial" w:hAnsi="Arial" w:cs="Arial"/>
                <w:lang w:val="en-GB"/>
              </w:rPr>
            </w:pPr>
            <w:r w:rsidRPr="00B04967">
              <w:rPr>
                <w:rFonts w:ascii="Arial" w:hAnsi="Arial" w:cs="Arial"/>
                <w:lang w:val="en-GB"/>
              </w:rPr>
              <w:t>1.93</w:t>
            </w:r>
          </w:p>
        </w:tc>
        <w:tc>
          <w:tcPr>
            <w:tcW w:w="1080" w:type="dxa"/>
            <w:vAlign w:val="center"/>
            <w:hideMark/>
          </w:tcPr>
          <w:p w14:paraId="7C9C803C" w14:textId="22AA96AC" w:rsidR="00825E1E" w:rsidRPr="00B04967" w:rsidRDefault="00B47C9D" w:rsidP="00AC1BEE">
            <w:pPr>
              <w:jc w:val="right"/>
              <w:rPr>
                <w:rFonts w:ascii="Arial" w:hAnsi="Arial" w:cs="Arial"/>
                <w:lang w:val="en-GB"/>
              </w:rPr>
            </w:pPr>
            <w:r>
              <w:rPr>
                <w:rFonts w:ascii="Arial" w:hAnsi="Arial" w:cs="Arial"/>
                <w:lang w:val="en-GB"/>
              </w:rPr>
              <w:t>(</w:t>
            </w:r>
            <w:r w:rsidR="00825E1E" w:rsidRPr="00B04967">
              <w:rPr>
                <w:rFonts w:ascii="Arial" w:hAnsi="Arial" w:cs="Arial"/>
                <w:lang w:val="en-GB"/>
              </w:rPr>
              <w:t>9.27</w:t>
            </w:r>
            <w:r>
              <w:rPr>
                <w:rFonts w:ascii="Arial" w:hAnsi="Arial" w:cs="Arial"/>
                <w:lang w:val="en-GB"/>
              </w:rPr>
              <w:t>)</w:t>
            </w:r>
          </w:p>
        </w:tc>
        <w:tc>
          <w:tcPr>
            <w:tcW w:w="1080" w:type="dxa"/>
            <w:vAlign w:val="center"/>
            <w:hideMark/>
          </w:tcPr>
          <w:p w14:paraId="1AF07011" w14:textId="05630693" w:rsidR="00825E1E" w:rsidRPr="00B04967" w:rsidRDefault="00B47C9D" w:rsidP="00AC1BEE">
            <w:pPr>
              <w:jc w:val="right"/>
              <w:rPr>
                <w:rFonts w:ascii="Arial" w:hAnsi="Arial" w:cs="Arial"/>
                <w:lang w:val="en-GB"/>
              </w:rPr>
            </w:pPr>
            <w:r>
              <w:rPr>
                <w:rFonts w:ascii="Arial" w:hAnsi="Arial" w:cs="Arial"/>
                <w:lang w:val="en-GB"/>
              </w:rPr>
              <w:t>(</w:t>
            </w:r>
            <w:r w:rsidR="00825E1E" w:rsidRPr="00B04967">
              <w:rPr>
                <w:rFonts w:ascii="Arial" w:hAnsi="Arial" w:cs="Arial"/>
                <w:lang w:val="en-GB"/>
              </w:rPr>
              <w:t>11.65</w:t>
            </w:r>
            <w:r>
              <w:rPr>
                <w:rFonts w:ascii="Arial" w:hAnsi="Arial" w:cs="Arial"/>
                <w:lang w:val="en-GB"/>
              </w:rPr>
              <w:t>)</w:t>
            </w:r>
          </w:p>
        </w:tc>
        <w:tc>
          <w:tcPr>
            <w:tcW w:w="1080" w:type="dxa"/>
            <w:vAlign w:val="center"/>
            <w:hideMark/>
          </w:tcPr>
          <w:p w14:paraId="1507EFCE" w14:textId="42FFF0D2" w:rsidR="00825E1E" w:rsidRPr="00B04967" w:rsidRDefault="00B47C9D" w:rsidP="00AC1BEE">
            <w:pPr>
              <w:jc w:val="right"/>
              <w:rPr>
                <w:rFonts w:ascii="Arial" w:hAnsi="Arial" w:cs="Arial"/>
                <w:lang w:val="en-GB"/>
              </w:rPr>
            </w:pPr>
            <w:r>
              <w:rPr>
                <w:rFonts w:ascii="Arial" w:hAnsi="Arial" w:cs="Arial"/>
                <w:lang w:val="en-GB"/>
              </w:rPr>
              <w:t>(</w:t>
            </w:r>
            <w:r w:rsidR="00825E1E" w:rsidRPr="00B04967">
              <w:rPr>
                <w:rFonts w:ascii="Arial" w:hAnsi="Arial" w:cs="Arial"/>
                <w:lang w:val="en-GB"/>
              </w:rPr>
              <w:t>13.77</w:t>
            </w:r>
            <w:r>
              <w:rPr>
                <w:rFonts w:ascii="Arial" w:hAnsi="Arial" w:cs="Arial"/>
                <w:lang w:val="en-GB"/>
              </w:rPr>
              <w:t>)</w:t>
            </w:r>
          </w:p>
        </w:tc>
      </w:tr>
    </w:tbl>
    <w:p w14:paraId="7ADFB5A5" w14:textId="25D7E76E" w:rsidR="00825E1E" w:rsidRDefault="00825E1E" w:rsidP="00825E1E">
      <w:pPr>
        <w:pStyle w:val="Footnote"/>
        <w:rPr>
          <w:lang w:val="en-GB"/>
        </w:rPr>
      </w:pPr>
    </w:p>
    <w:p w14:paraId="142F2D21" w14:textId="18291BD0" w:rsidR="00862564" w:rsidRPr="00B04967" w:rsidRDefault="00862564" w:rsidP="00825E1E">
      <w:pPr>
        <w:pStyle w:val="Footnote"/>
        <w:rPr>
          <w:lang w:val="en-GB"/>
        </w:rPr>
      </w:pPr>
      <w:r>
        <w:rPr>
          <w:lang w:val="en-GB"/>
        </w:rPr>
        <w:t>Note</w:t>
      </w:r>
      <w:r w:rsidR="00B47C9D">
        <w:rPr>
          <w:lang w:val="en-GB"/>
        </w:rPr>
        <w:t>s</w:t>
      </w:r>
      <w:r>
        <w:rPr>
          <w:lang w:val="en-GB"/>
        </w:rPr>
        <w:t xml:space="preserve">: </w:t>
      </w:r>
      <w:r w:rsidR="00B47C9D">
        <w:rPr>
          <w:lang w:val="en-GB"/>
        </w:rPr>
        <w:t>*</w:t>
      </w:r>
      <w:r w:rsidR="00B47C9D" w:rsidRPr="00B04967">
        <w:rPr>
          <w:lang w:val="en-GB"/>
        </w:rPr>
        <w:t xml:space="preserve">All figures (except </w:t>
      </w:r>
      <w:r w:rsidR="00B47C9D">
        <w:rPr>
          <w:lang w:val="en-GB"/>
        </w:rPr>
        <w:t>per-share</w:t>
      </w:r>
      <w:r w:rsidR="00B47C9D" w:rsidRPr="00B04967">
        <w:rPr>
          <w:lang w:val="en-GB"/>
        </w:rPr>
        <w:t xml:space="preserve"> figures) </w:t>
      </w:r>
      <w:r w:rsidR="00B47C9D">
        <w:rPr>
          <w:lang w:val="en-GB"/>
        </w:rPr>
        <w:t xml:space="preserve">are </w:t>
      </w:r>
      <w:r w:rsidR="00B47C9D" w:rsidRPr="00B04967">
        <w:rPr>
          <w:lang w:val="en-GB"/>
        </w:rPr>
        <w:t>in</w:t>
      </w:r>
      <w:r w:rsidR="00B47C9D">
        <w:rPr>
          <w:lang w:val="en-GB"/>
        </w:rPr>
        <w:t xml:space="preserve"> ₹ millions;</w:t>
      </w:r>
      <w:r w:rsidR="00B47C9D" w:rsidRPr="00B04967">
        <w:rPr>
          <w:lang w:val="en-GB"/>
        </w:rPr>
        <w:t xml:space="preserve"> </w:t>
      </w:r>
      <w:r w:rsidR="00B47C9D">
        <w:rPr>
          <w:lang w:val="en-GB"/>
        </w:rPr>
        <w:t xml:space="preserve">₹ = INR = Indian rupee; </w:t>
      </w:r>
      <w:r w:rsidR="002B3769" w:rsidRPr="00B04967">
        <w:rPr>
          <w:lang w:val="en-GB"/>
        </w:rPr>
        <w:t>The figures for 2018 and 2019 were restated to reflect the divestment of the steel business</w:t>
      </w:r>
      <w:r w:rsidR="00B47C9D">
        <w:rPr>
          <w:lang w:val="en-GB"/>
        </w:rPr>
        <w:t>;</w:t>
      </w:r>
      <w:r w:rsidR="00B47C9D" w:rsidRPr="00B04967">
        <w:rPr>
          <w:lang w:val="en-GB"/>
        </w:rPr>
        <w:t xml:space="preserve"> </w:t>
      </w:r>
      <w:r w:rsidR="002B3769" w:rsidRPr="00B04967">
        <w:rPr>
          <w:lang w:val="en-GB"/>
        </w:rPr>
        <w:t>The figures for 2017 and 2016 include</w:t>
      </w:r>
      <w:r w:rsidR="00B47C9D">
        <w:rPr>
          <w:lang w:val="en-GB"/>
        </w:rPr>
        <w:t>d</w:t>
      </w:r>
      <w:r w:rsidR="002B3769" w:rsidRPr="00B04967">
        <w:rPr>
          <w:lang w:val="en-GB"/>
        </w:rPr>
        <w:t xml:space="preserve"> the results for the steel business</w:t>
      </w:r>
      <w:r w:rsidR="008B38C2">
        <w:rPr>
          <w:lang w:val="en-GB"/>
        </w:rPr>
        <w:t>;</w:t>
      </w:r>
      <w:r w:rsidR="002B3769">
        <w:rPr>
          <w:lang w:val="en-GB"/>
        </w:rPr>
        <w:t xml:space="preserve"> </w:t>
      </w:r>
      <w:r w:rsidRPr="00E7570E">
        <w:t xml:space="preserve">FG = </w:t>
      </w:r>
      <w:r w:rsidR="00787458" w:rsidRPr="00703AD3">
        <w:t>finished goods</w:t>
      </w:r>
      <w:r w:rsidRPr="00703AD3">
        <w:t>; WIP</w:t>
      </w:r>
      <w:r>
        <w:rPr>
          <w:lang w:val="en-GB"/>
        </w:rPr>
        <w:t xml:space="preserve"> = </w:t>
      </w:r>
      <w:r w:rsidR="00935734">
        <w:rPr>
          <w:lang w:val="en-GB"/>
        </w:rPr>
        <w:t>work in progress</w:t>
      </w:r>
      <w:r>
        <w:rPr>
          <w:lang w:val="en-GB"/>
        </w:rPr>
        <w:t xml:space="preserve">; MAT = </w:t>
      </w:r>
      <w:r w:rsidR="00935734">
        <w:rPr>
          <w:lang w:val="en-GB"/>
        </w:rPr>
        <w:t>minimum alternate tax</w:t>
      </w:r>
      <w:r>
        <w:rPr>
          <w:lang w:val="en-GB"/>
        </w:rPr>
        <w:t>; EPS = earnings per share.</w:t>
      </w:r>
    </w:p>
    <w:p w14:paraId="6F31C1A6" w14:textId="02B80254" w:rsidR="00825E1E" w:rsidRPr="00B04967" w:rsidRDefault="00825E1E" w:rsidP="00825E1E">
      <w:pPr>
        <w:pStyle w:val="Footnote"/>
        <w:rPr>
          <w:lang w:val="en-GB"/>
        </w:rPr>
      </w:pPr>
      <w:r w:rsidRPr="00B04967">
        <w:rPr>
          <w:lang w:val="en-GB"/>
        </w:rPr>
        <w:t>Source:</w:t>
      </w:r>
      <w:r w:rsidR="00935734">
        <w:rPr>
          <w:lang w:val="en-GB"/>
        </w:rPr>
        <w:t xml:space="preserve"> </w:t>
      </w:r>
      <w:r w:rsidR="00F95968">
        <w:rPr>
          <w:lang w:val="en-GB"/>
        </w:rPr>
        <w:t xml:space="preserve">“Usha Martin Ltd.,” Moneycontrol.com, </w:t>
      </w:r>
      <w:r w:rsidR="00BC21E4">
        <w:rPr>
          <w:lang w:val="en-GB"/>
        </w:rPr>
        <w:t xml:space="preserve">accessed </w:t>
      </w:r>
      <w:r w:rsidR="00B20689">
        <w:rPr>
          <w:lang w:val="en-GB"/>
        </w:rPr>
        <w:t>January 28, 2021</w:t>
      </w:r>
      <w:r w:rsidR="00BC21E4">
        <w:rPr>
          <w:lang w:val="en-GB"/>
        </w:rPr>
        <w:t xml:space="preserve">, </w:t>
      </w:r>
      <w:r w:rsidR="00787458" w:rsidRPr="00703AD3">
        <w:t>www.moneycontrol.com/financials/ushamartin/consolidated-profit-lossVI/um01#um01</w:t>
      </w:r>
      <w:r w:rsidR="00425204">
        <w:rPr>
          <w:lang w:val="en-GB"/>
        </w:rPr>
        <w:t>.</w:t>
      </w:r>
    </w:p>
    <w:p w14:paraId="1AE9C821" w14:textId="77777777" w:rsidR="00825E1E" w:rsidRPr="00F03407" w:rsidRDefault="00825E1E">
      <w:pPr>
        <w:spacing w:after="200" w:line="276" w:lineRule="auto"/>
        <w:rPr>
          <w:rFonts w:ascii="Arial" w:hAnsi="Arial" w:cs="Arial"/>
          <w:b/>
          <w:caps/>
          <w:u w:val="single"/>
          <w:lang w:val="en-GB"/>
        </w:rPr>
      </w:pPr>
      <w:r w:rsidRPr="00B04967">
        <w:rPr>
          <w:color w:val="0000FF"/>
          <w:u w:val="single"/>
          <w:lang w:val="en-GB"/>
        </w:rPr>
        <w:br w:type="page"/>
      </w:r>
    </w:p>
    <w:p w14:paraId="156F4B8D" w14:textId="34FD21C9" w:rsidR="00825E1E" w:rsidRPr="00B04967" w:rsidRDefault="00825E1E" w:rsidP="00825E1E">
      <w:pPr>
        <w:pStyle w:val="ExhibitHeading"/>
        <w:rPr>
          <w:lang w:val="en-GB"/>
        </w:rPr>
      </w:pPr>
      <w:r w:rsidRPr="00B04967">
        <w:rPr>
          <w:lang w:val="en-GB"/>
        </w:rPr>
        <w:lastRenderedPageBreak/>
        <w:t xml:space="preserve">Exhibit </w:t>
      </w:r>
      <w:r w:rsidR="009B0CED">
        <w:rPr>
          <w:lang w:val="en-GB"/>
        </w:rPr>
        <w:t>2</w:t>
      </w:r>
      <w:r w:rsidRPr="00B04967">
        <w:rPr>
          <w:lang w:val="en-GB"/>
        </w:rPr>
        <w:t>: Usha Martin</w:t>
      </w:r>
      <w:r w:rsidR="006A54E3">
        <w:rPr>
          <w:lang w:val="en-GB"/>
        </w:rPr>
        <w:t>,</w:t>
      </w:r>
      <w:r w:rsidRPr="00B04967">
        <w:rPr>
          <w:lang w:val="en-GB"/>
        </w:rPr>
        <w:t xml:space="preserve"> Consolidated results</w:t>
      </w:r>
    </w:p>
    <w:p w14:paraId="69B225FB" w14:textId="77777777" w:rsidR="00825E1E" w:rsidRPr="00B04967" w:rsidRDefault="00825E1E" w:rsidP="00825E1E">
      <w:pPr>
        <w:rPr>
          <w:rFonts w:ascii="Arial" w:hAnsi="Arial" w:cs="Arial"/>
          <w:lang w:val="en-GB"/>
        </w:rPr>
      </w:pPr>
    </w:p>
    <w:tbl>
      <w:tblPr>
        <w:tblStyle w:val="TableGrid"/>
        <w:tblW w:w="5000" w:type="pct"/>
        <w:tblLook w:val="04A0" w:firstRow="1" w:lastRow="0" w:firstColumn="1" w:lastColumn="0" w:noHBand="0" w:noVBand="1"/>
        <w:tblCaption w:val="USHA MARTIN, CONSOLIDATED RESULTS"/>
        <w:tblDescription w:val="From year ending March 2016 to year ending March 2020."/>
      </w:tblPr>
      <w:tblGrid>
        <w:gridCol w:w="3406"/>
        <w:gridCol w:w="1096"/>
        <w:gridCol w:w="1230"/>
        <w:gridCol w:w="1177"/>
        <w:gridCol w:w="1177"/>
        <w:gridCol w:w="1264"/>
      </w:tblGrid>
      <w:tr w:rsidR="00825E1E" w:rsidRPr="00B04967" w14:paraId="4B50E7A5" w14:textId="77777777" w:rsidTr="00F03407">
        <w:trPr>
          <w:tblHeader/>
        </w:trPr>
        <w:tc>
          <w:tcPr>
            <w:tcW w:w="3406" w:type="dxa"/>
          </w:tcPr>
          <w:p w14:paraId="7267EC24" w14:textId="77777777" w:rsidR="00825E1E" w:rsidRPr="00B04967" w:rsidRDefault="00825E1E" w:rsidP="00D92414">
            <w:pPr>
              <w:rPr>
                <w:rFonts w:ascii="Arial" w:hAnsi="Arial" w:cs="Arial"/>
                <w:b/>
                <w:bCs/>
                <w:lang w:val="en-GB"/>
              </w:rPr>
            </w:pPr>
          </w:p>
        </w:tc>
        <w:tc>
          <w:tcPr>
            <w:tcW w:w="5944" w:type="dxa"/>
            <w:gridSpan w:val="5"/>
          </w:tcPr>
          <w:p w14:paraId="17DB18BE" w14:textId="6E05F69B" w:rsidR="00825E1E" w:rsidRPr="00B04967" w:rsidRDefault="00825E1E" w:rsidP="00D92414">
            <w:pPr>
              <w:jc w:val="center"/>
              <w:rPr>
                <w:rFonts w:ascii="Arial" w:hAnsi="Arial" w:cs="Arial"/>
                <w:b/>
                <w:bCs/>
                <w:lang w:val="en-GB"/>
              </w:rPr>
            </w:pPr>
            <w:r w:rsidRPr="00B04967">
              <w:rPr>
                <w:rFonts w:ascii="Arial" w:hAnsi="Arial" w:cs="Arial"/>
                <w:b/>
                <w:bCs/>
                <w:lang w:val="en-GB"/>
              </w:rPr>
              <w:t xml:space="preserve">Year </w:t>
            </w:r>
            <w:r w:rsidR="002027FE">
              <w:rPr>
                <w:rFonts w:ascii="Arial" w:hAnsi="Arial" w:cs="Arial"/>
                <w:b/>
                <w:bCs/>
                <w:lang w:val="en-GB"/>
              </w:rPr>
              <w:t>Ending</w:t>
            </w:r>
          </w:p>
        </w:tc>
      </w:tr>
      <w:tr w:rsidR="00825E1E" w:rsidRPr="00B04967" w14:paraId="1549A20C" w14:textId="77777777" w:rsidTr="00F03407">
        <w:trPr>
          <w:tblHeader/>
        </w:trPr>
        <w:tc>
          <w:tcPr>
            <w:tcW w:w="3406" w:type="dxa"/>
            <w:hideMark/>
          </w:tcPr>
          <w:p w14:paraId="79D38EBD" w14:textId="77777777" w:rsidR="00825E1E" w:rsidRPr="00B04967" w:rsidRDefault="00825E1E" w:rsidP="00D92414">
            <w:pPr>
              <w:rPr>
                <w:rFonts w:ascii="Arial" w:hAnsi="Arial" w:cs="Arial"/>
                <w:b/>
                <w:bCs/>
                <w:lang w:val="en-GB"/>
              </w:rPr>
            </w:pPr>
          </w:p>
        </w:tc>
        <w:tc>
          <w:tcPr>
            <w:tcW w:w="1096" w:type="dxa"/>
            <w:vAlign w:val="center"/>
            <w:hideMark/>
          </w:tcPr>
          <w:p w14:paraId="4417D4C8" w14:textId="77777777" w:rsidR="00825E1E" w:rsidRPr="00B04967" w:rsidRDefault="00825E1E" w:rsidP="004F2C19">
            <w:pPr>
              <w:jc w:val="center"/>
              <w:rPr>
                <w:rFonts w:ascii="Arial" w:hAnsi="Arial" w:cs="Arial"/>
                <w:b/>
                <w:bCs/>
                <w:lang w:val="en-GB"/>
              </w:rPr>
            </w:pPr>
            <w:r w:rsidRPr="00B04967">
              <w:rPr>
                <w:rFonts w:ascii="Arial" w:hAnsi="Arial" w:cs="Arial"/>
                <w:b/>
                <w:bCs/>
                <w:lang w:val="en-GB"/>
              </w:rPr>
              <w:t>March 2020</w:t>
            </w:r>
          </w:p>
        </w:tc>
        <w:tc>
          <w:tcPr>
            <w:tcW w:w="1230" w:type="dxa"/>
            <w:vAlign w:val="center"/>
            <w:hideMark/>
          </w:tcPr>
          <w:p w14:paraId="614ADAB1" w14:textId="77777777" w:rsidR="00825E1E" w:rsidRPr="00B04967" w:rsidRDefault="00825E1E" w:rsidP="004F2C19">
            <w:pPr>
              <w:jc w:val="center"/>
              <w:rPr>
                <w:rFonts w:ascii="Arial" w:hAnsi="Arial" w:cs="Arial"/>
                <w:b/>
                <w:bCs/>
                <w:lang w:val="en-GB"/>
              </w:rPr>
            </w:pPr>
            <w:r w:rsidRPr="00B04967">
              <w:rPr>
                <w:rFonts w:ascii="Arial" w:hAnsi="Arial" w:cs="Arial"/>
                <w:b/>
                <w:bCs/>
                <w:lang w:val="en-GB"/>
              </w:rPr>
              <w:t>March 2019</w:t>
            </w:r>
          </w:p>
        </w:tc>
        <w:tc>
          <w:tcPr>
            <w:tcW w:w="1177" w:type="dxa"/>
            <w:vAlign w:val="center"/>
            <w:hideMark/>
          </w:tcPr>
          <w:p w14:paraId="0FB49092" w14:textId="77777777" w:rsidR="00825E1E" w:rsidRPr="00B04967" w:rsidRDefault="00825E1E" w:rsidP="004F2C19">
            <w:pPr>
              <w:jc w:val="center"/>
              <w:rPr>
                <w:rFonts w:ascii="Arial" w:hAnsi="Arial" w:cs="Arial"/>
                <w:b/>
                <w:bCs/>
                <w:lang w:val="en-GB"/>
              </w:rPr>
            </w:pPr>
            <w:r w:rsidRPr="00B04967">
              <w:rPr>
                <w:rFonts w:ascii="Arial" w:hAnsi="Arial" w:cs="Arial"/>
                <w:b/>
                <w:bCs/>
                <w:lang w:val="en-GB"/>
              </w:rPr>
              <w:t>March 2018</w:t>
            </w:r>
          </w:p>
        </w:tc>
        <w:tc>
          <w:tcPr>
            <w:tcW w:w="1177" w:type="dxa"/>
            <w:vAlign w:val="center"/>
            <w:hideMark/>
          </w:tcPr>
          <w:p w14:paraId="1D1AE378" w14:textId="77777777" w:rsidR="00825E1E" w:rsidRPr="00B04967" w:rsidRDefault="00825E1E" w:rsidP="004F2C19">
            <w:pPr>
              <w:jc w:val="center"/>
              <w:rPr>
                <w:rFonts w:ascii="Arial" w:hAnsi="Arial" w:cs="Arial"/>
                <w:b/>
                <w:bCs/>
                <w:lang w:val="en-GB"/>
              </w:rPr>
            </w:pPr>
            <w:r w:rsidRPr="00B04967">
              <w:rPr>
                <w:rFonts w:ascii="Arial" w:hAnsi="Arial" w:cs="Arial"/>
                <w:b/>
                <w:bCs/>
                <w:lang w:val="en-GB"/>
              </w:rPr>
              <w:t>March 2017</w:t>
            </w:r>
          </w:p>
        </w:tc>
        <w:tc>
          <w:tcPr>
            <w:tcW w:w="1264" w:type="dxa"/>
            <w:vAlign w:val="center"/>
            <w:hideMark/>
          </w:tcPr>
          <w:p w14:paraId="2B952F70" w14:textId="77777777" w:rsidR="00825E1E" w:rsidRPr="00B04967" w:rsidRDefault="00825E1E" w:rsidP="004F2C19">
            <w:pPr>
              <w:jc w:val="center"/>
              <w:rPr>
                <w:rFonts w:ascii="Arial" w:hAnsi="Arial" w:cs="Arial"/>
                <w:b/>
                <w:bCs/>
                <w:lang w:val="en-GB"/>
              </w:rPr>
            </w:pPr>
            <w:r w:rsidRPr="00B04967">
              <w:rPr>
                <w:rFonts w:ascii="Arial" w:hAnsi="Arial" w:cs="Arial"/>
                <w:b/>
                <w:bCs/>
                <w:lang w:val="en-GB"/>
              </w:rPr>
              <w:t>March 2016</w:t>
            </w:r>
          </w:p>
        </w:tc>
      </w:tr>
      <w:tr w:rsidR="00825E1E" w:rsidRPr="00B04967" w14:paraId="6CDB845D" w14:textId="77777777" w:rsidTr="00F03407">
        <w:trPr>
          <w:tblHeader/>
        </w:trPr>
        <w:tc>
          <w:tcPr>
            <w:tcW w:w="3406" w:type="dxa"/>
            <w:hideMark/>
          </w:tcPr>
          <w:p w14:paraId="44DA6F57" w14:textId="75D2894C" w:rsidR="00825E1E" w:rsidRPr="00B04967" w:rsidRDefault="00825E1E" w:rsidP="00D92414">
            <w:pPr>
              <w:rPr>
                <w:rFonts w:ascii="Arial" w:hAnsi="Arial" w:cs="Arial"/>
                <w:bCs/>
                <w:lang w:val="en-GB"/>
              </w:rPr>
            </w:pPr>
            <w:r w:rsidRPr="00B04967">
              <w:rPr>
                <w:rFonts w:ascii="Arial" w:hAnsi="Arial" w:cs="Arial"/>
                <w:bCs/>
                <w:lang w:val="en-GB"/>
              </w:rPr>
              <w:t xml:space="preserve">Revenue from </w:t>
            </w:r>
            <w:r w:rsidR="002027FE">
              <w:rPr>
                <w:rFonts w:ascii="Arial" w:hAnsi="Arial" w:cs="Arial"/>
                <w:bCs/>
                <w:lang w:val="en-GB"/>
              </w:rPr>
              <w:t>Operations</w:t>
            </w:r>
            <w:r w:rsidR="002027FE" w:rsidRPr="00B04967">
              <w:rPr>
                <w:rFonts w:ascii="Arial" w:hAnsi="Arial" w:cs="Arial"/>
                <w:bCs/>
                <w:lang w:val="en-GB"/>
              </w:rPr>
              <w:t xml:space="preserve"> </w:t>
            </w:r>
            <w:r w:rsidRPr="00B04967">
              <w:rPr>
                <w:rFonts w:ascii="Arial" w:hAnsi="Arial" w:cs="Arial"/>
                <w:bCs/>
                <w:lang w:val="en-GB"/>
              </w:rPr>
              <w:t xml:space="preserve">(Gross) </w:t>
            </w:r>
          </w:p>
        </w:tc>
        <w:tc>
          <w:tcPr>
            <w:tcW w:w="1096" w:type="dxa"/>
            <w:vAlign w:val="center"/>
            <w:hideMark/>
          </w:tcPr>
          <w:p w14:paraId="0AEE334D" w14:textId="77777777" w:rsidR="00825E1E" w:rsidRPr="00B04967" w:rsidRDefault="00825E1E" w:rsidP="004F2C19">
            <w:pPr>
              <w:jc w:val="right"/>
              <w:rPr>
                <w:rFonts w:ascii="Arial" w:hAnsi="Arial" w:cs="Arial"/>
                <w:bCs/>
                <w:lang w:val="en-GB"/>
              </w:rPr>
            </w:pPr>
            <w:r w:rsidRPr="00B04967">
              <w:rPr>
                <w:rFonts w:ascii="Arial" w:hAnsi="Arial" w:cs="Arial"/>
                <w:bCs/>
                <w:lang w:val="en-GB"/>
              </w:rPr>
              <w:t>21,538.2</w:t>
            </w:r>
          </w:p>
        </w:tc>
        <w:tc>
          <w:tcPr>
            <w:tcW w:w="1230" w:type="dxa"/>
            <w:vAlign w:val="center"/>
            <w:hideMark/>
          </w:tcPr>
          <w:p w14:paraId="6F32CA84" w14:textId="77777777" w:rsidR="00825E1E" w:rsidRPr="00B04967" w:rsidRDefault="00825E1E" w:rsidP="004F2C19">
            <w:pPr>
              <w:jc w:val="right"/>
              <w:rPr>
                <w:rFonts w:ascii="Arial" w:hAnsi="Arial" w:cs="Arial"/>
                <w:bCs/>
                <w:lang w:val="en-GB"/>
              </w:rPr>
            </w:pPr>
            <w:r w:rsidRPr="00B04967">
              <w:rPr>
                <w:rFonts w:ascii="Arial" w:hAnsi="Arial" w:cs="Arial"/>
                <w:bCs/>
                <w:lang w:val="en-GB"/>
              </w:rPr>
              <w:t>24,246.7</w:t>
            </w:r>
          </w:p>
        </w:tc>
        <w:tc>
          <w:tcPr>
            <w:tcW w:w="1177" w:type="dxa"/>
            <w:vAlign w:val="center"/>
            <w:hideMark/>
          </w:tcPr>
          <w:p w14:paraId="0A9016FA" w14:textId="77777777" w:rsidR="00825E1E" w:rsidRPr="00B04967" w:rsidRDefault="00825E1E" w:rsidP="004F2C19">
            <w:pPr>
              <w:jc w:val="right"/>
              <w:rPr>
                <w:rFonts w:ascii="Arial" w:hAnsi="Arial" w:cs="Arial"/>
                <w:bCs/>
                <w:lang w:val="en-GB"/>
              </w:rPr>
            </w:pPr>
            <w:r w:rsidRPr="00B04967">
              <w:rPr>
                <w:rFonts w:ascii="Arial" w:hAnsi="Arial" w:cs="Arial"/>
                <w:bCs/>
                <w:lang w:val="en-GB"/>
              </w:rPr>
              <w:t>20,589.1</w:t>
            </w:r>
          </w:p>
        </w:tc>
        <w:tc>
          <w:tcPr>
            <w:tcW w:w="1177" w:type="dxa"/>
            <w:vAlign w:val="center"/>
            <w:hideMark/>
          </w:tcPr>
          <w:p w14:paraId="54CE3362" w14:textId="77777777" w:rsidR="00825E1E" w:rsidRPr="00B04967" w:rsidRDefault="00825E1E" w:rsidP="004F2C19">
            <w:pPr>
              <w:jc w:val="right"/>
              <w:rPr>
                <w:rFonts w:ascii="Arial" w:hAnsi="Arial" w:cs="Arial"/>
                <w:bCs/>
                <w:lang w:val="en-GB"/>
              </w:rPr>
            </w:pPr>
            <w:r w:rsidRPr="00B04967">
              <w:rPr>
                <w:rFonts w:ascii="Arial" w:hAnsi="Arial" w:cs="Arial"/>
                <w:bCs/>
                <w:lang w:val="en-GB"/>
              </w:rPr>
              <w:t>41,489.8</w:t>
            </w:r>
          </w:p>
        </w:tc>
        <w:tc>
          <w:tcPr>
            <w:tcW w:w="1264" w:type="dxa"/>
            <w:vAlign w:val="center"/>
            <w:hideMark/>
          </w:tcPr>
          <w:p w14:paraId="05962A25" w14:textId="77777777" w:rsidR="00825E1E" w:rsidRPr="00B04967" w:rsidRDefault="00825E1E" w:rsidP="004F2C19">
            <w:pPr>
              <w:jc w:val="right"/>
              <w:rPr>
                <w:rFonts w:ascii="Arial" w:hAnsi="Arial" w:cs="Arial"/>
                <w:bCs/>
                <w:lang w:val="en-GB"/>
              </w:rPr>
            </w:pPr>
            <w:r w:rsidRPr="00B04967">
              <w:rPr>
                <w:rFonts w:ascii="Arial" w:hAnsi="Arial" w:cs="Arial"/>
                <w:bCs/>
                <w:lang w:val="en-GB"/>
              </w:rPr>
              <w:t>44,144.6</w:t>
            </w:r>
          </w:p>
        </w:tc>
      </w:tr>
      <w:tr w:rsidR="00825E1E" w:rsidRPr="00B04967" w14:paraId="20A3F88E" w14:textId="77777777" w:rsidTr="00F03407">
        <w:trPr>
          <w:tblHeader/>
        </w:trPr>
        <w:tc>
          <w:tcPr>
            <w:tcW w:w="3406" w:type="dxa"/>
            <w:hideMark/>
          </w:tcPr>
          <w:p w14:paraId="3C71C318" w14:textId="39AE0B00" w:rsidR="00825E1E" w:rsidRPr="00B04967" w:rsidRDefault="00825E1E" w:rsidP="00D92414">
            <w:pPr>
              <w:rPr>
                <w:rFonts w:ascii="Arial" w:hAnsi="Arial" w:cs="Arial"/>
                <w:lang w:val="en-GB"/>
              </w:rPr>
            </w:pPr>
            <w:r w:rsidRPr="00B04967">
              <w:rPr>
                <w:rFonts w:ascii="Arial" w:hAnsi="Arial" w:cs="Arial"/>
                <w:lang w:val="en-GB"/>
              </w:rPr>
              <w:t>Less: Excise</w:t>
            </w:r>
            <w:r w:rsidR="002027FE">
              <w:rPr>
                <w:rFonts w:ascii="Arial" w:hAnsi="Arial" w:cs="Arial"/>
                <w:lang w:val="en-GB"/>
              </w:rPr>
              <w:t xml:space="preserve"> and </w:t>
            </w:r>
            <w:r w:rsidRPr="00B04967">
              <w:rPr>
                <w:rFonts w:ascii="Arial" w:hAnsi="Arial" w:cs="Arial"/>
                <w:lang w:val="en-GB"/>
              </w:rPr>
              <w:t xml:space="preserve">Service </w:t>
            </w:r>
            <w:r w:rsidR="002027FE">
              <w:rPr>
                <w:rFonts w:ascii="Arial" w:hAnsi="Arial" w:cs="Arial"/>
                <w:lang w:val="en-GB"/>
              </w:rPr>
              <w:t xml:space="preserve">Taxes, and </w:t>
            </w:r>
            <w:r w:rsidRPr="00B04967">
              <w:rPr>
                <w:rFonts w:ascii="Arial" w:hAnsi="Arial" w:cs="Arial"/>
                <w:lang w:val="en-GB"/>
              </w:rPr>
              <w:t>Other Levies</w:t>
            </w:r>
          </w:p>
        </w:tc>
        <w:tc>
          <w:tcPr>
            <w:tcW w:w="1096" w:type="dxa"/>
            <w:vAlign w:val="center"/>
            <w:hideMark/>
          </w:tcPr>
          <w:p w14:paraId="73564B5A"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30" w:type="dxa"/>
            <w:vAlign w:val="center"/>
            <w:hideMark/>
          </w:tcPr>
          <w:p w14:paraId="5095C184"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177" w:type="dxa"/>
            <w:vAlign w:val="center"/>
            <w:hideMark/>
          </w:tcPr>
          <w:p w14:paraId="1C2DCEAE" w14:textId="77777777" w:rsidR="00825E1E" w:rsidRPr="00B04967" w:rsidRDefault="00825E1E" w:rsidP="004F2C19">
            <w:pPr>
              <w:jc w:val="right"/>
              <w:rPr>
                <w:rFonts w:ascii="Arial" w:hAnsi="Arial" w:cs="Arial"/>
                <w:lang w:val="en-GB"/>
              </w:rPr>
            </w:pPr>
            <w:r w:rsidRPr="00B04967">
              <w:rPr>
                <w:rFonts w:ascii="Arial" w:hAnsi="Arial" w:cs="Arial"/>
                <w:lang w:val="en-GB"/>
              </w:rPr>
              <w:t>339.5</w:t>
            </w:r>
          </w:p>
        </w:tc>
        <w:tc>
          <w:tcPr>
            <w:tcW w:w="1177" w:type="dxa"/>
            <w:vAlign w:val="center"/>
            <w:hideMark/>
          </w:tcPr>
          <w:p w14:paraId="245EA801" w14:textId="77777777" w:rsidR="00825E1E" w:rsidRPr="00B04967" w:rsidRDefault="00825E1E" w:rsidP="004F2C19">
            <w:pPr>
              <w:jc w:val="right"/>
              <w:rPr>
                <w:rFonts w:ascii="Arial" w:hAnsi="Arial" w:cs="Arial"/>
                <w:lang w:val="en-GB"/>
              </w:rPr>
            </w:pPr>
            <w:r w:rsidRPr="00B04967">
              <w:rPr>
                <w:rFonts w:ascii="Arial" w:hAnsi="Arial" w:cs="Arial"/>
                <w:lang w:val="en-GB"/>
              </w:rPr>
              <w:t>3731.6</w:t>
            </w:r>
          </w:p>
        </w:tc>
        <w:tc>
          <w:tcPr>
            <w:tcW w:w="1264" w:type="dxa"/>
            <w:vAlign w:val="center"/>
            <w:hideMark/>
          </w:tcPr>
          <w:p w14:paraId="5E5FEA14" w14:textId="77777777" w:rsidR="00825E1E" w:rsidRPr="00B04967" w:rsidRDefault="00825E1E" w:rsidP="004F2C19">
            <w:pPr>
              <w:jc w:val="right"/>
              <w:rPr>
                <w:rFonts w:ascii="Arial" w:hAnsi="Arial" w:cs="Arial"/>
                <w:lang w:val="en-GB"/>
              </w:rPr>
            </w:pPr>
            <w:r w:rsidRPr="00B04967">
              <w:rPr>
                <w:rFonts w:ascii="Arial" w:hAnsi="Arial" w:cs="Arial"/>
                <w:lang w:val="en-GB"/>
              </w:rPr>
              <w:t>3929.6</w:t>
            </w:r>
          </w:p>
        </w:tc>
      </w:tr>
      <w:tr w:rsidR="00825E1E" w:rsidRPr="00B04967" w14:paraId="338EF267" w14:textId="77777777" w:rsidTr="00F03407">
        <w:trPr>
          <w:tblHeader/>
        </w:trPr>
        <w:tc>
          <w:tcPr>
            <w:tcW w:w="3406" w:type="dxa"/>
            <w:hideMark/>
          </w:tcPr>
          <w:p w14:paraId="4D8319A8" w14:textId="64E8D4DE" w:rsidR="00825E1E" w:rsidRPr="00B04967" w:rsidRDefault="00825E1E" w:rsidP="00D92414">
            <w:pPr>
              <w:rPr>
                <w:rFonts w:ascii="Arial" w:hAnsi="Arial" w:cs="Arial"/>
                <w:bCs/>
                <w:lang w:val="en-GB"/>
              </w:rPr>
            </w:pPr>
            <w:r w:rsidRPr="00B04967">
              <w:rPr>
                <w:rFonts w:ascii="Arial" w:hAnsi="Arial" w:cs="Arial"/>
                <w:bCs/>
                <w:lang w:val="en-GB"/>
              </w:rPr>
              <w:t xml:space="preserve">Revenue from </w:t>
            </w:r>
            <w:r w:rsidR="00B34AE3">
              <w:rPr>
                <w:rFonts w:ascii="Arial" w:hAnsi="Arial" w:cs="Arial"/>
                <w:bCs/>
                <w:lang w:val="en-GB"/>
              </w:rPr>
              <w:t>Operations</w:t>
            </w:r>
            <w:r w:rsidR="00B34AE3" w:rsidRPr="00B04967">
              <w:rPr>
                <w:rFonts w:ascii="Arial" w:hAnsi="Arial" w:cs="Arial"/>
                <w:bCs/>
                <w:lang w:val="en-GB"/>
              </w:rPr>
              <w:t xml:space="preserve"> </w:t>
            </w:r>
            <w:r w:rsidRPr="00B04967">
              <w:rPr>
                <w:rFonts w:ascii="Arial" w:hAnsi="Arial" w:cs="Arial"/>
                <w:bCs/>
                <w:lang w:val="en-GB"/>
              </w:rPr>
              <w:t>(Net)</w:t>
            </w:r>
          </w:p>
        </w:tc>
        <w:tc>
          <w:tcPr>
            <w:tcW w:w="1096" w:type="dxa"/>
            <w:vAlign w:val="center"/>
            <w:hideMark/>
          </w:tcPr>
          <w:p w14:paraId="397C131B" w14:textId="77777777" w:rsidR="00825E1E" w:rsidRPr="00B04967" w:rsidRDefault="00825E1E" w:rsidP="004F2C19">
            <w:pPr>
              <w:jc w:val="right"/>
              <w:rPr>
                <w:rFonts w:ascii="Arial" w:hAnsi="Arial" w:cs="Arial"/>
                <w:bCs/>
                <w:lang w:val="en-GB"/>
              </w:rPr>
            </w:pPr>
            <w:r w:rsidRPr="00B04967">
              <w:rPr>
                <w:rFonts w:ascii="Arial" w:hAnsi="Arial" w:cs="Arial"/>
                <w:bCs/>
                <w:lang w:val="en-GB"/>
              </w:rPr>
              <w:t>21,538.2</w:t>
            </w:r>
          </w:p>
        </w:tc>
        <w:tc>
          <w:tcPr>
            <w:tcW w:w="1230" w:type="dxa"/>
            <w:vAlign w:val="center"/>
            <w:hideMark/>
          </w:tcPr>
          <w:p w14:paraId="67F5BAD0" w14:textId="77777777" w:rsidR="00825E1E" w:rsidRPr="00B04967" w:rsidRDefault="00825E1E" w:rsidP="004F2C19">
            <w:pPr>
              <w:jc w:val="right"/>
              <w:rPr>
                <w:rFonts w:ascii="Arial" w:hAnsi="Arial" w:cs="Arial"/>
                <w:bCs/>
                <w:lang w:val="en-GB"/>
              </w:rPr>
            </w:pPr>
            <w:r w:rsidRPr="00B04967">
              <w:rPr>
                <w:rFonts w:ascii="Arial" w:hAnsi="Arial" w:cs="Arial"/>
                <w:bCs/>
                <w:lang w:val="en-GB"/>
              </w:rPr>
              <w:t>24,246.7</w:t>
            </w:r>
          </w:p>
        </w:tc>
        <w:tc>
          <w:tcPr>
            <w:tcW w:w="1177" w:type="dxa"/>
            <w:vAlign w:val="center"/>
            <w:hideMark/>
          </w:tcPr>
          <w:p w14:paraId="590CACC1" w14:textId="77777777" w:rsidR="00825E1E" w:rsidRPr="00B04967" w:rsidRDefault="00825E1E" w:rsidP="004F2C19">
            <w:pPr>
              <w:jc w:val="right"/>
              <w:rPr>
                <w:rFonts w:ascii="Arial" w:hAnsi="Arial" w:cs="Arial"/>
                <w:bCs/>
                <w:lang w:val="en-GB"/>
              </w:rPr>
            </w:pPr>
            <w:r w:rsidRPr="00B04967">
              <w:rPr>
                <w:rFonts w:ascii="Arial" w:hAnsi="Arial" w:cs="Arial"/>
                <w:bCs/>
                <w:lang w:val="en-GB"/>
              </w:rPr>
              <w:t>20,249.6</w:t>
            </w:r>
          </w:p>
        </w:tc>
        <w:tc>
          <w:tcPr>
            <w:tcW w:w="1177" w:type="dxa"/>
            <w:vAlign w:val="center"/>
            <w:hideMark/>
          </w:tcPr>
          <w:p w14:paraId="564C573B" w14:textId="77777777" w:rsidR="00825E1E" w:rsidRPr="00B04967" w:rsidRDefault="00825E1E" w:rsidP="004F2C19">
            <w:pPr>
              <w:jc w:val="right"/>
              <w:rPr>
                <w:rFonts w:ascii="Arial" w:hAnsi="Arial" w:cs="Arial"/>
                <w:bCs/>
                <w:lang w:val="en-GB"/>
              </w:rPr>
            </w:pPr>
            <w:r w:rsidRPr="00B04967">
              <w:rPr>
                <w:rFonts w:ascii="Arial" w:hAnsi="Arial" w:cs="Arial"/>
                <w:bCs/>
                <w:lang w:val="en-GB"/>
              </w:rPr>
              <w:t>37,758.2</w:t>
            </w:r>
          </w:p>
        </w:tc>
        <w:tc>
          <w:tcPr>
            <w:tcW w:w="1264" w:type="dxa"/>
            <w:vAlign w:val="center"/>
            <w:hideMark/>
          </w:tcPr>
          <w:p w14:paraId="49BB5A95" w14:textId="77777777" w:rsidR="00825E1E" w:rsidRPr="00B04967" w:rsidRDefault="00825E1E" w:rsidP="004F2C19">
            <w:pPr>
              <w:jc w:val="right"/>
              <w:rPr>
                <w:rFonts w:ascii="Arial" w:hAnsi="Arial" w:cs="Arial"/>
                <w:bCs/>
                <w:lang w:val="en-GB"/>
              </w:rPr>
            </w:pPr>
            <w:r w:rsidRPr="00B04967">
              <w:rPr>
                <w:rFonts w:ascii="Arial" w:hAnsi="Arial" w:cs="Arial"/>
                <w:bCs/>
                <w:lang w:val="en-GB"/>
              </w:rPr>
              <w:t>40,215.0</w:t>
            </w:r>
          </w:p>
        </w:tc>
      </w:tr>
      <w:tr w:rsidR="00825E1E" w:rsidRPr="00B04967" w14:paraId="365BB1A9" w14:textId="77777777" w:rsidTr="00F03407">
        <w:trPr>
          <w:tblHeader/>
        </w:trPr>
        <w:tc>
          <w:tcPr>
            <w:tcW w:w="3406" w:type="dxa"/>
            <w:hideMark/>
          </w:tcPr>
          <w:p w14:paraId="360E3FB2" w14:textId="683E050A" w:rsidR="00825E1E" w:rsidRPr="00B04967" w:rsidRDefault="00825E1E" w:rsidP="00D92414">
            <w:pPr>
              <w:rPr>
                <w:rFonts w:ascii="Arial" w:hAnsi="Arial" w:cs="Arial"/>
                <w:b/>
                <w:bCs/>
                <w:lang w:val="en-GB"/>
              </w:rPr>
            </w:pPr>
            <w:r w:rsidRPr="00B04967">
              <w:rPr>
                <w:rFonts w:ascii="Arial" w:hAnsi="Arial" w:cs="Arial"/>
                <w:b/>
                <w:bCs/>
                <w:lang w:val="en-GB"/>
              </w:rPr>
              <w:t xml:space="preserve">Total </w:t>
            </w:r>
            <w:r w:rsidR="00B34AE3">
              <w:rPr>
                <w:rFonts w:ascii="Arial" w:hAnsi="Arial" w:cs="Arial"/>
                <w:b/>
                <w:bCs/>
                <w:lang w:val="en-GB"/>
              </w:rPr>
              <w:t>Operating Revenues</w:t>
            </w:r>
          </w:p>
        </w:tc>
        <w:tc>
          <w:tcPr>
            <w:tcW w:w="1096" w:type="dxa"/>
            <w:vAlign w:val="center"/>
            <w:hideMark/>
          </w:tcPr>
          <w:p w14:paraId="5BAE6D53"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21,538.2</w:t>
            </w:r>
          </w:p>
        </w:tc>
        <w:tc>
          <w:tcPr>
            <w:tcW w:w="1230" w:type="dxa"/>
            <w:vAlign w:val="center"/>
            <w:hideMark/>
          </w:tcPr>
          <w:p w14:paraId="4DA4E4F0"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24,695.2</w:t>
            </w:r>
          </w:p>
        </w:tc>
        <w:tc>
          <w:tcPr>
            <w:tcW w:w="1177" w:type="dxa"/>
            <w:vAlign w:val="center"/>
            <w:hideMark/>
          </w:tcPr>
          <w:p w14:paraId="49EFB895"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20,657.2</w:t>
            </w:r>
          </w:p>
        </w:tc>
        <w:tc>
          <w:tcPr>
            <w:tcW w:w="1177" w:type="dxa"/>
            <w:vAlign w:val="center"/>
            <w:hideMark/>
          </w:tcPr>
          <w:p w14:paraId="0C890D77"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38,819.4</w:t>
            </w:r>
          </w:p>
        </w:tc>
        <w:tc>
          <w:tcPr>
            <w:tcW w:w="1264" w:type="dxa"/>
            <w:vAlign w:val="center"/>
            <w:hideMark/>
          </w:tcPr>
          <w:p w14:paraId="00D63FD6"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41,122.4</w:t>
            </w:r>
          </w:p>
        </w:tc>
      </w:tr>
      <w:tr w:rsidR="00825E1E" w:rsidRPr="00B04967" w14:paraId="63363ADD" w14:textId="77777777" w:rsidTr="00F03407">
        <w:trPr>
          <w:tblHeader/>
        </w:trPr>
        <w:tc>
          <w:tcPr>
            <w:tcW w:w="3406" w:type="dxa"/>
            <w:hideMark/>
          </w:tcPr>
          <w:p w14:paraId="76BB6DB8" w14:textId="77777777" w:rsidR="00825E1E" w:rsidRPr="00B04967" w:rsidRDefault="00825E1E" w:rsidP="00D92414">
            <w:pPr>
              <w:rPr>
                <w:rFonts w:ascii="Arial" w:hAnsi="Arial" w:cs="Arial"/>
                <w:lang w:val="en-GB"/>
              </w:rPr>
            </w:pPr>
            <w:r w:rsidRPr="00B04967">
              <w:rPr>
                <w:rFonts w:ascii="Arial" w:hAnsi="Arial" w:cs="Arial"/>
                <w:lang w:val="en-GB"/>
              </w:rPr>
              <w:t>Other Income</w:t>
            </w:r>
          </w:p>
        </w:tc>
        <w:tc>
          <w:tcPr>
            <w:tcW w:w="1096" w:type="dxa"/>
            <w:vAlign w:val="center"/>
            <w:hideMark/>
          </w:tcPr>
          <w:p w14:paraId="0F6D2289" w14:textId="77777777" w:rsidR="00825E1E" w:rsidRPr="00B04967" w:rsidRDefault="00825E1E" w:rsidP="004F2C19">
            <w:pPr>
              <w:jc w:val="right"/>
              <w:rPr>
                <w:rFonts w:ascii="Arial" w:hAnsi="Arial" w:cs="Arial"/>
                <w:lang w:val="en-GB"/>
              </w:rPr>
            </w:pPr>
            <w:r w:rsidRPr="00B04967">
              <w:rPr>
                <w:rFonts w:ascii="Arial" w:hAnsi="Arial" w:cs="Arial"/>
                <w:lang w:val="en-GB"/>
              </w:rPr>
              <w:t>533.5</w:t>
            </w:r>
          </w:p>
        </w:tc>
        <w:tc>
          <w:tcPr>
            <w:tcW w:w="1230" w:type="dxa"/>
            <w:vAlign w:val="center"/>
            <w:hideMark/>
          </w:tcPr>
          <w:p w14:paraId="68D28A74" w14:textId="77777777" w:rsidR="00825E1E" w:rsidRPr="00B04967" w:rsidRDefault="00825E1E" w:rsidP="004F2C19">
            <w:pPr>
              <w:jc w:val="right"/>
              <w:rPr>
                <w:rFonts w:ascii="Arial" w:hAnsi="Arial" w:cs="Arial"/>
                <w:lang w:val="en-GB"/>
              </w:rPr>
            </w:pPr>
            <w:r w:rsidRPr="00B04967">
              <w:rPr>
                <w:rFonts w:ascii="Arial" w:hAnsi="Arial" w:cs="Arial"/>
                <w:lang w:val="en-GB"/>
              </w:rPr>
              <w:t>397.6</w:t>
            </w:r>
          </w:p>
        </w:tc>
        <w:tc>
          <w:tcPr>
            <w:tcW w:w="1177" w:type="dxa"/>
            <w:vAlign w:val="center"/>
            <w:hideMark/>
          </w:tcPr>
          <w:p w14:paraId="7016762E" w14:textId="77777777" w:rsidR="00825E1E" w:rsidRPr="00B04967" w:rsidRDefault="00825E1E" w:rsidP="004F2C19">
            <w:pPr>
              <w:jc w:val="right"/>
              <w:rPr>
                <w:rFonts w:ascii="Arial" w:hAnsi="Arial" w:cs="Arial"/>
                <w:lang w:val="en-GB"/>
              </w:rPr>
            </w:pPr>
            <w:r w:rsidRPr="00B04967">
              <w:rPr>
                <w:rFonts w:ascii="Arial" w:hAnsi="Arial" w:cs="Arial"/>
                <w:lang w:val="en-GB"/>
              </w:rPr>
              <w:t>767.9</w:t>
            </w:r>
          </w:p>
        </w:tc>
        <w:tc>
          <w:tcPr>
            <w:tcW w:w="1177" w:type="dxa"/>
            <w:vAlign w:val="center"/>
            <w:hideMark/>
          </w:tcPr>
          <w:p w14:paraId="28C0AE16" w14:textId="77777777" w:rsidR="00825E1E" w:rsidRPr="00B04967" w:rsidRDefault="00825E1E" w:rsidP="004F2C19">
            <w:pPr>
              <w:jc w:val="right"/>
              <w:rPr>
                <w:rFonts w:ascii="Arial" w:hAnsi="Arial" w:cs="Arial"/>
                <w:lang w:val="en-GB"/>
              </w:rPr>
            </w:pPr>
            <w:r w:rsidRPr="00B04967">
              <w:rPr>
                <w:rFonts w:ascii="Arial" w:hAnsi="Arial" w:cs="Arial"/>
                <w:lang w:val="en-GB"/>
              </w:rPr>
              <w:t>1199.1</w:t>
            </w:r>
          </w:p>
        </w:tc>
        <w:tc>
          <w:tcPr>
            <w:tcW w:w="1264" w:type="dxa"/>
            <w:vAlign w:val="center"/>
            <w:hideMark/>
          </w:tcPr>
          <w:p w14:paraId="02E340B6" w14:textId="77777777" w:rsidR="00825E1E" w:rsidRPr="00B04967" w:rsidRDefault="00825E1E" w:rsidP="004F2C19">
            <w:pPr>
              <w:jc w:val="right"/>
              <w:rPr>
                <w:rFonts w:ascii="Arial" w:hAnsi="Arial" w:cs="Arial"/>
                <w:lang w:val="en-GB"/>
              </w:rPr>
            </w:pPr>
            <w:r w:rsidRPr="00B04967">
              <w:rPr>
                <w:rFonts w:ascii="Arial" w:hAnsi="Arial" w:cs="Arial"/>
                <w:lang w:val="en-GB"/>
              </w:rPr>
              <w:t>325.1</w:t>
            </w:r>
          </w:p>
        </w:tc>
      </w:tr>
      <w:tr w:rsidR="00825E1E" w:rsidRPr="00B04967" w14:paraId="1A1BF0BD" w14:textId="77777777" w:rsidTr="00F03407">
        <w:trPr>
          <w:tblHeader/>
        </w:trPr>
        <w:tc>
          <w:tcPr>
            <w:tcW w:w="3406" w:type="dxa"/>
            <w:hideMark/>
          </w:tcPr>
          <w:p w14:paraId="327D2BB2" w14:textId="1F929C7B" w:rsidR="00825E1E" w:rsidRPr="00B04967" w:rsidRDefault="00825E1E" w:rsidP="00D92414">
            <w:pPr>
              <w:rPr>
                <w:rFonts w:ascii="Arial" w:hAnsi="Arial" w:cs="Arial"/>
                <w:b/>
                <w:bCs/>
                <w:lang w:val="en-GB"/>
              </w:rPr>
            </w:pPr>
            <w:r w:rsidRPr="00B04967">
              <w:rPr>
                <w:rFonts w:ascii="Arial" w:hAnsi="Arial" w:cs="Arial"/>
                <w:b/>
                <w:bCs/>
                <w:lang w:val="en-GB"/>
              </w:rPr>
              <w:t xml:space="preserve">Total </w:t>
            </w:r>
            <w:r w:rsidR="00B34AE3">
              <w:rPr>
                <w:rFonts w:ascii="Arial" w:hAnsi="Arial" w:cs="Arial"/>
                <w:b/>
                <w:bCs/>
                <w:lang w:val="en-GB"/>
              </w:rPr>
              <w:t>Revenue</w:t>
            </w:r>
          </w:p>
        </w:tc>
        <w:tc>
          <w:tcPr>
            <w:tcW w:w="1096" w:type="dxa"/>
            <w:vAlign w:val="center"/>
            <w:hideMark/>
          </w:tcPr>
          <w:p w14:paraId="07021C5E"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22,071.7</w:t>
            </w:r>
          </w:p>
        </w:tc>
        <w:tc>
          <w:tcPr>
            <w:tcW w:w="1230" w:type="dxa"/>
            <w:vAlign w:val="center"/>
            <w:hideMark/>
          </w:tcPr>
          <w:p w14:paraId="7706E74F"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25,092.8</w:t>
            </w:r>
          </w:p>
        </w:tc>
        <w:tc>
          <w:tcPr>
            <w:tcW w:w="1177" w:type="dxa"/>
            <w:vAlign w:val="center"/>
            <w:hideMark/>
          </w:tcPr>
          <w:p w14:paraId="5EE4C57F"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21,425.1</w:t>
            </w:r>
          </w:p>
        </w:tc>
        <w:tc>
          <w:tcPr>
            <w:tcW w:w="1177" w:type="dxa"/>
            <w:vAlign w:val="center"/>
            <w:hideMark/>
          </w:tcPr>
          <w:p w14:paraId="09798676"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40,018.5</w:t>
            </w:r>
          </w:p>
        </w:tc>
        <w:tc>
          <w:tcPr>
            <w:tcW w:w="1264" w:type="dxa"/>
            <w:vAlign w:val="center"/>
            <w:hideMark/>
          </w:tcPr>
          <w:p w14:paraId="162810DF"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41,447.5</w:t>
            </w:r>
          </w:p>
        </w:tc>
      </w:tr>
      <w:tr w:rsidR="00825E1E" w:rsidRPr="00B04967" w14:paraId="1A6FFE3F" w14:textId="77777777" w:rsidTr="00F03407">
        <w:trPr>
          <w:tblHeader/>
        </w:trPr>
        <w:tc>
          <w:tcPr>
            <w:tcW w:w="3406" w:type="dxa"/>
            <w:hideMark/>
          </w:tcPr>
          <w:p w14:paraId="3CEF3F34" w14:textId="77777777" w:rsidR="00825E1E" w:rsidRPr="00B04967" w:rsidRDefault="00825E1E" w:rsidP="00D92414">
            <w:pPr>
              <w:rPr>
                <w:rFonts w:ascii="Arial" w:hAnsi="Arial" w:cs="Arial"/>
                <w:b/>
                <w:bCs/>
                <w:lang w:val="en-GB"/>
              </w:rPr>
            </w:pPr>
            <w:r w:rsidRPr="00B04967">
              <w:rPr>
                <w:rFonts w:ascii="Arial" w:hAnsi="Arial" w:cs="Arial"/>
                <w:b/>
                <w:bCs/>
                <w:lang w:val="en-GB"/>
              </w:rPr>
              <w:t xml:space="preserve">Expenses </w:t>
            </w:r>
          </w:p>
        </w:tc>
        <w:tc>
          <w:tcPr>
            <w:tcW w:w="1096" w:type="dxa"/>
            <w:vAlign w:val="center"/>
            <w:hideMark/>
          </w:tcPr>
          <w:p w14:paraId="41587EBD" w14:textId="77777777" w:rsidR="00825E1E" w:rsidRPr="00B04967" w:rsidRDefault="00825E1E" w:rsidP="004F2C19">
            <w:pPr>
              <w:jc w:val="right"/>
              <w:rPr>
                <w:rFonts w:ascii="Arial" w:hAnsi="Arial" w:cs="Arial"/>
                <w:b/>
                <w:bCs/>
                <w:lang w:val="en-GB"/>
              </w:rPr>
            </w:pPr>
          </w:p>
        </w:tc>
        <w:tc>
          <w:tcPr>
            <w:tcW w:w="1230" w:type="dxa"/>
            <w:vAlign w:val="center"/>
            <w:hideMark/>
          </w:tcPr>
          <w:p w14:paraId="7B02F21F" w14:textId="77777777" w:rsidR="00825E1E" w:rsidRPr="00B04967" w:rsidRDefault="00825E1E" w:rsidP="004F2C19">
            <w:pPr>
              <w:jc w:val="right"/>
              <w:rPr>
                <w:rFonts w:ascii="Arial" w:hAnsi="Arial" w:cs="Arial"/>
                <w:lang w:val="en-GB"/>
              </w:rPr>
            </w:pPr>
          </w:p>
        </w:tc>
        <w:tc>
          <w:tcPr>
            <w:tcW w:w="1177" w:type="dxa"/>
            <w:vAlign w:val="center"/>
            <w:hideMark/>
          </w:tcPr>
          <w:p w14:paraId="3B0F8AD2" w14:textId="77777777" w:rsidR="00825E1E" w:rsidRPr="00B04967" w:rsidRDefault="00825E1E" w:rsidP="004F2C19">
            <w:pPr>
              <w:jc w:val="right"/>
              <w:rPr>
                <w:rFonts w:ascii="Arial" w:hAnsi="Arial" w:cs="Arial"/>
                <w:lang w:val="en-GB"/>
              </w:rPr>
            </w:pPr>
          </w:p>
        </w:tc>
        <w:tc>
          <w:tcPr>
            <w:tcW w:w="1177" w:type="dxa"/>
            <w:vAlign w:val="center"/>
            <w:hideMark/>
          </w:tcPr>
          <w:p w14:paraId="5E4D61FE" w14:textId="77777777" w:rsidR="00825E1E" w:rsidRPr="00B04967" w:rsidRDefault="00825E1E" w:rsidP="004F2C19">
            <w:pPr>
              <w:jc w:val="right"/>
              <w:rPr>
                <w:rFonts w:ascii="Arial" w:hAnsi="Arial" w:cs="Arial"/>
                <w:lang w:val="en-GB"/>
              </w:rPr>
            </w:pPr>
          </w:p>
        </w:tc>
        <w:tc>
          <w:tcPr>
            <w:tcW w:w="1264" w:type="dxa"/>
            <w:vAlign w:val="center"/>
            <w:hideMark/>
          </w:tcPr>
          <w:p w14:paraId="59B546F5" w14:textId="77777777" w:rsidR="00825E1E" w:rsidRPr="00B04967" w:rsidRDefault="00825E1E" w:rsidP="004F2C19">
            <w:pPr>
              <w:jc w:val="right"/>
              <w:rPr>
                <w:rFonts w:ascii="Arial" w:hAnsi="Arial" w:cs="Arial"/>
                <w:lang w:val="en-GB"/>
              </w:rPr>
            </w:pPr>
          </w:p>
        </w:tc>
      </w:tr>
      <w:tr w:rsidR="00825E1E" w:rsidRPr="00B04967" w14:paraId="2E8DBFA2" w14:textId="77777777" w:rsidTr="00F03407">
        <w:trPr>
          <w:tblHeader/>
        </w:trPr>
        <w:tc>
          <w:tcPr>
            <w:tcW w:w="3406" w:type="dxa"/>
            <w:hideMark/>
          </w:tcPr>
          <w:p w14:paraId="5579772D" w14:textId="5689D50D" w:rsidR="00825E1E" w:rsidRPr="00B04967" w:rsidRDefault="00825E1E" w:rsidP="00D92414">
            <w:pPr>
              <w:rPr>
                <w:rFonts w:ascii="Arial" w:hAnsi="Arial" w:cs="Arial"/>
                <w:lang w:val="en-GB"/>
              </w:rPr>
            </w:pPr>
            <w:r w:rsidRPr="00B04967">
              <w:rPr>
                <w:rFonts w:ascii="Arial" w:hAnsi="Arial" w:cs="Arial"/>
                <w:lang w:val="en-GB"/>
              </w:rPr>
              <w:t xml:space="preserve">Cost </w:t>
            </w:r>
            <w:r w:rsidR="00B34AE3">
              <w:rPr>
                <w:rFonts w:ascii="Arial" w:hAnsi="Arial" w:cs="Arial"/>
                <w:lang w:val="en-GB"/>
              </w:rPr>
              <w:t>of</w:t>
            </w:r>
            <w:r w:rsidRPr="00B04967">
              <w:rPr>
                <w:rFonts w:ascii="Arial" w:hAnsi="Arial" w:cs="Arial"/>
                <w:lang w:val="en-GB"/>
              </w:rPr>
              <w:t xml:space="preserve"> Materials Consumed</w:t>
            </w:r>
          </w:p>
        </w:tc>
        <w:tc>
          <w:tcPr>
            <w:tcW w:w="1096" w:type="dxa"/>
            <w:vAlign w:val="center"/>
            <w:hideMark/>
          </w:tcPr>
          <w:p w14:paraId="2FDDCD58" w14:textId="77777777" w:rsidR="00825E1E" w:rsidRPr="00B04967" w:rsidRDefault="00825E1E" w:rsidP="004F2C19">
            <w:pPr>
              <w:jc w:val="right"/>
              <w:rPr>
                <w:rFonts w:ascii="Arial" w:hAnsi="Arial" w:cs="Arial"/>
                <w:lang w:val="en-GB"/>
              </w:rPr>
            </w:pPr>
            <w:r w:rsidRPr="00B04967">
              <w:rPr>
                <w:rFonts w:ascii="Arial" w:hAnsi="Arial" w:cs="Arial"/>
                <w:lang w:val="en-GB"/>
              </w:rPr>
              <w:t>11,495.6</w:t>
            </w:r>
          </w:p>
        </w:tc>
        <w:tc>
          <w:tcPr>
            <w:tcW w:w="1230" w:type="dxa"/>
            <w:vAlign w:val="center"/>
            <w:hideMark/>
          </w:tcPr>
          <w:p w14:paraId="6B1B7432" w14:textId="77777777" w:rsidR="00825E1E" w:rsidRPr="00B04967" w:rsidRDefault="00825E1E" w:rsidP="004F2C19">
            <w:pPr>
              <w:jc w:val="right"/>
              <w:rPr>
                <w:rFonts w:ascii="Arial" w:hAnsi="Arial" w:cs="Arial"/>
                <w:lang w:val="en-GB"/>
              </w:rPr>
            </w:pPr>
            <w:r w:rsidRPr="00B04967">
              <w:rPr>
                <w:rFonts w:ascii="Arial" w:hAnsi="Arial" w:cs="Arial"/>
                <w:lang w:val="en-GB"/>
              </w:rPr>
              <w:t>15,904.7</w:t>
            </w:r>
          </w:p>
        </w:tc>
        <w:tc>
          <w:tcPr>
            <w:tcW w:w="1177" w:type="dxa"/>
            <w:vAlign w:val="center"/>
            <w:hideMark/>
          </w:tcPr>
          <w:p w14:paraId="17458A18" w14:textId="77777777" w:rsidR="00825E1E" w:rsidRPr="00B04967" w:rsidRDefault="00825E1E" w:rsidP="004F2C19">
            <w:pPr>
              <w:jc w:val="right"/>
              <w:rPr>
                <w:rFonts w:ascii="Arial" w:hAnsi="Arial" w:cs="Arial"/>
                <w:lang w:val="en-GB"/>
              </w:rPr>
            </w:pPr>
            <w:r w:rsidRPr="00B04967">
              <w:rPr>
                <w:rFonts w:ascii="Arial" w:hAnsi="Arial" w:cs="Arial"/>
                <w:lang w:val="en-GB"/>
              </w:rPr>
              <w:t>12,827.8</w:t>
            </w:r>
          </w:p>
        </w:tc>
        <w:tc>
          <w:tcPr>
            <w:tcW w:w="1177" w:type="dxa"/>
            <w:vAlign w:val="center"/>
            <w:hideMark/>
          </w:tcPr>
          <w:p w14:paraId="61CF6BCC" w14:textId="77777777" w:rsidR="00825E1E" w:rsidRPr="00B04967" w:rsidRDefault="00825E1E" w:rsidP="004F2C19">
            <w:pPr>
              <w:jc w:val="right"/>
              <w:rPr>
                <w:rFonts w:ascii="Arial" w:hAnsi="Arial" w:cs="Arial"/>
                <w:lang w:val="en-GB"/>
              </w:rPr>
            </w:pPr>
            <w:r w:rsidRPr="00B04967">
              <w:rPr>
                <w:rFonts w:ascii="Arial" w:hAnsi="Arial" w:cs="Arial"/>
                <w:lang w:val="en-GB"/>
              </w:rPr>
              <w:t>17,376.3</w:t>
            </w:r>
          </w:p>
        </w:tc>
        <w:tc>
          <w:tcPr>
            <w:tcW w:w="1264" w:type="dxa"/>
            <w:vAlign w:val="center"/>
            <w:hideMark/>
          </w:tcPr>
          <w:p w14:paraId="6D6749F9" w14:textId="77777777" w:rsidR="00825E1E" w:rsidRPr="00B04967" w:rsidRDefault="00825E1E" w:rsidP="004F2C19">
            <w:pPr>
              <w:jc w:val="right"/>
              <w:rPr>
                <w:rFonts w:ascii="Arial" w:hAnsi="Arial" w:cs="Arial"/>
                <w:lang w:val="en-GB"/>
              </w:rPr>
            </w:pPr>
            <w:r w:rsidRPr="00B04967">
              <w:rPr>
                <w:rFonts w:ascii="Arial" w:hAnsi="Arial" w:cs="Arial"/>
                <w:lang w:val="en-GB"/>
              </w:rPr>
              <w:t>17,251.5</w:t>
            </w:r>
          </w:p>
        </w:tc>
      </w:tr>
      <w:tr w:rsidR="00825E1E" w:rsidRPr="00B04967" w14:paraId="1D18E3E8" w14:textId="77777777" w:rsidTr="00F03407">
        <w:trPr>
          <w:tblHeader/>
        </w:trPr>
        <w:tc>
          <w:tcPr>
            <w:tcW w:w="3406" w:type="dxa"/>
            <w:hideMark/>
          </w:tcPr>
          <w:p w14:paraId="0EFD6C2B" w14:textId="4420BE02" w:rsidR="00825E1E" w:rsidRPr="00B04967" w:rsidRDefault="00825E1E" w:rsidP="00D92414">
            <w:pPr>
              <w:rPr>
                <w:rFonts w:ascii="Arial" w:hAnsi="Arial" w:cs="Arial"/>
                <w:lang w:val="en-GB"/>
              </w:rPr>
            </w:pPr>
            <w:r w:rsidRPr="00B04967">
              <w:rPr>
                <w:rFonts w:ascii="Arial" w:hAnsi="Arial" w:cs="Arial"/>
                <w:lang w:val="en-GB"/>
              </w:rPr>
              <w:t xml:space="preserve">Operating </w:t>
            </w:r>
            <w:r w:rsidR="00B34AE3">
              <w:rPr>
                <w:rFonts w:ascii="Arial" w:hAnsi="Arial" w:cs="Arial"/>
                <w:lang w:val="en-GB"/>
              </w:rPr>
              <w:t>and</w:t>
            </w:r>
            <w:r w:rsidRPr="00B04967">
              <w:rPr>
                <w:rFonts w:ascii="Arial" w:hAnsi="Arial" w:cs="Arial"/>
                <w:lang w:val="en-GB"/>
              </w:rPr>
              <w:t xml:space="preserve"> Direct Expenses</w:t>
            </w:r>
          </w:p>
        </w:tc>
        <w:tc>
          <w:tcPr>
            <w:tcW w:w="1096" w:type="dxa"/>
            <w:vAlign w:val="center"/>
            <w:hideMark/>
          </w:tcPr>
          <w:p w14:paraId="2B2B5795"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30" w:type="dxa"/>
            <w:vAlign w:val="center"/>
            <w:hideMark/>
          </w:tcPr>
          <w:p w14:paraId="38CBBE2E"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177" w:type="dxa"/>
            <w:vAlign w:val="center"/>
            <w:hideMark/>
          </w:tcPr>
          <w:p w14:paraId="7B4BB663"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177" w:type="dxa"/>
            <w:vAlign w:val="center"/>
            <w:hideMark/>
          </w:tcPr>
          <w:p w14:paraId="22A0DF57"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64" w:type="dxa"/>
            <w:vAlign w:val="center"/>
            <w:hideMark/>
          </w:tcPr>
          <w:p w14:paraId="10A4CB53"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r>
      <w:tr w:rsidR="00825E1E" w:rsidRPr="00B04967" w14:paraId="0074EF4F" w14:textId="77777777" w:rsidTr="00F03407">
        <w:trPr>
          <w:tblHeader/>
        </w:trPr>
        <w:tc>
          <w:tcPr>
            <w:tcW w:w="3406" w:type="dxa"/>
            <w:hideMark/>
          </w:tcPr>
          <w:p w14:paraId="5EEBE9F6" w14:textId="77777777" w:rsidR="00825E1E" w:rsidRPr="00B04967" w:rsidRDefault="00825E1E" w:rsidP="00D92414">
            <w:pPr>
              <w:rPr>
                <w:rFonts w:ascii="Arial" w:hAnsi="Arial" w:cs="Arial"/>
                <w:lang w:val="en-GB"/>
              </w:rPr>
            </w:pPr>
            <w:r w:rsidRPr="00B04967">
              <w:rPr>
                <w:rFonts w:ascii="Arial" w:hAnsi="Arial" w:cs="Arial"/>
                <w:lang w:val="en-GB"/>
              </w:rPr>
              <w:t>Employee Benefit Expenses</w:t>
            </w:r>
          </w:p>
        </w:tc>
        <w:tc>
          <w:tcPr>
            <w:tcW w:w="1096" w:type="dxa"/>
            <w:vAlign w:val="center"/>
            <w:hideMark/>
          </w:tcPr>
          <w:p w14:paraId="1B7B626E" w14:textId="77777777" w:rsidR="00825E1E" w:rsidRPr="00B04967" w:rsidRDefault="00825E1E" w:rsidP="004F2C19">
            <w:pPr>
              <w:jc w:val="right"/>
              <w:rPr>
                <w:rFonts w:ascii="Arial" w:hAnsi="Arial" w:cs="Arial"/>
                <w:lang w:val="en-GB"/>
              </w:rPr>
            </w:pPr>
            <w:r w:rsidRPr="00B04967">
              <w:rPr>
                <w:rFonts w:ascii="Arial" w:hAnsi="Arial" w:cs="Arial"/>
                <w:lang w:val="en-GB"/>
              </w:rPr>
              <w:t>3,060.6</w:t>
            </w:r>
          </w:p>
        </w:tc>
        <w:tc>
          <w:tcPr>
            <w:tcW w:w="1230" w:type="dxa"/>
            <w:vAlign w:val="center"/>
            <w:hideMark/>
          </w:tcPr>
          <w:p w14:paraId="677BC431" w14:textId="77777777" w:rsidR="00825E1E" w:rsidRPr="00B04967" w:rsidRDefault="00825E1E" w:rsidP="004F2C19">
            <w:pPr>
              <w:jc w:val="right"/>
              <w:rPr>
                <w:rFonts w:ascii="Arial" w:hAnsi="Arial" w:cs="Arial"/>
                <w:lang w:val="en-GB"/>
              </w:rPr>
            </w:pPr>
            <w:r w:rsidRPr="00B04967">
              <w:rPr>
                <w:rFonts w:ascii="Arial" w:hAnsi="Arial" w:cs="Arial"/>
                <w:lang w:val="en-GB"/>
              </w:rPr>
              <w:t>2,789.1</w:t>
            </w:r>
          </w:p>
        </w:tc>
        <w:tc>
          <w:tcPr>
            <w:tcW w:w="1177" w:type="dxa"/>
            <w:vAlign w:val="center"/>
            <w:hideMark/>
          </w:tcPr>
          <w:p w14:paraId="1222686A" w14:textId="77777777" w:rsidR="00825E1E" w:rsidRPr="00B04967" w:rsidRDefault="00825E1E" w:rsidP="004F2C19">
            <w:pPr>
              <w:jc w:val="right"/>
              <w:rPr>
                <w:rFonts w:ascii="Arial" w:hAnsi="Arial" w:cs="Arial"/>
                <w:lang w:val="en-GB"/>
              </w:rPr>
            </w:pPr>
            <w:r w:rsidRPr="00B04967">
              <w:rPr>
                <w:rFonts w:ascii="Arial" w:hAnsi="Arial" w:cs="Arial"/>
                <w:lang w:val="en-GB"/>
              </w:rPr>
              <w:t>2,488.0</w:t>
            </w:r>
          </w:p>
        </w:tc>
        <w:tc>
          <w:tcPr>
            <w:tcW w:w="1177" w:type="dxa"/>
            <w:vAlign w:val="center"/>
            <w:hideMark/>
          </w:tcPr>
          <w:p w14:paraId="4D0C7177" w14:textId="77777777" w:rsidR="00825E1E" w:rsidRPr="00B04967" w:rsidRDefault="00825E1E" w:rsidP="004F2C19">
            <w:pPr>
              <w:jc w:val="right"/>
              <w:rPr>
                <w:rFonts w:ascii="Arial" w:hAnsi="Arial" w:cs="Arial"/>
                <w:lang w:val="en-GB"/>
              </w:rPr>
            </w:pPr>
            <w:r w:rsidRPr="00B04967">
              <w:rPr>
                <w:rFonts w:ascii="Arial" w:hAnsi="Arial" w:cs="Arial"/>
                <w:lang w:val="en-GB"/>
              </w:rPr>
              <w:t>3,711.2</w:t>
            </w:r>
          </w:p>
        </w:tc>
        <w:tc>
          <w:tcPr>
            <w:tcW w:w="1264" w:type="dxa"/>
            <w:vAlign w:val="center"/>
            <w:hideMark/>
          </w:tcPr>
          <w:p w14:paraId="7169BC97" w14:textId="77777777" w:rsidR="00825E1E" w:rsidRPr="00B04967" w:rsidRDefault="00825E1E" w:rsidP="004F2C19">
            <w:pPr>
              <w:jc w:val="right"/>
              <w:rPr>
                <w:rFonts w:ascii="Arial" w:hAnsi="Arial" w:cs="Arial"/>
                <w:lang w:val="en-GB"/>
              </w:rPr>
            </w:pPr>
            <w:r w:rsidRPr="00B04967">
              <w:rPr>
                <w:rFonts w:ascii="Arial" w:hAnsi="Arial" w:cs="Arial"/>
                <w:lang w:val="en-GB"/>
              </w:rPr>
              <w:t>3,733.1</w:t>
            </w:r>
          </w:p>
        </w:tc>
      </w:tr>
      <w:tr w:rsidR="00825E1E" w:rsidRPr="00B04967" w14:paraId="278CD790" w14:textId="77777777" w:rsidTr="00F03407">
        <w:trPr>
          <w:tblHeader/>
        </w:trPr>
        <w:tc>
          <w:tcPr>
            <w:tcW w:w="3406" w:type="dxa"/>
            <w:hideMark/>
          </w:tcPr>
          <w:p w14:paraId="210D6652" w14:textId="77777777" w:rsidR="00825E1E" w:rsidRPr="00B04967" w:rsidRDefault="00825E1E" w:rsidP="00D92414">
            <w:pPr>
              <w:rPr>
                <w:rFonts w:ascii="Arial" w:hAnsi="Arial" w:cs="Arial"/>
                <w:lang w:val="en-GB"/>
              </w:rPr>
            </w:pPr>
            <w:r w:rsidRPr="00B04967">
              <w:rPr>
                <w:rFonts w:ascii="Arial" w:hAnsi="Arial" w:cs="Arial"/>
                <w:lang w:val="en-GB"/>
              </w:rPr>
              <w:t>Finance Costs</w:t>
            </w:r>
          </w:p>
        </w:tc>
        <w:tc>
          <w:tcPr>
            <w:tcW w:w="1096" w:type="dxa"/>
            <w:vAlign w:val="center"/>
            <w:hideMark/>
          </w:tcPr>
          <w:p w14:paraId="1A1B093F" w14:textId="77777777" w:rsidR="00825E1E" w:rsidRPr="00B04967" w:rsidRDefault="00825E1E" w:rsidP="004F2C19">
            <w:pPr>
              <w:jc w:val="right"/>
              <w:rPr>
                <w:rFonts w:ascii="Arial" w:hAnsi="Arial" w:cs="Arial"/>
                <w:lang w:val="en-GB"/>
              </w:rPr>
            </w:pPr>
            <w:r w:rsidRPr="00B04967">
              <w:rPr>
                <w:rFonts w:ascii="Arial" w:hAnsi="Arial" w:cs="Arial"/>
                <w:lang w:val="en-GB"/>
              </w:rPr>
              <w:t>7,41.8</w:t>
            </w:r>
          </w:p>
        </w:tc>
        <w:tc>
          <w:tcPr>
            <w:tcW w:w="1230" w:type="dxa"/>
            <w:vAlign w:val="center"/>
            <w:hideMark/>
          </w:tcPr>
          <w:p w14:paraId="1A3E705F" w14:textId="77777777" w:rsidR="00825E1E" w:rsidRPr="00B04967" w:rsidRDefault="00825E1E" w:rsidP="004F2C19">
            <w:pPr>
              <w:jc w:val="right"/>
              <w:rPr>
                <w:rFonts w:ascii="Arial" w:hAnsi="Arial" w:cs="Arial"/>
                <w:lang w:val="en-GB"/>
              </w:rPr>
            </w:pPr>
            <w:r w:rsidRPr="00B04967">
              <w:rPr>
                <w:rFonts w:ascii="Arial" w:hAnsi="Arial" w:cs="Arial"/>
                <w:lang w:val="en-GB"/>
              </w:rPr>
              <w:t>1,135.3</w:t>
            </w:r>
          </w:p>
        </w:tc>
        <w:tc>
          <w:tcPr>
            <w:tcW w:w="1177" w:type="dxa"/>
            <w:vAlign w:val="center"/>
            <w:hideMark/>
          </w:tcPr>
          <w:p w14:paraId="6869AA5D" w14:textId="77777777" w:rsidR="00825E1E" w:rsidRPr="00B04967" w:rsidRDefault="00825E1E" w:rsidP="004F2C19">
            <w:pPr>
              <w:jc w:val="right"/>
              <w:rPr>
                <w:rFonts w:ascii="Arial" w:hAnsi="Arial" w:cs="Arial"/>
                <w:lang w:val="en-GB"/>
              </w:rPr>
            </w:pPr>
            <w:r w:rsidRPr="00B04967">
              <w:rPr>
                <w:rFonts w:ascii="Arial" w:hAnsi="Arial" w:cs="Arial"/>
                <w:lang w:val="en-GB"/>
              </w:rPr>
              <w:t>924.8</w:t>
            </w:r>
          </w:p>
        </w:tc>
        <w:tc>
          <w:tcPr>
            <w:tcW w:w="1177" w:type="dxa"/>
            <w:vAlign w:val="center"/>
            <w:hideMark/>
          </w:tcPr>
          <w:p w14:paraId="38B99CAC" w14:textId="77777777" w:rsidR="00825E1E" w:rsidRPr="00B04967" w:rsidRDefault="00825E1E" w:rsidP="004F2C19">
            <w:pPr>
              <w:jc w:val="right"/>
              <w:rPr>
                <w:rFonts w:ascii="Arial" w:hAnsi="Arial" w:cs="Arial"/>
                <w:lang w:val="en-GB"/>
              </w:rPr>
            </w:pPr>
            <w:r w:rsidRPr="00B04967">
              <w:rPr>
                <w:rFonts w:ascii="Arial" w:hAnsi="Arial" w:cs="Arial"/>
                <w:lang w:val="en-GB"/>
              </w:rPr>
              <w:t>5,642.4</w:t>
            </w:r>
          </w:p>
        </w:tc>
        <w:tc>
          <w:tcPr>
            <w:tcW w:w="1264" w:type="dxa"/>
            <w:vAlign w:val="center"/>
            <w:hideMark/>
          </w:tcPr>
          <w:p w14:paraId="43BC3D6A" w14:textId="77777777" w:rsidR="00825E1E" w:rsidRPr="00B04967" w:rsidRDefault="00825E1E" w:rsidP="004F2C19">
            <w:pPr>
              <w:jc w:val="right"/>
              <w:rPr>
                <w:rFonts w:ascii="Arial" w:hAnsi="Arial" w:cs="Arial"/>
                <w:lang w:val="en-GB"/>
              </w:rPr>
            </w:pPr>
            <w:r w:rsidRPr="00B04967">
              <w:rPr>
                <w:rFonts w:ascii="Arial" w:hAnsi="Arial" w:cs="Arial"/>
                <w:lang w:val="en-GB"/>
              </w:rPr>
              <w:t>5,466.3</w:t>
            </w:r>
          </w:p>
        </w:tc>
      </w:tr>
      <w:tr w:rsidR="00825E1E" w:rsidRPr="00B04967" w14:paraId="25D54276" w14:textId="77777777" w:rsidTr="00F03407">
        <w:trPr>
          <w:tblHeader/>
        </w:trPr>
        <w:tc>
          <w:tcPr>
            <w:tcW w:w="3406" w:type="dxa"/>
            <w:hideMark/>
          </w:tcPr>
          <w:p w14:paraId="613670CC" w14:textId="4C358E95" w:rsidR="00825E1E" w:rsidRPr="00B04967" w:rsidRDefault="00825E1E" w:rsidP="00D92414">
            <w:pPr>
              <w:rPr>
                <w:rFonts w:ascii="Arial" w:hAnsi="Arial" w:cs="Arial"/>
                <w:lang w:val="en-GB"/>
              </w:rPr>
            </w:pPr>
            <w:r w:rsidRPr="00B04967">
              <w:rPr>
                <w:rFonts w:ascii="Arial" w:hAnsi="Arial" w:cs="Arial"/>
                <w:lang w:val="en-GB"/>
              </w:rPr>
              <w:t xml:space="preserve">Depreciation </w:t>
            </w:r>
            <w:r w:rsidR="00B34AE3">
              <w:rPr>
                <w:rFonts w:ascii="Arial" w:hAnsi="Arial" w:cs="Arial"/>
                <w:lang w:val="en-GB"/>
              </w:rPr>
              <w:t>and</w:t>
            </w:r>
            <w:r w:rsidRPr="00B04967">
              <w:rPr>
                <w:rFonts w:ascii="Arial" w:hAnsi="Arial" w:cs="Arial"/>
                <w:lang w:val="en-GB"/>
              </w:rPr>
              <w:t xml:space="preserve"> </w:t>
            </w:r>
            <w:r w:rsidR="00B34AE3">
              <w:rPr>
                <w:rFonts w:ascii="Arial" w:hAnsi="Arial" w:cs="Arial"/>
                <w:lang w:val="en-GB"/>
              </w:rPr>
              <w:t xml:space="preserve">Amortization </w:t>
            </w:r>
            <w:r w:rsidRPr="00B04967">
              <w:rPr>
                <w:rFonts w:ascii="Arial" w:hAnsi="Arial" w:cs="Arial"/>
                <w:lang w:val="en-GB"/>
              </w:rPr>
              <w:t>Expenses</w:t>
            </w:r>
          </w:p>
        </w:tc>
        <w:tc>
          <w:tcPr>
            <w:tcW w:w="1096" w:type="dxa"/>
            <w:vAlign w:val="center"/>
            <w:hideMark/>
          </w:tcPr>
          <w:p w14:paraId="009238E0" w14:textId="77777777" w:rsidR="00825E1E" w:rsidRPr="00B04967" w:rsidRDefault="00825E1E" w:rsidP="004F2C19">
            <w:pPr>
              <w:jc w:val="right"/>
              <w:rPr>
                <w:rFonts w:ascii="Arial" w:hAnsi="Arial" w:cs="Arial"/>
                <w:lang w:val="en-GB"/>
              </w:rPr>
            </w:pPr>
            <w:r w:rsidRPr="00B04967">
              <w:rPr>
                <w:rFonts w:ascii="Arial" w:hAnsi="Arial" w:cs="Arial"/>
                <w:lang w:val="en-GB"/>
              </w:rPr>
              <w:t>636.2</w:t>
            </w:r>
          </w:p>
        </w:tc>
        <w:tc>
          <w:tcPr>
            <w:tcW w:w="1230" w:type="dxa"/>
            <w:vAlign w:val="center"/>
            <w:hideMark/>
          </w:tcPr>
          <w:p w14:paraId="049C9909" w14:textId="77777777" w:rsidR="00825E1E" w:rsidRPr="00B04967" w:rsidRDefault="00825E1E" w:rsidP="004F2C19">
            <w:pPr>
              <w:jc w:val="right"/>
              <w:rPr>
                <w:rFonts w:ascii="Arial" w:hAnsi="Arial" w:cs="Arial"/>
                <w:lang w:val="en-GB"/>
              </w:rPr>
            </w:pPr>
            <w:r w:rsidRPr="00B04967">
              <w:rPr>
                <w:rFonts w:ascii="Arial" w:hAnsi="Arial" w:cs="Arial"/>
                <w:lang w:val="en-GB"/>
              </w:rPr>
              <w:t>608.6</w:t>
            </w:r>
          </w:p>
        </w:tc>
        <w:tc>
          <w:tcPr>
            <w:tcW w:w="1177" w:type="dxa"/>
            <w:vAlign w:val="center"/>
            <w:hideMark/>
          </w:tcPr>
          <w:p w14:paraId="06A78F78" w14:textId="77777777" w:rsidR="00825E1E" w:rsidRPr="00B04967" w:rsidRDefault="00825E1E" w:rsidP="004F2C19">
            <w:pPr>
              <w:jc w:val="right"/>
              <w:rPr>
                <w:rFonts w:ascii="Arial" w:hAnsi="Arial" w:cs="Arial"/>
                <w:lang w:val="en-GB"/>
              </w:rPr>
            </w:pPr>
            <w:r w:rsidRPr="00B04967">
              <w:rPr>
                <w:rFonts w:ascii="Arial" w:hAnsi="Arial" w:cs="Arial"/>
                <w:lang w:val="en-GB"/>
              </w:rPr>
              <w:t>602.6</w:t>
            </w:r>
          </w:p>
        </w:tc>
        <w:tc>
          <w:tcPr>
            <w:tcW w:w="1177" w:type="dxa"/>
            <w:vAlign w:val="center"/>
            <w:hideMark/>
          </w:tcPr>
          <w:p w14:paraId="6537991C" w14:textId="50C2E459" w:rsidR="00825E1E" w:rsidRPr="00B04967" w:rsidRDefault="00825E1E" w:rsidP="004F2C19">
            <w:pPr>
              <w:jc w:val="right"/>
              <w:rPr>
                <w:rFonts w:ascii="Arial" w:hAnsi="Arial" w:cs="Arial"/>
                <w:lang w:val="en-GB"/>
              </w:rPr>
            </w:pPr>
            <w:r w:rsidRPr="00B04967">
              <w:rPr>
                <w:rFonts w:ascii="Arial" w:hAnsi="Arial" w:cs="Arial"/>
                <w:lang w:val="en-GB"/>
              </w:rPr>
              <w:t>2</w:t>
            </w:r>
            <w:r w:rsidR="00125084">
              <w:rPr>
                <w:rFonts w:ascii="Arial" w:hAnsi="Arial" w:cs="Arial"/>
                <w:lang w:val="en-GB"/>
              </w:rPr>
              <w:t>,</w:t>
            </w:r>
            <w:r w:rsidRPr="00B04967">
              <w:rPr>
                <w:rFonts w:ascii="Arial" w:hAnsi="Arial" w:cs="Arial"/>
                <w:lang w:val="en-GB"/>
              </w:rPr>
              <w:t>999.8</w:t>
            </w:r>
          </w:p>
        </w:tc>
        <w:tc>
          <w:tcPr>
            <w:tcW w:w="1264" w:type="dxa"/>
            <w:vAlign w:val="center"/>
            <w:hideMark/>
          </w:tcPr>
          <w:p w14:paraId="20F9AFAD" w14:textId="053EAEC1" w:rsidR="00825E1E" w:rsidRPr="00B04967" w:rsidRDefault="00825E1E" w:rsidP="004F2C19">
            <w:pPr>
              <w:jc w:val="right"/>
              <w:rPr>
                <w:rFonts w:ascii="Arial" w:hAnsi="Arial" w:cs="Arial"/>
                <w:lang w:val="en-GB"/>
              </w:rPr>
            </w:pPr>
            <w:r w:rsidRPr="00B04967">
              <w:rPr>
                <w:rFonts w:ascii="Arial" w:hAnsi="Arial" w:cs="Arial"/>
                <w:lang w:val="en-GB"/>
              </w:rPr>
              <w:t>3</w:t>
            </w:r>
            <w:r w:rsidR="00125084">
              <w:rPr>
                <w:rFonts w:ascii="Arial" w:hAnsi="Arial" w:cs="Arial"/>
                <w:lang w:val="en-GB"/>
              </w:rPr>
              <w:t>,</w:t>
            </w:r>
            <w:r w:rsidRPr="00B04967">
              <w:rPr>
                <w:rFonts w:ascii="Arial" w:hAnsi="Arial" w:cs="Arial"/>
                <w:lang w:val="en-GB"/>
              </w:rPr>
              <w:t>079.8</w:t>
            </w:r>
          </w:p>
        </w:tc>
      </w:tr>
      <w:tr w:rsidR="00825E1E" w:rsidRPr="00B04967" w14:paraId="434B357C" w14:textId="77777777" w:rsidTr="00F03407">
        <w:trPr>
          <w:tblHeader/>
        </w:trPr>
        <w:tc>
          <w:tcPr>
            <w:tcW w:w="3406" w:type="dxa"/>
            <w:hideMark/>
          </w:tcPr>
          <w:p w14:paraId="01636EB4" w14:textId="77777777" w:rsidR="00825E1E" w:rsidRPr="00B04967" w:rsidRDefault="00825E1E" w:rsidP="00D92414">
            <w:pPr>
              <w:rPr>
                <w:rFonts w:ascii="Arial" w:hAnsi="Arial" w:cs="Arial"/>
                <w:lang w:val="en-GB"/>
              </w:rPr>
            </w:pPr>
            <w:r w:rsidRPr="00B04967">
              <w:rPr>
                <w:rFonts w:ascii="Arial" w:hAnsi="Arial" w:cs="Arial"/>
                <w:lang w:val="en-GB"/>
              </w:rPr>
              <w:t>Other Expenses</w:t>
            </w:r>
          </w:p>
        </w:tc>
        <w:tc>
          <w:tcPr>
            <w:tcW w:w="1096" w:type="dxa"/>
            <w:vAlign w:val="center"/>
            <w:hideMark/>
          </w:tcPr>
          <w:p w14:paraId="5E9AADF4" w14:textId="77777777" w:rsidR="00825E1E" w:rsidRPr="00B04967" w:rsidRDefault="00825E1E" w:rsidP="004F2C19">
            <w:pPr>
              <w:jc w:val="right"/>
              <w:rPr>
                <w:rFonts w:ascii="Arial" w:hAnsi="Arial" w:cs="Arial"/>
                <w:lang w:val="en-GB"/>
              </w:rPr>
            </w:pPr>
            <w:r w:rsidRPr="00B04967">
              <w:rPr>
                <w:rFonts w:ascii="Arial" w:hAnsi="Arial" w:cs="Arial"/>
                <w:lang w:val="en-GB"/>
              </w:rPr>
              <w:t>3,912.4</w:t>
            </w:r>
          </w:p>
        </w:tc>
        <w:tc>
          <w:tcPr>
            <w:tcW w:w="1230" w:type="dxa"/>
            <w:vAlign w:val="center"/>
            <w:hideMark/>
          </w:tcPr>
          <w:p w14:paraId="6F105D2E" w14:textId="77777777" w:rsidR="00825E1E" w:rsidRPr="00B04967" w:rsidRDefault="00825E1E" w:rsidP="004F2C19">
            <w:pPr>
              <w:jc w:val="right"/>
              <w:rPr>
                <w:rFonts w:ascii="Arial" w:hAnsi="Arial" w:cs="Arial"/>
                <w:lang w:val="en-GB"/>
              </w:rPr>
            </w:pPr>
            <w:r w:rsidRPr="00B04967">
              <w:rPr>
                <w:rFonts w:ascii="Arial" w:hAnsi="Arial" w:cs="Arial"/>
                <w:lang w:val="en-GB"/>
              </w:rPr>
              <w:t>3,819.7</w:t>
            </w:r>
          </w:p>
        </w:tc>
        <w:tc>
          <w:tcPr>
            <w:tcW w:w="1177" w:type="dxa"/>
            <w:vAlign w:val="center"/>
            <w:hideMark/>
          </w:tcPr>
          <w:p w14:paraId="61D39675" w14:textId="77777777" w:rsidR="00825E1E" w:rsidRPr="00B04967" w:rsidRDefault="00825E1E" w:rsidP="004F2C19">
            <w:pPr>
              <w:jc w:val="right"/>
              <w:rPr>
                <w:rFonts w:ascii="Arial" w:hAnsi="Arial" w:cs="Arial"/>
                <w:lang w:val="en-GB"/>
              </w:rPr>
            </w:pPr>
            <w:r w:rsidRPr="00B04967">
              <w:rPr>
                <w:rFonts w:ascii="Arial" w:hAnsi="Arial" w:cs="Arial"/>
                <w:lang w:val="en-GB"/>
              </w:rPr>
              <w:t>3,198.8</w:t>
            </w:r>
          </w:p>
        </w:tc>
        <w:tc>
          <w:tcPr>
            <w:tcW w:w="1177" w:type="dxa"/>
            <w:vAlign w:val="center"/>
            <w:hideMark/>
          </w:tcPr>
          <w:p w14:paraId="0D400450" w14:textId="77777777" w:rsidR="00825E1E" w:rsidRPr="00B04967" w:rsidRDefault="00825E1E" w:rsidP="004F2C19">
            <w:pPr>
              <w:jc w:val="right"/>
              <w:rPr>
                <w:rFonts w:ascii="Arial" w:hAnsi="Arial" w:cs="Arial"/>
                <w:lang w:val="en-GB"/>
              </w:rPr>
            </w:pPr>
            <w:r w:rsidRPr="00B04967">
              <w:rPr>
                <w:rFonts w:ascii="Arial" w:hAnsi="Arial" w:cs="Arial"/>
                <w:lang w:val="en-GB"/>
              </w:rPr>
              <w:t>12,874.6</w:t>
            </w:r>
          </w:p>
        </w:tc>
        <w:tc>
          <w:tcPr>
            <w:tcW w:w="1264" w:type="dxa"/>
            <w:vAlign w:val="center"/>
            <w:hideMark/>
          </w:tcPr>
          <w:p w14:paraId="6BF22390" w14:textId="77777777" w:rsidR="00825E1E" w:rsidRPr="00B04967" w:rsidRDefault="00825E1E" w:rsidP="004F2C19">
            <w:pPr>
              <w:jc w:val="right"/>
              <w:rPr>
                <w:rFonts w:ascii="Arial" w:hAnsi="Arial" w:cs="Arial"/>
                <w:lang w:val="en-GB"/>
              </w:rPr>
            </w:pPr>
            <w:r w:rsidRPr="00B04967">
              <w:rPr>
                <w:rFonts w:ascii="Arial" w:hAnsi="Arial" w:cs="Arial"/>
                <w:lang w:val="en-GB"/>
              </w:rPr>
              <w:t>14,417.4</w:t>
            </w:r>
          </w:p>
        </w:tc>
      </w:tr>
      <w:tr w:rsidR="00825E1E" w:rsidRPr="00B04967" w14:paraId="487F43FF" w14:textId="77777777" w:rsidTr="00F03407">
        <w:trPr>
          <w:tblHeader/>
        </w:trPr>
        <w:tc>
          <w:tcPr>
            <w:tcW w:w="3406" w:type="dxa"/>
            <w:hideMark/>
          </w:tcPr>
          <w:p w14:paraId="374FBEB9" w14:textId="3DABC491" w:rsidR="00825E1E" w:rsidRPr="00B04967" w:rsidRDefault="00825E1E" w:rsidP="00D92414">
            <w:pPr>
              <w:rPr>
                <w:rFonts w:ascii="Arial" w:hAnsi="Arial" w:cs="Arial"/>
                <w:b/>
                <w:bCs/>
                <w:lang w:val="en-GB"/>
              </w:rPr>
            </w:pPr>
            <w:r w:rsidRPr="00B04967">
              <w:rPr>
                <w:rFonts w:ascii="Arial" w:hAnsi="Arial" w:cs="Arial"/>
                <w:b/>
                <w:bCs/>
                <w:lang w:val="en-GB"/>
              </w:rPr>
              <w:t xml:space="preserve">Total </w:t>
            </w:r>
            <w:r w:rsidR="00B34AE3">
              <w:rPr>
                <w:rFonts w:ascii="Arial" w:hAnsi="Arial" w:cs="Arial"/>
                <w:b/>
                <w:bCs/>
                <w:lang w:val="en-GB"/>
              </w:rPr>
              <w:t>Expenses</w:t>
            </w:r>
          </w:p>
        </w:tc>
        <w:tc>
          <w:tcPr>
            <w:tcW w:w="1096" w:type="dxa"/>
            <w:vAlign w:val="center"/>
            <w:hideMark/>
          </w:tcPr>
          <w:p w14:paraId="09548F89"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20,600.1</w:t>
            </w:r>
          </w:p>
        </w:tc>
        <w:tc>
          <w:tcPr>
            <w:tcW w:w="1230" w:type="dxa"/>
            <w:vAlign w:val="center"/>
            <w:hideMark/>
          </w:tcPr>
          <w:p w14:paraId="0C132376"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23,475.7</w:t>
            </w:r>
          </w:p>
        </w:tc>
        <w:tc>
          <w:tcPr>
            <w:tcW w:w="1177" w:type="dxa"/>
            <w:vAlign w:val="center"/>
            <w:hideMark/>
          </w:tcPr>
          <w:p w14:paraId="55440B2E"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20,003.2</w:t>
            </w:r>
          </w:p>
        </w:tc>
        <w:tc>
          <w:tcPr>
            <w:tcW w:w="1177" w:type="dxa"/>
            <w:vAlign w:val="center"/>
            <w:hideMark/>
          </w:tcPr>
          <w:p w14:paraId="2E6DCF16"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43,567.4</w:t>
            </w:r>
          </w:p>
        </w:tc>
        <w:tc>
          <w:tcPr>
            <w:tcW w:w="1264" w:type="dxa"/>
            <w:vAlign w:val="center"/>
            <w:hideMark/>
          </w:tcPr>
          <w:p w14:paraId="45AE3DA2"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46,258.8</w:t>
            </w:r>
          </w:p>
        </w:tc>
      </w:tr>
      <w:tr w:rsidR="00825E1E" w:rsidRPr="00B04967" w14:paraId="7CF781D7" w14:textId="77777777" w:rsidTr="00F03407">
        <w:trPr>
          <w:tblHeader/>
        </w:trPr>
        <w:tc>
          <w:tcPr>
            <w:tcW w:w="3406" w:type="dxa"/>
            <w:hideMark/>
          </w:tcPr>
          <w:p w14:paraId="556066CD" w14:textId="7B6C5110" w:rsidR="00825E1E" w:rsidRPr="00B04967" w:rsidRDefault="00825E1E" w:rsidP="00D92414">
            <w:pPr>
              <w:rPr>
                <w:rFonts w:ascii="Arial" w:hAnsi="Arial" w:cs="Arial"/>
                <w:b/>
                <w:bCs/>
                <w:lang w:val="en-GB"/>
              </w:rPr>
            </w:pPr>
            <w:r w:rsidRPr="00B04967">
              <w:rPr>
                <w:rFonts w:ascii="Arial" w:hAnsi="Arial" w:cs="Arial"/>
                <w:b/>
                <w:bCs/>
                <w:lang w:val="en-GB"/>
              </w:rPr>
              <w:t>Profit</w:t>
            </w:r>
            <w:r w:rsidR="00B34AE3">
              <w:rPr>
                <w:rFonts w:ascii="Arial" w:hAnsi="Arial" w:cs="Arial"/>
                <w:b/>
                <w:bCs/>
                <w:lang w:val="en-GB"/>
              </w:rPr>
              <w:t xml:space="preserve"> and Loss </w:t>
            </w:r>
            <w:r w:rsidRPr="00B04967">
              <w:rPr>
                <w:rFonts w:ascii="Arial" w:hAnsi="Arial" w:cs="Arial"/>
                <w:b/>
                <w:bCs/>
                <w:lang w:val="en-GB"/>
              </w:rPr>
              <w:t xml:space="preserve">before </w:t>
            </w:r>
            <w:r w:rsidR="00B34AE3">
              <w:rPr>
                <w:rFonts w:ascii="Arial" w:hAnsi="Arial" w:cs="Arial"/>
                <w:b/>
                <w:bCs/>
                <w:lang w:val="en-GB"/>
              </w:rPr>
              <w:t>Exceptional and Extraordinary Items</w:t>
            </w:r>
            <w:r w:rsidRPr="00B04967">
              <w:rPr>
                <w:rFonts w:ascii="Arial" w:hAnsi="Arial" w:cs="Arial"/>
                <w:b/>
                <w:bCs/>
                <w:lang w:val="en-GB"/>
              </w:rPr>
              <w:t xml:space="preserve"> </w:t>
            </w:r>
          </w:p>
        </w:tc>
        <w:tc>
          <w:tcPr>
            <w:tcW w:w="1096" w:type="dxa"/>
            <w:vAlign w:val="center"/>
            <w:hideMark/>
          </w:tcPr>
          <w:p w14:paraId="6E54A627"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1,471.6</w:t>
            </w:r>
          </w:p>
        </w:tc>
        <w:tc>
          <w:tcPr>
            <w:tcW w:w="1230" w:type="dxa"/>
            <w:vAlign w:val="center"/>
            <w:hideMark/>
          </w:tcPr>
          <w:p w14:paraId="407724A6"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1,617.1</w:t>
            </w:r>
          </w:p>
        </w:tc>
        <w:tc>
          <w:tcPr>
            <w:tcW w:w="1177" w:type="dxa"/>
            <w:vAlign w:val="center"/>
            <w:hideMark/>
          </w:tcPr>
          <w:p w14:paraId="35C5BF29"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142.19</w:t>
            </w:r>
          </w:p>
        </w:tc>
        <w:tc>
          <w:tcPr>
            <w:tcW w:w="1177" w:type="dxa"/>
            <w:vAlign w:val="center"/>
            <w:hideMark/>
          </w:tcPr>
          <w:p w14:paraId="7E434CFA" w14:textId="2E543723"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354.89</w:t>
            </w:r>
            <w:r>
              <w:rPr>
                <w:rFonts w:ascii="Arial" w:hAnsi="Arial" w:cs="Arial"/>
                <w:b/>
                <w:bCs/>
                <w:lang w:val="en-GB"/>
              </w:rPr>
              <w:t>)</w:t>
            </w:r>
          </w:p>
        </w:tc>
        <w:tc>
          <w:tcPr>
            <w:tcW w:w="1264" w:type="dxa"/>
            <w:vAlign w:val="center"/>
            <w:hideMark/>
          </w:tcPr>
          <w:p w14:paraId="76ECFECA" w14:textId="6FD416C6"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481.13</w:t>
            </w:r>
            <w:r>
              <w:rPr>
                <w:rFonts w:ascii="Arial" w:hAnsi="Arial" w:cs="Arial"/>
                <w:b/>
                <w:bCs/>
                <w:lang w:val="en-GB"/>
              </w:rPr>
              <w:t>)</w:t>
            </w:r>
          </w:p>
        </w:tc>
      </w:tr>
      <w:tr w:rsidR="00825E1E" w:rsidRPr="00B04967" w14:paraId="78499610" w14:textId="77777777" w:rsidTr="00F03407">
        <w:trPr>
          <w:tblHeader/>
        </w:trPr>
        <w:tc>
          <w:tcPr>
            <w:tcW w:w="3406" w:type="dxa"/>
            <w:hideMark/>
          </w:tcPr>
          <w:p w14:paraId="3E3D1C0D" w14:textId="77777777" w:rsidR="00825E1E" w:rsidRPr="00B04967" w:rsidRDefault="00825E1E" w:rsidP="00D92414">
            <w:pPr>
              <w:rPr>
                <w:rFonts w:ascii="Arial" w:hAnsi="Arial" w:cs="Arial"/>
                <w:lang w:val="en-GB"/>
              </w:rPr>
            </w:pPr>
            <w:r w:rsidRPr="00B04967">
              <w:rPr>
                <w:rFonts w:ascii="Arial" w:hAnsi="Arial" w:cs="Arial"/>
                <w:lang w:val="en-GB"/>
              </w:rPr>
              <w:t>Exceptional Items</w:t>
            </w:r>
          </w:p>
        </w:tc>
        <w:tc>
          <w:tcPr>
            <w:tcW w:w="1096" w:type="dxa"/>
            <w:vAlign w:val="center"/>
            <w:hideMark/>
          </w:tcPr>
          <w:p w14:paraId="4969FDCE"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30" w:type="dxa"/>
            <w:vAlign w:val="center"/>
            <w:hideMark/>
          </w:tcPr>
          <w:p w14:paraId="023AB4F0"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177" w:type="dxa"/>
            <w:vAlign w:val="center"/>
            <w:hideMark/>
          </w:tcPr>
          <w:p w14:paraId="213BFA49"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177" w:type="dxa"/>
            <w:vAlign w:val="center"/>
            <w:hideMark/>
          </w:tcPr>
          <w:p w14:paraId="14FD849D"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64" w:type="dxa"/>
            <w:vAlign w:val="center"/>
            <w:hideMark/>
          </w:tcPr>
          <w:p w14:paraId="5CD52717"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r>
      <w:tr w:rsidR="00825E1E" w:rsidRPr="00B04967" w14:paraId="4B0C9E87" w14:textId="77777777" w:rsidTr="00F03407">
        <w:trPr>
          <w:tblHeader/>
        </w:trPr>
        <w:tc>
          <w:tcPr>
            <w:tcW w:w="3406" w:type="dxa"/>
            <w:hideMark/>
          </w:tcPr>
          <w:p w14:paraId="3A0ED58E" w14:textId="288D7AB9" w:rsidR="00825E1E" w:rsidRPr="00B04967" w:rsidRDefault="00825E1E" w:rsidP="00D92414">
            <w:pPr>
              <w:rPr>
                <w:rFonts w:ascii="Arial" w:hAnsi="Arial" w:cs="Arial"/>
                <w:b/>
                <w:bCs/>
                <w:lang w:val="en-GB"/>
              </w:rPr>
            </w:pPr>
            <w:r w:rsidRPr="00B04967">
              <w:rPr>
                <w:rFonts w:ascii="Arial" w:hAnsi="Arial" w:cs="Arial"/>
                <w:b/>
                <w:bCs/>
                <w:lang w:val="en-GB"/>
              </w:rPr>
              <w:t>Profit</w:t>
            </w:r>
            <w:r w:rsidR="00D91D48">
              <w:rPr>
                <w:rFonts w:ascii="Arial" w:hAnsi="Arial" w:cs="Arial"/>
                <w:b/>
                <w:bCs/>
                <w:lang w:val="en-GB"/>
              </w:rPr>
              <w:t xml:space="preserve"> and Loss</w:t>
            </w:r>
            <w:r w:rsidRPr="00B04967">
              <w:rPr>
                <w:rFonts w:ascii="Arial" w:hAnsi="Arial" w:cs="Arial"/>
                <w:b/>
                <w:bCs/>
                <w:lang w:val="en-GB"/>
              </w:rPr>
              <w:t xml:space="preserve"> before </w:t>
            </w:r>
            <w:r w:rsidR="00D91D48">
              <w:rPr>
                <w:rFonts w:ascii="Arial" w:hAnsi="Arial" w:cs="Arial"/>
                <w:b/>
                <w:bCs/>
                <w:lang w:val="en-GB"/>
              </w:rPr>
              <w:t>Tax</w:t>
            </w:r>
            <w:r w:rsidRPr="00B04967">
              <w:rPr>
                <w:rFonts w:ascii="Arial" w:hAnsi="Arial" w:cs="Arial"/>
                <w:b/>
                <w:bCs/>
                <w:lang w:val="en-GB"/>
              </w:rPr>
              <w:t xml:space="preserve"> </w:t>
            </w:r>
          </w:p>
        </w:tc>
        <w:tc>
          <w:tcPr>
            <w:tcW w:w="1096" w:type="dxa"/>
            <w:vAlign w:val="center"/>
            <w:hideMark/>
          </w:tcPr>
          <w:p w14:paraId="6623783C"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1,471.6</w:t>
            </w:r>
          </w:p>
        </w:tc>
        <w:tc>
          <w:tcPr>
            <w:tcW w:w="1230" w:type="dxa"/>
            <w:vAlign w:val="center"/>
            <w:hideMark/>
          </w:tcPr>
          <w:p w14:paraId="79C872DB"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1,617.1</w:t>
            </w:r>
          </w:p>
        </w:tc>
        <w:tc>
          <w:tcPr>
            <w:tcW w:w="1177" w:type="dxa"/>
            <w:vAlign w:val="center"/>
            <w:hideMark/>
          </w:tcPr>
          <w:p w14:paraId="19EB2C54"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1,421.9</w:t>
            </w:r>
          </w:p>
        </w:tc>
        <w:tc>
          <w:tcPr>
            <w:tcW w:w="1177" w:type="dxa"/>
            <w:vAlign w:val="center"/>
            <w:hideMark/>
          </w:tcPr>
          <w:p w14:paraId="6E10543A" w14:textId="367A9AB3"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3,548.9</w:t>
            </w:r>
            <w:r>
              <w:rPr>
                <w:rFonts w:ascii="Arial" w:hAnsi="Arial" w:cs="Arial"/>
                <w:b/>
                <w:bCs/>
                <w:lang w:val="en-GB"/>
              </w:rPr>
              <w:t>)</w:t>
            </w:r>
          </w:p>
        </w:tc>
        <w:tc>
          <w:tcPr>
            <w:tcW w:w="1264" w:type="dxa"/>
            <w:vAlign w:val="center"/>
            <w:hideMark/>
          </w:tcPr>
          <w:p w14:paraId="037C1A61" w14:textId="188D86BE"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4,811.3</w:t>
            </w:r>
            <w:r>
              <w:rPr>
                <w:rFonts w:ascii="Arial" w:hAnsi="Arial" w:cs="Arial"/>
                <w:b/>
                <w:bCs/>
                <w:lang w:val="en-GB"/>
              </w:rPr>
              <w:t>)</w:t>
            </w:r>
          </w:p>
        </w:tc>
      </w:tr>
      <w:tr w:rsidR="00825E1E" w:rsidRPr="00B04967" w14:paraId="78B71FDD" w14:textId="77777777" w:rsidTr="00F03407">
        <w:trPr>
          <w:tblHeader/>
        </w:trPr>
        <w:tc>
          <w:tcPr>
            <w:tcW w:w="3406" w:type="dxa"/>
            <w:hideMark/>
          </w:tcPr>
          <w:p w14:paraId="3E2A9016" w14:textId="498077AC" w:rsidR="00825E1E" w:rsidRPr="00B04967" w:rsidRDefault="00825E1E" w:rsidP="00D92414">
            <w:pPr>
              <w:rPr>
                <w:rFonts w:ascii="Arial" w:hAnsi="Arial" w:cs="Arial"/>
                <w:b/>
                <w:bCs/>
                <w:lang w:val="en-GB"/>
              </w:rPr>
            </w:pPr>
            <w:r w:rsidRPr="00B04967">
              <w:rPr>
                <w:rFonts w:ascii="Arial" w:hAnsi="Arial" w:cs="Arial"/>
                <w:b/>
                <w:bCs/>
                <w:lang w:val="en-GB"/>
              </w:rPr>
              <w:t xml:space="preserve">Tax </w:t>
            </w:r>
            <w:r w:rsidR="00D91D48">
              <w:rPr>
                <w:rFonts w:ascii="Arial" w:hAnsi="Arial" w:cs="Arial"/>
                <w:b/>
                <w:bCs/>
                <w:lang w:val="en-GB"/>
              </w:rPr>
              <w:t>Expenses</w:t>
            </w:r>
            <w:r w:rsidRPr="00B04967">
              <w:rPr>
                <w:rFonts w:ascii="Arial" w:hAnsi="Arial" w:cs="Arial"/>
                <w:b/>
                <w:bCs/>
                <w:lang w:val="en-GB"/>
              </w:rPr>
              <w:t>—</w:t>
            </w:r>
            <w:r w:rsidR="00D91D48">
              <w:rPr>
                <w:rFonts w:ascii="Arial" w:hAnsi="Arial" w:cs="Arial"/>
                <w:b/>
                <w:bCs/>
                <w:lang w:val="en-GB"/>
              </w:rPr>
              <w:t>Continued Operations</w:t>
            </w:r>
            <w:r w:rsidRPr="00B04967">
              <w:rPr>
                <w:rFonts w:ascii="Arial" w:hAnsi="Arial" w:cs="Arial"/>
                <w:b/>
                <w:bCs/>
                <w:lang w:val="en-GB"/>
              </w:rPr>
              <w:t xml:space="preserve"> </w:t>
            </w:r>
          </w:p>
        </w:tc>
        <w:tc>
          <w:tcPr>
            <w:tcW w:w="1096" w:type="dxa"/>
            <w:vAlign w:val="center"/>
            <w:hideMark/>
          </w:tcPr>
          <w:p w14:paraId="01E67D2E" w14:textId="77777777" w:rsidR="00825E1E" w:rsidRPr="00B04967" w:rsidRDefault="00825E1E" w:rsidP="004F2C19">
            <w:pPr>
              <w:jc w:val="right"/>
              <w:rPr>
                <w:rFonts w:ascii="Arial" w:hAnsi="Arial" w:cs="Arial"/>
                <w:b/>
                <w:bCs/>
                <w:lang w:val="en-GB"/>
              </w:rPr>
            </w:pPr>
          </w:p>
        </w:tc>
        <w:tc>
          <w:tcPr>
            <w:tcW w:w="1230" w:type="dxa"/>
            <w:vAlign w:val="center"/>
            <w:hideMark/>
          </w:tcPr>
          <w:p w14:paraId="025CF162" w14:textId="77777777" w:rsidR="00825E1E" w:rsidRPr="00B04967" w:rsidRDefault="00825E1E" w:rsidP="004F2C19">
            <w:pPr>
              <w:jc w:val="right"/>
              <w:rPr>
                <w:rFonts w:ascii="Arial" w:hAnsi="Arial" w:cs="Arial"/>
                <w:lang w:val="en-GB"/>
              </w:rPr>
            </w:pPr>
          </w:p>
        </w:tc>
        <w:tc>
          <w:tcPr>
            <w:tcW w:w="1177" w:type="dxa"/>
            <w:vAlign w:val="center"/>
            <w:hideMark/>
          </w:tcPr>
          <w:p w14:paraId="42A4DB66" w14:textId="77777777" w:rsidR="00825E1E" w:rsidRPr="00B04967" w:rsidRDefault="00825E1E" w:rsidP="004F2C19">
            <w:pPr>
              <w:jc w:val="right"/>
              <w:rPr>
                <w:rFonts w:ascii="Arial" w:hAnsi="Arial" w:cs="Arial"/>
                <w:lang w:val="en-GB"/>
              </w:rPr>
            </w:pPr>
          </w:p>
        </w:tc>
        <w:tc>
          <w:tcPr>
            <w:tcW w:w="1177" w:type="dxa"/>
            <w:vAlign w:val="center"/>
            <w:hideMark/>
          </w:tcPr>
          <w:p w14:paraId="4981BBA1" w14:textId="77777777" w:rsidR="00825E1E" w:rsidRPr="00B04967" w:rsidRDefault="00825E1E" w:rsidP="004F2C19">
            <w:pPr>
              <w:jc w:val="right"/>
              <w:rPr>
                <w:rFonts w:ascii="Arial" w:hAnsi="Arial" w:cs="Arial"/>
                <w:lang w:val="en-GB"/>
              </w:rPr>
            </w:pPr>
          </w:p>
        </w:tc>
        <w:tc>
          <w:tcPr>
            <w:tcW w:w="1264" w:type="dxa"/>
            <w:vAlign w:val="center"/>
            <w:hideMark/>
          </w:tcPr>
          <w:p w14:paraId="1107F10C" w14:textId="77777777" w:rsidR="00825E1E" w:rsidRPr="00B04967" w:rsidRDefault="00825E1E" w:rsidP="004F2C19">
            <w:pPr>
              <w:jc w:val="right"/>
              <w:rPr>
                <w:rFonts w:ascii="Arial" w:hAnsi="Arial" w:cs="Arial"/>
                <w:lang w:val="en-GB"/>
              </w:rPr>
            </w:pPr>
          </w:p>
        </w:tc>
      </w:tr>
      <w:tr w:rsidR="00825E1E" w:rsidRPr="00B04967" w14:paraId="6F1637A6" w14:textId="77777777" w:rsidTr="00F03407">
        <w:trPr>
          <w:tblHeader/>
        </w:trPr>
        <w:tc>
          <w:tcPr>
            <w:tcW w:w="3406" w:type="dxa"/>
            <w:hideMark/>
          </w:tcPr>
          <w:p w14:paraId="244E5E91" w14:textId="77777777" w:rsidR="00825E1E" w:rsidRPr="00B04967" w:rsidRDefault="00825E1E" w:rsidP="00D92414">
            <w:pPr>
              <w:rPr>
                <w:rFonts w:ascii="Arial" w:hAnsi="Arial" w:cs="Arial"/>
                <w:lang w:val="en-GB"/>
              </w:rPr>
            </w:pPr>
            <w:r w:rsidRPr="00B04967">
              <w:rPr>
                <w:rFonts w:ascii="Arial" w:hAnsi="Arial" w:cs="Arial"/>
                <w:lang w:val="en-GB"/>
              </w:rPr>
              <w:t>Current Tax</w:t>
            </w:r>
          </w:p>
        </w:tc>
        <w:tc>
          <w:tcPr>
            <w:tcW w:w="1096" w:type="dxa"/>
            <w:vAlign w:val="center"/>
            <w:hideMark/>
          </w:tcPr>
          <w:p w14:paraId="6D8EAF20" w14:textId="77777777" w:rsidR="00825E1E" w:rsidRPr="00B04967" w:rsidRDefault="00825E1E" w:rsidP="004F2C19">
            <w:pPr>
              <w:jc w:val="right"/>
              <w:rPr>
                <w:rFonts w:ascii="Arial" w:hAnsi="Arial" w:cs="Arial"/>
                <w:lang w:val="en-GB"/>
              </w:rPr>
            </w:pPr>
            <w:r w:rsidRPr="00B04967">
              <w:rPr>
                <w:rFonts w:ascii="Arial" w:hAnsi="Arial" w:cs="Arial"/>
                <w:lang w:val="en-GB"/>
              </w:rPr>
              <w:t>2,097.3</w:t>
            </w:r>
          </w:p>
        </w:tc>
        <w:tc>
          <w:tcPr>
            <w:tcW w:w="1230" w:type="dxa"/>
            <w:vAlign w:val="center"/>
            <w:hideMark/>
          </w:tcPr>
          <w:p w14:paraId="15E13F49" w14:textId="77777777" w:rsidR="00825E1E" w:rsidRPr="00B04967" w:rsidRDefault="00825E1E" w:rsidP="004F2C19">
            <w:pPr>
              <w:jc w:val="right"/>
              <w:rPr>
                <w:rFonts w:ascii="Arial" w:hAnsi="Arial" w:cs="Arial"/>
                <w:lang w:val="en-GB"/>
              </w:rPr>
            </w:pPr>
            <w:r w:rsidRPr="00B04967">
              <w:rPr>
                <w:rFonts w:ascii="Arial" w:hAnsi="Arial" w:cs="Arial"/>
                <w:lang w:val="en-GB"/>
              </w:rPr>
              <w:t>76.7</w:t>
            </w:r>
          </w:p>
        </w:tc>
        <w:tc>
          <w:tcPr>
            <w:tcW w:w="1177" w:type="dxa"/>
            <w:vAlign w:val="center"/>
            <w:hideMark/>
          </w:tcPr>
          <w:p w14:paraId="7D459348" w14:textId="77777777" w:rsidR="00825E1E" w:rsidRPr="00B04967" w:rsidRDefault="00825E1E" w:rsidP="004F2C19">
            <w:pPr>
              <w:jc w:val="right"/>
              <w:rPr>
                <w:rFonts w:ascii="Arial" w:hAnsi="Arial" w:cs="Arial"/>
                <w:lang w:val="en-GB"/>
              </w:rPr>
            </w:pPr>
            <w:r w:rsidRPr="00B04967">
              <w:rPr>
                <w:rFonts w:ascii="Arial" w:hAnsi="Arial" w:cs="Arial"/>
                <w:lang w:val="en-GB"/>
              </w:rPr>
              <w:t>51.8</w:t>
            </w:r>
          </w:p>
        </w:tc>
        <w:tc>
          <w:tcPr>
            <w:tcW w:w="1177" w:type="dxa"/>
            <w:vAlign w:val="center"/>
            <w:hideMark/>
          </w:tcPr>
          <w:p w14:paraId="71302119" w14:textId="77777777" w:rsidR="00825E1E" w:rsidRPr="00B04967" w:rsidRDefault="00825E1E" w:rsidP="004F2C19">
            <w:pPr>
              <w:jc w:val="right"/>
              <w:rPr>
                <w:rFonts w:ascii="Arial" w:hAnsi="Arial" w:cs="Arial"/>
                <w:lang w:val="en-GB"/>
              </w:rPr>
            </w:pPr>
            <w:r w:rsidRPr="00B04967">
              <w:rPr>
                <w:rFonts w:ascii="Arial" w:hAnsi="Arial" w:cs="Arial"/>
                <w:lang w:val="en-GB"/>
              </w:rPr>
              <w:t>78.1</w:t>
            </w:r>
          </w:p>
        </w:tc>
        <w:tc>
          <w:tcPr>
            <w:tcW w:w="1264" w:type="dxa"/>
            <w:vAlign w:val="center"/>
            <w:hideMark/>
          </w:tcPr>
          <w:p w14:paraId="5E72A44E" w14:textId="77777777" w:rsidR="00825E1E" w:rsidRPr="00B04967" w:rsidRDefault="00825E1E" w:rsidP="004F2C19">
            <w:pPr>
              <w:jc w:val="right"/>
              <w:rPr>
                <w:rFonts w:ascii="Arial" w:hAnsi="Arial" w:cs="Arial"/>
                <w:lang w:val="en-GB"/>
              </w:rPr>
            </w:pPr>
            <w:r w:rsidRPr="00B04967">
              <w:rPr>
                <w:rFonts w:ascii="Arial" w:hAnsi="Arial" w:cs="Arial"/>
                <w:lang w:val="en-GB"/>
              </w:rPr>
              <w:t>75.0</w:t>
            </w:r>
          </w:p>
        </w:tc>
      </w:tr>
      <w:tr w:rsidR="00825E1E" w:rsidRPr="00B04967" w14:paraId="572EB9C4" w14:textId="77777777" w:rsidTr="00F03407">
        <w:trPr>
          <w:tblHeader/>
        </w:trPr>
        <w:tc>
          <w:tcPr>
            <w:tcW w:w="3406" w:type="dxa"/>
            <w:hideMark/>
          </w:tcPr>
          <w:p w14:paraId="4261CA0D" w14:textId="77777777" w:rsidR="00825E1E" w:rsidRPr="00B04967" w:rsidRDefault="00825E1E" w:rsidP="00D92414">
            <w:pPr>
              <w:rPr>
                <w:rFonts w:ascii="Arial" w:hAnsi="Arial" w:cs="Arial"/>
                <w:lang w:val="en-GB"/>
              </w:rPr>
            </w:pPr>
            <w:r w:rsidRPr="00B04967">
              <w:rPr>
                <w:rFonts w:ascii="Arial" w:hAnsi="Arial" w:cs="Arial"/>
                <w:lang w:val="en-GB"/>
              </w:rPr>
              <w:t>Less: MAT Credit Entitlement</w:t>
            </w:r>
          </w:p>
        </w:tc>
        <w:tc>
          <w:tcPr>
            <w:tcW w:w="1096" w:type="dxa"/>
            <w:vAlign w:val="center"/>
            <w:hideMark/>
          </w:tcPr>
          <w:p w14:paraId="3C911A2F"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30" w:type="dxa"/>
            <w:vAlign w:val="center"/>
            <w:hideMark/>
          </w:tcPr>
          <w:p w14:paraId="25A63F2A"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177" w:type="dxa"/>
            <w:vAlign w:val="center"/>
            <w:hideMark/>
          </w:tcPr>
          <w:p w14:paraId="75D1E9AC"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177" w:type="dxa"/>
            <w:vAlign w:val="center"/>
            <w:hideMark/>
          </w:tcPr>
          <w:p w14:paraId="10FE6D43"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64" w:type="dxa"/>
            <w:vAlign w:val="center"/>
            <w:hideMark/>
          </w:tcPr>
          <w:p w14:paraId="0BB26DE6"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r>
      <w:tr w:rsidR="00825E1E" w:rsidRPr="00B04967" w14:paraId="0FE12F9A" w14:textId="77777777" w:rsidTr="00F03407">
        <w:trPr>
          <w:tblHeader/>
        </w:trPr>
        <w:tc>
          <w:tcPr>
            <w:tcW w:w="3406" w:type="dxa"/>
            <w:hideMark/>
          </w:tcPr>
          <w:p w14:paraId="36996A4C" w14:textId="77777777" w:rsidR="00825E1E" w:rsidRPr="00B04967" w:rsidRDefault="00825E1E" w:rsidP="00D92414">
            <w:pPr>
              <w:rPr>
                <w:rFonts w:ascii="Arial" w:hAnsi="Arial" w:cs="Arial"/>
                <w:lang w:val="en-GB"/>
              </w:rPr>
            </w:pPr>
            <w:r w:rsidRPr="00B04967">
              <w:rPr>
                <w:rFonts w:ascii="Arial" w:hAnsi="Arial" w:cs="Arial"/>
                <w:lang w:val="en-GB"/>
              </w:rPr>
              <w:t>Deferred Tax</w:t>
            </w:r>
          </w:p>
        </w:tc>
        <w:tc>
          <w:tcPr>
            <w:tcW w:w="1096" w:type="dxa"/>
            <w:vAlign w:val="center"/>
            <w:hideMark/>
          </w:tcPr>
          <w:p w14:paraId="368FB423"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30" w:type="dxa"/>
            <w:vAlign w:val="center"/>
            <w:hideMark/>
          </w:tcPr>
          <w:p w14:paraId="41FE63FA" w14:textId="0876E5F8"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2</w:t>
            </w:r>
            <w:r>
              <w:rPr>
                <w:rFonts w:ascii="Arial" w:hAnsi="Arial" w:cs="Arial"/>
                <w:lang w:val="en-GB"/>
              </w:rPr>
              <w:t>,</w:t>
            </w:r>
            <w:r w:rsidR="00825E1E" w:rsidRPr="00B04967">
              <w:rPr>
                <w:rFonts w:ascii="Arial" w:hAnsi="Arial" w:cs="Arial"/>
                <w:lang w:val="en-GB"/>
              </w:rPr>
              <w:t>374.0</w:t>
            </w:r>
            <w:r>
              <w:rPr>
                <w:rFonts w:ascii="Arial" w:hAnsi="Arial" w:cs="Arial"/>
                <w:lang w:val="en-GB"/>
              </w:rPr>
              <w:t>)</w:t>
            </w:r>
          </w:p>
        </w:tc>
        <w:tc>
          <w:tcPr>
            <w:tcW w:w="1177" w:type="dxa"/>
            <w:vAlign w:val="center"/>
            <w:hideMark/>
          </w:tcPr>
          <w:p w14:paraId="574E4FAD" w14:textId="5460FE62"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0.7</w:t>
            </w:r>
            <w:r>
              <w:rPr>
                <w:rFonts w:ascii="Arial" w:hAnsi="Arial" w:cs="Arial"/>
                <w:lang w:val="en-GB"/>
              </w:rPr>
              <w:t>)</w:t>
            </w:r>
          </w:p>
        </w:tc>
        <w:tc>
          <w:tcPr>
            <w:tcW w:w="1177" w:type="dxa"/>
            <w:vAlign w:val="center"/>
            <w:hideMark/>
          </w:tcPr>
          <w:p w14:paraId="7253823A" w14:textId="280BE4A6"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25.1</w:t>
            </w:r>
            <w:r>
              <w:rPr>
                <w:rFonts w:ascii="Arial" w:hAnsi="Arial" w:cs="Arial"/>
                <w:lang w:val="en-GB"/>
              </w:rPr>
              <w:t>)</w:t>
            </w:r>
          </w:p>
        </w:tc>
        <w:tc>
          <w:tcPr>
            <w:tcW w:w="1264" w:type="dxa"/>
            <w:vAlign w:val="center"/>
            <w:hideMark/>
          </w:tcPr>
          <w:p w14:paraId="08B7D7DF" w14:textId="6B4F6F1F"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622.2</w:t>
            </w:r>
            <w:r>
              <w:rPr>
                <w:rFonts w:ascii="Arial" w:hAnsi="Arial" w:cs="Arial"/>
                <w:lang w:val="en-GB"/>
              </w:rPr>
              <w:t>)</w:t>
            </w:r>
          </w:p>
        </w:tc>
      </w:tr>
      <w:tr w:rsidR="00825E1E" w:rsidRPr="00B04967" w14:paraId="37980DA1" w14:textId="77777777" w:rsidTr="00F03407">
        <w:trPr>
          <w:tblHeader/>
        </w:trPr>
        <w:tc>
          <w:tcPr>
            <w:tcW w:w="3406" w:type="dxa"/>
            <w:hideMark/>
          </w:tcPr>
          <w:p w14:paraId="4CEBD327" w14:textId="77777777" w:rsidR="00825E1E" w:rsidRPr="00B04967" w:rsidRDefault="00825E1E" w:rsidP="00D92414">
            <w:pPr>
              <w:rPr>
                <w:rFonts w:ascii="Arial" w:hAnsi="Arial" w:cs="Arial"/>
                <w:lang w:val="en-GB"/>
              </w:rPr>
            </w:pPr>
            <w:r w:rsidRPr="00B04967">
              <w:rPr>
                <w:rFonts w:ascii="Arial" w:hAnsi="Arial" w:cs="Arial"/>
                <w:lang w:val="en-GB"/>
              </w:rPr>
              <w:t>Other Direct Taxes</w:t>
            </w:r>
          </w:p>
        </w:tc>
        <w:tc>
          <w:tcPr>
            <w:tcW w:w="1096" w:type="dxa"/>
            <w:vAlign w:val="center"/>
            <w:hideMark/>
          </w:tcPr>
          <w:p w14:paraId="0E105F74"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30" w:type="dxa"/>
            <w:vAlign w:val="center"/>
            <w:hideMark/>
          </w:tcPr>
          <w:p w14:paraId="252AA847"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177" w:type="dxa"/>
            <w:vAlign w:val="center"/>
            <w:hideMark/>
          </w:tcPr>
          <w:p w14:paraId="70867C0A"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177" w:type="dxa"/>
            <w:vAlign w:val="center"/>
            <w:hideMark/>
          </w:tcPr>
          <w:p w14:paraId="72517A13"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c>
          <w:tcPr>
            <w:tcW w:w="1264" w:type="dxa"/>
            <w:vAlign w:val="center"/>
            <w:hideMark/>
          </w:tcPr>
          <w:p w14:paraId="3AC52137" w14:textId="77777777" w:rsidR="00825E1E" w:rsidRPr="00B04967" w:rsidRDefault="00825E1E" w:rsidP="004F2C19">
            <w:pPr>
              <w:jc w:val="right"/>
              <w:rPr>
                <w:rFonts w:ascii="Arial" w:hAnsi="Arial" w:cs="Arial"/>
                <w:lang w:val="en-GB"/>
              </w:rPr>
            </w:pPr>
            <w:r w:rsidRPr="00B04967">
              <w:rPr>
                <w:rFonts w:ascii="Arial" w:hAnsi="Arial" w:cs="Arial"/>
                <w:lang w:val="en-GB"/>
              </w:rPr>
              <w:t>0.00</w:t>
            </w:r>
          </w:p>
        </w:tc>
      </w:tr>
      <w:tr w:rsidR="00825E1E" w:rsidRPr="00B04967" w14:paraId="3EB08419" w14:textId="77777777" w:rsidTr="00F03407">
        <w:trPr>
          <w:tblHeader/>
        </w:trPr>
        <w:tc>
          <w:tcPr>
            <w:tcW w:w="3406" w:type="dxa"/>
            <w:hideMark/>
          </w:tcPr>
          <w:p w14:paraId="5F4F9A60" w14:textId="4BA4A3DA" w:rsidR="00825E1E" w:rsidRPr="00B04967" w:rsidRDefault="00825E1E" w:rsidP="00D92414">
            <w:pPr>
              <w:rPr>
                <w:rFonts w:ascii="Arial" w:hAnsi="Arial" w:cs="Arial"/>
                <w:b/>
                <w:bCs/>
                <w:lang w:val="en-GB"/>
              </w:rPr>
            </w:pPr>
            <w:r w:rsidRPr="00B04967">
              <w:rPr>
                <w:rFonts w:ascii="Arial" w:hAnsi="Arial" w:cs="Arial"/>
                <w:b/>
                <w:bCs/>
                <w:lang w:val="en-GB"/>
              </w:rPr>
              <w:t xml:space="preserve">Total </w:t>
            </w:r>
            <w:r w:rsidR="00D91D48" w:rsidRPr="00B04967">
              <w:rPr>
                <w:rFonts w:ascii="Arial" w:hAnsi="Arial" w:cs="Arial"/>
                <w:b/>
                <w:bCs/>
                <w:lang w:val="en-GB"/>
              </w:rPr>
              <w:t xml:space="preserve">Tax Expenses </w:t>
            </w:r>
          </w:p>
        </w:tc>
        <w:tc>
          <w:tcPr>
            <w:tcW w:w="1096" w:type="dxa"/>
            <w:vAlign w:val="center"/>
            <w:hideMark/>
          </w:tcPr>
          <w:p w14:paraId="0BE23A42"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2,097.3</w:t>
            </w:r>
          </w:p>
        </w:tc>
        <w:tc>
          <w:tcPr>
            <w:tcW w:w="1230" w:type="dxa"/>
            <w:vAlign w:val="center"/>
            <w:hideMark/>
          </w:tcPr>
          <w:p w14:paraId="00E1A03E" w14:textId="6166E8A7"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2</w:t>
            </w:r>
            <w:r>
              <w:rPr>
                <w:rFonts w:ascii="Arial" w:hAnsi="Arial" w:cs="Arial"/>
                <w:b/>
                <w:bCs/>
                <w:lang w:val="en-GB"/>
              </w:rPr>
              <w:t>,</w:t>
            </w:r>
            <w:r w:rsidR="00825E1E" w:rsidRPr="00B04967">
              <w:rPr>
                <w:rFonts w:ascii="Arial" w:hAnsi="Arial" w:cs="Arial"/>
                <w:b/>
                <w:bCs/>
                <w:lang w:val="en-GB"/>
              </w:rPr>
              <w:t>274.6</w:t>
            </w:r>
            <w:r>
              <w:rPr>
                <w:rFonts w:ascii="Arial" w:hAnsi="Arial" w:cs="Arial"/>
                <w:b/>
                <w:bCs/>
                <w:lang w:val="en-GB"/>
              </w:rPr>
              <w:t>)</w:t>
            </w:r>
          </w:p>
        </w:tc>
        <w:tc>
          <w:tcPr>
            <w:tcW w:w="1177" w:type="dxa"/>
            <w:vAlign w:val="center"/>
            <w:hideMark/>
          </w:tcPr>
          <w:p w14:paraId="6ACD08B8"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51.1</w:t>
            </w:r>
          </w:p>
        </w:tc>
        <w:tc>
          <w:tcPr>
            <w:tcW w:w="1177" w:type="dxa"/>
            <w:vAlign w:val="center"/>
            <w:hideMark/>
          </w:tcPr>
          <w:p w14:paraId="56D45C67"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46.3</w:t>
            </w:r>
          </w:p>
        </w:tc>
        <w:tc>
          <w:tcPr>
            <w:tcW w:w="1264" w:type="dxa"/>
            <w:vAlign w:val="center"/>
            <w:hideMark/>
          </w:tcPr>
          <w:p w14:paraId="2BE9AD77" w14:textId="43F83A31"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547.2</w:t>
            </w:r>
            <w:r>
              <w:rPr>
                <w:rFonts w:ascii="Arial" w:hAnsi="Arial" w:cs="Arial"/>
                <w:b/>
                <w:bCs/>
                <w:lang w:val="en-GB"/>
              </w:rPr>
              <w:t>)</w:t>
            </w:r>
          </w:p>
        </w:tc>
      </w:tr>
      <w:tr w:rsidR="00825E1E" w:rsidRPr="00B04967" w14:paraId="4586CBD4" w14:textId="77777777" w:rsidTr="00F03407">
        <w:trPr>
          <w:tblHeader/>
        </w:trPr>
        <w:tc>
          <w:tcPr>
            <w:tcW w:w="3406" w:type="dxa"/>
            <w:hideMark/>
          </w:tcPr>
          <w:p w14:paraId="14C89311" w14:textId="77CF5125" w:rsidR="00825E1E" w:rsidRPr="00B04967" w:rsidRDefault="00825E1E" w:rsidP="00D92414">
            <w:pPr>
              <w:rPr>
                <w:rFonts w:ascii="Arial" w:hAnsi="Arial" w:cs="Arial"/>
                <w:b/>
                <w:bCs/>
                <w:lang w:val="en-GB"/>
              </w:rPr>
            </w:pPr>
            <w:r w:rsidRPr="00B04967">
              <w:rPr>
                <w:rFonts w:ascii="Arial" w:hAnsi="Arial" w:cs="Arial"/>
                <w:b/>
                <w:bCs/>
                <w:lang w:val="en-GB"/>
              </w:rPr>
              <w:t>Profit</w:t>
            </w:r>
            <w:r w:rsidR="00D91D48">
              <w:rPr>
                <w:rFonts w:ascii="Arial" w:hAnsi="Arial" w:cs="Arial"/>
                <w:b/>
                <w:bCs/>
                <w:lang w:val="en-GB"/>
              </w:rPr>
              <w:t xml:space="preserve"> and Loss </w:t>
            </w:r>
            <w:r w:rsidRPr="00B04967">
              <w:rPr>
                <w:rFonts w:ascii="Arial" w:hAnsi="Arial" w:cs="Arial"/>
                <w:b/>
                <w:bCs/>
                <w:lang w:val="en-GB"/>
              </w:rPr>
              <w:t xml:space="preserve">after </w:t>
            </w:r>
            <w:r w:rsidR="00D91D48">
              <w:rPr>
                <w:rFonts w:ascii="Arial" w:hAnsi="Arial" w:cs="Arial"/>
                <w:b/>
                <w:bCs/>
                <w:lang w:val="en-GB"/>
              </w:rPr>
              <w:t xml:space="preserve">Tax </w:t>
            </w:r>
            <w:r w:rsidRPr="00B04967">
              <w:rPr>
                <w:rFonts w:ascii="Arial" w:hAnsi="Arial" w:cs="Arial"/>
                <w:b/>
                <w:bCs/>
                <w:lang w:val="en-GB"/>
              </w:rPr>
              <w:t xml:space="preserve">and </w:t>
            </w:r>
            <w:r w:rsidR="00D91D48">
              <w:rPr>
                <w:rFonts w:ascii="Arial" w:hAnsi="Arial" w:cs="Arial"/>
                <w:b/>
                <w:bCs/>
                <w:lang w:val="en-GB"/>
              </w:rPr>
              <w:t>before Extraordinary Items</w:t>
            </w:r>
          </w:p>
          <w:p w14:paraId="6DBEC0CD" w14:textId="77777777" w:rsidR="00825E1E" w:rsidRPr="00B04967" w:rsidRDefault="00825E1E" w:rsidP="00D92414">
            <w:pPr>
              <w:rPr>
                <w:rFonts w:ascii="Arial" w:hAnsi="Arial" w:cs="Arial"/>
                <w:b/>
                <w:bCs/>
                <w:lang w:val="en-GB"/>
              </w:rPr>
            </w:pPr>
          </w:p>
        </w:tc>
        <w:tc>
          <w:tcPr>
            <w:tcW w:w="1096" w:type="dxa"/>
            <w:vAlign w:val="center"/>
            <w:hideMark/>
          </w:tcPr>
          <w:p w14:paraId="49F75934" w14:textId="24DD3661"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625.7</w:t>
            </w:r>
            <w:r>
              <w:rPr>
                <w:rFonts w:ascii="Arial" w:hAnsi="Arial" w:cs="Arial"/>
                <w:b/>
                <w:bCs/>
                <w:lang w:val="en-GB"/>
              </w:rPr>
              <w:t>)</w:t>
            </w:r>
          </w:p>
        </w:tc>
        <w:tc>
          <w:tcPr>
            <w:tcW w:w="1230" w:type="dxa"/>
            <w:vAlign w:val="center"/>
            <w:hideMark/>
          </w:tcPr>
          <w:p w14:paraId="31260CEA"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3,891.7</w:t>
            </w:r>
          </w:p>
        </w:tc>
        <w:tc>
          <w:tcPr>
            <w:tcW w:w="1177" w:type="dxa"/>
            <w:vAlign w:val="center"/>
            <w:hideMark/>
          </w:tcPr>
          <w:p w14:paraId="1BCA2B80"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1,370.8</w:t>
            </w:r>
          </w:p>
        </w:tc>
        <w:tc>
          <w:tcPr>
            <w:tcW w:w="1177" w:type="dxa"/>
            <w:vAlign w:val="center"/>
            <w:hideMark/>
          </w:tcPr>
          <w:p w14:paraId="35F393B5" w14:textId="557BF324"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3,595.2</w:t>
            </w:r>
            <w:r>
              <w:rPr>
                <w:rFonts w:ascii="Arial" w:hAnsi="Arial" w:cs="Arial"/>
                <w:b/>
                <w:bCs/>
                <w:lang w:val="en-GB"/>
              </w:rPr>
              <w:t>)</w:t>
            </w:r>
          </w:p>
        </w:tc>
        <w:tc>
          <w:tcPr>
            <w:tcW w:w="1264" w:type="dxa"/>
            <w:vAlign w:val="center"/>
            <w:hideMark/>
          </w:tcPr>
          <w:p w14:paraId="5C766829" w14:textId="0F2B85FF"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4,264.1</w:t>
            </w:r>
            <w:r>
              <w:rPr>
                <w:rFonts w:ascii="Arial" w:hAnsi="Arial" w:cs="Arial"/>
                <w:b/>
                <w:bCs/>
                <w:lang w:val="en-GB"/>
              </w:rPr>
              <w:t>)</w:t>
            </w:r>
          </w:p>
        </w:tc>
      </w:tr>
      <w:tr w:rsidR="00825E1E" w:rsidRPr="00B04967" w14:paraId="7DC2D77C" w14:textId="77777777" w:rsidTr="00F03407">
        <w:trPr>
          <w:tblHeader/>
        </w:trPr>
        <w:tc>
          <w:tcPr>
            <w:tcW w:w="3406" w:type="dxa"/>
            <w:hideMark/>
          </w:tcPr>
          <w:p w14:paraId="5F46632C" w14:textId="799FA0D6" w:rsidR="00825E1E" w:rsidRPr="00B04967" w:rsidRDefault="00825E1E" w:rsidP="00D92414">
            <w:pPr>
              <w:rPr>
                <w:rFonts w:ascii="Arial" w:hAnsi="Arial" w:cs="Arial"/>
                <w:b/>
                <w:bCs/>
                <w:lang w:val="en-GB"/>
              </w:rPr>
            </w:pPr>
            <w:r w:rsidRPr="00B04967">
              <w:rPr>
                <w:rFonts w:ascii="Arial" w:hAnsi="Arial" w:cs="Arial"/>
                <w:b/>
                <w:bCs/>
                <w:lang w:val="en-GB"/>
              </w:rPr>
              <w:t>Profit</w:t>
            </w:r>
            <w:r w:rsidR="00A06440">
              <w:rPr>
                <w:rFonts w:ascii="Arial" w:hAnsi="Arial" w:cs="Arial"/>
                <w:b/>
                <w:bCs/>
                <w:lang w:val="en-GB"/>
              </w:rPr>
              <w:t xml:space="preserve"> and Loss</w:t>
            </w:r>
            <w:r w:rsidRPr="00B04967">
              <w:rPr>
                <w:rFonts w:ascii="Arial" w:hAnsi="Arial" w:cs="Arial"/>
                <w:b/>
                <w:bCs/>
                <w:lang w:val="en-GB"/>
              </w:rPr>
              <w:t xml:space="preserve"> from </w:t>
            </w:r>
            <w:r w:rsidR="00A06440">
              <w:rPr>
                <w:rFonts w:ascii="Arial" w:hAnsi="Arial" w:cs="Arial"/>
                <w:b/>
                <w:bCs/>
                <w:lang w:val="en-GB"/>
              </w:rPr>
              <w:t>Continuing Operations</w:t>
            </w:r>
            <w:r w:rsidRPr="00B04967">
              <w:rPr>
                <w:rFonts w:ascii="Arial" w:hAnsi="Arial" w:cs="Arial"/>
                <w:b/>
                <w:bCs/>
                <w:lang w:val="en-GB"/>
              </w:rPr>
              <w:t xml:space="preserve"> </w:t>
            </w:r>
          </w:p>
        </w:tc>
        <w:tc>
          <w:tcPr>
            <w:tcW w:w="1096" w:type="dxa"/>
            <w:vAlign w:val="center"/>
            <w:hideMark/>
          </w:tcPr>
          <w:p w14:paraId="2A57830D"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4,206.5</w:t>
            </w:r>
          </w:p>
        </w:tc>
        <w:tc>
          <w:tcPr>
            <w:tcW w:w="1230" w:type="dxa"/>
            <w:vAlign w:val="center"/>
            <w:hideMark/>
          </w:tcPr>
          <w:p w14:paraId="7A4B4B0F"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3,891.7</w:t>
            </w:r>
          </w:p>
        </w:tc>
        <w:tc>
          <w:tcPr>
            <w:tcW w:w="1177" w:type="dxa"/>
            <w:vAlign w:val="center"/>
            <w:hideMark/>
          </w:tcPr>
          <w:p w14:paraId="358B6746"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1,370.8</w:t>
            </w:r>
          </w:p>
        </w:tc>
        <w:tc>
          <w:tcPr>
            <w:tcW w:w="1177" w:type="dxa"/>
            <w:vAlign w:val="center"/>
            <w:hideMark/>
          </w:tcPr>
          <w:p w14:paraId="4005C6C4" w14:textId="13C039EB"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3,595.2</w:t>
            </w:r>
            <w:r>
              <w:rPr>
                <w:rFonts w:ascii="Arial" w:hAnsi="Arial" w:cs="Arial"/>
                <w:b/>
                <w:bCs/>
                <w:lang w:val="en-GB"/>
              </w:rPr>
              <w:t>)</w:t>
            </w:r>
          </w:p>
        </w:tc>
        <w:tc>
          <w:tcPr>
            <w:tcW w:w="1264" w:type="dxa"/>
            <w:vAlign w:val="center"/>
            <w:hideMark/>
          </w:tcPr>
          <w:p w14:paraId="38A71AFB" w14:textId="507A9B47"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4,264.1</w:t>
            </w:r>
            <w:r>
              <w:rPr>
                <w:rFonts w:ascii="Arial" w:hAnsi="Arial" w:cs="Arial"/>
                <w:b/>
                <w:bCs/>
                <w:lang w:val="en-GB"/>
              </w:rPr>
              <w:t>)</w:t>
            </w:r>
          </w:p>
        </w:tc>
      </w:tr>
      <w:tr w:rsidR="00825E1E" w:rsidRPr="00B04967" w14:paraId="2D8214E5" w14:textId="77777777" w:rsidTr="00F03407">
        <w:trPr>
          <w:tblHeader/>
        </w:trPr>
        <w:tc>
          <w:tcPr>
            <w:tcW w:w="3406" w:type="dxa"/>
            <w:hideMark/>
          </w:tcPr>
          <w:p w14:paraId="36D1BB1D" w14:textId="22F90861" w:rsidR="00825E1E" w:rsidRPr="00B04967" w:rsidRDefault="00825E1E" w:rsidP="00D92414">
            <w:pPr>
              <w:rPr>
                <w:rFonts w:ascii="Arial" w:hAnsi="Arial" w:cs="Arial"/>
                <w:b/>
                <w:bCs/>
                <w:lang w:val="en-GB"/>
              </w:rPr>
            </w:pPr>
            <w:r w:rsidRPr="00B04967">
              <w:rPr>
                <w:rFonts w:ascii="Arial" w:hAnsi="Arial" w:cs="Arial"/>
                <w:b/>
                <w:bCs/>
                <w:lang w:val="en-GB"/>
              </w:rPr>
              <w:t>Profit</w:t>
            </w:r>
            <w:r w:rsidR="00A06440">
              <w:rPr>
                <w:rFonts w:ascii="Arial" w:hAnsi="Arial" w:cs="Arial"/>
                <w:b/>
                <w:bCs/>
                <w:lang w:val="en-GB"/>
              </w:rPr>
              <w:t xml:space="preserve"> and Loss</w:t>
            </w:r>
            <w:r w:rsidRPr="00B04967">
              <w:rPr>
                <w:rFonts w:ascii="Arial" w:hAnsi="Arial" w:cs="Arial"/>
                <w:b/>
                <w:bCs/>
                <w:lang w:val="en-GB"/>
              </w:rPr>
              <w:t xml:space="preserve"> for the </w:t>
            </w:r>
            <w:r w:rsidR="00A06440">
              <w:rPr>
                <w:rFonts w:ascii="Arial" w:hAnsi="Arial" w:cs="Arial"/>
                <w:b/>
                <w:bCs/>
                <w:lang w:val="en-GB"/>
              </w:rPr>
              <w:t>Period</w:t>
            </w:r>
            <w:r w:rsidR="00A06440" w:rsidRPr="00B04967">
              <w:rPr>
                <w:rFonts w:ascii="Arial" w:hAnsi="Arial" w:cs="Arial"/>
                <w:b/>
                <w:bCs/>
                <w:lang w:val="en-GB"/>
              </w:rPr>
              <w:t xml:space="preserve"> </w:t>
            </w:r>
          </w:p>
        </w:tc>
        <w:tc>
          <w:tcPr>
            <w:tcW w:w="1096" w:type="dxa"/>
            <w:vAlign w:val="center"/>
            <w:hideMark/>
          </w:tcPr>
          <w:p w14:paraId="2704262C"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4,206.5</w:t>
            </w:r>
          </w:p>
        </w:tc>
        <w:tc>
          <w:tcPr>
            <w:tcW w:w="1230" w:type="dxa"/>
            <w:vAlign w:val="center"/>
            <w:hideMark/>
          </w:tcPr>
          <w:p w14:paraId="65392945"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464.6</w:t>
            </w:r>
          </w:p>
        </w:tc>
        <w:tc>
          <w:tcPr>
            <w:tcW w:w="1177" w:type="dxa"/>
            <w:vAlign w:val="center"/>
            <w:hideMark/>
          </w:tcPr>
          <w:p w14:paraId="5CF11A40" w14:textId="0AA3C165"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2,687.9</w:t>
            </w:r>
            <w:r>
              <w:rPr>
                <w:rFonts w:ascii="Arial" w:hAnsi="Arial" w:cs="Arial"/>
                <w:b/>
                <w:bCs/>
                <w:lang w:val="en-GB"/>
              </w:rPr>
              <w:t>)</w:t>
            </w:r>
          </w:p>
        </w:tc>
        <w:tc>
          <w:tcPr>
            <w:tcW w:w="1177" w:type="dxa"/>
            <w:vAlign w:val="center"/>
            <w:hideMark/>
          </w:tcPr>
          <w:p w14:paraId="2888EF74" w14:textId="473F07EC"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3,595.2</w:t>
            </w:r>
            <w:r>
              <w:rPr>
                <w:rFonts w:ascii="Arial" w:hAnsi="Arial" w:cs="Arial"/>
                <w:b/>
                <w:bCs/>
                <w:lang w:val="en-GB"/>
              </w:rPr>
              <w:t>)</w:t>
            </w:r>
          </w:p>
        </w:tc>
        <w:tc>
          <w:tcPr>
            <w:tcW w:w="1264" w:type="dxa"/>
            <w:vAlign w:val="center"/>
            <w:hideMark/>
          </w:tcPr>
          <w:p w14:paraId="285705B1" w14:textId="581FC678"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4,264.1</w:t>
            </w:r>
            <w:r>
              <w:rPr>
                <w:rFonts w:ascii="Arial" w:hAnsi="Arial" w:cs="Arial"/>
                <w:b/>
                <w:bCs/>
                <w:lang w:val="en-GB"/>
              </w:rPr>
              <w:t>)</w:t>
            </w:r>
          </w:p>
        </w:tc>
      </w:tr>
      <w:tr w:rsidR="00825E1E" w:rsidRPr="00B04967" w14:paraId="0EB58939" w14:textId="77777777" w:rsidTr="00F03407">
        <w:trPr>
          <w:tblHeader/>
        </w:trPr>
        <w:tc>
          <w:tcPr>
            <w:tcW w:w="3406" w:type="dxa"/>
            <w:hideMark/>
          </w:tcPr>
          <w:p w14:paraId="72685481" w14:textId="77777777" w:rsidR="00825E1E" w:rsidRPr="00B04967" w:rsidRDefault="00825E1E" w:rsidP="00D92414">
            <w:pPr>
              <w:rPr>
                <w:rFonts w:ascii="Arial" w:hAnsi="Arial" w:cs="Arial"/>
                <w:lang w:val="en-GB"/>
              </w:rPr>
            </w:pPr>
            <w:r w:rsidRPr="00B04967">
              <w:rPr>
                <w:rFonts w:ascii="Arial" w:hAnsi="Arial" w:cs="Arial"/>
                <w:lang w:val="en-GB"/>
              </w:rPr>
              <w:t>Minority Interest</w:t>
            </w:r>
          </w:p>
        </w:tc>
        <w:tc>
          <w:tcPr>
            <w:tcW w:w="1096" w:type="dxa"/>
            <w:vAlign w:val="center"/>
            <w:hideMark/>
          </w:tcPr>
          <w:p w14:paraId="277EC55C" w14:textId="560DCC59"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22.4</w:t>
            </w:r>
            <w:r>
              <w:rPr>
                <w:rFonts w:ascii="Arial" w:hAnsi="Arial" w:cs="Arial"/>
                <w:lang w:val="en-GB"/>
              </w:rPr>
              <w:t>)</w:t>
            </w:r>
          </w:p>
        </w:tc>
        <w:tc>
          <w:tcPr>
            <w:tcW w:w="1230" w:type="dxa"/>
            <w:vAlign w:val="center"/>
            <w:hideMark/>
          </w:tcPr>
          <w:p w14:paraId="456634DC" w14:textId="6A655B9B"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13.2</w:t>
            </w:r>
            <w:r>
              <w:rPr>
                <w:rFonts w:ascii="Arial" w:hAnsi="Arial" w:cs="Arial"/>
                <w:lang w:val="en-GB"/>
              </w:rPr>
              <w:t>)</w:t>
            </w:r>
          </w:p>
        </w:tc>
        <w:tc>
          <w:tcPr>
            <w:tcW w:w="1177" w:type="dxa"/>
            <w:vAlign w:val="center"/>
            <w:hideMark/>
          </w:tcPr>
          <w:p w14:paraId="7D06BEF9" w14:textId="4D782B04"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32.8</w:t>
            </w:r>
            <w:r>
              <w:rPr>
                <w:rFonts w:ascii="Arial" w:hAnsi="Arial" w:cs="Arial"/>
                <w:lang w:val="en-GB"/>
              </w:rPr>
              <w:t>)</w:t>
            </w:r>
          </w:p>
        </w:tc>
        <w:tc>
          <w:tcPr>
            <w:tcW w:w="1177" w:type="dxa"/>
            <w:vAlign w:val="center"/>
            <w:hideMark/>
          </w:tcPr>
          <w:p w14:paraId="06D95B9C" w14:textId="16170CE6" w:rsidR="00825E1E" w:rsidRPr="00B04967" w:rsidRDefault="00125084"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13.5</w:t>
            </w:r>
            <w:r w:rsidR="00B47C9D">
              <w:rPr>
                <w:rFonts w:ascii="Arial" w:hAnsi="Arial" w:cs="Arial"/>
                <w:lang w:val="en-GB"/>
              </w:rPr>
              <w:t>)</w:t>
            </w:r>
          </w:p>
        </w:tc>
        <w:tc>
          <w:tcPr>
            <w:tcW w:w="1264" w:type="dxa"/>
            <w:vAlign w:val="center"/>
            <w:hideMark/>
          </w:tcPr>
          <w:p w14:paraId="5B9C1A9B" w14:textId="0D56A23C"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13.7</w:t>
            </w:r>
            <w:r>
              <w:rPr>
                <w:rFonts w:ascii="Arial" w:hAnsi="Arial" w:cs="Arial"/>
                <w:lang w:val="en-GB"/>
              </w:rPr>
              <w:t>)</w:t>
            </w:r>
          </w:p>
        </w:tc>
      </w:tr>
      <w:tr w:rsidR="00825E1E" w:rsidRPr="00B04967" w14:paraId="41BC9A5F" w14:textId="77777777" w:rsidTr="00F03407">
        <w:trPr>
          <w:tblHeader/>
        </w:trPr>
        <w:tc>
          <w:tcPr>
            <w:tcW w:w="3406" w:type="dxa"/>
            <w:hideMark/>
          </w:tcPr>
          <w:p w14:paraId="655E0C2C" w14:textId="395400C1" w:rsidR="00825E1E" w:rsidRPr="00B04967" w:rsidRDefault="00825E1E" w:rsidP="00D92414">
            <w:pPr>
              <w:rPr>
                <w:rFonts w:ascii="Arial" w:hAnsi="Arial" w:cs="Arial"/>
                <w:b/>
                <w:bCs/>
                <w:lang w:val="en-GB"/>
              </w:rPr>
            </w:pPr>
            <w:r w:rsidRPr="00B04967">
              <w:rPr>
                <w:rFonts w:ascii="Arial" w:hAnsi="Arial" w:cs="Arial"/>
                <w:b/>
                <w:bCs/>
                <w:lang w:val="en-GB"/>
              </w:rPr>
              <w:t xml:space="preserve">Consolidated </w:t>
            </w:r>
            <w:r w:rsidR="00A06440">
              <w:rPr>
                <w:rFonts w:ascii="Arial" w:hAnsi="Arial" w:cs="Arial"/>
                <w:b/>
                <w:bCs/>
                <w:lang w:val="en-GB"/>
              </w:rPr>
              <w:t xml:space="preserve">Profit </w:t>
            </w:r>
            <w:r w:rsidRPr="00B04967">
              <w:rPr>
                <w:rFonts w:ascii="Arial" w:hAnsi="Arial" w:cs="Arial"/>
                <w:b/>
                <w:bCs/>
                <w:lang w:val="en-GB"/>
              </w:rPr>
              <w:t xml:space="preserve">after MI </w:t>
            </w:r>
            <w:r w:rsidR="00A06440">
              <w:rPr>
                <w:rFonts w:ascii="Arial" w:hAnsi="Arial" w:cs="Arial"/>
                <w:b/>
                <w:bCs/>
                <w:lang w:val="en-GB"/>
              </w:rPr>
              <w:t>&amp;</w:t>
            </w:r>
            <w:r w:rsidRPr="00B04967">
              <w:rPr>
                <w:rFonts w:ascii="Arial" w:hAnsi="Arial" w:cs="Arial"/>
                <w:b/>
                <w:bCs/>
                <w:lang w:val="en-GB"/>
              </w:rPr>
              <w:t xml:space="preserve"> </w:t>
            </w:r>
            <w:r w:rsidR="00A06440">
              <w:rPr>
                <w:rFonts w:ascii="Arial" w:hAnsi="Arial" w:cs="Arial"/>
                <w:b/>
                <w:bCs/>
                <w:lang w:val="en-GB"/>
              </w:rPr>
              <w:t>Associates</w:t>
            </w:r>
            <w:r w:rsidRPr="00B04967">
              <w:rPr>
                <w:rFonts w:ascii="Arial" w:hAnsi="Arial" w:cs="Arial"/>
                <w:b/>
                <w:bCs/>
                <w:lang w:val="en-GB"/>
              </w:rPr>
              <w:t xml:space="preserve"> </w:t>
            </w:r>
          </w:p>
        </w:tc>
        <w:tc>
          <w:tcPr>
            <w:tcW w:w="1096" w:type="dxa"/>
            <w:vAlign w:val="center"/>
            <w:hideMark/>
          </w:tcPr>
          <w:p w14:paraId="6405E43A"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4,188.4</w:t>
            </w:r>
          </w:p>
        </w:tc>
        <w:tc>
          <w:tcPr>
            <w:tcW w:w="1230" w:type="dxa"/>
            <w:vAlign w:val="center"/>
            <w:hideMark/>
          </w:tcPr>
          <w:p w14:paraId="511162A8" w14:textId="77777777" w:rsidR="00825E1E" w:rsidRPr="00B04967" w:rsidRDefault="00825E1E" w:rsidP="004F2C19">
            <w:pPr>
              <w:jc w:val="right"/>
              <w:rPr>
                <w:rFonts w:ascii="Arial" w:hAnsi="Arial" w:cs="Arial"/>
                <w:b/>
                <w:bCs/>
                <w:lang w:val="en-GB"/>
              </w:rPr>
            </w:pPr>
            <w:r w:rsidRPr="00B04967">
              <w:rPr>
                <w:rFonts w:ascii="Arial" w:hAnsi="Arial" w:cs="Arial"/>
                <w:b/>
                <w:bCs/>
                <w:lang w:val="en-GB"/>
              </w:rPr>
              <w:t>479.8</w:t>
            </w:r>
          </w:p>
        </w:tc>
        <w:tc>
          <w:tcPr>
            <w:tcW w:w="1177" w:type="dxa"/>
            <w:vAlign w:val="center"/>
            <w:hideMark/>
          </w:tcPr>
          <w:p w14:paraId="23029BDA" w14:textId="4F9A80A2"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2,712.3</w:t>
            </w:r>
            <w:r>
              <w:rPr>
                <w:rFonts w:ascii="Arial" w:hAnsi="Arial" w:cs="Arial"/>
                <w:b/>
                <w:bCs/>
                <w:lang w:val="en-GB"/>
              </w:rPr>
              <w:t>)</w:t>
            </w:r>
          </w:p>
        </w:tc>
        <w:tc>
          <w:tcPr>
            <w:tcW w:w="1177" w:type="dxa"/>
            <w:vAlign w:val="center"/>
            <w:hideMark/>
          </w:tcPr>
          <w:p w14:paraId="3621C559" w14:textId="7545A076"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3,589.1</w:t>
            </w:r>
            <w:r>
              <w:rPr>
                <w:rFonts w:ascii="Arial" w:hAnsi="Arial" w:cs="Arial"/>
                <w:b/>
                <w:bCs/>
                <w:lang w:val="en-GB"/>
              </w:rPr>
              <w:t>)</w:t>
            </w:r>
          </w:p>
        </w:tc>
        <w:tc>
          <w:tcPr>
            <w:tcW w:w="1264" w:type="dxa"/>
            <w:vAlign w:val="center"/>
            <w:hideMark/>
          </w:tcPr>
          <w:p w14:paraId="489CC84A" w14:textId="0B29D85D" w:rsidR="00825E1E" w:rsidRPr="00B04967" w:rsidRDefault="00B47C9D" w:rsidP="004F2C19">
            <w:pPr>
              <w:jc w:val="right"/>
              <w:rPr>
                <w:rFonts w:ascii="Arial" w:hAnsi="Arial" w:cs="Arial"/>
                <w:b/>
                <w:bCs/>
                <w:lang w:val="en-GB"/>
              </w:rPr>
            </w:pPr>
            <w:r>
              <w:rPr>
                <w:rFonts w:ascii="Arial" w:hAnsi="Arial" w:cs="Arial"/>
                <w:b/>
                <w:bCs/>
                <w:lang w:val="en-GB"/>
              </w:rPr>
              <w:t>(</w:t>
            </w:r>
            <w:r w:rsidR="00825E1E" w:rsidRPr="00B04967">
              <w:rPr>
                <w:rFonts w:ascii="Arial" w:hAnsi="Arial" w:cs="Arial"/>
                <w:b/>
                <w:bCs/>
                <w:lang w:val="en-GB"/>
              </w:rPr>
              <w:t>4,297.2</w:t>
            </w:r>
            <w:r>
              <w:rPr>
                <w:rFonts w:ascii="Arial" w:hAnsi="Arial" w:cs="Arial"/>
                <w:b/>
                <w:bCs/>
                <w:lang w:val="en-GB"/>
              </w:rPr>
              <w:t>)</w:t>
            </w:r>
          </w:p>
        </w:tc>
      </w:tr>
      <w:tr w:rsidR="00825E1E" w:rsidRPr="00B04967" w14:paraId="69037F42" w14:textId="77777777" w:rsidTr="00F03407">
        <w:trPr>
          <w:tblHeader/>
        </w:trPr>
        <w:tc>
          <w:tcPr>
            <w:tcW w:w="3406" w:type="dxa"/>
            <w:hideMark/>
          </w:tcPr>
          <w:p w14:paraId="7B7B0008" w14:textId="4E97E2B6" w:rsidR="00825E1E" w:rsidRPr="00B04967" w:rsidRDefault="00825E1E" w:rsidP="00D92414">
            <w:pPr>
              <w:rPr>
                <w:rFonts w:ascii="Arial" w:hAnsi="Arial" w:cs="Arial"/>
                <w:b/>
                <w:bCs/>
                <w:lang w:val="en-GB"/>
              </w:rPr>
            </w:pPr>
            <w:r w:rsidRPr="00B04967">
              <w:rPr>
                <w:rFonts w:ascii="Arial" w:hAnsi="Arial" w:cs="Arial"/>
                <w:b/>
                <w:bCs/>
                <w:lang w:val="en-GB"/>
              </w:rPr>
              <w:t xml:space="preserve">Other </w:t>
            </w:r>
            <w:r w:rsidR="00102A9E">
              <w:rPr>
                <w:rFonts w:ascii="Arial" w:hAnsi="Arial" w:cs="Arial"/>
                <w:b/>
                <w:bCs/>
                <w:lang w:val="en-GB"/>
              </w:rPr>
              <w:t>Additional Information</w:t>
            </w:r>
            <w:r w:rsidRPr="00B04967">
              <w:rPr>
                <w:rFonts w:ascii="Arial" w:hAnsi="Arial" w:cs="Arial"/>
                <w:b/>
                <w:bCs/>
                <w:lang w:val="en-GB"/>
              </w:rPr>
              <w:t xml:space="preserve"> </w:t>
            </w:r>
          </w:p>
        </w:tc>
        <w:tc>
          <w:tcPr>
            <w:tcW w:w="1096" w:type="dxa"/>
            <w:vAlign w:val="center"/>
            <w:hideMark/>
          </w:tcPr>
          <w:p w14:paraId="38BD24B9" w14:textId="77777777" w:rsidR="00825E1E" w:rsidRPr="00B04967" w:rsidRDefault="00825E1E" w:rsidP="004F2C19">
            <w:pPr>
              <w:jc w:val="right"/>
              <w:rPr>
                <w:rFonts w:ascii="Arial" w:hAnsi="Arial" w:cs="Arial"/>
                <w:b/>
                <w:bCs/>
                <w:lang w:val="en-GB"/>
              </w:rPr>
            </w:pPr>
          </w:p>
        </w:tc>
        <w:tc>
          <w:tcPr>
            <w:tcW w:w="1230" w:type="dxa"/>
            <w:vAlign w:val="center"/>
            <w:hideMark/>
          </w:tcPr>
          <w:p w14:paraId="4B36A3C0" w14:textId="77777777" w:rsidR="00825E1E" w:rsidRPr="00B04967" w:rsidRDefault="00825E1E" w:rsidP="004F2C19">
            <w:pPr>
              <w:jc w:val="right"/>
              <w:rPr>
                <w:rFonts w:ascii="Arial" w:hAnsi="Arial" w:cs="Arial"/>
                <w:lang w:val="en-GB"/>
              </w:rPr>
            </w:pPr>
          </w:p>
        </w:tc>
        <w:tc>
          <w:tcPr>
            <w:tcW w:w="1177" w:type="dxa"/>
            <w:vAlign w:val="center"/>
            <w:hideMark/>
          </w:tcPr>
          <w:p w14:paraId="0A34CEBA" w14:textId="77777777" w:rsidR="00825E1E" w:rsidRPr="00B04967" w:rsidRDefault="00825E1E" w:rsidP="004F2C19">
            <w:pPr>
              <w:jc w:val="right"/>
              <w:rPr>
                <w:rFonts w:ascii="Arial" w:hAnsi="Arial" w:cs="Arial"/>
                <w:lang w:val="en-GB"/>
              </w:rPr>
            </w:pPr>
          </w:p>
        </w:tc>
        <w:tc>
          <w:tcPr>
            <w:tcW w:w="1177" w:type="dxa"/>
            <w:vAlign w:val="center"/>
            <w:hideMark/>
          </w:tcPr>
          <w:p w14:paraId="26EB5E1C" w14:textId="77777777" w:rsidR="00825E1E" w:rsidRPr="00B04967" w:rsidRDefault="00825E1E" w:rsidP="004F2C19">
            <w:pPr>
              <w:jc w:val="right"/>
              <w:rPr>
                <w:rFonts w:ascii="Arial" w:hAnsi="Arial" w:cs="Arial"/>
                <w:lang w:val="en-GB"/>
              </w:rPr>
            </w:pPr>
          </w:p>
        </w:tc>
        <w:tc>
          <w:tcPr>
            <w:tcW w:w="1264" w:type="dxa"/>
            <w:vAlign w:val="center"/>
            <w:hideMark/>
          </w:tcPr>
          <w:p w14:paraId="2E8615EA" w14:textId="77777777" w:rsidR="00825E1E" w:rsidRPr="00B04967" w:rsidRDefault="00825E1E" w:rsidP="004F2C19">
            <w:pPr>
              <w:jc w:val="right"/>
              <w:rPr>
                <w:rFonts w:ascii="Arial" w:hAnsi="Arial" w:cs="Arial"/>
                <w:lang w:val="en-GB"/>
              </w:rPr>
            </w:pPr>
          </w:p>
        </w:tc>
      </w:tr>
      <w:tr w:rsidR="00825E1E" w:rsidRPr="00B04967" w14:paraId="68DF8C04" w14:textId="77777777" w:rsidTr="00F03407">
        <w:trPr>
          <w:tblHeader/>
        </w:trPr>
        <w:tc>
          <w:tcPr>
            <w:tcW w:w="3406" w:type="dxa"/>
            <w:hideMark/>
          </w:tcPr>
          <w:p w14:paraId="4635EB3B" w14:textId="77777777" w:rsidR="00825E1E" w:rsidRPr="00B04967" w:rsidRDefault="00825E1E" w:rsidP="00D92414">
            <w:pPr>
              <w:rPr>
                <w:rFonts w:ascii="Arial" w:hAnsi="Arial" w:cs="Arial"/>
                <w:b/>
                <w:bCs/>
                <w:lang w:val="en-GB"/>
              </w:rPr>
            </w:pPr>
            <w:r w:rsidRPr="00B04967">
              <w:rPr>
                <w:rFonts w:ascii="Arial" w:hAnsi="Arial" w:cs="Arial"/>
                <w:b/>
                <w:bCs/>
                <w:lang w:val="en-GB"/>
              </w:rPr>
              <w:t>EARNINGS PER SHARE</w:t>
            </w:r>
          </w:p>
        </w:tc>
        <w:tc>
          <w:tcPr>
            <w:tcW w:w="1096" w:type="dxa"/>
            <w:vAlign w:val="center"/>
            <w:hideMark/>
          </w:tcPr>
          <w:p w14:paraId="1D8E11A0" w14:textId="77777777" w:rsidR="00825E1E" w:rsidRPr="00B04967" w:rsidRDefault="00825E1E" w:rsidP="004F2C19">
            <w:pPr>
              <w:jc w:val="right"/>
              <w:rPr>
                <w:rFonts w:ascii="Arial" w:hAnsi="Arial" w:cs="Arial"/>
                <w:b/>
                <w:bCs/>
                <w:lang w:val="en-GB"/>
              </w:rPr>
            </w:pPr>
          </w:p>
        </w:tc>
        <w:tc>
          <w:tcPr>
            <w:tcW w:w="1230" w:type="dxa"/>
            <w:vAlign w:val="center"/>
            <w:hideMark/>
          </w:tcPr>
          <w:p w14:paraId="6E46DCC5" w14:textId="77777777" w:rsidR="00825E1E" w:rsidRPr="00B04967" w:rsidRDefault="00825E1E" w:rsidP="004F2C19">
            <w:pPr>
              <w:jc w:val="right"/>
              <w:rPr>
                <w:rFonts w:ascii="Arial" w:hAnsi="Arial" w:cs="Arial"/>
                <w:lang w:val="en-GB"/>
              </w:rPr>
            </w:pPr>
          </w:p>
        </w:tc>
        <w:tc>
          <w:tcPr>
            <w:tcW w:w="1177" w:type="dxa"/>
            <w:vAlign w:val="center"/>
            <w:hideMark/>
          </w:tcPr>
          <w:p w14:paraId="2F9073DE" w14:textId="77777777" w:rsidR="00825E1E" w:rsidRPr="00B04967" w:rsidRDefault="00825E1E" w:rsidP="004F2C19">
            <w:pPr>
              <w:jc w:val="right"/>
              <w:rPr>
                <w:rFonts w:ascii="Arial" w:hAnsi="Arial" w:cs="Arial"/>
                <w:lang w:val="en-GB"/>
              </w:rPr>
            </w:pPr>
          </w:p>
        </w:tc>
        <w:tc>
          <w:tcPr>
            <w:tcW w:w="1177" w:type="dxa"/>
            <w:vAlign w:val="center"/>
            <w:hideMark/>
          </w:tcPr>
          <w:p w14:paraId="53B9E0B1" w14:textId="77777777" w:rsidR="00825E1E" w:rsidRPr="00B04967" w:rsidRDefault="00825E1E" w:rsidP="004F2C19">
            <w:pPr>
              <w:jc w:val="right"/>
              <w:rPr>
                <w:rFonts w:ascii="Arial" w:hAnsi="Arial" w:cs="Arial"/>
                <w:lang w:val="en-GB"/>
              </w:rPr>
            </w:pPr>
          </w:p>
        </w:tc>
        <w:tc>
          <w:tcPr>
            <w:tcW w:w="1264" w:type="dxa"/>
            <w:vAlign w:val="center"/>
            <w:hideMark/>
          </w:tcPr>
          <w:p w14:paraId="1CEDC65C" w14:textId="77777777" w:rsidR="00825E1E" w:rsidRPr="00B04967" w:rsidRDefault="00825E1E" w:rsidP="004F2C19">
            <w:pPr>
              <w:jc w:val="right"/>
              <w:rPr>
                <w:rFonts w:ascii="Arial" w:hAnsi="Arial" w:cs="Arial"/>
                <w:lang w:val="en-GB"/>
              </w:rPr>
            </w:pPr>
          </w:p>
        </w:tc>
      </w:tr>
      <w:tr w:rsidR="00825E1E" w:rsidRPr="00B04967" w14:paraId="48517C49" w14:textId="77777777" w:rsidTr="00F03407">
        <w:trPr>
          <w:tblHeader/>
        </w:trPr>
        <w:tc>
          <w:tcPr>
            <w:tcW w:w="3406" w:type="dxa"/>
            <w:hideMark/>
          </w:tcPr>
          <w:p w14:paraId="630B5210" w14:textId="33E14007" w:rsidR="00825E1E" w:rsidRPr="00B04967" w:rsidRDefault="00825E1E" w:rsidP="00D92414">
            <w:pPr>
              <w:rPr>
                <w:rFonts w:ascii="Arial" w:hAnsi="Arial" w:cs="Arial"/>
                <w:lang w:val="en-GB"/>
              </w:rPr>
            </w:pPr>
            <w:r w:rsidRPr="00B04967">
              <w:rPr>
                <w:rFonts w:ascii="Arial" w:hAnsi="Arial" w:cs="Arial"/>
                <w:lang w:val="en-GB"/>
              </w:rPr>
              <w:t>Basic EPS</w:t>
            </w:r>
          </w:p>
        </w:tc>
        <w:tc>
          <w:tcPr>
            <w:tcW w:w="1096" w:type="dxa"/>
            <w:vAlign w:val="center"/>
            <w:hideMark/>
          </w:tcPr>
          <w:p w14:paraId="44581D22" w14:textId="77777777" w:rsidR="00825E1E" w:rsidRPr="00B04967" w:rsidRDefault="00825E1E" w:rsidP="004F2C19">
            <w:pPr>
              <w:jc w:val="right"/>
              <w:rPr>
                <w:rFonts w:ascii="Arial" w:hAnsi="Arial" w:cs="Arial"/>
                <w:lang w:val="en-GB"/>
              </w:rPr>
            </w:pPr>
            <w:r w:rsidRPr="00B04967">
              <w:rPr>
                <w:rFonts w:ascii="Arial" w:hAnsi="Arial" w:cs="Arial"/>
                <w:lang w:val="en-GB"/>
              </w:rPr>
              <w:t>14.00</w:t>
            </w:r>
          </w:p>
        </w:tc>
        <w:tc>
          <w:tcPr>
            <w:tcW w:w="1230" w:type="dxa"/>
            <w:vAlign w:val="center"/>
            <w:hideMark/>
          </w:tcPr>
          <w:p w14:paraId="03627BB8" w14:textId="77777777" w:rsidR="00825E1E" w:rsidRPr="00B04967" w:rsidRDefault="00825E1E" w:rsidP="004F2C19">
            <w:pPr>
              <w:jc w:val="right"/>
              <w:rPr>
                <w:rFonts w:ascii="Arial" w:hAnsi="Arial" w:cs="Arial"/>
                <w:lang w:val="en-GB"/>
              </w:rPr>
            </w:pPr>
            <w:r w:rsidRPr="00B04967">
              <w:rPr>
                <w:rFonts w:ascii="Arial" w:hAnsi="Arial" w:cs="Arial"/>
                <w:lang w:val="en-GB"/>
              </w:rPr>
              <w:t>2.00</w:t>
            </w:r>
          </w:p>
        </w:tc>
        <w:tc>
          <w:tcPr>
            <w:tcW w:w="1177" w:type="dxa"/>
            <w:vAlign w:val="center"/>
            <w:hideMark/>
          </w:tcPr>
          <w:p w14:paraId="7430F791" w14:textId="5F5E273F"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9.00</w:t>
            </w:r>
            <w:r>
              <w:rPr>
                <w:rFonts w:ascii="Arial" w:hAnsi="Arial" w:cs="Arial"/>
                <w:lang w:val="en-GB"/>
              </w:rPr>
              <w:t>)</w:t>
            </w:r>
          </w:p>
        </w:tc>
        <w:tc>
          <w:tcPr>
            <w:tcW w:w="1177" w:type="dxa"/>
            <w:vAlign w:val="center"/>
            <w:hideMark/>
          </w:tcPr>
          <w:p w14:paraId="15965896" w14:textId="3A149652"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12.00</w:t>
            </w:r>
            <w:r>
              <w:rPr>
                <w:rFonts w:ascii="Arial" w:hAnsi="Arial" w:cs="Arial"/>
                <w:lang w:val="en-GB"/>
              </w:rPr>
              <w:t>)</w:t>
            </w:r>
          </w:p>
        </w:tc>
        <w:tc>
          <w:tcPr>
            <w:tcW w:w="1264" w:type="dxa"/>
            <w:vAlign w:val="center"/>
            <w:hideMark/>
          </w:tcPr>
          <w:p w14:paraId="43D11CFA" w14:textId="42D799FC"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14.00</w:t>
            </w:r>
            <w:r>
              <w:rPr>
                <w:rFonts w:ascii="Arial" w:hAnsi="Arial" w:cs="Arial"/>
                <w:lang w:val="en-GB"/>
              </w:rPr>
              <w:t>)</w:t>
            </w:r>
          </w:p>
        </w:tc>
      </w:tr>
      <w:tr w:rsidR="00825E1E" w:rsidRPr="00B04967" w14:paraId="5F957DDB" w14:textId="77777777" w:rsidTr="00F03407">
        <w:trPr>
          <w:tblHeader/>
        </w:trPr>
        <w:tc>
          <w:tcPr>
            <w:tcW w:w="3406" w:type="dxa"/>
            <w:hideMark/>
          </w:tcPr>
          <w:p w14:paraId="7919D1B6" w14:textId="638A579B" w:rsidR="00825E1E" w:rsidRPr="00B04967" w:rsidRDefault="00825E1E" w:rsidP="00D92414">
            <w:pPr>
              <w:rPr>
                <w:rFonts w:ascii="Arial" w:hAnsi="Arial" w:cs="Arial"/>
                <w:lang w:val="en-GB"/>
              </w:rPr>
            </w:pPr>
            <w:r w:rsidRPr="00B04967">
              <w:rPr>
                <w:rFonts w:ascii="Arial" w:hAnsi="Arial" w:cs="Arial"/>
                <w:lang w:val="en-GB"/>
              </w:rPr>
              <w:t>Diluted EPS</w:t>
            </w:r>
          </w:p>
        </w:tc>
        <w:tc>
          <w:tcPr>
            <w:tcW w:w="1096" w:type="dxa"/>
            <w:vAlign w:val="center"/>
            <w:hideMark/>
          </w:tcPr>
          <w:p w14:paraId="6E8F211C" w14:textId="77777777" w:rsidR="00825E1E" w:rsidRPr="00B04967" w:rsidRDefault="00825E1E" w:rsidP="004F2C19">
            <w:pPr>
              <w:jc w:val="right"/>
              <w:rPr>
                <w:rFonts w:ascii="Arial" w:hAnsi="Arial" w:cs="Arial"/>
                <w:lang w:val="en-GB"/>
              </w:rPr>
            </w:pPr>
            <w:r w:rsidRPr="00B04967">
              <w:rPr>
                <w:rFonts w:ascii="Arial" w:hAnsi="Arial" w:cs="Arial"/>
                <w:lang w:val="en-GB"/>
              </w:rPr>
              <w:t>14.00</w:t>
            </w:r>
          </w:p>
        </w:tc>
        <w:tc>
          <w:tcPr>
            <w:tcW w:w="1230" w:type="dxa"/>
            <w:vAlign w:val="center"/>
            <w:hideMark/>
          </w:tcPr>
          <w:p w14:paraId="03F621E4" w14:textId="77777777" w:rsidR="00825E1E" w:rsidRPr="00B04967" w:rsidRDefault="00825E1E" w:rsidP="004F2C19">
            <w:pPr>
              <w:jc w:val="right"/>
              <w:rPr>
                <w:rFonts w:ascii="Arial" w:hAnsi="Arial" w:cs="Arial"/>
                <w:lang w:val="en-GB"/>
              </w:rPr>
            </w:pPr>
            <w:r w:rsidRPr="00B04967">
              <w:rPr>
                <w:rFonts w:ascii="Arial" w:hAnsi="Arial" w:cs="Arial"/>
                <w:lang w:val="en-GB"/>
              </w:rPr>
              <w:t>2.00</w:t>
            </w:r>
          </w:p>
        </w:tc>
        <w:tc>
          <w:tcPr>
            <w:tcW w:w="1177" w:type="dxa"/>
            <w:vAlign w:val="center"/>
            <w:hideMark/>
          </w:tcPr>
          <w:p w14:paraId="147EDEE7" w14:textId="643B3C59"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9.00</w:t>
            </w:r>
            <w:r>
              <w:rPr>
                <w:rFonts w:ascii="Arial" w:hAnsi="Arial" w:cs="Arial"/>
                <w:lang w:val="en-GB"/>
              </w:rPr>
              <w:t>)</w:t>
            </w:r>
          </w:p>
        </w:tc>
        <w:tc>
          <w:tcPr>
            <w:tcW w:w="1177" w:type="dxa"/>
            <w:vAlign w:val="center"/>
            <w:hideMark/>
          </w:tcPr>
          <w:p w14:paraId="623A0ACC" w14:textId="4F872070"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12.00</w:t>
            </w:r>
            <w:r>
              <w:rPr>
                <w:rFonts w:ascii="Arial" w:hAnsi="Arial" w:cs="Arial"/>
                <w:lang w:val="en-GB"/>
              </w:rPr>
              <w:t>)</w:t>
            </w:r>
          </w:p>
        </w:tc>
        <w:tc>
          <w:tcPr>
            <w:tcW w:w="1264" w:type="dxa"/>
            <w:vAlign w:val="center"/>
            <w:hideMark/>
          </w:tcPr>
          <w:p w14:paraId="67BD2DDE" w14:textId="0DF43711" w:rsidR="00825E1E" w:rsidRPr="00B04967" w:rsidRDefault="00B47C9D" w:rsidP="004F2C19">
            <w:pPr>
              <w:jc w:val="right"/>
              <w:rPr>
                <w:rFonts w:ascii="Arial" w:hAnsi="Arial" w:cs="Arial"/>
                <w:lang w:val="en-GB"/>
              </w:rPr>
            </w:pPr>
            <w:r>
              <w:rPr>
                <w:rFonts w:ascii="Arial" w:hAnsi="Arial" w:cs="Arial"/>
                <w:lang w:val="en-GB"/>
              </w:rPr>
              <w:t>(</w:t>
            </w:r>
            <w:r w:rsidR="00825E1E" w:rsidRPr="00B04967">
              <w:rPr>
                <w:rFonts w:ascii="Arial" w:hAnsi="Arial" w:cs="Arial"/>
                <w:lang w:val="en-GB"/>
              </w:rPr>
              <w:t>14.00</w:t>
            </w:r>
            <w:r>
              <w:rPr>
                <w:rFonts w:ascii="Arial" w:hAnsi="Arial" w:cs="Arial"/>
                <w:lang w:val="en-GB"/>
              </w:rPr>
              <w:t>)</w:t>
            </w:r>
          </w:p>
        </w:tc>
      </w:tr>
    </w:tbl>
    <w:p w14:paraId="69CFDA46" w14:textId="07DEEDD8" w:rsidR="00825E1E" w:rsidRDefault="00825E1E" w:rsidP="00825E1E">
      <w:pPr>
        <w:pStyle w:val="Footnote"/>
        <w:rPr>
          <w:lang w:val="en-GB"/>
        </w:rPr>
      </w:pPr>
    </w:p>
    <w:p w14:paraId="36350EF1" w14:textId="41F4ADA1" w:rsidR="00D91D48" w:rsidRPr="00B04967" w:rsidRDefault="00D91D48" w:rsidP="00825E1E">
      <w:pPr>
        <w:pStyle w:val="Footnote"/>
        <w:rPr>
          <w:lang w:val="en-GB"/>
        </w:rPr>
      </w:pPr>
      <w:r>
        <w:rPr>
          <w:lang w:val="en-GB"/>
        </w:rPr>
        <w:t>Note</w:t>
      </w:r>
      <w:r w:rsidR="00125084">
        <w:rPr>
          <w:lang w:val="en-GB"/>
        </w:rPr>
        <w:t>s</w:t>
      </w:r>
      <w:r>
        <w:rPr>
          <w:lang w:val="en-GB"/>
        </w:rPr>
        <w:t xml:space="preserve">: </w:t>
      </w:r>
      <w:r w:rsidR="00125084">
        <w:rPr>
          <w:lang w:val="en-GB"/>
        </w:rPr>
        <w:t>*</w:t>
      </w:r>
      <w:r w:rsidR="00125084" w:rsidRPr="00B04967">
        <w:rPr>
          <w:lang w:val="en-GB"/>
        </w:rPr>
        <w:t xml:space="preserve">All figures (except </w:t>
      </w:r>
      <w:r w:rsidR="00125084">
        <w:rPr>
          <w:lang w:val="en-GB"/>
        </w:rPr>
        <w:t>per-share</w:t>
      </w:r>
      <w:r w:rsidR="00125084" w:rsidRPr="00B04967">
        <w:rPr>
          <w:lang w:val="en-GB"/>
        </w:rPr>
        <w:t xml:space="preserve"> figures) </w:t>
      </w:r>
      <w:r w:rsidR="00125084">
        <w:rPr>
          <w:lang w:val="en-GB"/>
        </w:rPr>
        <w:t xml:space="preserve">are </w:t>
      </w:r>
      <w:r w:rsidR="00125084" w:rsidRPr="00B04967">
        <w:rPr>
          <w:lang w:val="en-GB"/>
        </w:rPr>
        <w:t>in</w:t>
      </w:r>
      <w:r w:rsidR="00125084">
        <w:rPr>
          <w:lang w:val="en-GB"/>
        </w:rPr>
        <w:t xml:space="preserve"> ₹ millions;</w:t>
      </w:r>
      <w:r w:rsidR="00125084" w:rsidRPr="00B04967">
        <w:rPr>
          <w:lang w:val="en-GB"/>
        </w:rPr>
        <w:t xml:space="preserve"> </w:t>
      </w:r>
      <w:r w:rsidR="00125084">
        <w:rPr>
          <w:lang w:val="en-GB"/>
        </w:rPr>
        <w:t xml:space="preserve">₹ = INR = Indian rupee; </w:t>
      </w:r>
      <w:r w:rsidR="00D14037" w:rsidRPr="00B04967">
        <w:rPr>
          <w:lang w:val="en-GB"/>
        </w:rPr>
        <w:t>The figures for 2018 and 2019 were restated to reflect the divestment of the steel business</w:t>
      </w:r>
      <w:r w:rsidR="00125084">
        <w:rPr>
          <w:lang w:val="en-GB"/>
        </w:rPr>
        <w:t>;</w:t>
      </w:r>
      <w:r w:rsidR="00125084" w:rsidRPr="00B04967">
        <w:rPr>
          <w:lang w:val="en-GB"/>
        </w:rPr>
        <w:t xml:space="preserve"> </w:t>
      </w:r>
      <w:r w:rsidR="00D14037" w:rsidRPr="00B04967">
        <w:rPr>
          <w:lang w:val="en-GB"/>
        </w:rPr>
        <w:t>The figures for 2017 and 2016 include</w:t>
      </w:r>
      <w:r w:rsidR="00125084">
        <w:rPr>
          <w:lang w:val="en-GB"/>
        </w:rPr>
        <w:t>d</w:t>
      </w:r>
      <w:r w:rsidR="00D14037" w:rsidRPr="00B04967">
        <w:rPr>
          <w:lang w:val="en-GB"/>
        </w:rPr>
        <w:t xml:space="preserve"> the results for the steel business</w:t>
      </w:r>
      <w:r w:rsidR="008B38C2">
        <w:rPr>
          <w:lang w:val="en-GB"/>
        </w:rPr>
        <w:t>;</w:t>
      </w:r>
      <w:r w:rsidR="00D14037">
        <w:rPr>
          <w:lang w:val="en-GB"/>
        </w:rPr>
        <w:t xml:space="preserve"> </w:t>
      </w:r>
      <w:r w:rsidR="00935734">
        <w:rPr>
          <w:lang w:val="en-GB"/>
        </w:rPr>
        <w:t>MAT = minimum alternate tax</w:t>
      </w:r>
      <w:r>
        <w:rPr>
          <w:lang w:val="en-GB"/>
        </w:rPr>
        <w:t xml:space="preserve">; </w:t>
      </w:r>
      <w:r w:rsidR="00D14037">
        <w:rPr>
          <w:lang w:val="en-GB"/>
        </w:rPr>
        <w:t>EPS = earnings per share.</w:t>
      </w:r>
    </w:p>
    <w:p w14:paraId="1C6876A6" w14:textId="62B5C876" w:rsidR="00825E1E" w:rsidRPr="00B04967" w:rsidRDefault="00825E1E" w:rsidP="00825E1E">
      <w:pPr>
        <w:pStyle w:val="Footnote"/>
        <w:rPr>
          <w:lang w:val="en-GB"/>
        </w:rPr>
      </w:pPr>
      <w:r w:rsidRPr="00B04967">
        <w:rPr>
          <w:lang w:val="en-GB"/>
        </w:rPr>
        <w:t xml:space="preserve">Source: </w:t>
      </w:r>
      <w:r w:rsidR="00BC4693">
        <w:rPr>
          <w:lang w:val="en-GB"/>
        </w:rPr>
        <w:t xml:space="preserve">“Usha Martin Ltd.,” Moneycontrol.com, </w:t>
      </w:r>
      <w:r w:rsidR="00935734">
        <w:rPr>
          <w:lang w:val="en-GB"/>
        </w:rPr>
        <w:t>accessed January 28, 2021</w:t>
      </w:r>
      <w:r w:rsidR="00BC4693">
        <w:rPr>
          <w:lang w:val="en-GB"/>
        </w:rPr>
        <w:t xml:space="preserve">, </w:t>
      </w:r>
      <w:r w:rsidR="00787458" w:rsidRPr="00703AD3">
        <w:t>www.moneycontrol.com/financials/ushamartin/consolidated-profit-lossVI/um01#um01</w:t>
      </w:r>
      <w:r w:rsidR="00BC4693">
        <w:rPr>
          <w:lang w:val="en-GB"/>
        </w:rPr>
        <w:t>.</w:t>
      </w:r>
    </w:p>
    <w:p w14:paraId="5341D9D4" w14:textId="77777777" w:rsidR="00825E1E" w:rsidRPr="00B04967" w:rsidRDefault="00825E1E" w:rsidP="00825E1E">
      <w:pPr>
        <w:pStyle w:val="Footnote"/>
        <w:rPr>
          <w:lang w:val="en-GB"/>
        </w:rPr>
      </w:pPr>
      <w:r w:rsidRPr="00B04967">
        <w:rPr>
          <w:lang w:val="en-GB"/>
        </w:rPr>
        <w:br w:type="page"/>
      </w:r>
    </w:p>
    <w:p w14:paraId="7DAB1F9F" w14:textId="6D73B3B4" w:rsidR="00825E1E" w:rsidRPr="00B04967" w:rsidRDefault="00825E1E" w:rsidP="00825E1E">
      <w:pPr>
        <w:pStyle w:val="ExhibitHeading"/>
        <w:rPr>
          <w:lang w:val="en-GB"/>
        </w:rPr>
      </w:pPr>
      <w:r w:rsidRPr="00B04967">
        <w:rPr>
          <w:lang w:val="en-GB"/>
        </w:rPr>
        <w:lastRenderedPageBreak/>
        <w:t xml:space="preserve">Exhibit </w:t>
      </w:r>
      <w:r w:rsidR="009B0CED">
        <w:rPr>
          <w:lang w:val="en-GB"/>
        </w:rPr>
        <w:t>2</w:t>
      </w:r>
      <w:r w:rsidRPr="00B04967">
        <w:rPr>
          <w:lang w:val="en-GB"/>
        </w:rPr>
        <w:t xml:space="preserve"> (Continued)</w:t>
      </w:r>
    </w:p>
    <w:p w14:paraId="122B4795" w14:textId="77777777" w:rsidR="00825E1E" w:rsidRPr="00B04967" w:rsidRDefault="00825E1E" w:rsidP="00825E1E">
      <w:pPr>
        <w:rPr>
          <w:rFonts w:ascii="Arial" w:hAnsi="Arial" w:cs="Arial"/>
          <w:i/>
          <w:lang w:val="en-GB"/>
        </w:rPr>
      </w:pPr>
    </w:p>
    <w:p w14:paraId="6E9C7A78" w14:textId="45363B0A" w:rsidR="00825E1E" w:rsidRPr="00B04967" w:rsidRDefault="00825E1E" w:rsidP="00825E1E">
      <w:pPr>
        <w:pStyle w:val="Casehead2"/>
        <w:rPr>
          <w:color w:val="000000" w:themeColor="text1"/>
          <w:lang w:val="en-GB"/>
        </w:rPr>
      </w:pPr>
      <w:r w:rsidRPr="00B04967">
        <w:rPr>
          <w:lang w:val="en-GB"/>
        </w:rPr>
        <w:t xml:space="preserve">As at </w:t>
      </w:r>
      <w:r w:rsidR="002973E1">
        <w:rPr>
          <w:lang w:val="en-GB"/>
        </w:rPr>
        <w:t>January</w:t>
      </w:r>
      <w:r w:rsidR="002973E1" w:rsidRPr="00B04967">
        <w:rPr>
          <w:lang w:val="en-GB"/>
        </w:rPr>
        <w:t xml:space="preserve"> </w:t>
      </w:r>
      <w:r w:rsidRPr="00B04967">
        <w:rPr>
          <w:lang w:val="en-GB"/>
        </w:rPr>
        <w:t xml:space="preserve">1 of the various years, the </w:t>
      </w:r>
      <w:r w:rsidR="009674D9">
        <w:rPr>
          <w:color w:val="000000" w:themeColor="text1"/>
          <w:lang w:val="en-GB"/>
        </w:rPr>
        <w:t>USD to INR</w:t>
      </w:r>
      <w:r w:rsidR="002973E1">
        <w:rPr>
          <w:lang w:val="en-GB"/>
        </w:rPr>
        <w:t xml:space="preserve"> </w:t>
      </w:r>
      <w:r w:rsidRPr="00B04967">
        <w:rPr>
          <w:color w:val="000000" w:themeColor="text1"/>
          <w:lang w:val="en-GB"/>
        </w:rPr>
        <w:t>exchange rate was as follows</w:t>
      </w:r>
      <w:r w:rsidR="002973E1">
        <w:rPr>
          <w:color w:val="000000" w:themeColor="text1"/>
          <w:lang w:val="en-GB"/>
        </w:rPr>
        <w:t>:</w:t>
      </w:r>
    </w:p>
    <w:p w14:paraId="6AF23AB7" w14:textId="77777777" w:rsidR="00825E1E" w:rsidRPr="00B04967" w:rsidRDefault="00825E1E" w:rsidP="00825E1E">
      <w:pPr>
        <w:pStyle w:val="Casehead2"/>
        <w:rPr>
          <w:lang w:val="en-GB"/>
        </w:rPr>
      </w:pPr>
    </w:p>
    <w:tbl>
      <w:tblPr>
        <w:tblStyle w:val="TableGrid"/>
        <w:tblW w:w="0" w:type="auto"/>
        <w:tblLook w:val="04A0" w:firstRow="1" w:lastRow="0" w:firstColumn="1" w:lastColumn="0" w:noHBand="0" w:noVBand="1"/>
        <w:tblCaption w:val="USD to INR exchange rate"/>
        <w:tblDescription w:val="2005-2020"/>
      </w:tblPr>
      <w:tblGrid>
        <w:gridCol w:w="1696"/>
        <w:gridCol w:w="2694"/>
        <w:gridCol w:w="1701"/>
        <w:gridCol w:w="2693"/>
      </w:tblGrid>
      <w:tr w:rsidR="00825E1E" w:rsidRPr="00B04967" w14:paraId="1AA4DC75" w14:textId="77777777" w:rsidTr="00A65461">
        <w:tc>
          <w:tcPr>
            <w:tcW w:w="1696" w:type="dxa"/>
            <w:vAlign w:val="center"/>
          </w:tcPr>
          <w:p w14:paraId="04134855" w14:textId="6B14E98C" w:rsidR="00825E1E" w:rsidRPr="00A65461" w:rsidRDefault="00825E1E" w:rsidP="00A65461">
            <w:pPr>
              <w:jc w:val="center"/>
              <w:rPr>
                <w:rFonts w:ascii="Arial" w:hAnsi="Arial" w:cs="Arial"/>
                <w:b/>
                <w:bCs/>
                <w:lang w:val="en-GB"/>
              </w:rPr>
            </w:pPr>
            <w:r w:rsidRPr="00A65461">
              <w:rPr>
                <w:rFonts w:ascii="Arial" w:hAnsi="Arial" w:cs="Arial"/>
                <w:b/>
                <w:bCs/>
                <w:lang w:val="en-GB"/>
              </w:rPr>
              <w:t>Year</w:t>
            </w:r>
          </w:p>
        </w:tc>
        <w:tc>
          <w:tcPr>
            <w:tcW w:w="2694" w:type="dxa"/>
            <w:vAlign w:val="center"/>
          </w:tcPr>
          <w:p w14:paraId="72CA865E" w14:textId="4CBD214A" w:rsidR="00825E1E" w:rsidRPr="00A65461" w:rsidRDefault="00825E1E" w:rsidP="00A65461">
            <w:pPr>
              <w:jc w:val="center"/>
              <w:rPr>
                <w:rFonts w:ascii="Arial" w:hAnsi="Arial" w:cs="Arial"/>
                <w:b/>
                <w:bCs/>
                <w:lang w:val="en-GB"/>
              </w:rPr>
            </w:pPr>
            <w:r w:rsidRPr="00A65461">
              <w:rPr>
                <w:rFonts w:ascii="Arial" w:hAnsi="Arial" w:cs="Arial"/>
                <w:b/>
                <w:bCs/>
                <w:lang w:val="en-GB"/>
              </w:rPr>
              <w:t xml:space="preserve">Exchange </w:t>
            </w:r>
            <w:r w:rsidR="00C77F83">
              <w:rPr>
                <w:rFonts w:ascii="Arial" w:hAnsi="Arial" w:cs="Arial"/>
                <w:b/>
                <w:bCs/>
                <w:lang w:val="en-GB"/>
              </w:rPr>
              <w:t xml:space="preserve">Rate </w:t>
            </w:r>
            <w:r w:rsidRPr="00A65461">
              <w:rPr>
                <w:rFonts w:ascii="Arial" w:hAnsi="Arial" w:cs="Arial"/>
                <w:b/>
                <w:bCs/>
                <w:lang w:val="en-GB"/>
              </w:rPr>
              <w:t>(U</w:t>
            </w:r>
            <w:r w:rsidR="009674D9">
              <w:rPr>
                <w:rFonts w:ascii="Arial" w:hAnsi="Arial" w:cs="Arial"/>
                <w:b/>
                <w:bCs/>
                <w:lang w:val="en-GB"/>
              </w:rPr>
              <w:t>SD/</w:t>
            </w:r>
            <w:r w:rsidRPr="00A65461">
              <w:rPr>
                <w:rFonts w:ascii="Arial" w:hAnsi="Arial" w:cs="Arial"/>
                <w:b/>
                <w:bCs/>
                <w:lang w:val="en-GB"/>
              </w:rPr>
              <w:t>INR)</w:t>
            </w:r>
          </w:p>
        </w:tc>
        <w:tc>
          <w:tcPr>
            <w:tcW w:w="1701" w:type="dxa"/>
            <w:vAlign w:val="center"/>
          </w:tcPr>
          <w:p w14:paraId="5E91CBC4" w14:textId="77777777" w:rsidR="00825E1E" w:rsidRPr="00A65461" w:rsidRDefault="00825E1E" w:rsidP="00A65461">
            <w:pPr>
              <w:jc w:val="center"/>
              <w:rPr>
                <w:rFonts w:ascii="Arial" w:hAnsi="Arial" w:cs="Arial"/>
                <w:b/>
                <w:bCs/>
                <w:lang w:val="en-GB"/>
              </w:rPr>
            </w:pPr>
            <w:r w:rsidRPr="00A65461">
              <w:rPr>
                <w:rFonts w:ascii="Arial" w:hAnsi="Arial" w:cs="Arial"/>
                <w:b/>
                <w:bCs/>
                <w:lang w:val="en-GB"/>
              </w:rPr>
              <w:t>Year</w:t>
            </w:r>
          </w:p>
        </w:tc>
        <w:tc>
          <w:tcPr>
            <w:tcW w:w="2693" w:type="dxa"/>
            <w:vAlign w:val="center"/>
          </w:tcPr>
          <w:p w14:paraId="1A4315B7" w14:textId="7FCFB577" w:rsidR="00825E1E" w:rsidRPr="00A65461" w:rsidRDefault="00825E1E" w:rsidP="00A65461">
            <w:pPr>
              <w:jc w:val="center"/>
              <w:rPr>
                <w:rFonts w:ascii="Arial" w:hAnsi="Arial" w:cs="Arial"/>
                <w:b/>
                <w:bCs/>
                <w:lang w:val="en-GB"/>
              </w:rPr>
            </w:pPr>
            <w:r w:rsidRPr="00A65461">
              <w:rPr>
                <w:rFonts w:ascii="Arial" w:hAnsi="Arial" w:cs="Arial"/>
                <w:b/>
                <w:bCs/>
                <w:lang w:val="en-GB"/>
              </w:rPr>
              <w:t xml:space="preserve">Exchange </w:t>
            </w:r>
            <w:r w:rsidR="0090438B">
              <w:rPr>
                <w:rFonts w:ascii="Arial" w:hAnsi="Arial" w:cs="Arial"/>
                <w:b/>
                <w:bCs/>
                <w:lang w:val="en-GB"/>
              </w:rPr>
              <w:t>Rate</w:t>
            </w:r>
            <w:r w:rsidR="0090438B" w:rsidRPr="00A65461">
              <w:rPr>
                <w:rFonts w:ascii="Arial" w:hAnsi="Arial" w:cs="Arial"/>
                <w:b/>
                <w:bCs/>
                <w:lang w:val="en-GB"/>
              </w:rPr>
              <w:t xml:space="preserve"> </w:t>
            </w:r>
            <w:r w:rsidRPr="00A65461">
              <w:rPr>
                <w:rFonts w:ascii="Arial" w:hAnsi="Arial" w:cs="Arial"/>
                <w:b/>
                <w:bCs/>
                <w:lang w:val="en-GB"/>
              </w:rPr>
              <w:t>(US</w:t>
            </w:r>
            <w:r w:rsidR="0090438B">
              <w:rPr>
                <w:rFonts w:ascii="Arial" w:hAnsi="Arial" w:cs="Arial"/>
                <w:b/>
                <w:bCs/>
                <w:lang w:val="en-GB"/>
              </w:rPr>
              <w:t>D</w:t>
            </w:r>
            <w:r w:rsidRPr="00A65461">
              <w:rPr>
                <w:rFonts w:ascii="Arial" w:hAnsi="Arial" w:cs="Arial"/>
                <w:b/>
                <w:bCs/>
                <w:lang w:val="en-GB"/>
              </w:rPr>
              <w:t>/INR)</w:t>
            </w:r>
          </w:p>
        </w:tc>
      </w:tr>
      <w:tr w:rsidR="00825E1E" w:rsidRPr="00B04967" w14:paraId="2BB66E7D" w14:textId="77777777" w:rsidTr="00A65461">
        <w:tc>
          <w:tcPr>
            <w:tcW w:w="1696" w:type="dxa"/>
          </w:tcPr>
          <w:p w14:paraId="41AA3937" w14:textId="77777777" w:rsidR="00825E1E" w:rsidRPr="00B04967" w:rsidRDefault="00825E1E" w:rsidP="00D92414">
            <w:pPr>
              <w:rPr>
                <w:rFonts w:ascii="Arial" w:hAnsi="Arial" w:cs="Arial"/>
                <w:lang w:val="en-GB"/>
              </w:rPr>
            </w:pPr>
            <w:r w:rsidRPr="00B04967">
              <w:rPr>
                <w:rFonts w:ascii="Arial" w:hAnsi="Arial" w:cs="Arial"/>
                <w:lang w:val="en-GB"/>
              </w:rPr>
              <w:t>2005 (March 28)</w:t>
            </w:r>
          </w:p>
        </w:tc>
        <w:tc>
          <w:tcPr>
            <w:tcW w:w="2694" w:type="dxa"/>
          </w:tcPr>
          <w:p w14:paraId="3A61BC1C" w14:textId="77777777" w:rsidR="00825E1E" w:rsidRPr="00B04967" w:rsidRDefault="00825E1E" w:rsidP="00A65461">
            <w:pPr>
              <w:jc w:val="right"/>
              <w:rPr>
                <w:rFonts w:ascii="Arial" w:hAnsi="Arial" w:cs="Arial"/>
                <w:lang w:val="en-GB"/>
              </w:rPr>
            </w:pPr>
            <w:r w:rsidRPr="00B04967">
              <w:rPr>
                <w:rFonts w:ascii="Arial" w:hAnsi="Arial" w:cs="Arial"/>
                <w:lang w:val="en-GB"/>
              </w:rPr>
              <w:t>43.70</w:t>
            </w:r>
          </w:p>
        </w:tc>
        <w:tc>
          <w:tcPr>
            <w:tcW w:w="1701" w:type="dxa"/>
          </w:tcPr>
          <w:p w14:paraId="527A62CD" w14:textId="77777777" w:rsidR="00825E1E" w:rsidRPr="00B04967" w:rsidRDefault="00825E1E" w:rsidP="00A65461">
            <w:pPr>
              <w:jc w:val="right"/>
              <w:rPr>
                <w:rFonts w:ascii="Arial" w:hAnsi="Arial" w:cs="Arial"/>
                <w:lang w:val="en-GB"/>
              </w:rPr>
            </w:pPr>
            <w:r w:rsidRPr="00B04967">
              <w:rPr>
                <w:rFonts w:ascii="Arial" w:hAnsi="Arial" w:cs="Arial"/>
                <w:lang w:val="en-GB"/>
              </w:rPr>
              <w:t>2014</w:t>
            </w:r>
          </w:p>
        </w:tc>
        <w:tc>
          <w:tcPr>
            <w:tcW w:w="2693" w:type="dxa"/>
          </w:tcPr>
          <w:p w14:paraId="3C2D2A24" w14:textId="77777777" w:rsidR="00825E1E" w:rsidRPr="00B04967" w:rsidRDefault="00825E1E" w:rsidP="00A65461">
            <w:pPr>
              <w:jc w:val="right"/>
              <w:rPr>
                <w:rFonts w:ascii="Arial" w:hAnsi="Arial" w:cs="Arial"/>
                <w:lang w:val="en-GB"/>
              </w:rPr>
            </w:pPr>
            <w:r w:rsidRPr="00B04967">
              <w:rPr>
                <w:rFonts w:ascii="Arial" w:hAnsi="Arial" w:cs="Arial"/>
                <w:lang w:val="en-GB"/>
              </w:rPr>
              <w:t xml:space="preserve">62.01 </w:t>
            </w:r>
          </w:p>
        </w:tc>
      </w:tr>
      <w:tr w:rsidR="00825E1E" w:rsidRPr="00B04967" w14:paraId="14739795" w14:textId="77777777" w:rsidTr="00A65461">
        <w:tc>
          <w:tcPr>
            <w:tcW w:w="1696" w:type="dxa"/>
          </w:tcPr>
          <w:p w14:paraId="10B968DC" w14:textId="77777777" w:rsidR="00825E1E" w:rsidRPr="00B04967" w:rsidRDefault="00825E1E" w:rsidP="00D92414">
            <w:pPr>
              <w:rPr>
                <w:rFonts w:ascii="Arial" w:hAnsi="Arial" w:cs="Arial"/>
                <w:lang w:val="en-GB"/>
              </w:rPr>
            </w:pPr>
            <w:r w:rsidRPr="00B04967">
              <w:rPr>
                <w:rFonts w:ascii="Arial" w:hAnsi="Arial" w:cs="Arial"/>
                <w:lang w:val="en-GB"/>
              </w:rPr>
              <w:t>2008</w:t>
            </w:r>
          </w:p>
        </w:tc>
        <w:tc>
          <w:tcPr>
            <w:tcW w:w="2694" w:type="dxa"/>
          </w:tcPr>
          <w:p w14:paraId="33F88349" w14:textId="77777777" w:rsidR="00825E1E" w:rsidRPr="00B04967" w:rsidRDefault="00825E1E" w:rsidP="00A65461">
            <w:pPr>
              <w:jc w:val="right"/>
              <w:rPr>
                <w:rFonts w:ascii="Arial" w:hAnsi="Arial" w:cs="Arial"/>
                <w:lang w:val="en-GB"/>
              </w:rPr>
            </w:pPr>
            <w:r w:rsidRPr="00B04967">
              <w:rPr>
                <w:rFonts w:ascii="Arial" w:hAnsi="Arial" w:cs="Arial"/>
                <w:lang w:val="en-GB"/>
              </w:rPr>
              <w:t>39.28</w:t>
            </w:r>
          </w:p>
        </w:tc>
        <w:tc>
          <w:tcPr>
            <w:tcW w:w="1701" w:type="dxa"/>
          </w:tcPr>
          <w:p w14:paraId="5FD1464F" w14:textId="77777777" w:rsidR="00825E1E" w:rsidRPr="00B04967" w:rsidRDefault="00825E1E" w:rsidP="00A65461">
            <w:pPr>
              <w:jc w:val="right"/>
              <w:rPr>
                <w:rFonts w:ascii="Arial" w:hAnsi="Arial" w:cs="Arial"/>
                <w:lang w:val="en-GB"/>
              </w:rPr>
            </w:pPr>
            <w:r w:rsidRPr="00B04967">
              <w:rPr>
                <w:rFonts w:ascii="Arial" w:hAnsi="Arial" w:cs="Arial"/>
                <w:lang w:val="en-GB"/>
              </w:rPr>
              <w:t>2015</w:t>
            </w:r>
          </w:p>
        </w:tc>
        <w:tc>
          <w:tcPr>
            <w:tcW w:w="2693" w:type="dxa"/>
          </w:tcPr>
          <w:p w14:paraId="7A8326C7" w14:textId="77777777" w:rsidR="00825E1E" w:rsidRPr="00B04967" w:rsidRDefault="00825E1E" w:rsidP="00A65461">
            <w:pPr>
              <w:jc w:val="right"/>
              <w:rPr>
                <w:rFonts w:ascii="Arial" w:hAnsi="Arial" w:cs="Arial"/>
                <w:lang w:val="en-GB"/>
              </w:rPr>
            </w:pPr>
            <w:r w:rsidRPr="00B04967">
              <w:rPr>
                <w:rFonts w:ascii="Arial" w:hAnsi="Arial" w:cs="Arial"/>
                <w:lang w:val="en-GB"/>
              </w:rPr>
              <w:t>63.34</w:t>
            </w:r>
          </w:p>
        </w:tc>
      </w:tr>
      <w:tr w:rsidR="00825E1E" w:rsidRPr="00B04967" w14:paraId="640DB4B6" w14:textId="77777777" w:rsidTr="00A65461">
        <w:tc>
          <w:tcPr>
            <w:tcW w:w="1696" w:type="dxa"/>
          </w:tcPr>
          <w:p w14:paraId="318AE933" w14:textId="77777777" w:rsidR="00825E1E" w:rsidRPr="00B04967" w:rsidRDefault="00825E1E" w:rsidP="00D92414">
            <w:pPr>
              <w:rPr>
                <w:rFonts w:ascii="Arial" w:hAnsi="Arial" w:cs="Arial"/>
                <w:lang w:val="en-GB"/>
              </w:rPr>
            </w:pPr>
            <w:r w:rsidRPr="00B04967">
              <w:rPr>
                <w:rFonts w:ascii="Arial" w:hAnsi="Arial" w:cs="Arial"/>
                <w:lang w:val="en-GB"/>
              </w:rPr>
              <w:t>2009</w:t>
            </w:r>
          </w:p>
        </w:tc>
        <w:tc>
          <w:tcPr>
            <w:tcW w:w="2694" w:type="dxa"/>
          </w:tcPr>
          <w:p w14:paraId="39211A9A" w14:textId="77777777" w:rsidR="00825E1E" w:rsidRPr="00B04967" w:rsidRDefault="00825E1E" w:rsidP="00A65461">
            <w:pPr>
              <w:jc w:val="right"/>
              <w:rPr>
                <w:rFonts w:ascii="Arial" w:hAnsi="Arial" w:cs="Arial"/>
                <w:lang w:val="en-GB"/>
              </w:rPr>
            </w:pPr>
            <w:r w:rsidRPr="00B04967">
              <w:rPr>
                <w:rFonts w:ascii="Arial" w:hAnsi="Arial" w:cs="Arial"/>
                <w:lang w:val="en-GB"/>
              </w:rPr>
              <w:t>48.25</w:t>
            </w:r>
          </w:p>
        </w:tc>
        <w:tc>
          <w:tcPr>
            <w:tcW w:w="1701" w:type="dxa"/>
          </w:tcPr>
          <w:p w14:paraId="46064DF4" w14:textId="77777777" w:rsidR="00825E1E" w:rsidRPr="00B04967" w:rsidRDefault="00825E1E" w:rsidP="00A65461">
            <w:pPr>
              <w:jc w:val="right"/>
              <w:rPr>
                <w:rFonts w:ascii="Arial" w:hAnsi="Arial" w:cs="Arial"/>
                <w:lang w:val="en-GB"/>
              </w:rPr>
            </w:pPr>
            <w:r w:rsidRPr="00B04967">
              <w:rPr>
                <w:rFonts w:ascii="Arial" w:hAnsi="Arial" w:cs="Arial"/>
                <w:lang w:val="en-GB"/>
              </w:rPr>
              <w:t>2016</w:t>
            </w:r>
          </w:p>
        </w:tc>
        <w:tc>
          <w:tcPr>
            <w:tcW w:w="2693" w:type="dxa"/>
          </w:tcPr>
          <w:p w14:paraId="7AE95278" w14:textId="77777777" w:rsidR="00825E1E" w:rsidRPr="00B04967" w:rsidRDefault="00825E1E" w:rsidP="00A65461">
            <w:pPr>
              <w:jc w:val="right"/>
              <w:rPr>
                <w:rFonts w:ascii="Arial" w:hAnsi="Arial" w:cs="Arial"/>
                <w:lang w:val="en-GB"/>
              </w:rPr>
            </w:pPr>
            <w:r w:rsidRPr="00B04967">
              <w:rPr>
                <w:rFonts w:ascii="Arial" w:hAnsi="Arial" w:cs="Arial"/>
                <w:lang w:val="en-GB"/>
              </w:rPr>
              <w:t>66.28</w:t>
            </w:r>
          </w:p>
        </w:tc>
      </w:tr>
      <w:tr w:rsidR="00825E1E" w:rsidRPr="00B04967" w14:paraId="401FF759" w14:textId="77777777" w:rsidTr="00A65461">
        <w:tc>
          <w:tcPr>
            <w:tcW w:w="1696" w:type="dxa"/>
          </w:tcPr>
          <w:p w14:paraId="7CDA9257" w14:textId="77777777" w:rsidR="00825E1E" w:rsidRPr="00B04967" w:rsidRDefault="00825E1E" w:rsidP="00D92414">
            <w:pPr>
              <w:rPr>
                <w:rFonts w:ascii="Arial" w:hAnsi="Arial" w:cs="Arial"/>
                <w:lang w:val="en-GB"/>
              </w:rPr>
            </w:pPr>
            <w:r w:rsidRPr="00B04967">
              <w:rPr>
                <w:rFonts w:ascii="Arial" w:hAnsi="Arial" w:cs="Arial"/>
                <w:lang w:val="en-GB"/>
              </w:rPr>
              <w:t>2010</w:t>
            </w:r>
          </w:p>
        </w:tc>
        <w:tc>
          <w:tcPr>
            <w:tcW w:w="2694" w:type="dxa"/>
          </w:tcPr>
          <w:p w14:paraId="682D06D8" w14:textId="77777777" w:rsidR="00825E1E" w:rsidRPr="00B04967" w:rsidRDefault="00825E1E" w:rsidP="00A65461">
            <w:pPr>
              <w:jc w:val="right"/>
              <w:rPr>
                <w:rFonts w:ascii="Arial" w:hAnsi="Arial" w:cs="Arial"/>
                <w:lang w:val="en-GB"/>
              </w:rPr>
            </w:pPr>
            <w:r w:rsidRPr="00B04967">
              <w:rPr>
                <w:rFonts w:ascii="Arial" w:hAnsi="Arial" w:cs="Arial"/>
                <w:lang w:val="en-GB"/>
              </w:rPr>
              <w:t>46.52</w:t>
            </w:r>
          </w:p>
        </w:tc>
        <w:tc>
          <w:tcPr>
            <w:tcW w:w="1701" w:type="dxa"/>
          </w:tcPr>
          <w:p w14:paraId="226C7465" w14:textId="77777777" w:rsidR="00825E1E" w:rsidRPr="00B04967" w:rsidRDefault="00825E1E" w:rsidP="00A65461">
            <w:pPr>
              <w:jc w:val="right"/>
              <w:rPr>
                <w:rFonts w:ascii="Arial" w:hAnsi="Arial" w:cs="Arial"/>
                <w:lang w:val="en-GB"/>
              </w:rPr>
            </w:pPr>
            <w:r w:rsidRPr="00B04967">
              <w:rPr>
                <w:rFonts w:ascii="Arial" w:hAnsi="Arial" w:cs="Arial"/>
                <w:lang w:val="en-GB"/>
              </w:rPr>
              <w:t>2017</w:t>
            </w:r>
          </w:p>
        </w:tc>
        <w:tc>
          <w:tcPr>
            <w:tcW w:w="2693" w:type="dxa"/>
          </w:tcPr>
          <w:p w14:paraId="35BA1E0F" w14:textId="77777777" w:rsidR="00825E1E" w:rsidRPr="00B04967" w:rsidRDefault="00825E1E" w:rsidP="00A65461">
            <w:pPr>
              <w:jc w:val="right"/>
              <w:rPr>
                <w:rFonts w:ascii="Arial" w:hAnsi="Arial" w:cs="Arial"/>
                <w:lang w:val="en-GB"/>
              </w:rPr>
            </w:pPr>
            <w:r w:rsidRPr="00B04967">
              <w:rPr>
                <w:rFonts w:ascii="Arial" w:hAnsi="Arial" w:cs="Arial"/>
                <w:lang w:val="en-GB"/>
              </w:rPr>
              <w:t>68.01</w:t>
            </w:r>
          </w:p>
        </w:tc>
      </w:tr>
      <w:tr w:rsidR="00825E1E" w:rsidRPr="00B04967" w14:paraId="0E69F06F" w14:textId="77777777" w:rsidTr="00A65461">
        <w:tc>
          <w:tcPr>
            <w:tcW w:w="1696" w:type="dxa"/>
          </w:tcPr>
          <w:p w14:paraId="2560D944" w14:textId="77777777" w:rsidR="00825E1E" w:rsidRPr="00B04967" w:rsidRDefault="00825E1E" w:rsidP="00D92414">
            <w:pPr>
              <w:rPr>
                <w:rFonts w:ascii="Arial" w:hAnsi="Arial" w:cs="Arial"/>
                <w:lang w:val="en-GB"/>
              </w:rPr>
            </w:pPr>
            <w:r w:rsidRPr="00B04967">
              <w:rPr>
                <w:rFonts w:ascii="Arial" w:hAnsi="Arial" w:cs="Arial"/>
                <w:lang w:val="en-GB"/>
              </w:rPr>
              <w:t>2011</w:t>
            </w:r>
          </w:p>
        </w:tc>
        <w:tc>
          <w:tcPr>
            <w:tcW w:w="2694" w:type="dxa"/>
          </w:tcPr>
          <w:p w14:paraId="0F7BC792" w14:textId="77777777" w:rsidR="00825E1E" w:rsidRPr="00B04967" w:rsidRDefault="00825E1E" w:rsidP="00A65461">
            <w:pPr>
              <w:jc w:val="right"/>
              <w:rPr>
                <w:rFonts w:ascii="Arial" w:hAnsi="Arial" w:cs="Arial"/>
                <w:lang w:val="en-GB"/>
              </w:rPr>
            </w:pPr>
            <w:r w:rsidRPr="00B04967">
              <w:rPr>
                <w:rFonts w:ascii="Arial" w:hAnsi="Arial" w:cs="Arial"/>
                <w:lang w:val="en-GB"/>
              </w:rPr>
              <w:t>44.83</w:t>
            </w:r>
          </w:p>
        </w:tc>
        <w:tc>
          <w:tcPr>
            <w:tcW w:w="1701" w:type="dxa"/>
          </w:tcPr>
          <w:p w14:paraId="1AA3D28E" w14:textId="77777777" w:rsidR="00825E1E" w:rsidRPr="00B04967" w:rsidRDefault="00825E1E" w:rsidP="00A65461">
            <w:pPr>
              <w:jc w:val="right"/>
              <w:rPr>
                <w:rFonts w:ascii="Arial" w:hAnsi="Arial" w:cs="Arial"/>
                <w:lang w:val="en-GB"/>
              </w:rPr>
            </w:pPr>
            <w:r w:rsidRPr="00B04967">
              <w:rPr>
                <w:rFonts w:ascii="Arial" w:hAnsi="Arial" w:cs="Arial"/>
                <w:lang w:val="en-GB"/>
              </w:rPr>
              <w:t>2018</w:t>
            </w:r>
          </w:p>
        </w:tc>
        <w:tc>
          <w:tcPr>
            <w:tcW w:w="2693" w:type="dxa"/>
          </w:tcPr>
          <w:p w14:paraId="19D15300" w14:textId="77777777" w:rsidR="00825E1E" w:rsidRPr="00B04967" w:rsidRDefault="00825E1E" w:rsidP="00A65461">
            <w:pPr>
              <w:jc w:val="right"/>
              <w:rPr>
                <w:rFonts w:ascii="Arial" w:hAnsi="Arial" w:cs="Arial"/>
                <w:lang w:val="en-GB"/>
              </w:rPr>
            </w:pPr>
            <w:r w:rsidRPr="00B04967">
              <w:rPr>
                <w:rFonts w:ascii="Arial" w:hAnsi="Arial" w:cs="Arial"/>
                <w:lang w:val="en-GB"/>
              </w:rPr>
              <w:t>63.44</w:t>
            </w:r>
          </w:p>
        </w:tc>
      </w:tr>
      <w:tr w:rsidR="00825E1E" w:rsidRPr="00B04967" w14:paraId="47C36389" w14:textId="77777777" w:rsidTr="00A65461">
        <w:tc>
          <w:tcPr>
            <w:tcW w:w="1696" w:type="dxa"/>
          </w:tcPr>
          <w:p w14:paraId="1139861A" w14:textId="77777777" w:rsidR="00825E1E" w:rsidRPr="00B04967" w:rsidRDefault="00825E1E" w:rsidP="00D92414">
            <w:pPr>
              <w:rPr>
                <w:rFonts w:ascii="Arial" w:hAnsi="Arial" w:cs="Arial"/>
                <w:lang w:val="en-GB"/>
              </w:rPr>
            </w:pPr>
            <w:r w:rsidRPr="00B04967">
              <w:rPr>
                <w:rFonts w:ascii="Arial" w:hAnsi="Arial" w:cs="Arial"/>
                <w:lang w:val="en-GB"/>
              </w:rPr>
              <w:t>2012</w:t>
            </w:r>
          </w:p>
        </w:tc>
        <w:tc>
          <w:tcPr>
            <w:tcW w:w="2694" w:type="dxa"/>
          </w:tcPr>
          <w:p w14:paraId="66DA5AA0" w14:textId="77777777" w:rsidR="00825E1E" w:rsidRPr="00B04967" w:rsidRDefault="00825E1E" w:rsidP="00A65461">
            <w:pPr>
              <w:jc w:val="right"/>
              <w:rPr>
                <w:rFonts w:ascii="Arial" w:hAnsi="Arial" w:cs="Arial"/>
                <w:lang w:val="en-GB"/>
              </w:rPr>
            </w:pPr>
            <w:r w:rsidRPr="00B04967">
              <w:rPr>
                <w:rFonts w:ascii="Arial" w:hAnsi="Arial" w:cs="Arial"/>
                <w:lang w:val="en-GB"/>
              </w:rPr>
              <w:t>52.89</w:t>
            </w:r>
          </w:p>
        </w:tc>
        <w:tc>
          <w:tcPr>
            <w:tcW w:w="1701" w:type="dxa"/>
          </w:tcPr>
          <w:p w14:paraId="61D39B64" w14:textId="77777777" w:rsidR="00825E1E" w:rsidRPr="00B04967" w:rsidRDefault="00825E1E" w:rsidP="00A65461">
            <w:pPr>
              <w:jc w:val="right"/>
              <w:rPr>
                <w:rFonts w:ascii="Arial" w:hAnsi="Arial" w:cs="Arial"/>
                <w:lang w:val="en-GB"/>
              </w:rPr>
            </w:pPr>
            <w:r w:rsidRPr="00B04967">
              <w:rPr>
                <w:rFonts w:ascii="Arial" w:hAnsi="Arial" w:cs="Arial"/>
                <w:lang w:val="en-GB"/>
              </w:rPr>
              <w:t>2019</w:t>
            </w:r>
          </w:p>
        </w:tc>
        <w:tc>
          <w:tcPr>
            <w:tcW w:w="2693" w:type="dxa"/>
          </w:tcPr>
          <w:p w14:paraId="0DFD416B" w14:textId="77777777" w:rsidR="00825E1E" w:rsidRPr="00B04967" w:rsidRDefault="00825E1E" w:rsidP="00A65461">
            <w:pPr>
              <w:jc w:val="right"/>
              <w:rPr>
                <w:rFonts w:ascii="Arial" w:hAnsi="Arial" w:cs="Arial"/>
                <w:lang w:val="en-GB"/>
              </w:rPr>
            </w:pPr>
            <w:r w:rsidRPr="00B04967">
              <w:rPr>
                <w:rFonts w:ascii="Arial" w:hAnsi="Arial" w:cs="Arial"/>
                <w:lang w:val="en-GB"/>
              </w:rPr>
              <w:t>69.89</w:t>
            </w:r>
          </w:p>
        </w:tc>
      </w:tr>
      <w:tr w:rsidR="00825E1E" w:rsidRPr="00B04967" w14:paraId="0CA493C1" w14:textId="77777777" w:rsidTr="00A65461">
        <w:tc>
          <w:tcPr>
            <w:tcW w:w="1696" w:type="dxa"/>
          </w:tcPr>
          <w:p w14:paraId="2DCE6B6B" w14:textId="77777777" w:rsidR="00825E1E" w:rsidRPr="00B04967" w:rsidRDefault="00825E1E" w:rsidP="00D92414">
            <w:pPr>
              <w:rPr>
                <w:rFonts w:ascii="Arial" w:hAnsi="Arial" w:cs="Arial"/>
                <w:lang w:val="en-GB"/>
              </w:rPr>
            </w:pPr>
            <w:r w:rsidRPr="00B04967">
              <w:rPr>
                <w:rFonts w:ascii="Arial" w:hAnsi="Arial" w:cs="Arial"/>
                <w:lang w:val="en-GB"/>
              </w:rPr>
              <w:t>2013</w:t>
            </w:r>
          </w:p>
        </w:tc>
        <w:tc>
          <w:tcPr>
            <w:tcW w:w="2694" w:type="dxa"/>
          </w:tcPr>
          <w:p w14:paraId="62FBA9E2" w14:textId="77777777" w:rsidR="00825E1E" w:rsidRPr="00B04967" w:rsidRDefault="00825E1E" w:rsidP="00A65461">
            <w:pPr>
              <w:jc w:val="right"/>
              <w:rPr>
                <w:rFonts w:ascii="Arial" w:hAnsi="Arial" w:cs="Arial"/>
                <w:lang w:val="en-GB"/>
              </w:rPr>
            </w:pPr>
            <w:r w:rsidRPr="00B04967">
              <w:rPr>
                <w:rFonts w:ascii="Arial" w:hAnsi="Arial" w:cs="Arial"/>
                <w:lang w:val="en-GB"/>
              </w:rPr>
              <w:t>54.65</w:t>
            </w:r>
          </w:p>
        </w:tc>
        <w:tc>
          <w:tcPr>
            <w:tcW w:w="1701" w:type="dxa"/>
          </w:tcPr>
          <w:p w14:paraId="6BB11DEA" w14:textId="77777777" w:rsidR="00825E1E" w:rsidRPr="00B04967" w:rsidRDefault="00825E1E" w:rsidP="00A65461">
            <w:pPr>
              <w:jc w:val="right"/>
              <w:rPr>
                <w:rFonts w:ascii="Arial" w:hAnsi="Arial" w:cs="Arial"/>
                <w:lang w:val="en-GB"/>
              </w:rPr>
            </w:pPr>
            <w:r w:rsidRPr="00B04967">
              <w:rPr>
                <w:rFonts w:ascii="Arial" w:hAnsi="Arial" w:cs="Arial"/>
                <w:lang w:val="en-GB"/>
              </w:rPr>
              <w:t>2020</w:t>
            </w:r>
          </w:p>
        </w:tc>
        <w:tc>
          <w:tcPr>
            <w:tcW w:w="2693" w:type="dxa"/>
          </w:tcPr>
          <w:p w14:paraId="04D5798C" w14:textId="77777777" w:rsidR="00825E1E" w:rsidRPr="00B04967" w:rsidRDefault="00825E1E" w:rsidP="00A65461">
            <w:pPr>
              <w:jc w:val="right"/>
              <w:rPr>
                <w:rFonts w:ascii="Arial" w:hAnsi="Arial" w:cs="Arial"/>
                <w:lang w:val="en-GB"/>
              </w:rPr>
            </w:pPr>
            <w:r w:rsidRPr="00B04967">
              <w:rPr>
                <w:rFonts w:ascii="Arial" w:hAnsi="Arial" w:cs="Arial"/>
                <w:lang w:val="en-GB"/>
              </w:rPr>
              <w:t>71.32</w:t>
            </w:r>
          </w:p>
        </w:tc>
      </w:tr>
    </w:tbl>
    <w:p w14:paraId="20C506D1" w14:textId="77777777" w:rsidR="00825E1E" w:rsidRPr="00B04967" w:rsidRDefault="00825E1E" w:rsidP="00825E1E">
      <w:pPr>
        <w:rPr>
          <w:rFonts w:ascii="Arial" w:hAnsi="Arial" w:cs="Arial"/>
          <w:lang w:val="en-GB"/>
        </w:rPr>
      </w:pPr>
    </w:p>
    <w:p w14:paraId="41A34024" w14:textId="08838C2D" w:rsidR="00825E1E" w:rsidRPr="00B04967" w:rsidRDefault="00D83242" w:rsidP="00825E1E">
      <w:pPr>
        <w:pStyle w:val="Footnote"/>
        <w:rPr>
          <w:lang w:val="en-GB"/>
        </w:rPr>
      </w:pPr>
      <w:r>
        <w:rPr>
          <w:lang w:val="en-GB"/>
        </w:rPr>
        <w:t>Note</w:t>
      </w:r>
      <w:r w:rsidR="00825E1E" w:rsidRPr="00B04967">
        <w:rPr>
          <w:lang w:val="en-GB"/>
        </w:rPr>
        <w:t>: Exchange rates are approximate</w:t>
      </w:r>
      <w:r w:rsidR="0090438B">
        <w:rPr>
          <w:lang w:val="en-GB"/>
        </w:rPr>
        <w:t xml:space="preserve"> and </w:t>
      </w:r>
      <w:r w:rsidR="00825E1E" w:rsidRPr="00B04967">
        <w:rPr>
          <w:lang w:val="en-GB"/>
        </w:rPr>
        <w:t xml:space="preserve">based on historical exchange </w:t>
      </w:r>
      <w:r w:rsidR="0090438B">
        <w:rPr>
          <w:lang w:val="en-GB"/>
        </w:rPr>
        <w:t>rates</w:t>
      </w:r>
      <w:r w:rsidR="00825E1E" w:rsidRPr="00B04967">
        <w:rPr>
          <w:lang w:val="en-GB"/>
        </w:rPr>
        <w:t xml:space="preserve"> for the date closest to </w:t>
      </w:r>
      <w:r w:rsidR="0090438B">
        <w:rPr>
          <w:lang w:val="en-GB"/>
        </w:rPr>
        <w:t>January</w:t>
      </w:r>
      <w:r w:rsidR="00825E1E" w:rsidRPr="00B04967">
        <w:rPr>
          <w:lang w:val="en-GB"/>
        </w:rPr>
        <w:t xml:space="preserve"> 1 of the year </w:t>
      </w:r>
      <w:r w:rsidR="0090438B">
        <w:rPr>
          <w:lang w:val="en-GB"/>
        </w:rPr>
        <w:t>indicated</w:t>
      </w:r>
      <w:r w:rsidR="00825E1E" w:rsidRPr="00B04967">
        <w:rPr>
          <w:lang w:val="en-GB"/>
        </w:rPr>
        <w:t>.</w:t>
      </w:r>
    </w:p>
    <w:p w14:paraId="2EE0721B" w14:textId="72D841F0" w:rsidR="00825E1E" w:rsidRPr="00B04967" w:rsidRDefault="00825E1E" w:rsidP="00825E1E">
      <w:pPr>
        <w:pStyle w:val="Footnote"/>
        <w:rPr>
          <w:lang w:val="en-GB"/>
        </w:rPr>
      </w:pPr>
      <w:r w:rsidRPr="00B04967">
        <w:rPr>
          <w:lang w:val="en-GB"/>
        </w:rPr>
        <w:t xml:space="preserve">Source: </w:t>
      </w:r>
      <w:r w:rsidR="002470FA">
        <w:rPr>
          <w:lang w:val="en-GB"/>
        </w:rPr>
        <w:t>“</w:t>
      </w:r>
      <w:r w:rsidR="002470FA" w:rsidRPr="002470FA">
        <w:rPr>
          <w:lang w:val="en-GB"/>
        </w:rPr>
        <w:t>U.S. Dollar to Indian Rupee Spot Exchange Rates for 2005 to 2021 from the Bank of England</w:t>
      </w:r>
      <w:r w:rsidR="002470FA">
        <w:rPr>
          <w:lang w:val="en-GB"/>
        </w:rPr>
        <w:t xml:space="preserve">,” Pound Sterling Live, accessed </w:t>
      </w:r>
      <w:r w:rsidR="00935734">
        <w:rPr>
          <w:lang w:val="en-GB"/>
        </w:rPr>
        <w:t>January 28, 2021,</w:t>
      </w:r>
      <w:r w:rsidR="002470FA">
        <w:rPr>
          <w:lang w:val="en-GB"/>
        </w:rPr>
        <w:t xml:space="preserve"> </w:t>
      </w:r>
      <w:r w:rsidRPr="00B04967">
        <w:rPr>
          <w:lang w:val="en-GB"/>
        </w:rPr>
        <w:t>www.poundsterlinglive.com/bank-of-england-spot/historical-spot-exchange-rates/usd/USD-to-INR.</w:t>
      </w:r>
    </w:p>
    <w:p w14:paraId="209AF97B" w14:textId="746196A2" w:rsidR="00825E1E" w:rsidRPr="00B04967" w:rsidRDefault="00825E1E" w:rsidP="00825E1E">
      <w:pPr>
        <w:pStyle w:val="Footnote"/>
        <w:rPr>
          <w:lang w:val="en-GB"/>
        </w:rPr>
      </w:pPr>
    </w:p>
    <w:p w14:paraId="5EDCB278" w14:textId="77777777" w:rsidR="00825E1E" w:rsidRPr="00B04967" w:rsidRDefault="00825E1E" w:rsidP="00825E1E">
      <w:pPr>
        <w:pStyle w:val="Footnote"/>
        <w:rPr>
          <w:lang w:val="en-GB"/>
        </w:rPr>
      </w:pPr>
    </w:p>
    <w:p w14:paraId="1630A1CD" w14:textId="39A99669" w:rsidR="00825E1E" w:rsidRPr="00B04967" w:rsidRDefault="00825E1E" w:rsidP="00825E1E">
      <w:pPr>
        <w:jc w:val="center"/>
        <w:rPr>
          <w:rFonts w:ascii="Arial" w:hAnsi="Arial" w:cs="Arial"/>
          <w:b/>
          <w:iCs/>
          <w:caps/>
          <w:lang w:val="en-GB"/>
        </w:rPr>
      </w:pPr>
      <w:r w:rsidRPr="00B04967">
        <w:rPr>
          <w:rFonts w:ascii="Arial" w:hAnsi="Arial" w:cs="Arial"/>
          <w:b/>
          <w:caps/>
          <w:lang w:val="en-GB"/>
        </w:rPr>
        <w:t xml:space="preserve">Exhibit </w:t>
      </w:r>
      <w:r w:rsidR="009B0CED">
        <w:rPr>
          <w:rFonts w:ascii="Arial" w:hAnsi="Arial" w:cs="Arial"/>
          <w:b/>
          <w:caps/>
          <w:lang w:val="en-GB"/>
        </w:rPr>
        <w:t>3</w:t>
      </w:r>
      <w:r w:rsidRPr="00B04967">
        <w:rPr>
          <w:rFonts w:ascii="Arial" w:hAnsi="Arial" w:cs="Arial"/>
          <w:caps/>
          <w:lang w:val="en-GB"/>
        </w:rPr>
        <w:t xml:space="preserve">: </w:t>
      </w:r>
      <w:r w:rsidRPr="00B04967">
        <w:rPr>
          <w:rFonts w:ascii="Arial" w:hAnsi="Arial" w:cs="Arial"/>
          <w:b/>
          <w:iCs/>
          <w:caps/>
          <w:lang w:val="en-GB"/>
        </w:rPr>
        <w:t>Usha Martin’s Vertically</w:t>
      </w:r>
      <w:r w:rsidR="00D824BC">
        <w:rPr>
          <w:rFonts w:ascii="Arial" w:hAnsi="Arial" w:cs="Arial"/>
          <w:b/>
          <w:iCs/>
          <w:caps/>
          <w:lang w:val="en-GB"/>
        </w:rPr>
        <w:t xml:space="preserve"> </w:t>
      </w:r>
      <w:r w:rsidRPr="00B04967">
        <w:rPr>
          <w:rFonts w:ascii="Arial" w:hAnsi="Arial" w:cs="Arial"/>
          <w:b/>
          <w:iCs/>
          <w:caps/>
          <w:lang w:val="en-GB"/>
        </w:rPr>
        <w:t>integrated model</w:t>
      </w:r>
    </w:p>
    <w:p w14:paraId="305BFB2F" w14:textId="77777777" w:rsidR="00825E1E" w:rsidRPr="00B04967" w:rsidRDefault="00825E1E" w:rsidP="00825E1E">
      <w:pPr>
        <w:jc w:val="center"/>
        <w:rPr>
          <w:rFonts w:ascii="Arial" w:hAnsi="Arial" w:cs="Arial"/>
          <w:b/>
          <w:iCs/>
          <w:caps/>
          <w:lang w:val="en-GB"/>
        </w:rPr>
      </w:pPr>
    </w:p>
    <w:p w14:paraId="4F3F23E2" w14:textId="648293A0" w:rsidR="00825E1E" w:rsidRPr="00B04967" w:rsidRDefault="00935734" w:rsidP="00825E1E">
      <w:pPr>
        <w:rPr>
          <w:rFonts w:ascii="Arial" w:hAnsi="Arial" w:cs="Arial"/>
          <w:b/>
          <w:lang w:val="en-GB"/>
        </w:rPr>
      </w:pPr>
      <w:r w:rsidRPr="00935734">
        <w:rPr>
          <w:rFonts w:ascii="Arial" w:hAnsi="Arial" w:cs="Arial"/>
          <w:b/>
          <w:noProof/>
          <w:lang w:val="en-SG" w:eastAsia="zh-CN"/>
        </w:rPr>
        <w:drawing>
          <wp:inline distT="0" distB="0" distL="0" distR="0" wp14:anchorId="006644B5" wp14:editId="580B54A5">
            <wp:extent cx="5943600" cy="2581275"/>
            <wp:effectExtent l="0" t="0" r="0" b="9525"/>
            <wp:docPr id="1" name="Picture 1" descr="USHA MARTIN’S VERTICALLY INTEGRATED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grayscl/>
                    </a:blip>
                    <a:srcRect t="20059"/>
                    <a:stretch/>
                  </pic:blipFill>
                  <pic:spPr bwMode="auto">
                    <a:xfrm>
                      <a:off x="0" y="0"/>
                      <a:ext cx="5943600" cy="2581275"/>
                    </a:xfrm>
                    <a:prstGeom prst="rect">
                      <a:avLst/>
                    </a:prstGeom>
                    <a:ln>
                      <a:noFill/>
                    </a:ln>
                    <a:extLst>
                      <a:ext uri="{53640926-AAD7-44D8-BBD7-CCE9431645EC}">
                        <a14:shadowObscured xmlns:a14="http://schemas.microsoft.com/office/drawing/2010/main"/>
                      </a:ext>
                    </a:extLst>
                  </pic:spPr>
                </pic:pic>
              </a:graphicData>
            </a:graphic>
          </wp:inline>
        </w:drawing>
      </w:r>
    </w:p>
    <w:p w14:paraId="44507BFA" w14:textId="77777777" w:rsidR="00825E1E" w:rsidRPr="00B04967" w:rsidRDefault="00825E1E" w:rsidP="00825E1E">
      <w:pPr>
        <w:rPr>
          <w:rFonts w:ascii="Arial" w:hAnsi="Arial" w:cs="Arial"/>
          <w:b/>
          <w:lang w:val="en-GB"/>
        </w:rPr>
      </w:pPr>
    </w:p>
    <w:p w14:paraId="5EB10EB8" w14:textId="463197C5" w:rsidR="00825E1E" w:rsidRPr="00B04967" w:rsidRDefault="00825E1E" w:rsidP="00825E1E">
      <w:pPr>
        <w:rPr>
          <w:rFonts w:ascii="Arial" w:hAnsi="Arial" w:cs="Arial"/>
          <w:iCs/>
          <w:lang w:val="en-GB"/>
        </w:rPr>
      </w:pPr>
      <w:r w:rsidRPr="00B04967">
        <w:rPr>
          <w:rFonts w:ascii="Arial" w:hAnsi="Arial" w:cs="Arial"/>
          <w:iCs/>
          <w:lang w:val="en-GB"/>
        </w:rPr>
        <w:t xml:space="preserve">Coal </w:t>
      </w:r>
      <w:r w:rsidR="00D824BC">
        <w:rPr>
          <w:rFonts w:ascii="Arial" w:hAnsi="Arial" w:cs="Arial"/>
          <w:iCs/>
          <w:lang w:val="en-GB"/>
        </w:rPr>
        <w:t>was</w:t>
      </w:r>
      <w:r w:rsidRPr="00B04967">
        <w:rPr>
          <w:rFonts w:ascii="Arial" w:hAnsi="Arial" w:cs="Arial"/>
          <w:iCs/>
          <w:lang w:val="en-GB"/>
        </w:rPr>
        <w:t xml:space="preserve"> a fossil fuel</w:t>
      </w:r>
      <w:r w:rsidR="00D824BC">
        <w:rPr>
          <w:rFonts w:ascii="Arial" w:hAnsi="Arial" w:cs="Arial"/>
          <w:iCs/>
          <w:lang w:val="en-GB"/>
        </w:rPr>
        <w:t>,</w:t>
      </w:r>
      <w:r w:rsidRPr="00B04967">
        <w:rPr>
          <w:rFonts w:ascii="Arial" w:hAnsi="Arial" w:cs="Arial"/>
          <w:iCs/>
          <w:lang w:val="en-GB"/>
        </w:rPr>
        <w:t xml:space="preserve"> and </w:t>
      </w:r>
      <w:r w:rsidR="00D824BC">
        <w:rPr>
          <w:rFonts w:ascii="Arial" w:hAnsi="Arial" w:cs="Arial"/>
          <w:iCs/>
          <w:lang w:val="en-GB"/>
        </w:rPr>
        <w:t>coke was</w:t>
      </w:r>
      <w:r w:rsidRPr="00B04967">
        <w:rPr>
          <w:rFonts w:ascii="Arial" w:hAnsi="Arial" w:cs="Arial"/>
          <w:iCs/>
          <w:lang w:val="en-GB"/>
        </w:rPr>
        <w:t xml:space="preserve"> a</w:t>
      </w:r>
      <w:r w:rsidR="00D824BC">
        <w:rPr>
          <w:rFonts w:ascii="Arial" w:hAnsi="Arial" w:cs="Arial"/>
          <w:iCs/>
          <w:lang w:val="en-GB"/>
        </w:rPr>
        <w:t xml:space="preserve"> </w:t>
      </w:r>
      <w:r w:rsidRPr="00B04967">
        <w:rPr>
          <w:rFonts w:ascii="Arial" w:hAnsi="Arial" w:cs="Arial"/>
          <w:iCs/>
          <w:lang w:val="en-GB"/>
        </w:rPr>
        <w:t xml:space="preserve">processed form of coal. Direct </w:t>
      </w:r>
      <w:r w:rsidR="00D824BC">
        <w:rPr>
          <w:rFonts w:ascii="Arial" w:hAnsi="Arial" w:cs="Arial"/>
          <w:iCs/>
          <w:lang w:val="en-GB"/>
        </w:rPr>
        <w:t>reduced iron</w:t>
      </w:r>
      <w:r w:rsidRPr="00B04967">
        <w:rPr>
          <w:rFonts w:ascii="Arial" w:hAnsi="Arial" w:cs="Arial"/>
          <w:iCs/>
          <w:lang w:val="en-GB"/>
        </w:rPr>
        <w:t xml:space="preserve"> (also called </w:t>
      </w:r>
      <w:r w:rsidR="00D824BC">
        <w:rPr>
          <w:rFonts w:ascii="Arial" w:hAnsi="Arial" w:cs="Arial"/>
          <w:iCs/>
          <w:lang w:val="en-GB"/>
        </w:rPr>
        <w:t>sponge iron</w:t>
      </w:r>
      <w:r w:rsidRPr="00B04967">
        <w:rPr>
          <w:rFonts w:ascii="Arial" w:hAnsi="Arial" w:cs="Arial"/>
          <w:iCs/>
          <w:lang w:val="en-GB"/>
        </w:rPr>
        <w:t xml:space="preserve">) </w:t>
      </w:r>
      <w:r w:rsidR="00D824BC">
        <w:rPr>
          <w:rFonts w:ascii="Arial" w:hAnsi="Arial" w:cs="Arial"/>
          <w:iCs/>
          <w:lang w:val="en-GB"/>
        </w:rPr>
        <w:t>was</w:t>
      </w:r>
      <w:r w:rsidRPr="00B04967">
        <w:rPr>
          <w:rFonts w:ascii="Arial" w:hAnsi="Arial" w:cs="Arial"/>
          <w:iCs/>
          <w:lang w:val="en-GB"/>
        </w:rPr>
        <w:t xml:space="preserve"> a processed form of </w:t>
      </w:r>
      <w:r w:rsidR="00D824BC">
        <w:rPr>
          <w:rFonts w:ascii="Arial" w:hAnsi="Arial" w:cs="Arial"/>
          <w:iCs/>
          <w:lang w:val="en-GB"/>
        </w:rPr>
        <w:t>iron</w:t>
      </w:r>
      <w:r w:rsidR="00D824BC" w:rsidRPr="00B04967">
        <w:rPr>
          <w:rFonts w:ascii="Arial" w:hAnsi="Arial" w:cs="Arial"/>
          <w:iCs/>
          <w:lang w:val="en-GB"/>
        </w:rPr>
        <w:t xml:space="preserve"> </w:t>
      </w:r>
      <w:r w:rsidRPr="00B04967">
        <w:rPr>
          <w:rFonts w:ascii="Arial" w:hAnsi="Arial" w:cs="Arial"/>
          <w:iCs/>
          <w:lang w:val="en-GB"/>
        </w:rPr>
        <w:t>ore</w:t>
      </w:r>
      <w:r w:rsidR="00D824BC">
        <w:rPr>
          <w:rFonts w:ascii="Arial" w:hAnsi="Arial" w:cs="Arial"/>
          <w:iCs/>
          <w:lang w:val="en-GB"/>
        </w:rPr>
        <w:t>.</w:t>
      </w:r>
    </w:p>
    <w:p w14:paraId="138D87A9" w14:textId="77777777" w:rsidR="00935734" w:rsidRDefault="00935734" w:rsidP="00825E1E">
      <w:pPr>
        <w:pStyle w:val="Footnote"/>
        <w:rPr>
          <w:lang w:val="en-GB"/>
        </w:rPr>
      </w:pPr>
    </w:p>
    <w:p w14:paraId="7CED3196" w14:textId="10D68ED8" w:rsidR="00825E1E" w:rsidRPr="00B04967" w:rsidRDefault="00825E1E" w:rsidP="00825E1E">
      <w:pPr>
        <w:pStyle w:val="Footnote"/>
        <w:rPr>
          <w:lang w:val="en-GB"/>
        </w:rPr>
      </w:pPr>
      <w:r w:rsidRPr="00B04967">
        <w:rPr>
          <w:lang w:val="en-GB"/>
        </w:rPr>
        <w:t xml:space="preserve">Source: Usha Martin </w:t>
      </w:r>
      <w:r w:rsidR="00894CDF">
        <w:rPr>
          <w:lang w:val="en-GB"/>
        </w:rPr>
        <w:t xml:space="preserve">Limited, </w:t>
      </w:r>
      <w:r w:rsidR="00894CDF" w:rsidRPr="00A65461">
        <w:rPr>
          <w:i/>
          <w:iCs/>
          <w:lang w:val="en-GB"/>
        </w:rPr>
        <w:t>Annual Report 2009</w:t>
      </w:r>
      <w:r w:rsidR="00842B46">
        <w:rPr>
          <w:i/>
          <w:iCs/>
          <w:lang w:val="en-GB"/>
        </w:rPr>
        <w:t>–</w:t>
      </w:r>
      <w:r w:rsidR="00894CDF" w:rsidRPr="00A65461">
        <w:rPr>
          <w:i/>
          <w:iCs/>
          <w:lang w:val="en-GB"/>
        </w:rPr>
        <w:t>10</w:t>
      </w:r>
      <w:r w:rsidRPr="00B04967">
        <w:rPr>
          <w:lang w:val="en-GB"/>
        </w:rPr>
        <w:t xml:space="preserve">, 10, </w:t>
      </w:r>
      <w:r w:rsidR="00D518D0">
        <w:rPr>
          <w:lang w:val="en-GB"/>
        </w:rPr>
        <w:t>accessed</w:t>
      </w:r>
      <w:r w:rsidR="00935734">
        <w:rPr>
          <w:lang w:val="en-GB"/>
        </w:rPr>
        <w:t xml:space="preserve"> January 28, 2021</w:t>
      </w:r>
      <w:r w:rsidR="00D518D0">
        <w:rPr>
          <w:lang w:val="en-GB"/>
        </w:rPr>
        <w:t xml:space="preserve">, </w:t>
      </w:r>
      <w:r w:rsidRPr="00B04967">
        <w:rPr>
          <w:lang w:val="en-GB"/>
        </w:rPr>
        <w:t>www.ushamartin.com/wp-content/uploads/2014/04/UMIL-AR-2009-101.pdf.</w:t>
      </w:r>
    </w:p>
    <w:p w14:paraId="1D0212FB" w14:textId="77777777" w:rsidR="00825E1E" w:rsidRPr="00B04967" w:rsidRDefault="00825E1E">
      <w:pPr>
        <w:spacing w:after="200" w:line="276" w:lineRule="auto"/>
        <w:rPr>
          <w:rFonts w:ascii="Arial" w:hAnsi="Arial" w:cs="Arial"/>
          <w:b/>
          <w:iCs/>
          <w:caps/>
          <w:lang w:val="en-GB"/>
        </w:rPr>
      </w:pPr>
      <w:r w:rsidRPr="00B04967">
        <w:rPr>
          <w:rFonts w:ascii="Arial" w:hAnsi="Arial" w:cs="Arial"/>
          <w:b/>
          <w:iCs/>
          <w:caps/>
          <w:lang w:val="en-GB"/>
        </w:rPr>
        <w:br w:type="page"/>
      </w:r>
    </w:p>
    <w:p w14:paraId="5BF9B2B6" w14:textId="05466A36" w:rsidR="00825E1E" w:rsidRPr="00B04967" w:rsidRDefault="00825E1E" w:rsidP="00825E1E">
      <w:pPr>
        <w:jc w:val="center"/>
        <w:rPr>
          <w:rFonts w:ascii="Arial" w:hAnsi="Arial" w:cs="Arial"/>
          <w:b/>
          <w:bCs/>
          <w:caps/>
          <w:color w:val="030102"/>
          <w:lang w:val="en-GB"/>
        </w:rPr>
      </w:pPr>
      <w:r w:rsidRPr="00B04967">
        <w:rPr>
          <w:rFonts w:ascii="Arial" w:hAnsi="Arial" w:cs="Arial"/>
          <w:b/>
          <w:iCs/>
          <w:caps/>
          <w:lang w:val="en-GB"/>
        </w:rPr>
        <w:lastRenderedPageBreak/>
        <w:t xml:space="preserve">Exhibit </w:t>
      </w:r>
      <w:r w:rsidR="009B0CED">
        <w:rPr>
          <w:rFonts w:ascii="Arial" w:hAnsi="Arial" w:cs="Arial"/>
          <w:b/>
          <w:iCs/>
          <w:caps/>
          <w:lang w:val="en-GB"/>
        </w:rPr>
        <w:t>4</w:t>
      </w:r>
      <w:r w:rsidRPr="00B04967">
        <w:rPr>
          <w:rFonts w:ascii="Arial" w:hAnsi="Arial" w:cs="Arial"/>
          <w:b/>
          <w:iCs/>
          <w:caps/>
          <w:lang w:val="en-GB"/>
        </w:rPr>
        <w:t xml:space="preserve">: List of Usha Martin’s </w:t>
      </w:r>
      <w:r w:rsidRPr="00B04967">
        <w:rPr>
          <w:rFonts w:ascii="Arial" w:hAnsi="Arial" w:cs="Arial"/>
          <w:b/>
          <w:bCs/>
          <w:caps/>
          <w:color w:val="030102"/>
          <w:lang w:val="en-GB"/>
        </w:rPr>
        <w:t>subsidiaries and joint ventures</w:t>
      </w:r>
    </w:p>
    <w:p w14:paraId="1549E6A8" w14:textId="77777777" w:rsidR="00825E1E" w:rsidRPr="00B04967" w:rsidRDefault="00825E1E" w:rsidP="00825E1E">
      <w:pPr>
        <w:autoSpaceDE w:val="0"/>
        <w:autoSpaceDN w:val="0"/>
        <w:adjustRightInd w:val="0"/>
        <w:rPr>
          <w:rFonts w:ascii="Arial" w:hAnsi="Arial" w:cs="Arial"/>
          <w:bCs/>
          <w:color w:val="030102"/>
          <w:lang w:val="en-GB"/>
        </w:rPr>
      </w:pPr>
    </w:p>
    <w:p w14:paraId="79016B5C" w14:textId="40F1C4DF" w:rsidR="00825E1E" w:rsidRPr="00B04967" w:rsidRDefault="00825E1E" w:rsidP="00825E1E">
      <w:pPr>
        <w:autoSpaceDE w:val="0"/>
        <w:autoSpaceDN w:val="0"/>
        <w:adjustRightInd w:val="0"/>
        <w:rPr>
          <w:rFonts w:ascii="Arial" w:hAnsi="Arial" w:cs="Arial"/>
          <w:bCs/>
          <w:color w:val="030102"/>
          <w:lang w:val="en-GB"/>
        </w:rPr>
      </w:pPr>
      <w:r w:rsidRPr="00B04967">
        <w:rPr>
          <w:rFonts w:ascii="Arial" w:hAnsi="Arial" w:cs="Arial"/>
          <w:bCs/>
          <w:color w:val="030102"/>
          <w:lang w:val="en-GB"/>
        </w:rPr>
        <w:t>Subsidiaries</w:t>
      </w:r>
      <w:r w:rsidR="003A5F2E">
        <w:rPr>
          <w:rFonts w:ascii="Arial" w:hAnsi="Arial" w:cs="Arial"/>
          <w:bCs/>
          <w:color w:val="030102"/>
          <w:lang w:val="en-GB"/>
        </w:rPr>
        <w:t xml:space="preserve"> and</w:t>
      </w:r>
      <w:r w:rsidRPr="00B04967">
        <w:rPr>
          <w:rFonts w:ascii="Arial" w:hAnsi="Arial" w:cs="Arial"/>
          <w:bCs/>
          <w:color w:val="030102"/>
          <w:lang w:val="en-GB"/>
        </w:rPr>
        <w:t xml:space="preserve"> shareholding as on March</w:t>
      </w:r>
      <w:r w:rsidR="003A5F2E">
        <w:rPr>
          <w:rFonts w:ascii="Arial" w:hAnsi="Arial" w:cs="Arial"/>
          <w:bCs/>
          <w:color w:val="030102"/>
          <w:lang w:val="en-GB"/>
        </w:rPr>
        <w:t xml:space="preserve"> 31,</w:t>
      </w:r>
      <w:r w:rsidRPr="00B04967">
        <w:rPr>
          <w:rFonts w:ascii="Arial" w:hAnsi="Arial" w:cs="Arial"/>
          <w:bCs/>
          <w:color w:val="030102"/>
          <w:lang w:val="en-GB"/>
        </w:rPr>
        <w:t xml:space="preserve"> 2019</w:t>
      </w:r>
      <w:r w:rsidR="003A5F2E">
        <w:rPr>
          <w:rFonts w:ascii="Arial" w:hAnsi="Arial" w:cs="Arial"/>
          <w:bCs/>
          <w:color w:val="030102"/>
          <w:lang w:val="en-GB"/>
        </w:rPr>
        <w:t>:</w:t>
      </w:r>
    </w:p>
    <w:p w14:paraId="4680930B" w14:textId="77777777" w:rsidR="00825E1E" w:rsidRPr="00B04967" w:rsidRDefault="00825E1E" w:rsidP="00825E1E">
      <w:pPr>
        <w:autoSpaceDE w:val="0"/>
        <w:autoSpaceDN w:val="0"/>
        <w:adjustRightInd w:val="0"/>
        <w:rPr>
          <w:rFonts w:ascii="Arial" w:hAnsi="Arial" w:cs="Arial"/>
          <w:bCs/>
          <w:color w:val="030102"/>
          <w:lang w:val="en-GB"/>
        </w:rPr>
      </w:pPr>
    </w:p>
    <w:p w14:paraId="08C7DA51" w14:textId="77777777"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sectPr w:rsidR="00825E1E" w:rsidRPr="00B04967" w:rsidSect="00751E0B">
          <w:headerReference w:type="default" r:id="rId13"/>
          <w:endnotePr>
            <w:numFmt w:val="decimal"/>
          </w:endnotePr>
          <w:pgSz w:w="12240" w:h="15840" w:code="1"/>
          <w:pgMar w:top="1080" w:right="1440" w:bottom="1440" w:left="1440" w:header="1080" w:footer="720" w:gutter="0"/>
          <w:cols w:space="720"/>
          <w:titlePg/>
          <w:docGrid w:linePitch="360"/>
        </w:sectPr>
      </w:pPr>
    </w:p>
    <w:p w14:paraId="4D95F91E" w14:textId="4EA034FB"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UM Cables Limited </w:t>
      </w:r>
      <w:r w:rsidR="00563806">
        <w:rPr>
          <w:rFonts w:ascii="Arial" w:hAnsi="Arial" w:cs="Arial"/>
          <w:bCs/>
          <w:color w:val="030102"/>
          <w:sz w:val="20"/>
          <w:szCs w:val="20"/>
          <w:lang w:val="en-GB"/>
        </w:rPr>
        <w:t>(</w:t>
      </w:r>
      <w:r w:rsidRPr="00B04967">
        <w:rPr>
          <w:rFonts w:ascii="Arial" w:hAnsi="Arial" w:cs="Arial"/>
          <w:bCs/>
          <w:color w:val="030102"/>
          <w:sz w:val="20"/>
          <w:szCs w:val="20"/>
          <w:lang w:val="en-GB"/>
        </w:rPr>
        <w:t>100%</w:t>
      </w:r>
      <w:r w:rsidR="00563806">
        <w:rPr>
          <w:rFonts w:ascii="Arial" w:hAnsi="Arial" w:cs="Arial"/>
          <w:bCs/>
          <w:color w:val="030102"/>
          <w:sz w:val="20"/>
          <w:szCs w:val="20"/>
          <w:lang w:val="en-GB"/>
        </w:rPr>
        <w:t>)</w:t>
      </w:r>
    </w:p>
    <w:p w14:paraId="0D82D1DD" w14:textId="161A6B11"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Usha Martin Power </w:t>
      </w:r>
      <w:r w:rsidR="00FA3441">
        <w:rPr>
          <w:rFonts w:ascii="Arial" w:hAnsi="Arial" w:cs="Arial"/>
          <w:bCs/>
          <w:color w:val="030102"/>
          <w:sz w:val="20"/>
          <w:szCs w:val="20"/>
          <w:lang w:val="en-GB"/>
        </w:rPr>
        <w:t>&amp;</w:t>
      </w:r>
      <w:r w:rsidRPr="00B04967">
        <w:rPr>
          <w:rFonts w:ascii="Arial" w:hAnsi="Arial" w:cs="Arial"/>
          <w:bCs/>
          <w:color w:val="030102"/>
          <w:sz w:val="20"/>
          <w:szCs w:val="20"/>
          <w:lang w:val="en-GB"/>
        </w:rPr>
        <w:t xml:space="preserve"> Resources Limited </w:t>
      </w:r>
      <w:r w:rsidR="00FA3441">
        <w:rPr>
          <w:rFonts w:ascii="Arial" w:hAnsi="Arial" w:cs="Arial"/>
          <w:bCs/>
          <w:color w:val="030102"/>
          <w:sz w:val="20"/>
          <w:szCs w:val="20"/>
          <w:lang w:val="en-GB"/>
        </w:rPr>
        <w:t>(</w:t>
      </w:r>
      <w:r w:rsidRPr="00B04967">
        <w:rPr>
          <w:rFonts w:ascii="Arial" w:hAnsi="Arial" w:cs="Arial"/>
          <w:bCs/>
          <w:color w:val="030102"/>
          <w:sz w:val="20"/>
          <w:szCs w:val="20"/>
          <w:lang w:val="en-GB"/>
        </w:rPr>
        <w:t>100%</w:t>
      </w:r>
      <w:r w:rsidR="00FA3441">
        <w:rPr>
          <w:rFonts w:ascii="Arial" w:hAnsi="Arial" w:cs="Arial"/>
          <w:bCs/>
          <w:color w:val="030102"/>
          <w:sz w:val="20"/>
          <w:szCs w:val="20"/>
          <w:lang w:val="en-GB"/>
        </w:rPr>
        <w:t>)</w:t>
      </w:r>
    </w:p>
    <w:p w14:paraId="6EB9B637" w14:textId="3880F620"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Bharat Minex Private Limited </w:t>
      </w:r>
      <w:r w:rsidR="00FA3441">
        <w:rPr>
          <w:rFonts w:ascii="Arial" w:hAnsi="Arial" w:cs="Arial"/>
          <w:bCs/>
          <w:color w:val="030102"/>
          <w:sz w:val="20"/>
          <w:szCs w:val="20"/>
          <w:lang w:val="en-GB"/>
        </w:rPr>
        <w:t>(</w:t>
      </w:r>
      <w:r w:rsidRPr="00B04967">
        <w:rPr>
          <w:rFonts w:ascii="Arial" w:hAnsi="Arial" w:cs="Arial"/>
          <w:bCs/>
          <w:color w:val="030102"/>
          <w:sz w:val="20"/>
          <w:szCs w:val="20"/>
          <w:lang w:val="en-GB"/>
        </w:rPr>
        <w:t>100%</w:t>
      </w:r>
      <w:r w:rsidR="00FA3441">
        <w:rPr>
          <w:rFonts w:ascii="Arial" w:hAnsi="Arial" w:cs="Arial"/>
          <w:bCs/>
          <w:color w:val="030102"/>
          <w:sz w:val="20"/>
          <w:szCs w:val="20"/>
          <w:lang w:val="en-GB"/>
        </w:rPr>
        <w:t>)</w:t>
      </w:r>
    </w:p>
    <w:p w14:paraId="65905F41" w14:textId="4DC40C30"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Gustav Wolf Speciality Cords Limited </w:t>
      </w:r>
      <w:r w:rsidR="00FA3441">
        <w:rPr>
          <w:rFonts w:ascii="Arial" w:hAnsi="Arial" w:cs="Arial"/>
          <w:bCs/>
          <w:color w:val="030102"/>
          <w:sz w:val="20"/>
          <w:szCs w:val="20"/>
          <w:lang w:val="en-GB"/>
        </w:rPr>
        <w:t>(</w:t>
      </w:r>
      <w:r w:rsidRPr="00B04967">
        <w:rPr>
          <w:rFonts w:ascii="Arial" w:hAnsi="Arial" w:cs="Arial"/>
          <w:bCs/>
          <w:color w:val="030102"/>
          <w:sz w:val="20"/>
          <w:szCs w:val="20"/>
          <w:lang w:val="en-GB"/>
        </w:rPr>
        <w:t>100%</w:t>
      </w:r>
      <w:r w:rsidR="00FA3441">
        <w:rPr>
          <w:rFonts w:ascii="Arial" w:hAnsi="Arial" w:cs="Arial"/>
          <w:bCs/>
          <w:color w:val="030102"/>
          <w:sz w:val="20"/>
          <w:szCs w:val="20"/>
          <w:lang w:val="en-GB"/>
        </w:rPr>
        <w:t>)</w:t>
      </w:r>
    </w:p>
    <w:p w14:paraId="6EA32371" w14:textId="29D96B54"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Usha Martin International Limited </w:t>
      </w:r>
      <w:r w:rsidR="00FA3441">
        <w:rPr>
          <w:rFonts w:ascii="Arial" w:hAnsi="Arial" w:cs="Arial"/>
          <w:bCs/>
          <w:color w:val="030102"/>
          <w:sz w:val="20"/>
          <w:szCs w:val="20"/>
          <w:lang w:val="en-GB"/>
        </w:rPr>
        <w:t>(</w:t>
      </w:r>
      <w:r w:rsidRPr="00B04967">
        <w:rPr>
          <w:rFonts w:ascii="Arial" w:hAnsi="Arial" w:cs="Arial"/>
          <w:bCs/>
          <w:color w:val="030102"/>
          <w:sz w:val="20"/>
          <w:szCs w:val="20"/>
          <w:lang w:val="en-GB"/>
        </w:rPr>
        <w:t>100%</w:t>
      </w:r>
      <w:r w:rsidR="00FA3441">
        <w:rPr>
          <w:rFonts w:ascii="Arial" w:hAnsi="Arial" w:cs="Arial"/>
          <w:bCs/>
          <w:color w:val="030102"/>
          <w:sz w:val="20"/>
          <w:szCs w:val="20"/>
          <w:lang w:val="en-GB"/>
        </w:rPr>
        <w:t>)</w:t>
      </w:r>
    </w:p>
    <w:p w14:paraId="0393964C" w14:textId="0E8A2CAB"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Usha Martin UK Limited</w:t>
      </w:r>
      <w:r w:rsidR="00F42EFE">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FA3441">
        <w:rPr>
          <w:rFonts w:ascii="Arial" w:hAnsi="Arial" w:cs="Arial"/>
          <w:bCs/>
          <w:color w:val="030102"/>
          <w:sz w:val="20"/>
          <w:szCs w:val="20"/>
          <w:lang w:val="en-GB"/>
        </w:rPr>
        <w:t>(</w:t>
      </w:r>
      <w:r w:rsidRPr="00B04967">
        <w:rPr>
          <w:rFonts w:ascii="Arial" w:hAnsi="Arial" w:cs="Arial"/>
          <w:bCs/>
          <w:color w:val="030102"/>
          <w:sz w:val="20"/>
          <w:szCs w:val="20"/>
          <w:lang w:val="en-GB"/>
        </w:rPr>
        <w:t>100%</w:t>
      </w:r>
      <w:r w:rsidR="00FA3441">
        <w:rPr>
          <w:rFonts w:ascii="Arial" w:hAnsi="Arial" w:cs="Arial"/>
          <w:bCs/>
          <w:color w:val="030102"/>
          <w:sz w:val="20"/>
          <w:szCs w:val="20"/>
          <w:lang w:val="en-GB"/>
        </w:rPr>
        <w:t>)</w:t>
      </w:r>
    </w:p>
    <w:p w14:paraId="4FF998FB" w14:textId="67F0428C"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lang w:val="en-GB"/>
        </w:rPr>
      </w:pPr>
      <w:r w:rsidRPr="00F42EFE">
        <w:rPr>
          <w:rFonts w:ascii="Arial" w:hAnsi="Arial" w:cs="Arial"/>
          <w:bCs/>
          <w:color w:val="030102"/>
          <w:sz w:val="20"/>
          <w:szCs w:val="20"/>
          <w:lang w:val="en-GB"/>
        </w:rPr>
        <w:t xml:space="preserve">European Management and Marine Corporation </w:t>
      </w:r>
      <w:r w:rsidRPr="00A65461">
        <w:rPr>
          <w:rFonts w:ascii="Arial" w:hAnsi="Arial" w:cs="Arial"/>
          <w:bCs/>
          <w:color w:val="030102"/>
          <w:sz w:val="20"/>
          <w:szCs w:val="20"/>
          <w:lang w:val="en-GB"/>
        </w:rPr>
        <w:t>Limited</w:t>
      </w:r>
      <w:r w:rsidR="00F42EFE">
        <w:rPr>
          <w:rFonts w:ascii="Arial" w:hAnsi="Arial" w:cs="Arial"/>
          <w:bCs/>
          <w:color w:val="030102"/>
          <w:sz w:val="20"/>
          <w:szCs w:val="20"/>
          <w:lang w:val="en-GB"/>
        </w:rPr>
        <w:t>*</w:t>
      </w:r>
      <w:r w:rsidRPr="00A65461">
        <w:rPr>
          <w:rFonts w:ascii="Arial" w:hAnsi="Arial" w:cs="Arial"/>
          <w:bCs/>
          <w:color w:val="030102"/>
          <w:sz w:val="20"/>
          <w:szCs w:val="20"/>
          <w:lang w:val="en-GB"/>
        </w:rPr>
        <w:t xml:space="preserve"> </w:t>
      </w:r>
      <w:r w:rsidR="00FA3441" w:rsidRPr="00A65461">
        <w:rPr>
          <w:rFonts w:ascii="Arial" w:hAnsi="Arial" w:cs="Arial"/>
          <w:bCs/>
          <w:color w:val="030102"/>
          <w:sz w:val="20"/>
          <w:szCs w:val="20"/>
          <w:lang w:val="en-GB"/>
        </w:rPr>
        <w:t>(</w:t>
      </w:r>
      <w:r w:rsidRPr="00A65461">
        <w:rPr>
          <w:rFonts w:ascii="Arial" w:hAnsi="Arial" w:cs="Arial"/>
          <w:bCs/>
          <w:color w:val="030102"/>
          <w:sz w:val="20"/>
          <w:szCs w:val="20"/>
          <w:lang w:val="en-GB"/>
        </w:rPr>
        <w:t>100%</w:t>
      </w:r>
      <w:r w:rsidR="00FA3441" w:rsidRPr="00A65461">
        <w:rPr>
          <w:rFonts w:ascii="Arial" w:hAnsi="Arial" w:cs="Arial"/>
          <w:bCs/>
          <w:color w:val="030102"/>
          <w:sz w:val="20"/>
          <w:szCs w:val="20"/>
          <w:lang w:val="en-GB"/>
        </w:rPr>
        <w:t>)</w:t>
      </w:r>
    </w:p>
    <w:p w14:paraId="356EB7F1" w14:textId="0735E2C8"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Brunton Shaw UK Limited</w:t>
      </w:r>
      <w:r w:rsidR="00F42EFE">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FA3441">
        <w:rPr>
          <w:rFonts w:ascii="Arial" w:hAnsi="Arial" w:cs="Arial"/>
          <w:bCs/>
          <w:color w:val="030102"/>
          <w:sz w:val="20"/>
          <w:szCs w:val="20"/>
          <w:lang w:val="en-GB"/>
        </w:rPr>
        <w:t>(</w:t>
      </w:r>
      <w:r w:rsidRPr="00B04967">
        <w:rPr>
          <w:rFonts w:ascii="Arial" w:hAnsi="Arial" w:cs="Arial"/>
          <w:bCs/>
          <w:color w:val="030102"/>
          <w:sz w:val="20"/>
          <w:szCs w:val="20"/>
          <w:lang w:val="en-GB"/>
        </w:rPr>
        <w:t>100%</w:t>
      </w:r>
      <w:r w:rsidR="00FA3441">
        <w:rPr>
          <w:rFonts w:ascii="Arial" w:hAnsi="Arial" w:cs="Arial"/>
          <w:bCs/>
          <w:color w:val="030102"/>
          <w:sz w:val="20"/>
          <w:szCs w:val="20"/>
          <w:lang w:val="en-GB"/>
        </w:rPr>
        <w:t>)</w:t>
      </w:r>
    </w:p>
    <w:p w14:paraId="73935B75" w14:textId="60F1D91D"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De Ruiter </w:t>
      </w:r>
      <w:proofErr w:type="spellStart"/>
      <w:r w:rsidRPr="00B04967">
        <w:rPr>
          <w:rFonts w:ascii="Arial" w:hAnsi="Arial" w:cs="Arial"/>
          <w:bCs/>
          <w:color w:val="030102"/>
          <w:sz w:val="20"/>
          <w:szCs w:val="20"/>
          <w:lang w:val="en-GB"/>
        </w:rPr>
        <w:t>Staalkabel</w:t>
      </w:r>
      <w:proofErr w:type="spellEnd"/>
      <w:r w:rsidRPr="00B04967">
        <w:rPr>
          <w:rFonts w:ascii="Arial" w:hAnsi="Arial" w:cs="Arial"/>
          <w:bCs/>
          <w:color w:val="030102"/>
          <w:sz w:val="20"/>
          <w:szCs w:val="20"/>
          <w:lang w:val="en-GB"/>
        </w:rPr>
        <w:t xml:space="preserve"> </w:t>
      </w:r>
      <w:r w:rsidR="00FA3441">
        <w:rPr>
          <w:rFonts w:ascii="Arial" w:hAnsi="Arial" w:cs="Arial"/>
          <w:bCs/>
          <w:color w:val="030102"/>
          <w:sz w:val="20"/>
          <w:szCs w:val="20"/>
          <w:lang w:val="en-GB"/>
        </w:rPr>
        <w:t>BV</w:t>
      </w:r>
      <w:r w:rsidR="00F42EFE">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FA3441">
        <w:rPr>
          <w:rFonts w:ascii="Arial" w:hAnsi="Arial" w:cs="Arial"/>
          <w:bCs/>
          <w:color w:val="030102"/>
          <w:sz w:val="20"/>
          <w:szCs w:val="20"/>
          <w:lang w:val="en-GB"/>
        </w:rPr>
        <w:t>(</w:t>
      </w:r>
      <w:r w:rsidRPr="00B04967">
        <w:rPr>
          <w:rFonts w:ascii="Arial" w:hAnsi="Arial" w:cs="Arial"/>
          <w:bCs/>
          <w:color w:val="030102"/>
          <w:sz w:val="20"/>
          <w:szCs w:val="20"/>
          <w:lang w:val="en-GB"/>
        </w:rPr>
        <w:t>100%</w:t>
      </w:r>
      <w:r w:rsidR="00FA3441">
        <w:rPr>
          <w:rFonts w:ascii="Arial" w:hAnsi="Arial" w:cs="Arial"/>
          <w:bCs/>
          <w:color w:val="030102"/>
          <w:sz w:val="20"/>
          <w:szCs w:val="20"/>
          <w:lang w:val="en-GB"/>
        </w:rPr>
        <w:t>)</w:t>
      </w:r>
    </w:p>
    <w:p w14:paraId="77289F92" w14:textId="49AFCFA5" w:rsidR="00825E1E"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Usha Martin Europe</w:t>
      </w:r>
      <w:r w:rsidR="00FA3441">
        <w:rPr>
          <w:rFonts w:ascii="Arial" w:hAnsi="Arial" w:cs="Arial"/>
          <w:bCs/>
          <w:color w:val="030102"/>
          <w:sz w:val="20"/>
          <w:szCs w:val="20"/>
          <w:lang w:val="en-GB"/>
        </w:rPr>
        <w:t xml:space="preserve"> BV</w:t>
      </w:r>
      <w:r w:rsidR="00F42EFE">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FA3441">
        <w:rPr>
          <w:rFonts w:ascii="Arial" w:hAnsi="Arial" w:cs="Arial"/>
          <w:bCs/>
          <w:color w:val="030102"/>
          <w:sz w:val="20"/>
          <w:szCs w:val="20"/>
          <w:lang w:val="en-GB"/>
        </w:rPr>
        <w:t>(</w:t>
      </w:r>
      <w:r w:rsidRPr="00B04967">
        <w:rPr>
          <w:rFonts w:ascii="Arial" w:hAnsi="Arial" w:cs="Arial"/>
          <w:bCs/>
          <w:color w:val="030102"/>
          <w:sz w:val="20"/>
          <w:szCs w:val="20"/>
          <w:lang w:val="en-GB"/>
        </w:rPr>
        <w:t>100%</w:t>
      </w:r>
      <w:r w:rsidR="00FA3441">
        <w:rPr>
          <w:rFonts w:ascii="Arial" w:hAnsi="Arial" w:cs="Arial"/>
          <w:bCs/>
          <w:color w:val="030102"/>
          <w:sz w:val="20"/>
          <w:szCs w:val="20"/>
          <w:lang w:val="en-GB"/>
        </w:rPr>
        <w:t>)</w:t>
      </w:r>
    </w:p>
    <w:p w14:paraId="4BE53372" w14:textId="77777777" w:rsidR="00FA3441" w:rsidRPr="00B04967" w:rsidRDefault="00FA3441" w:rsidP="00A65461">
      <w:pPr>
        <w:pStyle w:val="ListParagraph"/>
        <w:autoSpaceDE w:val="0"/>
        <w:autoSpaceDN w:val="0"/>
        <w:adjustRightInd w:val="0"/>
        <w:ind w:left="360"/>
        <w:jc w:val="left"/>
        <w:rPr>
          <w:rFonts w:ascii="Arial" w:hAnsi="Arial" w:cs="Arial"/>
          <w:bCs/>
          <w:color w:val="030102"/>
          <w:sz w:val="20"/>
          <w:szCs w:val="20"/>
          <w:lang w:val="en-GB"/>
        </w:rPr>
      </w:pPr>
    </w:p>
    <w:p w14:paraId="6C7E9ED8" w14:textId="78BDD11E" w:rsidR="00825E1E" w:rsidRPr="00B04967" w:rsidRDefault="00825E1E" w:rsidP="00A65461">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Usha Martin Italia </w:t>
      </w:r>
      <w:r w:rsidR="00FA3441">
        <w:rPr>
          <w:rFonts w:ascii="Arial" w:hAnsi="Arial" w:cs="Arial"/>
          <w:bCs/>
          <w:color w:val="030102"/>
          <w:sz w:val="20"/>
          <w:szCs w:val="20"/>
          <w:lang w:val="en-GB"/>
        </w:rPr>
        <w:t>SRL</w:t>
      </w:r>
      <w:r w:rsidR="00F42EFE">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FA3441">
        <w:rPr>
          <w:rFonts w:ascii="Arial" w:hAnsi="Arial" w:cs="Arial"/>
          <w:bCs/>
          <w:color w:val="030102"/>
          <w:sz w:val="20"/>
          <w:szCs w:val="20"/>
          <w:lang w:val="en-GB"/>
        </w:rPr>
        <w:t>(</w:t>
      </w:r>
      <w:r w:rsidRPr="00B04967">
        <w:rPr>
          <w:rFonts w:ascii="Arial" w:hAnsi="Arial" w:cs="Arial"/>
          <w:bCs/>
          <w:color w:val="030102"/>
          <w:sz w:val="20"/>
          <w:szCs w:val="20"/>
          <w:lang w:val="en-GB"/>
        </w:rPr>
        <w:t>100%</w:t>
      </w:r>
      <w:r w:rsidR="00FA3441">
        <w:rPr>
          <w:rFonts w:ascii="Arial" w:hAnsi="Arial" w:cs="Arial"/>
          <w:bCs/>
          <w:color w:val="030102"/>
          <w:sz w:val="20"/>
          <w:szCs w:val="20"/>
          <w:lang w:val="en-GB"/>
        </w:rPr>
        <w:t>)</w:t>
      </w:r>
    </w:p>
    <w:p w14:paraId="50A0B995" w14:textId="250C667C"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Brunton Wolf Wire Ropes </w:t>
      </w:r>
      <w:proofErr w:type="spellStart"/>
      <w:r w:rsidR="00C62AEE" w:rsidRPr="00B04967">
        <w:rPr>
          <w:rFonts w:ascii="Arial" w:hAnsi="Arial" w:cs="Arial"/>
          <w:bCs/>
          <w:color w:val="030102"/>
          <w:sz w:val="20"/>
          <w:szCs w:val="20"/>
          <w:lang w:val="en-GB"/>
        </w:rPr>
        <w:t>FZ</w:t>
      </w:r>
      <w:r w:rsidR="00C62AEE">
        <w:rPr>
          <w:rFonts w:ascii="Arial" w:hAnsi="Arial" w:cs="Arial"/>
          <w:bCs/>
          <w:color w:val="030102"/>
          <w:sz w:val="20"/>
          <w:szCs w:val="20"/>
          <w:lang w:val="en-GB"/>
        </w:rPr>
        <w:t>Co</w:t>
      </w:r>
      <w:proofErr w:type="spellEnd"/>
      <w:r w:rsidR="00C62AEE">
        <w:rPr>
          <w:rFonts w:ascii="Arial" w:hAnsi="Arial" w:cs="Arial"/>
          <w:bCs/>
          <w:color w:val="030102"/>
          <w:sz w:val="20"/>
          <w:szCs w:val="20"/>
          <w:lang w:val="en-GB"/>
        </w:rPr>
        <w:t>.</w:t>
      </w:r>
      <w:r w:rsidR="00C62AEE" w:rsidRPr="00B04967">
        <w:rPr>
          <w:rFonts w:ascii="Arial" w:hAnsi="Arial" w:cs="Arial"/>
          <w:bCs/>
          <w:color w:val="030102"/>
          <w:sz w:val="20"/>
          <w:szCs w:val="20"/>
          <w:lang w:val="en-GB"/>
        </w:rPr>
        <w:t xml:space="preserve"> </w:t>
      </w:r>
      <w:r w:rsidR="00C62AEE">
        <w:rPr>
          <w:rFonts w:ascii="Arial" w:hAnsi="Arial" w:cs="Arial"/>
          <w:bCs/>
          <w:color w:val="030102"/>
          <w:sz w:val="20"/>
          <w:szCs w:val="20"/>
          <w:lang w:val="en-GB"/>
        </w:rPr>
        <w:t>(</w:t>
      </w:r>
      <w:r w:rsidRPr="00B04967">
        <w:rPr>
          <w:rFonts w:ascii="Arial" w:hAnsi="Arial" w:cs="Arial"/>
          <w:bCs/>
          <w:color w:val="030102"/>
          <w:sz w:val="20"/>
          <w:szCs w:val="20"/>
          <w:lang w:val="en-GB"/>
        </w:rPr>
        <w:t>60%</w:t>
      </w:r>
      <w:r w:rsidR="00C62AEE">
        <w:rPr>
          <w:rFonts w:ascii="Arial" w:hAnsi="Arial" w:cs="Arial"/>
          <w:bCs/>
          <w:color w:val="030102"/>
          <w:sz w:val="20"/>
          <w:szCs w:val="20"/>
          <w:lang w:val="en-GB"/>
        </w:rPr>
        <w:t>)</w:t>
      </w:r>
    </w:p>
    <w:p w14:paraId="40FC5F5F" w14:textId="7757EC3B"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Usha Martin Americas Inc</w:t>
      </w:r>
      <w:r w:rsidR="006179DD">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6179DD">
        <w:rPr>
          <w:rFonts w:ascii="Arial" w:hAnsi="Arial" w:cs="Arial"/>
          <w:bCs/>
          <w:color w:val="030102"/>
          <w:sz w:val="20"/>
          <w:szCs w:val="20"/>
          <w:lang w:val="en-GB"/>
        </w:rPr>
        <w:t>(</w:t>
      </w:r>
      <w:r w:rsidRPr="00B04967">
        <w:rPr>
          <w:rFonts w:ascii="Arial" w:hAnsi="Arial" w:cs="Arial"/>
          <w:bCs/>
          <w:color w:val="030102"/>
          <w:sz w:val="20"/>
          <w:szCs w:val="20"/>
          <w:lang w:val="en-GB"/>
        </w:rPr>
        <w:t>100%</w:t>
      </w:r>
      <w:r w:rsidR="006179DD">
        <w:rPr>
          <w:rFonts w:ascii="Arial" w:hAnsi="Arial" w:cs="Arial"/>
          <w:bCs/>
          <w:color w:val="030102"/>
          <w:sz w:val="20"/>
          <w:szCs w:val="20"/>
          <w:lang w:val="en-GB"/>
        </w:rPr>
        <w:t>)</w:t>
      </w:r>
    </w:p>
    <w:p w14:paraId="2CE39BFA" w14:textId="37E76A68"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Usha Siam Steel Industries Public Company Limited </w:t>
      </w:r>
      <w:r w:rsidR="00824686">
        <w:rPr>
          <w:rFonts w:ascii="Arial" w:hAnsi="Arial" w:cs="Arial"/>
          <w:bCs/>
          <w:color w:val="030102"/>
          <w:sz w:val="20"/>
          <w:szCs w:val="20"/>
          <w:lang w:val="en-GB"/>
        </w:rPr>
        <w:t>(</w:t>
      </w:r>
      <w:r w:rsidRPr="00B04967">
        <w:rPr>
          <w:rFonts w:ascii="Arial" w:hAnsi="Arial" w:cs="Arial"/>
          <w:bCs/>
          <w:color w:val="030102"/>
          <w:sz w:val="20"/>
          <w:szCs w:val="20"/>
          <w:lang w:val="en-GB"/>
        </w:rPr>
        <w:t>98%</w:t>
      </w:r>
      <w:r w:rsidR="00824686">
        <w:rPr>
          <w:rFonts w:ascii="Arial" w:hAnsi="Arial" w:cs="Arial"/>
          <w:bCs/>
          <w:color w:val="030102"/>
          <w:sz w:val="20"/>
          <w:szCs w:val="20"/>
          <w:lang w:val="en-GB"/>
        </w:rPr>
        <w:t>)</w:t>
      </w:r>
    </w:p>
    <w:p w14:paraId="32E37ED8" w14:textId="67C45CD1"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Usha Martin Singapore </w:t>
      </w:r>
      <w:proofErr w:type="spellStart"/>
      <w:r w:rsidR="00824686">
        <w:rPr>
          <w:rFonts w:ascii="Arial" w:hAnsi="Arial" w:cs="Arial"/>
          <w:bCs/>
          <w:color w:val="030102"/>
          <w:sz w:val="20"/>
          <w:szCs w:val="20"/>
          <w:lang w:val="en-GB"/>
        </w:rPr>
        <w:t>Pte.</w:t>
      </w:r>
      <w:proofErr w:type="spellEnd"/>
      <w:r w:rsidR="00824686">
        <w:rPr>
          <w:rFonts w:ascii="Arial" w:hAnsi="Arial" w:cs="Arial"/>
          <w:bCs/>
          <w:color w:val="030102"/>
          <w:sz w:val="20"/>
          <w:szCs w:val="20"/>
          <w:lang w:val="en-GB"/>
        </w:rPr>
        <w:t xml:space="preserve"> Ltd.</w:t>
      </w:r>
      <w:r w:rsidRPr="00B04967">
        <w:rPr>
          <w:rFonts w:ascii="Arial" w:hAnsi="Arial" w:cs="Arial"/>
          <w:bCs/>
          <w:color w:val="030102"/>
          <w:sz w:val="20"/>
          <w:szCs w:val="20"/>
          <w:lang w:val="en-GB"/>
        </w:rPr>
        <w:t xml:space="preserve"> </w:t>
      </w:r>
      <w:r w:rsidR="00824686">
        <w:rPr>
          <w:rFonts w:ascii="Arial" w:hAnsi="Arial" w:cs="Arial"/>
          <w:bCs/>
          <w:color w:val="030102"/>
          <w:sz w:val="20"/>
          <w:szCs w:val="20"/>
          <w:lang w:val="en-GB"/>
        </w:rPr>
        <w:t>(</w:t>
      </w:r>
      <w:r w:rsidRPr="00B04967">
        <w:rPr>
          <w:rFonts w:ascii="Arial" w:hAnsi="Arial" w:cs="Arial"/>
          <w:bCs/>
          <w:color w:val="030102"/>
          <w:sz w:val="20"/>
          <w:szCs w:val="20"/>
          <w:lang w:val="en-GB"/>
        </w:rPr>
        <w:t>100%</w:t>
      </w:r>
      <w:r w:rsidR="00824686">
        <w:rPr>
          <w:rFonts w:ascii="Arial" w:hAnsi="Arial" w:cs="Arial"/>
          <w:bCs/>
          <w:color w:val="030102"/>
          <w:sz w:val="20"/>
          <w:szCs w:val="20"/>
          <w:lang w:val="en-GB"/>
        </w:rPr>
        <w:t>)</w:t>
      </w:r>
    </w:p>
    <w:p w14:paraId="5C85E0B6" w14:textId="1DF228E7"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Usha Martin Australia Pty </w:t>
      </w:r>
      <w:r w:rsidR="00824686">
        <w:rPr>
          <w:rFonts w:ascii="Arial" w:hAnsi="Arial" w:cs="Arial"/>
          <w:bCs/>
          <w:color w:val="030102"/>
          <w:sz w:val="20"/>
          <w:szCs w:val="20"/>
          <w:lang w:val="en-GB"/>
        </w:rPr>
        <w:t>Ltd.</w:t>
      </w:r>
      <w:r w:rsidR="00F42EFE">
        <w:rPr>
          <w:rFonts w:ascii="Arial" w:hAnsi="Arial" w:cs="Arial"/>
          <w:bCs/>
          <w:color w:val="030102"/>
          <w:sz w:val="20"/>
          <w:szCs w:val="20"/>
          <w:lang w:val="en-GB"/>
        </w:rPr>
        <w:t>*</w:t>
      </w:r>
      <w:r w:rsidR="00824686">
        <w:rPr>
          <w:rFonts w:ascii="Arial" w:hAnsi="Arial" w:cs="Arial"/>
          <w:bCs/>
          <w:color w:val="030102"/>
          <w:sz w:val="20"/>
          <w:szCs w:val="20"/>
          <w:lang w:val="en-GB"/>
        </w:rPr>
        <w:t xml:space="preserve"> </w:t>
      </w:r>
      <w:r w:rsidR="001F417E">
        <w:rPr>
          <w:rFonts w:ascii="Arial" w:hAnsi="Arial" w:cs="Arial"/>
          <w:bCs/>
          <w:color w:val="030102"/>
          <w:sz w:val="20"/>
          <w:szCs w:val="20"/>
          <w:lang w:val="en-GB"/>
        </w:rPr>
        <w:t>(</w:t>
      </w:r>
      <w:r w:rsidRPr="00B04967">
        <w:rPr>
          <w:rFonts w:ascii="Arial" w:hAnsi="Arial" w:cs="Arial"/>
          <w:bCs/>
          <w:color w:val="030102"/>
          <w:sz w:val="20"/>
          <w:szCs w:val="20"/>
          <w:lang w:val="en-GB"/>
        </w:rPr>
        <w:t>100%</w:t>
      </w:r>
      <w:r w:rsidR="001F417E">
        <w:rPr>
          <w:rFonts w:ascii="Arial" w:hAnsi="Arial" w:cs="Arial"/>
          <w:bCs/>
          <w:color w:val="030102"/>
          <w:sz w:val="20"/>
          <w:szCs w:val="20"/>
          <w:lang w:val="en-GB"/>
        </w:rPr>
        <w:t>)</w:t>
      </w:r>
    </w:p>
    <w:p w14:paraId="170A8175" w14:textId="6E17ED52"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Usha Martin Vietnam Company Limited</w:t>
      </w:r>
      <w:r w:rsidR="00F42EFE">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1F417E">
        <w:rPr>
          <w:rFonts w:ascii="Arial" w:hAnsi="Arial" w:cs="Arial"/>
          <w:bCs/>
          <w:color w:val="030102"/>
          <w:sz w:val="20"/>
          <w:szCs w:val="20"/>
          <w:lang w:val="en-GB"/>
        </w:rPr>
        <w:t>(</w:t>
      </w:r>
      <w:r w:rsidRPr="00B04967">
        <w:rPr>
          <w:rFonts w:ascii="Arial" w:hAnsi="Arial" w:cs="Arial"/>
          <w:bCs/>
          <w:color w:val="030102"/>
          <w:sz w:val="20"/>
          <w:szCs w:val="20"/>
          <w:lang w:val="en-GB"/>
        </w:rPr>
        <w:t>100%</w:t>
      </w:r>
      <w:r w:rsidR="001F417E">
        <w:rPr>
          <w:rFonts w:ascii="Arial" w:hAnsi="Arial" w:cs="Arial"/>
          <w:bCs/>
          <w:color w:val="030102"/>
          <w:sz w:val="20"/>
          <w:szCs w:val="20"/>
          <w:lang w:val="en-GB"/>
        </w:rPr>
        <w:t>)</w:t>
      </w:r>
    </w:p>
    <w:p w14:paraId="09152918" w14:textId="26F866F7"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PT Usha Martin Indonesia</w:t>
      </w:r>
      <w:r w:rsidR="00F42EFE">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1F417E">
        <w:rPr>
          <w:rFonts w:ascii="Arial" w:hAnsi="Arial" w:cs="Arial"/>
          <w:bCs/>
          <w:color w:val="030102"/>
          <w:sz w:val="20"/>
          <w:szCs w:val="20"/>
          <w:lang w:val="en-GB"/>
        </w:rPr>
        <w:t>(</w:t>
      </w:r>
      <w:r w:rsidRPr="00B04967">
        <w:rPr>
          <w:rFonts w:ascii="Arial" w:hAnsi="Arial" w:cs="Arial"/>
          <w:bCs/>
          <w:color w:val="030102"/>
          <w:sz w:val="20"/>
          <w:szCs w:val="20"/>
          <w:lang w:val="en-GB"/>
        </w:rPr>
        <w:t>100%</w:t>
      </w:r>
      <w:r w:rsidR="001F417E">
        <w:rPr>
          <w:rFonts w:ascii="Arial" w:hAnsi="Arial" w:cs="Arial"/>
          <w:bCs/>
          <w:color w:val="030102"/>
          <w:sz w:val="20"/>
          <w:szCs w:val="20"/>
          <w:lang w:val="en-GB"/>
        </w:rPr>
        <w:t>)</w:t>
      </w:r>
    </w:p>
    <w:p w14:paraId="0BD62B0E" w14:textId="2292D518"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Usha Martin China Company Limited</w:t>
      </w:r>
      <w:r w:rsidR="00F42EFE">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1F417E">
        <w:rPr>
          <w:rFonts w:ascii="Arial" w:hAnsi="Arial" w:cs="Arial"/>
          <w:bCs/>
          <w:color w:val="030102"/>
          <w:sz w:val="20"/>
          <w:szCs w:val="20"/>
          <w:lang w:val="en-GB"/>
        </w:rPr>
        <w:t>(</w:t>
      </w:r>
      <w:r w:rsidRPr="00B04967">
        <w:rPr>
          <w:rFonts w:ascii="Arial" w:hAnsi="Arial" w:cs="Arial"/>
          <w:bCs/>
          <w:color w:val="030102"/>
          <w:sz w:val="20"/>
          <w:szCs w:val="20"/>
          <w:lang w:val="en-GB"/>
        </w:rPr>
        <w:t>100%</w:t>
      </w:r>
      <w:r w:rsidR="001F417E">
        <w:rPr>
          <w:rFonts w:ascii="Arial" w:hAnsi="Arial" w:cs="Arial"/>
          <w:bCs/>
          <w:color w:val="030102"/>
          <w:sz w:val="20"/>
          <w:szCs w:val="20"/>
          <w:lang w:val="en-GB"/>
        </w:rPr>
        <w:t>)</w:t>
      </w:r>
    </w:p>
    <w:p w14:paraId="323E6771" w14:textId="77777777" w:rsidR="00825E1E" w:rsidRPr="00B04967" w:rsidRDefault="00825E1E" w:rsidP="00825E1E">
      <w:pPr>
        <w:autoSpaceDE w:val="0"/>
        <w:autoSpaceDN w:val="0"/>
        <w:adjustRightInd w:val="0"/>
        <w:rPr>
          <w:rFonts w:ascii="Arial" w:hAnsi="Arial" w:cs="Arial"/>
          <w:bCs/>
          <w:color w:val="030102"/>
          <w:lang w:val="en-GB"/>
        </w:rPr>
      </w:pPr>
    </w:p>
    <w:p w14:paraId="3A81CFD5" w14:textId="77777777" w:rsidR="00825E1E" w:rsidRPr="00B04967" w:rsidRDefault="00825E1E" w:rsidP="00825E1E">
      <w:pPr>
        <w:autoSpaceDE w:val="0"/>
        <w:autoSpaceDN w:val="0"/>
        <w:adjustRightInd w:val="0"/>
        <w:rPr>
          <w:rFonts w:ascii="Arial" w:hAnsi="Arial" w:cs="Arial"/>
          <w:b/>
          <w:bCs/>
          <w:color w:val="030102"/>
          <w:lang w:val="en-GB"/>
        </w:rPr>
        <w:sectPr w:rsidR="00825E1E" w:rsidRPr="00B04967" w:rsidSect="00825E1E">
          <w:type w:val="continuous"/>
          <w:pgSz w:w="12240" w:h="15840" w:code="1"/>
          <w:pgMar w:top="1080" w:right="1440" w:bottom="1440" w:left="1440" w:header="1080" w:footer="720" w:gutter="0"/>
          <w:cols w:num="2" w:space="720"/>
          <w:titlePg/>
          <w:docGrid w:linePitch="360"/>
        </w:sectPr>
      </w:pPr>
    </w:p>
    <w:p w14:paraId="1F132C19" w14:textId="760F0D65" w:rsidR="00825E1E" w:rsidRPr="00B04967" w:rsidRDefault="00825E1E" w:rsidP="00825E1E">
      <w:pPr>
        <w:autoSpaceDE w:val="0"/>
        <w:autoSpaceDN w:val="0"/>
        <w:adjustRightInd w:val="0"/>
        <w:rPr>
          <w:rFonts w:ascii="Arial" w:hAnsi="Arial" w:cs="Arial"/>
          <w:b/>
          <w:bCs/>
          <w:color w:val="030102"/>
          <w:lang w:val="en-GB"/>
        </w:rPr>
      </w:pPr>
      <w:r w:rsidRPr="00B04967">
        <w:rPr>
          <w:rFonts w:ascii="Arial" w:hAnsi="Arial" w:cs="Arial"/>
          <w:b/>
          <w:bCs/>
          <w:color w:val="030102"/>
          <w:lang w:val="en-GB"/>
        </w:rPr>
        <w:t>Joint Ventures</w:t>
      </w:r>
    </w:p>
    <w:p w14:paraId="3D8F90F3" w14:textId="03F86FFF"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proofErr w:type="spellStart"/>
      <w:r w:rsidRPr="00B04967">
        <w:rPr>
          <w:rFonts w:ascii="Arial" w:hAnsi="Arial" w:cs="Arial"/>
          <w:bCs/>
          <w:color w:val="030102"/>
          <w:sz w:val="20"/>
          <w:szCs w:val="20"/>
          <w:lang w:val="en-GB"/>
        </w:rPr>
        <w:t>Pengg</w:t>
      </w:r>
      <w:proofErr w:type="spellEnd"/>
      <w:r w:rsidRPr="00B04967">
        <w:rPr>
          <w:rFonts w:ascii="Arial" w:hAnsi="Arial" w:cs="Arial"/>
          <w:bCs/>
          <w:color w:val="030102"/>
          <w:sz w:val="20"/>
          <w:szCs w:val="20"/>
          <w:lang w:val="en-GB"/>
        </w:rPr>
        <w:t xml:space="preserve"> Usha Martin Wires Private Limited </w:t>
      </w:r>
      <w:r w:rsidR="002467FC">
        <w:rPr>
          <w:rFonts w:ascii="Arial" w:hAnsi="Arial" w:cs="Arial"/>
          <w:bCs/>
          <w:color w:val="030102"/>
          <w:sz w:val="20"/>
          <w:szCs w:val="20"/>
          <w:lang w:val="en-GB"/>
        </w:rPr>
        <w:t>(</w:t>
      </w:r>
      <w:r w:rsidRPr="00B04967">
        <w:rPr>
          <w:rFonts w:ascii="Arial" w:hAnsi="Arial" w:cs="Arial"/>
          <w:bCs/>
          <w:color w:val="030102"/>
          <w:sz w:val="20"/>
          <w:szCs w:val="20"/>
          <w:lang w:val="en-GB"/>
        </w:rPr>
        <w:t>40%</w:t>
      </w:r>
      <w:r w:rsidR="002467FC">
        <w:rPr>
          <w:rFonts w:ascii="Arial" w:hAnsi="Arial" w:cs="Arial"/>
          <w:bCs/>
          <w:color w:val="030102"/>
          <w:sz w:val="20"/>
          <w:szCs w:val="20"/>
          <w:lang w:val="en-GB"/>
        </w:rPr>
        <w:t>)</w:t>
      </w:r>
    </w:p>
    <w:p w14:paraId="47B89A43" w14:textId="0170CC49"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CCL Usha Martin Stressing Systems Limited </w:t>
      </w:r>
      <w:r w:rsidR="002467FC">
        <w:rPr>
          <w:rFonts w:ascii="Arial" w:hAnsi="Arial" w:cs="Arial"/>
          <w:bCs/>
          <w:color w:val="030102"/>
          <w:sz w:val="20"/>
          <w:szCs w:val="20"/>
          <w:lang w:val="en-GB"/>
        </w:rPr>
        <w:t>(</w:t>
      </w:r>
      <w:r w:rsidRPr="00B04967">
        <w:rPr>
          <w:rFonts w:ascii="Arial" w:hAnsi="Arial" w:cs="Arial"/>
          <w:bCs/>
          <w:color w:val="030102"/>
          <w:sz w:val="20"/>
          <w:szCs w:val="20"/>
          <w:lang w:val="en-GB"/>
        </w:rPr>
        <w:t>50%</w:t>
      </w:r>
      <w:r w:rsidR="002467FC">
        <w:rPr>
          <w:rFonts w:ascii="Arial" w:hAnsi="Arial" w:cs="Arial"/>
          <w:bCs/>
          <w:color w:val="030102"/>
          <w:sz w:val="20"/>
          <w:szCs w:val="20"/>
          <w:lang w:val="en-GB"/>
        </w:rPr>
        <w:t>)</w:t>
      </w:r>
    </w:p>
    <w:p w14:paraId="1002C9F8" w14:textId="3F4CAA4D" w:rsidR="00825E1E" w:rsidRPr="00B04967" w:rsidRDefault="00825E1E" w:rsidP="00825E1E">
      <w:pPr>
        <w:pStyle w:val="ListParagraph"/>
        <w:numPr>
          <w:ilvl w:val="0"/>
          <w:numId w:val="13"/>
        </w:numPr>
        <w:autoSpaceDE w:val="0"/>
        <w:autoSpaceDN w:val="0"/>
        <w:adjustRightInd w:val="0"/>
        <w:jc w:val="left"/>
        <w:rPr>
          <w:rFonts w:ascii="Arial" w:hAnsi="Arial" w:cs="Arial"/>
          <w:bCs/>
          <w:color w:val="030102"/>
          <w:sz w:val="20"/>
          <w:szCs w:val="20"/>
          <w:lang w:val="en-GB"/>
        </w:rPr>
      </w:pPr>
      <w:r w:rsidRPr="00B04967">
        <w:rPr>
          <w:rFonts w:ascii="Arial" w:hAnsi="Arial" w:cs="Arial"/>
          <w:bCs/>
          <w:color w:val="030102"/>
          <w:sz w:val="20"/>
          <w:szCs w:val="20"/>
          <w:lang w:val="en-GB"/>
        </w:rPr>
        <w:t xml:space="preserve">Tesac Usha </w:t>
      </w:r>
      <w:proofErr w:type="spellStart"/>
      <w:r w:rsidRPr="00B04967">
        <w:rPr>
          <w:rFonts w:ascii="Arial" w:hAnsi="Arial" w:cs="Arial"/>
          <w:bCs/>
          <w:color w:val="030102"/>
          <w:sz w:val="20"/>
          <w:szCs w:val="20"/>
          <w:lang w:val="en-GB"/>
        </w:rPr>
        <w:t>Wirerope</w:t>
      </w:r>
      <w:proofErr w:type="spellEnd"/>
      <w:r w:rsidRPr="00B04967">
        <w:rPr>
          <w:rFonts w:ascii="Arial" w:hAnsi="Arial" w:cs="Arial"/>
          <w:bCs/>
          <w:color w:val="030102"/>
          <w:sz w:val="20"/>
          <w:szCs w:val="20"/>
          <w:lang w:val="en-GB"/>
        </w:rPr>
        <w:t xml:space="preserve"> Company Limited*</w:t>
      </w:r>
      <w:r w:rsidR="00F42EFE">
        <w:rPr>
          <w:rFonts w:ascii="Arial" w:hAnsi="Arial" w:cs="Arial"/>
          <w:bCs/>
          <w:color w:val="030102"/>
          <w:sz w:val="20"/>
          <w:szCs w:val="20"/>
          <w:lang w:val="en-GB"/>
        </w:rPr>
        <w:t>*</w:t>
      </w:r>
      <w:r w:rsidRPr="00B04967">
        <w:rPr>
          <w:rFonts w:ascii="Arial" w:hAnsi="Arial" w:cs="Arial"/>
          <w:bCs/>
          <w:color w:val="030102"/>
          <w:sz w:val="20"/>
          <w:szCs w:val="20"/>
          <w:lang w:val="en-GB"/>
        </w:rPr>
        <w:t xml:space="preserve"> </w:t>
      </w:r>
      <w:r w:rsidR="002467FC">
        <w:rPr>
          <w:rFonts w:ascii="Arial" w:hAnsi="Arial" w:cs="Arial"/>
          <w:bCs/>
          <w:color w:val="030102"/>
          <w:sz w:val="20"/>
          <w:szCs w:val="20"/>
          <w:lang w:val="en-GB"/>
        </w:rPr>
        <w:t>(</w:t>
      </w:r>
      <w:r w:rsidRPr="00B04967">
        <w:rPr>
          <w:rFonts w:ascii="Arial" w:hAnsi="Arial" w:cs="Arial"/>
          <w:bCs/>
          <w:color w:val="030102"/>
          <w:sz w:val="20"/>
          <w:szCs w:val="20"/>
          <w:lang w:val="en-GB"/>
        </w:rPr>
        <w:t>50%</w:t>
      </w:r>
      <w:r w:rsidR="002467FC">
        <w:rPr>
          <w:rFonts w:ascii="Arial" w:hAnsi="Arial" w:cs="Arial"/>
          <w:bCs/>
          <w:color w:val="030102"/>
          <w:sz w:val="20"/>
          <w:szCs w:val="20"/>
          <w:lang w:val="en-GB"/>
        </w:rPr>
        <w:t>)</w:t>
      </w:r>
    </w:p>
    <w:p w14:paraId="7BAB40CF" w14:textId="77777777" w:rsidR="00825E1E" w:rsidRPr="00B04967" w:rsidRDefault="00825E1E" w:rsidP="00825E1E">
      <w:pPr>
        <w:autoSpaceDE w:val="0"/>
        <w:autoSpaceDN w:val="0"/>
        <w:adjustRightInd w:val="0"/>
        <w:rPr>
          <w:rFonts w:ascii="Arial" w:hAnsi="Arial" w:cs="Arial"/>
          <w:bCs/>
          <w:color w:val="030102"/>
          <w:lang w:val="en-GB"/>
        </w:rPr>
      </w:pPr>
    </w:p>
    <w:p w14:paraId="4B288B2E" w14:textId="3C114435" w:rsidR="00825E1E" w:rsidRPr="00B04967" w:rsidRDefault="00125084" w:rsidP="00E7570E">
      <w:pPr>
        <w:pStyle w:val="Footnote"/>
        <w:rPr>
          <w:lang w:val="en-GB"/>
        </w:rPr>
      </w:pPr>
      <w:r>
        <w:rPr>
          <w:lang w:val="en-GB"/>
        </w:rPr>
        <w:t xml:space="preserve">Notes: </w:t>
      </w:r>
      <w:r w:rsidR="00F42EFE">
        <w:rPr>
          <w:lang w:val="en-GB"/>
        </w:rPr>
        <w:t>*</w:t>
      </w:r>
      <w:r w:rsidR="00825E1E" w:rsidRPr="00B04967">
        <w:rPr>
          <w:lang w:val="en-GB"/>
        </w:rPr>
        <w:t xml:space="preserve"> Represents </w:t>
      </w:r>
      <w:r w:rsidR="00F042E6">
        <w:rPr>
          <w:lang w:val="en-GB"/>
        </w:rPr>
        <w:t xml:space="preserve">a </w:t>
      </w:r>
      <w:r w:rsidR="00825E1E" w:rsidRPr="00B04967">
        <w:rPr>
          <w:lang w:val="en-GB"/>
        </w:rPr>
        <w:t>step-down subsidiary</w:t>
      </w:r>
      <w:r>
        <w:rPr>
          <w:lang w:val="en-GB"/>
        </w:rPr>
        <w:t xml:space="preserve">; </w:t>
      </w:r>
      <w:r w:rsidR="00825E1E" w:rsidRPr="00B04967">
        <w:rPr>
          <w:lang w:val="en-GB"/>
        </w:rPr>
        <w:t>*</w:t>
      </w:r>
      <w:r w:rsidR="00F42EFE">
        <w:rPr>
          <w:lang w:val="en-GB"/>
        </w:rPr>
        <w:t>*</w:t>
      </w:r>
      <w:r w:rsidR="00825E1E" w:rsidRPr="00B04967">
        <w:rPr>
          <w:lang w:val="en-GB"/>
        </w:rPr>
        <w:t xml:space="preserve"> Represents </w:t>
      </w:r>
      <w:r w:rsidR="00F042E6">
        <w:rPr>
          <w:lang w:val="en-GB"/>
        </w:rPr>
        <w:t xml:space="preserve">a </w:t>
      </w:r>
      <w:r w:rsidR="00825E1E" w:rsidRPr="00B04967">
        <w:rPr>
          <w:lang w:val="en-GB"/>
        </w:rPr>
        <w:t>step-down jointly controlled entity</w:t>
      </w:r>
      <w:r w:rsidR="00F042E6">
        <w:rPr>
          <w:lang w:val="en-GB"/>
        </w:rPr>
        <w:t>.</w:t>
      </w:r>
    </w:p>
    <w:p w14:paraId="5819507D" w14:textId="08798281" w:rsidR="00CF6AEF" w:rsidRDefault="00825E1E" w:rsidP="00CF6AEF">
      <w:pPr>
        <w:pStyle w:val="Footnote"/>
        <w:rPr>
          <w:lang w:val="en-GB"/>
        </w:rPr>
      </w:pPr>
      <w:r w:rsidRPr="00B04967">
        <w:rPr>
          <w:lang w:val="en-GB"/>
        </w:rPr>
        <w:t xml:space="preserve">Source: </w:t>
      </w:r>
      <w:r w:rsidR="00842B46" w:rsidRPr="00842B46">
        <w:rPr>
          <w:lang w:val="en-GB"/>
        </w:rPr>
        <w:t xml:space="preserve">Usha Martin Limited, </w:t>
      </w:r>
      <w:r w:rsidR="00842B46" w:rsidRPr="00703AD3">
        <w:rPr>
          <w:i/>
          <w:lang w:val="en-GB"/>
        </w:rPr>
        <w:t xml:space="preserve">Annual Report </w:t>
      </w:r>
      <w:r w:rsidR="00842B46" w:rsidRPr="00BE3307">
        <w:rPr>
          <w:i/>
          <w:lang w:val="en-GB"/>
        </w:rPr>
        <w:t>2018–19</w:t>
      </w:r>
      <w:r w:rsidR="00842B46" w:rsidRPr="00BE3307">
        <w:rPr>
          <w:lang w:val="en-GB"/>
        </w:rPr>
        <w:t xml:space="preserve">, </w:t>
      </w:r>
      <w:r w:rsidR="00222FD8" w:rsidRPr="00BE3307">
        <w:rPr>
          <w:lang w:val="en-GB"/>
        </w:rPr>
        <w:t>151</w:t>
      </w:r>
      <w:r w:rsidR="00BE3307">
        <w:rPr>
          <w:lang w:val="en-GB"/>
        </w:rPr>
        <w:t>,</w:t>
      </w:r>
      <w:r w:rsidR="00842B46" w:rsidRPr="00BE3307">
        <w:rPr>
          <w:lang w:val="en-GB"/>
        </w:rPr>
        <w:t xml:space="preserve"> </w:t>
      </w:r>
      <w:r w:rsidRPr="00BE3307">
        <w:rPr>
          <w:lang w:val="en-GB"/>
        </w:rPr>
        <w:t>2019</w:t>
      </w:r>
      <w:r w:rsidR="00842B46" w:rsidRPr="00BE3307">
        <w:rPr>
          <w:lang w:val="en-GB"/>
        </w:rPr>
        <w:t xml:space="preserve">, accessed January 28, 2021, </w:t>
      </w:r>
      <w:hyperlink w:history="1"/>
      <w:r w:rsidR="00842B46" w:rsidRPr="00BE3307">
        <w:t>www.ushamartin.com/report/annual-report-2018-19/</w:t>
      </w:r>
      <w:r w:rsidR="00842B46" w:rsidRPr="00BE3307">
        <w:rPr>
          <w:lang w:val="en-GB"/>
        </w:rPr>
        <w:t>.</w:t>
      </w:r>
      <w:r w:rsidR="00CF6AEF">
        <w:rPr>
          <w:lang w:val="en-GB"/>
        </w:rPr>
        <w:t xml:space="preserve"> </w:t>
      </w:r>
    </w:p>
    <w:p w14:paraId="495EA83D" w14:textId="14C60AB9" w:rsidR="00825E1E" w:rsidRPr="00B04967" w:rsidRDefault="00825E1E" w:rsidP="00825E1E">
      <w:pPr>
        <w:pStyle w:val="Footnote"/>
        <w:rPr>
          <w:lang w:val="en-GB"/>
        </w:rPr>
      </w:pPr>
    </w:p>
    <w:p w14:paraId="5920B6BD" w14:textId="77777777" w:rsidR="00CF6AEF" w:rsidRDefault="00CF6AEF" w:rsidP="00825E1E">
      <w:pPr>
        <w:pStyle w:val="ExhibitHeading"/>
        <w:rPr>
          <w:lang w:val="en-GB"/>
        </w:rPr>
      </w:pPr>
    </w:p>
    <w:p w14:paraId="6B5706AF" w14:textId="04981315" w:rsidR="00825E1E" w:rsidRPr="00B04967" w:rsidRDefault="00825E1E" w:rsidP="00E7570E">
      <w:pPr>
        <w:pStyle w:val="ExhibitHeading"/>
        <w:keepNext/>
        <w:keepLines/>
        <w:rPr>
          <w:lang w:val="en-GB"/>
        </w:rPr>
      </w:pPr>
      <w:r w:rsidRPr="00B04967">
        <w:rPr>
          <w:lang w:val="en-GB"/>
        </w:rPr>
        <w:lastRenderedPageBreak/>
        <w:t xml:space="preserve">EXhibit </w:t>
      </w:r>
      <w:r w:rsidR="009B0CED">
        <w:rPr>
          <w:lang w:val="en-GB"/>
        </w:rPr>
        <w:t>5</w:t>
      </w:r>
      <w:r w:rsidRPr="00B04967">
        <w:rPr>
          <w:lang w:val="en-GB"/>
        </w:rPr>
        <w:t xml:space="preserve">: pERFORMANCE OF USHA MARTIN’S WWR BUSINESS </w:t>
      </w:r>
      <w:r w:rsidR="009108F4">
        <w:rPr>
          <w:lang w:val="en-GB"/>
        </w:rPr>
        <w:t>(₹ Millions)</w:t>
      </w:r>
    </w:p>
    <w:p w14:paraId="04A849BC" w14:textId="77777777" w:rsidR="00825E1E" w:rsidRPr="00B04967" w:rsidRDefault="00825E1E" w:rsidP="00E7570E">
      <w:pPr>
        <w:pStyle w:val="ExhibitHeading"/>
        <w:keepNext/>
        <w:keepLines/>
        <w:rPr>
          <w:lang w:val="en-GB"/>
        </w:rPr>
      </w:pPr>
    </w:p>
    <w:tbl>
      <w:tblPr>
        <w:tblStyle w:val="TableGrid"/>
        <w:tblW w:w="0" w:type="auto"/>
        <w:jc w:val="center"/>
        <w:tblLook w:val="04A0" w:firstRow="1" w:lastRow="0" w:firstColumn="1" w:lastColumn="0" w:noHBand="0" w:noVBand="1"/>
        <w:tblCaption w:val="PERFORMANCE OF USHA MARTIN’S WWR BUSINESS (₹ MILLIONS)"/>
        <w:tblDescription w:val="Year ended March 2016-March 2020"/>
      </w:tblPr>
      <w:tblGrid>
        <w:gridCol w:w="2110"/>
        <w:gridCol w:w="1448"/>
        <w:gridCol w:w="1448"/>
        <w:gridCol w:w="1448"/>
        <w:gridCol w:w="1448"/>
        <w:gridCol w:w="1448"/>
      </w:tblGrid>
      <w:tr w:rsidR="00825E1E" w:rsidRPr="00B04967" w14:paraId="58995E9A" w14:textId="77777777" w:rsidTr="00F03407">
        <w:trPr>
          <w:tblHeader/>
          <w:jc w:val="center"/>
        </w:trPr>
        <w:tc>
          <w:tcPr>
            <w:tcW w:w="2226" w:type="dxa"/>
            <w:vMerge w:val="restart"/>
          </w:tcPr>
          <w:p w14:paraId="472162F9" w14:textId="77777777" w:rsidR="00825E1E" w:rsidRPr="00B04967" w:rsidRDefault="00825E1E" w:rsidP="00E7570E">
            <w:pPr>
              <w:keepNext/>
              <w:keepLines/>
              <w:rPr>
                <w:rFonts w:ascii="Arial" w:hAnsi="Arial" w:cs="Arial"/>
                <w:lang w:val="en-GB"/>
              </w:rPr>
            </w:pPr>
          </w:p>
        </w:tc>
        <w:tc>
          <w:tcPr>
            <w:tcW w:w="7509" w:type="dxa"/>
            <w:gridSpan w:val="5"/>
            <w:vAlign w:val="center"/>
          </w:tcPr>
          <w:p w14:paraId="0D92ECF6" w14:textId="727F12E0" w:rsidR="00825E1E" w:rsidRPr="00A65461" w:rsidRDefault="00825E1E" w:rsidP="00E7570E">
            <w:pPr>
              <w:keepNext/>
              <w:keepLines/>
              <w:jc w:val="center"/>
              <w:rPr>
                <w:rFonts w:ascii="Arial" w:hAnsi="Arial" w:cs="Arial"/>
                <w:b/>
                <w:bCs/>
                <w:lang w:val="en-GB"/>
              </w:rPr>
            </w:pPr>
            <w:r w:rsidRPr="00A65461">
              <w:rPr>
                <w:rFonts w:ascii="Arial" w:hAnsi="Arial" w:cs="Arial"/>
                <w:b/>
                <w:bCs/>
                <w:lang w:val="en-GB"/>
              </w:rPr>
              <w:t xml:space="preserve">Year </w:t>
            </w:r>
            <w:r w:rsidR="00831349" w:rsidRPr="00A65461">
              <w:rPr>
                <w:rFonts w:ascii="Arial" w:hAnsi="Arial" w:cs="Arial"/>
                <w:b/>
                <w:bCs/>
                <w:lang w:val="en-GB"/>
              </w:rPr>
              <w:t>Ended</w:t>
            </w:r>
          </w:p>
        </w:tc>
      </w:tr>
      <w:tr w:rsidR="00825E1E" w:rsidRPr="00B04967" w14:paraId="6C63165A" w14:textId="77777777" w:rsidTr="00F03407">
        <w:trPr>
          <w:tblHeader/>
          <w:jc w:val="center"/>
        </w:trPr>
        <w:tc>
          <w:tcPr>
            <w:tcW w:w="2226" w:type="dxa"/>
            <w:vMerge/>
          </w:tcPr>
          <w:p w14:paraId="0ECF0D7E" w14:textId="77777777" w:rsidR="00825E1E" w:rsidRPr="00B04967" w:rsidRDefault="00825E1E" w:rsidP="00703AD3">
            <w:pPr>
              <w:keepNext/>
              <w:keepLines/>
              <w:rPr>
                <w:rFonts w:ascii="Arial" w:hAnsi="Arial" w:cs="Arial"/>
                <w:lang w:val="en-GB"/>
              </w:rPr>
            </w:pPr>
          </w:p>
        </w:tc>
        <w:tc>
          <w:tcPr>
            <w:tcW w:w="1501" w:type="dxa"/>
            <w:vAlign w:val="center"/>
          </w:tcPr>
          <w:p w14:paraId="3845628E" w14:textId="77777777" w:rsidR="00825E1E" w:rsidRPr="00A65461" w:rsidRDefault="00825E1E" w:rsidP="00703AD3">
            <w:pPr>
              <w:keepNext/>
              <w:keepLines/>
              <w:jc w:val="center"/>
              <w:rPr>
                <w:rFonts w:ascii="Arial" w:hAnsi="Arial" w:cs="Arial"/>
                <w:b/>
                <w:bCs/>
                <w:lang w:val="en-GB"/>
              </w:rPr>
            </w:pPr>
            <w:r w:rsidRPr="00A65461">
              <w:rPr>
                <w:rFonts w:ascii="Arial" w:hAnsi="Arial" w:cs="Arial"/>
                <w:b/>
                <w:bCs/>
                <w:lang w:val="en-GB"/>
              </w:rPr>
              <w:t>March 2020</w:t>
            </w:r>
          </w:p>
        </w:tc>
        <w:tc>
          <w:tcPr>
            <w:tcW w:w="1502" w:type="dxa"/>
            <w:vAlign w:val="center"/>
          </w:tcPr>
          <w:p w14:paraId="58E2BBE0" w14:textId="77777777" w:rsidR="00825E1E" w:rsidRPr="00A65461" w:rsidRDefault="00825E1E" w:rsidP="00703AD3">
            <w:pPr>
              <w:keepNext/>
              <w:keepLines/>
              <w:jc w:val="center"/>
              <w:rPr>
                <w:rFonts w:ascii="Arial" w:hAnsi="Arial" w:cs="Arial"/>
                <w:b/>
                <w:bCs/>
                <w:lang w:val="en-GB"/>
              </w:rPr>
            </w:pPr>
            <w:r w:rsidRPr="00A65461">
              <w:rPr>
                <w:rFonts w:ascii="Arial" w:hAnsi="Arial" w:cs="Arial"/>
                <w:b/>
                <w:bCs/>
                <w:lang w:val="en-GB"/>
              </w:rPr>
              <w:t>March 2019</w:t>
            </w:r>
          </w:p>
        </w:tc>
        <w:tc>
          <w:tcPr>
            <w:tcW w:w="1502" w:type="dxa"/>
            <w:vAlign w:val="center"/>
          </w:tcPr>
          <w:p w14:paraId="0D4E557F" w14:textId="77777777" w:rsidR="00825E1E" w:rsidRPr="00A65461" w:rsidRDefault="00825E1E" w:rsidP="00703AD3">
            <w:pPr>
              <w:keepNext/>
              <w:keepLines/>
              <w:jc w:val="center"/>
              <w:rPr>
                <w:rFonts w:ascii="Arial" w:hAnsi="Arial" w:cs="Arial"/>
                <w:b/>
                <w:bCs/>
                <w:lang w:val="en-GB"/>
              </w:rPr>
            </w:pPr>
            <w:r w:rsidRPr="00A65461">
              <w:rPr>
                <w:rFonts w:ascii="Arial" w:hAnsi="Arial" w:cs="Arial"/>
                <w:b/>
                <w:bCs/>
                <w:lang w:val="en-GB"/>
              </w:rPr>
              <w:t>March 2018</w:t>
            </w:r>
          </w:p>
        </w:tc>
        <w:tc>
          <w:tcPr>
            <w:tcW w:w="1502" w:type="dxa"/>
            <w:vAlign w:val="center"/>
          </w:tcPr>
          <w:p w14:paraId="1132A9CE" w14:textId="77777777" w:rsidR="00825E1E" w:rsidRPr="00A65461" w:rsidRDefault="00825E1E" w:rsidP="00703AD3">
            <w:pPr>
              <w:keepNext/>
              <w:keepLines/>
              <w:jc w:val="center"/>
              <w:rPr>
                <w:rFonts w:ascii="Arial" w:hAnsi="Arial" w:cs="Arial"/>
                <w:b/>
                <w:bCs/>
                <w:lang w:val="en-GB"/>
              </w:rPr>
            </w:pPr>
            <w:r w:rsidRPr="00A65461">
              <w:rPr>
                <w:rFonts w:ascii="Arial" w:hAnsi="Arial" w:cs="Arial"/>
                <w:b/>
                <w:bCs/>
                <w:lang w:val="en-GB"/>
              </w:rPr>
              <w:t>March 2017</w:t>
            </w:r>
          </w:p>
        </w:tc>
        <w:tc>
          <w:tcPr>
            <w:tcW w:w="1502" w:type="dxa"/>
            <w:vAlign w:val="center"/>
          </w:tcPr>
          <w:p w14:paraId="6EBD39E6" w14:textId="10040C5F" w:rsidR="00825E1E" w:rsidRPr="00A65461" w:rsidRDefault="00825E1E" w:rsidP="00703AD3">
            <w:pPr>
              <w:keepNext/>
              <w:keepLines/>
              <w:jc w:val="center"/>
              <w:rPr>
                <w:rFonts w:ascii="Arial" w:hAnsi="Arial" w:cs="Arial"/>
                <w:b/>
                <w:bCs/>
                <w:lang w:val="en-GB"/>
              </w:rPr>
            </w:pPr>
            <w:r w:rsidRPr="00A65461">
              <w:rPr>
                <w:rFonts w:ascii="Arial" w:hAnsi="Arial" w:cs="Arial"/>
                <w:b/>
                <w:bCs/>
                <w:lang w:val="en-GB"/>
              </w:rPr>
              <w:t>March 2016</w:t>
            </w:r>
          </w:p>
        </w:tc>
      </w:tr>
      <w:tr w:rsidR="00825E1E" w:rsidRPr="00B04967" w14:paraId="68FA0237" w14:textId="77777777" w:rsidTr="00F03407">
        <w:trPr>
          <w:tblHeader/>
          <w:jc w:val="center"/>
        </w:trPr>
        <w:tc>
          <w:tcPr>
            <w:tcW w:w="2226" w:type="dxa"/>
          </w:tcPr>
          <w:p w14:paraId="305D66D1" w14:textId="065B48B2" w:rsidR="00825E1E" w:rsidRPr="00B04967" w:rsidRDefault="00825E1E" w:rsidP="00703AD3">
            <w:pPr>
              <w:keepNext/>
              <w:keepLines/>
              <w:rPr>
                <w:rFonts w:ascii="Arial" w:hAnsi="Arial" w:cs="Arial"/>
                <w:lang w:val="en-GB"/>
              </w:rPr>
            </w:pPr>
            <w:r w:rsidRPr="00B04967">
              <w:rPr>
                <w:rFonts w:ascii="Arial" w:hAnsi="Arial" w:cs="Arial"/>
                <w:lang w:val="en-GB"/>
              </w:rPr>
              <w:t xml:space="preserve">WWR </w:t>
            </w:r>
            <w:r w:rsidR="00B876CF">
              <w:rPr>
                <w:rFonts w:ascii="Arial" w:hAnsi="Arial" w:cs="Arial"/>
                <w:lang w:val="en-GB"/>
              </w:rPr>
              <w:t>Revenues</w:t>
            </w:r>
            <w:r w:rsidRPr="00B04967">
              <w:rPr>
                <w:rFonts w:ascii="Arial" w:hAnsi="Arial" w:cs="Arial"/>
                <w:lang w:val="en-GB"/>
              </w:rPr>
              <w:t xml:space="preserve"> </w:t>
            </w:r>
          </w:p>
        </w:tc>
        <w:tc>
          <w:tcPr>
            <w:tcW w:w="1501" w:type="dxa"/>
            <w:vAlign w:val="center"/>
          </w:tcPr>
          <w:p w14:paraId="0A3E3DF7" w14:textId="77777777" w:rsidR="00825E1E" w:rsidRPr="00B04967" w:rsidRDefault="00825E1E" w:rsidP="00703AD3">
            <w:pPr>
              <w:keepNext/>
              <w:keepLines/>
              <w:jc w:val="right"/>
              <w:rPr>
                <w:rFonts w:ascii="Arial" w:hAnsi="Arial" w:cs="Arial"/>
                <w:lang w:val="en-GB"/>
              </w:rPr>
            </w:pPr>
            <w:r w:rsidRPr="00B04967">
              <w:rPr>
                <w:rFonts w:ascii="Arial" w:hAnsi="Arial" w:cs="Arial"/>
                <w:lang w:val="en-GB"/>
              </w:rPr>
              <w:t>13,909.7</w:t>
            </w:r>
          </w:p>
        </w:tc>
        <w:tc>
          <w:tcPr>
            <w:tcW w:w="1502" w:type="dxa"/>
            <w:vAlign w:val="center"/>
          </w:tcPr>
          <w:p w14:paraId="10DBDEA3" w14:textId="77777777" w:rsidR="00825E1E" w:rsidRPr="00B04967" w:rsidRDefault="00825E1E" w:rsidP="00703AD3">
            <w:pPr>
              <w:keepNext/>
              <w:keepLines/>
              <w:jc w:val="right"/>
              <w:rPr>
                <w:rFonts w:ascii="Arial" w:hAnsi="Arial" w:cs="Arial"/>
                <w:lang w:val="en-GB"/>
              </w:rPr>
            </w:pPr>
            <w:r w:rsidRPr="00B04967">
              <w:rPr>
                <w:rFonts w:ascii="Arial" w:hAnsi="Arial" w:cs="Arial"/>
                <w:lang w:val="en-GB"/>
              </w:rPr>
              <w:t>17,050.5</w:t>
            </w:r>
          </w:p>
        </w:tc>
        <w:tc>
          <w:tcPr>
            <w:tcW w:w="1502" w:type="dxa"/>
            <w:vAlign w:val="center"/>
          </w:tcPr>
          <w:p w14:paraId="5DF8C5A4" w14:textId="2D837826" w:rsidR="00825E1E" w:rsidRPr="00B04967" w:rsidRDefault="00825E1E" w:rsidP="00703AD3">
            <w:pPr>
              <w:keepNext/>
              <w:keepLines/>
              <w:jc w:val="right"/>
              <w:rPr>
                <w:rFonts w:ascii="Arial" w:hAnsi="Arial" w:cs="Arial"/>
                <w:lang w:val="en-GB"/>
              </w:rPr>
            </w:pPr>
            <w:r w:rsidRPr="00B04967">
              <w:rPr>
                <w:rFonts w:ascii="Arial" w:hAnsi="Arial" w:cs="Arial"/>
                <w:lang w:val="en-GB"/>
              </w:rPr>
              <w:t>15</w:t>
            </w:r>
            <w:r w:rsidR="0056538A">
              <w:rPr>
                <w:rFonts w:ascii="Arial" w:hAnsi="Arial" w:cs="Arial"/>
                <w:lang w:val="en-GB"/>
              </w:rPr>
              <w:t>,</w:t>
            </w:r>
            <w:r w:rsidRPr="00B04967">
              <w:rPr>
                <w:rFonts w:ascii="Arial" w:hAnsi="Arial" w:cs="Arial"/>
                <w:lang w:val="en-GB"/>
              </w:rPr>
              <w:t>179.6</w:t>
            </w:r>
          </w:p>
        </w:tc>
        <w:tc>
          <w:tcPr>
            <w:tcW w:w="1502" w:type="dxa"/>
            <w:vAlign w:val="center"/>
          </w:tcPr>
          <w:p w14:paraId="2BC307C9" w14:textId="611148CF" w:rsidR="00825E1E" w:rsidRPr="00B04967" w:rsidRDefault="00825E1E" w:rsidP="00703AD3">
            <w:pPr>
              <w:keepNext/>
              <w:keepLines/>
              <w:jc w:val="right"/>
              <w:rPr>
                <w:rFonts w:ascii="Arial" w:hAnsi="Arial" w:cs="Arial"/>
                <w:lang w:val="en-GB"/>
              </w:rPr>
            </w:pPr>
            <w:r w:rsidRPr="00B04967">
              <w:rPr>
                <w:rFonts w:ascii="Arial" w:hAnsi="Arial" w:cs="Arial"/>
                <w:lang w:val="en-GB"/>
              </w:rPr>
              <w:t>13</w:t>
            </w:r>
            <w:r w:rsidR="0056538A">
              <w:rPr>
                <w:rFonts w:ascii="Arial" w:hAnsi="Arial" w:cs="Arial"/>
                <w:lang w:val="en-GB"/>
              </w:rPr>
              <w:t>,</w:t>
            </w:r>
            <w:r w:rsidRPr="00B04967">
              <w:rPr>
                <w:rFonts w:ascii="Arial" w:hAnsi="Arial" w:cs="Arial"/>
                <w:lang w:val="en-GB"/>
              </w:rPr>
              <w:t>535.5</w:t>
            </w:r>
          </w:p>
        </w:tc>
        <w:tc>
          <w:tcPr>
            <w:tcW w:w="1502" w:type="dxa"/>
            <w:vAlign w:val="center"/>
          </w:tcPr>
          <w:p w14:paraId="740E7060" w14:textId="2CEB1E22" w:rsidR="00825E1E" w:rsidRPr="00B04967" w:rsidRDefault="00825E1E" w:rsidP="00703AD3">
            <w:pPr>
              <w:keepNext/>
              <w:keepLines/>
              <w:jc w:val="right"/>
              <w:rPr>
                <w:rFonts w:ascii="Arial" w:hAnsi="Arial" w:cs="Arial"/>
                <w:lang w:val="en-GB"/>
              </w:rPr>
            </w:pPr>
            <w:r w:rsidRPr="00B04967">
              <w:rPr>
                <w:rFonts w:ascii="Arial" w:hAnsi="Arial" w:cs="Arial"/>
                <w:lang w:val="en-GB"/>
              </w:rPr>
              <w:t>13</w:t>
            </w:r>
            <w:r w:rsidR="0056538A">
              <w:rPr>
                <w:rFonts w:ascii="Arial" w:hAnsi="Arial" w:cs="Arial"/>
                <w:lang w:val="en-GB"/>
              </w:rPr>
              <w:t>,</w:t>
            </w:r>
            <w:r w:rsidRPr="00B04967">
              <w:rPr>
                <w:rFonts w:ascii="Arial" w:hAnsi="Arial" w:cs="Arial"/>
                <w:lang w:val="en-GB"/>
              </w:rPr>
              <w:t>038.1</w:t>
            </w:r>
          </w:p>
        </w:tc>
      </w:tr>
      <w:tr w:rsidR="00825E1E" w:rsidRPr="00B04967" w14:paraId="5DBC4E87" w14:textId="77777777" w:rsidTr="00F03407">
        <w:trPr>
          <w:tblHeader/>
          <w:jc w:val="center"/>
        </w:trPr>
        <w:tc>
          <w:tcPr>
            <w:tcW w:w="2226" w:type="dxa"/>
          </w:tcPr>
          <w:p w14:paraId="5A33F52F" w14:textId="6945CC54" w:rsidR="00825E1E" w:rsidRPr="00B04967" w:rsidRDefault="00825E1E" w:rsidP="00703AD3">
            <w:pPr>
              <w:keepNext/>
              <w:keepLines/>
              <w:rPr>
                <w:rFonts w:ascii="Arial" w:hAnsi="Arial" w:cs="Arial"/>
                <w:lang w:val="en-GB"/>
              </w:rPr>
            </w:pPr>
            <w:r w:rsidRPr="00B04967">
              <w:rPr>
                <w:rFonts w:ascii="Arial" w:hAnsi="Arial" w:cs="Arial"/>
                <w:lang w:val="en-GB"/>
              </w:rPr>
              <w:t xml:space="preserve">Profits before </w:t>
            </w:r>
            <w:r w:rsidR="00B876CF">
              <w:rPr>
                <w:rFonts w:ascii="Arial" w:hAnsi="Arial" w:cs="Arial"/>
                <w:lang w:val="en-GB"/>
              </w:rPr>
              <w:t>Tax</w:t>
            </w:r>
            <w:r w:rsidR="00B876CF" w:rsidRPr="00B04967">
              <w:rPr>
                <w:rFonts w:ascii="Arial" w:hAnsi="Arial" w:cs="Arial"/>
                <w:lang w:val="en-GB"/>
              </w:rPr>
              <w:t xml:space="preserve"> </w:t>
            </w:r>
            <w:r w:rsidRPr="00B04967">
              <w:rPr>
                <w:rFonts w:ascii="Arial" w:hAnsi="Arial" w:cs="Arial"/>
                <w:lang w:val="en-GB"/>
              </w:rPr>
              <w:t xml:space="preserve">and </w:t>
            </w:r>
            <w:r w:rsidR="00B876CF">
              <w:rPr>
                <w:rFonts w:ascii="Arial" w:hAnsi="Arial" w:cs="Arial"/>
                <w:lang w:val="en-GB"/>
              </w:rPr>
              <w:t>Finance Costs</w:t>
            </w:r>
            <w:r w:rsidRPr="00B04967">
              <w:rPr>
                <w:rFonts w:ascii="Arial" w:hAnsi="Arial" w:cs="Arial"/>
                <w:lang w:val="en-GB"/>
              </w:rPr>
              <w:t xml:space="preserve"> </w:t>
            </w:r>
          </w:p>
        </w:tc>
        <w:tc>
          <w:tcPr>
            <w:tcW w:w="1501" w:type="dxa"/>
            <w:vAlign w:val="center"/>
          </w:tcPr>
          <w:p w14:paraId="1651F9EC" w14:textId="1D4E18A9" w:rsidR="00825E1E" w:rsidRPr="00B04967" w:rsidRDefault="00825E1E" w:rsidP="00703AD3">
            <w:pPr>
              <w:keepNext/>
              <w:keepLines/>
              <w:jc w:val="right"/>
              <w:rPr>
                <w:rFonts w:ascii="Arial" w:hAnsi="Arial" w:cs="Arial"/>
                <w:lang w:val="en-GB"/>
              </w:rPr>
            </w:pPr>
            <w:r w:rsidRPr="00B04967">
              <w:rPr>
                <w:rFonts w:ascii="Arial" w:hAnsi="Arial" w:cs="Arial"/>
                <w:lang w:val="en-GB"/>
              </w:rPr>
              <w:t>1</w:t>
            </w:r>
            <w:r w:rsidR="0056538A">
              <w:rPr>
                <w:rFonts w:ascii="Arial" w:hAnsi="Arial" w:cs="Arial"/>
                <w:lang w:val="en-GB"/>
              </w:rPr>
              <w:t>,</w:t>
            </w:r>
            <w:r w:rsidRPr="00B04967">
              <w:rPr>
                <w:rFonts w:ascii="Arial" w:hAnsi="Arial" w:cs="Arial"/>
                <w:lang w:val="en-GB"/>
              </w:rPr>
              <w:t>995.9</w:t>
            </w:r>
          </w:p>
        </w:tc>
        <w:tc>
          <w:tcPr>
            <w:tcW w:w="1502" w:type="dxa"/>
            <w:vAlign w:val="center"/>
          </w:tcPr>
          <w:p w14:paraId="61ED9126" w14:textId="6C554E0A" w:rsidR="00825E1E" w:rsidRPr="00B04967" w:rsidRDefault="00825E1E" w:rsidP="00703AD3">
            <w:pPr>
              <w:keepNext/>
              <w:keepLines/>
              <w:jc w:val="right"/>
              <w:rPr>
                <w:rFonts w:ascii="Arial" w:hAnsi="Arial" w:cs="Arial"/>
                <w:lang w:val="en-GB"/>
              </w:rPr>
            </w:pPr>
            <w:r w:rsidRPr="00B04967">
              <w:rPr>
                <w:rFonts w:ascii="Arial" w:hAnsi="Arial" w:cs="Arial"/>
                <w:lang w:val="en-GB"/>
              </w:rPr>
              <w:t>2</w:t>
            </w:r>
            <w:r w:rsidR="0056538A">
              <w:rPr>
                <w:rFonts w:ascii="Arial" w:hAnsi="Arial" w:cs="Arial"/>
                <w:lang w:val="en-GB"/>
              </w:rPr>
              <w:t>,</w:t>
            </w:r>
            <w:r w:rsidRPr="00B04967">
              <w:rPr>
                <w:rFonts w:ascii="Arial" w:hAnsi="Arial" w:cs="Arial"/>
                <w:lang w:val="en-GB"/>
              </w:rPr>
              <w:t>511.5</w:t>
            </w:r>
          </w:p>
        </w:tc>
        <w:tc>
          <w:tcPr>
            <w:tcW w:w="1502" w:type="dxa"/>
            <w:vAlign w:val="center"/>
          </w:tcPr>
          <w:p w14:paraId="71E64468" w14:textId="27A51303" w:rsidR="00825E1E" w:rsidRPr="00B04967" w:rsidRDefault="00825E1E" w:rsidP="00703AD3">
            <w:pPr>
              <w:keepNext/>
              <w:keepLines/>
              <w:jc w:val="right"/>
              <w:rPr>
                <w:rFonts w:ascii="Arial" w:hAnsi="Arial" w:cs="Arial"/>
                <w:lang w:val="en-GB"/>
              </w:rPr>
            </w:pPr>
            <w:r w:rsidRPr="00B04967">
              <w:rPr>
                <w:rFonts w:ascii="Arial" w:hAnsi="Arial" w:cs="Arial"/>
                <w:lang w:val="en-GB"/>
              </w:rPr>
              <w:t>2</w:t>
            </w:r>
            <w:r w:rsidR="0056538A">
              <w:rPr>
                <w:rFonts w:ascii="Arial" w:hAnsi="Arial" w:cs="Arial"/>
                <w:lang w:val="en-GB"/>
              </w:rPr>
              <w:t>,</w:t>
            </w:r>
            <w:r w:rsidRPr="00B04967">
              <w:rPr>
                <w:rFonts w:ascii="Arial" w:hAnsi="Arial" w:cs="Arial"/>
                <w:lang w:val="en-GB"/>
              </w:rPr>
              <w:t>093.8</w:t>
            </w:r>
          </w:p>
        </w:tc>
        <w:tc>
          <w:tcPr>
            <w:tcW w:w="1502" w:type="dxa"/>
            <w:vAlign w:val="center"/>
          </w:tcPr>
          <w:p w14:paraId="29DB2F50" w14:textId="6F231E7D" w:rsidR="00825E1E" w:rsidRPr="00B04967" w:rsidRDefault="00825E1E" w:rsidP="00703AD3">
            <w:pPr>
              <w:keepNext/>
              <w:keepLines/>
              <w:jc w:val="right"/>
              <w:rPr>
                <w:rFonts w:ascii="Arial" w:hAnsi="Arial" w:cs="Arial"/>
                <w:lang w:val="en-GB"/>
              </w:rPr>
            </w:pPr>
            <w:r w:rsidRPr="00B04967">
              <w:rPr>
                <w:rFonts w:ascii="Arial" w:hAnsi="Arial" w:cs="Arial"/>
                <w:lang w:val="en-GB"/>
              </w:rPr>
              <w:t>1</w:t>
            </w:r>
            <w:r w:rsidR="0056538A">
              <w:rPr>
                <w:rFonts w:ascii="Arial" w:hAnsi="Arial" w:cs="Arial"/>
                <w:lang w:val="en-GB"/>
              </w:rPr>
              <w:t>,</w:t>
            </w:r>
            <w:r w:rsidRPr="00B04967">
              <w:rPr>
                <w:rFonts w:ascii="Arial" w:hAnsi="Arial" w:cs="Arial"/>
                <w:lang w:val="en-GB"/>
              </w:rPr>
              <w:t>410.7</w:t>
            </w:r>
          </w:p>
        </w:tc>
        <w:tc>
          <w:tcPr>
            <w:tcW w:w="1502" w:type="dxa"/>
            <w:vAlign w:val="center"/>
          </w:tcPr>
          <w:p w14:paraId="58B2C855" w14:textId="52EFD03F" w:rsidR="00825E1E" w:rsidRPr="00B04967" w:rsidRDefault="00825E1E" w:rsidP="00703AD3">
            <w:pPr>
              <w:keepNext/>
              <w:keepLines/>
              <w:jc w:val="right"/>
              <w:rPr>
                <w:rFonts w:ascii="Arial" w:hAnsi="Arial" w:cs="Arial"/>
                <w:lang w:val="en-GB"/>
              </w:rPr>
            </w:pPr>
            <w:r w:rsidRPr="00B04967">
              <w:rPr>
                <w:rFonts w:ascii="Arial" w:hAnsi="Arial" w:cs="Arial"/>
                <w:lang w:val="en-GB"/>
              </w:rPr>
              <w:t>1</w:t>
            </w:r>
            <w:r w:rsidR="0056538A">
              <w:rPr>
                <w:rFonts w:ascii="Arial" w:hAnsi="Arial" w:cs="Arial"/>
                <w:lang w:val="en-GB"/>
              </w:rPr>
              <w:t>,</w:t>
            </w:r>
            <w:r w:rsidRPr="00B04967">
              <w:rPr>
                <w:rFonts w:ascii="Arial" w:hAnsi="Arial" w:cs="Arial"/>
                <w:lang w:val="en-GB"/>
              </w:rPr>
              <w:t>457.2</w:t>
            </w:r>
          </w:p>
        </w:tc>
      </w:tr>
      <w:tr w:rsidR="00825E1E" w:rsidRPr="00B04967" w14:paraId="53A7A146" w14:textId="77777777" w:rsidTr="00F03407">
        <w:trPr>
          <w:tblHeader/>
          <w:jc w:val="center"/>
        </w:trPr>
        <w:tc>
          <w:tcPr>
            <w:tcW w:w="2226" w:type="dxa"/>
          </w:tcPr>
          <w:p w14:paraId="1C1D6F3B" w14:textId="77777777" w:rsidR="00825E1E" w:rsidRPr="00B04967" w:rsidRDefault="00825E1E" w:rsidP="00703AD3">
            <w:pPr>
              <w:keepNext/>
              <w:keepLines/>
              <w:rPr>
                <w:rFonts w:ascii="Arial" w:hAnsi="Arial" w:cs="Arial"/>
                <w:lang w:val="en-GB"/>
              </w:rPr>
            </w:pPr>
            <w:r w:rsidRPr="00B04967">
              <w:rPr>
                <w:rFonts w:ascii="Arial" w:hAnsi="Arial" w:cs="Arial"/>
                <w:lang w:val="en-GB"/>
              </w:rPr>
              <w:t xml:space="preserve">Assets </w:t>
            </w:r>
          </w:p>
        </w:tc>
        <w:tc>
          <w:tcPr>
            <w:tcW w:w="1501" w:type="dxa"/>
            <w:vAlign w:val="center"/>
          </w:tcPr>
          <w:p w14:paraId="3040EA46" w14:textId="5814D98B" w:rsidR="00825E1E" w:rsidRPr="00B04967" w:rsidRDefault="00825E1E" w:rsidP="00703AD3">
            <w:pPr>
              <w:keepNext/>
              <w:keepLines/>
              <w:jc w:val="right"/>
              <w:rPr>
                <w:rFonts w:ascii="Arial" w:hAnsi="Arial" w:cs="Arial"/>
                <w:lang w:val="en-GB"/>
              </w:rPr>
            </w:pPr>
            <w:r w:rsidRPr="00B04967">
              <w:rPr>
                <w:rFonts w:ascii="Arial" w:hAnsi="Arial" w:cs="Arial"/>
                <w:lang w:val="en-GB"/>
              </w:rPr>
              <w:t>10</w:t>
            </w:r>
            <w:r w:rsidR="0056538A">
              <w:rPr>
                <w:rFonts w:ascii="Arial" w:hAnsi="Arial" w:cs="Arial"/>
                <w:lang w:val="en-GB"/>
              </w:rPr>
              <w:t>,</w:t>
            </w:r>
            <w:r w:rsidRPr="00B04967">
              <w:rPr>
                <w:rFonts w:ascii="Arial" w:hAnsi="Arial" w:cs="Arial"/>
                <w:lang w:val="en-GB"/>
              </w:rPr>
              <w:t>485.6</w:t>
            </w:r>
          </w:p>
        </w:tc>
        <w:tc>
          <w:tcPr>
            <w:tcW w:w="1502" w:type="dxa"/>
            <w:vAlign w:val="center"/>
          </w:tcPr>
          <w:p w14:paraId="45684FFA" w14:textId="1F9FB625" w:rsidR="00825E1E" w:rsidRPr="00B04967" w:rsidRDefault="00825E1E" w:rsidP="00703AD3">
            <w:pPr>
              <w:keepNext/>
              <w:keepLines/>
              <w:jc w:val="right"/>
              <w:rPr>
                <w:rFonts w:ascii="Arial" w:hAnsi="Arial" w:cs="Arial"/>
                <w:lang w:val="en-GB"/>
              </w:rPr>
            </w:pPr>
            <w:r w:rsidRPr="00B04967">
              <w:rPr>
                <w:rFonts w:ascii="Arial" w:hAnsi="Arial" w:cs="Arial"/>
                <w:lang w:val="en-GB"/>
              </w:rPr>
              <w:t>10</w:t>
            </w:r>
            <w:r w:rsidR="0056538A">
              <w:rPr>
                <w:rFonts w:ascii="Arial" w:hAnsi="Arial" w:cs="Arial"/>
                <w:lang w:val="en-GB"/>
              </w:rPr>
              <w:t>,</w:t>
            </w:r>
            <w:r w:rsidRPr="00B04967">
              <w:rPr>
                <w:rFonts w:ascii="Arial" w:hAnsi="Arial" w:cs="Arial"/>
                <w:lang w:val="en-GB"/>
              </w:rPr>
              <w:t>745.2</w:t>
            </w:r>
          </w:p>
        </w:tc>
        <w:tc>
          <w:tcPr>
            <w:tcW w:w="1502" w:type="dxa"/>
            <w:vAlign w:val="center"/>
          </w:tcPr>
          <w:p w14:paraId="4DD10DC6" w14:textId="02D71F54" w:rsidR="00825E1E" w:rsidRPr="00B04967" w:rsidRDefault="00825E1E" w:rsidP="00703AD3">
            <w:pPr>
              <w:keepNext/>
              <w:keepLines/>
              <w:jc w:val="right"/>
              <w:rPr>
                <w:rFonts w:ascii="Arial" w:hAnsi="Arial" w:cs="Arial"/>
                <w:lang w:val="en-GB"/>
              </w:rPr>
            </w:pPr>
            <w:r w:rsidRPr="00B04967">
              <w:rPr>
                <w:rFonts w:ascii="Arial" w:hAnsi="Arial" w:cs="Arial"/>
                <w:lang w:val="en-GB"/>
              </w:rPr>
              <w:t>10</w:t>
            </w:r>
            <w:r w:rsidR="0056538A">
              <w:rPr>
                <w:rFonts w:ascii="Arial" w:hAnsi="Arial" w:cs="Arial"/>
                <w:lang w:val="en-GB"/>
              </w:rPr>
              <w:t>,</w:t>
            </w:r>
            <w:r w:rsidRPr="00B04967">
              <w:rPr>
                <w:rFonts w:ascii="Arial" w:hAnsi="Arial" w:cs="Arial"/>
                <w:lang w:val="en-GB"/>
              </w:rPr>
              <w:t xml:space="preserve">622.4 </w:t>
            </w:r>
          </w:p>
        </w:tc>
        <w:tc>
          <w:tcPr>
            <w:tcW w:w="1502" w:type="dxa"/>
            <w:vAlign w:val="center"/>
          </w:tcPr>
          <w:p w14:paraId="680A4A9B" w14:textId="315593D4" w:rsidR="00825E1E" w:rsidRPr="00B04967" w:rsidRDefault="00825E1E" w:rsidP="00703AD3">
            <w:pPr>
              <w:keepNext/>
              <w:keepLines/>
              <w:jc w:val="right"/>
              <w:rPr>
                <w:rFonts w:ascii="Arial" w:hAnsi="Arial" w:cs="Arial"/>
                <w:lang w:val="en-GB"/>
              </w:rPr>
            </w:pPr>
            <w:r w:rsidRPr="00B04967">
              <w:rPr>
                <w:rFonts w:ascii="Arial" w:hAnsi="Arial" w:cs="Arial"/>
                <w:lang w:val="en-GB"/>
              </w:rPr>
              <w:t>10</w:t>
            </w:r>
            <w:r w:rsidR="0056538A">
              <w:rPr>
                <w:rFonts w:ascii="Arial" w:hAnsi="Arial" w:cs="Arial"/>
                <w:lang w:val="en-GB"/>
              </w:rPr>
              <w:t>,</w:t>
            </w:r>
            <w:r w:rsidRPr="00B04967">
              <w:rPr>
                <w:rFonts w:ascii="Arial" w:hAnsi="Arial" w:cs="Arial"/>
                <w:lang w:val="en-GB"/>
              </w:rPr>
              <w:t xml:space="preserve">674.4 </w:t>
            </w:r>
          </w:p>
        </w:tc>
        <w:tc>
          <w:tcPr>
            <w:tcW w:w="1502" w:type="dxa"/>
            <w:vAlign w:val="center"/>
          </w:tcPr>
          <w:p w14:paraId="6DDD08CD" w14:textId="5262D1DF" w:rsidR="00825E1E" w:rsidRPr="00B04967" w:rsidRDefault="00453B7A" w:rsidP="00703AD3">
            <w:pPr>
              <w:keepNext/>
              <w:keepLines/>
              <w:jc w:val="right"/>
              <w:rPr>
                <w:rFonts w:ascii="Arial" w:hAnsi="Arial" w:cs="Arial"/>
                <w:lang w:val="en-GB"/>
              </w:rPr>
            </w:pPr>
            <w:r>
              <w:rPr>
                <w:rFonts w:ascii="Arial" w:hAnsi="Arial" w:cs="Arial"/>
                <w:lang w:val="en-GB"/>
              </w:rPr>
              <w:t>…..</w:t>
            </w:r>
          </w:p>
        </w:tc>
      </w:tr>
      <w:tr w:rsidR="00825E1E" w:rsidRPr="00B04967" w14:paraId="555C028D" w14:textId="77777777" w:rsidTr="00F03407">
        <w:trPr>
          <w:tblHeader/>
          <w:jc w:val="center"/>
        </w:trPr>
        <w:tc>
          <w:tcPr>
            <w:tcW w:w="2226" w:type="dxa"/>
          </w:tcPr>
          <w:p w14:paraId="60E2DD8F" w14:textId="77777777" w:rsidR="00825E1E" w:rsidRPr="00B04967" w:rsidRDefault="00825E1E" w:rsidP="00703AD3">
            <w:pPr>
              <w:keepNext/>
              <w:keepLines/>
              <w:rPr>
                <w:rFonts w:ascii="Arial" w:hAnsi="Arial" w:cs="Arial"/>
                <w:lang w:val="en-GB"/>
              </w:rPr>
            </w:pPr>
            <w:r w:rsidRPr="00B04967">
              <w:rPr>
                <w:rFonts w:ascii="Arial" w:hAnsi="Arial" w:cs="Arial"/>
                <w:lang w:val="en-GB"/>
              </w:rPr>
              <w:t xml:space="preserve">Liabilities </w:t>
            </w:r>
          </w:p>
        </w:tc>
        <w:tc>
          <w:tcPr>
            <w:tcW w:w="1501" w:type="dxa"/>
            <w:vAlign w:val="center"/>
          </w:tcPr>
          <w:p w14:paraId="7A5A9CB3" w14:textId="32EA94A5" w:rsidR="00825E1E" w:rsidRPr="00B04967" w:rsidRDefault="00825E1E" w:rsidP="00703AD3">
            <w:pPr>
              <w:keepNext/>
              <w:keepLines/>
              <w:jc w:val="right"/>
              <w:rPr>
                <w:rFonts w:ascii="Arial" w:hAnsi="Arial" w:cs="Arial"/>
                <w:lang w:val="en-GB"/>
              </w:rPr>
            </w:pPr>
            <w:r w:rsidRPr="00B04967">
              <w:rPr>
                <w:rFonts w:ascii="Arial" w:hAnsi="Arial" w:cs="Arial"/>
                <w:lang w:val="en-GB"/>
              </w:rPr>
              <w:t>3</w:t>
            </w:r>
            <w:r w:rsidR="0056538A">
              <w:rPr>
                <w:rFonts w:ascii="Arial" w:hAnsi="Arial" w:cs="Arial"/>
                <w:lang w:val="en-GB"/>
              </w:rPr>
              <w:t>,</w:t>
            </w:r>
            <w:r w:rsidRPr="00B04967">
              <w:rPr>
                <w:rFonts w:ascii="Arial" w:hAnsi="Arial" w:cs="Arial"/>
                <w:lang w:val="en-GB"/>
              </w:rPr>
              <w:t>191.8</w:t>
            </w:r>
          </w:p>
        </w:tc>
        <w:tc>
          <w:tcPr>
            <w:tcW w:w="1502" w:type="dxa"/>
            <w:vAlign w:val="center"/>
          </w:tcPr>
          <w:p w14:paraId="013A727F" w14:textId="4D1B5B1E" w:rsidR="00825E1E" w:rsidRPr="00B04967" w:rsidRDefault="00825E1E" w:rsidP="00703AD3">
            <w:pPr>
              <w:keepNext/>
              <w:keepLines/>
              <w:jc w:val="right"/>
              <w:rPr>
                <w:rFonts w:ascii="Arial" w:hAnsi="Arial" w:cs="Arial"/>
                <w:lang w:val="en-GB"/>
              </w:rPr>
            </w:pPr>
            <w:r w:rsidRPr="00B04967">
              <w:rPr>
                <w:rFonts w:ascii="Arial" w:hAnsi="Arial" w:cs="Arial"/>
                <w:lang w:val="en-GB"/>
              </w:rPr>
              <w:t>2</w:t>
            </w:r>
            <w:r w:rsidR="0056538A">
              <w:rPr>
                <w:rFonts w:ascii="Arial" w:hAnsi="Arial" w:cs="Arial"/>
                <w:lang w:val="en-GB"/>
              </w:rPr>
              <w:t>,</w:t>
            </w:r>
            <w:r w:rsidRPr="00B04967">
              <w:rPr>
                <w:rFonts w:ascii="Arial" w:hAnsi="Arial" w:cs="Arial"/>
                <w:lang w:val="en-GB"/>
              </w:rPr>
              <w:t>687.8</w:t>
            </w:r>
          </w:p>
        </w:tc>
        <w:tc>
          <w:tcPr>
            <w:tcW w:w="1502" w:type="dxa"/>
            <w:vAlign w:val="center"/>
          </w:tcPr>
          <w:p w14:paraId="3A47222B" w14:textId="11D986B3" w:rsidR="00825E1E" w:rsidRPr="00B04967" w:rsidRDefault="00825E1E" w:rsidP="00703AD3">
            <w:pPr>
              <w:keepNext/>
              <w:keepLines/>
              <w:jc w:val="right"/>
              <w:rPr>
                <w:rFonts w:ascii="Arial" w:hAnsi="Arial" w:cs="Arial"/>
                <w:lang w:val="en-GB"/>
              </w:rPr>
            </w:pPr>
            <w:r w:rsidRPr="00B04967">
              <w:rPr>
                <w:rFonts w:ascii="Arial" w:hAnsi="Arial" w:cs="Arial"/>
                <w:lang w:val="en-GB"/>
              </w:rPr>
              <w:t>3</w:t>
            </w:r>
            <w:r w:rsidR="0056538A">
              <w:rPr>
                <w:rFonts w:ascii="Arial" w:hAnsi="Arial" w:cs="Arial"/>
                <w:lang w:val="en-GB"/>
              </w:rPr>
              <w:t>,</w:t>
            </w:r>
            <w:r w:rsidRPr="00B04967">
              <w:rPr>
                <w:rFonts w:ascii="Arial" w:hAnsi="Arial" w:cs="Arial"/>
                <w:lang w:val="en-GB"/>
              </w:rPr>
              <w:t>068.1</w:t>
            </w:r>
          </w:p>
        </w:tc>
        <w:tc>
          <w:tcPr>
            <w:tcW w:w="1502" w:type="dxa"/>
            <w:vAlign w:val="center"/>
          </w:tcPr>
          <w:p w14:paraId="55F68FA8" w14:textId="3B14ED94" w:rsidR="00825E1E" w:rsidRPr="00B04967" w:rsidRDefault="00825E1E" w:rsidP="00703AD3">
            <w:pPr>
              <w:keepNext/>
              <w:keepLines/>
              <w:jc w:val="right"/>
              <w:rPr>
                <w:rFonts w:ascii="Arial" w:hAnsi="Arial" w:cs="Arial"/>
                <w:lang w:val="en-GB"/>
              </w:rPr>
            </w:pPr>
            <w:r w:rsidRPr="00B04967">
              <w:rPr>
                <w:rFonts w:ascii="Arial" w:hAnsi="Arial" w:cs="Arial"/>
                <w:lang w:val="en-GB"/>
              </w:rPr>
              <w:t>3</w:t>
            </w:r>
            <w:r w:rsidR="0056538A">
              <w:rPr>
                <w:rFonts w:ascii="Arial" w:hAnsi="Arial" w:cs="Arial"/>
                <w:lang w:val="en-GB"/>
              </w:rPr>
              <w:t>,</w:t>
            </w:r>
            <w:r w:rsidRPr="00B04967">
              <w:rPr>
                <w:rFonts w:ascii="Arial" w:hAnsi="Arial" w:cs="Arial"/>
                <w:lang w:val="en-GB"/>
              </w:rPr>
              <w:t>113.0</w:t>
            </w:r>
          </w:p>
        </w:tc>
        <w:tc>
          <w:tcPr>
            <w:tcW w:w="1502" w:type="dxa"/>
            <w:vAlign w:val="center"/>
          </w:tcPr>
          <w:p w14:paraId="6EF202A2" w14:textId="341A2E8E" w:rsidR="00825E1E" w:rsidRPr="00B04967" w:rsidRDefault="00453B7A" w:rsidP="00703AD3">
            <w:pPr>
              <w:keepNext/>
              <w:keepLines/>
              <w:jc w:val="right"/>
              <w:rPr>
                <w:rFonts w:ascii="Arial" w:hAnsi="Arial" w:cs="Arial"/>
                <w:lang w:val="en-GB"/>
              </w:rPr>
            </w:pPr>
            <w:r>
              <w:rPr>
                <w:rFonts w:ascii="Arial" w:hAnsi="Arial" w:cs="Arial"/>
                <w:lang w:val="en-GB"/>
              </w:rPr>
              <w:t>……</w:t>
            </w:r>
          </w:p>
        </w:tc>
      </w:tr>
      <w:tr w:rsidR="00825E1E" w:rsidRPr="00B04967" w14:paraId="5F6A285F" w14:textId="77777777" w:rsidTr="00F03407">
        <w:trPr>
          <w:trHeight w:val="280"/>
          <w:tblHeader/>
          <w:jc w:val="center"/>
        </w:trPr>
        <w:tc>
          <w:tcPr>
            <w:tcW w:w="2226" w:type="dxa"/>
          </w:tcPr>
          <w:p w14:paraId="45DAC53F" w14:textId="77777777" w:rsidR="00825E1E" w:rsidRPr="00B04967" w:rsidRDefault="00825E1E" w:rsidP="00703AD3">
            <w:pPr>
              <w:keepNext/>
              <w:keepLines/>
              <w:rPr>
                <w:rFonts w:ascii="Arial" w:hAnsi="Arial" w:cs="Arial"/>
                <w:lang w:val="en-GB"/>
              </w:rPr>
            </w:pPr>
            <w:r w:rsidRPr="00B04967">
              <w:rPr>
                <w:rFonts w:ascii="Arial" w:hAnsi="Arial" w:cs="Arial"/>
                <w:lang w:val="en-GB"/>
              </w:rPr>
              <w:t xml:space="preserve">Assets minus Liabilities </w:t>
            </w:r>
          </w:p>
        </w:tc>
        <w:tc>
          <w:tcPr>
            <w:tcW w:w="1501" w:type="dxa"/>
            <w:vAlign w:val="center"/>
          </w:tcPr>
          <w:p w14:paraId="74CDDC8C" w14:textId="77777777" w:rsidR="00825E1E" w:rsidRPr="00B04967" w:rsidRDefault="00825E1E" w:rsidP="00703AD3">
            <w:pPr>
              <w:keepNext/>
              <w:keepLines/>
              <w:jc w:val="right"/>
              <w:rPr>
                <w:rFonts w:ascii="Arial" w:hAnsi="Arial" w:cs="Arial"/>
                <w:lang w:val="en-GB"/>
              </w:rPr>
            </w:pPr>
          </w:p>
        </w:tc>
        <w:tc>
          <w:tcPr>
            <w:tcW w:w="1502" w:type="dxa"/>
            <w:vAlign w:val="center"/>
          </w:tcPr>
          <w:p w14:paraId="1892DED3" w14:textId="77777777" w:rsidR="00825E1E" w:rsidRPr="00B04967" w:rsidRDefault="00825E1E" w:rsidP="00703AD3">
            <w:pPr>
              <w:keepNext/>
              <w:keepLines/>
              <w:jc w:val="right"/>
              <w:rPr>
                <w:rFonts w:ascii="Arial" w:hAnsi="Arial" w:cs="Arial"/>
                <w:lang w:val="en-GB"/>
              </w:rPr>
            </w:pPr>
          </w:p>
        </w:tc>
        <w:tc>
          <w:tcPr>
            <w:tcW w:w="1502" w:type="dxa"/>
            <w:vAlign w:val="center"/>
          </w:tcPr>
          <w:p w14:paraId="557AF0C9" w14:textId="77777777" w:rsidR="00825E1E" w:rsidRPr="00B04967" w:rsidRDefault="00825E1E" w:rsidP="00703AD3">
            <w:pPr>
              <w:keepNext/>
              <w:keepLines/>
              <w:jc w:val="right"/>
              <w:rPr>
                <w:rFonts w:ascii="Arial" w:hAnsi="Arial" w:cs="Arial"/>
                <w:lang w:val="en-GB"/>
              </w:rPr>
            </w:pPr>
          </w:p>
        </w:tc>
        <w:tc>
          <w:tcPr>
            <w:tcW w:w="1502" w:type="dxa"/>
            <w:vAlign w:val="center"/>
          </w:tcPr>
          <w:p w14:paraId="68742855" w14:textId="77777777" w:rsidR="00825E1E" w:rsidRPr="00B04967" w:rsidRDefault="00825E1E" w:rsidP="00703AD3">
            <w:pPr>
              <w:keepNext/>
              <w:keepLines/>
              <w:jc w:val="right"/>
              <w:rPr>
                <w:rFonts w:ascii="Arial" w:hAnsi="Arial" w:cs="Arial"/>
                <w:lang w:val="en-GB"/>
              </w:rPr>
            </w:pPr>
          </w:p>
        </w:tc>
        <w:tc>
          <w:tcPr>
            <w:tcW w:w="1502" w:type="dxa"/>
            <w:vAlign w:val="center"/>
          </w:tcPr>
          <w:p w14:paraId="4B3C3280" w14:textId="6116A63F" w:rsidR="00825E1E" w:rsidRPr="00B04967" w:rsidRDefault="00825E1E" w:rsidP="00703AD3">
            <w:pPr>
              <w:keepNext/>
              <w:keepLines/>
              <w:jc w:val="right"/>
              <w:rPr>
                <w:rFonts w:ascii="Arial" w:hAnsi="Arial" w:cs="Arial"/>
                <w:lang w:val="en-GB"/>
              </w:rPr>
            </w:pPr>
            <w:r w:rsidRPr="00B04967">
              <w:rPr>
                <w:rFonts w:ascii="Arial" w:hAnsi="Arial" w:cs="Arial"/>
                <w:lang w:val="en-GB"/>
              </w:rPr>
              <w:t>7</w:t>
            </w:r>
            <w:r w:rsidR="009108F4">
              <w:rPr>
                <w:rFonts w:ascii="Arial" w:hAnsi="Arial" w:cs="Arial"/>
                <w:lang w:val="en-GB"/>
              </w:rPr>
              <w:t>,</w:t>
            </w:r>
            <w:r w:rsidRPr="00B04967">
              <w:rPr>
                <w:rFonts w:ascii="Arial" w:hAnsi="Arial" w:cs="Arial"/>
                <w:lang w:val="en-GB"/>
              </w:rPr>
              <w:t>701.9*</w:t>
            </w:r>
          </w:p>
        </w:tc>
      </w:tr>
    </w:tbl>
    <w:p w14:paraId="069BB67B" w14:textId="77777777" w:rsidR="00825E1E" w:rsidRPr="00B04967" w:rsidRDefault="00825E1E" w:rsidP="00703AD3">
      <w:pPr>
        <w:keepNext/>
        <w:keepLines/>
        <w:rPr>
          <w:rFonts w:ascii="Arial" w:hAnsi="Arial" w:cs="Arial"/>
          <w:lang w:val="en-GB"/>
        </w:rPr>
      </w:pPr>
    </w:p>
    <w:p w14:paraId="71093FF4" w14:textId="6B78CF8E" w:rsidR="00831349" w:rsidRPr="00B04967" w:rsidRDefault="00825E1E" w:rsidP="00703AD3">
      <w:pPr>
        <w:pStyle w:val="Footnote"/>
        <w:keepNext/>
        <w:keepLines/>
        <w:rPr>
          <w:lang w:val="en-GB"/>
        </w:rPr>
      </w:pPr>
      <w:r w:rsidRPr="00B04967">
        <w:rPr>
          <w:lang w:val="en-GB"/>
        </w:rPr>
        <w:t>Note</w:t>
      </w:r>
      <w:r w:rsidR="00831349">
        <w:rPr>
          <w:lang w:val="en-GB"/>
        </w:rPr>
        <w:t>:</w:t>
      </w:r>
      <w:r w:rsidRPr="00B04967">
        <w:rPr>
          <w:lang w:val="en-GB"/>
        </w:rPr>
        <w:t xml:space="preserve"> For the year ended March 2016, the results announcement </w:t>
      </w:r>
      <w:r w:rsidR="001724E2" w:rsidRPr="00B04967">
        <w:rPr>
          <w:lang w:val="en-GB"/>
        </w:rPr>
        <w:t xml:space="preserve">listed </w:t>
      </w:r>
      <w:r w:rsidR="00125084" w:rsidRPr="00B04967">
        <w:rPr>
          <w:lang w:val="en-GB"/>
        </w:rPr>
        <w:t xml:space="preserve">only </w:t>
      </w:r>
      <w:r w:rsidR="001724E2" w:rsidRPr="00B04967">
        <w:rPr>
          <w:lang w:val="en-GB"/>
        </w:rPr>
        <w:t>the assets</w:t>
      </w:r>
      <w:r w:rsidR="001724E2">
        <w:rPr>
          <w:lang w:val="en-GB"/>
        </w:rPr>
        <w:t xml:space="preserve"> and</w:t>
      </w:r>
      <w:r w:rsidR="001724E2" w:rsidRPr="00B04967">
        <w:rPr>
          <w:lang w:val="en-GB"/>
        </w:rPr>
        <w:t xml:space="preserve"> net liabilities </w:t>
      </w:r>
      <w:r w:rsidR="001724E2">
        <w:rPr>
          <w:lang w:val="en-GB"/>
        </w:rPr>
        <w:t xml:space="preserve">and </w:t>
      </w:r>
      <w:r w:rsidRPr="00B04967">
        <w:rPr>
          <w:lang w:val="en-GB"/>
        </w:rPr>
        <w:t>did not list assets and liabilities of the WWR business separately</w:t>
      </w:r>
      <w:r w:rsidR="001724E2">
        <w:rPr>
          <w:lang w:val="en-GB"/>
        </w:rPr>
        <w:t xml:space="preserve">; </w:t>
      </w:r>
      <w:r w:rsidR="00831349">
        <w:rPr>
          <w:lang w:val="en-GB"/>
        </w:rPr>
        <w:t>WWR = wire and wire rope.</w:t>
      </w:r>
    </w:p>
    <w:p w14:paraId="0A961F13" w14:textId="576CF6FC" w:rsidR="00825E1E" w:rsidRPr="00B04967" w:rsidRDefault="00825E1E" w:rsidP="00703AD3">
      <w:pPr>
        <w:pStyle w:val="Footnote"/>
        <w:keepNext/>
        <w:keepLines/>
        <w:rPr>
          <w:lang w:val="en-GB"/>
        </w:rPr>
      </w:pPr>
      <w:r w:rsidRPr="00B04967">
        <w:rPr>
          <w:lang w:val="en-GB"/>
        </w:rPr>
        <w:t xml:space="preserve">Sources: </w:t>
      </w:r>
      <w:proofErr w:type="spellStart"/>
      <w:r w:rsidR="0065496B">
        <w:rPr>
          <w:lang w:val="en-GB"/>
        </w:rPr>
        <w:t>Shampa</w:t>
      </w:r>
      <w:proofErr w:type="spellEnd"/>
      <w:r w:rsidR="0065496B">
        <w:rPr>
          <w:lang w:val="en-GB"/>
        </w:rPr>
        <w:t xml:space="preserve"> Ghosh Ray (company secretary, </w:t>
      </w:r>
      <w:r w:rsidR="00B07719">
        <w:rPr>
          <w:lang w:val="en-GB"/>
        </w:rPr>
        <w:t>Usha Martin Limited</w:t>
      </w:r>
      <w:r w:rsidR="0065496B">
        <w:rPr>
          <w:lang w:val="en-GB"/>
        </w:rPr>
        <w:t>)</w:t>
      </w:r>
      <w:r w:rsidR="00B07719">
        <w:rPr>
          <w:lang w:val="en-GB"/>
        </w:rPr>
        <w:t xml:space="preserve"> to secretaries of the BSE Limited, the National Stock Exchange of India Ltd., and the </w:t>
      </w:r>
      <w:proofErr w:type="spellStart"/>
      <w:r w:rsidR="00B07719">
        <w:rPr>
          <w:lang w:val="en-GB"/>
        </w:rPr>
        <w:t>Societe</w:t>
      </w:r>
      <w:proofErr w:type="spellEnd"/>
      <w:r w:rsidR="00B07719">
        <w:rPr>
          <w:lang w:val="en-GB"/>
        </w:rPr>
        <w:t xml:space="preserve"> de la Bourse de Luxembourg, </w:t>
      </w:r>
      <w:r w:rsidR="0065496B">
        <w:rPr>
          <w:lang w:val="en-GB"/>
        </w:rPr>
        <w:t xml:space="preserve">letter </w:t>
      </w:r>
      <w:r w:rsidRPr="00B04967">
        <w:rPr>
          <w:lang w:val="en-GB"/>
        </w:rPr>
        <w:t>announc</w:t>
      </w:r>
      <w:r w:rsidR="00B07719">
        <w:rPr>
          <w:lang w:val="en-GB"/>
        </w:rPr>
        <w:t xml:space="preserve">ing results for the quarter and year ended March 31, 2020, </w:t>
      </w:r>
      <w:r w:rsidR="00276C77">
        <w:rPr>
          <w:lang w:val="en-GB"/>
        </w:rPr>
        <w:t xml:space="preserve">with attachments, </w:t>
      </w:r>
      <w:r w:rsidR="00B07719">
        <w:rPr>
          <w:lang w:val="en-GB"/>
        </w:rPr>
        <w:t>June 6, 2020,</w:t>
      </w:r>
      <w:r w:rsidRPr="00B04967">
        <w:rPr>
          <w:lang w:val="en-GB"/>
        </w:rPr>
        <w:t xml:space="preserve"> </w:t>
      </w:r>
      <w:r w:rsidR="00B07719">
        <w:rPr>
          <w:lang w:val="en-GB"/>
        </w:rPr>
        <w:t xml:space="preserve">accessed January 28, 2021, </w:t>
      </w:r>
      <w:r w:rsidR="00B07719" w:rsidRPr="00703AD3">
        <w:t>www.ushamartin.com/wp-content/uploads/2020/06/SEIntimationBMOutcome06062020.pdf</w:t>
      </w:r>
      <w:r w:rsidR="00B07719">
        <w:rPr>
          <w:lang w:val="en-GB"/>
        </w:rPr>
        <w:t>;</w:t>
      </w:r>
      <w:r w:rsidR="00453B7A">
        <w:rPr>
          <w:lang w:val="en-GB"/>
        </w:rPr>
        <w:t xml:space="preserve"> </w:t>
      </w:r>
      <w:r w:rsidR="0065496B">
        <w:rPr>
          <w:lang w:val="en-GB"/>
        </w:rPr>
        <w:t xml:space="preserve">Rajeev </w:t>
      </w:r>
      <w:proofErr w:type="spellStart"/>
      <w:r w:rsidR="0065496B">
        <w:rPr>
          <w:lang w:val="en-GB"/>
        </w:rPr>
        <w:t>Jhawar</w:t>
      </w:r>
      <w:proofErr w:type="spellEnd"/>
      <w:r w:rsidR="0065496B">
        <w:rPr>
          <w:lang w:val="en-GB"/>
        </w:rPr>
        <w:t xml:space="preserve"> (managing Director, Usha Martin Limited) to </w:t>
      </w:r>
      <w:r w:rsidR="0065496B" w:rsidRPr="0065496B">
        <w:rPr>
          <w:lang w:val="en-GB"/>
        </w:rPr>
        <w:t>secretaries of the National Stock Exchange of India Ltd.,</w:t>
      </w:r>
      <w:r w:rsidR="0065496B">
        <w:rPr>
          <w:lang w:val="en-GB"/>
        </w:rPr>
        <w:t xml:space="preserve"> the </w:t>
      </w:r>
      <w:r w:rsidR="0065496B" w:rsidRPr="0065496B">
        <w:rPr>
          <w:lang w:val="en-GB"/>
        </w:rPr>
        <w:t xml:space="preserve">BSE Limited, and the </w:t>
      </w:r>
      <w:proofErr w:type="spellStart"/>
      <w:r w:rsidR="0065496B" w:rsidRPr="0065496B">
        <w:rPr>
          <w:lang w:val="en-GB"/>
        </w:rPr>
        <w:t>Societe</w:t>
      </w:r>
      <w:proofErr w:type="spellEnd"/>
      <w:r w:rsidR="0065496B" w:rsidRPr="0065496B">
        <w:rPr>
          <w:lang w:val="en-GB"/>
        </w:rPr>
        <w:t xml:space="preserve"> de la Bourse de Luxembourg, letter announcing </w:t>
      </w:r>
      <w:r w:rsidR="0065496B">
        <w:rPr>
          <w:lang w:val="en-GB"/>
        </w:rPr>
        <w:t xml:space="preserve">audited financial results for the </w:t>
      </w:r>
      <w:r w:rsidR="00B47C9D">
        <w:rPr>
          <w:lang w:val="en-GB"/>
        </w:rPr>
        <w:t xml:space="preserve">quarter and </w:t>
      </w:r>
      <w:r w:rsidR="0065496B">
        <w:rPr>
          <w:lang w:val="en-GB"/>
        </w:rPr>
        <w:t>year ended March 31, 2019,</w:t>
      </w:r>
      <w:r w:rsidR="00453B7A" w:rsidRPr="00B04967">
        <w:rPr>
          <w:lang w:val="en-GB"/>
        </w:rPr>
        <w:t xml:space="preserve"> </w:t>
      </w:r>
      <w:r w:rsidR="00276C77">
        <w:rPr>
          <w:lang w:val="en-GB"/>
        </w:rPr>
        <w:t xml:space="preserve">with attachments, </w:t>
      </w:r>
      <w:r w:rsidR="0065496B">
        <w:rPr>
          <w:lang w:val="en-GB"/>
        </w:rPr>
        <w:t xml:space="preserve">May 27, 2019, accessed January 28, 2021, </w:t>
      </w:r>
      <w:r w:rsidR="0065496B" w:rsidRPr="00703AD3">
        <w:t>www.ushamartin.com/wp-content/uploads/2019/05/UMLResultsQ4FY1819.pdf</w:t>
      </w:r>
      <w:r w:rsidR="0065496B">
        <w:rPr>
          <w:lang w:val="en-GB"/>
        </w:rPr>
        <w:t>;</w:t>
      </w:r>
      <w:r w:rsidR="00453B7A">
        <w:rPr>
          <w:lang w:val="en-GB"/>
        </w:rPr>
        <w:t xml:space="preserve"> </w:t>
      </w:r>
      <w:r w:rsidR="0065496B" w:rsidRPr="0065496B">
        <w:rPr>
          <w:lang w:val="en-GB"/>
        </w:rPr>
        <w:t xml:space="preserve">Rajeev </w:t>
      </w:r>
      <w:proofErr w:type="spellStart"/>
      <w:r w:rsidR="0065496B" w:rsidRPr="0065496B">
        <w:rPr>
          <w:lang w:val="en-GB"/>
        </w:rPr>
        <w:t>Jhawar</w:t>
      </w:r>
      <w:proofErr w:type="spellEnd"/>
      <w:r w:rsidR="0065496B" w:rsidRPr="0065496B">
        <w:rPr>
          <w:lang w:val="en-GB"/>
        </w:rPr>
        <w:t xml:space="preserve"> (managing Director, Usha Martin Limited) to secretaries of the BSE Limited, the National Stock Exchange of India Ltd., and the </w:t>
      </w:r>
      <w:proofErr w:type="spellStart"/>
      <w:r w:rsidR="0065496B" w:rsidRPr="0065496B">
        <w:rPr>
          <w:lang w:val="en-GB"/>
        </w:rPr>
        <w:t>Societe</w:t>
      </w:r>
      <w:proofErr w:type="spellEnd"/>
      <w:r w:rsidR="0065496B" w:rsidRPr="0065496B">
        <w:rPr>
          <w:lang w:val="en-GB"/>
        </w:rPr>
        <w:t xml:space="preserve"> de la Bourse de Luxembourg, letter announcing audited financial results for the </w:t>
      </w:r>
      <w:r w:rsidR="0065496B">
        <w:rPr>
          <w:lang w:val="en-GB"/>
        </w:rPr>
        <w:t xml:space="preserve">quarter and </w:t>
      </w:r>
      <w:r w:rsidR="0065496B" w:rsidRPr="0065496B">
        <w:rPr>
          <w:lang w:val="en-GB"/>
        </w:rPr>
        <w:t>year ended March 31, 201</w:t>
      </w:r>
      <w:r w:rsidR="00276C77">
        <w:rPr>
          <w:lang w:val="en-GB"/>
        </w:rPr>
        <w:t>8</w:t>
      </w:r>
      <w:r w:rsidR="0065496B">
        <w:rPr>
          <w:lang w:val="en-GB"/>
        </w:rPr>
        <w:t xml:space="preserve">, </w:t>
      </w:r>
      <w:r w:rsidR="00276C77">
        <w:rPr>
          <w:lang w:val="en-GB"/>
        </w:rPr>
        <w:t xml:space="preserve">with attachments, </w:t>
      </w:r>
      <w:r w:rsidR="0065496B">
        <w:rPr>
          <w:lang w:val="en-GB"/>
        </w:rPr>
        <w:t>May 21, 2018, accessed January 28, 2021</w:t>
      </w:r>
      <w:r w:rsidR="00B47C9D">
        <w:rPr>
          <w:lang w:val="en-GB"/>
        </w:rPr>
        <w:t xml:space="preserve">, </w:t>
      </w:r>
      <w:r w:rsidR="00B47C9D" w:rsidRPr="00703AD3">
        <w:t>www.ushamartin.com/wp-content/uploads/2018/05/FinancialResults.pdf</w:t>
      </w:r>
      <w:r w:rsidR="00B47C9D">
        <w:rPr>
          <w:lang w:val="en-GB"/>
        </w:rPr>
        <w:t xml:space="preserve">; </w:t>
      </w:r>
      <w:r w:rsidR="00B47C9D" w:rsidRPr="00B47C9D">
        <w:rPr>
          <w:lang w:val="en-GB"/>
        </w:rPr>
        <w:t xml:space="preserve">Rajeev </w:t>
      </w:r>
      <w:proofErr w:type="spellStart"/>
      <w:r w:rsidR="00B47C9D" w:rsidRPr="00B47C9D">
        <w:rPr>
          <w:lang w:val="en-GB"/>
        </w:rPr>
        <w:t>Jhawar</w:t>
      </w:r>
      <w:proofErr w:type="spellEnd"/>
      <w:r w:rsidR="00B47C9D" w:rsidRPr="00B47C9D">
        <w:rPr>
          <w:lang w:val="en-GB"/>
        </w:rPr>
        <w:t xml:space="preserve"> (managing Director, Usha Martin Limited) to secretaries of the National Stock Exchange of India Ltd., the B</w:t>
      </w:r>
      <w:r w:rsidR="00B47C9D">
        <w:rPr>
          <w:lang w:val="en-GB"/>
        </w:rPr>
        <w:t>ombay Stock Exchange</w:t>
      </w:r>
      <w:r w:rsidR="00B47C9D" w:rsidRPr="00B47C9D">
        <w:rPr>
          <w:lang w:val="en-GB"/>
        </w:rPr>
        <w:t xml:space="preserve"> Limited, and the </w:t>
      </w:r>
      <w:proofErr w:type="spellStart"/>
      <w:r w:rsidR="00B47C9D" w:rsidRPr="00B47C9D">
        <w:rPr>
          <w:lang w:val="en-GB"/>
        </w:rPr>
        <w:t>Societe</w:t>
      </w:r>
      <w:proofErr w:type="spellEnd"/>
      <w:r w:rsidR="00B47C9D" w:rsidRPr="00B47C9D">
        <w:rPr>
          <w:lang w:val="en-GB"/>
        </w:rPr>
        <w:t xml:space="preserve"> de la Bourse de Luxembourg, letter announcing audited financial results for the quarter and year ended March 31, 201</w:t>
      </w:r>
      <w:r w:rsidR="00B47C9D">
        <w:rPr>
          <w:lang w:val="en-GB"/>
        </w:rPr>
        <w:t xml:space="preserve">7, </w:t>
      </w:r>
      <w:r w:rsidR="00276C77">
        <w:rPr>
          <w:lang w:val="en-GB"/>
        </w:rPr>
        <w:t xml:space="preserve">with attachments, </w:t>
      </w:r>
      <w:r w:rsidR="00B47C9D">
        <w:rPr>
          <w:lang w:val="en-GB"/>
        </w:rPr>
        <w:t xml:space="preserve">May 31, 2017, accessed January 28, 2021, </w:t>
      </w:r>
      <w:r w:rsidR="00CF6AEF" w:rsidRPr="00CF6AEF">
        <w:rPr>
          <w:lang w:val="en-GB"/>
        </w:rPr>
        <w:t>www.ushamartin.com/wp-content/uploads/2017/06/UML_Results_FY2016-17.pdf</w:t>
      </w:r>
      <w:r w:rsidR="00B47C9D">
        <w:rPr>
          <w:lang w:val="en-GB"/>
        </w:rPr>
        <w:t>;</w:t>
      </w:r>
      <w:r w:rsidR="00CF6AEF" w:rsidRPr="00CF6AEF">
        <w:rPr>
          <w:lang w:val="en-GB"/>
        </w:rPr>
        <w:t xml:space="preserve"> </w:t>
      </w:r>
      <w:r w:rsidR="00B47C9D" w:rsidRPr="00B47C9D">
        <w:rPr>
          <w:lang w:val="en-GB"/>
        </w:rPr>
        <w:t xml:space="preserve">Rajeev </w:t>
      </w:r>
      <w:proofErr w:type="spellStart"/>
      <w:r w:rsidR="00B47C9D" w:rsidRPr="00B47C9D">
        <w:rPr>
          <w:lang w:val="en-GB"/>
        </w:rPr>
        <w:t>Jhawar</w:t>
      </w:r>
      <w:proofErr w:type="spellEnd"/>
      <w:r w:rsidR="00B47C9D" w:rsidRPr="00B47C9D">
        <w:rPr>
          <w:lang w:val="en-GB"/>
        </w:rPr>
        <w:t xml:space="preserve"> (managing Director, Usha Martin Limited) to secretaries of the B</w:t>
      </w:r>
      <w:r w:rsidR="00B47C9D">
        <w:rPr>
          <w:lang w:val="en-GB"/>
        </w:rPr>
        <w:t>ombay Stock Exchange</w:t>
      </w:r>
      <w:r w:rsidR="00B47C9D" w:rsidRPr="00B47C9D">
        <w:rPr>
          <w:lang w:val="en-GB"/>
        </w:rPr>
        <w:t xml:space="preserve"> Limited, the </w:t>
      </w:r>
      <w:proofErr w:type="spellStart"/>
      <w:r w:rsidR="00B47C9D" w:rsidRPr="00B47C9D">
        <w:rPr>
          <w:lang w:val="en-GB"/>
        </w:rPr>
        <w:t>Societe</w:t>
      </w:r>
      <w:proofErr w:type="spellEnd"/>
      <w:r w:rsidR="00B47C9D" w:rsidRPr="00B47C9D">
        <w:rPr>
          <w:lang w:val="en-GB"/>
        </w:rPr>
        <w:t xml:space="preserve"> de la Bourse de Luxembourg, </w:t>
      </w:r>
      <w:r w:rsidR="00B47C9D">
        <w:rPr>
          <w:lang w:val="en-GB"/>
        </w:rPr>
        <w:t xml:space="preserve">and the </w:t>
      </w:r>
      <w:r w:rsidR="00B47C9D" w:rsidRPr="00B47C9D">
        <w:rPr>
          <w:lang w:val="en-GB"/>
        </w:rPr>
        <w:t>National Stock Exchange of India Ltd.</w:t>
      </w:r>
      <w:r w:rsidR="00B47C9D">
        <w:rPr>
          <w:lang w:val="en-GB"/>
        </w:rPr>
        <w:t xml:space="preserve">, </w:t>
      </w:r>
      <w:r w:rsidR="00B47C9D" w:rsidRPr="00B47C9D">
        <w:rPr>
          <w:lang w:val="en-GB"/>
        </w:rPr>
        <w:t>letter announcing audited financial results for the quarter and year ended March 31, 201</w:t>
      </w:r>
      <w:r w:rsidR="00B47C9D">
        <w:rPr>
          <w:lang w:val="en-GB"/>
        </w:rPr>
        <w:t xml:space="preserve">6, </w:t>
      </w:r>
      <w:r w:rsidR="00276C77">
        <w:rPr>
          <w:lang w:val="en-GB"/>
        </w:rPr>
        <w:t xml:space="preserve">with attachments, </w:t>
      </w:r>
      <w:r w:rsidR="00B47C9D">
        <w:rPr>
          <w:lang w:val="en-GB"/>
        </w:rPr>
        <w:t xml:space="preserve">May 25, 2016, accessed on January 28, 2021, </w:t>
      </w:r>
      <w:r w:rsidR="00B47C9D" w:rsidRPr="00703AD3">
        <w:t>www.ushamartin.com/wp-content/uploads/2016/05/QuarterlyFinancialResults-31Mar16-.pdf</w:t>
      </w:r>
      <w:r w:rsidR="00B47C9D">
        <w:rPr>
          <w:lang w:val="en-GB"/>
        </w:rPr>
        <w:t xml:space="preserve">; </w:t>
      </w:r>
      <w:r w:rsidRPr="00B04967">
        <w:rPr>
          <w:lang w:val="en-GB"/>
        </w:rPr>
        <w:t xml:space="preserve">All announcements available at </w:t>
      </w:r>
      <w:proofErr w:type="spellStart"/>
      <w:r w:rsidRPr="00B04967">
        <w:rPr>
          <w:lang w:val="en-GB"/>
        </w:rPr>
        <w:t>ushamartin,com</w:t>
      </w:r>
      <w:proofErr w:type="spellEnd"/>
      <w:r w:rsidR="002F69BB">
        <w:rPr>
          <w:lang w:val="en-GB"/>
        </w:rPr>
        <w:t>.</w:t>
      </w:r>
    </w:p>
    <w:p w14:paraId="44434D87" w14:textId="041B9862" w:rsidR="00825E1E" w:rsidRPr="00B04967" w:rsidRDefault="00825E1E">
      <w:pPr>
        <w:spacing w:after="200" w:line="276" w:lineRule="auto"/>
        <w:rPr>
          <w:rFonts w:ascii="Arial" w:hAnsi="Arial" w:cs="Arial"/>
          <w:sz w:val="17"/>
          <w:szCs w:val="17"/>
          <w:lang w:val="en-GB"/>
        </w:rPr>
      </w:pPr>
      <w:r w:rsidRPr="00B04967">
        <w:rPr>
          <w:lang w:val="en-GB"/>
        </w:rPr>
        <w:br w:type="page"/>
      </w:r>
    </w:p>
    <w:p w14:paraId="31B1A9D7" w14:textId="02C54707" w:rsidR="00825E1E" w:rsidRPr="00B04967" w:rsidRDefault="00825E1E" w:rsidP="00825E1E">
      <w:pPr>
        <w:pStyle w:val="Casehead1"/>
        <w:rPr>
          <w:lang w:val="en-GB"/>
        </w:rPr>
      </w:pPr>
      <w:r w:rsidRPr="00B04967">
        <w:rPr>
          <w:lang w:val="en-GB"/>
        </w:rPr>
        <w:lastRenderedPageBreak/>
        <w:t>endnotes</w:t>
      </w:r>
    </w:p>
    <w:sectPr w:rsidR="00825E1E" w:rsidRPr="00B04967" w:rsidSect="00825E1E">
      <w:type w:val="continuous"/>
      <w:pgSz w:w="12240" w:h="15840" w:code="1"/>
      <w:pgMar w:top="1080" w:right="1440" w:bottom="1440" w:left="1440" w:header="108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033B" w16cex:dateUtc="2020-12-15T14:41:00Z"/>
  <w16cex:commentExtensible w16cex:durableId="23830374" w16cex:dateUtc="2020-12-15T14:42:00Z"/>
  <w16cex:commentExtensible w16cex:durableId="23834230" w16cex:dateUtc="2020-12-15T19:09:00Z"/>
  <w16cex:commentExtensible w16cex:durableId="23835463" w16cex:dateUtc="2020-12-15T20:27:00Z"/>
  <w16cex:commentExtensible w16cex:durableId="238348D1" w16cex:dateUtc="2020-12-15T19:38:00Z"/>
  <w16cex:commentExtensible w16cex:durableId="23835484" w16cex:dateUtc="2020-12-15T20:28:00Z"/>
  <w16cex:commentExtensible w16cex:durableId="238354E0" w16cex:dateUtc="2020-12-15T20:29:00Z"/>
  <w16cex:commentExtensible w16cex:durableId="2383551B" w16cex:dateUtc="2020-12-15T20:30:00Z"/>
  <w16cex:commentExtensible w16cex:durableId="23835574" w16cex:dateUtc="2020-12-15T20:32:00Z"/>
  <w16cex:commentExtensible w16cex:durableId="238355A4" w16cex:dateUtc="2020-12-15T20:32: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276817" w14:textId="77777777" w:rsidR="005B292F" w:rsidRDefault="005B292F" w:rsidP="00D75295">
      <w:r>
        <w:separator/>
      </w:r>
    </w:p>
  </w:endnote>
  <w:endnote w:type="continuationSeparator" w:id="0">
    <w:p w14:paraId="6C319D25" w14:textId="77777777" w:rsidR="005B292F" w:rsidRDefault="005B292F" w:rsidP="00D75295">
      <w:r>
        <w:continuationSeparator/>
      </w:r>
    </w:p>
  </w:endnote>
  <w:endnote w:id="1">
    <w:p w14:paraId="3363C913" w14:textId="32934E42" w:rsidR="00EF5834" w:rsidRPr="00BF7F74" w:rsidRDefault="00EF5834" w:rsidP="00825E1E">
      <w:pPr>
        <w:pStyle w:val="Footnote"/>
        <w:rPr>
          <w:lang w:val="en-GB"/>
        </w:rPr>
      </w:pPr>
      <w:r w:rsidRPr="00BF7F74">
        <w:rPr>
          <w:rStyle w:val="EndnoteReference"/>
          <w:lang w:val="en-GB"/>
        </w:rPr>
        <w:endnoteRef/>
      </w:r>
      <w:r w:rsidRPr="00BF7F74">
        <w:rPr>
          <w:lang w:val="en-GB"/>
        </w:rPr>
        <w:t xml:space="preserve"> This case has been written on the basis of published sources only. Consequently, the interpretation and perspectives presented in this case are not necessarily those of Usha Martin Limited or any of its employees.</w:t>
      </w:r>
    </w:p>
  </w:endnote>
  <w:endnote w:id="2">
    <w:p w14:paraId="633200B8" w14:textId="16EA746E" w:rsidR="00EF5834" w:rsidRPr="001742E5" w:rsidRDefault="00EF5834" w:rsidP="00825E1E">
      <w:pPr>
        <w:pStyle w:val="Footnote"/>
        <w:rPr>
          <w:lang w:val="en-GB"/>
        </w:rPr>
      </w:pPr>
      <w:r w:rsidRPr="00C77F83">
        <w:rPr>
          <w:rStyle w:val="EndnoteReference"/>
          <w:lang w:val="en-GB"/>
        </w:rPr>
        <w:endnoteRef/>
      </w:r>
      <w:r w:rsidRPr="00C77F83">
        <w:rPr>
          <w:lang w:val="en-GB"/>
        </w:rPr>
        <w:t xml:space="preserve"> Shobha Roy, “After Selling Off Steel Business to the Tatas, Usha Martin Turns</w:t>
      </w:r>
      <w:r w:rsidRPr="001748BB">
        <w:rPr>
          <w:lang w:val="en-GB"/>
        </w:rPr>
        <w:t xml:space="preserve"> Focus on Consolidation,</w:t>
      </w:r>
      <w:r w:rsidRPr="00FE2CC0">
        <w:rPr>
          <w:lang w:val="en-GB"/>
        </w:rPr>
        <w:t>”</w:t>
      </w:r>
      <w:r w:rsidRPr="003813C3">
        <w:rPr>
          <w:lang w:val="en-GB"/>
        </w:rPr>
        <w:t xml:space="preserve"> </w:t>
      </w:r>
      <w:r w:rsidRPr="00A65461">
        <w:rPr>
          <w:i/>
          <w:iCs/>
          <w:lang w:val="en-GB"/>
        </w:rPr>
        <w:t>Hindu Business</w:t>
      </w:r>
      <w:r>
        <w:rPr>
          <w:i/>
          <w:iCs/>
          <w:lang w:val="en-GB"/>
        </w:rPr>
        <w:t xml:space="preserve"> </w:t>
      </w:r>
      <w:r w:rsidRPr="00A65461">
        <w:rPr>
          <w:i/>
          <w:iCs/>
          <w:lang w:val="en-GB"/>
        </w:rPr>
        <w:t>Line</w:t>
      </w:r>
      <w:r w:rsidRPr="00C77F83">
        <w:rPr>
          <w:lang w:val="en-GB"/>
        </w:rPr>
        <w:t>,</w:t>
      </w:r>
      <w:r w:rsidRPr="00C77F83" w:rsidDel="0035384F">
        <w:rPr>
          <w:lang w:val="en-GB"/>
        </w:rPr>
        <w:t xml:space="preserve"> </w:t>
      </w:r>
      <w:r w:rsidRPr="001742E5">
        <w:rPr>
          <w:lang w:val="en-GB"/>
        </w:rPr>
        <w:t xml:space="preserve">September 21, 2019, accessed </w:t>
      </w:r>
      <w:r>
        <w:rPr>
          <w:lang w:val="en-GB"/>
        </w:rPr>
        <w:t>February 2, 2021</w:t>
      </w:r>
      <w:r w:rsidRPr="00C77F83">
        <w:rPr>
          <w:lang w:val="en-GB"/>
        </w:rPr>
        <w:t>, www.thehindubusinessline.com/compa</w:t>
      </w:r>
      <w:r w:rsidRPr="001748BB">
        <w:rPr>
          <w:lang w:val="en-GB"/>
        </w:rPr>
        <w:t>nies/after-selling-off-steel-business-to-the-tatas-usha-martin-turns-focus-on-consolidation/article29475202.ece</w:t>
      </w:r>
      <w:r w:rsidRPr="001742E5">
        <w:rPr>
          <w:lang w:val="en-GB"/>
        </w:rPr>
        <w:t>.</w:t>
      </w:r>
    </w:p>
  </w:endnote>
  <w:endnote w:id="3">
    <w:p w14:paraId="105273E1" w14:textId="3B8150E4"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Rakhi Mazumdar, “Tatas to Take Over Usha Martin’s Steel Unit Today,” </w:t>
      </w:r>
      <w:r w:rsidRPr="00A65461">
        <w:rPr>
          <w:i/>
          <w:iCs/>
          <w:lang w:val="en-GB"/>
        </w:rPr>
        <w:t>Economic Times</w:t>
      </w:r>
      <w:r w:rsidRPr="00A65461">
        <w:rPr>
          <w:lang w:val="en-GB"/>
        </w:rPr>
        <w:t>, April 9, 2019, accessed May 10, 2020,</w:t>
      </w:r>
      <w:r w:rsidRPr="00C77F83">
        <w:rPr>
          <w:lang w:val="en-GB"/>
        </w:rPr>
        <w:t xml:space="preserve"> </w:t>
      </w:r>
      <w:r w:rsidRPr="00BF7F74">
        <w:rPr>
          <w:lang w:val="en-GB"/>
        </w:rPr>
        <w:t>https://economictimes.indiatimes.com/markets/stocks/news/tatas-to-take-over-usha-martins-steel-unit-today/articleshow/68788378.cms</w:t>
      </w:r>
      <w:r w:rsidRPr="00C77F83">
        <w:rPr>
          <w:rStyle w:val="Hyperlink"/>
          <w:color w:val="auto"/>
          <w:u w:val="none"/>
          <w:lang w:val="en-GB"/>
        </w:rPr>
        <w:t>.</w:t>
      </w:r>
      <w:r w:rsidRPr="00A65461">
        <w:rPr>
          <w:lang w:val="en-GB"/>
        </w:rPr>
        <w:t xml:space="preserve"> </w:t>
      </w:r>
    </w:p>
  </w:endnote>
  <w:endnote w:id="4">
    <w:p w14:paraId="46343AD5" w14:textId="542EAF87"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w:t>
      </w:r>
      <w:r w:rsidRPr="001742E5">
        <w:rPr>
          <w:lang w:val="en-GB"/>
        </w:rPr>
        <w:t>Tathagata Bhattacharya</w:t>
      </w:r>
      <w:r w:rsidRPr="00A65461">
        <w:rPr>
          <w:lang w:val="en-GB"/>
        </w:rPr>
        <w:t>, “</w:t>
      </w:r>
      <w:r w:rsidRPr="001742E5">
        <w:rPr>
          <w:lang w:val="en-GB"/>
        </w:rPr>
        <w:t>Economists Say: No More a Recession, India Headed towards ‘Depression</w:t>
      </w:r>
      <w:r>
        <w:rPr>
          <w:lang w:val="en-GB"/>
        </w:rPr>
        <w:t>,</w:t>
      </w:r>
      <w:r w:rsidRPr="001742E5">
        <w:rPr>
          <w:lang w:val="en-GB"/>
        </w:rPr>
        <w:t>’</w:t>
      </w:r>
      <w:r w:rsidRPr="00A65461">
        <w:rPr>
          <w:lang w:val="en-GB"/>
        </w:rPr>
        <w:t xml:space="preserve">” </w:t>
      </w:r>
      <w:r w:rsidRPr="00A65461">
        <w:rPr>
          <w:i/>
          <w:iCs/>
          <w:lang w:val="en-GB"/>
        </w:rPr>
        <w:t>National Herald</w:t>
      </w:r>
      <w:r w:rsidRPr="00A65461">
        <w:rPr>
          <w:lang w:val="en-GB"/>
        </w:rPr>
        <w:t xml:space="preserve">, June 22, 2020, accessed July 12, 2020, </w:t>
      </w:r>
      <w:r w:rsidRPr="00787458">
        <w:rPr>
          <w:rStyle w:val="Hyperlink"/>
          <w:color w:val="auto"/>
          <w:u w:val="none"/>
          <w:lang w:val="en-GB"/>
        </w:rPr>
        <w:t>www.nationalheraldindia.com/opinion/economists-now-say-future-bleaker-than-ever</w:t>
      </w:r>
      <w:r>
        <w:rPr>
          <w:lang w:val="en-GB"/>
        </w:rPr>
        <w:t>;</w:t>
      </w:r>
      <w:r w:rsidRPr="00A65461">
        <w:rPr>
          <w:lang w:val="en-GB"/>
        </w:rPr>
        <w:t xml:space="preserve"> “</w:t>
      </w:r>
      <w:r w:rsidRPr="001742E5">
        <w:rPr>
          <w:lang w:val="en-GB"/>
        </w:rPr>
        <w:t>Brazil Economy to Shrink by 5% This Year, Says World Bank</w:t>
      </w:r>
      <w:r>
        <w:rPr>
          <w:lang w:val="en-GB"/>
        </w:rPr>
        <w:t xml:space="preserve">,” </w:t>
      </w:r>
      <w:r w:rsidRPr="00A65461">
        <w:rPr>
          <w:i/>
          <w:iCs/>
          <w:lang w:val="en-GB"/>
        </w:rPr>
        <w:t>Reuters</w:t>
      </w:r>
      <w:r w:rsidRPr="00A65461">
        <w:rPr>
          <w:lang w:val="en-GB"/>
        </w:rPr>
        <w:t xml:space="preserve">, April 13, 2020, accessed June 27, 2020, </w:t>
      </w:r>
      <w:r w:rsidRPr="00787458">
        <w:rPr>
          <w:rStyle w:val="Hyperlink"/>
          <w:color w:val="auto"/>
          <w:u w:val="none"/>
          <w:lang w:val="en-GB"/>
        </w:rPr>
        <w:t>www.reuters.com/article/brazil-economy-world-bank/brazil-economy-to-shrink-by-5-this-year-says-world-bank-idUSL2N2C107F?mod=article_inline</w:t>
      </w:r>
      <w:r>
        <w:rPr>
          <w:rStyle w:val="Hyperlink"/>
          <w:color w:val="auto"/>
          <w:u w:val="none"/>
          <w:lang w:val="en-GB"/>
        </w:rPr>
        <w:t>.</w:t>
      </w:r>
      <w:r w:rsidRPr="00A65461">
        <w:rPr>
          <w:lang w:val="en-GB"/>
        </w:rPr>
        <w:t xml:space="preserve"> </w:t>
      </w:r>
    </w:p>
  </w:endnote>
  <w:endnote w:id="5">
    <w:p w14:paraId="4A826118" w14:textId="37E43CFC" w:rsidR="00EF5834" w:rsidRDefault="00EF5834" w:rsidP="005B292F">
      <w:pPr>
        <w:pStyle w:val="Footnote"/>
      </w:pPr>
      <w:r>
        <w:rPr>
          <w:rStyle w:val="EndnoteReference"/>
        </w:rPr>
        <w:endnoteRef/>
      </w:r>
      <w:r>
        <w:t xml:space="preserve"> “Subdued Global Economic Recovery,” The World Bank, accessed March 3, 2021.</w:t>
      </w:r>
    </w:p>
  </w:endnote>
  <w:endnote w:id="6">
    <w:p w14:paraId="5CC1CAC7" w14:textId="4C48F3E7" w:rsidR="00EF5834" w:rsidRPr="00C77F83" w:rsidRDefault="00EF5834" w:rsidP="00825E1E">
      <w:pPr>
        <w:pStyle w:val="Footnote"/>
        <w:rPr>
          <w:lang w:val="en-GB"/>
        </w:rPr>
      </w:pPr>
      <w:r w:rsidRPr="00C77F83">
        <w:rPr>
          <w:rStyle w:val="EndnoteReference"/>
          <w:lang w:val="en-GB"/>
        </w:rPr>
        <w:endnoteRef/>
      </w:r>
      <w:r w:rsidRPr="00C77F83">
        <w:rPr>
          <w:lang w:val="en-GB"/>
        </w:rPr>
        <w:t xml:space="preserve"> </w:t>
      </w:r>
      <w:r w:rsidRPr="00A65461">
        <w:rPr>
          <w:lang w:val="en-GB"/>
        </w:rPr>
        <w:t>Nitin Pangarkar, Mohit Agarwal</w:t>
      </w:r>
      <w:r>
        <w:rPr>
          <w:lang w:val="en-GB"/>
        </w:rPr>
        <w:t>,</w:t>
      </w:r>
      <w:r w:rsidRPr="00A65461">
        <w:rPr>
          <w:lang w:val="en-GB"/>
        </w:rPr>
        <w:t xml:space="preserve"> and Natasha Pangarkar, “Usha Martin: Competitive </w:t>
      </w:r>
      <w:r>
        <w:rPr>
          <w:lang w:val="en-GB"/>
        </w:rPr>
        <w:t>Advantage</w:t>
      </w:r>
      <w:r w:rsidRPr="00A65461">
        <w:rPr>
          <w:lang w:val="en-GB"/>
        </w:rPr>
        <w:t xml:space="preserve"> through </w:t>
      </w:r>
      <w:r>
        <w:rPr>
          <w:lang w:val="en-GB"/>
        </w:rPr>
        <w:t>Vertical Integration</w:t>
      </w:r>
      <w:r w:rsidRPr="00A65461">
        <w:rPr>
          <w:lang w:val="en-GB"/>
        </w:rPr>
        <w:t xml:space="preserve">,” </w:t>
      </w:r>
      <w:r>
        <w:rPr>
          <w:lang w:val="en-GB"/>
        </w:rPr>
        <w:t>in</w:t>
      </w:r>
      <w:r w:rsidRPr="00A65461">
        <w:rPr>
          <w:lang w:val="en-GB"/>
        </w:rPr>
        <w:t xml:space="preserve"> </w:t>
      </w:r>
      <w:r w:rsidRPr="00A65461">
        <w:rPr>
          <w:i/>
          <w:lang w:val="en-GB"/>
        </w:rPr>
        <w:t>Strategic Management</w:t>
      </w:r>
      <w:r>
        <w:rPr>
          <w:i/>
          <w:lang w:val="en-GB"/>
        </w:rPr>
        <w:t>: An Integrated Approach</w:t>
      </w:r>
      <w:r>
        <w:rPr>
          <w:iCs/>
          <w:lang w:val="en-GB"/>
        </w:rPr>
        <w:t xml:space="preserve">, </w:t>
      </w:r>
      <w:r w:rsidRPr="00A65461">
        <w:rPr>
          <w:lang w:val="en-GB"/>
        </w:rPr>
        <w:t xml:space="preserve">11th </w:t>
      </w:r>
      <w:r>
        <w:rPr>
          <w:lang w:val="en-GB"/>
        </w:rPr>
        <w:t xml:space="preserve">ed., ed. </w:t>
      </w:r>
      <w:r w:rsidRPr="00530CD7">
        <w:rPr>
          <w:lang w:val="en-GB"/>
        </w:rPr>
        <w:t xml:space="preserve">Charles W. L. Hill, Gareth R. Jones, </w:t>
      </w:r>
      <w:r>
        <w:rPr>
          <w:lang w:val="en-GB"/>
        </w:rPr>
        <w:t xml:space="preserve">and </w:t>
      </w:r>
      <w:r w:rsidRPr="00530CD7">
        <w:rPr>
          <w:lang w:val="en-GB"/>
        </w:rPr>
        <w:t>Melissa A. Schilling</w:t>
      </w:r>
      <w:r>
        <w:rPr>
          <w:lang w:val="en-GB"/>
        </w:rPr>
        <w:t xml:space="preserve"> (Stamford, CT: Cengage Learning,</w:t>
      </w:r>
      <w:r w:rsidRPr="00A65461">
        <w:rPr>
          <w:lang w:val="en-GB"/>
        </w:rPr>
        <w:t xml:space="preserve"> 201</w:t>
      </w:r>
      <w:r>
        <w:rPr>
          <w:lang w:val="en-GB"/>
        </w:rPr>
        <w:t>5), C-</w:t>
      </w:r>
      <w:r w:rsidRPr="00E33336">
        <w:rPr>
          <w:lang w:val="en-GB"/>
        </w:rPr>
        <w:t>347</w:t>
      </w:r>
      <w:r>
        <w:rPr>
          <w:lang w:val="en-GB"/>
        </w:rPr>
        <w:t>–C-</w:t>
      </w:r>
      <w:r w:rsidRPr="00E33336">
        <w:rPr>
          <w:lang w:val="en-GB"/>
        </w:rPr>
        <w:t>359</w:t>
      </w:r>
      <w:r w:rsidRPr="00A65461">
        <w:rPr>
          <w:lang w:val="en-GB"/>
        </w:rPr>
        <w:t>.</w:t>
      </w:r>
    </w:p>
  </w:endnote>
  <w:endnote w:id="7">
    <w:p w14:paraId="118D267D" w14:textId="219CE028" w:rsidR="00EF5834" w:rsidRPr="00C77F83" w:rsidRDefault="00EF5834" w:rsidP="00825E1E">
      <w:pPr>
        <w:pStyle w:val="Footnote"/>
        <w:rPr>
          <w:lang w:val="en-GB"/>
        </w:rPr>
      </w:pPr>
      <w:r w:rsidRPr="00C77F83">
        <w:rPr>
          <w:rStyle w:val="EndnoteReference"/>
          <w:lang w:val="en-GB"/>
        </w:rPr>
        <w:endnoteRef/>
      </w:r>
      <w:r w:rsidRPr="00C77F83">
        <w:rPr>
          <w:lang w:val="en-GB"/>
        </w:rPr>
        <w:t xml:space="preserve"> Ibid</w:t>
      </w:r>
      <w:r>
        <w:rPr>
          <w:lang w:val="en-GB"/>
        </w:rPr>
        <w:t xml:space="preserve">. </w:t>
      </w:r>
    </w:p>
  </w:endnote>
  <w:endnote w:id="8">
    <w:p w14:paraId="6F0A35FD" w14:textId="16A1AA6D" w:rsidR="00EF5834" w:rsidRPr="00A65461" w:rsidRDefault="00EF5834" w:rsidP="00825E1E">
      <w:pPr>
        <w:pStyle w:val="Footnote"/>
        <w:rPr>
          <w:highlight w:val="yellow"/>
          <w:lang w:val="en-GB"/>
        </w:rPr>
      </w:pPr>
      <w:r w:rsidRPr="00A65461">
        <w:rPr>
          <w:rStyle w:val="EndnoteReference"/>
          <w:lang w:val="en-GB"/>
        </w:rPr>
        <w:endnoteRef/>
      </w:r>
      <w:r w:rsidRPr="00A65461">
        <w:rPr>
          <w:lang w:val="en-GB"/>
        </w:rPr>
        <w:t xml:space="preserve"> Ibid.</w:t>
      </w:r>
      <w:r>
        <w:rPr>
          <w:lang w:val="en-GB"/>
        </w:rPr>
        <w:t xml:space="preserve"> </w:t>
      </w:r>
    </w:p>
  </w:endnote>
  <w:endnote w:id="9">
    <w:p w14:paraId="75C62E08" w14:textId="4C877DCC"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Ibid</w:t>
      </w:r>
      <w:r>
        <w:rPr>
          <w:lang w:val="en-GB"/>
        </w:rPr>
        <w:t xml:space="preserve">. </w:t>
      </w:r>
    </w:p>
  </w:endnote>
  <w:endnote w:id="10">
    <w:p w14:paraId="36D1A6BA" w14:textId="04F1CAC3" w:rsidR="00EF5834" w:rsidRPr="001748BB" w:rsidRDefault="00EF5834" w:rsidP="00825E1E">
      <w:pPr>
        <w:pStyle w:val="Footnote"/>
        <w:rPr>
          <w:lang w:val="en-GB"/>
        </w:rPr>
      </w:pPr>
      <w:r w:rsidRPr="00C77F83">
        <w:rPr>
          <w:rStyle w:val="EndnoteReference"/>
          <w:lang w:val="en-GB"/>
        </w:rPr>
        <w:endnoteRef/>
      </w:r>
      <w:r w:rsidRPr="00C77F83">
        <w:rPr>
          <w:lang w:val="en-GB"/>
        </w:rPr>
        <w:t xml:space="preserve"> </w:t>
      </w:r>
      <w:r>
        <w:rPr>
          <w:lang w:val="en-GB"/>
        </w:rPr>
        <w:t>“Usha Martin Ltd.</w:t>
      </w:r>
      <w:r w:rsidRPr="00C77F83">
        <w:rPr>
          <w:lang w:val="en-GB"/>
        </w:rPr>
        <w:t>,</w:t>
      </w:r>
      <w:r>
        <w:rPr>
          <w:lang w:val="en-GB"/>
        </w:rPr>
        <w:t xml:space="preserve">” </w:t>
      </w:r>
      <w:r w:rsidRPr="00A65461">
        <w:rPr>
          <w:i/>
          <w:iCs/>
          <w:lang w:val="en-GB"/>
        </w:rPr>
        <w:t>Business Standard</w:t>
      </w:r>
      <w:r>
        <w:rPr>
          <w:lang w:val="en-GB"/>
        </w:rPr>
        <w:t xml:space="preserve">, </w:t>
      </w:r>
      <w:r w:rsidRPr="00E33336">
        <w:rPr>
          <w:lang w:val="en-GB"/>
        </w:rPr>
        <w:t>accessed August 5, 2020</w:t>
      </w:r>
      <w:r>
        <w:rPr>
          <w:lang w:val="en-GB"/>
        </w:rPr>
        <w:t>,</w:t>
      </w:r>
      <w:r w:rsidRPr="00C77F83">
        <w:rPr>
          <w:lang w:val="en-GB"/>
        </w:rPr>
        <w:t xml:space="preserve"> </w:t>
      </w:r>
      <w:r w:rsidRPr="00703AD3">
        <w:t>www.business-standard.com/company/usha-martin-1076/information/company-history</w:t>
      </w:r>
      <w:r w:rsidRPr="001748BB">
        <w:rPr>
          <w:lang w:val="en-GB"/>
        </w:rPr>
        <w:t>.</w:t>
      </w:r>
    </w:p>
  </w:endnote>
  <w:endnote w:id="11">
    <w:p w14:paraId="23F60610" w14:textId="4E5A4861" w:rsidR="00EF5834" w:rsidRPr="001742E5" w:rsidRDefault="00EF5834" w:rsidP="00825E1E">
      <w:pPr>
        <w:pStyle w:val="Footnote"/>
        <w:rPr>
          <w:lang w:val="en-GB"/>
        </w:rPr>
      </w:pPr>
      <w:r w:rsidRPr="00C77F83">
        <w:rPr>
          <w:rStyle w:val="EndnoteReference"/>
          <w:lang w:val="en-GB"/>
        </w:rPr>
        <w:endnoteRef/>
      </w:r>
      <w:r w:rsidRPr="00C77F83">
        <w:rPr>
          <w:lang w:val="en-GB"/>
        </w:rPr>
        <w:t xml:space="preserve"> Nitin Pangarkar and Manav Garg</w:t>
      </w:r>
      <w:r>
        <w:rPr>
          <w:lang w:val="en-GB"/>
        </w:rPr>
        <w:t>,</w:t>
      </w:r>
      <w:r w:rsidRPr="00C77F83">
        <w:rPr>
          <w:lang w:val="en-GB"/>
        </w:rPr>
        <w:t xml:space="preserve"> </w:t>
      </w:r>
      <w:r w:rsidRPr="00A65461">
        <w:rPr>
          <w:i/>
          <w:iCs/>
          <w:lang w:val="en-GB"/>
        </w:rPr>
        <w:t>Usha Martin: Surviving a Perfect Storm</w:t>
      </w:r>
      <w:r w:rsidRPr="00C77F83">
        <w:rPr>
          <w:lang w:val="en-GB"/>
        </w:rPr>
        <w:t xml:space="preserve"> </w:t>
      </w:r>
      <w:r>
        <w:rPr>
          <w:lang w:val="en-GB"/>
        </w:rPr>
        <w:t>(London: Sage Publications, 2019).</w:t>
      </w:r>
    </w:p>
  </w:endnote>
  <w:endnote w:id="12">
    <w:p w14:paraId="30535B25" w14:textId="198FF6AD"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w:t>
      </w:r>
      <w:r w:rsidRPr="006912D2">
        <w:rPr>
          <w:lang w:val="en-GB"/>
        </w:rPr>
        <w:t>Pangarkar</w:t>
      </w:r>
      <w:r>
        <w:rPr>
          <w:lang w:val="en-GB"/>
        </w:rPr>
        <w:t xml:space="preserve">, </w:t>
      </w:r>
      <w:r w:rsidRPr="006912D2">
        <w:rPr>
          <w:lang w:val="en-GB"/>
        </w:rPr>
        <w:t>Agarwal</w:t>
      </w:r>
      <w:r>
        <w:rPr>
          <w:lang w:val="en-GB"/>
        </w:rPr>
        <w:t xml:space="preserve">, and </w:t>
      </w:r>
      <w:r w:rsidRPr="006912D2">
        <w:rPr>
          <w:lang w:val="en-GB"/>
        </w:rPr>
        <w:t>Pangarka</w:t>
      </w:r>
      <w:r>
        <w:rPr>
          <w:lang w:val="en-GB"/>
        </w:rPr>
        <w:t>r, op. cit.;</w:t>
      </w:r>
      <w:r w:rsidRPr="00A65461">
        <w:rPr>
          <w:lang w:val="en-GB"/>
        </w:rPr>
        <w:t xml:space="preserve"> </w:t>
      </w:r>
      <w:bookmarkStart w:id="0" w:name="_Hlk61955205"/>
      <w:r w:rsidRPr="00A65461">
        <w:rPr>
          <w:lang w:val="en-GB"/>
        </w:rPr>
        <w:t>Usha Martin</w:t>
      </w:r>
      <w:r>
        <w:rPr>
          <w:lang w:val="en-GB"/>
        </w:rPr>
        <w:t xml:space="preserve"> Limited</w:t>
      </w:r>
      <w:r w:rsidRPr="00A65461">
        <w:rPr>
          <w:lang w:val="en-GB"/>
        </w:rPr>
        <w:t xml:space="preserve">, </w:t>
      </w:r>
      <w:r w:rsidRPr="00A65461">
        <w:rPr>
          <w:i/>
          <w:iCs/>
          <w:lang w:val="en-GB"/>
        </w:rPr>
        <w:t>Annual Report 2011</w:t>
      </w:r>
      <w:r>
        <w:rPr>
          <w:i/>
          <w:iCs/>
          <w:lang w:val="en-GB"/>
        </w:rPr>
        <w:t>–</w:t>
      </w:r>
      <w:r w:rsidRPr="00A65461">
        <w:rPr>
          <w:i/>
          <w:iCs/>
          <w:lang w:val="en-GB"/>
        </w:rPr>
        <w:t>12</w:t>
      </w:r>
      <w:r w:rsidRPr="00A65461">
        <w:rPr>
          <w:lang w:val="en-GB"/>
        </w:rPr>
        <w:t xml:space="preserve">, 12, accessed May 13, 2020, </w:t>
      </w:r>
      <w:hyperlink r:id="rId1" w:history="1">
        <w:r w:rsidRPr="00A65461">
          <w:rPr>
            <w:rStyle w:val="Hyperlink"/>
            <w:color w:val="auto"/>
            <w:u w:val="none"/>
            <w:lang w:val="en-GB"/>
          </w:rPr>
          <w:t>www.ushamartin.com/wp-content/uploads/2014/04/Usha-Martin-Limited-Annual-Report-2011-12.pdf</w:t>
        </w:r>
      </w:hyperlink>
      <w:r>
        <w:rPr>
          <w:rStyle w:val="Hyperlink"/>
          <w:color w:val="auto"/>
          <w:u w:val="none"/>
          <w:lang w:val="en-GB"/>
        </w:rPr>
        <w:t>.</w:t>
      </w:r>
      <w:r w:rsidRPr="00A65461">
        <w:rPr>
          <w:lang w:val="en-GB"/>
        </w:rPr>
        <w:t xml:space="preserve"> </w:t>
      </w:r>
      <w:bookmarkEnd w:id="0"/>
    </w:p>
  </w:endnote>
  <w:endnote w:id="13">
    <w:p w14:paraId="08DC7149" w14:textId="537DECFE"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“Cable</w:t>
      </w:r>
      <w:r>
        <w:rPr>
          <w:lang w:val="en-GB"/>
        </w:rPr>
        <w:t>,</w:t>
      </w:r>
      <w:r w:rsidRPr="00A65461">
        <w:rPr>
          <w:lang w:val="en-GB"/>
        </w:rPr>
        <w:t xml:space="preserve">” Usha Martin, accessed May 10, 2020, </w:t>
      </w:r>
      <w:hyperlink r:id="rId2" w:history="1">
        <w:r w:rsidRPr="00A65461">
          <w:rPr>
            <w:rStyle w:val="Hyperlink"/>
            <w:color w:val="auto"/>
            <w:u w:val="none"/>
            <w:lang w:val="en-GB"/>
          </w:rPr>
          <w:t>www.ushamartin.com/product/cable/</w:t>
        </w:r>
      </w:hyperlink>
      <w:r>
        <w:rPr>
          <w:rStyle w:val="Hyperlink"/>
          <w:color w:val="auto"/>
          <w:u w:val="none"/>
          <w:lang w:val="en-GB"/>
        </w:rPr>
        <w:t>.</w:t>
      </w:r>
    </w:p>
  </w:endnote>
  <w:endnote w:id="14">
    <w:p w14:paraId="393CE960" w14:textId="7625255F" w:rsidR="00EF5834" w:rsidRPr="00A65461" w:rsidRDefault="00EF5834">
      <w:pPr>
        <w:pStyle w:val="EndnoteText"/>
        <w:rPr>
          <w:rFonts w:ascii="Arial" w:hAnsi="Arial" w:cs="Arial"/>
          <w:sz w:val="17"/>
          <w:szCs w:val="17"/>
          <w:lang w:val="en-CA"/>
        </w:rPr>
      </w:pPr>
      <w:r w:rsidRPr="00A65461">
        <w:rPr>
          <w:rStyle w:val="EndnoteReference"/>
          <w:rFonts w:ascii="Arial" w:hAnsi="Arial" w:cs="Arial"/>
          <w:sz w:val="17"/>
          <w:szCs w:val="17"/>
        </w:rPr>
        <w:endnoteRef/>
      </w:r>
      <w:r w:rsidRPr="00A65461">
        <w:rPr>
          <w:rFonts w:ascii="Arial" w:hAnsi="Arial" w:cs="Arial"/>
          <w:sz w:val="17"/>
          <w:szCs w:val="17"/>
        </w:rPr>
        <w:t xml:space="preserve"> </w:t>
      </w:r>
      <w:r w:rsidRPr="00A65461">
        <w:rPr>
          <w:rFonts w:ascii="Arial" w:hAnsi="Arial" w:cs="Arial"/>
          <w:sz w:val="17"/>
          <w:szCs w:val="17"/>
          <w:lang w:val="en-CA"/>
        </w:rPr>
        <w:t>₹ = INR = Indian rupee; US$1 = ₹</w:t>
      </w:r>
      <w:r w:rsidRPr="00C77F83">
        <w:rPr>
          <w:rFonts w:ascii="Arial" w:hAnsi="Arial" w:cs="Arial"/>
          <w:sz w:val="17"/>
          <w:szCs w:val="17"/>
          <w:lang w:val="en-CA"/>
        </w:rPr>
        <w:t>75.6897</w:t>
      </w:r>
      <w:r w:rsidRPr="00A65461">
        <w:rPr>
          <w:rFonts w:ascii="Arial" w:hAnsi="Arial" w:cs="Arial"/>
          <w:sz w:val="17"/>
          <w:szCs w:val="17"/>
          <w:lang w:val="en-CA"/>
        </w:rPr>
        <w:t xml:space="preserve"> on May 1, 2020. </w:t>
      </w:r>
    </w:p>
  </w:endnote>
  <w:endnote w:id="15">
    <w:p w14:paraId="0BF2C501" w14:textId="42F702AB"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Usha Martin</w:t>
      </w:r>
      <w:r>
        <w:rPr>
          <w:lang w:val="en-GB"/>
        </w:rPr>
        <w:t xml:space="preserve"> Limited</w:t>
      </w:r>
      <w:r w:rsidRPr="00A65461">
        <w:rPr>
          <w:lang w:val="en-GB"/>
        </w:rPr>
        <w:t xml:space="preserve">, </w:t>
      </w:r>
      <w:r w:rsidRPr="00A65461">
        <w:rPr>
          <w:i/>
          <w:iCs/>
          <w:lang w:val="en-GB"/>
        </w:rPr>
        <w:t>Annual Report 2018</w:t>
      </w:r>
      <w:r>
        <w:rPr>
          <w:i/>
          <w:iCs/>
          <w:lang w:val="en-GB"/>
        </w:rPr>
        <w:t>–</w:t>
      </w:r>
      <w:r w:rsidRPr="00A65461">
        <w:rPr>
          <w:i/>
          <w:iCs/>
          <w:lang w:val="en-GB"/>
        </w:rPr>
        <w:t>19</w:t>
      </w:r>
      <w:r w:rsidRPr="00A65461">
        <w:rPr>
          <w:lang w:val="en-GB"/>
        </w:rPr>
        <w:t xml:space="preserve">, 4, accessed May 5, 2020, </w:t>
      </w:r>
      <w:hyperlink r:id="rId3" w:history="1">
        <w:r w:rsidRPr="00A65461">
          <w:rPr>
            <w:rStyle w:val="Hyperlink"/>
            <w:color w:val="auto"/>
            <w:u w:val="none"/>
            <w:lang w:val="en-GB"/>
          </w:rPr>
          <w:t>www.ushamartin.com/wp-content/uploads/2019/08/Usha-Martin-Limited-Annual-Report-2018-19.pdf</w:t>
        </w:r>
      </w:hyperlink>
      <w:r>
        <w:rPr>
          <w:lang w:val="en-GB"/>
        </w:rPr>
        <w:t>.</w:t>
      </w:r>
      <w:r w:rsidRPr="00A65461">
        <w:rPr>
          <w:lang w:val="en-GB"/>
        </w:rPr>
        <w:t xml:space="preserve"> </w:t>
      </w:r>
    </w:p>
  </w:endnote>
  <w:endnote w:id="16">
    <w:p w14:paraId="7B7C75C6" w14:textId="574D0C91"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“Facilities</w:t>
      </w:r>
      <w:r>
        <w:rPr>
          <w:lang w:val="en-GB"/>
        </w:rPr>
        <w:t>,</w:t>
      </w:r>
      <w:r w:rsidRPr="00A65461">
        <w:rPr>
          <w:lang w:val="en-GB"/>
        </w:rPr>
        <w:t xml:space="preserve">” Usha Martin, accessed May 11, 2020, </w:t>
      </w:r>
      <w:hyperlink r:id="rId4" w:history="1">
        <w:r w:rsidRPr="00A65461">
          <w:rPr>
            <w:rStyle w:val="Hyperlink"/>
            <w:color w:val="auto"/>
            <w:u w:val="none"/>
            <w:lang w:val="en-GB"/>
          </w:rPr>
          <w:t>www.ushamartin.com/facility/facilities/</w:t>
        </w:r>
      </w:hyperlink>
      <w:r>
        <w:rPr>
          <w:rStyle w:val="Hyperlink"/>
          <w:color w:val="auto"/>
          <w:u w:val="none"/>
          <w:lang w:val="en-GB"/>
        </w:rPr>
        <w:t>.</w:t>
      </w:r>
      <w:r w:rsidRPr="00A65461">
        <w:rPr>
          <w:lang w:val="en-GB"/>
        </w:rPr>
        <w:t xml:space="preserve"> </w:t>
      </w:r>
    </w:p>
  </w:endnote>
  <w:endnote w:id="17">
    <w:p w14:paraId="70BF38E5" w14:textId="0C67D750"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w:t>
      </w:r>
      <w:r w:rsidRPr="006912D2">
        <w:rPr>
          <w:lang w:val="en-GB"/>
        </w:rPr>
        <w:t>Pangarkar</w:t>
      </w:r>
      <w:r>
        <w:rPr>
          <w:lang w:val="en-GB"/>
        </w:rPr>
        <w:t xml:space="preserve">, </w:t>
      </w:r>
      <w:r w:rsidRPr="006912D2">
        <w:rPr>
          <w:lang w:val="en-GB"/>
        </w:rPr>
        <w:t>Agarwal</w:t>
      </w:r>
      <w:r>
        <w:rPr>
          <w:lang w:val="en-GB"/>
        </w:rPr>
        <w:t xml:space="preserve">, and </w:t>
      </w:r>
      <w:r w:rsidRPr="006912D2">
        <w:rPr>
          <w:lang w:val="en-GB"/>
        </w:rPr>
        <w:t>Pangarka</w:t>
      </w:r>
      <w:r>
        <w:rPr>
          <w:lang w:val="en-GB"/>
        </w:rPr>
        <w:t xml:space="preserve">r, op. cit. </w:t>
      </w:r>
    </w:p>
  </w:endnote>
  <w:endnote w:id="18">
    <w:p w14:paraId="72F68EB7" w14:textId="6EDDCEE5" w:rsidR="00EF5834" w:rsidRPr="00D946A3" w:rsidRDefault="00EF5834" w:rsidP="00825E1E">
      <w:pPr>
        <w:pStyle w:val="Footnote"/>
        <w:rPr>
          <w:lang w:val="en-GB"/>
        </w:rPr>
      </w:pPr>
      <w:r w:rsidRPr="00C77F83">
        <w:rPr>
          <w:rStyle w:val="EndnoteReference"/>
          <w:lang w:val="en-GB"/>
        </w:rPr>
        <w:endnoteRef/>
      </w:r>
      <w:r w:rsidRPr="00C77F83">
        <w:rPr>
          <w:lang w:val="en-GB"/>
        </w:rPr>
        <w:t xml:space="preserve"> Usha Martin</w:t>
      </w:r>
      <w:r>
        <w:rPr>
          <w:lang w:val="en-GB"/>
        </w:rPr>
        <w:t xml:space="preserve"> Limited,</w:t>
      </w:r>
      <w:r w:rsidRPr="00C77F83">
        <w:rPr>
          <w:lang w:val="en-GB"/>
        </w:rPr>
        <w:t xml:space="preserve"> </w:t>
      </w:r>
      <w:r w:rsidRPr="00A65461">
        <w:rPr>
          <w:i/>
          <w:iCs/>
          <w:lang w:val="en-GB"/>
        </w:rPr>
        <w:t>Annual Report 2016-17</w:t>
      </w:r>
      <w:r w:rsidRPr="00C77F83">
        <w:rPr>
          <w:lang w:val="en-GB"/>
        </w:rPr>
        <w:t>, 5</w:t>
      </w:r>
      <w:r>
        <w:rPr>
          <w:lang w:val="en-GB"/>
        </w:rPr>
        <w:t xml:space="preserve">, accessed January 28, 2021, </w:t>
      </w:r>
      <w:r w:rsidRPr="00D946A3">
        <w:rPr>
          <w:lang w:val="en-GB"/>
        </w:rPr>
        <w:t>www.ushamartin.com/wp-content/uploads/2017/08/UM_AR_2016-17.pdf</w:t>
      </w:r>
      <w:r>
        <w:rPr>
          <w:lang w:val="en-GB"/>
        </w:rPr>
        <w:t>.</w:t>
      </w:r>
    </w:p>
  </w:endnote>
  <w:endnote w:id="19">
    <w:p w14:paraId="77CE077A" w14:textId="4E571EC7" w:rsidR="00EF5834" w:rsidRPr="00DB3DF6" w:rsidRDefault="00EF5834" w:rsidP="00825E1E">
      <w:pPr>
        <w:pStyle w:val="Footnote"/>
        <w:rPr>
          <w:lang w:val="en-GB"/>
        </w:rPr>
      </w:pPr>
      <w:r w:rsidRPr="00A65461">
        <w:rPr>
          <w:rStyle w:val="EndnoteReference"/>
          <w:lang w:val="en-GB"/>
        </w:rPr>
        <w:endnoteRef/>
      </w:r>
      <w:r w:rsidRPr="00A65461">
        <w:rPr>
          <w:lang w:val="en-GB"/>
        </w:rPr>
        <w:t xml:space="preserve"> Usha Martin Ltd., “Profit and Loss Account of Usha Martin</w:t>
      </w:r>
      <w:r>
        <w:rPr>
          <w:lang w:val="en-GB"/>
        </w:rPr>
        <w:t>,</w:t>
      </w:r>
      <w:r w:rsidRPr="00DB3DF6">
        <w:rPr>
          <w:lang w:val="en-GB"/>
        </w:rPr>
        <w:t>” Moneycontrol, accessed July 2, 2020</w:t>
      </w:r>
      <w:r>
        <w:rPr>
          <w:lang w:val="en-GB"/>
        </w:rPr>
        <w:t xml:space="preserve">, </w:t>
      </w:r>
      <w:r w:rsidRPr="002A631E">
        <w:rPr>
          <w:lang w:val="en-GB"/>
        </w:rPr>
        <w:t>www.moneycontrol.com/financials/ushamartin/profit-lossVI/UM01/4#UM01</w:t>
      </w:r>
      <w:r>
        <w:rPr>
          <w:lang w:val="en-GB"/>
        </w:rPr>
        <w:t>.</w:t>
      </w:r>
    </w:p>
  </w:endnote>
  <w:endnote w:id="20">
    <w:p w14:paraId="3601BD0C" w14:textId="04117AC1" w:rsidR="00EF5834" w:rsidRPr="00A65461" w:rsidRDefault="00EF5834" w:rsidP="00825E1E">
      <w:pPr>
        <w:pStyle w:val="Footnote"/>
        <w:rPr>
          <w:lang w:val="en-GB"/>
        </w:rPr>
      </w:pPr>
      <w:r w:rsidRPr="00DB3DF6">
        <w:rPr>
          <w:rStyle w:val="EndnoteReference"/>
          <w:lang w:val="en-GB"/>
        </w:rPr>
        <w:endnoteRef/>
      </w:r>
      <w:r w:rsidRPr="00A65461">
        <w:rPr>
          <w:lang w:val="en-GB"/>
        </w:rPr>
        <w:t xml:space="preserve"> Sanjeev Kumar Kanchan and Umashankar S</w:t>
      </w:r>
      <w:r>
        <w:rPr>
          <w:lang w:val="en-GB"/>
        </w:rPr>
        <w:t>.</w:t>
      </w:r>
      <w:r w:rsidRPr="00A65461">
        <w:rPr>
          <w:lang w:val="en-GB"/>
        </w:rPr>
        <w:t>, “Pollution Glorified</w:t>
      </w:r>
      <w:r>
        <w:rPr>
          <w:lang w:val="en-GB"/>
        </w:rPr>
        <w:t>,</w:t>
      </w:r>
      <w:r w:rsidRPr="00A65461">
        <w:rPr>
          <w:lang w:val="en-GB"/>
        </w:rPr>
        <w:t>” Down</w:t>
      </w:r>
      <w:r>
        <w:rPr>
          <w:lang w:val="en-GB"/>
        </w:rPr>
        <w:t xml:space="preserve"> to </w:t>
      </w:r>
      <w:r w:rsidRPr="00A65461">
        <w:rPr>
          <w:lang w:val="en-GB"/>
        </w:rPr>
        <w:t xml:space="preserve">Earth, </w:t>
      </w:r>
      <w:r>
        <w:rPr>
          <w:lang w:val="en-GB"/>
        </w:rPr>
        <w:t>February 15, 2012</w:t>
      </w:r>
      <w:r w:rsidRPr="00A65461">
        <w:rPr>
          <w:lang w:val="en-GB"/>
        </w:rPr>
        <w:t>, accessed June 2, 2020</w:t>
      </w:r>
      <w:r>
        <w:rPr>
          <w:lang w:val="en-GB"/>
        </w:rPr>
        <w:t xml:space="preserve">, </w:t>
      </w:r>
      <w:r w:rsidRPr="00787458">
        <w:rPr>
          <w:rStyle w:val="Hyperlink"/>
          <w:color w:val="auto"/>
          <w:u w:val="none"/>
          <w:lang w:val="en-GB"/>
        </w:rPr>
        <w:t>www.downtoearth.org.in/coverage/pollution-glorified-35851</w:t>
      </w:r>
      <w:r>
        <w:rPr>
          <w:rStyle w:val="Hyperlink"/>
          <w:color w:val="auto"/>
          <w:u w:val="none"/>
          <w:lang w:val="en-GB"/>
        </w:rPr>
        <w:t>.</w:t>
      </w:r>
      <w:r w:rsidRPr="00A65461">
        <w:rPr>
          <w:lang w:val="en-GB"/>
        </w:rPr>
        <w:t xml:space="preserve"> </w:t>
      </w:r>
    </w:p>
  </w:endnote>
  <w:endnote w:id="21">
    <w:p w14:paraId="7BBE3439" w14:textId="49CDB067" w:rsidR="00EF5834" w:rsidRPr="001742E5" w:rsidRDefault="00EF5834" w:rsidP="00825E1E">
      <w:pPr>
        <w:pStyle w:val="Footnote"/>
        <w:rPr>
          <w:lang w:val="en-GB"/>
        </w:rPr>
      </w:pPr>
      <w:r w:rsidRPr="00C77F83">
        <w:rPr>
          <w:rStyle w:val="EndnoteReference"/>
          <w:lang w:val="en-GB"/>
        </w:rPr>
        <w:endnoteRef/>
      </w:r>
      <w:r w:rsidRPr="00C77F83">
        <w:rPr>
          <w:lang w:val="en-GB"/>
        </w:rPr>
        <w:t xml:space="preserve"> </w:t>
      </w:r>
      <w:hyperlink r:id="rId5" w:history="1">
        <w:r w:rsidRPr="00C77F83">
          <w:rPr>
            <w:rStyle w:val="Hyperlink"/>
            <w:color w:val="auto"/>
            <w:u w:val="none"/>
            <w:lang w:val="en-GB"/>
          </w:rPr>
          <w:t>François Rousseau and Luca Caruso</w:t>
        </w:r>
      </w:hyperlink>
      <w:r w:rsidRPr="00C77F83">
        <w:rPr>
          <w:lang w:val="en-GB"/>
        </w:rPr>
        <w:t xml:space="preserve">, </w:t>
      </w:r>
      <w:r>
        <w:rPr>
          <w:lang w:val="en-GB"/>
        </w:rPr>
        <w:t>“</w:t>
      </w:r>
      <w:r w:rsidRPr="003E7C1B">
        <w:rPr>
          <w:lang w:val="en-GB"/>
        </w:rPr>
        <w:t>Improving Returns in Capital-Intensive Industries</w:t>
      </w:r>
      <w:r w:rsidRPr="00C77F83">
        <w:rPr>
          <w:lang w:val="en-GB"/>
        </w:rPr>
        <w:t>,</w:t>
      </w:r>
      <w:r>
        <w:rPr>
          <w:lang w:val="en-GB"/>
        </w:rPr>
        <w:t>”</w:t>
      </w:r>
      <w:r w:rsidRPr="00C77F83">
        <w:rPr>
          <w:lang w:val="en-GB"/>
        </w:rPr>
        <w:t xml:space="preserve"> </w:t>
      </w:r>
      <w:r>
        <w:rPr>
          <w:lang w:val="en-GB"/>
        </w:rPr>
        <w:t>IndustryWeek, February</w:t>
      </w:r>
      <w:r w:rsidRPr="00C77F83">
        <w:rPr>
          <w:lang w:val="en-GB"/>
        </w:rPr>
        <w:t xml:space="preserve"> 24, 2016, </w:t>
      </w:r>
      <w:r>
        <w:rPr>
          <w:lang w:val="en-GB"/>
        </w:rPr>
        <w:t xml:space="preserve">accessed February 2, 2021, </w:t>
      </w:r>
      <w:r w:rsidRPr="00787458">
        <w:rPr>
          <w:rStyle w:val="Hyperlink"/>
          <w:color w:val="auto"/>
          <w:u w:val="none"/>
          <w:lang w:val="en-GB"/>
        </w:rPr>
        <w:t>www.industryweek.com/finance/article/21970802/improving-returns-in-capitalintensive-industries</w:t>
      </w:r>
      <w:r w:rsidRPr="00C77F83">
        <w:rPr>
          <w:lang w:val="en-GB"/>
        </w:rPr>
        <w:t xml:space="preserve">; </w:t>
      </w:r>
      <w:r w:rsidRPr="001748BB">
        <w:rPr>
          <w:lang w:val="en-GB"/>
        </w:rPr>
        <w:t xml:space="preserve">Pangarkar and </w:t>
      </w:r>
      <w:r w:rsidRPr="001742E5">
        <w:rPr>
          <w:lang w:val="en-GB"/>
        </w:rPr>
        <w:t>Garg</w:t>
      </w:r>
      <w:r>
        <w:rPr>
          <w:lang w:val="en-GB"/>
        </w:rPr>
        <w:t xml:space="preserve">, op. cit. </w:t>
      </w:r>
    </w:p>
  </w:endnote>
  <w:endnote w:id="22">
    <w:p w14:paraId="4AE657C2" w14:textId="461DB810"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Heather Timmons and Zheping Huang, “</w:t>
      </w:r>
      <w:r w:rsidRPr="0051664A">
        <w:rPr>
          <w:lang w:val="en-GB"/>
        </w:rPr>
        <w:t>Charted: How China Turned the Global Steel Industry Upside Down in Just 15 Years</w:t>
      </w:r>
      <w:r>
        <w:rPr>
          <w:lang w:val="en-GB"/>
        </w:rPr>
        <w:t>,”</w:t>
      </w:r>
      <w:r w:rsidRPr="00C77F83" w:rsidDel="0051664A">
        <w:rPr>
          <w:lang w:val="en-GB"/>
        </w:rPr>
        <w:t xml:space="preserve"> </w:t>
      </w:r>
      <w:r w:rsidRPr="00A65461">
        <w:rPr>
          <w:lang w:val="en-GB"/>
        </w:rPr>
        <w:t xml:space="preserve">Quartz, June 7, 2016, accessed June 5, 2020, </w:t>
      </w:r>
      <w:hyperlink r:id="rId6" w:history="1">
        <w:r w:rsidRPr="00A65461">
          <w:rPr>
            <w:rStyle w:val="Hyperlink"/>
            <w:color w:val="auto"/>
            <w:u w:val="none"/>
            <w:lang w:val="en-GB"/>
          </w:rPr>
          <w:t>https://qz.com/699979/how-chinas-overproduction-of-steel-is-damaging-companies-and-countries-around-the-world/</w:t>
        </w:r>
      </w:hyperlink>
      <w:r>
        <w:rPr>
          <w:rStyle w:val="Hyperlink"/>
          <w:color w:val="auto"/>
          <w:u w:val="none"/>
          <w:lang w:val="en-GB"/>
        </w:rPr>
        <w:t>.</w:t>
      </w:r>
      <w:r w:rsidRPr="00A65461">
        <w:rPr>
          <w:lang w:val="en-GB"/>
        </w:rPr>
        <w:t xml:space="preserve"> </w:t>
      </w:r>
    </w:p>
  </w:endnote>
  <w:endnote w:id="23">
    <w:p w14:paraId="01C17A6F" w14:textId="72F5380E"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Dean Nelson, “</w:t>
      </w:r>
      <w:r w:rsidRPr="00907E02">
        <w:rPr>
          <w:lang w:val="en-GB"/>
        </w:rPr>
        <w:t>Indian Government Accused of ‘Looting the Country’ over Coal Mining Contracts</w:t>
      </w:r>
      <w:r>
        <w:rPr>
          <w:lang w:val="en-GB"/>
        </w:rPr>
        <w:t>,</w:t>
      </w:r>
      <w:r w:rsidRPr="00A65461">
        <w:rPr>
          <w:lang w:val="en-GB"/>
        </w:rPr>
        <w:t xml:space="preserve">” </w:t>
      </w:r>
      <w:r w:rsidRPr="00A65461">
        <w:rPr>
          <w:i/>
          <w:iCs/>
          <w:lang w:val="en-GB"/>
        </w:rPr>
        <w:t>Telegraph</w:t>
      </w:r>
      <w:r w:rsidRPr="00A65461">
        <w:rPr>
          <w:lang w:val="en-GB"/>
        </w:rPr>
        <w:t xml:space="preserve">, May 22, 2012, accessed June 10, 2020, </w:t>
      </w:r>
      <w:r w:rsidRPr="00787458">
        <w:rPr>
          <w:rStyle w:val="Hyperlink"/>
          <w:color w:val="auto"/>
          <w:u w:val="none"/>
          <w:lang w:val="en-GB"/>
        </w:rPr>
        <w:t>www.telegraph.co.uk/news/worldnews/asia/india/9160978/Indian-government-accused-of-looting-the-country-over-coal-mining-contracts.html</w:t>
      </w:r>
      <w:r>
        <w:rPr>
          <w:rStyle w:val="Hyperlink"/>
          <w:color w:val="auto"/>
          <w:u w:val="none"/>
          <w:lang w:val="en-GB"/>
        </w:rPr>
        <w:t>.</w:t>
      </w:r>
      <w:r w:rsidRPr="00A65461">
        <w:rPr>
          <w:lang w:val="en-GB"/>
        </w:rPr>
        <w:t xml:space="preserve"> </w:t>
      </w:r>
    </w:p>
  </w:endnote>
  <w:endnote w:id="24">
    <w:p w14:paraId="76829657" w14:textId="1050F976" w:rsidR="00EF5834" w:rsidRPr="00A65461" w:rsidRDefault="00EF5834" w:rsidP="00825E1E">
      <w:pPr>
        <w:pStyle w:val="Footnote"/>
        <w:rPr>
          <w:lang w:val="en-GB"/>
        </w:rPr>
      </w:pPr>
      <w:r w:rsidRPr="00A65461">
        <w:rPr>
          <w:rStyle w:val="EndnoteReference"/>
          <w:lang w:val="en-GB"/>
        </w:rPr>
        <w:endnoteRef/>
      </w:r>
      <w:r w:rsidRPr="00A65461">
        <w:rPr>
          <w:lang w:val="en-GB"/>
        </w:rPr>
        <w:t xml:space="preserve"> </w:t>
      </w:r>
      <w:r>
        <w:rPr>
          <w:lang w:val="en-GB"/>
        </w:rPr>
        <w:t xml:space="preserve">Kanchan and Umashankar, op. cit. </w:t>
      </w:r>
    </w:p>
  </w:endnote>
  <w:endnote w:id="25">
    <w:p w14:paraId="0ACE7349" w14:textId="5B930C24" w:rsidR="00EF5834" w:rsidRPr="00DB3DF6" w:rsidRDefault="00EF5834" w:rsidP="00825E1E">
      <w:pPr>
        <w:pStyle w:val="Footnote"/>
        <w:rPr>
          <w:lang w:val="en-GB"/>
        </w:rPr>
      </w:pPr>
      <w:r w:rsidRPr="00A65461">
        <w:rPr>
          <w:rStyle w:val="EndnoteReference"/>
          <w:lang w:val="en-GB"/>
        </w:rPr>
        <w:endnoteRef/>
      </w:r>
      <w:r w:rsidRPr="00A65461">
        <w:rPr>
          <w:lang w:val="en-GB"/>
        </w:rPr>
        <w:t xml:space="preserve"> </w:t>
      </w:r>
      <w:r>
        <w:rPr>
          <w:lang w:val="en-GB"/>
        </w:rPr>
        <w:t xml:space="preserve">Ibid. </w:t>
      </w:r>
    </w:p>
  </w:endnote>
  <w:endnote w:id="26">
    <w:p w14:paraId="2D295C50" w14:textId="3345A868" w:rsidR="00EF5834" w:rsidRPr="00DB3DF6" w:rsidRDefault="00EF5834" w:rsidP="00825E1E">
      <w:pPr>
        <w:pStyle w:val="Footnote"/>
        <w:rPr>
          <w:lang w:val="en-GB"/>
        </w:rPr>
      </w:pPr>
      <w:r w:rsidRPr="00C77F83">
        <w:rPr>
          <w:rStyle w:val="EndnoteReference"/>
          <w:lang w:val="en-GB"/>
        </w:rPr>
        <w:endnoteRef/>
      </w:r>
      <w:r w:rsidRPr="00C77F83">
        <w:rPr>
          <w:lang w:val="en-GB"/>
        </w:rPr>
        <w:t xml:space="preserve"> </w:t>
      </w:r>
      <w:r w:rsidRPr="00DB3DF6">
        <w:rPr>
          <w:lang w:val="en-GB"/>
        </w:rPr>
        <w:t>Usha Martin</w:t>
      </w:r>
      <w:r>
        <w:rPr>
          <w:lang w:val="en-GB"/>
        </w:rPr>
        <w:t xml:space="preserve"> Limited</w:t>
      </w:r>
      <w:r w:rsidRPr="00DB3DF6">
        <w:rPr>
          <w:lang w:val="en-GB"/>
        </w:rPr>
        <w:t xml:space="preserve">, </w:t>
      </w:r>
      <w:r w:rsidRPr="00DB3DF6">
        <w:rPr>
          <w:i/>
          <w:iCs/>
          <w:lang w:val="en-GB"/>
        </w:rPr>
        <w:t>Annual Report 2014</w:t>
      </w:r>
      <w:r>
        <w:rPr>
          <w:i/>
          <w:iCs/>
          <w:lang w:val="en-GB"/>
        </w:rPr>
        <w:t>–</w:t>
      </w:r>
      <w:r w:rsidRPr="00DB3DF6">
        <w:rPr>
          <w:i/>
          <w:iCs/>
          <w:lang w:val="en-GB"/>
        </w:rPr>
        <w:t>15</w:t>
      </w:r>
      <w:r w:rsidRPr="00DB3DF6">
        <w:rPr>
          <w:lang w:val="en-GB"/>
        </w:rPr>
        <w:t xml:space="preserve">, 9, accessed May 19, 2020, </w:t>
      </w:r>
      <w:hyperlink r:id="rId7" w:history="1">
        <w:r w:rsidRPr="00DB3DF6">
          <w:rPr>
            <w:rStyle w:val="Hyperlink"/>
            <w:color w:val="auto"/>
            <w:u w:val="none"/>
            <w:lang w:val="en-GB"/>
          </w:rPr>
          <w:t>www.ushamartin.com/wp-content/uploads/2015/07/Annual-Report-2014-15.pdf</w:t>
        </w:r>
      </w:hyperlink>
      <w:r>
        <w:rPr>
          <w:rStyle w:val="Hyperlink"/>
          <w:color w:val="auto"/>
          <w:u w:val="none"/>
          <w:lang w:val="en-GB"/>
        </w:rPr>
        <w:t>.</w:t>
      </w:r>
      <w:r w:rsidRPr="00DB3DF6">
        <w:rPr>
          <w:lang w:val="en-GB"/>
        </w:rPr>
        <w:t xml:space="preserve"> </w:t>
      </w:r>
    </w:p>
  </w:endnote>
  <w:endnote w:id="27">
    <w:p w14:paraId="267541F3" w14:textId="77777777" w:rsidR="00EF5834" w:rsidRPr="007E327A" w:rsidRDefault="00EF5834" w:rsidP="00BE3307">
      <w:pPr>
        <w:pStyle w:val="Footnote"/>
        <w:rPr>
          <w:lang w:val="en-GB"/>
        </w:rPr>
      </w:pPr>
      <w:r w:rsidRPr="00DB3DF6">
        <w:rPr>
          <w:rStyle w:val="EndnoteReference"/>
          <w:lang w:val="en-GB"/>
        </w:rPr>
        <w:endnoteRef/>
      </w:r>
      <w:r w:rsidRPr="00DB3DF6">
        <w:rPr>
          <w:lang w:val="en-GB"/>
        </w:rPr>
        <w:t xml:space="preserve"> </w:t>
      </w:r>
      <w:bookmarkStart w:id="2" w:name="_Hlk62028277"/>
      <w:r w:rsidRPr="00DB3DF6">
        <w:rPr>
          <w:lang w:val="en-GB"/>
        </w:rPr>
        <w:t>Usha Martin</w:t>
      </w:r>
      <w:r>
        <w:rPr>
          <w:lang w:val="en-GB"/>
        </w:rPr>
        <w:t xml:space="preserve"> Limited</w:t>
      </w:r>
      <w:r w:rsidRPr="00DB3DF6">
        <w:rPr>
          <w:lang w:val="en-GB"/>
        </w:rPr>
        <w:t xml:space="preserve">, </w:t>
      </w:r>
      <w:r w:rsidRPr="00DB3DF6">
        <w:rPr>
          <w:i/>
          <w:iCs/>
          <w:lang w:val="en-GB"/>
        </w:rPr>
        <w:t>Annual Report 2010</w:t>
      </w:r>
      <w:r>
        <w:rPr>
          <w:i/>
          <w:iCs/>
          <w:lang w:val="en-GB"/>
        </w:rPr>
        <w:t>–</w:t>
      </w:r>
      <w:r w:rsidRPr="00DB3DF6">
        <w:rPr>
          <w:i/>
          <w:iCs/>
          <w:lang w:val="en-GB"/>
        </w:rPr>
        <w:t>11</w:t>
      </w:r>
      <w:r w:rsidRPr="00DB3DF6">
        <w:rPr>
          <w:lang w:val="en-GB"/>
        </w:rPr>
        <w:t>, 28, accessed May 21</w:t>
      </w:r>
      <w:r>
        <w:rPr>
          <w:lang w:val="en-GB"/>
        </w:rPr>
        <w:t>,</w:t>
      </w:r>
      <w:r w:rsidRPr="007E327A">
        <w:rPr>
          <w:lang w:val="en-GB"/>
        </w:rPr>
        <w:t xml:space="preserve"> 2020, </w:t>
      </w:r>
      <w:hyperlink r:id="rId8" w:history="1">
        <w:r w:rsidRPr="007E327A">
          <w:rPr>
            <w:rStyle w:val="Hyperlink"/>
            <w:color w:val="auto"/>
            <w:u w:val="none"/>
            <w:lang w:val="en-GB"/>
          </w:rPr>
          <w:t>www.ushamartin.com/wp-content/uploads/2014/04/Annual-Report-Delux-2010-11.pdf</w:t>
        </w:r>
      </w:hyperlink>
      <w:r>
        <w:rPr>
          <w:rStyle w:val="Hyperlink"/>
          <w:color w:val="auto"/>
          <w:u w:val="none"/>
          <w:lang w:val="en-GB"/>
        </w:rPr>
        <w:t>.</w:t>
      </w:r>
      <w:bookmarkEnd w:id="2"/>
      <w:r w:rsidRPr="007E327A">
        <w:rPr>
          <w:lang w:val="en-GB"/>
        </w:rPr>
        <w:t xml:space="preserve"> </w:t>
      </w:r>
    </w:p>
  </w:endnote>
  <w:endnote w:id="28">
    <w:p w14:paraId="40AFBF85" w14:textId="49789569" w:rsidR="00EF5834" w:rsidRPr="007E327A" w:rsidRDefault="00EF5834" w:rsidP="00825E1E">
      <w:pPr>
        <w:pStyle w:val="Footnote"/>
        <w:rPr>
          <w:lang w:val="en-GB" w:eastAsia="zh-CN"/>
        </w:rPr>
      </w:pPr>
      <w:r w:rsidRPr="007E327A">
        <w:rPr>
          <w:rStyle w:val="EndnoteReference"/>
          <w:lang w:val="en-GB"/>
        </w:rPr>
        <w:endnoteRef/>
      </w:r>
      <w:r w:rsidRPr="007E327A">
        <w:rPr>
          <w:lang w:val="en-GB"/>
        </w:rPr>
        <w:t xml:space="preserve"> </w:t>
      </w:r>
      <w:r>
        <w:rPr>
          <w:lang w:val="en-GB"/>
        </w:rPr>
        <w:t>PTI</w:t>
      </w:r>
      <w:r w:rsidRPr="007E327A">
        <w:rPr>
          <w:lang w:val="en-GB"/>
        </w:rPr>
        <w:t>, “</w:t>
      </w:r>
      <w:r w:rsidRPr="00FD0FFF">
        <w:rPr>
          <w:lang w:val="en-GB"/>
        </w:rPr>
        <w:t>India World’s Fourth Largest Steel Maker in 2011: WSA</w:t>
      </w:r>
      <w:r>
        <w:rPr>
          <w:lang w:val="en-GB"/>
        </w:rPr>
        <w:t>,”</w:t>
      </w:r>
      <w:r w:rsidRPr="00C77F83" w:rsidDel="00FD0FFF">
        <w:rPr>
          <w:lang w:val="en-GB"/>
        </w:rPr>
        <w:t xml:space="preserve"> </w:t>
      </w:r>
      <w:r w:rsidRPr="007E327A">
        <w:rPr>
          <w:i/>
          <w:iCs/>
          <w:lang w:val="en-GB"/>
        </w:rPr>
        <w:t>Times of India</w:t>
      </w:r>
      <w:r w:rsidRPr="007E327A">
        <w:rPr>
          <w:lang w:val="en-GB"/>
        </w:rPr>
        <w:t xml:space="preserve">, </w:t>
      </w:r>
      <w:r>
        <w:rPr>
          <w:lang w:val="en-GB"/>
        </w:rPr>
        <w:t xml:space="preserve">updated </w:t>
      </w:r>
      <w:r w:rsidRPr="007E327A">
        <w:rPr>
          <w:lang w:val="en-GB"/>
        </w:rPr>
        <w:t xml:space="preserve">January 29, 2012, accessed June 20, 2020, </w:t>
      </w:r>
      <w:hyperlink r:id="rId9" w:history="1">
        <w:r w:rsidRPr="007E327A">
          <w:rPr>
            <w:rStyle w:val="Hyperlink"/>
            <w:color w:val="auto"/>
            <w:u w:val="none"/>
            <w:lang w:val="en-GB"/>
          </w:rPr>
          <w:t>https://timesofindia.indiatimes.com/business/india-business/India-worlds-fourth-largest-steel-maker-in-2011-WSA/articleshow/11675309.cms?utm_source=contentofinterest&amp;utm_medium=text&amp;utm_campaign=cppst</w:t>
        </w:r>
      </w:hyperlink>
      <w:r>
        <w:rPr>
          <w:rStyle w:val="Hyperlink"/>
          <w:color w:val="auto"/>
          <w:u w:val="none"/>
          <w:lang w:val="en-GB"/>
        </w:rPr>
        <w:t>.</w:t>
      </w:r>
      <w:r w:rsidRPr="007E327A">
        <w:rPr>
          <w:lang w:val="en-GB"/>
        </w:rPr>
        <w:t xml:space="preserve"> </w:t>
      </w:r>
    </w:p>
  </w:endnote>
  <w:endnote w:id="29">
    <w:p w14:paraId="315322D7" w14:textId="3CEA3EB0"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PTI, “</w:t>
      </w:r>
      <w:r w:rsidRPr="00E12329">
        <w:rPr>
          <w:lang w:val="en-GB"/>
        </w:rPr>
        <w:t>Tata Steel to Buy Usha Martin’s Steel Business for Up to ₹4,700 Crore</w:t>
      </w:r>
      <w:r>
        <w:rPr>
          <w:lang w:val="en-GB"/>
        </w:rPr>
        <w:t xml:space="preserve">,” </w:t>
      </w:r>
      <w:r w:rsidRPr="007E327A">
        <w:rPr>
          <w:i/>
          <w:iCs/>
          <w:lang w:val="en-GB"/>
        </w:rPr>
        <w:t>Mint</w:t>
      </w:r>
      <w:r w:rsidRPr="007E327A">
        <w:rPr>
          <w:lang w:val="en-GB"/>
        </w:rPr>
        <w:t xml:space="preserve">, September 22, 2018, accessed June 23, 2020, </w:t>
      </w:r>
      <w:r w:rsidRPr="00787458">
        <w:rPr>
          <w:rStyle w:val="Hyperlink"/>
          <w:color w:val="auto"/>
          <w:u w:val="none"/>
          <w:lang w:val="en-GB"/>
        </w:rPr>
        <w:t>www.livemint.com/Companies/BTqISSbsuRvOOAohbB0zKJ/Tata-Steel-to-acquire-Usha-Martins-steel-business-for-up-to.html</w:t>
      </w:r>
      <w:r>
        <w:rPr>
          <w:rStyle w:val="Hyperlink"/>
          <w:color w:val="auto"/>
          <w:u w:val="none"/>
          <w:lang w:val="en-GB"/>
        </w:rPr>
        <w:t>.</w:t>
      </w:r>
    </w:p>
  </w:endnote>
  <w:endnote w:id="30">
    <w:p w14:paraId="5D6C5D8F" w14:textId="0173C3FA" w:rsidR="00EF5834" w:rsidRPr="007E327A" w:rsidRDefault="00EF5834" w:rsidP="00825E1E">
      <w:pPr>
        <w:pStyle w:val="Footnote"/>
        <w:rPr>
          <w:lang w:val="en-GB"/>
        </w:rPr>
      </w:pPr>
      <w:r w:rsidRPr="007E327A">
        <w:rPr>
          <w:rStyle w:val="EndnoteReference"/>
          <w:lang w:val="en-GB"/>
        </w:rPr>
        <w:endnoteRef/>
      </w:r>
      <w:r>
        <w:rPr>
          <w:lang w:val="en-GB"/>
        </w:rPr>
        <w:t xml:space="preserve"> </w:t>
      </w:r>
      <w:r w:rsidRPr="007E327A">
        <w:rPr>
          <w:i/>
          <w:iCs/>
          <w:lang w:val="en-GB"/>
        </w:rPr>
        <w:t>World Steel in Figures 2011</w:t>
      </w:r>
      <w:r>
        <w:rPr>
          <w:lang w:val="en-GB"/>
        </w:rPr>
        <w:t xml:space="preserve"> (Brussels: World Steel Association, 2011</w:t>
      </w:r>
      <w:r w:rsidRPr="00993559">
        <w:rPr>
          <w:lang w:val="en-GB"/>
        </w:rPr>
        <w:t xml:space="preserve">), accessed February 2, 2021, </w:t>
      </w:r>
      <w:r w:rsidRPr="00703AD3">
        <w:t>www.worldsteel.org/en/dam/jcr:65dbfd1d-9429-4f71-ac68-4fe5b4848776/World%2520Steel%2520in%2520Figures%25202011.pdf</w:t>
      </w:r>
      <w:r>
        <w:rPr>
          <w:lang w:val="en-GB"/>
        </w:rPr>
        <w:t>.</w:t>
      </w:r>
    </w:p>
  </w:endnote>
  <w:endnote w:id="31">
    <w:p w14:paraId="214E0D6B" w14:textId="60458A04" w:rsidR="00EF5834" w:rsidRPr="007E327A" w:rsidRDefault="00EF5834" w:rsidP="00825E1E">
      <w:pPr>
        <w:pStyle w:val="Footnote"/>
        <w:rPr>
          <w:lang w:val="en-GB"/>
        </w:rPr>
      </w:pPr>
      <w:r w:rsidRPr="007E327A">
        <w:rPr>
          <w:rStyle w:val="EndnoteReference"/>
          <w:lang w:val="en-GB"/>
        </w:rPr>
        <w:endnoteRef/>
      </w:r>
      <w:r>
        <w:rPr>
          <w:lang w:val="en-GB"/>
        </w:rPr>
        <w:t xml:space="preserve"> </w:t>
      </w:r>
      <w:r w:rsidRPr="007E327A">
        <w:rPr>
          <w:lang w:val="en-GB"/>
        </w:rPr>
        <w:t>Timmons and Huang,</w:t>
      </w:r>
      <w:r>
        <w:rPr>
          <w:lang w:val="en-GB"/>
        </w:rPr>
        <w:t xml:space="preserve"> op. cit.</w:t>
      </w:r>
    </w:p>
  </w:endnote>
  <w:endnote w:id="32">
    <w:p w14:paraId="4A658CE0" w14:textId="05FD2558"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Usha Martin</w:t>
      </w:r>
      <w:r>
        <w:rPr>
          <w:lang w:val="en-GB"/>
        </w:rPr>
        <w:t xml:space="preserve"> Limited</w:t>
      </w:r>
      <w:r w:rsidRPr="007E327A">
        <w:rPr>
          <w:lang w:val="en-GB"/>
        </w:rPr>
        <w:t xml:space="preserve">, </w:t>
      </w:r>
      <w:r w:rsidRPr="007E327A">
        <w:rPr>
          <w:i/>
          <w:iCs/>
          <w:lang w:val="en-GB"/>
        </w:rPr>
        <w:t>Annual Report 2017</w:t>
      </w:r>
      <w:r>
        <w:rPr>
          <w:i/>
          <w:iCs/>
          <w:lang w:val="en-GB"/>
        </w:rPr>
        <w:t>–</w:t>
      </w:r>
      <w:r w:rsidRPr="007E327A">
        <w:rPr>
          <w:i/>
          <w:iCs/>
          <w:lang w:val="en-GB"/>
        </w:rPr>
        <w:t>18</w:t>
      </w:r>
      <w:r w:rsidRPr="007E327A">
        <w:rPr>
          <w:lang w:val="en-GB"/>
        </w:rPr>
        <w:t xml:space="preserve">, 5, accessed May 26, 2020, </w:t>
      </w:r>
      <w:hyperlink r:id="rId10" w:history="1">
        <w:r w:rsidRPr="007E327A">
          <w:rPr>
            <w:rStyle w:val="Hyperlink"/>
            <w:color w:val="auto"/>
            <w:u w:val="none"/>
            <w:lang w:val="en-GB"/>
          </w:rPr>
          <w:t>www.ushamartin.com/wp-content/uploads/2018/08/UM-AR-ALL-PAGE_FOR-NET.pdf</w:t>
        </w:r>
      </w:hyperlink>
      <w:r>
        <w:rPr>
          <w:rStyle w:val="Hyperlink"/>
          <w:color w:val="auto"/>
          <w:u w:val="none"/>
          <w:lang w:val="en-GB"/>
        </w:rPr>
        <w:t>;</w:t>
      </w:r>
      <w:r w:rsidRPr="007E327A">
        <w:rPr>
          <w:lang w:val="en-GB"/>
        </w:rPr>
        <w:t xml:space="preserve"> </w:t>
      </w:r>
      <w:r>
        <w:rPr>
          <w:lang w:val="en-GB"/>
        </w:rPr>
        <w:t>Maytaal Angel, “</w:t>
      </w:r>
      <w:r w:rsidRPr="003B33EB">
        <w:rPr>
          <w:lang w:val="en-GB"/>
        </w:rPr>
        <w:t xml:space="preserve">China to Cut Steel Capacity but Excess Output Still Expected </w:t>
      </w:r>
      <w:r>
        <w:rPr>
          <w:lang w:val="en-GB"/>
        </w:rPr>
        <w:t>–</w:t>
      </w:r>
      <w:r w:rsidRPr="003B33EB">
        <w:rPr>
          <w:lang w:val="en-GB"/>
        </w:rPr>
        <w:t xml:space="preserve"> Eurofer</w:t>
      </w:r>
      <w:r>
        <w:rPr>
          <w:lang w:val="en-GB"/>
        </w:rPr>
        <w:t xml:space="preserve">,” Reuters, May 11, 2017, accessed February 2, 2021, </w:t>
      </w:r>
      <w:r w:rsidRPr="00703AD3">
        <w:t>www.reuters.com/article/us-steel-eu-idUSKBN18703O</w:t>
      </w:r>
      <w:r>
        <w:rPr>
          <w:lang w:val="en-GB"/>
        </w:rPr>
        <w:t>.</w:t>
      </w:r>
    </w:p>
  </w:endnote>
  <w:endnote w:id="33">
    <w:p w14:paraId="34DA4066" w14:textId="321DAF5B" w:rsidR="00EF5834" w:rsidRPr="007E327A" w:rsidRDefault="00EF5834" w:rsidP="00825E1E">
      <w:pPr>
        <w:pStyle w:val="Footnote"/>
        <w:rPr>
          <w:lang w:val="en-GB"/>
        </w:rPr>
      </w:pPr>
      <w:r w:rsidRPr="00AD6DD6">
        <w:rPr>
          <w:rStyle w:val="EndnoteReference"/>
          <w:lang w:val="en-GB"/>
        </w:rPr>
        <w:endnoteRef/>
      </w:r>
      <w:r w:rsidRPr="00AD6DD6">
        <w:rPr>
          <w:lang w:val="en-GB"/>
        </w:rPr>
        <w:t xml:space="preserve"> </w:t>
      </w:r>
      <w:r>
        <w:rPr>
          <w:lang w:val="en-GB"/>
        </w:rPr>
        <w:t>Angel, op. cit.</w:t>
      </w:r>
    </w:p>
  </w:endnote>
  <w:endnote w:id="34">
    <w:p w14:paraId="33E5466C" w14:textId="2C8B43B1"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w:t>
      </w:r>
      <w:r w:rsidRPr="00E33336">
        <w:rPr>
          <w:lang w:val="en-GB"/>
        </w:rPr>
        <w:t>Usha Martin</w:t>
      </w:r>
      <w:r>
        <w:rPr>
          <w:lang w:val="en-GB"/>
        </w:rPr>
        <w:t xml:space="preserve"> Limited</w:t>
      </w:r>
      <w:r w:rsidRPr="00E33336">
        <w:rPr>
          <w:lang w:val="en-GB"/>
        </w:rPr>
        <w:t xml:space="preserve">, </w:t>
      </w:r>
      <w:r w:rsidRPr="00E33336">
        <w:rPr>
          <w:i/>
          <w:iCs/>
          <w:lang w:val="en-GB"/>
        </w:rPr>
        <w:t>Annual Report 2014</w:t>
      </w:r>
      <w:r>
        <w:rPr>
          <w:i/>
          <w:iCs/>
          <w:lang w:val="en-GB"/>
        </w:rPr>
        <w:t>–</w:t>
      </w:r>
      <w:r w:rsidRPr="00E33336">
        <w:rPr>
          <w:i/>
          <w:iCs/>
          <w:lang w:val="en-GB"/>
        </w:rPr>
        <w:t>15</w:t>
      </w:r>
      <w:r w:rsidRPr="00E33336">
        <w:rPr>
          <w:lang w:val="en-GB"/>
        </w:rPr>
        <w:t xml:space="preserve">, </w:t>
      </w:r>
      <w:r>
        <w:rPr>
          <w:lang w:val="en-GB"/>
        </w:rPr>
        <w:t xml:space="preserve">op. cit. </w:t>
      </w:r>
    </w:p>
  </w:endnote>
  <w:endnote w:id="35">
    <w:p w14:paraId="7DCB6E01" w14:textId="172F7499" w:rsidR="00EF5834" w:rsidRPr="00C77F83" w:rsidRDefault="00EF5834" w:rsidP="00825E1E">
      <w:pPr>
        <w:pStyle w:val="Footnote"/>
        <w:rPr>
          <w:lang w:val="en-GB"/>
        </w:rPr>
      </w:pPr>
      <w:r w:rsidRPr="00C77F83">
        <w:rPr>
          <w:rStyle w:val="EndnoteReference"/>
          <w:lang w:val="en-GB"/>
        </w:rPr>
        <w:endnoteRef/>
      </w:r>
      <w:r w:rsidRPr="00C77F83">
        <w:rPr>
          <w:lang w:val="en-GB"/>
        </w:rPr>
        <w:t xml:space="preserve"> </w:t>
      </w:r>
      <w:r>
        <w:rPr>
          <w:lang w:val="en-GB"/>
        </w:rPr>
        <w:t>Larry Elliott, “</w:t>
      </w:r>
      <w:r w:rsidRPr="00A10EE1">
        <w:rPr>
          <w:lang w:val="en-GB"/>
        </w:rPr>
        <w:t>Oil Price Falls to 11-Year Low</w:t>
      </w:r>
      <w:r>
        <w:rPr>
          <w:lang w:val="en-GB"/>
        </w:rPr>
        <w:t xml:space="preserve"> </w:t>
      </w:r>
      <w:r w:rsidRPr="00A10EE1">
        <w:rPr>
          <w:lang w:val="en-GB"/>
        </w:rPr>
        <w:t>with Global Glut Expected to Deepen in 2016</w:t>
      </w:r>
      <w:r>
        <w:rPr>
          <w:lang w:val="en-GB"/>
        </w:rPr>
        <w:t xml:space="preserve">,” </w:t>
      </w:r>
      <w:r w:rsidRPr="007E327A">
        <w:rPr>
          <w:i/>
          <w:iCs/>
          <w:lang w:val="en-GB"/>
        </w:rPr>
        <w:t>Guardian</w:t>
      </w:r>
      <w:r>
        <w:rPr>
          <w:lang w:val="en-GB"/>
        </w:rPr>
        <w:t>, December</w:t>
      </w:r>
      <w:r w:rsidRPr="00C77F83">
        <w:rPr>
          <w:lang w:val="en-GB"/>
        </w:rPr>
        <w:t xml:space="preserve"> 21, 2015, </w:t>
      </w:r>
      <w:r>
        <w:rPr>
          <w:lang w:val="en-GB"/>
        </w:rPr>
        <w:t xml:space="preserve">accessed February 3, 2021, </w:t>
      </w:r>
      <w:r w:rsidRPr="00787458">
        <w:rPr>
          <w:rStyle w:val="Hyperlink"/>
          <w:color w:val="auto"/>
          <w:u w:val="none"/>
          <w:lang w:val="en-GB"/>
        </w:rPr>
        <w:t>www.theguardian.com/business/2015/dec/21/brent-crude-oil-price-11-year-low</w:t>
      </w:r>
      <w:r w:rsidRPr="00C77F83">
        <w:rPr>
          <w:lang w:val="en-GB"/>
        </w:rPr>
        <w:t xml:space="preserve">; </w:t>
      </w:r>
      <w:bookmarkStart w:id="4" w:name="_Hlk62028415"/>
      <w:r w:rsidRPr="00C77F83">
        <w:rPr>
          <w:lang w:val="en-GB"/>
        </w:rPr>
        <w:t xml:space="preserve">Udit Prasanna Mukherji, </w:t>
      </w:r>
      <w:r>
        <w:rPr>
          <w:lang w:val="en-GB"/>
        </w:rPr>
        <w:t>“</w:t>
      </w:r>
      <w:r w:rsidRPr="00FF603F">
        <w:rPr>
          <w:lang w:val="en-GB"/>
        </w:rPr>
        <w:t>Management Woes at Usha Martin, Financial Institutions Seek Rejig</w:t>
      </w:r>
      <w:r>
        <w:rPr>
          <w:lang w:val="en-GB"/>
        </w:rPr>
        <w:t xml:space="preserve">,” </w:t>
      </w:r>
      <w:r w:rsidRPr="007E327A">
        <w:rPr>
          <w:i/>
          <w:iCs/>
          <w:lang w:val="en-GB"/>
        </w:rPr>
        <w:t>Times of India</w:t>
      </w:r>
      <w:r>
        <w:rPr>
          <w:lang w:val="en-GB"/>
        </w:rPr>
        <w:t>,</w:t>
      </w:r>
      <w:r w:rsidRPr="00C77F83" w:rsidDel="00FF603F">
        <w:rPr>
          <w:lang w:val="en-GB"/>
        </w:rPr>
        <w:t xml:space="preserve"> </w:t>
      </w:r>
      <w:r>
        <w:rPr>
          <w:lang w:val="en-GB"/>
        </w:rPr>
        <w:t>April</w:t>
      </w:r>
      <w:r w:rsidRPr="001748BB">
        <w:rPr>
          <w:lang w:val="en-GB"/>
        </w:rPr>
        <w:t xml:space="preserve"> 25, 2017, </w:t>
      </w:r>
      <w:r>
        <w:rPr>
          <w:lang w:val="en-GB"/>
        </w:rPr>
        <w:t xml:space="preserve">accessed February 3, 2021, </w:t>
      </w:r>
      <w:bookmarkStart w:id="5" w:name="_Hlk63253732"/>
      <w:r w:rsidRPr="001748BB">
        <w:rPr>
          <w:lang w:val="en-GB"/>
        </w:rPr>
        <w:t>https://timesofindia.indiatimes.com/city/kolkata/management-woes-at-usha-martin-financial-institutions-seek-rejig/articleshow/58350248.cms</w:t>
      </w:r>
      <w:bookmarkEnd w:id="5"/>
      <w:r>
        <w:rPr>
          <w:lang w:val="en-GB"/>
        </w:rPr>
        <w:t>.</w:t>
      </w:r>
      <w:bookmarkEnd w:id="4"/>
    </w:p>
  </w:endnote>
  <w:endnote w:id="36">
    <w:p w14:paraId="6443FDB2" w14:textId="4643B454" w:rsidR="00EF5834" w:rsidRDefault="00EF5834" w:rsidP="00BE3307">
      <w:pPr>
        <w:pStyle w:val="Footnote"/>
      </w:pPr>
      <w:r>
        <w:rPr>
          <w:rStyle w:val="EndnoteReference"/>
        </w:rPr>
        <w:endnoteRef/>
      </w:r>
      <w:r>
        <w:t xml:space="preserve"> </w:t>
      </w:r>
      <w:r w:rsidRPr="007E327A">
        <w:rPr>
          <w:lang w:val="en-GB"/>
        </w:rPr>
        <w:t>Usha Martin</w:t>
      </w:r>
      <w:r>
        <w:rPr>
          <w:lang w:val="en-GB"/>
        </w:rPr>
        <w:t xml:space="preserve"> Limited</w:t>
      </w:r>
      <w:r w:rsidRPr="007E327A">
        <w:rPr>
          <w:lang w:val="en-GB"/>
        </w:rPr>
        <w:t xml:space="preserve">, </w:t>
      </w:r>
      <w:r w:rsidRPr="007E327A">
        <w:rPr>
          <w:i/>
          <w:iCs/>
          <w:lang w:val="en-GB"/>
        </w:rPr>
        <w:t>Annual Report 2017</w:t>
      </w:r>
      <w:r>
        <w:rPr>
          <w:i/>
          <w:iCs/>
          <w:lang w:val="en-GB"/>
        </w:rPr>
        <w:t>–</w:t>
      </w:r>
      <w:r w:rsidRPr="007E327A">
        <w:rPr>
          <w:i/>
          <w:iCs/>
          <w:lang w:val="en-GB"/>
        </w:rPr>
        <w:t>18</w:t>
      </w:r>
      <w:r w:rsidRPr="007E327A">
        <w:rPr>
          <w:lang w:val="en-GB"/>
        </w:rPr>
        <w:t>,</w:t>
      </w:r>
      <w:r>
        <w:rPr>
          <w:lang w:val="en-GB"/>
        </w:rPr>
        <w:t xml:space="preserve"> op. cit.</w:t>
      </w:r>
    </w:p>
  </w:endnote>
  <w:endnote w:id="37">
    <w:p w14:paraId="0048153A" w14:textId="1298D28C" w:rsidR="00EF5834" w:rsidRPr="00C77F83" w:rsidRDefault="00EF5834" w:rsidP="00825E1E">
      <w:pPr>
        <w:pStyle w:val="Footnote"/>
        <w:rPr>
          <w:lang w:val="en-GB"/>
        </w:rPr>
      </w:pPr>
      <w:r w:rsidRPr="00C77F83">
        <w:rPr>
          <w:rStyle w:val="EndnoteReference"/>
          <w:lang w:val="en-GB"/>
        </w:rPr>
        <w:endnoteRef/>
      </w:r>
      <w:r w:rsidRPr="00C77F83">
        <w:rPr>
          <w:lang w:val="en-GB"/>
        </w:rPr>
        <w:t xml:space="preserve"> </w:t>
      </w:r>
      <w:r>
        <w:rPr>
          <w:lang w:val="en-GB"/>
        </w:rPr>
        <w:t>Suhani Varma, “</w:t>
      </w:r>
      <w:r w:rsidRPr="003A4341">
        <w:rPr>
          <w:lang w:val="en-GB"/>
        </w:rPr>
        <w:t>Usha Martin Clarifies on Sale of Wire Business</w:t>
      </w:r>
      <w:r>
        <w:rPr>
          <w:lang w:val="en-GB"/>
        </w:rPr>
        <w:t>,” Ways2Capital, September</w:t>
      </w:r>
      <w:r w:rsidRPr="00C77F83">
        <w:rPr>
          <w:lang w:val="en-GB"/>
        </w:rPr>
        <w:t xml:space="preserve"> 25, 2017, </w:t>
      </w:r>
      <w:r>
        <w:rPr>
          <w:lang w:val="en-GB"/>
        </w:rPr>
        <w:t xml:space="preserve">accessed February 2, 2021, </w:t>
      </w:r>
      <w:hyperlink r:id="rId11" w:history="1">
        <w:r w:rsidRPr="00C77F83">
          <w:rPr>
            <w:rStyle w:val="Hyperlink"/>
            <w:color w:val="auto"/>
            <w:u w:val="none"/>
            <w:lang w:val="en-GB"/>
          </w:rPr>
          <w:t>https://ways2capital-equitytips.blogspot.com/2017/09/usha-martin-clarifies-on-sale-of-wire.html</w:t>
        </w:r>
      </w:hyperlink>
      <w:r w:rsidRPr="00C77F83">
        <w:rPr>
          <w:lang w:val="en-GB"/>
        </w:rPr>
        <w:t xml:space="preserve">; Keshav Sunkara, </w:t>
      </w:r>
      <w:r>
        <w:rPr>
          <w:lang w:val="en-GB"/>
        </w:rPr>
        <w:t>“</w:t>
      </w:r>
      <w:r w:rsidRPr="001256BE">
        <w:rPr>
          <w:lang w:val="en-GB"/>
        </w:rPr>
        <w:t>Kolkata-Based Usha Martin Explores Sale of Steel Division</w:t>
      </w:r>
      <w:r w:rsidRPr="001748BB">
        <w:rPr>
          <w:lang w:val="en-GB"/>
        </w:rPr>
        <w:t>,</w:t>
      </w:r>
      <w:r>
        <w:rPr>
          <w:lang w:val="en-GB"/>
        </w:rPr>
        <w:t>” VCCircle,</w:t>
      </w:r>
      <w:r w:rsidRPr="00C77F83">
        <w:rPr>
          <w:lang w:val="en-GB"/>
        </w:rPr>
        <w:t xml:space="preserve"> June 12, 2018, </w:t>
      </w:r>
      <w:r>
        <w:rPr>
          <w:lang w:val="en-GB"/>
        </w:rPr>
        <w:t xml:space="preserve">accessed February 2, 2021, </w:t>
      </w:r>
      <w:r w:rsidRPr="00C77F83">
        <w:rPr>
          <w:lang w:val="en-GB"/>
        </w:rPr>
        <w:t>www.vccircle.com/kolkata-based-usha-martin-explores-the-sale-of-steel-division/</w:t>
      </w:r>
      <w:r>
        <w:rPr>
          <w:lang w:val="en-GB"/>
        </w:rPr>
        <w:t>.</w:t>
      </w:r>
    </w:p>
  </w:endnote>
  <w:endnote w:id="38">
    <w:p w14:paraId="39C75E4F" w14:textId="0FD2E6B1"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Udit Mukherjee, “</w:t>
      </w:r>
      <w:r w:rsidRPr="00D26539">
        <w:rPr>
          <w:lang w:val="en-GB"/>
        </w:rPr>
        <w:t>Usha Martin Forms Panel to Sell Steel Biz</w:t>
      </w:r>
      <w:r>
        <w:rPr>
          <w:lang w:val="en-GB"/>
        </w:rPr>
        <w:t xml:space="preserve">,” </w:t>
      </w:r>
      <w:r w:rsidRPr="007E327A">
        <w:rPr>
          <w:i/>
          <w:iCs/>
          <w:lang w:val="en-GB"/>
        </w:rPr>
        <w:t>Times of India</w:t>
      </w:r>
      <w:r w:rsidRPr="007E327A">
        <w:rPr>
          <w:lang w:val="en-GB"/>
        </w:rPr>
        <w:t xml:space="preserve">, June 12, 2018, accessed May 15, 2020, </w:t>
      </w:r>
      <w:hyperlink r:id="rId12" w:history="1">
        <w:r w:rsidRPr="007E327A">
          <w:rPr>
            <w:rStyle w:val="Hyperlink"/>
            <w:color w:val="auto"/>
            <w:u w:val="none"/>
            <w:lang w:val="en-GB"/>
          </w:rPr>
          <w:t>https://timesofindia.indiatimes.com/business/india-business/usha-martin-forms-panel-to-sell-steel-biz/articleshow/64550362.cms</w:t>
        </w:r>
      </w:hyperlink>
      <w:r>
        <w:rPr>
          <w:rStyle w:val="Hyperlink"/>
          <w:color w:val="auto"/>
          <w:u w:val="none"/>
          <w:lang w:val="en-GB"/>
        </w:rPr>
        <w:t>.</w:t>
      </w:r>
      <w:r w:rsidRPr="007E327A">
        <w:rPr>
          <w:lang w:val="en-GB"/>
        </w:rPr>
        <w:t xml:space="preserve"> </w:t>
      </w:r>
    </w:p>
  </w:endnote>
  <w:endnote w:id="39">
    <w:p w14:paraId="3079D6D7" w14:textId="053F2F3A"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Rakhi Majumdar, “</w:t>
      </w:r>
      <w:r w:rsidRPr="0052064C">
        <w:rPr>
          <w:lang w:val="en-GB"/>
        </w:rPr>
        <w:t>Usha Martin Plans to Sell Steel Business</w:t>
      </w:r>
      <w:r>
        <w:rPr>
          <w:lang w:val="en-GB"/>
        </w:rPr>
        <w:t xml:space="preserve">,” </w:t>
      </w:r>
      <w:r w:rsidRPr="007E327A">
        <w:rPr>
          <w:i/>
          <w:iCs/>
          <w:lang w:val="en-GB"/>
        </w:rPr>
        <w:t>Economic Times</w:t>
      </w:r>
      <w:r w:rsidRPr="007E327A">
        <w:rPr>
          <w:lang w:val="en-GB"/>
        </w:rPr>
        <w:t xml:space="preserve">, June 11, 2018, accessed May 15, 2020, </w:t>
      </w:r>
      <w:hyperlink r:id="rId13" w:history="1">
        <w:r w:rsidRPr="007E327A">
          <w:rPr>
            <w:rStyle w:val="Hyperlink"/>
            <w:color w:val="auto"/>
            <w:u w:val="none"/>
            <w:lang w:val="en-GB"/>
          </w:rPr>
          <w:t>https://economictimes.indiatimes.com/industry/indl-goods/svs/steel/usha-martin-plans-to-sell-steel-business/articleshow/64545199.cms?from=mdr</w:t>
        </w:r>
      </w:hyperlink>
      <w:r>
        <w:rPr>
          <w:rStyle w:val="Hyperlink"/>
          <w:color w:val="auto"/>
          <w:u w:val="none"/>
          <w:lang w:val="en-GB"/>
        </w:rPr>
        <w:t>.</w:t>
      </w:r>
      <w:r w:rsidRPr="007E327A">
        <w:rPr>
          <w:lang w:val="en-GB"/>
        </w:rPr>
        <w:t xml:space="preserve"> </w:t>
      </w:r>
    </w:p>
  </w:endnote>
  <w:endnote w:id="40">
    <w:p w14:paraId="4D33BD49" w14:textId="13F6CCF9" w:rsidR="00EF5834" w:rsidRPr="00C77F83" w:rsidRDefault="00EF5834" w:rsidP="00825E1E">
      <w:pPr>
        <w:pStyle w:val="Footnote"/>
        <w:rPr>
          <w:lang w:val="en-GB"/>
        </w:rPr>
      </w:pPr>
      <w:r w:rsidRPr="00C77F83">
        <w:rPr>
          <w:rStyle w:val="EndnoteReference"/>
          <w:lang w:val="en-GB"/>
        </w:rPr>
        <w:endnoteRef/>
      </w:r>
      <w:r w:rsidRPr="00C77F83">
        <w:rPr>
          <w:lang w:val="en-GB"/>
        </w:rPr>
        <w:t xml:space="preserve"> Avishek Rakshit, </w:t>
      </w:r>
      <w:r>
        <w:rPr>
          <w:lang w:val="en-GB"/>
        </w:rPr>
        <w:t>“</w:t>
      </w:r>
      <w:r w:rsidRPr="008E21FC">
        <w:rPr>
          <w:lang w:val="en-GB"/>
        </w:rPr>
        <w:t>Usha Martin Aims to Sell Its Steel Business by FY19 to Pare Debt</w:t>
      </w:r>
      <w:r>
        <w:rPr>
          <w:lang w:val="en-GB"/>
        </w:rPr>
        <w:t xml:space="preserve">,” </w:t>
      </w:r>
      <w:r w:rsidRPr="007E327A">
        <w:rPr>
          <w:i/>
          <w:iCs/>
          <w:lang w:val="en-GB"/>
        </w:rPr>
        <w:t>Business Standard</w:t>
      </w:r>
      <w:r>
        <w:rPr>
          <w:lang w:val="en-GB"/>
        </w:rPr>
        <w:t>,</w:t>
      </w:r>
      <w:r w:rsidRPr="00C77F83" w:rsidDel="008E21FC">
        <w:rPr>
          <w:lang w:val="en-GB"/>
        </w:rPr>
        <w:t xml:space="preserve"> </w:t>
      </w:r>
      <w:r w:rsidRPr="001748BB">
        <w:rPr>
          <w:lang w:val="en-GB"/>
        </w:rPr>
        <w:t>August</w:t>
      </w:r>
      <w:r>
        <w:rPr>
          <w:lang w:val="en-GB"/>
        </w:rPr>
        <w:t xml:space="preserve"> 17</w:t>
      </w:r>
      <w:r w:rsidRPr="00C77F83">
        <w:rPr>
          <w:lang w:val="en-GB"/>
        </w:rPr>
        <w:t xml:space="preserve">, 2018, </w:t>
      </w:r>
      <w:r>
        <w:rPr>
          <w:lang w:val="en-GB"/>
        </w:rPr>
        <w:t xml:space="preserve">accessed February 2, 2021, </w:t>
      </w:r>
      <w:r w:rsidRPr="00C77F83">
        <w:rPr>
          <w:lang w:val="en-GB"/>
        </w:rPr>
        <w:t>www.business-standard.com/article/companies/usha-martin-aims-to-sell-its-steel-business-by-fy19-to-pare-debt-118081601578_1.html</w:t>
      </w:r>
      <w:r>
        <w:rPr>
          <w:lang w:val="en-GB"/>
        </w:rPr>
        <w:t>.</w:t>
      </w:r>
    </w:p>
  </w:endnote>
  <w:endnote w:id="41">
    <w:p w14:paraId="54F188C9" w14:textId="1E0ADC2A" w:rsidR="00EF5834" w:rsidRPr="00C77F83" w:rsidRDefault="00EF5834" w:rsidP="00825E1E">
      <w:pPr>
        <w:pStyle w:val="Footnote"/>
        <w:rPr>
          <w:lang w:val="en-GB"/>
        </w:rPr>
      </w:pPr>
      <w:r w:rsidRPr="00C77F83">
        <w:rPr>
          <w:rStyle w:val="EndnoteReference"/>
          <w:lang w:val="en-GB"/>
        </w:rPr>
        <w:endnoteRef/>
      </w:r>
      <w:r w:rsidRPr="00C77F83">
        <w:rPr>
          <w:lang w:val="en-GB"/>
        </w:rPr>
        <w:t xml:space="preserve"> Ibid</w:t>
      </w:r>
      <w:r>
        <w:rPr>
          <w:lang w:val="en-GB"/>
        </w:rPr>
        <w:t xml:space="preserve">. </w:t>
      </w:r>
    </w:p>
  </w:endnote>
  <w:endnote w:id="42">
    <w:p w14:paraId="59E158D6" w14:textId="17318581"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Rakhi Majumdar, “</w:t>
      </w:r>
      <w:r>
        <w:rPr>
          <w:lang w:val="en-GB"/>
        </w:rPr>
        <w:t>The</w:t>
      </w:r>
      <w:r w:rsidRPr="005B0B72">
        <w:rPr>
          <w:lang w:val="en-GB"/>
        </w:rPr>
        <w:t xml:space="preserve"> Big Surprise: Usha Martin Takes the Path Less Trodden</w:t>
      </w:r>
      <w:r>
        <w:rPr>
          <w:lang w:val="en-GB"/>
        </w:rPr>
        <w:t xml:space="preserve">,” </w:t>
      </w:r>
      <w:r w:rsidRPr="007E327A">
        <w:rPr>
          <w:i/>
          <w:iCs/>
          <w:lang w:val="en-GB"/>
        </w:rPr>
        <w:t>Economic Times</w:t>
      </w:r>
      <w:r w:rsidRPr="007E327A">
        <w:rPr>
          <w:lang w:val="en-GB"/>
        </w:rPr>
        <w:t>, September 24, 2018, accessed May 12, 2020,</w:t>
      </w:r>
      <w:r>
        <w:t xml:space="preserve"> </w:t>
      </w:r>
      <w:hyperlink r:id="rId14" w:history="1">
        <w:r w:rsidRPr="007E327A">
          <w:rPr>
            <w:rStyle w:val="Hyperlink"/>
            <w:color w:val="auto"/>
            <w:u w:val="none"/>
            <w:lang w:val="en-GB"/>
          </w:rPr>
          <w:t>https://economictimes.indiatimes.com/industry/indl-goods/svs/steel/the-big-surprise-usha-martin-takes-the-path-less-trodden/articleshow/65926016.cms</w:t>
        </w:r>
      </w:hyperlink>
      <w:r>
        <w:rPr>
          <w:rStyle w:val="Hyperlink"/>
          <w:color w:val="auto"/>
          <w:u w:val="none"/>
          <w:lang w:val="en-GB"/>
        </w:rPr>
        <w:t>.</w:t>
      </w:r>
      <w:r w:rsidRPr="007E327A">
        <w:rPr>
          <w:lang w:val="en-GB"/>
        </w:rPr>
        <w:t xml:space="preserve"> </w:t>
      </w:r>
    </w:p>
  </w:endnote>
  <w:endnote w:id="43">
    <w:p w14:paraId="400E1C57" w14:textId="21ACFDD8"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w:t>
      </w:r>
      <w:r>
        <w:rPr>
          <w:lang w:val="en-GB"/>
        </w:rPr>
        <w:t>Tata Steel Limited, “</w:t>
      </w:r>
      <w:r w:rsidRPr="00070B6A">
        <w:rPr>
          <w:lang w:val="en-GB"/>
        </w:rPr>
        <w:t>Signing of Definitive Agreements for Acquisition of Steel Business of Usha Martin Limited by Tata Steel or Its Subsidiaries</w:t>
      </w:r>
      <w:r>
        <w:rPr>
          <w:lang w:val="en-GB"/>
        </w:rPr>
        <w:t xml:space="preserve">,” press release, Tata Steel Limited, </w:t>
      </w:r>
      <w:r w:rsidRPr="007E327A">
        <w:rPr>
          <w:lang w:val="en-GB"/>
        </w:rPr>
        <w:t xml:space="preserve">September 22, 2018, accessed June 15, 2020, </w:t>
      </w:r>
      <w:r w:rsidRPr="00787458">
        <w:rPr>
          <w:rStyle w:val="Hyperlink"/>
          <w:color w:val="auto"/>
          <w:u w:val="none"/>
          <w:lang w:val="en-GB"/>
        </w:rPr>
        <w:t>www.tatasteel.com/media/7506/sep-222c-2018-press-release-signing-of-definitive-agreements-for-acquisition-of-steel-business-of-usha-martin-limited-by-tata-steel-or-its-subsidiaries.pdf</w:t>
      </w:r>
      <w:r>
        <w:rPr>
          <w:rStyle w:val="Hyperlink"/>
          <w:color w:val="auto"/>
          <w:u w:val="none"/>
          <w:lang w:val="en-GB"/>
        </w:rPr>
        <w:t>.</w:t>
      </w:r>
      <w:r w:rsidRPr="007E327A">
        <w:rPr>
          <w:lang w:val="en-GB"/>
        </w:rPr>
        <w:t xml:space="preserve"> </w:t>
      </w:r>
    </w:p>
  </w:endnote>
  <w:endnote w:id="44">
    <w:p w14:paraId="7862106A" w14:textId="60AAAC76"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w:t>
      </w:r>
      <w:r w:rsidRPr="00E33336">
        <w:rPr>
          <w:lang w:val="en-GB"/>
        </w:rPr>
        <w:t>Usha Martin</w:t>
      </w:r>
      <w:r>
        <w:rPr>
          <w:lang w:val="en-GB"/>
        </w:rPr>
        <w:t xml:space="preserve"> Limited</w:t>
      </w:r>
      <w:r w:rsidRPr="00E33336">
        <w:rPr>
          <w:lang w:val="en-GB"/>
        </w:rPr>
        <w:t xml:space="preserve">, </w:t>
      </w:r>
      <w:r w:rsidRPr="00E33336">
        <w:rPr>
          <w:i/>
          <w:iCs/>
          <w:lang w:val="en-GB"/>
        </w:rPr>
        <w:t>Annual Report 2018</w:t>
      </w:r>
      <w:r>
        <w:rPr>
          <w:i/>
          <w:iCs/>
          <w:lang w:val="en-GB"/>
        </w:rPr>
        <w:t>–</w:t>
      </w:r>
      <w:r w:rsidRPr="00E33336">
        <w:rPr>
          <w:i/>
          <w:iCs/>
          <w:lang w:val="en-GB"/>
        </w:rPr>
        <w:t>19</w:t>
      </w:r>
      <w:r w:rsidRPr="00E33336">
        <w:rPr>
          <w:lang w:val="en-GB"/>
        </w:rPr>
        <w:t>,</w:t>
      </w:r>
      <w:r>
        <w:rPr>
          <w:lang w:val="en-GB"/>
        </w:rPr>
        <w:t xml:space="preserve"> op. cit.</w:t>
      </w:r>
      <w:r w:rsidRPr="007E327A">
        <w:rPr>
          <w:lang w:val="en-GB"/>
        </w:rPr>
        <w:t xml:space="preserve"> </w:t>
      </w:r>
    </w:p>
  </w:endnote>
  <w:endnote w:id="45">
    <w:p w14:paraId="565625AC" w14:textId="4B879927" w:rsidR="00EF5834" w:rsidRPr="007E327A" w:rsidRDefault="00EF5834" w:rsidP="00F11D23">
      <w:pPr>
        <w:pStyle w:val="Footnote"/>
        <w:rPr>
          <w:lang w:val="en-GB"/>
        </w:rPr>
      </w:pPr>
      <w:r w:rsidRPr="007E327A">
        <w:rPr>
          <w:rStyle w:val="EndnoteReference"/>
          <w:lang w:val="en-GB"/>
        </w:rPr>
        <w:endnoteRef/>
      </w:r>
      <w:r w:rsidRPr="007E327A">
        <w:rPr>
          <w:lang w:val="en-GB"/>
        </w:rPr>
        <w:t xml:space="preserve"> </w:t>
      </w:r>
      <w:r>
        <w:rPr>
          <w:lang w:val="en-GB"/>
        </w:rPr>
        <w:t xml:space="preserve">Roy, op. cit. </w:t>
      </w:r>
    </w:p>
  </w:endnote>
  <w:endnote w:id="46">
    <w:p w14:paraId="651CB867" w14:textId="0599E956"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w:t>
      </w:r>
      <w:r>
        <w:rPr>
          <w:lang w:val="en-GB"/>
        </w:rPr>
        <w:t xml:space="preserve">Ibid. </w:t>
      </w:r>
    </w:p>
  </w:endnote>
  <w:endnote w:id="47">
    <w:p w14:paraId="19DB380A" w14:textId="10199B80"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w:t>
      </w:r>
      <w:r w:rsidRPr="00E33336">
        <w:rPr>
          <w:lang w:val="en-GB"/>
        </w:rPr>
        <w:t>Usha Martin</w:t>
      </w:r>
      <w:r>
        <w:rPr>
          <w:lang w:val="en-GB"/>
        </w:rPr>
        <w:t xml:space="preserve"> Limited</w:t>
      </w:r>
      <w:r w:rsidRPr="00E33336">
        <w:rPr>
          <w:lang w:val="en-GB"/>
        </w:rPr>
        <w:t xml:space="preserve">, </w:t>
      </w:r>
      <w:r w:rsidRPr="00E33336">
        <w:rPr>
          <w:i/>
          <w:iCs/>
          <w:lang w:val="en-GB"/>
        </w:rPr>
        <w:t>Annual Report 2017</w:t>
      </w:r>
      <w:r>
        <w:rPr>
          <w:i/>
          <w:iCs/>
          <w:lang w:val="en-GB"/>
        </w:rPr>
        <w:t>–</w:t>
      </w:r>
      <w:r w:rsidRPr="00E33336">
        <w:rPr>
          <w:i/>
          <w:iCs/>
          <w:lang w:val="en-GB"/>
        </w:rPr>
        <w:t>18</w:t>
      </w:r>
      <w:r w:rsidRPr="00E33336">
        <w:rPr>
          <w:lang w:val="en-GB"/>
        </w:rPr>
        <w:t>,</w:t>
      </w:r>
      <w:r>
        <w:rPr>
          <w:lang w:val="en-GB"/>
        </w:rPr>
        <w:t xml:space="preserve"> op. cit. </w:t>
      </w:r>
    </w:p>
  </w:endnote>
  <w:endnote w:id="48">
    <w:p w14:paraId="0A018B56" w14:textId="460AD848" w:rsidR="00EF5834" w:rsidRPr="007E327A" w:rsidRDefault="00EF5834" w:rsidP="00825E1E">
      <w:pPr>
        <w:pStyle w:val="Footnote"/>
        <w:rPr>
          <w:lang w:val="en-GB"/>
        </w:rPr>
      </w:pPr>
      <w:r w:rsidRPr="007E327A">
        <w:rPr>
          <w:rStyle w:val="EndnoteReference"/>
          <w:lang w:val="en-GB"/>
        </w:rPr>
        <w:endnoteRef/>
      </w:r>
      <w:r w:rsidRPr="007E327A">
        <w:rPr>
          <w:lang w:val="en-GB"/>
        </w:rPr>
        <w:t xml:space="preserve"> Bhattacharya,</w:t>
      </w:r>
      <w:r>
        <w:rPr>
          <w:lang w:val="en-GB"/>
        </w:rPr>
        <w:t xml:space="preserve"> op. cit.</w:t>
      </w:r>
      <w:r w:rsidRPr="007E327A">
        <w:rPr>
          <w:lang w:val="en-GB"/>
        </w:rPr>
        <w:t xml:space="preserve">; </w:t>
      </w:r>
      <w:r w:rsidRPr="00E33336">
        <w:rPr>
          <w:lang w:val="en-GB"/>
        </w:rPr>
        <w:t>“</w:t>
      </w:r>
      <w:r w:rsidRPr="001742E5">
        <w:rPr>
          <w:lang w:val="en-GB"/>
        </w:rPr>
        <w:t>Brazil Economy to Shrink by 5% This Year, Says World Bank</w:t>
      </w:r>
      <w:r>
        <w:rPr>
          <w:lang w:val="en-GB"/>
        </w:rPr>
        <w:t>,”</w:t>
      </w:r>
      <w:r w:rsidRPr="00E33336">
        <w:rPr>
          <w:lang w:val="en-GB"/>
        </w:rPr>
        <w:t xml:space="preserve"> </w:t>
      </w:r>
      <w:r>
        <w:rPr>
          <w:lang w:val="en-GB"/>
        </w:rPr>
        <w:t xml:space="preserve">op. cit. </w:t>
      </w:r>
    </w:p>
  </w:endnote>
  <w:endnote w:id="49">
    <w:p w14:paraId="784B2274" w14:textId="1F4CBC69" w:rsidR="00EF5834" w:rsidRPr="001C3254" w:rsidRDefault="00EF5834" w:rsidP="00825E1E">
      <w:pPr>
        <w:pStyle w:val="Footnote"/>
        <w:rPr>
          <w:lang w:val="en-GB"/>
        </w:rPr>
      </w:pPr>
      <w:r w:rsidRPr="007E327A">
        <w:rPr>
          <w:rStyle w:val="EndnoteReference"/>
          <w:lang w:val="en-GB"/>
        </w:rPr>
        <w:endnoteRef/>
      </w:r>
      <w:r w:rsidRPr="007E327A">
        <w:rPr>
          <w:lang w:val="en-GB"/>
        </w:rPr>
        <w:t xml:space="preserve"> Pw</w:t>
      </w:r>
      <w:r>
        <w:rPr>
          <w:lang w:val="en-GB"/>
        </w:rPr>
        <w:t>C</w:t>
      </w:r>
      <w:r w:rsidRPr="007E327A">
        <w:rPr>
          <w:lang w:val="en-GB"/>
        </w:rPr>
        <w:t xml:space="preserve">, </w:t>
      </w:r>
      <w:r w:rsidRPr="007E327A">
        <w:rPr>
          <w:i/>
          <w:iCs/>
          <w:lang w:val="en-GB"/>
        </w:rPr>
        <w:t>Mine 2020: Resilient and Resourceful</w:t>
      </w:r>
      <w:r w:rsidRPr="007E327A">
        <w:rPr>
          <w:lang w:val="en-GB"/>
        </w:rPr>
        <w:t xml:space="preserve">, 17, June 2020, accessed 15 July, 2020, </w:t>
      </w:r>
      <w:r w:rsidRPr="00812CDE">
        <w:rPr>
          <w:lang w:val="en-GB"/>
        </w:rPr>
        <w:t>www.pwc.com/gx/en/energy-utilities-mining/publications/pdf/pwc-mine-2020.pdf</w:t>
      </w:r>
      <w:r>
        <w:rPr>
          <w:lang w:val="en-GB"/>
        </w:rPr>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KaiTi_GB2312">
    <w:altName w:val="Microsoft YaHei"/>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4C4152" w14:textId="77777777" w:rsidR="005B292F" w:rsidRDefault="005B292F" w:rsidP="00D75295">
      <w:r>
        <w:separator/>
      </w:r>
    </w:p>
  </w:footnote>
  <w:footnote w:type="continuationSeparator" w:id="0">
    <w:p w14:paraId="28E1E2D8" w14:textId="77777777" w:rsidR="005B292F" w:rsidRDefault="005B292F" w:rsidP="00D752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A67142" w14:textId="611EDFDB" w:rsidR="005B292F" w:rsidRPr="00C92CC4" w:rsidRDefault="005B292F"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Pr>
        <w:rFonts w:ascii="Arial" w:hAnsi="Arial"/>
        <w:b/>
        <w:noProof/>
      </w:rPr>
      <w:t>14</w:t>
    </w:r>
    <w:r>
      <w:rPr>
        <w:rFonts w:ascii="Arial" w:hAnsi="Arial"/>
        <w:b/>
      </w:rPr>
      <w:fldChar w:fldCharType="end"/>
    </w:r>
    <w:r>
      <w:rPr>
        <w:rFonts w:ascii="Arial" w:hAnsi="Arial"/>
        <w:b/>
      </w:rPr>
      <w:tab/>
    </w:r>
    <w:r w:rsidR="00F03407">
      <w:rPr>
        <w:rFonts w:ascii="Arial" w:hAnsi="Arial"/>
        <w:b/>
      </w:rPr>
      <w:t>9B21M024</w:t>
    </w:r>
  </w:p>
  <w:p w14:paraId="2B53C0A0" w14:textId="77777777" w:rsidR="005B292F" w:rsidRDefault="005B292F" w:rsidP="00D13667">
    <w:pPr>
      <w:pStyle w:val="Header"/>
      <w:tabs>
        <w:tab w:val="clear" w:pos="4680"/>
      </w:tabs>
      <w:rPr>
        <w:sz w:val="18"/>
        <w:szCs w:val="18"/>
      </w:rPr>
    </w:pPr>
  </w:p>
  <w:p w14:paraId="47119730" w14:textId="77777777" w:rsidR="005B292F" w:rsidRPr="00C92CC4" w:rsidRDefault="005B292F" w:rsidP="00D13667">
    <w:pPr>
      <w:pStyle w:val="Header"/>
      <w:tabs>
        <w:tab w:val="clear" w:pos="4680"/>
      </w:tabs>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26743B3"/>
    <w:multiLevelType w:val="hybridMultilevel"/>
    <w:tmpl w:val="E5966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315921"/>
    <w:multiLevelType w:val="hybridMultilevel"/>
    <w:tmpl w:val="3BA8141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5"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664A7E41"/>
    <w:multiLevelType w:val="hybridMultilevel"/>
    <w:tmpl w:val="AC12C2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2661C0"/>
    <w:multiLevelType w:val="hybridMultilevel"/>
    <w:tmpl w:val="81E81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B4F72CD"/>
    <w:multiLevelType w:val="hybridMultilevel"/>
    <w:tmpl w:val="CCE60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AE33829"/>
    <w:multiLevelType w:val="hybridMultilevel"/>
    <w:tmpl w:val="D180B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
  </w:num>
  <w:num w:numId="3">
    <w:abstractNumId w:val="2"/>
  </w:num>
  <w:num w:numId="4">
    <w:abstractNumId w:val="10"/>
  </w:num>
  <w:num w:numId="5">
    <w:abstractNumId w:val="3"/>
  </w:num>
  <w:num w:numId="6">
    <w:abstractNumId w:val="8"/>
  </w:num>
  <w:num w:numId="7">
    <w:abstractNumId w:val="0"/>
  </w:num>
  <w:num w:numId="8">
    <w:abstractNumId w:val="12"/>
  </w:num>
  <w:num w:numId="9">
    <w:abstractNumId w:val="9"/>
  </w:num>
  <w:num w:numId="10">
    <w:abstractNumId w:val="1"/>
  </w:num>
  <w:num w:numId="11">
    <w:abstractNumId w:val="6"/>
  </w:num>
  <w:num w:numId="12">
    <w:abstractNumId w:val="7"/>
  </w:num>
  <w:num w:numId="13">
    <w:abstractNumId w:val="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45057"/>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4DC4"/>
    <w:rsid w:val="0000085A"/>
    <w:rsid w:val="000114A2"/>
    <w:rsid w:val="00013360"/>
    <w:rsid w:val="00016759"/>
    <w:rsid w:val="000216CE"/>
    <w:rsid w:val="0002249D"/>
    <w:rsid w:val="00024ED4"/>
    <w:rsid w:val="00025884"/>
    <w:rsid w:val="00025DC7"/>
    <w:rsid w:val="00035F09"/>
    <w:rsid w:val="00035FCE"/>
    <w:rsid w:val="00044ECC"/>
    <w:rsid w:val="000531D3"/>
    <w:rsid w:val="0005646B"/>
    <w:rsid w:val="00057AFC"/>
    <w:rsid w:val="000615D1"/>
    <w:rsid w:val="00063369"/>
    <w:rsid w:val="00065C36"/>
    <w:rsid w:val="00070B6A"/>
    <w:rsid w:val="00071567"/>
    <w:rsid w:val="0008102D"/>
    <w:rsid w:val="00084AF3"/>
    <w:rsid w:val="00086B26"/>
    <w:rsid w:val="00094C0E"/>
    <w:rsid w:val="000A146D"/>
    <w:rsid w:val="000A1A38"/>
    <w:rsid w:val="000A6E39"/>
    <w:rsid w:val="000B2718"/>
    <w:rsid w:val="000C22F4"/>
    <w:rsid w:val="000D2A2F"/>
    <w:rsid w:val="000D3E14"/>
    <w:rsid w:val="000D7091"/>
    <w:rsid w:val="000E2B9A"/>
    <w:rsid w:val="000E6D24"/>
    <w:rsid w:val="000F0BC8"/>
    <w:rsid w:val="000F0C22"/>
    <w:rsid w:val="000F3764"/>
    <w:rsid w:val="000F6B09"/>
    <w:rsid w:val="000F6CF1"/>
    <w:rsid w:val="000F6FDC"/>
    <w:rsid w:val="00102A9E"/>
    <w:rsid w:val="00104567"/>
    <w:rsid w:val="00104916"/>
    <w:rsid w:val="00104AA7"/>
    <w:rsid w:val="0011482E"/>
    <w:rsid w:val="001222C1"/>
    <w:rsid w:val="00125084"/>
    <w:rsid w:val="001256BE"/>
    <w:rsid w:val="0012732D"/>
    <w:rsid w:val="00143F25"/>
    <w:rsid w:val="00152682"/>
    <w:rsid w:val="00154FC9"/>
    <w:rsid w:val="0015704A"/>
    <w:rsid w:val="00163969"/>
    <w:rsid w:val="001724E2"/>
    <w:rsid w:val="001742E5"/>
    <w:rsid w:val="001748BB"/>
    <w:rsid w:val="001901C0"/>
    <w:rsid w:val="0019241A"/>
    <w:rsid w:val="00192A18"/>
    <w:rsid w:val="00194579"/>
    <w:rsid w:val="001A22D1"/>
    <w:rsid w:val="001A5DDC"/>
    <w:rsid w:val="001A752D"/>
    <w:rsid w:val="001A757E"/>
    <w:rsid w:val="001B5032"/>
    <w:rsid w:val="001B6B79"/>
    <w:rsid w:val="001C3254"/>
    <w:rsid w:val="001C7777"/>
    <w:rsid w:val="001D344B"/>
    <w:rsid w:val="001E364F"/>
    <w:rsid w:val="001E5546"/>
    <w:rsid w:val="001F2B8A"/>
    <w:rsid w:val="001F417E"/>
    <w:rsid w:val="001F4222"/>
    <w:rsid w:val="002027FE"/>
    <w:rsid w:val="00203AA1"/>
    <w:rsid w:val="00212C27"/>
    <w:rsid w:val="00213E98"/>
    <w:rsid w:val="00222747"/>
    <w:rsid w:val="00222FD8"/>
    <w:rsid w:val="00223901"/>
    <w:rsid w:val="002254A2"/>
    <w:rsid w:val="00230150"/>
    <w:rsid w:val="0023081A"/>
    <w:rsid w:val="00233111"/>
    <w:rsid w:val="00233F1C"/>
    <w:rsid w:val="002357E7"/>
    <w:rsid w:val="002467FC"/>
    <w:rsid w:val="002470FA"/>
    <w:rsid w:val="00255342"/>
    <w:rsid w:val="00265FA8"/>
    <w:rsid w:val="00266DFF"/>
    <w:rsid w:val="00276C77"/>
    <w:rsid w:val="00277A62"/>
    <w:rsid w:val="00287941"/>
    <w:rsid w:val="00293BD2"/>
    <w:rsid w:val="002973E1"/>
    <w:rsid w:val="002A074A"/>
    <w:rsid w:val="002A631E"/>
    <w:rsid w:val="002B2E35"/>
    <w:rsid w:val="002B3769"/>
    <w:rsid w:val="002B40FF"/>
    <w:rsid w:val="002C4E29"/>
    <w:rsid w:val="002E24F1"/>
    <w:rsid w:val="002F203C"/>
    <w:rsid w:val="002F460C"/>
    <w:rsid w:val="002F48D6"/>
    <w:rsid w:val="002F69BB"/>
    <w:rsid w:val="003053FF"/>
    <w:rsid w:val="00315F51"/>
    <w:rsid w:val="00317391"/>
    <w:rsid w:val="00320AE2"/>
    <w:rsid w:val="00325171"/>
    <w:rsid w:val="00326216"/>
    <w:rsid w:val="00327F52"/>
    <w:rsid w:val="00336580"/>
    <w:rsid w:val="00337324"/>
    <w:rsid w:val="00343F9D"/>
    <w:rsid w:val="0035384F"/>
    <w:rsid w:val="00354899"/>
    <w:rsid w:val="00355FD6"/>
    <w:rsid w:val="00364A5C"/>
    <w:rsid w:val="00366B0A"/>
    <w:rsid w:val="00373FB1"/>
    <w:rsid w:val="003813C3"/>
    <w:rsid w:val="003929F9"/>
    <w:rsid w:val="00396C76"/>
    <w:rsid w:val="003A2605"/>
    <w:rsid w:val="003A4341"/>
    <w:rsid w:val="003A5F2E"/>
    <w:rsid w:val="003B2EBC"/>
    <w:rsid w:val="003B30D8"/>
    <w:rsid w:val="003B33EB"/>
    <w:rsid w:val="003B47FE"/>
    <w:rsid w:val="003B7EF2"/>
    <w:rsid w:val="003C3FA4"/>
    <w:rsid w:val="003D0BA1"/>
    <w:rsid w:val="003E38FF"/>
    <w:rsid w:val="003E42FB"/>
    <w:rsid w:val="003E7C1B"/>
    <w:rsid w:val="003F2B0C"/>
    <w:rsid w:val="004101F2"/>
    <w:rsid w:val="004105B2"/>
    <w:rsid w:val="0041145A"/>
    <w:rsid w:val="00412900"/>
    <w:rsid w:val="00414752"/>
    <w:rsid w:val="004221E4"/>
    <w:rsid w:val="0042456E"/>
    <w:rsid w:val="0042489E"/>
    <w:rsid w:val="00425204"/>
    <w:rsid w:val="004273F8"/>
    <w:rsid w:val="004355A3"/>
    <w:rsid w:val="004364AF"/>
    <w:rsid w:val="004373B4"/>
    <w:rsid w:val="00442029"/>
    <w:rsid w:val="00446546"/>
    <w:rsid w:val="00452769"/>
    <w:rsid w:val="00453B7A"/>
    <w:rsid w:val="00454FA7"/>
    <w:rsid w:val="00460240"/>
    <w:rsid w:val="00465348"/>
    <w:rsid w:val="00473BFD"/>
    <w:rsid w:val="004867D6"/>
    <w:rsid w:val="004979A5"/>
    <w:rsid w:val="004A25E0"/>
    <w:rsid w:val="004B1CCB"/>
    <w:rsid w:val="004B632F"/>
    <w:rsid w:val="004D3FB1"/>
    <w:rsid w:val="004D6F21"/>
    <w:rsid w:val="004D73A5"/>
    <w:rsid w:val="004E1FD4"/>
    <w:rsid w:val="004E6D96"/>
    <w:rsid w:val="004F121B"/>
    <w:rsid w:val="004F2C19"/>
    <w:rsid w:val="004F341F"/>
    <w:rsid w:val="00500F13"/>
    <w:rsid w:val="0050497F"/>
    <w:rsid w:val="005160F1"/>
    <w:rsid w:val="0051664A"/>
    <w:rsid w:val="0052064C"/>
    <w:rsid w:val="00524F2F"/>
    <w:rsid w:val="00527E5C"/>
    <w:rsid w:val="00530CD7"/>
    <w:rsid w:val="00532CF5"/>
    <w:rsid w:val="00543027"/>
    <w:rsid w:val="00547BE3"/>
    <w:rsid w:val="00547C90"/>
    <w:rsid w:val="00551DC8"/>
    <w:rsid w:val="005528CB"/>
    <w:rsid w:val="00562EFC"/>
    <w:rsid w:val="00563806"/>
    <w:rsid w:val="0056538A"/>
    <w:rsid w:val="00566771"/>
    <w:rsid w:val="00580008"/>
    <w:rsid w:val="00581E2E"/>
    <w:rsid w:val="00584F15"/>
    <w:rsid w:val="0059514B"/>
    <w:rsid w:val="005975B3"/>
    <w:rsid w:val="005A1B0F"/>
    <w:rsid w:val="005A6200"/>
    <w:rsid w:val="005A7573"/>
    <w:rsid w:val="005B0B72"/>
    <w:rsid w:val="005B292F"/>
    <w:rsid w:val="005B404C"/>
    <w:rsid w:val="005B4CE6"/>
    <w:rsid w:val="005B5EFE"/>
    <w:rsid w:val="005B6FD6"/>
    <w:rsid w:val="005C38D2"/>
    <w:rsid w:val="005C3DE0"/>
    <w:rsid w:val="005C4B7B"/>
    <w:rsid w:val="005E1BAA"/>
    <w:rsid w:val="00601488"/>
    <w:rsid w:val="006163F7"/>
    <w:rsid w:val="006179DD"/>
    <w:rsid w:val="00623CAD"/>
    <w:rsid w:val="006261FD"/>
    <w:rsid w:val="00627307"/>
    <w:rsid w:val="00627C63"/>
    <w:rsid w:val="0063350B"/>
    <w:rsid w:val="00634251"/>
    <w:rsid w:val="006347D1"/>
    <w:rsid w:val="00652606"/>
    <w:rsid w:val="0065496B"/>
    <w:rsid w:val="00657C08"/>
    <w:rsid w:val="00661167"/>
    <w:rsid w:val="0066281B"/>
    <w:rsid w:val="00663CD9"/>
    <w:rsid w:val="00680EE7"/>
    <w:rsid w:val="006912D2"/>
    <w:rsid w:val="006946EE"/>
    <w:rsid w:val="006A54E3"/>
    <w:rsid w:val="006A58A9"/>
    <w:rsid w:val="006A606D"/>
    <w:rsid w:val="006B186C"/>
    <w:rsid w:val="006C0371"/>
    <w:rsid w:val="006C08B6"/>
    <w:rsid w:val="006C0B1A"/>
    <w:rsid w:val="006C56AC"/>
    <w:rsid w:val="006C6065"/>
    <w:rsid w:val="006C7F9F"/>
    <w:rsid w:val="006D68A8"/>
    <w:rsid w:val="006E2F6D"/>
    <w:rsid w:val="006E58F6"/>
    <w:rsid w:val="006E77E1"/>
    <w:rsid w:val="006F131D"/>
    <w:rsid w:val="00703AD3"/>
    <w:rsid w:val="00711642"/>
    <w:rsid w:val="00716C01"/>
    <w:rsid w:val="00723103"/>
    <w:rsid w:val="00723D70"/>
    <w:rsid w:val="007467AB"/>
    <w:rsid w:val="007507C6"/>
    <w:rsid w:val="00751E0B"/>
    <w:rsid w:val="00752BCD"/>
    <w:rsid w:val="00764C9B"/>
    <w:rsid w:val="00766DA1"/>
    <w:rsid w:val="00780D94"/>
    <w:rsid w:val="007866A6"/>
    <w:rsid w:val="00787458"/>
    <w:rsid w:val="007905CE"/>
    <w:rsid w:val="007907A5"/>
    <w:rsid w:val="007A0906"/>
    <w:rsid w:val="007A130D"/>
    <w:rsid w:val="007A21D7"/>
    <w:rsid w:val="007C39A2"/>
    <w:rsid w:val="007D1A2D"/>
    <w:rsid w:val="007D32E6"/>
    <w:rsid w:val="007D4102"/>
    <w:rsid w:val="007D415F"/>
    <w:rsid w:val="007D6AD8"/>
    <w:rsid w:val="007E327A"/>
    <w:rsid w:val="007E54A7"/>
    <w:rsid w:val="007F0490"/>
    <w:rsid w:val="007F43B7"/>
    <w:rsid w:val="007F62F0"/>
    <w:rsid w:val="007F747F"/>
    <w:rsid w:val="0080247A"/>
    <w:rsid w:val="00810241"/>
    <w:rsid w:val="00812CDE"/>
    <w:rsid w:val="00821FFC"/>
    <w:rsid w:val="00824686"/>
    <w:rsid w:val="00825E1E"/>
    <w:rsid w:val="00826845"/>
    <w:rsid w:val="008271CA"/>
    <w:rsid w:val="00831349"/>
    <w:rsid w:val="00842B46"/>
    <w:rsid w:val="008467D5"/>
    <w:rsid w:val="008507FF"/>
    <w:rsid w:val="00862564"/>
    <w:rsid w:val="00863FEE"/>
    <w:rsid w:val="0087070F"/>
    <w:rsid w:val="0089211E"/>
    <w:rsid w:val="00893D4F"/>
    <w:rsid w:val="00894CDF"/>
    <w:rsid w:val="008A4DC4"/>
    <w:rsid w:val="008B38C2"/>
    <w:rsid w:val="008B438C"/>
    <w:rsid w:val="008B74A4"/>
    <w:rsid w:val="008D06CA"/>
    <w:rsid w:val="008D3687"/>
    <w:rsid w:val="008D3A46"/>
    <w:rsid w:val="008E0C82"/>
    <w:rsid w:val="008E21FC"/>
    <w:rsid w:val="008E65CA"/>
    <w:rsid w:val="008F2385"/>
    <w:rsid w:val="008F532E"/>
    <w:rsid w:val="0090438B"/>
    <w:rsid w:val="009067A4"/>
    <w:rsid w:val="00907E02"/>
    <w:rsid w:val="009108F4"/>
    <w:rsid w:val="009160DE"/>
    <w:rsid w:val="0092037C"/>
    <w:rsid w:val="00930885"/>
    <w:rsid w:val="009319C3"/>
    <w:rsid w:val="00933D68"/>
    <w:rsid w:val="009340DB"/>
    <w:rsid w:val="00935734"/>
    <w:rsid w:val="00941F23"/>
    <w:rsid w:val="009432D6"/>
    <w:rsid w:val="009455F7"/>
    <w:rsid w:val="0094618C"/>
    <w:rsid w:val="0095684B"/>
    <w:rsid w:val="009674D9"/>
    <w:rsid w:val="00972386"/>
    <w:rsid w:val="00972498"/>
    <w:rsid w:val="0097481F"/>
    <w:rsid w:val="00974CC6"/>
    <w:rsid w:val="00976AD4"/>
    <w:rsid w:val="00976E6A"/>
    <w:rsid w:val="00977912"/>
    <w:rsid w:val="0098088E"/>
    <w:rsid w:val="0098348D"/>
    <w:rsid w:val="00993559"/>
    <w:rsid w:val="00995547"/>
    <w:rsid w:val="009A1B58"/>
    <w:rsid w:val="009A280D"/>
    <w:rsid w:val="009A312F"/>
    <w:rsid w:val="009A34F1"/>
    <w:rsid w:val="009A45AD"/>
    <w:rsid w:val="009A5348"/>
    <w:rsid w:val="009B0AB7"/>
    <w:rsid w:val="009B0CED"/>
    <w:rsid w:val="009B119B"/>
    <w:rsid w:val="009C76D5"/>
    <w:rsid w:val="009D10C9"/>
    <w:rsid w:val="009F66A0"/>
    <w:rsid w:val="009F7AA4"/>
    <w:rsid w:val="00A06440"/>
    <w:rsid w:val="00A10AD7"/>
    <w:rsid w:val="00A10EE1"/>
    <w:rsid w:val="00A323B0"/>
    <w:rsid w:val="00A559DB"/>
    <w:rsid w:val="00A55F95"/>
    <w:rsid w:val="00A569EA"/>
    <w:rsid w:val="00A651AA"/>
    <w:rsid w:val="00A65461"/>
    <w:rsid w:val="00A676A0"/>
    <w:rsid w:val="00A70467"/>
    <w:rsid w:val="00A746D1"/>
    <w:rsid w:val="00A74C7E"/>
    <w:rsid w:val="00A7526B"/>
    <w:rsid w:val="00A93FEC"/>
    <w:rsid w:val="00A94689"/>
    <w:rsid w:val="00AA3AF7"/>
    <w:rsid w:val="00AC1BEE"/>
    <w:rsid w:val="00AD1105"/>
    <w:rsid w:val="00AD4A5B"/>
    <w:rsid w:val="00AD6DD6"/>
    <w:rsid w:val="00AF35FC"/>
    <w:rsid w:val="00AF5556"/>
    <w:rsid w:val="00B02E99"/>
    <w:rsid w:val="00B03639"/>
    <w:rsid w:val="00B04967"/>
    <w:rsid w:val="00B0652A"/>
    <w:rsid w:val="00B07719"/>
    <w:rsid w:val="00B20689"/>
    <w:rsid w:val="00B34AE3"/>
    <w:rsid w:val="00B34D11"/>
    <w:rsid w:val="00B36C48"/>
    <w:rsid w:val="00B401A2"/>
    <w:rsid w:val="00B40937"/>
    <w:rsid w:val="00B423EF"/>
    <w:rsid w:val="00B453DE"/>
    <w:rsid w:val="00B47C9D"/>
    <w:rsid w:val="00B514E6"/>
    <w:rsid w:val="00B611A1"/>
    <w:rsid w:val="00B62497"/>
    <w:rsid w:val="00B714E2"/>
    <w:rsid w:val="00B72450"/>
    <w:rsid w:val="00B72597"/>
    <w:rsid w:val="00B820FF"/>
    <w:rsid w:val="00B84148"/>
    <w:rsid w:val="00B85834"/>
    <w:rsid w:val="00B876CF"/>
    <w:rsid w:val="00B87DC0"/>
    <w:rsid w:val="00B901F9"/>
    <w:rsid w:val="00B97B30"/>
    <w:rsid w:val="00BA66A5"/>
    <w:rsid w:val="00BA7383"/>
    <w:rsid w:val="00BB38B1"/>
    <w:rsid w:val="00BC21E4"/>
    <w:rsid w:val="00BC4693"/>
    <w:rsid w:val="00BC4D98"/>
    <w:rsid w:val="00BD6EFB"/>
    <w:rsid w:val="00BE3307"/>
    <w:rsid w:val="00BE3DF5"/>
    <w:rsid w:val="00BF5EAB"/>
    <w:rsid w:val="00BF7F74"/>
    <w:rsid w:val="00C02410"/>
    <w:rsid w:val="00C0439C"/>
    <w:rsid w:val="00C071B9"/>
    <w:rsid w:val="00C1584D"/>
    <w:rsid w:val="00C15BE2"/>
    <w:rsid w:val="00C16F66"/>
    <w:rsid w:val="00C24692"/>
    <w:rsid w:val="00C3447F"/>
    <w:rsid w:val="00C44714"/>
    <w:rsid w:val="00C466CD"/>
    <w:rsid w:val="00C548AE"/>
    <w:rsid w:val="00C62AEE"/>
    <w:rsid w:val="00C67102"/>
    <w:rsid w:val="00C7059B"/>
    <w:rsid w:val="00C76C1D"/>
    <w:rsid w:val="00C77F83"/>
    <w:rsid w:val="00C81491"/>
    <w:rsid w:val="00C81676"/>
    <w:rsid w:val="00C85C5D"/>
    <w:rsid w:val="00C86619"/>
    <w:rsid w:val="00C92CC4"/>
    <w:rsid w:val="00C96660"/>
    <w:rsid w:val="00CA0AFB"/>
    <w:rsid w:val="00CA2CE1"/>
    <w:rsid w:val="00CA3976"/>
    <w:rsid w:val="00CA50E3"/>
    <w:rsid w:val="00CA757B"/>
    <w:rsid w:val="00CA7AD0"/>
    <w:rsid w:val="00CA7CFF"/>
    <w:rsid w:val="00CB728B"/>
    <w:rsid w:val="00CC1787"/>
    <w:rsid w:val="00CC182C"/>
    <w:rsid w:val="00CC462A"/>
    <w:rsid w:val="00CD0824"/>
    <w:rsid w:val="00CD2908"/>
    <w:rsid w:val="00CD7CAC"/>
    <w:rsid w:val="00CE47F7"/>
    <w:rsid w:val="00CF6AEF"/>
    <w:rsid w:val="00CF76F4"/>
    <w:rsid w:val="00D03A82"/>
    <w:rsid w:val="00D07449"/>
    <w:rsid w:val="00D13667"/>
    <w:rsid w:val="00D14037"/>
    <w:rsid w:val="00D15344"/>
    <w:rsid w:val="00D20183"/>
    <w:rsid w:val="00D22878"/>
    <w:rsid w:val="00D23F57"/>
    <w:rsid w:val="00D26539"/>
    <w:rsid w:val="00D26941"/>
    <w:rsid w:val="00D31BEC"/>
    <w:rsid w:val="00D341A1"/>
    <w:rsid w:val="00D3513F"/>
    <w:rsid w:val="00D43F2F"/>
    <w:rsid w:val="00D4407A"/>
    <w:rsid w:val="00D518D0"/>
    <w:rsid w:val="00D5230B"/>
    <w:rsid w:val="00D560DE"/>
    <w:rsid w:val="00D56478"/>
    <w:rsid w:val="00D602BA"/>
    <w:rsid w:val="00D63150"/>
    <w:rsid w:val="00D636BA"/>
    <w:rsid w:val="00D64118"/>
    <w:rsid w:val="00D64A32"/>
    <w:rsid w:val="00D64EFC"/>
    <w:rsid w:val="00D744E6"/>
    <w:rsid w:val="00D75295"/>
    <w:rsid w:val="00D76CE9"/>
    <w:rsid w:val="00D7701C"/>
    <w:rsid w:val="00D824BC"/>
    <w:rsid w:val="00D82C8B"/>
    <w:rsid w:val="00D83242"/>
    <w:rsid w:val="00D855BA"/>
    <w:rsid w:val="00D91D48"/>
    <w:rsid w:val="00D92414"/>
    <w:rsid w:val="00D946A3"/>
    <w:rsid w:val="00D97F12"/>
    <w:rsid w:val="00DA0986"/>
    <w:rsid w:val="00DA6095"/>
    <w:rsid w:val="00DB3DF6"/>
    <w:rsid w:val="00DB42E7"/>
    <w:rsid w:val="00DC09D8"/>
    <w:rsid w:val="00DD03B4"/>
    <w:rsid w:val="00DD4020"/>
    <w:rsid w:val="00DE01A6"/>
    <w:rsid w:val="00DE522E"/>
    <w:rsid w:val="00DE7A98"/>
    <w:rsid w:val="00DF32C2"/>
    <w:rsid w:val="00DF5DC2"/>
    <w:rsid w:val="00E04FA5"/>
    <w:rsid w:val="00E1014C"/>
    <w:rsid w:val="00E12329"/>
    <w:rsid w:val="00E16DA5"/>
    <w:rsid w:val="00E250FC"/>
    <w:rsid w:val="00E31384"/>
    <w:rsid w:val="00E44F1D"/>
    <w:rsid w:val="00E471A7"/>
    <w:rsid w:val="00E52D2C"/>
    <w:rsid w:val="00E543CD"/>
    <w:rsid w:val="00E60FA2"/>
    <w:rsid w:val="00E635CF"/>
    <w:rsid w:val="00E71F91"/>
    <w:rsid w:val="00E7570E"/>
    <w:rsid w:val="00E8330D"/>
    <w:rsid w:val="00E83D5A"/>
    <w:rsid w:val="00E977E1"/>
    <w:rsid w:val="00EA0772"/>
    <w:rsid w:val="00EB1E3B"/>
    <w:rsid w:val="00EB4A05"/>
    <w:rsid w:val="00EB5D3C"/>
    <w:rsid w:val="00EC6E0A"/>
    <w:rsid w:val="00ED4E18"/>
    <w:rsid w:val="00ED7922"/>
    <w:rsid w:val="00EE02C4"/>
    <w:rsid w:val="00EE0D68"/>
    <w:rsid w:val="00EE1BE6"/>
    <w:rsid w:val="00EE1F37"/>
    <w:rsid w:val="00EF3C13"/>
    <w:rsid w:val="00EF5834"/>
    <w:rsid w:val="00F0159C"/>
    <w:rsid w:val="00F03407"/>
    <w:rsid w:val="00F041B7"/>
    <w:rsid w:val="00F042E6"/>
    <w:rsid w:val="00F055A2"/>
    <w:rsid w:val="00F105B7"/>
    <w:rsid w:val="00F11D23"/>
    <w:rsid w:val="00F13220"/>
    <w:rsid w:val="00F17A21"/>
    <w:rsid w:val="00F20CEF"/>
    <w:rsid w:val="00F251C1"/>
    <w:rsid w:val="00F3388D"/>
    <w:rsid w:val="00F35F39"/>
    <w:rsid w:val="00F36FC2"/>
    <w:rsid w:val="00F37B27"/>
    <w:rsid w:val="00F4103B"/>
    <w:rsid w:val="00F42EFE"/>
    <w:rsid w:val="00F449E3"/>
    <w:rsid w:val="00F46556"/>
    <w:rsid w:val="00F50E91"/>
    <w:rsid w:val="00F53CDB"/>
    <w:rsid w:val="00F56799"/>
    <w:rsid w:val="00F57D29"/>
    <w:rsid w:val="00F60786"/>
    <w:rsid w:val="00F60EDE"/>
    <w:rsid w:val="00F64705"/>
    <w:rsid w:val="00F75A26"/>
    <w:rsid w:val="00F809CF"/>
    <w:rsid w:val="00F903CD"/>
    <w:rsid w:val="00F91BC7"/>
    <w:rsid w:val="00F95968"/>
    <w:rsid w:val="00F96201"/>
    <w:rsid w:val="00FA1BBC"/>
    <w:rsid w:val="00FA3441"/>
    <w:rsid w:val="00FA7D1F"/>
    <w:rsid w:val="00FB0A6D"/>
    <w:rsid w:val="00FB5265"/>
    <w:rsid w:val="00FD0B18"/>
    <w:rsid w:val="00FD0FFF"/>
    <w:rsid w:val="00FD2FAD"/>
    <w:rsid w:val="00FE2CC0"/>
    <w:rsid w:val="00FE714F"/>
    <w:rsid w:val="00FF3B09"/>
    <w:rsid w:val="00FF5229"/>
    <w:rsid w:val="00FF60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779AA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uiPriority w:val="59"/>
    <w:rsid w:val="0042456E"/>
    <w:pPr>
      <w:spacing w:after="0" w:line="240" w:lineRule="auto"/>
    </w:pPr>
    <w:rPr>
      <w:rFonts w:ascii="Calibri" w:eastAsiaTheme="minorEastAsia" w:hAnsi="Calibri" w:cs="Calibri"/>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endnotes.xml.rels><?xml version="1.0" encoding="UTF-8" standalone="yes"?>
<Relationships xmlns="http://schemas.openxmlformats.org/package/2006/relationships"><Relationship Id="rId8" Type="http://schemas.openxmlformats.org/officeDocument/2006/relationships/hyperlink" Target="http://www.ushamartin.com/wp-content/uploads/2014/04/Annual-Report-Delux-2010-11.pdf" TargetMode="External"/><Relationship Id="rId13" Type="http://schemas.openxmlformats.org/officeDocument/2006/relationships/hyperlink" Target="https://economictimes.indiatimes.com/industry/indl-goods/svs/steel/usha-martin-plans-to-sell-steel-business/articleshow/64545199.cms?from=mdr" TargetMode="External"/><Relationship Id="rId3" Type="http://schemas.openxmlformats.org/officeDocument/2006/relationships/hyperlink" Target="http://www.ushamartin.com/wp-content/uploads/2019/08/Usha-Martin-Limited-Annual-Report-2018-19.pdf" TargetMode="External"/><Relationship Id="rId7" Type="http://schemas.openxmlformats.org/officeDocument/2006/relationships/hyperlink" Target="http://www.ushamartin.com/wp-content/uploads/2015/07/Annual-Report-2014-15.pdf" TargetMode="External"/><Relationship Id="rId12" Type="http://schemas.openxmlformats.org/officeDocument/2006/relationships/hyperlink" Target="https://timesofindia.indiatimes.com/business/india-business/usha-martin-forms-panel-to-sell-steel-biz/articleshow/64550362.cms" TargetMode="External"/><Relationship Id="rId2" Type="http://schemas.openxmlformats.org/officeDocument/2006/relationships/hyperlink" Target="http://www.ushamartin.com/product/cable/" TargetMode="External"/><Relationship Id="rId1" Type="http://schemas.openxmlformats.org/officeDocument/2006/relationships/hyperlink" Target="http://www.ushamartin.com/wp-content/uploads/2014/04/Usha-Martin-Limited-Annual-Report-2011-12.pdf" TargetMode="External"/><Relationship Id="rId6" Type="http://schemas.openxmlformats.org/officeDocument/2006/relationships/hyperlink" Target="https://qz.com/699979/how-chinas-overproduction-of-steel-is-damaging-companies-and-countries-around-the-world/" TargetMode="External"/><Relationship Id="rId11" Type="http://schemas.openxmlformats.org/officeDocument/2006/relationships/hyperlink" Target="https://ways2capital-equitytips.blogspot.com/2017/09/usha-martin-clarifies-on-sale-of-wire.html" TargetMode="External"/><Relationship Id="rId5" Type="http://schemas.openxmlformats.org/officeDocument/2006/relationships/hyperlink" Target="https://www.industryweek.com/home/contact/22030767/franois-rousseau-and-luca-caruso" TargetMode="External"/><Relationship Id="rId10" Type="http://schemas.openxmlformats.org/officeDocument/2006/relationships/hyperlink" Target="http://www.ushamartin.com/wp-content/uploads/2018/08/UM-AR-ALL-PAGE_FOR-NET.pdf" TargetMode="External"/><Relationship Id="rId4" Type="http://schemas.openxmlformats.org/officeDocument/2006/relationships/hyperlink" Target="http://www.ushamartin.com/facility/facilities/" TargetMode="External"/><Relationship Id="rId9" Type="http://schemas.openxmlformats.org/officeDocument/2006/relationships/hyperlink" Target="https://timesofindia.indiatimes.com/business/india-business/India-worlds-fourth-largest-steel-maker-in-2011-WSA/articleshow/11675309.cms?utm_source=contentofinterest&amp;utm_medium=text&amp;utm_campaign=cppst" TargetMode="External"/><Relationship Id="rId14" Type="http://schemas.openxmlformats.org/officeDocument/2006/relationships/hyperlink" Target="https://economictimes.indiatimes.com/industry/indl-goods/svs/steel/the-big-surprise-usha-martin-takes-the-path-less-trodden/articleshow/65926016.c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2A8A5B6-884B-4DD0-B72C-CF887888712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F6B1C-29C2-4212-808B-220C07C15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5244</Words>
  <Characters>29892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2021-03-04T18:47:00Z</dcterms:created>
  <dcterms:modified xsi:type="dcterms:W3CDTF">2021-03-04T18:47:00Z</dcterms:modified>
</cp:coreProperties>
</file>