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460C6781" w:rsidR="003A5366" w:rsidRPr="006834CE" w:rsidRDefault="00092C41" w:rsidP="00C02410">
      <w:pPr>
        <w:pBdr>
          <w:bottom w:val="single" w:sz="18" w:space="1" w:color="auto"/>
        </w:pBdr>
        <w:tabs>
          <w:tab w:val="left" w:pos="-1440"/>
          <w:tab w:val="left" w:pos="-720"/>
          <w:tab w:val="left" w:pos="1"/>
        </w:tabs>
        <w:jc w:val="both"/>
        <w:rPr>
          <w:rFonts w:ascii="Arial" w:hAnsi="Arial"/>
          <w:b/>
          <w:sz w:val="24"/>
          <w:lang w:val="en-CA"/>
        </w:rPr>
      </w:pPr>
      <w:r w:rsidRPr="00A569EA">
        <w:rPr>
          <w:rFonts w:ascii="Arial" w:hAnsi="Arial"/>
          <w:b/>
          <w:noProof/>
          <w:sz w:val="24"/>
          <w:lang w:val="en-CA" w:eastAsia="en-CA"/>
        </w:rPr>
        <w:drawing>
          <wp:inline distT="0" distB="0" distL="0" distR="0" wp14:anchorId="64EB9CEC" wp14:editId="51EE0EDB">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E9252CA" w:rsidR="00C02410" w:rsidRPr="006834CE" w:rsidRDefault="00092C41" w:rsidP="00C02410">
      <w:pPr>
        <w:pStyle w:val="ProductNumber"/>
        <w:rPr>
          <w:lang w:val="en-CA"/>
        </w:rPr>
      </w:pPr>
      <w:r>
        <w:rPr>
          <w:lang w:val="en-CA"/>
        </w:rPr>
        <w:t>9B21M031</w:t>
      </w:r>
    </w:p>
    <w:p w14:paraId="4E057522" w14:textId="7A113CB1" w:rsidR="00D75295" w:rsidRPr="006834CE" w:rsidRDefault="00D75295" w:rsidP="00D75295">
      <w:pPr>
        <w:jc w:val="right"/>
        <w:rPr>
          <w:rFonts w:ascii="Arial" w:hAnsi="Arial"/>
          <w:b/>
          <w:lang w:val="en-CA"/>
        </w:rPr>
      </w:pPr>
    </w:p>
    <w:p w14:paraId="02524312" w14:textId="77777777" w:rsidR="001901C0" w:rsidRPr="006834CE" w:rsidRDefault="001901C0" w:rsidP="00D75295">
      <w:pPr>
        <w:jc w:val="right"/>
        <w:rPr>
          <w:rFonts w:ascii="Arial" w:hAnsi="Arial"/>
          <w:b/>
          <w:lang w:val="en-CA"/>
        </w:rPr>
      </w:pPr>
    </w:p>
    <w:p w14:paraId="2F03D26A" w14:textId="6BFFF1F6" w:rsidR="00013360" w:rsidRPr="006834CE" w:rsidRDefault="00050A69" w:rsidP="00013360">
      <w:pPr>
        <w:pStyle w:val="CaseTitle"/>
        <w:spacing w:after="0" w:line="240" w:lineRule="auto"/>
        <w:rPr>
          <w:sz w:val="20"/>
          <w:szCs w:val="20"/>
          <w:lang w:val="en-CA"/>
        </w:rPr>
      </w:pPr>
      <w:r w:rsidRPr="006834CE">
        <w:rPr>
          <w:lang w:val="en-CA"/>
        </w:rPr>
        <w:t>Xiaomi: Selling across the border</w:t>
      </w:r>
      <w:r w:rsidRPr="006834CE">
        <w:rPr>
          <w:rStyle w:val="EndnoteReference"/>
          <w:lang w:val="en-CA"/>
        </w:rPr>
        <w:endnoteReference w:id="1"/>
      </w:r>
    </w:p>
    <w:p w14:paraId="40ABF6FD" w14:textId="77777777" w:rsidR="00CA3976" w:rsidRPr="006834CE" w:rsidRDefault="00CA3976" w:rsidP="00013360">
      <w:pPr>
        <w:pStyle w:val="CaseTitle"/>
        <w:spacing w:after="0" w:line="240" w:lineRule="auto"/>
        <w:rPr>
          <w:sz w:val="20"/>
          <w:szCs w:val="20"/>
          <w:lang w:val="en-CA"/>
        </w:rPr>
      </w:pPr>
    </w:p>
    <w:p w14:paraId="202F1085" w14:textId="77777777" w:rsidR="00013360" w:rsidRPr="006834CE" w:rsidRDefault="00013360" w:rsidP="00013360">
      <w:pPr>
        <w:pStyle w:val="CaseTitle"/>
        <w:spacing w:after="0" w:line="240" w:lineRule="auto"/>
        <w:rPr>
          <w:sz w:val="20"/>
          <w:szCs w:val="20"/>
          <w:lang w:val="en-CA"/>
        </w:rPr>
      </w:pPr>
    </w:p>
    <w:p w14:paraId="22C0F62C" w14:textId="77777777" w:rsidR="003201A1" w:rsidRPr="006834CE" w:rsidRDefault="00050A69" w:rsidP="00086B26">
      <w:pPr>
        <w:pStyle w:val="StyleCopyrightStatementAfter0ptBottomSinglesolidline1"/>
        <w:rPr>
          <w:lang w:val="en-CA"/>
        </w:rPr>
      </w:pPr>
      <w:r w:rsidRPr="006834CE">
        <w:rPr>
          <w:lang w:val="en-CA"/>
        </w:rPr>
        <w:tab/>
        <w:t>Harvinder Singh</w:t>
      </w:r>
      <w:r w:rsidR="00ED7922" w:rsidRPr="006834CE">
        <w:rPr>
          <w:rFonts w:cs="Arial"/>
          <w:szCs w:val="16"/>
          <w:lang w:val="en-CA"/>
        </w:rPr>
        <w:t xml:space="preserve"> </w:t>
      </w:r>
      <w:r w:rsidR="00086B26" w:rsidRPr="006834CE">
        <w:rPr>
          <w:lang w:val="en-CA"/>
        </w:rPr>
        <w:t>wrote this case solely to provide material f</w:t>
      </w:r>
      <w:r w:rsidR="00C508A3" w:rsidRPr="006834CE">
        <w:rPr>
          <w:lang w:val="en-CA"/>
        </w:rPr>
        <w:t>or class discussion. The author</w:t>
      </w:r>
      <w:r w:rsidR="00086B26" w:rsidRPr="006834CE">
        <w:rPr>
          <w:lang w:val="en-CA"/>
        </w:rPr>
        <w:t xml:space="preserve"> do</w:t>
      </w:r>
      <w:r w:rsidR="00C508A3" w:rsidRPr="006834CE">
        <w:rPr>
          <w:lang w:val="en-CA"/>
        </w:rPr>
        <w:t>es</w:t>
      </w:r>
      <w:r w:rsidR="00086B26" w:rsidRPr="006834CE">
        <w:rPr>
          <w:lang w:val="en-CA"/>
        </w:rPr>
        <w:t xml:space="preserve"> not intend to illustrate either effective</w:t>
      </w:r>
    </w:p>
    <w:p w14:paraId="58B0C73F" w14:textId="4CA48CB5" w:rsidR="00086B26" w:rsidRPr="006834CE" w:rsidRDefault="00086B26" w:rsidP="00086B26">
      <w:pPr>
        <w:pStyle w:val="StyleCopyrightStatementAfter0ptBottomSinglesolidline1"/>
        <w:rPr>
          <w:lang w:val="en-CA"/>
        </w:rPr>
      </w:pPr>
      <w:r w:rsidRPr="006834CE">
        <w:rPr>
          <w:lang w:val="en-CA"/>
        </w:rPr>
        <w:t>or ineffective handling of a m</w:t>
      </w:r>
      <w:r w:rsidR="00C508A3" w:rsidRPr="006834CE">
        <w:rPr>
          <w:lang w:val="en-CA"/>
        </w:rPr>
        <w:t>anagerial situation. The author</w:t>
      </w:r>
      <w:r w:rsidRPr="006834CE">
        <w:rPr>
          <w:lang w:val="en-CA"/>
        </w:rPr>
        <w:t xml:space="preserve"> may have disguised certain names and other identifying information to protect confidentiality.</w:t>
      </w:r>
    </w:p>
    <w:p w14:paraId="10D89D5F" w14:textId="77777777" w:rsidR="00086B26" w:rsidRPr="006834CE" w:rsidRDefault="00086B26" w:rsidP="00086B26">
      <w:pPr>
        <w:pStyle w:val="StyleCopyrightStatementAfter0ptBottomSinglesolidline1"/>
        <w:rPr>
          <w:lang w:val="en-CA"/>
        </w:rPr>
      </w:pPr>
    </w:p>
    <w:p w14:paraId="1EEEBFE5" w14:textId="5D086384" w:rsidR="00A323B0" w:rsidRPr="006834CE" w:rsidRDefault="00092C41" w:rsidP="00A323B0">
      <w:pPr>
        <w:pStyle w:val="StyleStyleCopyrightStatementAfter0ptBottomSinglesolid"/>
        <w:rPr>
          <w:rFonts w:cs="Arial"/>
          <w:szCs w:val="16"/>
          <w:lang w:val="en-CA"/>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777D23C" w14:textId="77777777" w:rsidR="003A5366" w:rsidRPr="006834CE" w:rsidRDefault="003A5366" w:rsidP="00A323B0">
      <w:pPr>
        <w:pStyle w:val="StyleStyleCopyrightStatementAfter0ptBottomSinglesolid"/>
        <w:rPr>
          <w:rFonts w:cs="Arial"/>
          <w:szCs w:val="16"/>
          <w:lang w:val="en-CA"/>
        </w:rPr>
      </w:pPr>
    </w:p>
    <w:p w14:paraId="3922E14F" w14:textId="5ED8340A" w:rsidR="00751E0B" w:rsidRPr="006834CE" w:rsidRDefault="00092C41" w:rsidP="00A323B0">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6834CE">
        <w:rPr>
          <w:rFonts w:cs="Arial"/>
          <w:iCs w:val="0"/>
          <w:color w:val="auto"/>
          <w:szCs w:val="16"/>
          <w:lang w:val="en-CA"/>
        </w:rPr>
        <w:tab/>
        <w:t xml:space="preserve">Version: </w:t>
      </w:r>
      <w:r w:rsidR="00873A93" w:rsidRPr="006834CE">
        <w:rPr>
          <w:rFonts w:cs="Arial"/>
          <w:iCs w:val="0"/>
          <w:color w:val="auto"/>
          <w:szCs w:val="16"/>
          <w:lang w:val="en-CA"/>
        </w:rPr>
        <w:t>2021-</w:t>
      </w:r>
      <w:r>
        <w:rPr>
          <w:rFonts w:cs="Arial"/>
          <w:iCs w:val="0"/>
          <w:color w:val="auto"/>
          <w:szCs w:val="16"/>
          <w:lang w:val="en-CA"/>
        </w:rPr>
        <w:t>04-07</w:t>
      </w:r>
    </w:p>
    <w:p w14:paraId="0A2A54E4" w14:textId="00FBF954" w:rsidR="00751E0B" w:rsidRPr="006834CE" w:rsidRDefault="00751E0B" w:rsidP="00751E0B">
      <w:pPr>
        <w:pStyle w:val="StyleCopyrightStatementAfter0ptBottomSinglesolidline1"/>
        <w:rPr>
          <w:rFonts w:ascii="Times New Roman" w:hAnsi="Times New Roman"/>
          <w:sz w:val="20"/>
          <w:lang w:val="en-CA"/>
        </w:rPr>
      </w:pPr>
    </w:p>
    <w:p w14:paraId="5D98AF68" w14:textId="77777777" w:rsidR="0078332E" w:rsidRPr="006834CE" w:rsidRDefault="0078332E" w:rsidP="00751E0B">
      <w:pPr>
        <w:pStyle w:val="StyleCopyrightStatementAfter0ptBottomSinglesolidline1"/>
        <w:rPr>
          <w:rFonts w:ascii="Times New Roman" w:hAnsi="Times New Roman"/>
          <w:sz w:val="20"/>
          <w:lang w:val="en-CA"/>
        </w:rPr>
      </w:pPr>
    </w:p>
    <w:p w14:paraId="2C54A4FE" w14:textId="0CB47CA8" w:rsidR="00FB13F9" w:rsidRPr="006834CE" w:rsidRDefault="00C6659C" w:rsidP="00FB13F9">
      <w:pPr>
        <w:pStyle w:val="BodyTextMain"/>
        <w:rPr>
          <w:lang w:val="en-CA"/>
        </w:rPr>
      </w:pPr>
      <w:r w:rsidRPr="006834CE">
        <w:rPr>
          <w:lang w:val="en-CA"/>
        </w:rPr>
        <w:t>In June 2020,</w:t>
      </w:r>
      <w:r w:rsidR="00FB13F9" w:rsidRPr="006834CE">
        <w:rPr>
          <w:lang w:val="en-CA"/>
        </w:rPr>
        <w:t xml:space="preserve"> raging public sentiment against </w:t>
      </w:r>
      <w:r w:rsidRPr="006834CE">
        <w:rPr>
          <w:lang w:val="en-CA"/>
        </w:rPr>
        <w:t>the People’s Republic of China (</w:t>
      </w:r>
      <w:r w:rsidR="00172EBB" w:rsidRPr="006834CE">
        <w:rPr>
          <w:lang w:val="en-CA"/>
        </w:rPr>
        <w:t>C</w:t>
      </w:r>
      <w:r w:rsidR="00FB13F9" w:rsidRPr="006834CE">
        <w:rPr>
          <w:lang w:val="en-CA"/>
        </w:rPr>
        <w:t>hina</w:t>
      </w:r>
      <w:r w:rsidRPr="006834CE">
        <w:rPr>
          <w:lang w:val="en-CA"/>
        </w:rPr>
        <w:t>)</w:t>
      </w:r>
      <w:r w:rsidR="00FB13F9" w:rsidRPr="006834CE">
        <w:rPr>
          <w:lang w:val="en-CA"/>
        </w:rPr>
        <w:t xml:space="preserve"> </w:t>
      </w:r>
      <w:r w:rsidRPr="006834CE">
        <w:rPr>
          <w:lang w:val="en-CA"/>
        </w:rPr>
        <w:t>led to a demonstration of p</w:t>
      </w:r>
      <w:r w:rsidR="00FB13F9" w:rsidRPr="006834CE">
        <w:rPr>
          <w:lang w:val="en-CA"/>
        </w:rPr>
        <w:t>rotestors out on the streets</w:t>
      </w:r>
      <w:r w:rsidRPr="006834CE">
        <w:rPr>
          <w:lang w:val="en-CA"/>
        </w:rPr>
        <w:t xml:space="preserve"> of </w:t>
      </w:r>
      <w:r w:rsidR="00262781" w:rsidRPr="006834CE">
        <w:rPr>
          <w:lang w:val="en-CA"/>
        </w:rPr>
        <w:t>Noida</w:t>
      </w:r>
      <w:r w:rsidR="00FB13F9" w:rsidRPr="006834CE">
        <w:rPr>
          <w:lang w:val="en-CA"/>
        </w:rPr>
        <w:t xml:space="preserve">, </w:t>
      </w:r>
      <w:r w:rsidR="00262781" w:rsidRPr="006834CE">
        <w:rPr>
          <w:lang w:val="en-CA"/>
        </w:rPr>
        <w:t xml:space="preserve">Uttar Pradesh, </w:t>
      </w:r>
      <w:r w:rsidRPr="006834CE">
        <w:rPr>
          <w:lang w:val="en-CA"/>
        </w:rPr>
        <w:t>India</w:t>
      </w:r>
      <w:r w:rsidR="0078332E" w:rsidRPr="006834CE">
        <w:rPr>
          <w:lang w:val="en-CA"/>
        </w:rPr>
        <w:t>,</w:t>
      </w:r>
      <w:r w:rsidRPr="006834CE">
        <w:rPr>
          <w:lang w:val="en-CA"/>
        </w:rPr>
        <w:t xml:space="preserve"> </w:t>
      </w:r>
      <w:r w:rsidR="00FB13F9" w:rsidRPr="006834CE">
        <w:rPr>
          <w:lang w:val="en-CA"/>
        </w:rPr>
        <w:t xml:space="preserve">urging consumers to boycott </w:t>
      </w:r>
      <w:r w:rsidRPr="006834CE">
        <w:rPr>
          <w:lang w:val="en-CA"/>
        </w:rPr>
        <w:t xml:space="preserve">all </w:t>
      </w:r>
      <w:r w:rsidR="00FB13F9" w:rsidRPr="006834CE">
        <w:rPr>
          <w:lang w:val="en-CA"/>
        </w:rPr>
        <w:t>Chinese products</w:t>
      </w:r>
      <w:r w:rsidRPr="006834CE">
        <w:rPr>
          <w:lang w:val="en-CA"/>
        </w:rPr>
        <w:t>.</w:t>
      </w:r>
      <w:r w:rsidR="00FB13F9" w:rsidRPr="006834CE">
        <w:rPr>
          <w:rStyle w:val="EndnoteReference"/>
          <w:lang w:val="en-CA"/>
        </w:rPr>
        <w:endnoteReference w:id="2"/>
      </w:r>
      <w:r w:rsidR="00FB13F9" w:rsidRPr="006834CE">
        <w:rPr>
          <w:lang w:val="en-CA"/>
        </w:rPr>
        <w:t xml:space="preserve"> </w:t>
      </w:r>
      <w:r w:rsidRPr="006834CE">
        <w:rPr>
          <w:lang w:val="en-CA"/>
        </w:rPr>
        <w:t xml:space="preserve">The </w:t>
      </w:r>
      <w:r w:rsidR="00FB13F9" w:rsidRPr="006834CE">
        <w:rPr>
          <w:lang w:val="en-CA"/>
        </w:rPr>
        <w:t>protestors</w:t>
      </w:r>
      <w:r w:rsidRPr="006834CE">
        <w:rPr>
          <w:lang w:val="en-CA"/>
        </w:rPr>
        <w:t>, who</w:t>
      </w:r>
      <w:r w:rsidR="00FB13F9" w:rsidRPr="006834CE">
        <w:rPr>
          <w:lang w:val="en-CA"/>
        </w:rPr>
        <w:t xml:space="preserve"> </w:t>
      </w:r>
      <w:r w:rsidRPr="006834CE">
        <w:rPr>
          <w:lang w:val="en-CA"/>
        </w:rPr>
        <w:t xml:space="preserve">were </w:t>
      </w:r>
      <w:r w:rsidR="00FB13F9" w:rsidRPr="006834CE">
        <w:rPr>
          <w:lang w:val="en-CA"/>
        </w:rPr>
        <w:t>demonstrat</w:t>
      </w:r>
      <w:r w:rsidRPr="006834CE">
        <w:rPr>
          <w:lang w:val="en-CA"/>
        </w:rPr>
        <w:t>ing</w:t>
      </w:r>
      <w:r w:rsidR="00FB13F9" w:rsidRPr="006834CE">
        <w:rPr>
          <w:lang w:val="en-CA"/>
        </w:rPr>
        <w:t xml:space="preserve"> outside </w:t>
      </w:r>
      <w:r w:rsidR="0078332E" w:rsidRPr="006834CE">
        <w:rPr>
          <w:lang w:val="en-CA"/>
        </w:rPr>
        <w:t xml:space="preserve">of </w:t>
      </w:r>
      <w:r w:rsidR="00FB13F9" w:rsidRPr="006834CE">
        <w:rPr>
          <w:lang w:val="en-CA"/>
        </w:rPr>
        <w:t>a Chinese manufacturing facility</w:t>
      </w:r>
      <w:r w:rsidRPr="006834CE">
        <w:rPr>
          <w:lang w:val="en-CA"/>
        </w:rPr>
        <w:t xml:space="preserve">, showed their anger by burning </w:t>
      </w:r>
      <w:r w:rsidR="003E5235" w:rsidRPr="006834CE">
        <w:rPr>
          <w:lang w:val="en-CA"/>
        </w:rPr>
        <w:t>Chinese flags and large</w:t>
      </w:r>
      <w:r w:rsidRPr="006834CE">
        <w:rPr>
          <w:lang w:val="en-CA"/>
        </w:rPr>
        <w:t xml:space="preserve"> photograph</w:t>
      </w:r>
      <w:r w:rsidR="003E5235" w:rsidRPr="006834CE">
        <w:rPr>
          <w:lang w:val="en-CA"/>
        </w:rPr>
        <w:t>s</w:t>
      </w:r>
      <w:r w:rsidRPr="006834CE">
        <w:rPr>
          <w:lang w:val="en-CA"/>
        </w:rPr>
        <w:t xml:space="preserve"> of</w:t>
      </w:r>
      <w:r w:rsidR="00FB13F9" w:rsidRPr="006834CE">
        <w:rPr>
          <w:lang w:val="en-CA"/>
        </w:rPr>
        <w:t xml:space="preserve"> Chin</w:t>
      </w:r>
      <w:r w:rsidRPr="006834CE">
        <w:rPr>
          <w:lang w:val="en-CA"/>
        </w:rPr>
        <w:t>a’s</w:t>
      </w:r>
      <w:r w:rsidR="00FB13F9" w:rsidRPr="006834CE">
        <w:rPr>
          <w:lang w:val="en-CA"/>
        </w:rPr>
        <w:t xml:space="preserve"> </w:t>
      </w:r>
      <w:r w:rsidRPr="006834CE">
        <w:rPr>
          <w:lang w:val="en-CA"/>
        </w:rPr>
        <w:t>p</w:t>
      </w:r>
      <w:r w:rsidR="002D6B30" w:rsidRPr="006834CE">
        <w:rPr>
          <w:lang w:val="en-CA"/>
        </w:rPr>
        <w:t>resident</w:t>
      </w:r>
      <w:r w:rsidRPr="006834CE">
        <w:rPr>
          <w:lang w:val="en-CA"/>
        </w:rPr>
        <w:t xml:space="preserve"> Xi Jinping.</w:t>
      </w:r>
      <w:r w:rsidR="00FB13F9" w:rsidRPr="006834CE">
        <w:rPr>
          <w:rStyle w:val="EndnoteReference"/>
          <w:lang w:val="en-CA"/>
        </w:rPr>
        <w:endnoteReference w:id="3"/>
      </w:r>
      <w:r w:rsidR="00FB13F9" w:rsidRPr="006834CE">
        <w:rPr>
          <w:lang w:val="en-CA"/>
        </w:rPr>
        <w:t xml:space="preserve"> </w:t>
      </w:r>
      <w:r w:rsidRPr="006834CE">
        <w:rPr>
          <w:lang w:val="en-CA"/>
        </w:rPr>
        <w:t>The event took place</w:t>
      </w:r>
      <w:r w:rsidR="00FB13F9" w:rsidRPr="006834CE">
        <w:rPr>
          <w:lang w:val="en-CA"/>
        </w:rPr>
        <w:t xml:space="preserve"> </w:t>
      </w:r>
      <w:r w:rsidR="00262781" w:rsidRPr="006834CE">
        <w:rPr>
          <w:lang w:val="en-CA"/>
        </w:rPr>
        <w:t xml:space="preserve">several days </w:t>
      </w:r>
      <w:r w:rsidR="00FB13F9" w:rsidRPr="006834CE">
        <w:rPr>
          <w:lang w:val="en-CA"/>
        </w:rPr>
        <w:t xml:space="preserve">after </w:t>
      </w:r>
      <w:r w:rsidRPr="006834CE">
        <w:rPr>
          <w:lang w:val="en-CA"/>
        </w:rPr>
        <w:t xml:space="preserve">the </w:t>
      </w:r>
      <w:r w:rsidR="00FB13F9" w:rsidRPr="006834CE">
        <w:rPr>
          <w:lang w:val="en-CA"/>
        </w:rPr>
        <w:t>June 15, 2020 violent clash between Indian and Chinese soldiers in</w:t>
      </w:r>
      <w:r w:rsidR="00262781" w:rsidRPr="006834CE">
        <w:rPr>
          <w:lang w:val="en-CA"/>
        </w:rPr>
        <w:t xml:space="preserve"> the</w:t>
      </w:r>
      <w:r w:rsidR="00FB13F9" w:rsidRPr="006834CE">
        <w:rPr>
          <w:lang w:val="en-CA"/>
        </w:rPr>
        <w:t xml:space="preserve"> Galwan </w:t>
      </w:r>
      <w:r w:rsidR="00262781" w:rsidRPr="006834CE">
        <w:rPr>
          <w:lang w:val="en-CA"/>
        </w:rPr>
        <w:t>V</w:t>
      </w:r>
      <w:r w:rsidR="00FB13F9" w:rsidRPr="006834CE">
        <w:rPr>
          <w:lang w:val="en-CA"/>
        </w:rPr>
        <w:t>alley</w:t>
      </w:r>
      <w:r w:rsidRPr="006834CE">
        <w:rPr>
          <w:lang w:val="en-CA"/>
        </w:rPr>
        <w:t>,</w:t>
      </w:r>
      <w:r w:rsidR="00FB13F9" w:rsidRPr="006834CE">
        <w:rPr>
          <w:lang w:val="en-CA"/>
        </w:rPr>
        <w:t xml:space="preserve"> in the Union Territory of Ladakh</w:t>
      </w:r>
      <w:r w:rsidRPr="006834CE">
        <w:rPr>
          <w:lang w:val="en-CA"/>
        </w:rPr>
        <w:t>, which</w:t>
      </w:r>
      <w:r w:rsidR="00FB13F9" w:rsidRPr="006834CE">
        <w:rPr>
          <w:lang w:val="en-CA"/>
        </w:rPr>
        <w:t xml:space="preserve"> resulted in </w:t>
      </w:r>
      <w:r w:rsidRPr="006834CE">
        <w:rPr>
          <w:lang w:val="en-CA"/>
        </w:rPr>
        <w:t xml:space="preserve">the death of </w:t>
      </w:r>
      <w:r w:rsidR="00FB13F9" w:rsidRPr="006834CE">
        <w:rPr>
          <w:lang w:val="en-CA"/>
        </w:rPr>
        <w:t xml:space="preserve">20 Indian </w:t>
      </w:r>
      <w:r w:rsidR="003E5235" w:rsidRPr="006834CE">
        <w:rPr>
          <w:lang w:val="en-CA"/>
        </w:rPr>
        <w:t>soldiers</w:t>
      </w:r>
      <w:r w:rsidRPr="006834CE">
        <w:rPr>
          <w:lang w:val="en-CA"/>
        </w:rPr>
        <w:t xml:space="preserve"> </w:t>
      </w:r>
      <w:r w:rsidR="00FB13F9" w:rsidRPr="006834CE">
        <w:rPr>
          <w:lang w:val="en-CA"/>
        </w:rPr>
        <w:t>and an undeclared number of Chinese soldiers</w:t>
      </w:r>
      <w:r w:rsidRPr="006834CE">
        <w:rPr>
          <w:lang w:val="en-CA"/>
        </w:rPr>
        <w:t>.</w:t>
      </w:r>
      <w:r w:rsidR="00FB13F9" w:rsidRPr="006834CE">
        <w:rPr>
          <w:rStyle w:val="EndnoteReference"/>
          <w:lang w:val="en-CA"/>
        </w:rPr>
        <w:endnoteReference w:id="4"/>
      </w:r>
      <w:r w:rsidR="00FB13F9" w:rsidRPr="006834CE">
        <w:rPr>
          <w:lang w:val="en-CA"/>
        </w:rPr>
        <w:t xml:space="preserve"> </w:t>
      </w:r>
    </w:p>
    <w:p w14:paraId="2209AAFB" w14:textId="77777777" w:rsidR="00FB13F9" w:rsidRPr="00092C41" w:rsidRDefault="00FB13F9" w:rsidP="00FB13F9">
      <w:pPr>
        <w:pStyle w:val="BodyTextMain"/>
        <w:rPr>
          <w:sz w:val="14"/>
          <w:lang w:val="en-CA"/>
        </w:rPr>
      </w:pPr>
    </w:p>
    <w:p w14:paraId="7035BED4" w14:textId="1B45B0CA" w:rsidR="00FB13F9" w:rsidRPr="006834CE" w:rsidRDefault="00FB13F9" w:rsidP="00FB13F9">
      <w:pPr>
        <w:pStyle w:val="BodyTextMain"/>
        <w:rPr>
          <w:lang w:val="en-CA"/>
        </w:rPr>
      </w:pPr>
      <w:r w:rsidRPr="006834CE">
        <w:rPr>
          <w:lang w:val="en-CA"/>
        </w:rPr>
        <w:t xml:space="preserve">Anticipating a threat to </w:t>
      </w:r>
      <w:r w:rsidR="00B25819" w:rsidRPr="006834CE">
        <w:rPr>
          <w:lang w:val="en-CA"/>
        </w:rPr>
        <w:t xml:space="preserve">its </w:t>
      </w:r>
      <w:r w:rsidRPr="006834CE">
        <w:rPr>
          <w:lang w:val="en-CA"/>
        </w:rPr>
        <w:t xml:space="preserve">stores, the </w:t>
      </w:r>
      <w:r w:rsidR="00B25819" w:rsidRPr="006834CE">
        <w:rPr>
          <w:lang w:val="en-CA"/>
        </w:rPr>
        <w:t>All-India</w:t>
      </w:r>
      <w:r w:rsidRPr="006834CE">
        <w:rPr>
          <w:lang w:val="en-CA"/>
        </w:rPr>
        <w:t xml:space="preserve"> Mobile Retailers Association</w:t>
      </w:r>
      <w:r w:rsidR="00262781" w:rsidRPr="006834CE">
        <w:rPr>
          <w:lang w:val="en-CA"/>
        </w:rPr>
        <w:t>, whose membership of mobile phone retailers was widespread across India,</w:t>
      </w:r>
      <w:r w:rsidRPr="006834CE">
        <w:rPr>
          <w:lang w:val="en-CA"/>
        </w:rPr>
        <w:t xml:space="preserve"> </w:t>
      </w:r>
      <w:r w:rsidR="002D6B30" w:rsidRPr="006834CE">
        <w:rPr>
          <w:lang w:val="en-CA"/>
        </w:rPr>
        <w:t xml:space="preserve">requested </w:t>
      </w:r>
      <w:r w:rsidR="0078332E" w:rsidRPr="006834CE">
        <w:rPr>
          <w:lang w:val="en-CA"/>
        </w:rPr>
        <w:t xml:space="preserve">that </w:t>
      </w:r>
      <w:r w:rsidR="00262781" w:rsidRPr="006834CE">
        <w:rPr>
          <w:lang w:val="en-CA"/>
        </w:rPr>
        <w:t>all</w:t>
      </w:r>
      <w:r w:rsidRPr="006834CE">
        <w:rPr>
          <w:lang w:val="en-CA"/>
        </w:rPr>
        <w:t xml:space="preserve"> Chinese mobile phone brands cover</w:t>
      </w:r>
      <w:r w:rsidR="00262781" w:rsidRPr="006834CE">
        <w:rPr>
          <w:lang w:val="en-CA"/>
        </w:rPr>
        <w:t xml:space="preserve"> or remove</w:t>
      </w:r>
      <w:r w:rsidRPr="006834CE">
        <w:rPr>
          <w:lang w:val="en-CA"/>
        </w:rPr>
        <w:t xml:space="preserve"> </w:t>
      </w:r>
      <w:r w:rsidR="00262781" w:rsidRPr="006834CE">
        <w:rPr>
          <w:lang w:val="en-CA"/>
        </w:rPr>
        <w:t>all</w:t>
      </w:r>
      <w:r w:rsidR="002D6B30" w:rsidRPr="006834CE">
        <w:rPr>
          <w:lang w:val="en-CA"/>
        </w:rPr>
        <w:t xml:space="preserve"> </w:t>
      </w:r>
      <w:r w:rsidRPr="006834CE">
        <w:rPr>
          <w:lang w:val="en-CA"/>
        </w:rPr>
        <w:t xml:space="preserve">brand signage </w:t>
      </w:r>
      <w:r w:rsidR="00262781" w:rsidRPr="006834CE">
        <w:rPr>
          <w:lang w:val="en-CA"/>
        </w:rPr>
        <w:t>on their store fronts until</w:t>
      </w:r>
      <w:r w:rsidRPr="006834CE">
        <w:rPr>
          <w:lang w:val="en-CA"/>
        </w:rPr>
        <w:t xml:space="preserve"> anti-China sentiments calm</w:t>
      </w:r>
      <w:r w:rsidR="00262781" w:rsidRPr="006834CE">
        <w:rPr>
          <w:lang w:val="en-CA"/>
        </w:rPr>
        <w:t>ed</w:t>
      </w:r>
      <w:r w:rsidRPr="006834CE">
        <w:rPr>
          <w:lang w:val="en-CA"/>
        </w:rPr>
        <w:t xml:space="preserve"> down</w:t>
      </w:r>
      <w:r w:rsidR="00262781" w:rsidRPr="006834CE">
        <w:rPr>
          <w:lang w:val="en-CA"/>
        </w:rPr>
        <w:t>.</w:t>
      </w:r>
      <w:r w:rsidRPr="006834CE">
        <w:rPr>
          <w:rStyle w:val="EndnoteReference"/>
          <w:lang w:val="en-CA"/>
        </w:rPr>
        <w:endnoteReference w:id="5"/>
      </w:r>
      <w:r w:rsidRPr="006834CE">
        <w:rPr>
          <w:lang w:val="en-CA"/>
        </w:rPr>
        <w:t xml:space="preserve"> Chinese companies dominated the Indian market for mobile phones, and </w:t>
      </w:r>
      <w:r w:rsidR="00262781" w:rsidRPr="006834CE">
        <w:rPr>
          <w:lang w:val="en-CA"/>
        </w:rPr>
        <w:t xml:space="preserve">Xiaomi </w:t>
      </w:r>
      <w:r w:rsidR="002200D7" w:rsidRPr="006834CE">
        <w:rPr>
          <w:lang w:val="en-CA"/>
        </w:rPr>
        <w:t>India Private Limited</w:t>
      </w:r>
      <w:r w:rsidR="00262781" w:rsidRPr="006834CE">
        <w:rPr>
          <w:lang w:val="en-CA"/>
        </w:rPr>
        <w:t xml:space="preserve"> (</w:t>
      </w:r>
      <w:r w:rsidRPr="006834CE">
        <w:rPr>
          <w:lang w:val="en-CA"/>
        </w:rPr>
        <w:t>Xiaomi</w:t>
      </w:r>
      <w:r w:rsidR="003E5235" w:rsidRPr="006834CE">
        <w:rPr>
          <w:lang w:val="en-CA"/>
        </w:rPr>
        <w:t xml:space="preserve"> India</w:t>
      </w:r>
      <w:r w:rsidR="00262781" w:rsidRPr="006834CE">
        <w:rPr>
          <w:lang w:val="en-CA"/>
        </w:rPr>
        <w:t>)</w:t>
      </w:r>
      <w:r w:rsidRPr="006834CE">
        <w:rPr>
          <w:lang w:val="en-CA"/>
        </w:rPr>
        <w:t xml:space="preserve"> was the market leader</w:t>
      </w:r>
      <w:r w:rsidR="00262781" w:rsidRPr="006834CE">
        <w:rPr>
          <w:lang w:val="en-CA"/>
        </w:rPr>
        <w:t>.</w:t>
      </w:r>
      <w:r w:rsidRPr="006834CE">
        <w:rPr>
          <w:rStyle w:val="EndnoteReference"/>
          <w:lang w:val="en-CA"/>
        </w:rPr>
        <w:endnoteReference w:id="6"/>
      </w:r>
      <w:r w:rsidRPr="006834CE">
        <w:rPr>
          <w:lang w:val="en-CA"/>
        </w:rPr>
        <w:t xml:space="preserve"> The </w:t>
      </w:r>
      <w:r w:rsidR="00262781" w:rsidRPr="006834CE">
        <w:rPr>
          <w:lang w:val="en-CA"/>
        </w:rPr>
        <w:t>events</w:t>
      </w:r>
      <w:r w:rsidRPr="006834CE">
        <w:rPr>
          <w:lang w:val="en-CA"/>
        </w:rPr>
        <w:t xml:space="preserve"> in the Indian market were </w:t>
      </w:r>
      <w:r w:rsidR="00262781" w:rsidRPr="006834CE">
        <w:rPr>
          <w:lang w:val="en-CA"/>
        </w:rPr>
        <w:t xml:space="preserve">an </w:t>
      </w:r>
      <w:r w:rsidRPr="006834CE">
        <w:rPr>
          <w:lang w:val="en-CA"/>
        </w:rPr>
        <w:t xml:space="preserve">unfavourable </w:t>
      </w:r>
      <w:r w:rsidR="00262781" w:rsidRPr="006834CE">
        <w:rPr>
          <w:lang w:val="en-CA"/>
        </w:rPr>
        <w:t xml:space="preserve">development </w:t>
      </w:r>
      <w:r w:rsidRPr="006834CE">
        <w:rPr>
          <w:lang w:val="en-CA"/>
        </w:rPr>
        <w:t>for the company</w:t>
      </w:r>
      <w:r w:rsidR="00262781" w:rsidRPr="006834CE">
        <w:rPr>
          <w:lang w:val="en-CA"/>
        </w:rPr>
        <w:t xml:space="preserve">, threatening </w:t>
      </w:r>
      <w:r w:rsidR="003E5235" w:rsidRPr="006834CE">
        <w:rPr>
          <w:lang w:val="en-CA"/>
        </w:rPr>
        <w:t xml:space="preserve">to </w:t>
      </w:r>
      <w:r w:rsidR="002200D7" w:rsidRPr="006834CE">
        <w:rPr>
          <w:lang w:val="en-CA"/>
        </w:rPr>
        <w:t xml:space="preserve">revert previously lost market share </w:t>
      </w:r>
      <w:r w:rsidR="00262781" w:rsidRPr="006834CE">
        <w:rPr>
          <w:lang w:val="en-CA"/>
        </w:rPr>
        <w:t>to</w:t>
      </w:r>
      <w:r w:rsidRPr="006834CE">
        <w:rPr>
          <w:lang w:val="en-CA"/>
        </w:rPr>
        <w:t xml:space="preserve"> </w:t>
      </w:r>
      <w:r w:rsidR="002200D7" w:rsidRPr="006834CE">
        <w:rPr>
          <w:lang w:val="en-CA"/>
        </w:rPr>
        <w:t>Samsung Electronics Co. Ltd. (</w:t>
      </w:r>
      <w:r w:rsidRPr="006834CE">
        <w:rPr>
          <w:lang w:val="en-CA"/>
        </w:rPr>
        <w:t>Samsung</w:t>
      </w:r>
      <w:r w:rsidR="002200D7" w:rsidRPr="006834CE">
        <w:rPr>
          <w:lang w:val="en-CA"/>
        </w:rPr>
        <w:t>)</w:t>
      </w:r>
      <w:r w:rsidRPr="006834CE">
        <w:rPr>
          <w:lang w:val="en-CA"/>
        </w:rPr>
        <w:t xml:space="preserve">, </w:t>
      </w:r>
      <w:r w:rsidR="002200D7" w:rsidRPr="006834CE">
        <w:rPr>
          <w:lang w:val="en-CA"/>
        </w:rPr>
        <w:t>Xiaomi</w:t>
      </w:r>
      <w:r w:rsidR="003E5235" w:rsidRPr="006834CE">
        <w:rPr>
          <w:lang w:val="en-CA"/>
        </w:rPr>
        <w:t xml:space="preserve"> India</w:t>
      </w:r>
      <w:r w:rsidR="002200D7" w:rsidRPr="006834CE">
        <w:rPr>
          <w:lang w:val="en-CA"/>
        </w:rPr>
        <w:t>’s main competitor.</w:t>
      </w:r>
      <w:r w:rsidRPr="006834CE">
        <w:rPr>
          <w:rStyle w:val="EndnoteReference"/>
          <w:lang w:val="en-CA"/>
        </w:rPr>
        <w:endnoteReference w:id="7"/>
      </w:r>
      <w:r w:rsidRPr="006834CE">
        <w:rPr>
          <w:lang w:val="en-CA"/>
        </w:rPr>
        <w:t xml:space="preserve"> </w:t>
      </w:r>
      <w:r w:rsidR="002200D7" w:rsidRPr="006834CE">
        <w:rPr>
          <w:lang w:val="en-CA"/>
        </w:rPr>
        <w:t>How c</w:t>
      </w:r>
      <w:r w:rsidRPr="006834CE">
        <w:rPr>
          <w:lang w:val="en-CA"/>
        </w:rPr>
        <w:t xml:space="preserve">ould Xiaomi </w:t>
      </w:r>
      <w:r w:rsidR="003E5235" w:rsidRPr="006834CE">
        <w:rPr>
          <w:lang w:val="en-CA"/>
        </w:rPr>
        <w:t xml:space="preserve">India </w:t>
      </w:r>
      <w:r w:rsidRPr="006834CE">
        <w:rPr>
          <w:lang w:val="en-CA"/>
        </w:rPr>
        <w:t xml:space="preserve">counter </w:t>
      </w:r>
      <w:r w:rsidR="000A60E4" w:rsidRPr="006834CE">
        <w:rPr>
          <w:lang w:val="en-CA"/>
        </w:rPr>
        <w:t xml:space="preserve">hostile </w:t>
      </w:r>
      <w:r w:rsidR="00E02B5C" w:rsidRPr="006834CE">
        <w:rPr>
          <w:lang w:val="en-CA"/>
        </w:rPr>
        <w:t xml:space="preserve">consumer </w:t>
      </w:r>
      <w:r w:rsidR="003E5235" w:rsidRPr="006834CE">
        <w:rPr>
          <w:lang w:val="en-CA"/>
        </w:rPr>
        <w:t>behaviour</w:t>
      </w:r>
      <w:r w:rsidRPr="006834CE">
        <w:rPr>
          <w:lang w:val="en-CA"/>
        </w:rPr>
        <w:t xml:space="preserve"> and protect its leadership position in the Indian market?</w:t>
      </w:r>
    </w:p>
    <w:p w14:paraId="7C8BB7E7" w14:textId="77777777" w:rsidR="00FB13F9" w:rsidRPr="006834CE" w:rsidRDefault="00FB13F9" w:rsidP="00FB13F9">
      <w:pPr>
        <w:pStyle w:val="BodyTextMain"/>
        <w:rPr>
          <w:sz w:val="14"/>
          <w:szCs w:val="14"/>
          <w:lang w:val="en-CA"/>
        </w:rPr>
      </w:pPr>
    </w:p>
    <w:p w14:paraId="464A8083" w14:textId="6AD3E30D" w:rsidR="00FB13F9" w:rsidRPr="006834CE" w:rsidRDefault="00FB13F9" w:rsidP="00FB13F9">
      <w:pPr>
        <w:pStyle w:val="BodyTextMain"/>
        <w:rPr>
          <w:sz w:val="14"/>
          <w:szCs w:val="14"/>
          <w:lang w:val="en-CA"/>
        </w:rPr>
      </w:pPr>
    </w:p>
    <w:p w14:paraId="3330EC12" w14:textId="37FB5083" w:rsidR="00FB13F9" w:rsidRPr="006834CE" w:rsidRDefault="00FB13F9" w:rsidP="00FB13F9">
      <w:pPr>
        <w:pStyle w:val="Casehead1"/>
        <w:rPr>
          <w:lang w:val="en-CA"/>
        </w:rPr>
      </w:pPr>
      <w:r w:rsidRPr="006834CE">
        <w:rPr>
          <w:lang w:val="en-CA"/>
        </w:rPr>
        <w:t>Xiaomi</w:t>
      </w:r>
      <w:r w:rsidR="00254515" w:rsidRPr="006834CE">
        <w:rPr>
          <w:lang w:val="en-CA"/>
        </w:rPr>
        <w:t xml:space="preserve"> Corporation</w:t>
      </w:r>
    </w:p>
    <w:p w14:paraId="3BA16893" w14:textId="77777777" w:rsidR="00FB13F9" w:rsidRPr="006834CE" w:rsidRDefault="00FB13F9" w:rsidP="00FB13F9">
      <w:pPr>
        <w:pStyle w:val="BodyTextMain"/>
        <w:rPr>
          <w:sz w:val="14"/>
          <w:szCs w:val="14"/>
          <w:lang w:val="en-CA"/>
        </w:rPr>
      </w:pPr>
    </w:p>
    <w:p w14:paraId="76DD3724" w14:textId="0B2684B9" w:rsidR="00FB13F9" w:rsidRPr="006834CE" w:rsidRDefault="00FB13F9" w:rsidP="00FB13F9">
      <w:pPr>
        <w:pStyle w:val="BodyTextMain"/>
        <w:rPr>
          <w:lang w:val="en-CA"/>
        </w:rPr>
      </w:pPr>
      <w:r w:rsidRPr="006834CE">
        <w:rPr>
          <w:lang w:val="en-CA"/>
        </w:rPr>
        <w:t>Xiaomi</w:t>
      </w:r>
      <w:r w:rsidR="00E02B5C" w:rsidRPr="006834CE">
        <w:rPr>
          <w:lang w:val="en-CA"/>
        </w:rPr>
        <w:t xml:space="preserve"> India</w:t>
      </w:r>
      <w:r w:rsidRPr="006834CE">
        <w:rPr>
          <w:lang w:val="en-CA"/>
        </w:rPr>
        <w:t xml:space="preserve"> </w:t>
      </w:r>
      <w:r w:rsidR="0052547D" w:rsidRPr="006834CE">
        <w:rPr>
          <w:lang w:val="en-CA"/>
        </w:rPr>
        <w:t xml:space="preserve">was the Indian division of the international parent company Xiaomi </w:t>
      </w:r>
      <w:r w:rsidRPr="006834CE">
        <w:rPr>
          <w:lang w:val="en-CA"/>
        </w:rPr>
        <w:t>Corporation</w:t>
      </w:r>
      <w:r w:rsidR="0052547D" w:rsidRPr="006834CE">
        <w:rPr>
          <w:lang w:val="en-CA"/>
        </w:rPr>
        <w:t>,</w:t>
      </w:r>
      <w:r w:rsidRPr="006834CE">
        <w:rPr>
          <w:lang w:val="en-CA"/>
        </w:rPr>
        <w:t xml:space="preserve"> an electronic</w:t>
      </w:r>
      <w:r w:rsidR="0052547D" w:rsidRPr="006834CE">
        <w:rPr>
          <w:lang w:val="en-CA"/>
        </w:rPr>
        <w:t>s</w:t>
      </w:r>
      <w:r w:rsidRPr="006834CE">
        <w:rPr>
          <w:lang w:val="en-CA"/>
        </w:rPr>
        <w:t xml:space="preserve"> company founded by the Chinese entrepreneur Lei Jun in 2010. </w:t>
      </w:r>
      <w:r w:rsidR="0052547D" w:rsidRPr="006834CE">
        <w:rPr>
          <w:lang w:val="en-CA"/>
        </w:rPr>
        <w:t>The parent company</w:t>
      </w:r>
      <w:r w:rsidR="00C77B56" w:rsidRPr="006834CE">
        <w:rPr>
          <w:lang w:val="en-CA"/>
        </w:rPr>
        <w:t>, a leading manufacturer of smart phones, laptop computers, televisions, and various smart technology devices,</w:t>
      </w:r>
      <w:r w:rsidRPr="006834CE">
        <w:rPr>
          <w:lang w:val="en-CA"/>
        </w:rPr>
        <w:t xml:space="preserve"> was headquartered in Beijing</w:t>
      </w:r>
      <w:r w:rsidR="0052547D" w:rsidRPr="006834CE">
        <w:rPr>
          <w:lang w:val="en-CA"/>
        </w:rPr>
        <w:t>, China</w:t>
      </w:r>
      <w:r w:rsidR="00C77B56" w:rsidRPr="006834CE">
        <w:rPr>
          <w:lang w:val="en-CA"/>
        </w:rPr>
        <w:t xml:space="preserve"> and was</w:t>
      </w:r>
      <w:r w:rsidRPr="006834CE">
        <w:rPr>
          <w:lang w:val="en-CA"/>
        </w:rPr>
        <w:t xml:space="preserve"> listed on the </w:t>
      </w:r>
      <w:r w:rsidR="0052547D" w:rsidRPr="006834CE">
        <w:rPr>
          <w:lang w:val="en-CA"/>
        </w:rPr>
        <w:t xml:space="preserve">Stock Exchange of </w:t>
      </w:r>
      <w:r w:rsidRPr="006834CE">
        <w:rPr>
          <w:lang w:val="en-CA"/>
        </w:rPr>
        <w:t>Hong Kong</w:t>
      </w:r>
      <w:r w:rsidR="00C77B56" w:rsidRPr="006834CE">
        <w:rPr>
          <w:lang w:val="en-CA"/>
        </w:rPr>
        <w:t>.</w:t>
      </w:r>
      <w:r w:rsidRPr="006834CE">
        <w:rPr>
          <w:rStyle w:val="EndnoteReference"/>
          <w:lang w:val="en-CA"/>
        </w:rPr>
        <w:endnoteReference w:id="8"/>
      </w:r>
      <w:r w:rsidRPr="006834CE">
        <w:rPr>
          <w:lang w:val="en-CA"/>
        </w:rPr>
        <w:t xml:space="preserve"> </w:t>
      </w:r>
      <w:r w:rsidR="0052547D" w:rsidRPr="006834CE">
        <w:rPr>
          <w:lang w:val="en-CA"/>
        </w:rPr>
        <w:t>The company</w:t>
      </w:r>
      <w:r w:rsidRPr="006834CE">
        <w:rPr>
          <w:lang w:val="en-CA"/>
        </w:rPr>
        <w:t xml:space="preserve"> also provid</w:t>
      </w:r>
      <w:r w:rsidR="0052547D" w:rsidRPr="006834CE">
        <w:rPr>
          <w:lang w:val="en-CA"/>
        </w:rPr>
        <w:t>ed</w:t>
      </w:r>
      <w:r w:rsidRPr="006834CE">
        <w:rPr>
          <w:lang w:val="en-CA"/>
        </w:rPr>
        <w:t xml:space="preserve"> </w:t>
      </w:r>
      <w:r w:rsidR="0052547D" w:rsidRPr="006834CE">
        <w:rPr>
          <w:lang w:val="en-CA"/>
        </w:rPr>
        <w:t>I</w:t>
      </w:r>
      <w:r w:rsidRPr="006834CE">
        <w:rPr>
          <w:lang w:val="en-CA"/>
        </w:rPr>
        <w:t xml:space="preserve">nternet services and </w:t>
      </w:r>
      <w:r w:rsidR="0052547D" w:rsidRPr="006834CE">
        <w:rPr>
          <w:lang w:val="en-CA"/>
        </w:rPr>
        <w:t>fifth generation (</w:t>
      </w:r>
      <w:r w:rsidRPr="006834CE">
        <w:rPr>
          <w:lang w:val="en-CA"/>
        </w:rPr>
        <w:t>5G</w:t>
      </w:r>
      <w:r w:rsidR="0052547D" w:rsidRPr="006834CE">
        <w:rPr>
          <w:lang w:val="en-CA"/>
        </w:rPr>
        <w:t>)</w:t>
      </w:r>
      <w:r w:rsidRPr="006834CE">
        <w:rPr>
          <w:lang w:val="en-CA"/>
        </w:rPr>
        <w:t xml:space="preserve"> technology. Xiaomi</w:t>
      </w:r>
      <w:r w:rsidR="0052547D" w:rsidRPr="006834CE">
        <w:rPr>
          <w:lang w:val="en-CA"/>
        </w:rPr>
        <w:t xml:space="preserve"> Corporation</w:t>
      </w:r>
      <w:r w:rsidRPr="006834CE">
        <w:rPr>
          <w:lang w:val="en-CA"/>
        </w:rPr>
        <w:t xml:space="preserve"> sold its smart</w:t>
      </w:r>
      <w:r w:rsidR="0052547D" w:rsidRPr="006834CE">
        <w:rPr>
          <w:lang w:val="en-CA"/>
        </w:rPr>
        <w:t xml:space="preserve"> </w:t>
      </w:r>
      <w:r w:rsidRPr="006834CE">
        <w:rPr>
          <w:lang w:val="en-CA"/>
        </w:rPr>
        <w:t>phones under two brand names: Mi for the premium segment and Redmi for the mass market. The company</w:t>
      </w:r>
      <w:r w:rsidR="0052547D" w:rsidRPr="006834CE">
        <w:rPr>
          <w:lang w:val="en-CA"/>
        </w:rPr>
        <w:t>’</w:t>
      </w:r>
      <w:r w:rsidRPr="006834CE">
        <w:rPr>
          <w:lang w:val="en-CA"/>
        </w:rPr>
        <w:t>s product</w:t>
      </w:r>
      <w:r w:rsidR="0052547D" w:rsidRPr="006834CE">
        <w:rPr>
          <w:lang w:val="en-CA"/>
        </w:rPr>
        <w:t>s were sold</w:t>
      </w:r>
      <w:r w:rsidRPr="006834CE">
        <w:rPr>
          <w:lang w:val="en-CA"/>
        </w:rPr>
        <w:t xml:space="preserve"> in more than 90 countries and regions. In 45 of these countries, Xiaomi</w:t>
      </w:r>
      <w:r w:rsidR="0052547D" w:rsidRPr="006834CE">
        <w:rPr>
          <w:lang w:val="en-CA"/>
        </w:rPr>
        <w:t xml:space="preserve"> Corporation’s</w:t>
      </w:r>
      <w:r w:rsidRPr="006834CE">
        <w:rPr>
          <w:lang w:val="en-CA"/>
        </w:rPr>
        <w:t xml:space="preserve"> smart</w:t>
      </w:r>
      <w:r w:rsidR="0052547D" w:rsidRPr="006834CE">
        <w:rPr>
          <w:lang w:val="en-CA"/>
        </w:rPr>
        <w:t xml:space="preserve"> </w:t>
      </w:r>
      <w:r w:rsidRPr="006834CE">
        <w:rPr>
          <w:lang w:val="en-CA"/>
        </w:rPr>
        <w:t xml:space="preserve">phones ranked among the top </w:t>
      </w:r>
      <w:r w:rsidR="0052547D" w:rsidRPr="006834CE">
        <w:rPr>
          <w:lang w:val="en-CA"/>
        </w:rPr>
        <w:t>five</w:t>
      </w:r>
      <w:r w:rsidRPr="006834CE">
        <w:rPr>
          <w:lang w:val="en-CA"/>
        </w:rPr>
        <w:t xml:space="preserve"> </w:t>
      </w:r>
      <w:r w:rsidR="00E02B5C" w:rsidRPr="006834CE">
        <w:rPr>
          <w:lang w:val="en-CA"/>
        </w:rPr>
        <w:t xml:space="preserve">brands </w:t>
      </w:r>
      <w:r w:rsidRPr="006834CE">
        <w:rPr>
          <w:lang w:val="en-CA"/>
        </w:rPr>
        <w:t>in the market.</w:t>
      </w:r>
      <w:r w:rsidRPr="006834CE">
        <w:rPr>
          <w:rStyle w:val="EndnoteReference"/>
          <w:lang w:val="en-CA"/>
        </w:rPr>
        <w:endnoteReference w:id="9"/>
      </w:r>
    </w:p>
    <w:p w14:paraId="766B50B8" w14:textId="77777777" w:rsidR="0052547D" w:rsidRPr="006834CE" w:rsidRDefault="0052547D" w:rsidP="00FB13F9">
      <w:pPr>
        <w:pStyle w:val="BodyTextMain"/>
        <w:rPr>
          <w:sz w:val="14"/>
          <w:szCs w:val="14"/>
          <w:lang w:val="en-CA"/>
        </w:rPr>
      </w:pPr>
    </w:p>
    <w:p w14:paraId="1F9960A8" w14:textId="4D00A686" w:rsidR="00FB13F9" w:rsidRPr="006834CE" w:rsidRDefault="005F31A3" w:rsidP="00FB13F9">
      <w:pPr>
        <w:pStyle w:val="BodyTextMain"/>
        <w:rPr>
          <w:lang w:val="en-CA"/>
        </w:rPr>
      </w:pPr>
      <w:r w:rsidRPr="006834CE">
        <w:rPr>
          <w:lang w:val="en-CA"/>
        </w:rPr>
        <w:t>For</w:t>
      </w:r>
      <w:r w:rsidR="00FB13F9" w:rsidRPr="006834CE">
        <w:rPr>
          <w:lang w:val="en-CA"/>
        </w:rPr>
        <w:t xml:space="preserve"> financial year </w:t>
      </w:r>
      <w:r w:rsidRPr="006834CE">
        <w:rPr>
          <w:lang w:val="en-CA"/>
        </w:rPr>
        <w:t xml:space="preserve">(FY) </w:t>
      </w:r>
      <w:r w:rsidR="00FB13F9" w:rsidRPr="006834CE">
        <w:rPr>
          <w:lang w:val="en-CA"/>
        </w:rPr>
        <w:t>20</w:t>
      </w:r>
      <w:r w:rsidRPr="006834CE">
        <w:rPr>
          <w:lang w:val="en-CA"/>
        </w:rPr>
        <w:t>18–</w:t>
      </w:r>
      <w:r w:rsidR="00FB13F9" w:rsidRPr="006834CE">
        <w:rPr>
          <w:lang w:val="en-CA"/>
        </w:rPr>
        <w:t>19,</w:t>
      </w:r>
      <w:r w:rsidR="00D7457B" w:rsidRPr="006834CE">
        <w:rPr>
          <w:rStyle w:val="EndnoteReference"/>
          <w:lang w:val="en-CA"/>
        </w:rPr>
        <w:endnoteReference w:id="10"/>
      </w:r>
      <w:r w:rsidR="00FB13F9" w:rsidRPr="006834CE">
        <w:rPr>
          <w:lang w:val="en-CA"/>
        </w:rPr>
        <w:t xml:space="preserve"> </w:t>
      </w:r>
      <w:r w:rsidR="0052547D" w:rsidRPr="006834CE">
        <w:rPr>
          <w:lang w:val="en-CA"/>
        </w:rPr>
        <w:t>Xiaomi Corporation</w:t>
      </w:r>
      <w:r w:rsidR="00FB13F9" w:rsidRPr="006834CE">
        <w:rPr>
          <w:lang w:val="en-CA"/>
        </w:rPr>
        <w:t xml:space="preserve"> earned adjusted net profits of </w:t>
      </w:r>
      <w:r w:rsidR="0052547D" w:rsidRPr="006834CE">
        <w:rPr>
          <w:lang w:val="en-CA"/>
        </w:rPr>
        <w:t>¥</w:t>
      </w:r>
      <w:r w:rsidR="00FB13F9" w:rsidRPr="006834CE">
        <w:rPr>
          <w:lang w:val="en-CA"/>
        </w:rPr>
        <w:t>11.5 billion</w:t>
      </w:r>
      <w:r w:rsidR="00FB13F9" w:rsidRPr="006834CE">
        <w:rPr>
          <w:rStyle w:val="EndnoteReference"/>
          <w:lang w:val="en-CA"/>
        </w:rPr>
        <w:endnoteReference w:id="11"/>
      </w:r>
      <w:r w:rsidR="00FB13F9" w:rsidRPr="006834CE">
        <w:rPr>
          <w:lang w:val="en-CA"/>
        </w:rPr>
        <w:t xml:space="preserve"> </w:t>
      </w:r>
      <w:r w:rsidR="0052547D" w:rsidRPr="006834CE">
        <w:rPr>
          <w:lang w:val="en-CA"/>
        </w:rPr>
        <w:t>and</w:t>
      </w:r>
      <w:r w:rsidR="00FB13F9" w:rsidRPr="006834CE">
        <w:rPr>
          <w:lang w:val="en-CA"/>
        </w:rPr>
        <w:t xml:space="preserve"> total revenues of </w:t>
      </w:r>
      <w:r w:rsidR="0052547D" w:rsidRPr="006834CE">
        <w:rPr>
          <w:lang w:val="en-CA"/>
        </w:rPr>
        <w:t>¥</w:t>
      </w:r>
      <w:r w:rsidR="00FB13F9" w:rsidRPr="006834CE">
        <w:rPr>
          <w:lang w:val="en-CA"/>
        </w:rPr>
        <w:t>205.8 billion (</w:t>
      </w:r>
      <w:r w:rsidR="0052547D" w:rsidRPr="006834CE">
        <w:rPr>
          <w:lang w:val="en-CA"/>
        </w:rPr>
        <w:t xml:space="preserve">see </w:t>
      </w:r>
      <w:r w:rsidR="00FB13F9" w:rsidRPr="006834CE">
        <w:rPr>
          <w:lang w:val="en-CA"/>
        </w:rPr>
        <w:t>Exhibit</w:t>
      </w:r>
      <w:r w:rsidR="00294DF5" w:rsidRPr="006834CE">
        <w:rPr>
          <w:lang w:val="en-CA"/>
        </w:rPr>
        <w:t xml:space="preserve"> 1</w:t>
      </w:r>
      <w:r w:rsidR="00FB13F9" w:rsidRPr="006834CE">
        <w:rPr>
          <w:lang w:val="en-CA"/>
        </w:rPr>
        <w:t>)</w:t>
      </w:r>
      <w:r w:rsidR="0052547D" w:rsidRPr="006834CE">
        <w:rPr>
          <w:lang w:val="en-CA"/>
        </w:rPr>
        <w:t>.</w:t>
      </w:r>
      <w:r w:rsidR="00946D41" w:rsidRPr="006834CE">
        <w:rPr>
          <w:lang w:val="en-CA"/>
        </w:rPr>
        <w:t xml:space="preserve"> </w:t>
      </w:r>
      <w:r w:rsidR="0052547D" w:rsidRPr="006834CE">
        <w:rPr>
          <w:lang w:val="en-CA"/>
        </w:rPr>
        <w:t>Compared to its previous year, the company’s r</w:t>
      </w:r>
      <w:r w:rsidR="00FB13F9" w:rsidRPr="006834CE">
        <w:rPr>
          <w:lang w:val="en-CA"/>
        </w:rPr>
        <w:t>evenues grew by 17.7</w:t>
      </w:r>
      <w:r w:rsidR="0052547D" w:rsidRPr="006834CE">
        <w:rPr>
          <w:lang w:val="en-CA"/>
        </w:rPr>
        <w:t xml:space="preserve"> per cent </w:t>
      </w:r>
      <w:r w:rsidR="00FB13F9" w:rsidRPr="006834CE">
        <w:rPr>
          <w:lang w:val="en-CA"/>
        </w:rPr>
        <w:t>and profits grew by 34.8</w:t>
      </w:r>
      <w:r w:rsidR="0052547D" w:rsidRPr="006834CE">
        <w:rPr>
          <w:lang w:val="en-CA"/>
        </w:rPr>
        <w:t xml:space="preserve"> per cent</w:t>
      </w:r>
      <w:r w:rsidR="00FB13F9" w:rsidRPr="006834CE">
        <w:rPr>
          <w:lang w:val="en-CA"/>
        </w:rPr>
        <w:t xml:space="preserve">. </w:t>
      </w:r>
      <w:r w:rsidR="00720B54" w:rsidRPr="006834CE">
        <w:rPr>
          <w:lang w:val="en-CA"/>
        </w:rPr>
        <w:t>O</w:t>
      </w:r>
      <w:r w:rsidR="00FB13F9" w:rsidRPr="006834CE">
        <w:rPr>
          <w:lang w:val="en-CA"/>
        </w:rPr>
        <w:t xml:space="preserve">verseas </w:t>
      </w:r>
      <w:r w:rsidR="00720B54" w:rsidRPr="006834CE">
        <w:rPr>
          <w:lang w:val="en-CA"/>
        </w:rPr>
        <w:t>sales</w:t>
      </w:r>
      <w:r w:rsidR="00123E8F" w:rsidRPr="006834CE">
        <w:rPr>
          <w:lang w:val="en-CA"/>
        </w:rPr>
        <w:t>, which accounted for</w:t>
      </w:r>
      <w:r w:rsidR="00FB13F9" w:rsidRPr="006834CE">
        <w:rPr>
          <w:lang w:val="en-CA"/>
        </w:rPr>
        <w:t xml:space="preserve"> 44.3</w:t>
      </w:r>
      <w:r w:rsidR="00123E8F" w:rsidRPr="006834CE">
        <w:rPr>
          <w:lang w:val="en-CA"/>
        </w:rPr>
        <w:t xml:space="preserve"> per cent</w:t>
      </w:r>
      <w:r w:rsidR="00FB13F9" w:rsidRPr="006834CE">
        <w:rPr>
          <w:lang w:val="en-CA"/>
        </w:rPr>
        <w:t xml:space="preserve"> of </w:t>
      </w:r>
      <w:r w:rsidR="00123E8F" w:rsidRPr="006834CE">
        <w:rPr>
          <w:lang w:val="en-CA"/>
        </w:rPr>
        <w:t xml:space="preserve">the company’s </w:t>
      </w:r>
      <w:r w:rsidR="00FB13F9" w:rsidRPr="006834CE">
        <w:rPr>
          <w:lang w:val="en-CA"/>
        </w:rPr>
        <w:t>total revenues</w:t>
      </w:r>
      <w:r w:rsidR="00123E8F" w:rsidRPr="006834CE">
        <w:rPr>
          <w:lang w:val="en-CA"/>
        </w:rPr>
        <w:t>,</w:t>
      </w:r>
      <w:r w:rsidR="00FB13F9" w:rsidRPr="006834CE">
        <w:rPr>
          <w:lang w:val="en-CA"/>
        </w:rPr>
        <w:t xml:space="preserve"> show</w:t>
      </w:r>
      <w:r w:rsidR="00674C09" w:rsidRPr="006834CE">
        <w:rPr>
          <w:lang w:val="en-CA"/>
        </w:rPr>
        <w:t>ed</w:t>
      </w:r>
      <w:r w:rsidR="00FB13F9" w:rsidRPr="006834CE">
        <w:rPr>
          <w:lang w:val="en-CA"/>
        </w:rPr>
        <w:t xml:space="preserve"> an increase of 30.4 </w:t>
      </w:r>
      <w:r w:rsidR="00A43A1F" w:rsidRPr="006834CE">
        <w:rPr>
          <w:lang w:val="en-CA"/>
        </w:rPr>
        <w:t xml:space="preserve">per cent </w:t>
      </w:r>
      <w:r w:rsidR="00FB13F9" w:rsidRPr="006834CE">
        <w:rPr>
          <w:lang w:val="en-CA"/>
        </w:rPr>
        <w:t>over the previous yea</w:t>
      </w:r>
      <w:r w:rsidR="00720B54" w:rsidRPr="006834CE">
        <w:rPr>
          <w:lang w:val="en-CA"/>
        </w:rPr>
        <w:t xml:space="preserve">r, with </w:t>
      </w:r>
      <w:r w:rsidR="00123E8F" w:rsidRPr="006834CE">
        <w:rPr>
          <w:lang w:val="en-CA"/>
        </w:rPr>
        <w:t>the</w:t>
      </w:r>
      <w:r w:rsidR="00720B54" w:rsidRPr="006834CE">
        <w:rPr>
          <w:lang w:val="en-CA"/>
        </w:rPr>
        <w:t xml:space="preserve"> bulk </w:t>
      </w:r>
      <w:r w:rsidR="00123E8F" w:rsidRPr="006834CE">
        <w:rPr>
          <w:lang w:val="en-CA"/>
        </w:rPr>
        <w:t xml:space="preserve">of revenue </w:t>
      </w:r>
      <w:r w:rsidR="00720B54" w:rsidRPr="006834CE">
        <w:rPr>
          <w:lang w:val="en-CA"/>
        </w:rPr>
        <w:t>coming from</w:t>
      </w:r>
      <w:r w:rsidR="00FB13F9" w:rsidRPr="006834CE">
        <w:rPr>
          <w:lang w:val="en-CA"/>
        </w:rPr>
        <w:t xml:space="preserve"> India, Indonesia, and Western Europe.</w:t>
      </w:r>
      <w:r w:rsidR="00FB13F9" w:rsidRPr="006834CE">
        <w:rPr>
          <w:rStyle w:val="EndnoteReference"/>
          <w:lang w:val="en-CA"/>
        </w:rPr>
        <w:endnoteReference w:id="12"/>
      </w:r>
      <w:r w:rsidR="00FB13F9" w:rsidRPr="006834CE">
        <w:rPr>
          <w:lang w:val="en-CA"/>
        </w:rPr>
        <w:t xml:space="preserve"> </w:t>
      </w:r>
    </w:p>
    <w:p w14:paraId="466E5EDC" w14:textId="2D013A0C" w:rsidR="00FB13F9" w:rsidRPr="006834CE" w:rsidRDefault="00FB13F9" w:rsidP="00FB13F9">
      <w:pPr>
        <w:pStyle w:val="Casehead1"/>
        <w:rPr>
          <w:lang w:val="en-CA"/>
        </w:rPr>
      </w:pPr>
      <w:r w:rsidRPr="006834CE">
        <w:rPr>
          <w:lang w:val="en-CA"/>
        </w:rPr>
        <w:lastRenderedPageBreak/>
        <w:t>The Indian market for smart</w:t>
      </w:r>
      <w:r w:rsidR="00A43A1F" w:rsidRPr="006834CE">
        <w:rPr>
          <w:lang w:val="en-CA"/>
        </w:rPr>
        <w:t xml:space="preserve"> </w:t>
      </w:r>
      <w:r w:rsidRPr="006834CE">
        <w:rPr>
          <w:lang w:val="en-CA"/>
        </w:rPr>
        <w:t>phones</w:t>
      </w:r>
    </w:p>
    <w:p w14:paraId="7AA28B8D" w14:textId="77777777" w:rsidR="00FB13F9" w:rsidRPr="006834CE" w:rsidRDefault="00FB13F9" w:rsidP="00FB13F9">
      <w:pPr>
        <w:pStyle w:val="BodyTextMain"/>
        <w:rPr>
          <w:b/>
          <w:lang w:val="en-CA"/>
        </w:rPr>
      </w:pPr>
    </w:p>
    <w:p w14:paraId="0CF5B39B" w14:textId="2F9F7FC9" w:rsidR="00A43A1F" w:rsidRPr="006834CE" w:rsidRDefault="00A43A1F" w:rsidP="00FB13F9">
      <w:pPr>
        <w:pStyle w:val="BodyTextMain"/>
        <w:rPr>
          <w:lang w:val="en-CA"/>
        </w:rPr>
      </w:pPr>
      <w:r w:rsidRPr="006834CE">
        <w:rPr>
          <w:lang w:val="en-CA"/>
        </w:rPr>
        <w:t xml:space="preserve">After China, </w:t>
      </w:r>
      <w:r w:rsidR="00FB13F9" w:rsidRPr="006834CE">
        <w:rPr>
          <w:lang w:val="en-CA"/>
        </w:rPr>
        <w:t xml:space="preserve">India was the </w:t>
      </w:r>
      <w:r w:rsidR="002D6B30" w:rsidRPr="006834CE">
        <w:rPr>
          <w:lang w:val="en-CA"/>
        </w:rPr>
        <w:t>world</w:t>
      </w:r>
      <w:r w:rsidR="004D45F9" w:rsidRPr="006834CE">
        <w:rPr>
          <w:lang w:val="en-CA"/>
        </w:rPr>
        <w:t>’</w:t>
      </w:r>
      <w:r w:rsidR="002D6B30" w:rsidRPr="006834CE">
        <w:rPr>
          <w:lang w:val="en-CA"/>
        </w:rPr>
        <w:t xml:space="preserve">s </w:t>
      </w:r>
      <w:r w:rsidR="00FB13F9" w:rsidRPr="006834CE">
        <w:rPr>
          <w:lang w:val="en-CA"/>
        </w:rPr>
        <w:t>second-largest market for mobile phones</w:t>
      </w:r>
      <w:r w:rsidR="00184608" w:rsidRPr="006834CE">
        <w:rPr>
          <w:lang w:val="en-CA"/>
        </w:rPr>
        <w:t>, including</w:t>
      </w:r>
      <w:r w:rsidR="00FB13F9" w:rsidRPr="006834CE">
        <w:rPr>
          <w:lang w:val="en-CA"/>
        </w:rPr>
        <w:t xml:space="preserve"> smart</w:t>
      </w:r>
      <w:r w:rsidR="00184608" w:rsidRPr="006834CE">
        <w:rPr>
          <w:lang w:val="en-CA"/>
        </w:rPr>
        <w:t xml:space="preserve"> </w:t>
      </w:r>
      <w:r w:rsidR="00FB13F9" w:rsidRPr="006834CE">
        <w:rPr>
          <w:lang w:val="en-CA"/>
        </w:rPr>
        <w:t xml:space="preserve">phones. The Indian market was evenly split between </w:t>
      </w:r>
      <w:r w:rsidR="00184608" w:rsidRPr="006834CE">
        <w:rPr>
          <w:lang w:val="en-CA"/>
        </w:rPr>
        <w:t xml:space="preserve">smart phones and limited-functionality mobile phones known as </w:t>
      </w:r>
      <w:r w:rsidR="00FB13F9" w:rsidRPr="006834CE">
        <w:rPr>
          <w:lang w:val="en-CA"/>
        </w:rPr>
        <w:t>feature</w:t>
      </w:r>
      <w:r w:rsidR="00184608" w:rsidRPr="006834CE">
        <w:rPr>
          <w:lang w:val="en-CA"/>
        </w:rPr>
        <w:t xml:space="preserve"> </w:t>
      </w:r>
      <w:r w:rsidR="00FB13F9" w:rsidRPr="006834CE">
        <w:rPr>
          <w:lang w:val="en-CA"/>
        </w:rPr>
        <w:t>phones</w:t>
      </w:r>
      <w:r w:rsidR="00184608" w:rsidRPr="006834CE">
        <w:rPr>
          <w:lang w:val="en-CA"/>
        </w:rPr>
        <w:t xml:space="preserve">, which were mainly used for </w:t>
      </w:r>
      <w:r w:rsidRPr="006834CE">
        <w:rPr>
          <w:lang w:val="en-CA"/>
        </w:rPr>
        <w:t xml:space="preserve">making </w:t>
      </w:r>
      <w:r w:rsidR="00184608" w:rsidRPr="006834CE">
        <w:rPr>
          <w:lang w:val="en-CA"/>
        </w:rPr>
        <w:t xml:space="preserve">calls and </w:t>
      </w:r>
      <w:r w:rsidRPr="006834CE">
        <w:rPr>
          <w:lang w:val="en-CA"/>
        </w:rPr>
        <w:t xml:space="preserve">sending </w:t>
      </w:r>
      <w:r w:rsidR="00184608" w:rsidRPr="006834CE">
        <w:rPr>
          <w:lang w:val="en-CA"/>
        </w:rPr>
        <w:t>text messages. However</w:t>
      </w:r>
      <w:r w:rsidR="00FB13F9" w:rsidRPr="006834CE">
        <w:rPr>
          <w:lang w:val="en-CA"/>
        </w:rPr>
        <w:t xml:space="preserve">, feature phones </w:t>
      </w:r>
      <w:r w:rsidR="00184608" w:rsidRPr="006834CE">
        <w:rPr>
          <w:lang w:val="en-CA"/>
        </w:rPr>
        <w:t xml:space="preserve">were </w:t>
      </w:r>
      <w:r w:rsidR="00FB13F9" w:rsidRPr="006834CE">
        <w:rPr>
          <w:lang w:val="en-CA"/>
        </w:rPr>
        <w:t>gradually los</w:t>
      </w:r>
      <w:r w:rsidR="00184608" w:rsidRPr="006834CE">
        <w:rPr>
          <w:lang w:val="en-CA"/>
        </w:rPr>
        <w:t>ing all</w:t>
      </w:r>
      <w:r w:rsidR="00FB13F9" w:rsidRPr="006834CE">
        <w:rPr>
          <w:lang w:val="en-CA"/>
        </w:rPr>
        <w:t xml:space="preserve"> market </w:t>
      </w:r>
      <w:r w:rsidR="00184608" w:rsidRPr="006834CE">
        <w:rPr>
          <w:lang w:val="en-CA"/>
        </w:rPr>
        <w:t xml:space="preserve">share </w:t>
      </w:r>
      <w:r w:rsidR="00FB13F9" w:rsidRPr="006834CE">
        <w:rPr>
          <w:lang w:val="en-CA"/>
        </w:rPr>
        <w:t xml:space="preserve">to </w:t>
      </w:r>
      <w:r w:rsidR="00184608" w:rsidRPr="006834CE">
        <w:rPr>
          <w:lang w:val="en-CA"/>
        </w:rPr>
        <w:t xml:space="preserve">the higher-functionality </w:t>
      </w:r>
      <w:r w:rsidR="00FB13F9" w:rsidRPr="006834CE">
        <w:rPr>
          <w:lang w:val="en-CA"/>
        </w:rPr>
        <w:t>smart</w:t>
      </w:r>
      <w:r w:rsidR="00184608" w:rsidRPr="006834CE">
        <w:rPr>
          <w:lang w:val="en-CA"/>
        </w:rPr>
        <w:t xml:space="preserve"> </w:t>
      </w:r>
      <w:r w:rsidR="00FB13F9" w:rsidRPr="006834CE">
        <w:rPr>
          <w:lang w:val="en-CA"/>
        </w:rPr>
        <w:t>phones (</w:t>
      </w:r>
      <w:r w:rsidR="00184608" w:rsidRPr="006834CE">
        <w:rPr>
          <w:lang w:val="en-CA"/>
        </w:rPr>
        <w:t xml:space="preserve">see </w:t>
      </w:r>
      <w:r w:rsidR="00FB13F9" w:rsidRPr="006834CE">
        <w:rPr>
          <w:lang w:val="en-CA"/>
        </w:rPr>
        <w:t>Exhibit</w:t>
      </w:r>
      <w:r w:rsidR="00294DF5" w:rsidRPr="006834CE">
        <w:rPr>
          <w:lang w:val="en-CA"/>
        </w:rPr>
        <w:t xml:space="preserve"> 3</w:t>
      </w:r>
      <w:r w:rsidR="00FB13F9" w:rsidRPr="006834CE">
        <w:rPr>
          <w:lang w:val="en-CA"/>
        </w:rPr>
        <w:t xml:space="preserve">). </w:t>
      </w:r>
      <w:r w:rsidR="00C77B56" w:rsidRPr="006834CE">
        <w:rPr>
          <w:lang w:val="en-CA"/>
        </w:rPr>
        <w:t>Both the a</w:t>
      </w:r>
      <w:r w:rsidR="00FB13F9" w:rsidRPr="006834CE">
        <w:rPr>
          <w:lang w:val="en-CA"/>
        </w:rPr>
        <w:t xml:space="preserve">nnual units sold and revenues for feature phones </w:t>
      </w:r>
      <w:r w:rsidR="00184608" w:rsidRPr="006834CE">
        <w:rPr>
          <w:lang w:val="en-CA"/>
        </w:rPr>
        <w:t>had dropped</w:t>
      </w:r>
      <w:r w:rsidR="00FB13F9" w:rsidRPr="006834CE">
        <w:rPr>
          <w:lang w:val="en-CA"/>
        </w:rPr>
        <w:t xml:space="preserve"> consistently between 2015</w:t>
      </w:r>
      <w:r w:rsidR="00184608" w:rsidRPr="006834CE">
        <w:rPr>
          <w:lang w:val="en-CA"/>
        </w:rPr>
        <w:t xml:space="preserve">, when </w:t>
      </w:r>
      <w:r w:rsidR="008536F7" w:rsidRPr="006834CE">
        <w:rPr>
          <w:lang w:val="en-CA"/>
        </w:rPr>
        <w:t>feature phone sales outnumbered smart phone sales by well over 20 million units,</w:t>
      </w:r>
      <w:r w:rsidR="00FB13F9" w:rsidRPr="006834CE">
        <w:rPr>
          <w:lang w:val="en-CA"/>
        </w:rPr>
        <w:t xml:space="preserve"> and 2019</w:t>
      </w:r>
      <w:r w:rsidR="008536F7" w:rsidRPr="006834CE">
        <w:rPr>
          <w:lang w:val="en-CA"/>
        </w:rPr>
        <w:t>, when the opposite was true</w:t>
      </w:r>
      <w:r w:rsidR="00FB13F9" w:rsidRPr="006834CE">
        <w:rPr>
          <w:lang w:val="en-CA"/>
        </w:rPr>
        <w:t xml:space="preserve"> (</w:t>
      </w:r>
      <w:r w:rsidR="0073751A" w:rsidRPr="006834CE">
        <w:rPr>
          <w:lang w:val="en-CA"/>
        </w:rPr>
        <w:t xml:space="preserve">see </w:t>
      </w:r>
      <w:r w:rsidR="00FB13F9" w:rsidRPr="006834CE">
        <w:rPr>
          <w:lang w:val="en-CA"/>
        </w:rPr>
        <w:t>Exhibit</w:t>
      </w:r>
      <w:r w:rsidR="0073751A" w:rsidRPr="006834CE">
        <w:rPr>
          <w:lang w:val="en-CA"/>
        </w:rPr>
        <w:t>s</w:t>
      </w:r>
      <w:r w:rsidR="00294DF5" w:rsidRPr="006834CE">
        <w:rPr>
          <w:lang w:val="en-CA"/>
        </w:rPr>
        <w:t xml:space="preserve"> 3 </w:t>
      </w:r>
      <w:r w:rsidR="0073751A" w:rsidRPr="006834CE">
        <w:rPr>
          <w:lang w:val="en-CA"/>
        </w:rPr>
        <w:t>and</w:t>
      </w:r>
      <w:r w:rsidR="00FB13F9" w:rsidRPr="006834CE">
        <w:rPr>
          <w:lang w:val="en-CA"/>
        </w:rPr>
        <w:t xml:space="preserve"> </w:t>
      </w:r>
      <w:r w:rsidR="00294DF5" w:rsidRPr="006834CE">
        <w:rPr>
          <w:lang w:val="en-CA"/>
        </w:rPr>
        <w:t>4</w:t>
      </w:r>
      <w:r w:rsidR="00FB13F9" w:rsidRPr="006834CE">
        <w:rPr>
          <w:lang w:val="en-CA"/>
        </w:rPr>
        <w:t xml:space="preserve">). </w:t>
      </w:r>
    </w:p>
    <w:p w14:paraId="6C6809D3" w14:textId="77777777" w:rsidR="00A43A1F" w:rsidRPr="006834CE" w:rsidRDefault="00A43A1F" w:rsidP="00FB13F9">
      <w:pPr>
        <w:pStyle w:val="BodyTextMain"/>
        <w:rPr>
          <w:lang w:val="en-CA"/>
        </w:rPr>
      </w:pPr>
    </w:p>
    <w:p w14:paraId="1339EE06" w14:textId="14F61C76" w:rsidR="00FB13F9" w:rsidRPr="006834CE" w:rsidRDefault="0073751A" w:rsidP="00FB13F9">
      <w:pPr>
        <w:pStyle w:val="BodyTextMain"/>
        <w:rPr>
          <w:lang w:val="en-CA"/>
        </w:rPr>
      </w:pPr>
      <w:r w:rsidRPr="006834CE">
        <w:rPr>
          <w:lang w:val="en-CA"/>
        </w:rPr>
        <w:t xml:space="preserve">During the first quarter of 2020, </w:t>
      </w:r>
      <w:r w:rsidR="00C77B56" w:rsidRPr="006834CE">
        <w:rPr>
          <w:lang w:val="en-CA"/>
        </w:rPr>
        <w:t>iT</w:t>
      </w:r>
      <w:r w:rsidR="00FB13F9" w:rsidRPr="006834CE">
        <w:rPr>
          <w:lang w:val="en-CA"/>
        </w:rPr>
        <w:t>el was the largest feature</w:t>
      </w:r>
      <w:r w:rsidRPr="006834CE">
        <w:rPr>
          <w:lang w:val="en-CA"/>
        </w:rPr>
        <w:t xml:space="preserve"> </w:t>
      </w:r>
      <w:r w:rsidR="00FB13F9" w:rsidRPr="006834CE">
        <w:rPr>
          <w:lang w:val="en-CA"/>
        </w:rPr>
        <w:t>phone brand in India, with a 22</w:t>
      </w:r>
      <w:r w:rsidRPr="006834CE">
        <w:rPr>
          <w:lang w:val="en-CA"/>
        </w:rPr>
        <w:t xml:space="preserve"> per cent</w:t>
      </w:r>
      <w:r w:rsidR="00FB13F9" w:rsidRPr="006834CE">
        <w:rPr>
          <w:lang w:val="en-CA"/>
        </w:rPr>
        <w:t xml:space="preserve"> market share, followed by Lava (15</w:t>
      </w:r>
      <w:r w:rsidRPr="006834CE">
        <w:rPr>
          <w:lang w:val="en-CA"/>
        </w:rPr>
        <w:t xml:space="preserve"> per cent</w:t>
      </w:r>
      <w:r w:rsidR="00FB13F9" w:rsidRPr="006834CE">
        <w:rPr>
          <w:lang w:val="en-CA"/>
        </w:rPr>
        <w:t>) and Samsung (15</w:t>
      </w:r>
      <w:r w:rsidRPr="006834CE">
        <w:rPr>
          <w:lang w:val="en-CA"/>
        </w:rPr>
        <w:t xml:space="preserve"> per cent</w:t>
      </w:r>
      <w:r w:rsidR="00FB13F9" w:rsidRPr="006834CE">
        <w:rPr>
          <w:lang w:val="en-CA"/>
        </w:rPr>
        <w:t xml:space="preserve">). Other notable market </w:t>
      </w:r>
      <w:r w:rsidR="00A43A1F" w:rsidRPr="006834CE">
        <w:rPr>
          <w:lang w:val="en-CA"/>
        </w:rPr>
        <w:t xml:space="preserve">leaders </w:t>
      </w:r>
      <w:r w:rsidR="00FB13F9" w:rsidRPr="006834CE">
        <w:rPr>
          <w:lang w:val="en-CA"/>
        </w:rPr>
        <w:t>were Nokia and Micromax.</w:t>
      </w:r>
      <w:r w:rsidR="00FB13F9" w:rsidRPr="006834CE">
        <w:rPr>
          <w:rStyle w:val="EndnoteReference"/>
          <w:lang w:val="en-CA"/>
        </w:rPr>
        <w:endnoteReference w:id="13"/>
      </w:r>
      <w:r w:rsidR="00FB13F9" w:rsidRPr="006834CE">
        <w:rPr>
          <w:lang w:val="en-CA"/>
        </w:rPr>
        <w:t xml:space="preserve"> Chinese brands dominated the Indian smart</w:t>
      </w:r>
      <w:r w:rsidR="00CE148E" w:rsidRPr="006834CE">
        <w:rPr>
          <w:lang w:val="en-CA"/>
        </w:rPr>
        <w:t xml:space="preserve"> </w:t>
      </w:r>
      <w:r w:rsidR="00FB13F9" w:rsidRPr="006834CE">
        <w:rPr>
          <w:lang w:val="en-CA"/>
        </w:rPr>
        <w:t xml:space="preserve">phone market. Xiaomi was the largest selling brand in the </w:t>
      </w:r>
      <w:r w:rsidR="00CE148E" w:rsidRPr="006834CE">
        <w:rPr>
          <w:lang w:val="en-CA"/>
        </w:rPr>
        <w:t xml:space="preserve">pricing category </w:t>
      </w:r>
      <w:r w:rsidR="00FB13F9" w:rsidRPr="006834CE">
        <w:rPr>
          <w:lang w:val="en-CA"/>
        </w:rPr>
        <w:t xml:space="preserve">under </w:t>
      </w:r>
      <w:r w:rsidR="00CE148E" w:rsidRPr="006834CE">
        <w:rPr>
          <w:lang w:val="en-CA"/>
        </w:rPr>
        <w:t>₹</w:t>
      </w:r>
      <w:r w:rsidR="00FB13F9" w:rsidRPr="006834CE">
        <w:rPr>
          <w:lang w:val="en-CA"/>
        </w:rPr>
        <w:t>30,000,</w:t>
      </w:r>
      <w:r w:rsidR="00CE148E" w:rsidRPr="006834CE">
        <w:rPr>
          <w:rStyle w:val="EndnoteReference"/>
          <w:lang w:val="en-CA"/>
        </w:rPr>
        <w:endnoteReference w:id="14"/>
      </w:r>
      <w:r w:rsidR="00FB13F9" w:rsidRPr="006834CE">
        <w:rPr>
          <w:lang w:val="en-CA"/>
        </w:rPr>
        <w:t xml:space="preserve"> and OnePlus was the leader in the premium category</w:t>
      </w:r>
      <w:r w:rsidR="00CE148E" w:rsidRPr="006834CE">
        <w:rPr>
          <w:lang w:val="en-CA"/>
        </w:rPr>
        <w:t>,</w:t>
      </w:r>
      <w:r w:rsidR="00FB13F9" w:rsidRPr="006834CE">
        <w:rPr>
          <w:lang w:val="en-CA"/>
        </w:rPr>
        <w:t xml:space="preserve"> priced above </w:t>
      </w:r>
      <w:r w:rsidR="00CE148E" w:rsidRPr="006834CE">
        <w:rPr>
          <w:lang w:val="en-CA"/>
        </w:rPr>
        <w:t>₹</w:t>
      </w:r>
      <w:r w:rsidR="00FB13F9" w:rsidRPr="006834CE">
        <w:rPr>
          <w:lang w:val="en-CA"/>
        </w:rPr>
        <w:t>30,000. Overall, Xiaomi was the largest selling smart</w:t>
      </w:r>
      <w:r w:rsidR="00CE148E" w:rsidRPr="006834CE">
        <w:rPr>
          <w:lang w:val="en-CA"/>
        </w:rPr>
        <w:t xml:space="preserve"> </w:t>
      </w:r>
      <w:r w:rsidR="00FB13F9" w:rsidRPr="006834CE">
        <w:rPr>
          <w:lang w:val="en-CA"/>
        </w:rPr>
        <w:t>phone brand.</w:t>
      </w:r>
      <w:r w:rsidR="00FB13F9" w:rsidRPr="006834CE">
        <w:rPr>
          <w:rStyle w:val="EndnoteReference"/>
          <w:lang w:val="en-CA"/>
        </w:rPr>
        <w:endnoteReference w:id="15"/>
      </w:r>
    </w:p>
    <w:p w14:paraId="608B6955" w14:textId="77777777" w:rsidR="00FB13F9" w:rsidRPr="006834CE" w:rsidRDefault="00FB13F9" w:rsidP="00FB13F9">
      <w:pPr>
        <w:pStyle w:val="BodyTextMain"/>
        <w:rPr>
          <w:lang w:val="en-CA"/>
        </w:rPr>
      </w:pPr>
    </w:p>
    <w:p w14:paraId="306D1653" w14:textId="0EA38424" w:rsidR="00FB13F9" w:rsidRPr="006834CE" w:rsidRDefault="00FB13F9" w:rsidP="00FB13F9">
      <w:pPr>
        <w:pStyle w:val="BodyTextMain"/>
        <w:rPr>
          <w:lang w:val="en-CA"/>
        </w:rPr>
      </w:pPr>
      <w:r w:rsidRPr="006834CE">
        <w:rPr>
          <w:lang w:val="en-CA"/>
        </w:rPr>
        <w:t xml:space="preserve">The industry was highly consolidated, with the top </w:t>
      </w:r>
      <w:r w:rsidR="00D7457B" w:rsidRPr="006834CE">
        <w:rPr>
          <w:lang w:val="en-CA"/>
        </w:rPr>
        <w:t>five</w:t>
      </w:r>
      <w:r w:rsidRPr="006834CE">
        <w:rPr>
          <w:lang w:val="en-CA"/>
        </w:rPr>
        <w:t xml:space="preserve"> brands c</w:t>
      </w:r>
      <w:r w:rsidR="00D7457B" w:rsidRPr="006834CE">
        <w:rPr>
          <w:lang w:val="en-CA"/>
        </w:rPr>
        <w:t>ontroll</w:t>
      </w:r>
      <w:r w:rsidRPr="006834CE">
        <w:rPr>
          <w:lang w:val="en-CA"/>
        </w:rPr>
        <w:t>ing 89</w:t>
      </w:r>
      <w:r w:rsidR="00D7457B" w:rsidRPr="006834CE">
        <w:rPr>
          <w:lang w:val="en-CA"/>
        </w:rPr>
        <w:t xml:space="preserve"> per cent</w:t>
      </w:r>
      <w:r w:rsidRPr="006834CE">
        <w:rPr>
          <w:lang w:val="en-CA"/>
        </w:rPr>
        <w:t xml:space="preserve"> of the market. Of these five</w:t>
      </w:r>
      <w:r w:rsidR="00D7457B" w:rsidRPr="006834CE">
        <w:rPr>
          <w:lang w:val="en-CA"/>
        </w:rPr>
        <w:t xml:space="preserve"> brands</w:t>
      </w:r>
      <w:r w:rsidRPr="006834CE">
        <w:rPr>
          <w:lang w:val="en-CA"/>
        </w:rPr>
        <w:t xml:space="preserve">, four were Chinese, collectively </w:t>
      </w:r>
      <w:r w:rsidR="00D7457B" w:rsidRPr="006834CE">
        <w:rPr>
          <w:lang w:val="en-CA"/>
        </w:rPr>
        <w:t>hold</w:t>
      </w:r>
      <w:r w:rsidRPr="006834CE">
        <w:rPr>
          <w:lang w:val="en-CA"/>
        </w:rPr>
        <w:t>ing a market share of 73</w:t>
      </w:r>
      <w:r w:rsidR="00D7457B" w:rsidRPr="006834CE">
        <w:rPr>
          <w:lang w:val="en-CA"/>
        </w:rPr>
        <w:t xml:space="preserve"> per cent</w:t>
      </w:r>
      <w:r w:rsidRPr="006834CE">
        <w:rPr>
          <w:lang w:val="en-CA"/>
        </w:rPr>
        <w:t xml:space="preserve"> (</w:t>
      </w:r>
      <w:r w:rsidR="00D7457B" w:rsidRPr="006834CE">
        <w:rPr>
          <w:lang w:val="en-CA"/>
        </w:rPr>
        <w:t xml:space="preserve">see </w:t>
      </w:r>
      <w:r w:rsidRPr="006834CE">
        <w:rPr>
          <w:lang w:val="en-CA"/>
        </w:rPr>
        <w:t>Exhibit</w:t>
      </w:r>
      <w:r w:rsidR="00294DF5" w:rsidRPr="006834CE">
        <w:rPr>
          <w:lang w:val="en-CA"/>
        </w:rPr>
        <w:t xml:space="preserve"> 5</w:t>
      </w:r>
      <w:r w:rsidRPr="006834CE">
        <w:rPr>
          <w:lang w:val="en-CA"/>
        </w:rPr>
        <w:t>). Even in the premium segment, Chinese manufacturer OnePlus</w:t>
      </w:r>
      <w:r w:rsidR="00D7457B" w:rsidRPr="006834CE">
        <w:rPr>
          <w:lang w:val="en-CA"/>
        </w:rPr>
        <w:t>,</w:t>
      </w:r>
      <w:r w:rsidRPr="006834CE">
        <w:rPr>
          <w:lang w:val="en-CA"/>
        </w:rPr>
        <w:t xml:space="preserve"> with a market share of 30</w:t>
      </w:r>
      <w:r w:rsidR="00D7457B" w:rsidRPr="006834CE">
        <w:rPr>
          <w:lang w:val="en-CA"/>
        </w:rPr>
        <w:t xml:space="preserve"> per cent</w:t>
      </w:r>
      <w:r w:rsidRPr="006834CE">
        <w:rPr>
          <w:lang w:val="en-CA"/>
        </w:rPr>
        <w:t xml:space="preserve">, was ahead of </w:t>
      </w:r>
      <w:r w:rsidR="00D7457B" w:rsidRPr="006834CE">
        <w:rPr>
          <w:lang w:val="en-CA"/>
        </w:rPr>
        <w:t>giant</w:t>
      </w:r>
      <w:r w:rsidRPr="006834CE">
        <w:rPr>
          <w:lang w:val="en-CA"/>
        </w:rPr>
        <w:t xml:space="preserve"> global brands </w:t>
      </w:r>
      <w:r w:rsidR="00D7457B" w:rsidRPr="006834CE">
        <w:rPr>
          <w:lang w:val="en-CA"/>
        </w:rPr>
        <w:t>such as</w:t>
      </w:r>
      <w:r w:rsidRPr="006834CE">
        <w:rPr>
          <w:lang w:val="en-CA"/>
        </w:rPr>
        <w:t xml:space="preserve"> Apple, which </w:t>
      </w:r>
      <w:r w:rsidR="00D7457B" w:rsidRPr="006834CE">
        <w:rPr>
          <w:lang w:val="en-CA"/>
        </w:rPr>
        <w:t>held</w:t>
      </w:r>
      <w:r w:rsidRPr="006834CE">
        <w:rPr>
          <w:lang w:val="en-CA"/>
        </w:rPr>
        <w:t xml:space="preserve"> 25</w:t>
      </w:r>
      <w:r w:rsidR="00D7457B" w:rsidRPr="006834CE">
        <w:rPr>
          <w:lang w:val="en-CA"/>
        </w:rPr>
        <w:t xml:space="preserve"> per cent of the market</w:t>
      </w:r>
      <w:r w:rsidRPr="006834CE">
        <w:rPr>
          <w:lang w:val="en-CA"/>
        </w:rPr>
        <w:t>.</w:t>
      </w:r>
      <w:r w:rsidRPr="006834CE">
        <w:rPr>
          <w:rStyle w:val="EndnoteReference"/>
          <w:lang w:val="en-CA"/>
        </w:rPr>
        <w:endnoteReference w:id="16"/>
      </w:r>
    </w:p>
    <w:p w14:paraId="69FE3D00" w14:textId="77777777" w:rsidR="00FB13F9" w:rsidRPr="006834CE" w:rsidRDefault="00FB13F9" w:rsidP="00FB13F9">
      <w:pPr>
        <w:pStyle w:val="BodyTextMain"/>
        <w:rPr>
          <w:lang w:val="en-CA"/>
        </w:rPr>
      </w:pPr>
    </w:p>
    <w:p w14:paraId="63FE4631" w14:textId="2A6BC6B9" w:rsidR="00FB13F9" w:rsidRPr="006834CE" w:rsidRDefault="00FB13F9" w:rsidP="00FB13F9">
      <w:pPr>
        <w:pStyle w:val="BodyTextMain"/>
        <w:rPr>
          <w:lang w:val="en-CA"/>
        </w:rPr>
      </w:pPr>
      <w:r w:rsidRPr="006834CE">
        <w:rPr>
          <w:lang w:val="en-CA"/>
        </w:rPr>
        <w:t xml:space="preserve">In 2015, </w:t>
      </w:r>
      <w:r w:rsidR="00EF6C6C" w:rsidRPr="006834CE">
        <w:rPr>
          <w:lang w:val="en-CA"/>
        </w:rPr>
        <w:t>most</w:t>
      </w:r>
      <w:r w:rsidRPr="006834CE">
        <w:rPr>
          <w:lang w:val="en-CA"/>
        </w:rPr>
        <w:t xml:space="preserve"> mobile phones (87.5</w:t>
      </w:r>
      <w:r w:rsidR="00FA7411" w:rsidRPr="006834CE">
        <w:rPr>
          <w:lang w:val="en-CA"/>
        </w:rPr>
        <w:t xml:space="preserve"> per cent</w:t>
      </w:r>
      <w:r w:rsidRPr="006834CE">
        <w:rPr>
          <w:lang w:val="en-CA"/>
        </w:rPr>
        <w:t xml:space="preserve">) were sold </w:t>
      </w:r>
      <w:r w:rsidR="005C52F9" w:rsidRPr="006834CE">
        <w:rPr>
          <w:lang w:val="en-CA"/>
        </w:rPr>
        <w:t>in</w:t>
      </w:r>
      <w:r w:rsidRPr="006834CE">
        <w:rPr>
          <w:lang w:val="en-CA"/>
        </w:rPr>
        <w:t xml:space="preserve"> retail stores. However, the situation changed rapidly with the proliferation of </w:t>
      </w:r>
      <w:r w:rsidR="00EF6C6C" w:rsidRPr="006834CE">
        <w:rPr>
          <w:lang w:val="en-CA"/>
        </w:rPr>
        <w:t>e</w:t>
      </w:r>
      <w:r w:rsidRPr="006834CE">
        <w:rPr>
          <w:lang w:val="en-CA"/>
        </w:rPr>
        <w:t xml:space="preserve">-commerce. By 2019, the percentage of mobile phones sold </w:t>
      </w:r>
      <w:r w:rsidR="005C52F9" w:rsidRPr="006834CE">
        <w:rPr>
          <w:lang w:val="en-CA"/>
        </w:rPr>
        <w:t>in</w:t>
      </w:r>
      <w:r w:rsidRPr="006834CE">
        <w:rPr>
          <w:lang w:val="en-CA"/>
        </w:rPr>
        <w:t xml:space="preserve"> retail stores </w:t>
      </w:r>
      <w:r w:rsidR="005C52F9" w:rsidRPr="006834CE">
        <w:rPr>
          <w:lang w:val="en-CA"/>
        </w:rPr>
        <w:t>had dropped</w:t>
      </w:r>
      <w:r w:rsidRPr="006834CE">
        <w:rPr>
          <w:lang w:val="en-CA"/>
        </w:rPr>
        <w:t xml:space="preserve"> to 66</w:t>
      </w:r>
      <w:r w:rsidR="00FA7411" w:rsidRPr="006834CE">
        <w:rPr>
          <w:lang w:val="en-CA"/>
        </w:rPr>
        <w:t xml:space="preserve"> per cent</w:t>
      </w:r>
      <w:r w:rsidRPr="006834CE">
        <w:rPr>
          <w:lang w:val="en-CA"/>
        </w:rPr>
        <w:t xml:space="preserve">, </w:t>
      </w:r>
      <w:r w:rsidR="005C52F9" w:rsidRPr="006834CE">
        <w:rPr>
          <w:lang w:val="en-CA"/>
        </w:rPr>
        <w:t>with</w:t>
      </w:r>
      <w:r w:rsidRPr="006834CE">
        <w:rPr>
          <w:lang w:val="en-CA"/>
        </w:rPr>
        <w:t xml:space="preserve"> 34</w:t>
      </w:r>
      <w:r w:rsidR="00FA7411" w:rsidRPr="006834CE">
        <w:rPr>
          <w:lang w:val="en-CA"/>
        </w:rPr>
        <w:t xml:space="preserve"> per cent</w:t>
      </w:r>
      <w:r w:rsidRPr="006834CE">
        <w:rPr>
          <w:lang w:val="en-CA"/>
        </w:rPr>
        <w:t xml:space="preserve"> of sale</w:t>
      </w:r>
      <w:r w:rsidR="005C52F9" w:rsidRPr="006834CE">
        <w:rPr>
          <w:lang w:val="en-CA"/>
        </w:rPr>
        <w:t>s occurring</w:t>
      </w:r>
      <w:r w:rsidRPr="006834CE">
        <w:rPr>
          <w:lang w:val="en-CA"/>
        </w:rPr>
        <w:t xml:space="preserve"> online (</w:t>
      </w:r>
      <w:r w:rsidR="005C52F9" w:rsidRPr="006834CE">
        <w:rPr>
          <w:lang w:val="en-CA"/>
        </w:rPr>
        <w:t xml:space="preserve">see </w:t>
      </w:r>
      <w:r w:rsidRPr="006834CE">
        <w:rPr>
          <w:lang w:val="en-CA"/>
        </w:rPr>
        <w:t xml:space="preserve">Exhibit </w:t>
      </w:r>
      <w:r w:rsidR="00294DF5" w:rsidRPr="006834CE">
        <w:rPr>
          <w:lang w:val="en-CA"/>
        </w:rPr>
        <w:t>6</w:t>
      </w:r>
      <w:r w:rsidRPr="006834CE">
        <w:rPr>
          <w:lang w:val="en-CA"/>
        </w:rPr>
        <w:t xml:space="preserve">). Over the years, manufacturing trends for mobile phones also changed. </w:t>
      </w:r>
      <w:r w:rsidR="005C52F9" w:rsidRPr="006834CE">
        <w:rPr>
          <w:lang w:val="en-CA"/>
        </w:rPr>
        <w:t>The</w:t>
      </w:r>
      <w:r w:rsidRPr="006834CE">
        <w:rPr>
          <w:lang w:val="en-CA"/>
        </w:rPr>
        <w:t xml:space="preserve"> </w:t>
      </w:r>
      <w:r w:rsidR="002D6B30" w:rsidRPr="006834CE">
        <w:rPr>
          <w:lang w:val="en-CA"/>
        </w:rPr>
        <w:t>India</w:t>
      </w:r>
      <w:r w:rsidR="005C52F9" w:rsidRPr="006834CE">
        <w:rPr>
          <w:lang w:val="en-CA"/>
        </w:rPr>
        <w:t>n government’</w:t>
      </w:r>
      <w:r w:rsidR="002D6B30" w:rsidRPr="006834CE">
        <w:rPr>
          <w:lang w:val="en-CA"/>
        </w:rPr>
        <w:t xml:space="preserve">s </w:t>
      </w:r>
      <w:r w:rsidR="005C52F9" w:rsidRPr="006834CE">
        <w:rPr>
          <w:lang w:val="en-CA"/>
        </w:rPr>
        <w:t xml:space="preserve">focus on </w:t>
      </w:r>
      <w:r w:rsidRPr="006834CE">
        <w:rPr>
          <w:lang w:val="en-CA"/>
        </w:rPr>
        <w:t xml:space="preserve">domestic manufacturing </w:t>
      </w:r>
      <w:r w:rsidR="005C52F9" w:rsidRPr="006834CE">
        <w:rPr>
          <w:lang w:val="en-CA"/>
        </w:rPr>
        <w:t xml:space="preserve">led to </w:t>
      </w:r>
      <w:r w:rsidRPr="006834CE">
        <w:rPr>
          <w:lang w:val="en-CA"/>
        </w:rPr>
        <w:t xml:space="preserve">a significant increase in mobile </w:t>
      </w:r>
      <w:r w:rsidR="002D6B30" w:rsidRPr="006834CE">
        <w:rPr>
          <w:lang w:val="en-CA"/>
        </w:rPr>
        <w:t>phones</w:t>
      </w:r>
      <w:r w:rsidR="005C52F9" w:rsidRPr="006834CE">
        <w:rPr>
          <w:lang w:val="en-CA"/>
        </w:rPr>
        <w:t xml:space="preserve"> produced in India and fewer</w:t>
      </w:r>
      <w:r w:rsidRPr="006834CE">
        <w:rPr>
          <w:lang w:val="en-CA"/>
        </w:rPr>
        <w:t xml:space="preserve"> import</w:t>
      </w:r>
      <w:r w:rsidR="005C52F9" w:rsidRPr="006834CE">
        <w:rPr>
          <w:lang w:val="en-CA"/>
        </w:rPr>
        <w:t>s</w:t>
      </w:r>
      <w:r w:rsidRPr="006834CE">
        <w:rPr>
          <w:lang w:val="en-CA"/>
        </w:rPr>
        <w:t xml:space="preserve"> of </w:t>
      </w:r>
      <w:r w:rsidR="005C52F9" w:rsidRPr="006834CE">
        <w:rPr>
          <w:lang w:val="en-CA"/>
        </w:rPr>
        <w:t>fu</w:t>
      </w:r>
      <w:r w:rsidRPr="006834CE">
        <w:rPr>
          <w:lang w:val="en-CA"/>
        </w:rPr>
        <w:t>lly assembled phones (</w:t>
      </w:r>
      <w:r w:rsidR="005C52F9" w:rsidRPr="006834CE">
        <w:rPr>
          <w:lang w:val="en-CA"/>
        </w:rPr>
        <w:t xml:space="preserve">see </w:t>
      </w:r>
      <w:r w:rsidRPr="006834CE">
        <w:rPr>
          <w:lang w:val="en-CA"/>
        </w:rPr>
        <w:t xml:space="preserve">Exhibit </w:t>
      </w:r>
      <w:r w:rsidR="00294DF5" w:rsidRPr="006834CE">
        <w:rPr>
          <w:lang w:val="en-CA"/>
        </w:rPr>
        <w:t>7</w:t>
      </w:r>
      <w:r w:rsidRPr="006834CE">
        <w:rPr>
          <w:lang w:val="en-CA"/>
        </w:rPr>
        <w:t xml:space="preserve">). However, domestic manufacturing still depended on </w:t>
      </w:r>
      <w:r w:rsidR="005C52F9" w:rsidRPr="006834CE">
        <w:rPr>
          <w:lang w:val="en-CA"/>
        </w:rPr>
        <w:t xml:space="preserve">the </w:t>
      </w:r>
      <w:r w:rsidRPr="006834CE">
        <w:rPr>
          <w:lang w:val="en-CA"/>
        </w:rPr>
        <w:t>import</w:t>
      </w:r>
      <w:r w:rsidR="005C52F9" w:rsidRPr="006834CE">
        <w:rPr>
          <w:lang w:val="en-CA"/>
        </w:rPr>
        <w:t xml:space="preserve"> of most</w:t>
      </w:r>
      <w:r w:rsidRPr="006834CE">
        <w:rPr>
          <w:lang w:val="en-CA"/>
        </w:rPr>
        <w:t xml:space="preserve"> parts and components, </w:t>
      </w:r>
      <w:r w:rsidR="005C52F9" w:rsidRPr="006834CE">
        <w:rPr>
          <w:lang w:val="en-CA"/>
        </w:rPr>
        <w:t>which inadvertently</w:t>
      </w:r>
      <w:r w:rsidRPr="006834CE">
        <w:rPr>
          <w:lang w:val="en-CA"/>
        </w:rPr>
        <w:t xml:space="preserve"> increased import</w:t>
      </w:r>
      <w:r w:rsidR="005C52F9" w:rsidRPr="006834CE">
        <w:rPr>
          <w:lang w:val="en-CA"/>
        </w:rPr>
        <w:t>s</w:t>
      </w:r>
      <w:r w:rsidRPr="006834CE">
        <w:rPr>
          <w:lang w:val="en-CA"/>
        </w:rPr>
        <w:t xml:space="preserve"> of mobile phone parts (</w:t>
      </w:r>
      <w:r w:rsidR="005C52F9" w:rsidRPr="006834CE">
        <w:rPr>
          <w:lang w:val="en-CA"/>
        </w:rPr>
        <w:t xml:space="preserve">see </w:t>
      </w:r>
      <w:r w:rsidRPr="006834CE">
        <w:rPr>
          <w:lang w:val="en-CA"/>
        </w:rPr>
        <w:t xml:space="preserve">Exhibit </w:t>
      </w:r>
      <w:r w:rsidR="00294DF5" w:rsidRPr="006834CE">
        <w:rPr>
          <w:lang w:val="en-CA"/>
        </w:rPr>
        <w:t>8</w:t>
      </w:r>
      <w:r w:rsidRPr="006834CE">
        <w:rPr>
          <w:lang w:val="en-CA"/>
        </w:rPr>
        <w:t>).</w:t>
      </w:r>
    </w:p>
    <w:p w14:paraId="49D9DD6B" w14:textId="7991B16C" w:rsidR="00FB13F9" w:rsidRPr="006834CE" w:rsidRDefault="00FB13F9" w:rsidP="00FB13F9">
      <w:pPr>
        <w:pStyle w:val="BodyTextMain"/>
        <w:rPr>
          <w:lang w:val="en-CA"/>
        </w:rPr>
      </w:pPr>
    </w:p>
    <w:p w14:paraId="65506AC0" w14:textId="77777777" w:rsidR="00FB13F9" w:rsidRPr="006834CE" w:rsidRDefault="00FB13F9" w:rsidP="00FB13F9">
      <w:pPr>
        <w:pStyle w:val="BodyTextMain"/>
        <w:rPr>
          <w:lang w:val="en-CA"/>
        </w:rPr>
      </w:pPr>
    </w:p>
    <w:p w14:paraId="2CD7B00D" w14:textId="790CB81B" w:rsidR="00FB13F9" w:rsidRPr="006834CE" w:rsidRDefault="00FB13F9" w:rsidP="00FB13F9">
      <w:pPr>
        <w:pStyle w:val="Casehead1"/>
        <w:rPr>
          <w:lang w:val="en-CA"/>
        </w:rPr>
      </w:pPr>
      <w:r w:rsidRPr="006834CE">
        <w:rPr>
          <w:lang w:val="en-CA"/>
        </w:rPr>
        <w:t>Xiaomi India</w:t>
      </w:r>
      <w:r w:rsidR="0084756A" w:rsidRPr="006834CE">
        <w:rPr>
          <w:lang w:val="en-CA"/>
        </w:rPr>
        <w:t xml:space="preserve"> Private Limited</w:t>
      </w:r>
      <w:r w:rsidR="00C77B56" w:rsidRPr="006834CE">
        <w:rPr>
          <w:lang w:val="en-CA"/>
        </w:rPr>
        <w:t xml:space="preserve"> (xiaomi limited)</w:t>
      </w:r>
    </w:p>
    <w:p w14:paraId="6B07ABA4" w14:textId="77777777" w:rsidR="00FB13F9" w:rsidRPr="006834CE" w:rsidRDefault="00FB13F9" w:rsidP="00FB13F9">
      <w:pPr>
        <w:pStyle w:val="BodyTextMain"/>
        <w:rPr>
          <w:lang w:val="en-CA"/>
        </w:rPr>
      </w:pPr>
    </w:p>
    <w:p w14:paraId="6989ABED" w14:textId="00FD4C43" w:rsidR="00FB13F9" w:rsidRPr="006834CE" w:rsidRDefault="00FB13F9" w:rsidP="00FB13F9">
      <w:pPr>
        <w:pStyle w:val="BodyTextMain"/>
        <w:rPr>
          <w:spacing w:val="-2"/>
          <w:kern w:val="22"/>
          <w:lang w:val="en-CA"/>
        </w:rPr>
      </w:pPr>
      <w:r w:rsidRPr="006834CE">
        <w:rPr>
          <w:spacing w:val="-2"/>
          <w:kern w:val="22"/>
          <w:lang w:val="en-CA"/>
        </w:rPr>
        <w:t>Xiaomi</w:t>
      </w:r>
      <w:r w:rsidR="00C3233B" w:rsidRPr="006834CE">
        <w:rPr>
          <w:spacing w:val="-2"/>
          <w:kern w:val="22"/>
          <w:lang w:val="en-CA"/>
        </w:rPr>
        <w:t xml:space="preserve"> </w:t>
      </w:r>
      <w:r w:rsidR="0084756A" w:rsidRPr="006834CE">
        <w:rPr>
          <w:spacing w:val="-2"/>
          <w:kern w:val="22"/>
          <w:lang w:val="en-CA"/>
        </w:rPr>
        <w:t xml:space="preserve">Limited </w:t>
      </w:r>
      <w:r w:rsidRPr="006834CE">
        <w:rPr>
          <w:spacing w:val="-2"/>
          <w:kern w:val="22"/>
          <w:lang w:val="en-CA"/>
        </w:rPr>
        <w:t xml:space="preserve">was incorporated in 2014 in Bangalore as </w:t>
      </w:r>
      <w:r w:rsidR="00254515" w:rsidRPr="006834CE">
        <w:rPr>
          <w:spacing w:val="-2"/>
          <w:kern w:val="22"/>
          <w:lang w:val="en-CA"/>
        </w:rPr>
        <w:t>the Indian</w:t>
      </w:r>
      <w:r w:rsidRPr="006834CE">
        <w:rPr>
          <w:spacing w:val="-2"/>
          <w:kern w:val="22"/>
          <w:lang w:val="en-CA"/>
        </w:rPr>
        <w:t xml:space="preserve"> foreign subsidiary</w:t>
      </w:r>
      <w:r w:rsidR="00254515" w:rsidRPr="006834CE">
        <w:rPr>
          <w:spacing w:val="-2"/>
          <w:kern w:val="22"/>
          <w:lang w:val="en-CA"/>
        </w:rPr>
        <w:t xml:space="preserve"> of Xiaomi Corporation</w:t>
      </w:r>
      <w:r w:rsidRPr="006834CE">
        <w:rPr>
          <w:spacing w:val="-2"/>
          <w:kern w:val="22"/>
          <w:lang w:val="en-CA"/>
        </w:rPr>
        <w:t xml:space="preserve">. </w:t>
      </w:r>
      <w:r w:rsidR="009E68DC" w:rsidRPr="006834CE">
        <w:rPr>
          <w:spacing w:val="-2"/>
          <w:kern w:val="22"/>
          <w:lang w:val="en-CA"/>
        </w:rPr>
        <w:t xml:space="preserve">The company initially sold the highly successful </w:t>
      </w:r>
      <w:r w:rsidRPr="006834CE">
        <w:rPr>
          <w:spacing w:val="-2"/>
          <w:kern w:val="22"/>
          <w:lang w:val="en-CA"/>
        </w:rPr>
        <w:t>Mi 3</w:t>
      </w:r>
      <w:r w:rsidR="002D6B30" w:rsidRPr="006834CE">
        <w:rPr>
          <w:spacing w:val="-2"/>
          <w:kern w:val="22"/>
          <w:lang w:val="en-CA"/>
        </w:rPr>
        <w:t xml:space="preserve"> </w:t>
      </w:r>
      <w:r w:rsidRPr="006834CE">
        <w:rPr>
          <w:spacing w:val="-2"/>
          <w:kern w:val="22"/>
          <w:lang w:val="en-CA"/>
        </w:rPr>
        <w:t>smart</w:t>
      </w:r>
      <w:r w:rsidR="009E68DC" w:rsidRPr="006834CE">
        <w:rPr>
          <w:spacing w:val="-2"/>
          <w:kern w:val="22"/>
          <w:lang w:val="en-CA"/>
        </w:rPr>
        <w:t xml:space="preserve"> </w:t>
      </w:r>
      <w:r w:rsidRPr="006834CE">
        <w:rPr>
          <w:spacing w:val="-2"/>
          <w:kern w:val="22"/>
          <w:lang w:val="en-CA"/>
        </w:rPr>
        <w:t>phone</w:t>
      </w:r>
      <w:r w:rsidR="009E68DC" w:rsidRPr="006834CE">
        <w:rPr>
          <w:spacing w:val="-2"/>
          <w:kern w:val="22"/>
          <w:lang w:val="en-CA"/>
        </w:rPr>
        <w:t xml:space="preserve"> directly through</w:t>
      </w:r>
      <w:r w:rsidRPr="006834CE">
        <w:rPr>
          <w:spacing w:val="-2"/>
          <w:kern w:val="22"/>
          <w:lang w:val="en-CA"/>
        </w:rPr>
        <w:t xml:space="preserve"> online </w:t>
      </w:r>
      <w:r w:rsidR="009E68DC" w:rsidRPr="006834CE">
        <w:rPr>
          <w:spacing w:val="-2"/>
          <w:kern w:val="22"/>
          <w:lang w:val="en-CA"/>
        </w:rPr>
        <w:t>orders. L</w:t>
      </w:r>
      <w:r w:rsidRPr="006834CE">
        <w:rPr>
          <w:spacing w:val="-2"/>
          <w:kern w:val="22"/>
          <w:lang w:val="en-CA"/>
        </w:rPr>
        <w:t>ater</w:t>
      </w:r>
      <w:r w:rsidR="009E68DC" w:rsidRPr="006834CE">
        <w:rPr>
          <w:spacing w:val="-2"/>
          <w:kern w:val="22"/>
          <w:lang w:val="en-CA"/>
        </w:rPr>
        <w:t>, the company</w:t>
      </w:r>
      <w:r w:rsidR="002D6B30" w:rsidRPr="006834CE">
        <w:rPr>
          <w:spacing w:val="-2"/>
          <w:kern w:val="22"/>
          <w:lang w:val="en-CA"/>
        </w:rPr>
        <w:t xml:space="preserve"> </w:t>
      </w:r>
      <w:r w:rsidRPr="006834CE">
        <w:rPr>
          <w:spacing w:val="-2"/>
          <w:kern w:val="22"/>
          <w:lang w:val="en-CA"/>
        </w:rPr>
        <w:t xml:space="preserve">partnered with </w:t>
      </w:r>
      <w:r w:rsidR="009E68DC" w:rsidRPr="006834CE">
        <w:rPr>
          <w:spacing w:val="-2"/>
          <w:kern w:val="22"/>
          <w:lang w:val="en-CA"/>
        </w:rPr>
        <w:t>the</w:t>
      </w:r>
      <w:r w:rsidRPr="006834CE">
        <w:rPr>
          <w:spacing w:val="-2"/>
          <w:kern w:val="22"/>
          <w:lang w:val="en-CA"/>
        </w:rPr>
        <w:t xml:space="preserve"> Indian mobile phone retailer The Mobile </w:t>
      </w:r>
      <w:r w:rsidR="002D6B30" w:rsidRPr="006834CE">
        <w:rPr>
          <w:spacing w:val="-2"/>
          <w:kern w:val="22"/>
          <w:lang w:val="en-CA"/>
        </w:rPr>
        <w:t xml:space="preserve">Shop </w:t>
      </w:r>
      <w:r w:rsidR="009E68DC" w:rsidRPr="006834CE">
        <w:rPr>
          <w:spacing w:val="-2"/>
          <w:kern w:val="22"/>
          <w:lang w:val="en-CA"/>
        </w:rPr>
        <w:t>for the</w:t>
      </w:r>
      <w:r w:rsidRPr="006834CE">
        <w:rPr>
          <w:spacing w:val="-2"/>
          <w:kern w:val="22"/>
          <w:lang w:val="en-CA"/>
        </w:rPr>
        <w:t xml:space="preserve"> distribut</w:t>
      </w:r>
      <w:r w:rsidR="009E68DC" w:rsidRPr="006834CE">
        <w:rPr>
          <w:spacing w:val="-2"/>
          <w:kern w:val="22"/>
          <w:lang w:val="en-CA"/>
        </w:rPr>
        <w:t>ion of</w:t>
      </w:r>
      <w:r w:rsidRPr="006834CE">
        <w:rPr>
          <w:spacing w:val="-2"/>
          <w:kern w:val="22"/>
          <w:lang w:val="en-CA"/>
        </w:rPr>
        <w:t xml:space="preserve"> its smart</w:t>
      </w:r>
      <w:r w:rsidR="001521AF" w:rsidRPr="006834CE">
        <w:rPr>
          <w:spacing w:val="-2"/>
          <w:kern w:val="22"/>
          <w:lang w:val="en-CA"/>
        </w:rPr>
        <w:t xml:space="preserve"> </w:t>
      </w:r>
      <w:r w:rsidRPr="006834CE">
        <w:rPr>
          <w:spacing w:val="-2"/>
          <w:kern w:val="22"/>
          <w:lang w:val="en-CA"/>
        </w:rPr>
        <w:t xml:space="preserve">phones. In August 2015, </w:t>
      </w:r>
      <w:r w:rsidR="002D6B30" w:rsidRPr="006834CE">
        <w:rPr>
          <w:spacing w:val="-2"/>
          <w:kern w:val="22"/>
          <w:lang w:val="en-CA"/>
        </w:rPr>
        <w:t xml:space="preserve">Xiaomi </w:t>
      </w:r>
      <w:r w:rsidR="00E245D6" w:rsidRPr="006834CE">
        <w:rPr>
          <w:spacing w:val="-2"/>
          <w:kern w:val="22"/>
          <w:lang w:val="en-CA"/>
        </w:rPr>
        <w:t>India</w:t>
      </w:r>
      <w:r w:rsidR="004B4308" w:rsidRPr="006834CE">
        <w:rPr>
          <w:spacing w:val="-2"/>
          <w:kern w:val="22"/>
          <w:lang w:val="en-CA"/>
        </w:rPr>
        <w:t xml:space="preserve"> </w:t>
      </w:r>
      <w:r w:rsidR="005D2720" w:rsidRPr="006834CE">
        <w:rPr>
          <w:spacing w:val="-2"/>
          <w:kern w:val="22"/>
          <w:lang w:val="en-CA"/>
        </w:rPr>
        <w:t>started</w:t>
      </w:r>
      <w:r w:rsidR="002D6B30" w:rsidRPr="006834CE">
        <w:rPr>
          <w:spacing w:val="-2"/>
          <w:kern w:val="22"/>
          <w:lang w:val="en-CA"/>
        </w:rPr>
        <w:t xml:space="preserve"> manufacturing</w:t>
      </w:r>
      <w:r w:rsidR="00030E52" w:rsidRPr="006834CE">
        <w:rPr>
          <w:spacing w:val="-2"/>
          <w:kern w:val="22"/>
          <w:lang w:val="en-CA"/>
        </w:rPr>
        <w:t xml:space="preserve"> </w:t>
      </w:r>
      <w:r w:rsidR="005D2720" w:rsidRPr="006834CE">
        <w:rPr>
          <w:spacing w:val="-2"/>
          <w:kern w:val="22"/>
          <w:lang w:val="en-CA"/>
        </w:rPr>
        <w:t xml:space="preserve">phones </w:t>
      </w:r>
      <w:r w:rsidR="00E245D6" w:rsidRPr="006834CE">
        <w:rPr>
          <w:spacing w:val="-2"/>
          <w:kern w:val="22"/>
          <w:lang w:val="en-CA"/>
        </w:rPr>
        <w:t xml:space="preserve">locally </w:t>
      </w:r>
      <w:r w:rsidR="005D2720" w:rsidRPr="006834CE">
        <w:rPr>
          <w:spacing w:val="-2"/>
          <w:kern w:val="22"/>
          <w:lang w:val="en-CA"/>
        </w:rPr>
        <w:t>through</w:t>
      </w:r>
      <w:r w:rsidR="00030E52" w:rsidRPr="006834CE">
        <w:rPr>
          <w:spacing w:val="-2"/>
          <w:kern w:val="22"/>
          <w:lang w:val="en-CA"/>
        </w:rPr>
        <w:t xml:space="preserve"> the Taiwanese company Foxconn</w:t>
      </w:r>
      <w:r w:rsidR="004B4308" w:rsidRPr="006834CE">
        <w:rPr>
          <w:spacing w:val="-2"/>
          <w:kern w:val="22"/>
          <w:lang w:val="en-CA"/>
        </w:rPr>
        <w:t xml:space="preserve">, </w:t>
      </w:r>
      <w:r w:rsidR="00E245D6" w:rsidRPr="006834CE">
        <w:rPr>
          <w:spacing w:val="-2"/>
          <w:kern w:val="22"/>
          <w:lang w:val="en-CA"/>
        </w:rPr>
        <w:t xml:space="preserve">located </w:t>
      </w:r>
      <w:r w:rsidR="004B4308" w:rsidRPr="006834CE">
        <w:rPr>
          <w:spacing w:val="-2"/>
          <w:kern w:val="22"/>
          <w:lang w:val="en-CA"/>
        </w:rPr>
        <w:t>in</w:t>
      </w:r>
      <w:r w:rsidR="00030E52" w:rsidRPr="006834CE">
        <w:rPr>
          <w:spacing w:val="-2"/>
          <w:kern w:val="22"/>
          <w:lang w:val="en-CA"/>
        </w:rPr>
        <w:t xml:space="preserve"> </w:t>
      </w:r>
      <w:r w:rsidRPr="006834CE">
        <w:rPr>
          <w:spacing w:val="-2"/>
          <w:kern w:val="22"/>
          <w:lang w:val="en-CA"/>
        </w:rPr>
        <w:t>Sri City</w:t>
      </w:r>
      <w:r w:rsidR="004B4308" w:rsidRPr="006834CE">
        <w:rPr>
          <w:spacing w:val="-2"/>
          <w:kern w:val="22"/>
          <w:lang w:val="en-CA"/>
        </w:rPr>
        <w:t>,</w:t>
      </w:r>
      <w:r w:rsidRPr="006834CE">
        <w:rPr>
          <w:spacing w:val="-2"/>
          <w:kern w:val="22"/>
          <w:lang w:val="en-CA"/>
        </w:rPr>
        <w:t xml:space="preserve"> Andhra Pradesh</w:t>
      </w:r>
      <w:r w:rsidR="00030E52" w:rsidRPr="006834CE">
        <w:rPr>
          <w:spacing w:val="-2"/>
          <w:kern w:val="22"/>
          <w:lang w:val="en-CA"/>
        </w:rPr>
        <w:t xml:space="preserve">. </w:t>
      </w:r>
      <w:r w:rsidR="004B4308" w:rsidRPr="006834CE">
        <w:rPr>
          <w:spacing w:val="-2"/>
          <w:kern w:val="22"/>
          <w:lang w:val="en-CA"/>
        </w:rPr>
        <w:t>This became</w:t>
      </w:r>
      <w:r w:rsidRPr="006834CE">
        <w:rPr>
          <w:spacing w:val="-2"/>
          <w:kern w:val="22"/>
          <w:lang w:val="en-CA"/>
        </w:rPr>
        <w:t xml:space="preserve"> </w:t>
      </w:r>
      <w:r w:rsidR="002D6B30" w:rsidRPr="006834CE">
        <w:rPr>
          <w:spacing w:val="-2"/>
          <w:kern w:val="22"/>
          <w:lang w:val="en-CA"/>
        </w:rPr>
        <w:t>Xiaomi</w:t>
      </w:r>
      <w:r w:rsidR="004B4308" w:rsidRPr="006834CE">
        <w:rPr>
          <w:spacing w:val="-2"/>
          <w:kern w:val="22"/>
          <w:lang w:val="en-CA"/>
        </w:rPr>
        <w:t xml:space="preserve"> Corporation’</w:t>
      </w:r>
      <w:r w:rsidR="002D6B30" w:rsidRPr="006834CE">
        <w:rPr>
          <w:spacing w:val="-2"/>
          <w:kern w:val="22"/>
          <w:lang w:val="en-CA"/>
        </w:rPr>
        <w:t xml:space="preserve">s </w:t>
      </w:r>
      <w:r w:rsidRPr="006834CE">
        <w:rPr>
          <w:spacing w:val="-2"/>
          <w:kern w:val="22"/>
          <w:lang w:val="en-CA"/>
        </w:rPr>
        <w:t>second international manufacturing plant</w:t>
      </w:r>
      <w:r w:rsidR="004B4308" w:rsidRPr="006834CE">
        <w:rPr>
          <w:spacing w:val="-2"/>
          <w:kern w:val="22"/>
          <w:lang w:val="en-CA"/>
        </w:rPr>
        <w:t>,</w:t>
      </w:r>
      <w:r w:rsidRPr="006834CE">
        <w:rPr>
          <w:spacing w:val="-2"/>
          <w:kern w:val="22"/>
          <w:lang w:val="en-CA"/>
        </w:rPr>
        <w:t xml:space="preserve"> </w:t>
      </w:r>
      <w:r w:rsidR="004B4308" w:rsidRPr="006834CE">
        <w:rPr>
          <w:spacing w:val="-2"/>
          <w:kern w:val="22"/>
          <w:lang w:val="en-CA"/>
        </w:rPr>
        <w:t>in addition to its</w:t>
      </w:r>
      <w:r w:rsidRPr="006834CE">
        <w:rPr>
          <w:spacing w:val="-2"/>
          <w:kern w:val="22"/>
          <w:lang w:val="en-CA"/>
        </w:rPr>
        <w:t xml:space="preserve"> Brazil</w:t>
      </w:r>
      <w:r w:rsidR="004B4308" w:rsidRPr="006834CE">
        <w:rPr>
          <w:spacing w:val="-2"/>
          <w:kern w:val="22"/>
          <w:lang w:val="en-CA"/>
        </w:rPr>
        <w:t xml:space="preserve"> location</w:t>
      </w:r>
      <w:r w:rsidRPr="006834CE">
        <w:rPr>
          <w:spacing w:val="-2"/>
          <w:kern w:val="22"/>
          <w:lang w:val="en-CA"/>
        </w:rPr>
        <w:t>. In May 2017, the first Mi Home Store</w:t>
      </w:r>
      <w:r w:rsidR="004B4308" w:rsidRPr="006834CE">
        <w:rPr>
          <w:spacing w:val="-2"/>
          <w:kern w:val="22"/>
          <w:lang w:val="en-CA"/>
        </w:rPr>
        <w:t xml:space="preserve"> was opened. The</w:t>
      </w:r>
      <w:r w:rsidRPr="006834CE">
        <w:rPr>
          <w:spacing w:val="-2"/>
          <w:kern w:val="22"/>
          <w:lang w:val="en-CA"/>
        </w:rPr>
        <w:t xml:space="preserve"> company</w:t>
      </w:r>
      <w:r w:rsidR="004B4308" w:rsidRPr="006834CE">
        <w:rPr>
          <w:spacing w:val="-2"/>
          <w:kern w:val="22"/>
          <w:lang w:val="en-CA"/>
        </w:rPr>
        <w:t>-</w:t>
      </w:r>
      <w:r w:rsidRPr="006834CE">
        <w:rPr>
          <w:spacing w:val="-2"/>
          <w:kern w:val="22"/>
          <w:lang w:val="en-CA"/>
        </w:rPr>
        <w:t xml:space="preserve">owned </w:t>
      </w:r>
      <w:r w:rsidR="004B4308" w:rsidRPr="006834CE">
        <w:rPr>
          <w:spacing w:val="-2"/>
          <w:kern w:val="22"/>
          <w:lang w:val="en-CA"/>
        </w:rPr>
        <w:t>traditional retail outlet located</w:t>
      </w:r>
      <w:r w:rsidRPr="006834CE">
        <w:rPr>
          <w:spacing w:val="-2"/>
          <w:kern w:val="22"/>
          <w:lang w:val="en-CA"/>
        </w:rPr>
        <w:t xml:space="preserve"> </w:t>
      </w:r>
      <w:r w:rsidR="008D24E7" w:rsidRPr="006834CE">
        <w:rPr>
          <w:spacing w:val="-2"/>
          <w:kern w:val="22"/>
          <w:lang w:val="en-CA"/>
        </w:rPr>
        <w:t xml:space="preserve">in India </w:t>
      </w:r>
      <w:r w:rsidRPr="006834CE">
        <w:rPr>
          <w:spacing w:val="-2"/>
          <w:kern w:val="22"/>
          <w:lang w:val="en-CA"/>
        </w:rPr>
        <w:t>display</w:t>
      </w:r>
      <w:r w:rsidR="004B4308" w:rsidRPr="006834CE">
        <w:rPr>
          <w:spacing w:val="-2"/>
          <w:kern w:val="22"/>
          <w:lang w:val="en-CA"/>
        </w:rPr>
        <w:t>ed</w:t>
      </w:r>
      <w:r w:rsidRPr="006834CE">
        <w:rPr>
          <w:spacing w:val="-2"/>
          <w:kern w:val="22"/>
          <w:lang w:val="en-CA"/>
        </w:rPr>
        <w:t xml:space="preserve"> and s</w:t>
      </w:r>
      <w:r w:rsidR="004B4308" w:rsidRPr="006834CE">
        <w:rPr>
          <w:spacing w:val="-2"/>
          <w:kern w:val="22"/>
          <w:lang w:val="en-CA"/>
        </w:rPr>
        <w:t>o</w:t>
      </w:r>
      <w:r w:rsidRPr="006834CE">
        <w:rPr>
          <w:spacing w:val="-2"/>
          <w:kern w:val="22"/>
          <w:lang w:val="en-CA"/>
        </w:rPr>
        <w:t>l</w:t>
      </w:r>
      <w:r w:rsidR="004B4308" w:rsidRPr="006834CE">
        <w:rPr>
          <w:spacing w:val="-2"/>
          <w:kern w:val="22"/>
          <w:lang w:val="en-CA"/>
        </w:rPr>
        <w:t>d</w:t>
      </w:r>
      <w:r w:rsidRPr="006834CE">
        <w:rPr>
          <w:spacing w:val="-2"/>
          <w:kern w:val="22"/>
          <w:lang w:val="en-CA"/>
        </w:rPr>
        <w:t xml:space="preserve"> the complete range of Xiaomi smart</w:t>
      </w:r>
      <w:r w:rsidR="004B4308" w:rsidRPr="006834CE">
        <w:rPr>
          <w:spacing w:val="-2"/>
          <w:kern w:val="22"/>
          <w:lang w:val="en-CA"/>
        </w:rPr>
        <w:t xml:space="preserve"> </w:t>
      </w:r>
      <w:r w:rsidRPr="006834CE">
        <w:rPr>
          <w:spacing w:val="-2"/>
          <w:kern w:val="22"/>
          <w:lang w:val="en-CA"/>
        </w:rPr>
        <w:t xml:space="preserve">phones. </w:t>
      </w:r>
      <w:r w:rsidR="004B4308" w:rsidRPr="006834CE">
        <w:rPr>
          <w:spacing w:val="-2"/>
          <w:kern w:val="22"/>
          <w:lang w:val="en-CA"/>
        </w:rPr>
        <w:t>I</w:t>
      </w:r>
      <w:r w:rsidR="009D3D5A" w:rsidRPr="006834CE">
        <w:rPr>
          <w:spacing w:val="-2"/>
          <w:kern w:val="22"/>
          <w:lang w:val="en-CA"/>
        </w:rPr>
        <w:t xml:space="preserve">n China, online </w:t>
      </w:r>
      <w:r w:rsidR="004B4308" w:rsidRPr="006834CE">
        <w:rPr>
          <w:spacing w:val="-2"/>
          <w:kern w:val="22"/>
          <w:lang w:val="en-CA"/>
        </w:rPr>
        <w:t>sales had helped</w:t>
      </w:r>
      <w:r w:rsidR="002D6B30" w:rsidRPr="006834CE">
        <w:rPr>
          <w:spacing w:val="-2"/>
          <w:kern w:val="22"/>
          <w:lang w:val="en-CA"/>
        </w:rPr>
        <w:t xml:space="preserve"> </w:t>
      </w:r>
      <w:r w:rsidR="009D3D5A" w:rsidRPr="006834CE">
        <w:rPr>
          <w:spacing w:val="-2"/>
          <w:kern w:val="22"/>
          <w:lang w:val="en-CA"/>
        </w:rPr>
        <w:t xml:space="preserve">the </w:t>
      </w:r>
      <w:r w:rsidR="004B4308" w:rsidRPr="006834CE">
        <w:rPr>
          <w:spacing w:val="-2"/>
          <w:kern w:val="22"/>
          <w:lang w:val="en-CA"/>
        </w:rPr>
        <w:t>brand achieve early success</w:t>
      </w:r>
      <w:r w:rsidR="008A173E" w:rsidRPr="006834CE">
        <w:rPr>
          <w:spacing w:val="-2"/>
          <w:kern w:val="22"/>
          <w:lang w:val="en-CA"/>
        </w:rPr>
        <w:t>,</w:t>
      </w:r>
      <w:r w:rsidR="009D3D5A" w:rsidRPr="006834CE">
        <w:rPr>
          <w:spacing w:val="-2"/>
          <w:kern w:val="22"/>
          <w:lang w:val="en-CA"/>
        </w:rPr>
        <w:t xml:space="preserve"> </w:t>
      </w:r>
      <w:r w:rsidR="004B4308" w:rsidRPr="006834CE">
        <w:rPr>
          <w:spacing w:val="-2"/>
          <w:kern w:val="22"/>
          <w:lang w:val="en-CA"/>
        </w:rPr>
        <w:t xml:space="preserve">but </w:t>
      </w:r>
      <w:r w:rsidR="009D3D5A" w:rsidRPr="006834CE">
        <w:rPr>
          <w:spacing w:val="-2"/>
          <w:kern w:val="22"/>
          <w:lang w:val="en-CA"/>
        </w:rPr>
        <w:t>physical store</w:t>
      </w:r>
      <w:r w:rsidR="004B4308" w:rsidRPr="006834CE">
        <w:rPr>
          <w:spacing w:val="-2"/>
          <w:kern w:val="22"/>
          <w:lang w:val="en-CA"/>
        </w:rPr>
        <w:t>s i</w:t>
      </w:r>
      <w:r w:rsidR="008A173E" w:rsidRPr="006834CE">
        <w:rPr>
          <w:spacing w:val="-2"/>
          <w:kern w:val="22"/>
          <w:lang w:val="en-CA"/>
        </w:rPr>
        <w:t xml:space="preserve">n India </w:t>
      </w:r>
      <w:r w:rsidR="004B4308" w:rsidRPr="006834CE">
        <w:rPr>
          <w:spacing w:val="-2"/>
          <w:kern w:val="22"/>
          <w:lang w:val="en-CA"/>
        </w:rPr>
        <w:t xml:space="preserve">were </w:t>
      </w:r>
      <w:r w:rsidRPr="006834CE">
        <w:rPr>
          <w:spacing w:val="-2"/>
          <w:kern w:val="22"/>
          <w:lang w:val="en-CA"/>
        </w:rPr>
        <w:t>le</w:t>
      </w:r>
      <w:r w:rsidR="004B4308" w:rsidRPr="006834CE">
        <w:rPr>
          <w:spacing w:val="-2"/>
          <w:kern w:val="22"/>
          <w:lang w:val="en-CA"/>
        </w:rPr>
        <w:t>a</w:t>
      </w:r>
      <w:r w:rsidRPr="006834CE">
        <w:rPr>
          <w:spacing w:val="-2"/>
          <w:kern w:val="22"/>
          <w:lang w:val="en-CA"/>
        </w:rPr>
        <w:t>d</w:t>
      </w:r>
      <w:r w:rsidR="004B4308" w:rsidRPr="006834CE">
        <w:rPr>
          <w:spacing w:val="-2"/>
          <w:kern w:val="22"/>
          <w:lang w:val="en-CA"/>
        </w:rPr>
        <w:t>ing</w:t>
      </w:r>
      <w:r w:rsidRPr="006834CE">
        <w:rPr>
          <w:spacing w:val="-2"/>
          <w:kern w:val="22"/>
          <w:lang w:val="en-CA"/>
        </w:rPr>
        <w:t xml:space="preserve"> to rapid growth </w:t>
      </w:r>
      <w:r w:rsidR="004B4308" w:rsidRPr="006834CE">
        <w:rPr>
          <w:spacing w:val="-2"/>
          <w:kern w:val="22"/>
          <w:lang w:val="en-CA"/>
        </w:rPr>
        <w:t>of</w:t>
      </w:r>
      <w:r w:rsidRPr="006834CE">
        <w:rPr>
          <w:spacing w:val="-2"/>
          <w:kern w:val="22"/>
          <w:lang w:val="en-CA"/>
        </w:rPr>
        <w:t xml:space="preserve"> the </w:t>
      </w:r>
      <w:r w:rsidR="004B4308" w:rsidRPr="006834CE">
        <w:rPr>
          <w:spacing w:val="-2"/>
          <w:kern w:val="22"/>
          <w:lang w:val="en-CA"/>
        </w:rPr>
        <w:t xml:space="preserve">overall </w:t>
      </w:r>
      <w:r w:rsidR="002D6B30" w:rsidRPr="006834CE">
        <w:rPr>
          <w:spacing w:val="-2"/>
          <w:kern w:val="22"/>
          <w:lang w:val="en-CA"/>
        </w:rPr>
        <w:t>company</w:t>
      </w:r>
      <w:r w:rsidR="004B4308" w:rsidRPr="006834CE">
        <w:rPr>
          <w:spacing w:val="-2"/>
          <w:kern w:val="22"/>
          <w:lang w:val="en-CA"/>
        </w:rPr>
        <w:t>’</w:t>
      </w:r>
      <w:r w:rsidR="002D6B30" w:rsidRPr="006834CE">
        <w:rPr>
          <w:spacing w:val="-2"/>
          <w:kern w:val="22"/>
          <w:lang w:val="en-CA"/>
        </w:rPr>
        <w:t xml:space="preserve">s </w:t>
      </w:r>
      <w:r w:rsidRPr="006834CE">
        <w:rPr>
          <w:spacing w:val="-2"/>
          <w:kern w:val="22"/>
          <w:lang w:val="en-CA"/>
        </w:rPr>
        <w:t xml:space="preserve">business. In January 2018, research firms Canalys and Counterpoint Research reported that Xiaomi </w:t>
      </w:r>
      <w:r w:rsidR="00E245D6" w:rsidRPr="006834CE">
        <w:rPr>
          <w:spacing w:val="-2"/>
          <w:kern w:val="22"/>
          <w:lang w:val="en-CA"/>
        </w:rPr>
        <w:t>India</w:t>
      </w:r>
      <w:r w:rsidR="004B4308" w:rsidRPr="006834CE">
        <w:rPr>
          <w:spacing w:val="-2"/>
          <w:kern w:val="22"/>
          <w:lang w:val="en-CA"/>
        </w:rPr>
        <w:t xml:space="preserve"> had surpassed</w:t>
      </w:r>
      <w:r w:rsidRPr="006834CE">
        <w:rPr>
          <w:spacing w:val="-2"/>
          <w:kern w:val="22"/>
          <w:lang w:val="en-CA"/>
        </w:rPr>
        <w:t xml:space="preserve"> Samsung</w:t>
      </w:r>
      <w:r w:rsidR="004B4308" w:rsidRPr="006834CE">
        <w:rPr>
          <w:spacing w:val="-2"/>
          <w:kern w:val="22"/>
          <w:lang w:val="en-CA"/>
        </w:rPr>
        <w:t>,</w:t>
      </w:r>
      <w:r w:rsidRPr="006834CE">
        <w:rPr>
          <w:spacing w:val="-2"/>
          <w:kern w:val="22"/>
          <w:lang w:val="en-CA"/>
        </w:rPr>
        <w:t xml:space="preserve"> capturing 25</w:t>
      </w:r>
      <w:r w:rsidR="00FA7411" w:rsidRPr="006834CE">
        <w:rPr>
          <w:spacing w:val="-2"/>
          <w:kern w:val="22"/>
          <w:lang w:val="en-CA"/>
        </w:rPr>
        <w:t xml:space="preserve"> per cent</w:t>
      </w:r>
      <w:r w:rsidRPr="006834CE">
        <w:rPr>
          <w:spacing w:val="-2"/>
          <w:kern w:val="22"/>
          <w:lang w:val="en-CA"/>
        </w:rPr>
        <w:t xml:space="preserve"> of the Indian smart</w:t>
      </w:r>
      <w:r w:rsidR="004B4308" w:rsidRPr="006834CE">
        <w:rPr>
          <w:spacing w:val="-2"/>
          <w:kern w:val="22"/>
          <w:lang w:val="en-CA"/>
        </w:rPr>
        <w:t xml:space="preserve"> </w:t>
      </w:r>
      <w:r w:rsidRPr="006834CE">
        <w:rPr>
          <w:spacing w:val="-2"/>
          <w:kern w:val="22"/>
          <w:lang w:val="en-CA"/>
        </w:rPr>
        <w:t>phone market. The same month</w:t>
      </w:r>
      <w:r w:rsidR="004B4308" w:rsidRPr="006834CE">
        <w:rPr>
          <w:spacing w:val="-2"/>
          <w:kern w:val="22"/>
          <w:lang w:val="en-CA"/>
        </w:rPr>
        <w:t>, Xiaomi</w:t>
      </w:r>
      <w:r w:rsidR="00E245D6" w:rsidRPr="006834CE">
        <w:rPr>
          <w:spacing w:val="-2"/>
          <w:kern w:val="22"/>
          <w:lang w:val="en-CA"/>
        </w:rPr>
        <w:t xml:space="preserve"> India</w:t>
      </w:r>
      <w:r w:rsidRPr="006834CE">
        <w:rPr>
          <w:spacing w:val="-2"/>
          <w:kern w:val="22"/>
          <w:lang w:val="en-CA"/>
        </w:rPr>
        <w:t xml:space="preserve"> launched its </w:t>
      </w:r>
      <w:r w:rsidR="004B4308" w:rsidRPr="006834CE">
        <w:rPr>
          <w:spacing w:val="-2"/>
          <w:kern w:val="22"/>
          <w:lang w:val="en-CA"/>
        </w:rPr>
        <w:t>lowest priced</w:t>
      </w:r>
      <w:r w:rsidRPr="006834CE">
        <w:rPr>
          <w:spacing w:val="-2"/>
          <w:kern w:val="22"/>
          <w:lang w:val="en-CA"/>
        </w:rPr>
        <w:t xml:space="preserve"> smart</w:t>
      </w:r>
      <w:r w:rsidR="004B4308" w:rsidRPr="006834CE">
        <w:rPr>
          <w:spacing w:val="-2"/>
          <w:kern w:val="22"/>
          <w:lang w:val="en-CA"/>
        </w:rPr>
        <w:t xml:space="preserve"> </w:t>
      </w:r>
      <w:r w:rsidRPr="006834CE">
        <w:rPr>
          <w:spacing w:val="-2"/>
          <w:kern w:val="22"/>
          <w:lang w:val="en-CA"/>
        </w:rPr>
        <w:t xml:space="preserve">phone, </w:t>
      </w:r>
      <w:r w:rsidR="004B4308" w:rsidRPr="006834CE">
        <w:rPr>
          <w:spacing w:val="-2"/>
          <w:kern w:val="22"/>
          <w:lang w:val="en-CA"/>
        </w:rPr>
        <w:t xml:space="preserve">the </w:t>
      </w:r>
      <w:r w:rsidRPr="006834CE">
        <w:rPr>
          <w:spacing w:val="-2"/>
          <w:kern w:val="22"/>
          <w:lang w:val="en-CA"/>
        </w:rPr>
        <w:t xml:space="preserve">Redmi </w:t>
      </w:r>
      <w:r w:rsidR="002D6B30" w:rsidRPr="006834CE">
        <w:rPr>
          <w:spacing w:val="-2"/>
          <w:kern w:val="22"/>
          <w:lang w:val="en-CA"/>
        </w:rPr>
        <w:t>Go</w:t>
      </w:r>
      <w:r w:rsidR="004B4308" w:rsidRPr="006834CE">
        <w:rPr>
          <w:spacing w:val="-2"/>
          <w:kern w:val="22"/>
          <w:lang w:val="en-CA"/>
        </w:rPr>
        <w:t xml:space="preserve">, which </w:t>
      </w:r>
      <w:r w:rsidR="00D73C35" w:rsidRPr="006834CE">
        <w:rPr>
          <w:spacing w:val="-2"/>
          <w:kern w:val="22"/>
          <w:lang w:val="en-CA"/>
        </w:rPr>
        <w:t>was powered by</w:t>
      </w:r>
      <w:r w:rsidR="004B4308" w:rsidRPr="006834CE">
        <w:rPr>
          <w:spacing w:val="-2"/>
          <w:kern w:val="22"/>
          <w:lang w:val="en-CA"/>
        </w:rPr>
        <w:t xml:space="preserve"> Google’s</w:t>
      </w:r>
      <w:r w:rsidRPr="006834CE">
        <w:rPr>
          <w:spacing w:val="-2"/>
          <w:kern w:val="22"/>
          <w:lang w:val="en-CA"/>
        </w:rPr>
        <w:t xml:space="preserve"> Android Go </w:t>
      </w:r>
      <w:r w:rsidR="004B4308" w:rsidRPr="006834CE">
        <w:rPr>
          <w:spacing w:val="-2"/>
          <w:kern w:val="22"/>
          <w:lang w:val="en-CA"/>
        </w:rPr>
        <w:t>operating system</w:t>
      </w:r>
      <w:r w:rsidRPr="006834CE">
        <w:rPr>
          <w:spacing w:val="-2"/>
          <w:kern w:val="22"/>
          <w:lang w:val="en-CA"/>
        </w:rPr>
        <w:t>.</w:t>
      </w:r>
      <w:r w:rsidRPr="006834CE">
        <w:rPr>
          <w:rStyle w:val="EndnoteReference"/>
          <w:spacing w:val="-2"/>
          <w:kern w:val="22"/>
          <w:lang w:val="en-CA"/>
        </w:rPr>
        <w:endnoteReference w:id="17"/>
      </w:r>
      <w:r w:rsidRPr="006834CE">
        <w:rPr>
          <w:spacing w:val="-2"/>
          <w:kern w:val="22"/>
          <w:lang w:val="en-CA"/>
        </w:rPr>
        <w:t xml:space="preserve"> </w:t>
      </w:r>
    </w:p>
    <w:p w14:paraId="680427BB" w14:textId="77777777" w:rsidR="008A173E" w:rsidRPr="006834CE" w:rsidRDefault="008A173E" w:rsidP="00FB13F9">
      <w:pPr>
        <w:pStyle w:val="BodyTextMain"/>
        <w:rPr>
          <w:lang w:val="en-CA"/>
        </w:rPr>
      </w:pPr>
    </w:p>
    <w:p w14:paraId="61958EB1" w14:textId="106366EE" w:rsidR="00FB13F9" w:rsidRPr="006834CE" w:rsidRDefault="00FB13F9" w:rsidP="00FB13F9">
      <w:pPr>
        <w:pStyle w:val="BodyTextMain"/>
        <w:rPr>
          <w:spacing w:val="-4"/>
          <w:lang w:val="en-CA"/>
        </w:rPr>
      </w:pPr>
      <w:r w:rsidRPr="006834CE">
        <w:rPr>
          <w:spacing w:val="-4"/>
          <w:lang w:val="en-CA"/>
        </w:rPr>
        <w:t xml:space="preserve">By September 2019, </w:t>
      </w:r>
      <w:r w:rsidR="008A173E" w:rsidRPr="006834CE">
        <w:rPr>
          <w:spacing w:val="-4"/>
          <w:lang w:val="en-CA"/>
        </w:rPr>
        <w:t>Xiaomi</w:t>
      </w:r>
      <w:r w:rsidR="00E245D6" w:rsidRPr="006834CE">
        <w:rPr>
          <w:spacing w:val="-4"/>
          <w:lang w:val="en-CA"/>
        </w:rPr>
        <w:t xml:space="preserve"> </w:t>
      </w:r>
      <w:r w:rsidR="00FE5457" w:rsidRPr="006834CE">
        <w:rPr>
          <w:spacing w:val="-4"/>
          <w:lang w:val="en-CA"/>
        </w:rPr>
        <w:t>India</w:t>
      </w:r>
      <w:r w:rsidR="008A173E" w:rsidRPr="006834CE">
        <w:rPr>
          <w:spacing w:val="-4"/>
          <w:lang w:val="en-CA"/>
        </w:rPr>
        <w:t xml:space="preserve"> </w:t>
      </w:r>
      <w:r w:rsidRPr="006834CE">
        <w:rPr>
          <w:spacing w:val="-4"/>
          <w:lang w:val="en-CA"/>
        </w:rPr>
        <w:t xml:space="preserve">had sold over 100 million mobile phones in </w:t>
      </w:r>
      <w:r w:rsidR="00FE5457" w:rsidRPr="006834CE">
        <w:rPr>
          <w:spacing w:val="-4"/>
          <w:lang w:val="en-CA"/>
        </w:rPr>
        <w:t>the country</w:t>
      </w:r>
      <w:r w:rsidR="00D73C35" w:rsidRPr="006834CE">
        <w:rPr>
          <w:spacing w:val="-4"/>
          <w:lang w:val="en-CA"/>
        </w:rPr>
        <w:t>.</w:t>
      </w:r>
      <w:r w:rsidRPr="006834CE">
        <w:rPr>
          <w:rStyle w:val="EndnoteReference"/>
          <w:spacing w:val="-4"/>
          <w:lang w:val="en-CA"/>
        </w:rPr>
        <w:endnoteReference w:id="18"/>
      </w:r>
      <w:r w:rsidRPr="006834CE">
        <w:rPr>
          <w:spacing w:val="-4"/>
          <w:lang w:val="en-CA"/>
        </w:rPr>
        <w:t xml:space="preserve"> During </w:t>
      </w:r>
      <w:r w:rsidR="005F31A3" w:rsidRPr="006834CE">
        <w:rPr>
          <w:spacing w:val="-4"/>
          <w:lang w:val="en-CA"/>
        </w:rPr>
        <w:t>FY</w:t>
      </w:r>
      <w:r w:rsidRPr="006834CE">
        <w:rPr>
          <w:spacing w:val="-4"/>
          <w:lang w:val="en-CA"/>
        </w:rPr>
        <w:t xml:space="preserve"> 2018</w:t>
      </w:r>
      <w:r w:rsidR="00D73C35" w:rsidRPr="006834CE">
        <w:rPr>
          <w:spacing w:val="-4"/>
          <w:lang w:val="en-CA"/>
        </w:rPr>
        <w:t>–</w:t>
      </w:r>
      <w:r w:rsidRPr="006834CE">
        <w:rPr>
          <w:spacing w:val="-4"/>
          <w:lang w:val="en-CA"/>
        </w:rPr>
        <w:t>19</w:t>
      </w:r>
      <w:r w:rsidR="00D73C35" w:rsidRPr="006834CE">
        <w:rPr>
          <w:spacing w:val="-4"/>
          <w:lang w:val="en-CA"/>
        </w:rPr>
        <w:t>, the</w:t>
      </w:r>
      <w:r w:rsidRPr="006834CE">
        <w:rPr>
          <w:spacing w:val="-4"/>
          <w:lang w:val="en-CA"/>
        </w:rPr>
        <w:t xml:space="preserve"> company earned revenue</w:t>
      </w:r>
      <w:r w:rsidR="00D73C35" w:rsidRPr="006834CE">
        <w:rPr>
          <w:spacing w:val="-4"/>
          <w:lang w:val="en-CA"/>
        </w:rPr>
        <w:t>s</w:t>
      </w:r>
      <w:r w:rsidRPr="006834CE">
        <w:rPr>
          <w:spacing w:val="-4"/>
          <w:lang w:val="en-CA"/>
        </w:rPr>
        <w:t xml:space="preserve"> of </w:t>
      </w:r>
      <w:r w:rsidR="00D73C35" w:rsidRPr="006834CE">
        <w:rPr>
          <w:spacing w:val="-4"/>
          <w:lang w:val="en-CA"/>
        </w:rPr>
        <w:t>₹</w:t>
      </w:r>
      <w:r w:rsidRPr="006834CE">
        <w:rPr>
          <w:spacing w:val="-4"/>
          <w:lang w:val="en-CA"/>
        </w:rPr>
        <w:t xml:space="preserve">354.269 billion, </w:t>
      </w:r>
      <w:r w:rsidR="00D73C35" w:rsidRPr="006834CE">
        <w:rPr>
          <w:spacing w:val="-4"/>
          <w:lang w:val="en-CA"/>
        </w:rPr>
        <w:t>which indicated a growth of</w:t>
      </w:r>
      <w:r w:rsidRPr="006834CE">
        <w:rPr>
          <w:spacing w:val="-4"/>
          <w:lang w:val="en-CA"/>
        </w:rPr>
        <w:t xml:space="preserve"> 54</w:t>
      </w:r>
      <w:r w:rsidR="00FA7411" w:rsidRPr="006834CE">
        <w:rPr>
          <w:spacing w:val="-4"/>
          <w:lang w:val="en-CA"/>
        </w:rPr>
        <w:t xml:space="preserve"> per cent</w:t>
      </w:r>
      <w:r w:rsidRPr="006834CE">
        <w:rPr>
          <w:spacing w:val="-4"/>
          <w:lang w:val="en-CA"/>
        </w:rPr>
        <w:t xml:space="preserve"> compared to the previous year. However, </w:t>
      </w:r>
      <w:r w:rsidR="00FE5457" w:rsidRPr="006834CE">
        <w:rPr>
          <w:spacing w:val="-4"/>
          <w:lang w:val="en-CA"/>
        </w:rPr>
        <w:t xml:space="preserve">during FY 2018–19, </w:t>
      </w:r>
      <w:r w:rsidRPr="006834CE">
        <w:rPr>
          <w:spacing w:val="-4"/>
          <w:lang w:val="en-CA"/>
        </w:rPr>
        <w:t xml:space="preserve">the company incurred a net loss of </w:t>
      </w:r>
      <w:r w:rsidR="005F31A3" w:rsidRPr="006834CE">
        <w:rPr>
          <w:spacing w:val="-4"/>
          <w:lang w:val="en-CA"/>
        </w:rPr>
        <w:t>₹</w:t>
      </w:r>
      <w:r w:rsidRPr="006834CE">
        <w:rPr>
          <w:spacing w:val="-4"/>
          <w:lang w:val="en-CA"/>
        </w:rPr>
        <w:t>1.48 billion</w:t>
      </w:r>
      <w:r w:rsidR="00D73C35" w:rsidRPr="006834CE">
        <w:rPr>
          <w:spacing w:val="-4"/>
          <w:lang w:val="en-CA"/>
        </w:rPr>
        <w:t>,</w:t>
      </w:r>
      <w:r w:rsidRPr="006834CE">
        <w:rPr>
          <w:spacing w:val="-4"/>
          <w:lang w:val="en-CA"/>
        </w:rPr>
        <w:t xml:space="preserve"> compared to </w:t>
      </w:r>
      <w:r w:rsidR="005F31A3" w:rsidRPr="006834CE">
        <w:rPr>
          <w:spacing w:val="-4"/>
          <w:lang w:val="en-CA"/>
        </w:rPr>
        <w:t>₹</w:t>
      </w:r>
      <w:r w:rsidRPr="006834CE">
        <w:rPr>
          <w:spacing w:val="-4"/>
          <w:lang w:val="en-CA"/>
        </w:rPr>
        <w:t xml:space="preserve">3.016 </w:t>
      </w:r>
      <w:r w:rsidR="002D6B30" w:rsidRPr="006834CE">
        <w:rPr>
          <w:spacing w:val="-4"/>
          <w:lang w:val="en-CA"/>
        </w:rPr>
        <w:t xml:space="preserve">billion </w:t>
      </w:r>
      <w:r w:rsidR="005F31A3" w:rsidRPr="006834CE">
        <w:rPr>
          <w:spacing w:val="-4"/>
          <w:lang w:val="en-CA"/>
        </w:rPr>
        <w:t xml:space="preserve">in </w:t>
      </w:r>
      <w:r w:rsidRPr="006834CE">
        <w:rPr>
          <w:spacing w:val="-4"/>
          <w:lang w:val="en-CA"/>
        </w:rPr>
        <w:t>net profit</w:t>
      </w:r>
      <w:r w:rsidR="00FE5457" w:rsidRPr="006834CE">
        <w:rPr>
          <w:spacing w:val="-4"/>
          <w:lang w:val="en-CA"/>
        </w:rPr>
        <w:t>s</w:t>
      </w:r>
      <w:r w:rsidRPr="006834CE">
        <w:rPr>
          <w:spacing w:val="-4"/>
          <w:lang w:val="en-CA"/>
        </w:rPr>
        <w:t xml:space="preserve"> during </w:t>
      </w:r>
      <w:r w:rsidR="005F31A3" w:rsidRPr="006834CE">
        <w:rPr>
          <w:spacing w:val="-4"/>
          <w:lang w:val="en-CA"/>
        </w:rPr>
        <w:t xml:space="preserve">FY </w:t>
      </w:r>
      <w:r w:rsidRPr="006834CE">
        <w:rPr>
          <w:spacing w:val="-4"/>
          <w:lang w:val="en-CA"/>
        </w:rPr>
        <w:t>2017</w:t>
      </w:r>
      <w:r w:rsidR="005F31A3" w:rsidRPr="006834CE">
        <w:rPr>
          <w:spacing w:val="-4"/>
          <w:lang w:val="en-CA"/>
        </w:rPr>
        <w:t>–</w:t>
      </w:r>
      <w:r w:rsidRPr="006834CE">
        <w:rPr>
          <w:spacing w:val="-4"/>
          <w:lang w:val="en-CA"/>
        </w:rPr>
        <w:t>18. Th</w:t>
      </w:r>
      <w:r w:rsidR="00FE5457" w:rsidRPr="006834CE">
        <w:rPr>
          <w:spacing w:val="-4"/>
          <w:lang w:val="en-CA"/>
        </w:rPr>
        <w:t>e</w:t>
      </w:r>
      <w:r w:rsidRPr="006834CE">
        <w:rPr>
          <w:spacing w:val="-4"/>
          <w:lang w:val="en-CA"/>
        </w:rPr>
        <w:t xml:space="preserve"> loss could be attributed to the </w:t>
      </w:r>
      <w:r w:rsidR="00D73C35" w:rsidRPr="006834CE">
        <w:rPr>
          <w:spacing w:val="-4"/>
          <w:lang w:val="en-CA"/>
        </w:rPr>
        <w:t xml:space="preserve">effects from </w:t>
      </w:r>
      <w:r w:rsidRPr="006834CE">
        <w:rPr>
          <w:spacing w:val="-4"/>
          <w:lang w:val="en-CA"/>
        </w:rPr>
        <w:t>price war</w:t>
      </w:r>
      <w:r w:rsidR="00D73C35" w:rsidRPr="006834CE">
        <w:rPr>
          <w:spacing w:val="-4"/>
          <w:lang w:val="en-CA"/>
        </w:rPr>
        <w:t xml:space="preserve">s </w:t>
      </w:r>
      <w:r w:rsidR="00FE5457" w:rsidRPr="006834CE">
        <w:rPr>
          <w:spacing w:val="-4"/>
          <w:lang w:val="en-CA"/>
        </w:rPr>
        <w:t xml:space="preserve">the company was </w:t>
      </w:r>
      <w:r w:rsidR="00D73C35" w:rsidRPr="006834CE">
        <w:rPr>
          <w:spacing w:val="-4"/>
          <w:lang w:val="en-CA"/>
        </w:rPr>
        <w:t>raging against</w:t>
      </w:r>
      <w:r w:rsidRPr="006834CE">
        <w:rPr>
          <w:spacing w:val="-4"/>
          <w:lang w:val="en-CA"/>
        </w:rPr>
        <w:t xml:space="preserve"> </w:t>
      </w:r>
      <w:r w:rsidR="00FE5457" w:rsidRPr="006834CE">
        <w:rPr>
          <w:spacing w:val="-4"/>
          <w:lang w:val="en-CA"/>
        </w:rPr>
        <w:t xml:space="preserve">its </w:t>
      </w:r>
      <w:r w:rsidRPr="006834CE">
        <w:rPr>
          <w:spacing w:val="-4"/>
          <w:lang w:val="en-CA"/>
        </w:rPr>
        <w:t>competitors</w:t>
      </w:r>
      <w:r w:rsidR="00D73C35" w:rsidRPr="006834CE">
        <w:rPr>
          <w:spacing w:val="-4"/>
          <w:lang w:val="en-CA"/>
        </w:rPr>
        <w:t>, as well as</w:t>
      </w:r>
      <w:r w:rsidRPr="006834CE">
        <w:rPr>
          <w:spacing w:val="-4"/>
          <w:lang w:val="en-CA"/>
        </w:rPr>
        <w:t xml:space="preserve"> investments in brick-and-mortar stores. Despite selling </w:t>
      </w:r>
      <w:r w:rsidRPr="006834CE">
        <w:rPr>
          <w:spacing w:val="-4"/>
          <w:lang w:val="en-CA"/>
        </w:rPr>
        <w:lastRenderedPageBreak/>
        <w:t>the highest number of smart</w:t>
      </w:r>
      <w:r w:rsidR="00D73C35" w:rsidRPr="006834CE">
        <w:rPr>
          <w:spacing w:val="-4"/>
          <w:lang w:val="en-CA"/>
        </w:rPr>
        <w:t xml:space="preserve"> </w:t>
      </w:r>
      <w:r w:rsidRPr="006834CE">
        <w:rPr>
          <w:spacing w:val="-4"/>
          <w:lang w:val="en-CA"/>
        </w:rPr>
        <w:t>phones in India, Xiaomi</w:t>
      </w:r>
      <w:r w:rsidR="00FE5457" w:rsidRPr="006834CE">
        <w:rPr>
          <w:spacing w:val="-4"/>
          <w:lang w:val="en-CA"/>
        </w:rPr>
        <w:t xml:space="preserve"> India</w:t>
      </w:r>
      <w:r w:rsidR="00D73C35" w:rsidRPr="006834CE">
        <w:rPr>
          <w:spacing w:val="-4"/>
          <w:lang w:val="en-CA"/>
        </w:rPr>
        <w:t>’s</w:t>
      </w:r>
      <w:r w:rsidRPr="006834CE">
        <w:rPr>
          <w:spacing w:val="-4"/>
          <w:lang w:val="en-CA"/>
        </w:rPr>
        <w:t xml:space="preserve"> revenues were l</w:t>
      </w:r>
      <w:r w:rsidR="00D73C35" w:rsidRPr="006834CE">
        <w:rPr>
          <w:spacing w:val="-4"/>
          <w:lang w:val="en-CA"/>
        </w:rPr>
        <w:t>ow</w:t>
      </w:r>
      <w:r w:rsidRPr="006834CE">
        <w:rPr>
          <w:spacing w:val="-4"/>
          <w:lang w:val="en-CA"/>
        </w:rPr>
        <w:t>e</w:t>
      </w:r>
      <w:r w:rsidR="00D73C35" w:rsidRPr="006834CE">
        <w:rPr>
          <w:spacing w:val="-4"/>
          <w:lang w:val="en-CA"/>
        </w:rPr>
        <w:t>r</w:t>
      </w:r>
      <w:r w:rsidRPr="006834CE">
        <w:rPr>
          <w:spacing w:val="-4"/>
          <w:lang w:val="en-CA"/>
        </w:rPr>
        <w:t xml:space="preserve"> than Samsung (</w:t>
      </w:r>
      <w:r w:rsidR="005F31A3" w:rsidRPr="006834CE">
        <w:rPr>
          <w:spacing w:val="-4"/>
          <w:lang w:val="en-CA"/>
        </w:rPr>
        <w:t>₹</w:t>
      </w:r>
      <w:r w:rsidRPr="006834CE">
        <w:rPr>
          <w:spacing w:val="-4"/>
          <w:lang w:val="en-CA"/>
        </w:rPr>
        <w:t>430.879 billion) and BBK Electronics Group</w:t>
      </w:r>
      <w:r w:rsidR="00DA0922" w:rsidRPr="006834CE">
        <w:rPr>
          <w:spacing w:val="-4"/>
          <w:lang w:val="en-CA"/>
        </w:rPr>
        <w:t>,</w:t>
      </w:r>
      <w:r w:rsidRPr="006834CE">
        <w:rPr>
          <w:spacing w:val="-4"/>
          <w:lang w:val="en-CA"/>
        </w:rPr>
        <w:t xml:space="preserve"> the makers of </w:t>
      </w:r>
      <w:r w:rsidR="00FE5457" w:rsidRPr="006834CE">
        <w:rPr>
          <w:spacing w:val="-4"/>
          <w:lang w:val="en-CA"/>
        </w:rPr>
        <w:t xml:space="preserve">the smart phones </w:t>
      </w:r>
      <w:r w:rsidRPr="006834CE">
        <w:rPr>
          <w:spacing w:val="-4"/>
          <w:lang w:val="en-CA"/>
        </w:rPr>
        <w:t>Oppo, Vivo, Realme, and OnePlus (</w:t>
      </w:r>
      <w:r w:rsidR="005F31A3" w:rsidRPr="006834CE">
        <w:rPr>
          <w:spacing w:val="-4"/>
          <w:lang w:val="en-CA"/>
        </w:rPr>
        <w:t>₹</w:t>
      </w:r>
      <w:r w:rsidRPr="006834CE">
        <w:rPr>
          <w:spacing w:val="-4"/>
          <w:lang w:val="en-CA"/>
        </w:rPr>
        <w:t>387.26 billion)</w:t>
      </w:r>
      <w:r w:rsidR="00DA0922" w:rsidRPr="006834CE">
        <w:rPr>
          <w:spacing w:val="-4"/>
          <w:lang w:val="en-CA"/>
        </w:rPr>
        <w:t>.</w:t>
      </w:r>
      <w:r w:rsidRPr="006834CE">
        <w:rPr>
          <w:rStyle w:val="EndnoteReference"/>
          <w:spacing w:val="-4"/>
          <w:lang w:val="en-CA"/>
        </w:rPr>
        <w:endnoteReference w:id="19"/>
      </w:r>
      <w:r w:rsidRPr="006834CE">
        <w:rPr>
          <w:spacing w:val="-4"/>
          <w:lang w:val="en-CA"/>
        </w:rPr>
        <w:t xml:space="preserve"> </w:t>
      </w:r>
      <w:r w:rsidR="00DA0922" w:rsidRPr="006834CE">
        <w:rPr>
          <w:spacing w:val="-4"/>
          <w:lang w:val="en-CA"/>
        </w:rPr>
        <w:t>By 2019, when Xiaomi</w:t>
      </w:r>
      <w:r w:rsidR="00FE5457" w:rsidRPr="006834CE">
        <w:rPr>
          <w:spacing w:val="-4"/>
          <w:lang w:val="en-CA"/>
        </w:rPr>
        <w:t xml:space="preserve"> India</w:t>
      </w:r>
      <w:r w:rsidRPr="006834CE">
        <w:rPr>
          <w:spacing w:val="-4"/>
          <w:lang w:val="en-CA"/>
        </w:rPr>
        <w:t xml:space="preserve"> </w:t>
      </w:r>
      <w:r w:rsidR="00DA0922" w:rsidRPr="006834CE">
        <w:rPr>
          <w:spacing w:val="-4"/>
          <w:lang w:val="en-CA"/>
        </w:rPr>
        <w:t>was</w:t>
      </w:r>
      <w:r w:rsidRPr="006834CE">
        <w:rPr>
          <w:spacing w:val="-4"/>
          <w:lang w:val="en-CA"/>
        </w:rPr>
        <w:t xml:space="preserve"> presen</w:t>
      </w:r>
      <w:r w:rsidR="00DA0922" w:rsidRPr="006834CE">
        <w:rPr>
          <w:spacing w:val="-4"/>
          <w:lang w:val="en-CA"/>
        </w:rPr>
        <w:t>t</w:t>
      </w:r>
      <w:r w:rsidRPr="006834CE">
        <w:rPr>
          <w:spacing w:val="-4"/>
          <w:lang w:val="en-CA"/>
        </w:rPr>
        <w:t xml:space="preserve"> in 790 Indian cities </w:t>
      </w:r>
      <w:r w:rsidR="00DA0922" w:rsidRPr="006834CE">
        <w:rPr>
          <w:spacing w:val="-4"/>
          <w:lang w:val="en-CA"/>
        </w:rPr>
        <w:t>with</w:t>
      </w:r>
      <w:r w:rsidRPr="006834CE">
        <w:rPr>
          <w:spacing w:val="-4"/>
          <w:lang w:val="en-CA"/>
        </w:rPr>
        <w:t xml:space="preserve"> more than 2</w:t>
      </w:r>
      <w:r w:rsidR="005F31A3" w:rsidRPr="006834CE">
        <w:rPr>
          <w:spacing w:val="-4"/>
          <w:lang w:val="en-CA"/>
        </w:rPr>
        <w:t>,</w:t>
      </w:r>
      <w:r w:rsidRPr="006834CE">
        <w:rPr>
          <w:spacing w:val="-4"/>
          <w:lang w:val="en-CA"/>
        </w:rPr>
        <w:t>500 Mi stores</w:t>
      </w:r>
      <w:r w:rsidR="00DA0922" w:rsidRPr="006834CE">
        <w:rPr>
          <w:spacing w:val="-4"/>
          <w:lang w:val="en-CA"/>
        </w:rPr>
        <w:t>,</w:t>
      </w:r>
      <w:r w:rsidRPr="006834CE">
        <w:rPr>
          <w:rStyle w:val="EndnoteReference"/>
          <w:spacing w:val="-4"/>
          <w:lang w:val="en-CA"/>
        </w:rPr>
        <w:endnoteReference w:id="20"/>
      </w:r>
      <w:r w:rsidRPr="006834CE">
        <w:rPr>
          <w:spacing w:val="-4"/>
          <w:lang w:val="en-CA"/>
        </w:rPr>
        <w:t xml:space="preserve"> Manu Kumar Jain </w:t>
      </w:r>
      <w:r w:rsidR="00DA0922" w:rsidRPr="006834CE">
        <w:rPr>
          <w:spacing w:val="-4"/>
          <w:lang w:val="en-CA"/>
        </w:rPr>
        <w:t xml:space="preserve">was appointed </w:t>
      </w:r>
      <w:r w:rsidR="00FE5457" w:rsidRPr="006834CE">
        <w:rPr>
          <w:spacing w:val="-4"/>
          <w:lang w:val="en-CA"/>
        </w:rPr>
        <w:t xml:space="preserve">the company’s </w:t>
      </w:r>
      <w:r w:rsidR="00DA0922" w:rsidRPr="006834CE">
        <w:rPr>
          <w:spacing w:val="-4"/>
          <w:lang w:val="en-CA"/>
        </w:rPr>
        <w:t>managing director</w:t>
      </w:r>
      <w:r w:rsidRPr="006834CE">
        <w:rPr>
          <w:spacing w:val="-4"/>
          <w:lang w:val="en-CA"/>
        </w:rPr>
        <w:t>.</w:t>
      </w:r>
      <w:r w:rsidRPr="006834CE">
        <w:rPr>
          <w:rStyle w:val="EndnoteReference"/>
          <w:spacing w:val="-4"/>
          <w:lang w:val="en-CA"/>
        </w:rPr>
        <w:endnoteReference w:id="21"/>
      </w:r>
    </w:p>
    <w:p w14:paraId="0C3D44EF" w14:textId="77777777" w:rsidR="005F31A3" w:rsidRPr="006834CE" w:rsidRDefault="005F31A3" w:rsidP="00FB13F9">
      <w:pPr>
        <w:pStyle w:val="BodyTextMain"/>
        <w:rPr>
          <w:sz w:val="14"/>
          <w:szCs w:val="14"/>
          <w:lang w:val="en-CA"/>
        </w:rPr>
      </w:pPr>
    </w:p>
    <w:p w14:paraId="41901636" w14:textId="507081F7" w:rsidR="00FB13F9" w:rsidRPr="006834CE" w:rsidRDefault="0026195F" w:rsidP="00FB13F9">
      <w:pPr>
        <w:pStyle w:val="BodyTextMain"/>
        <w:rPr>
          <w:lang w:val="en-CA"/>
        </w:rPr>
      </w:pPr>
      <w:r w:rsidRPr="006834CE">
        <w:rPr>
          <w:lang w:val="en-CA"/>
        </w:rPr>
        <w:t>By 2020, Xiaomi</w:t>
      </w:r>
      <w:r w:rsidR="002A23A7" w:rsidRPr="006834CE">
        <w:rPr>
          <w:lang w:val="en-CA"/>
        </w:rPr>
        <w:t xml:space="preserve"> India</w:t>
      </w:r>
      <w:r w:rsidRPr="006834CE">
        <w:rPr>
          <w:lang w:val="en-CA"/>
        </w:rPr>
        <w:t xml:space="preserve"> </w:t>
      </w:r>
      <w:r w:rsidR="00DA0922" w:rsidRPr="006834CE">
        <w:rPr>
          <w:lang w:val="en-CA"/>
        </w:rPr>
        <w:t>was producing</w:t>
      </w:r>
      <w:r w:rsidRPr="006834CE">
        <w:rPr>
          <w:lang w:val="en-CA"/>
        </w:rPr>
        <w:t xml:space="preserve"> 99</w:t>
      </w:r>
      <w:r w:rsidR="00FA7411" w:rsidRPr="006834CE">
        <w:rPr>
          <w:lang w:val="en-CA"/>
        </w:rPr>
        <w:t xml:space="preserve"> per cent</w:t>
      </w:r>
      <w:r w:rsidRPr="006834CE">
        <w:rPr>
          <w:lang w:val="en-CA"/>
        </w:rPr>
        <w:t xml:space="preserve"> of the phones it sold in India at </w:t>
      </w:r>
      <w:r w:rsidR="00FB13F9" w:rsidRPr="006834CE">
        <w:rPr>
          <w:lang w:val="en-CA"/>
        </w:rPr>
        <w:t>two</w:t>
      </w:r>
      <w:r w:rsidR="00DA0922" w:rsidRPr="006834CE">
        <w:rPr>
          <w:lang w:val="en-CA"/>
        </w:rPr>
        <w:t xml:space="preserve"> local</w:t>
      </w:r>
      <w:r w:rsidR="00FB13F9" w:rsidRPr="006834CE">
        <w:rPr>
          <w:lang w:val="en-CA"/>
        </w:rPr>
        <w:t xml:space="preserve"> manufacturing facilities</w:t>
      </w:r>
      <w:r w:rsidR="00DA0922" w:rsidRPr="006834CE">
        <w:rPr>
          <w:lang w:val="en-CA"/>
        </w:rPr>
        <w:t>:</w:t>
      </w:r>
      <w:r w:rsidR="00FB13F9" w:rsidRPr="006834CE">
        <w:rPr>
          <w:lang w:val="en-CA"/>
        </w:rPr>
        <w:t xml:space="preserve"> </w:t>
      </w:r>
      <w:r w:rsidR="00DA0922" w:rsidRPr="006834CE">
        <w:rPr>
          <w:lang w:val="en-CA"/>
        </w:rPr>
        <w:t xml:space="preserve">Sri City </w:t>
      </w:r>
      <w:r w:rsidR="00FB13F9" w:rsidRPr="006834CE">
        <w:rPr>
          <w:lang w:val="en-CA"/>
        </w:rPr>
        <w:t>in Andhra Pradesh and Sriperumbudur in Tamil Nadu. Xiaomi</w:t>
      </w:r>
      <w:r w:rsidR="00FE5457" w:rsidRPr="006834CE">
        <w:rPr>
          <w:lang w:val="en-CA"/>
        </w:rPr>
        <w:t xml:space="preserve"> India</w:t>
      </w:r>
      <w:r w:rsidR="00FB13F9" w:rsidRPr="006834CE">
        <w:rPr>
          <w:lang w:val="en-CA"/>
        </w:rPr>
        <w:t xml:space="preserve"> also exported </w:t>
      </w:r>
      <w:r w:rsidR="00116CB0" w:rsidRPr="006834CE">
        <w:rPr>
          <w:lang w:val="en-CA"/>
        </w:rPr>
        <w:t xml:space="preserve">Indian made </w:t>
      </w:r>
      <w:r w:rsidR="00FB13F9" w:rsidRPr="006834CE">
        <w:rPr>
          <w:lang w:val="en-CA"/>
        </w:rPr>
        <w:t>phones to Bangladesh and Nepal. A</w:t>
      </w:r>
      <w:r w:rsidR="00DD4A54" w:rsidRPr="006834CE">
        <w:rPr>
          <w:lang w:val="en-CA"/>
        </w:rPr>
        <w:t>pp</w:t>
      </w:r>
      <w:r w:rsidR="00FB13F9" w:rsidRPr="006834CE">
        <w:rPr>
          <w:lang w:val="en-CA"/>
        </w:rPr>
        <w:t>ro</w:t>
      </w:r>
      <w:r w:rsidR="00DD4A54" w:rsidRPr="006834CE">
        <w:rPr>
          <w:lang w:val="en-CA"/>
        </w:rPr>
        <w:t>ximately</w:t>
      </w:r>
      <w:r w:rsidR="00FB13F9" w:rsidRPr="006834CE">
        <w:rPr>
          <w:lang w:val="en-CA"/>
        </w:rPr>
        <w:t xml:space="preserve"> 65</w:t>
      </w:r>
      <w:r w:rsidR="00FA7411" w:rsidRPr="006834CE">
        <w:rPr>
          <w:lang w:val="en-CA"/>
        </w:rPr>
        <w:t xml:space="preserve"> per cent</w:t>
      </w:r>
      <w:r w:rsidR="00FB13F9" w:rsidRPr="006834CE">
        <w:rPr>
          <w:lang w:val="en-CA"/>
        </w:rPr>
        <w:t xml:space="preserve"> of the parts and components for these phones w</w:t>
      </w:r>
      <w:r w:rsidR="00B21361" w:rsidRPr="006834CE">
        <w:rPr>
          <w:lang w:val="en-CA"/>
        </w:rPr>
        <w:t>as</w:t>
      </w:r>
      <w:r w:rsidR="00FB13F9" w:rsidRPr="006834CE">
        <w:rPr>
          <w:lang w:val="en-CA"/>
        </w:rPr>
        <w:t xml:space="preserve"> sourced from within India</w:t>
      </w:r>
      <w:r w:rsidR="00DD4A54" w:rsidRPr="006834CE">
        <w:rPr>
          <w:lang w:val="en-CA"/>
        </w:rPr>
        <w:t>.</w:t>
      </w:r>
      <w:r w:rsidR="00FB13F9" w:rsidRPr="006834CE">
        <w:rPr>
          <w:rStyle w:val="EndnoteReference"/>
          <w:lang w:val="en-CA"/>
        </w:rPr>
        <w:endnoteReference w:id="22"/>
      </w:r>
      <w:r w:rsidR="00FB13F9" w:rsidRPr="006834CE">
        <w:rPr>
          <w:lang w:val="en-CA"/>
        </w:rPr>
        <w:t xml:space="preserve"> </w:t>
      </w:r>
    </w:p>
    <w:p w14:paraId="1232047E" w14:textId="1B14E16F" w:rsidR="00FB13F9" w:rsidRPr="006834CE" w:rsidRDefault="00FB13F9" w:rsidP="00FB13F9">
      <w:pPr>
        <w:pStyle w:val="BodyTextMain"/>
        <w:rPr>
          <w:sz w:val="14"/>
          <w:szCs w:val="14"/>
          <w:lang w:val="en-CA"/>
        </w:rPr>
      </w:pPr>
    </w:p>
    <w:p w14:paraId="0B191055" w14:textId="77777777" w:rsidR="00FB13F9" w:rsidRPr="006834CE" w:rsidRDefault="00FB13F9" w:rsidP="00FB13F9">
      <w:pPr>
        <w:pStyle w:val="BodyTextMain"/>
        <w:rPr>
          <w:sz w:val="14"/>
          <w:szCs w:val="14"/>
          <w:lang w:val="en-CA"/>
        </w:rPr>
      </w:pPr>
    </w:p>
    <w:p w14:paraId="4FB0DD66" w14:textId="794386A6" w:rsidR="00FB13F9" w:rsidRPr="006834CE" w:rsidRDefault="00FB13F9" w:rsidP="00FB13F9">
      <w:pPr>
        <w:pStyle w:val="Casehead1"/>
        <w:rPr>
          <w:lang w:val="en-CA"/>
        </w:rPr>
      </w:pPr>
      <w:r w:rsidRPr="006834CE">
        <w:rPr>
          <w:lang w:val="en-CA"/>
        </w:rPr>
        <w:t>India</w:t>
      </w:r>
      <w:r w:rsidR="00DD4A54" w:rsidRPr="006834CE">
        <w:rPr>
          <w:lang w:val="en-CA"/>
        </w:rPr>
        <w:t>–</w:t>
      </w:r>
      <w:r w:rsidRPr="006834CE">
        <w:rPr>
          <w:lang w:val="en-CA"/>
        </w:rPr>
        <w:t>China Border Dispute</w:t>
      </w:r>
    </w:p>
    <w:p w14:paraId="57ADB340" w14:textId="77777777" w:rsidR="00FB13F9" w:rsidRPr="006834CE" w:rsidRDefault="00FB13F9" w:rsidP="00FB13F9">
      <w:pPr>
        <w:pStyle w:val="BodyTextMain"/>
        <w:rPr>
          <w:sz w:val="14"/>
          <w:szCs w:val="14"/>
          <w:lang w:val="en-CA"/>
        </w:rPr>
      </w:pPr>
    </w:p>
    <w:p w14:paraId="3BB1CEBD" w14:textId="6E5CEE14" w:rsidR="00FB13F9" w:rsidRPr="006834CE" w:rsidRDefault="00FB13F9" w:rsidP="00FB13F9">
      <w:pPr>
        <w:pStyle w:val="BodyTextMain"/>
        <w:rPr>
          <w:spacing w:val="-2"/>
          <w:kern w:val="22"/>
          <w:lang w:val="en-CA"/>
        </w:rPr>
      </w:pPr>
      <w:r w:rsidRPr="006834CE">
        <w:rPr>
          <w:lang w:val="en-CA"/>
        </w:rPr>
        <w:t xml:space="preserve">India and China shared a border </w:t>
      </w:r>
      <w:r w:rsidR="00DD4A54" w:rsidRPr="006834CE">
        <w:rPr>
          <w:lang w:val="en-CA"/>
        </w:rPr>
        <w:t xml:space="preserve">on land that </w:t>
      </w:r>
      <w:r w:rsidRPr="006834CE">
        <w:rPr>
          <w:lang w:val="en-CA"/>
        </w:rPr>
        <w:t>stretch</w:t>
      </w:r>
      <w:r w:rsidR="00DD4A54" w:rsidRPr="006834CE">
        <w:rPr>
          <w:lang w:val="en-CA"/>
        </w:rPr>
        <w:t>ed</w:t>
      </w:r>
      <w:r w:rsidRPr="006834CE">
        <w:rPr>
          <w:lang w:val="en-CA"/>
        </w:rPr>
        <w:t xml:space="preserve"> 4</w:t>
      </w:r>
      <w:r w:rsidR="00DD4A54" w:rsidRPr="006834CE">
        <w:rPr>
          <w:lang w:val="en-CA"/>
        </w:rPr>
        <w:t>,</w:t>
      </w:r>
      <w:r w:rsidRPr="006834CE">
        <w:rPr>
          <w:lang w:val="en-CA"/>
        </w:rPr>
        <w:t xml:space="preserve">000 </w:t>
      </w:r>
      <w:r w:rsidR="002D6B30" w:rsidRPr="006834CE">
        <w:rPr>
          <w:lang w:val="en-CA"/>
        </w:rPr>
        <w:t xml:space="preserve">kilometres </w:t>
      </w:r>
      <w:r w:rsidR="00DD4A54" w:rsidRPr="006834CE">
        <w:rPr>
          <w:lang w:val="en-CA"/>
        </w:rPr>
        <w:t>along</w:t>
      </w:r>
      <w:r w:rsidRPr="006834CE">
        <w:rPr>
          <w:lang w:val="en-CA"/>
        </w:rPr>
        <w:t xml:space="preserve"> the Himalayan mountain range. </w:t>
      </w:r>
      <w:r w:rsidR="00DD4A54" w:rsidRPr="006834CE">
        <w:rPr>
          <w:lang w:val="en-CA"/>
        </w:rPr>
        <w:t>On the Indian part of the border stood the states of</w:t>
      </w:r>
      <w:r w:rsidR="007A1C0C" w:rsidRPr="006834CE">
        <w:rPr>
          <w:lang w:val="en-CA"/>
        </w:rPr>
        <w:t xml:space="preserve"> </w:t>
      </w:r>
      <w:r w:rsidRPr="006834CE">
        <w:rPr>
          <w:lang w:val="en-CA"/>
        </w:rPr>
        <w:t xml:space="preserve">Arunachal Pradesh, Sikkim, Uttarakhand, </w:t>
      </w:r>
      <w:r w:rsidR="00DD4A54" w:rsidRPr="006834CE">
        <w:rPr>
          <w:lang w:val="en-CA"/>
        </w:rPr>
        <w:t xml:space="preserve">and </w:t>
      </w:r>
      <w:r w:rsidRPr="006834CE">
        <w:rPr>
          <w:lang w:val="en-CA"/>
        </w:rPr>
        <w:t>Himachal Pradesh, a</w:t>
      </w:r>
      <w:r w:rsidR="00DD4A54" w:rsidRPr="006834CE">
        <w:rPr>
          <w:lang w:val="en-CA"/>
        </w:rPr>
        <w:t>s well as</w:t>
      </w:r>
      <w:r w:rsidRPr="006834CE">
        <w:rPr>
          <w:lang w:val="en-CA"/>
        </w:rPr>
        <w:t xml:space="preserve"> the Ladakh</w:t>
      </w:r>
      <w:r w:rsidR="00DD4A54" w:rsidRPr="006834CE">
        <w:rPr>
          <w:lang w:val="en-CA"/>
        </w:rPr>
        <w:t xml:space="preserve"> </w:t>
      </w:r>
      <w:r w:rsidR="006C2349" w:rsidRPr="006834CE">
        <w:rPr>
          <w:lang w:val="en-CA"/>
        </w:rPr>
        <w:t>U</w:t>
      </w:r>
      <w:r w:rsidR="00DD4A54" w:rsidRPr="006834CE">
        <w:rPr>
          <w:lang w:val="en-CA"/>
        </w:rPr>
        <w:t xml:space="preserve">nion </w:t>
      </w:r>
      <w:r w:rsidR="006C2349" w:rsidRPr="006834CE">
        <w:rPr>
          <w:lang w:val="en-CA"/>
        </w:rPr>
        <w:t>T</w:t>
      </w:r>
      <w:r w:rsidR="00DD4A54" w:rsidRPr="006834CE">
        <w:rPr>
          <w:lang w:val="en-CA"/>
        </w:rPr>
        <w:t>erritory</w:t>
      </w:r>
      <w:r w:rsidR="006C2349" w:rsidRPr="006834CE">
        <w:rPr>
          <w:lang w:val="en-CA"/>
        </w:rPr>
        <w:t xml:space="preserve"> Front</w:t>
      </w:r>
      <w:r w:rsidR="00DD4A54" w:rsidRPr="006834CE">
        <w:rPr>
          <w:lang w:val="en-CA"/>
        </w:rPr>
        <w:t xml:space="preserve">. On the Chinese side </w:t>
      </w:r>
      <w:r w:rsidR="006C2349" w:rsidRPr="006834CE">
        <w:rPr>
          <w:lang w:val="en-CA"/>
        </w:rPr>
        <w:t>of the</w:t>
      </w:r>
      <w:r w:rsidR="00DD4A54" w:rsidRPr="006834CE">
        <w:rPr>
          <w:lang w:val="en-CA"/>
        </w:rPr>
        <w:t xml:space="preserve"> border</w:t>
      </w:r>
      <w:r w:rsidR="006C2349" w:rsidRPr="006834CE">
        <w:rPr>
          <w:lang w:val="en-CA"/>
        </w:rPr>
        <w:t xml:space="preserve"> </w:t>
      </w:r>
      <w:r w:rsidR="00DD4A54" w:rsidRPr="006834CE">
        <w:rPr>
          <w:lang w:val="en-CA"/>
        </w:rPr>
        <w:t xml:space="preserve">stood </w:t>
      </w:r>
      <w:r w:rsidR="006C2349" w:rsidRPr="006834CE">
        <w:rPr>
          <w:lang w:val="en-CA"/>
        </w:rPr>
        <w:t>the</w:t>
      </w:r>
      <w:r w:rsidR="007A1C0C" w:rsidRPr="006834CE">
        <w:rPr>
          <w:lang w:val="en-CA"/>
        </w:rPr>
        <w:t xml:space="preserve"> </w:t>
      </w:r>
      <w:r w:rsidRPr="006834CE">
        <w:rPr>
          <w:lang w:val="en-CA"/>
        </w:rPr>
        <w:t>Tibet Autonomous Region (T</w:t>
      </w:r>
      <w:r w:rsidR="006C2349" w:rsidRPr="006834CE">
        <w:rPr>
          <w:lang w:val="en-CA"/>
        </w:rPr>
        <w:t>ibet</w:t>
      </w:r>
      <w:r w:rsidRPr="006834CE">
        <w:rPr>
          <w:lang w:val="en-CA"/>
        </w:rPr>
        <w:t xml:space="preserve">) and </w:t>
      </w:r>
      <w:r w:rsidR="006C2349" w:rsidRPr="006834CE">
        <w:rPr>
          <w:lang w:val="en-CA"/>
        </w:rPr>
        <w:t xml:space="preserve">the </w:t>
      </w:r>
      <w:r w:rsidRPr="006834CE">
        <w:rPr>
          <w:lang w:val="en-CA"/>
        </w:rPr>
        <w:t xml:space="preserve">Xinjiang </w:t>
      </w:r>
      <w:r w:rsidR="006C2349" w:rsidRPr="006834CE">
        <w:rPr>
          <w:lang w:val="en-CA"/>
        </w:rPr>
        <w:t>Uyghur Autonomous R</w:t>
      </w:r>
      <w:r w:rsidRPr="006834CE">
        <w:rPr>
          <w:lang w:val="en-CA"/>
        </w:rPr>
        <w:t>egion.</w:t>
      </w:r>
      <w:r w:rsidRPr="006834CE">
        <w:rPr>
          <w:rStyle w:val="EndnoteReference"/>
          <w:lang w:val="en-CA"/>
        </w:rPr>
        <w:endnoteReference w:id="23"/>
      </w:r>
      <w:r w:rsidRPr="006834CE">
        <w:rPr>
          <w:lang w:val="en-CA"/>
        </w:rPr>
        <w:t xml:space="preserve"> Since 1578, Tibet was led by a religious head </w:t>
      </w:r>
      <w:r w:rsidR="006C2349" w:rsidRPr="006834CE">
        <w:rPr>
          <w:lang w:val="en-CA"/>
        </w:rPr>
        <w:t xml:space="preserve">with the </w:t>
      </w:r>
      <w:r w:rsidRPr="006834CE">
        <w:rPr>
          <w:lang w:val="en-CA"/>
        </w:rPr>
        <w:t>title</w:t>
      </w:r>
      <w:r w:rsidR="006C2349" w:rsidRPr="006834CE">
        <w:rPr>
          <w:lang w:val="en-CA"/>
        </w:rPr>
        <w:t xml:space="preserve"> of</w:t>
      </w:r>
      <w:r w:rsidRPr="006834CE">
        <w:rPr>
          <w:lang w:val="en-CA"/>
        </w:rPr>
        <w:t xml:space="preserve"> Dalai Lama.</w:t>
      </w:r>
      <w:r w:rsidR="002D6B30" w:rsidRPr="006834CE">
        <w:rPr>
          <w:lang w:val="en-CA"/>
        </w:rPr>
        <w:t xml:space="preserve"> </w:t>
      </w:r>
      <w:r w:rsidR="006C2349" w:rsidRPr="006834CE">
        <w:rPr>
          <w:lang w:val="en-CA"/>
        </w:rPr>
        <w:t xml:space="preserve">Over time, </w:t>
      </w:r>
      <w:r w:rsidR="00170593" w:rsidRPr="006834CE">
        <w:rPr>
          <w:lang w:val="en-CA"/>
        </w:rPr>
        <w:t xml:space="preserve">China </w:t>
      </w:r>
      <w:r w:rsidR="006C2349" w:rsidRPr="006834CE">
        <w:rPr>
          <w:lang w:val="en-CA"/>
        </w:rPr>
        <w:t xml:space="preserve">increasingly </w:t>
      </w:r>
      <w:r w:rsidR="00170593" w:rsidRPr="006834CE">
        <w:rPr>
          <w:lang w:val="en-CA"/>
        </w:rPr>
        <w:t>exert</w:t>
      </w:r>
      <w:r w:rsidR="006C2349" w:rsidRPr="006834CE">
        <w:rPr>
          <w:lang w:val="en-CA"/>
        </w:rPr>
        <w:t>ed</w:t>
      </w:r>
      <w:r w:rsidR="00170593" w:rsidRPr="006834CE">
        <w:rPr>
          <w:lang w:val="en-CA"/>
        </w:rPr>
        <w:t xml:space="preserve"> political influence over Tibet</w:t>
      </w:r>
      <w:r w:rsidR="00FE5457" w:rsidRPr="006834CE">
        <w:rPr>
          <w:lang w:val="en-CA"/>
        </w:rPr>
        <w:t xml:space="preserve"> and its Dalai Lama</w:t>
      </w:r>
      <w:r w:rsidR="00170593" w:rsidRPr="006834CE">
        <w:rPr>
          <w:lang w:val="en-CA"/>
        </w:rPr>
        <w:t>.</w:t>
      </w:r>
      <w:r w:rsidR="009D2755">
        <w:rPr>
          <w:rStyle w:val="EndnoteReference"/>
          <w:lang w:val="en-CA"/>
        </w:rPr>
        <w:endnoteReference w:id="24"/>
      </w:r>
      <w:r w:rsidRPr="006834CE">
        <w:rPr>
          <w:spacing w:val="-2"/>
          <w:kern w:val="22"/>
          <w:lang w:val="en-CA"/>
        </w:rPr>
        <w:t xml:space="preserve">In 1912, </w:t>
      </w:r>
      <w:r w:rsidR="00170593" w:rsidRPr="006834CE">
        <w:rPr>
          <w:spacing w:val="-2"/>
          <w:kern w:val="22"/>
          <w:lang w:val="en-CA"/>
        </w:rPr>
        <w:t xml:space="preserve">Tibet reaffirmed </w:t>
      </w:r>
      <w:r w:rsidR="0059451F" w:rsidRPr="006834CE">
        <w:rPr>
          <w:spacing w:val="-2"/>
          <w:kern w:val="22"/>
          <w:lang w:val="en-CA"/>
        </w:rPr>
        <w:t>its</w:t>
      </w:r>
      <w:r w:rsidR="00170593" w:rsidRPr="006834CE">
        <w:rPr>
          <w:spacing w:val="-2"/>
          <w:kern w:val="22"/>
          <w:lang w:val="en-CA"/>
        </w:rPr>
        <w:t xml:space="preserve"> independence after </w:t>
      </w:r>
      <w:r w:rsidRPr="006834CE">
        <w:rPr>
          <w:spacing w:val="-2"/>
          <w:kern w:val="22"/>
          <w:lang w:val="en-CA"/>
        </w:rPr>
        <w:t>the Republic of China</w:t>
      </w:r>
      <w:r w:rsidR="0059451F" w:rsidRPr="006834CE">
        <w:rPr>
          <w:spacing w:val="-2"/>
          <w:kern w:val="22"/>
          <w:lang w:val="en-CA"/>
        </w:rPr>
        <w:t xml:space="preserve"> </w:t>
      </w:r>
      <w:r w:rsidR="006C2349" w:rsidRPr="006834CE">
        <w:rPr>
          <w:spacing w:val="-2"/>
          <w:kern w:val="22"/>
          <w:lang w:val="en-CA"/>
        </w:rPr>
        <w:t xml:space="preserve">was proclaimed </w:t>
      </w:r>
      <w:r w:rsidR="0059451F" w:rsidRPr="006834CE">
        <w:rPr>
          <w:spacing w:val="-2"/>
          <w:kern w:val="22"/>
          <w:lang w:val="en-CA"/>
        </w:rPr>
        <w:t xml:space="preserve">under </w:t>
      </w:r>
      <w:r w:rsidR="006C2349" w:rsidRPr="006834CE">
        <w:rPr>
          <w:spacing w:val="-2"/>
          <w:kern w:val="22"/>
          <w:lang w:val="en-CA"/>
        </w:rPr>
        <w:t xml:space="preserve">the leadership of </w:t>
      </w:r>
      <w:r w:rsidR="002D6B30" w:rsidRPr="006834CE">
        <w:rPr>
          <w:spacing w:val="-2"/>
          <w:kern w:val="22"/>
          <w:lang w:val="en-CA"/>
        </w:rPr>
        <w:t>Sun Yat-</w:t>
      </w:r>
      <w:r w:rsidR="001B3332" w:rsidRPr="006834CE">
        <w:rPr>
          <w:spacing w:val="-2"/>
          <w:kern w:val="22"/>
          <w:lang w:val="en-CA"/>
        </w:rPr>
        <w:t>s</w:t>
      </w:r>
      <w:r w:rsidR="002D6B30" w:rsidRPr="006834CE">
        <w:rPr>
          <w:spacing w:val="-2"/>
          <w:kern w:val="22"/>
          <w:lang w:val="en-CA"/>
        </w:rPr>
        <w:t>en</w:t>
      </w:r>
      <w:r w:rsidR="00170593" w:rsidRPr="006834CE">
        <w:rPr>
          <w:spacing w:val="-2"/>
          <w:kern w:val="22"/>
          <w:lang w:val="en-CA"/>
        </w:rPr>
        <w:t xml:space="preserve">. </w:t>
      </w:r>
      <w:r w:rsidR="00636108" w:rsidRPr="006834CE">
        <w:rPr>
          <w:spacing w:val="-2"/>
          <w:kern w:val="22"/>
          <w:lang w:val="en-CA"/>
        </w:rPr>
        <w:t xml:space="preserve">During the 1914 Simla Convention, Great </w:t>
      </w:r>
      <w:r w:rsidRPr="006834CE">
        <w:rPr>
          <w:spacing w:val="-2"/>
          <w:kern w:val="22"/>
          <w:lang w:val="en-CA"/>
        </w:rPr>
        <w:t>Britain</w:t>
      </w:r>
      <w:r w:rsidR="00170593" w:rsidRPr="006834CE">
        <w:rPr>
          <w:spacing w:val="-2"/>
          <w:kern w:val="22"/>
          <w:lang w:val="en-CA"/>
        </w:rPr>
        <w:t xml:space="preserve"> and </w:t>
      </w:r>
      <w:r w:rsidRPr="006834CE">
        <w:rPr>
          <w:spacing w:val="-2"/>
          <w:kern w:val="22"/>
          <w:lang w:val="en-CA"/>
        </w:rPr>
        <w:t>Tibet</w:t>
      </w:r>
      <w:r w:rsidR="0059451F" w:rsidRPr="006834CE">
        <w:rPr>
          <w:spacing w:val="-2"/>
          <w:kern w:val="22"/>
          <w:lang w:val="en-CA"/>
        </w:rPr>
        <w:t xml:space="preserve"> </w:t>
      </w:r>
      <w:r w:rsidR="00636108" w:rsidRPr="006834CE">
        <w:rPr>
          <w:spacing w:val="-2"/>
          <w:kern w:val="22"/>
          <w:lang w:val="en-CA"/>
        </w:rPr>
        <w:t>dr</w:t>
      </w:r>
      <w:r w:rsidRPr="006834CE">
        <w:rPr>
          <w:spacing w:val="-2"/>
          <w:kern w:val="22"/>
          <w:lang w:val="en-CA"/>
        </w:rPr>
        <w:t>a</w:t>
      </w:r>
      <w:r w:rsidR="00636108" w:rsidRPr="006834CE">
        <w:rPr>
          <w:spacing w:val="-2"/>
          <w:kern w:val="22"/>
          <w:lang w:val="en-CA"/>
        </w:rPr>
        <w:t>f</w:t>
      </w:r>
      <w:r w:rsidRPr="006834CE">
        <w:rPr>
          <w:spacing w:val="-2"/>
          <w:kern w:val="22"/>
          <w:lang w:val="en-CA"/>
        </w:rPr>
        <w:t>te</w:t>
      </w:r>
      <w:r w:rsidR="00170593" w:rsidRPr="006834CE">
        <w:rPr>
          <w:spacing w:val="-2"/>
          <w:kern w:val="22"/>
          <w:lang w:val="en-CA"/>
        </w:rPr>
        <w:t>d</w:t>
      </w:r>
      <w:r w:rsidRPr="006834CE">
        <w:rPr>
          <w:spacing w:val="-2"/>
          <w:kern w:val="22"/>
          <w:lang w:val="en-CA"/>
        </w:rPr>
        <w:t xml:space="preserve"> </w:t>
      </w:r>
      <w:r w:rsidR="001B3332" w:rsidRPr="006834CE">
        <w:rPr>
          <w:spacing w:val="-2"/>
          <w:kern w:val="22"/>
          <w:lang w:val="en-CA"/>
        </w:rPr>
        <w:t>a</w:t>
      </w:r>
      <w:r w:rsidRPr="006834CE">
        <w:rPr>
          <w:spacing w:val="-2"/>
          <w:kern w:val="22"/>
          <w:lang w:val="en-CA"/>
        </w:rPr>
        <w:t xml:space="preserve"> border</w:t>
      </w:r>
      <w:r w:rsidR="006834CE" w:rsidRPr="006834CE">
        <w:rPr>
          <w:spacing w:val="-2"/>
          <w:kern w:val="22"/>
          <w:lang w:val="en-CA"/>
        </w:rPr>
        <w:t>,</w:t>
      </w:r>
      <w:r w:rsidR="00636108" w:rsidRPr="006834CE">
        <w:rPr>
          <w:spacing w:val="-2"/>
          <w:kern w:val="22"/>
          <w:lang w:val="en-CA"/>
        </w:rPr>
        <w:t xml:space="preserve"> but</w:t>
      </w:r>
      <w:r w:rsidR="00170593" w:rsidRPr="006834CE">
        <w:rPr>
          <w:spacing w:val="-2"/>
          <w:kern w:val="22"/>
          <w:lang w:val="en-CA"/>
        </w:rPr>
        <w:t xml:space="preserve"> </w:t>
      </w:r>
      <w:r w:rsidRPr="006834CE">
        <w:rPr>
          <w:spacing w:val="-2"/>
          <w:kern w:val="22"/>
          <w:lang w:val="en-CA"/>
        </w:rPr>
        <w:t>Chin</w:t>
      </w:r>
      <w:r w:rsidR="00636108" w:rsidRPr="006834CE">
        <w:rPr>
          <w:spacing w:val="-2"/>
          <w:kern w:val="22"/>
          <w:lang w:val="en-CA"/>
        </w:rPr>
        <w:t>a</w:t>
      </w:r>
      <w:r w:rsidRPr="006834CE">
        <w:rPr>
          <w:spacing w:val="-2"/>
          <w:kern w:val="22"/>
          <w:lang w:val="en-CA"/>
        </w:rPr>
        <w:t xml:space="preserve"> refused to </w:t>
      </w:r>
      <w:r w:rsidR="00170593" w:rsidRPr="006834CE">
        <w:rPr>
          <w:spacing w:val="-2"/>
          <w:kern w:val="22"/>
          <w:lang w:val="en-CA"/>
        </w:rPr>
        <w:t>endorse</w:t>
      </w:r>
      <w:r w:rsidR="00636108" w:rsidRPr="006834CE">
        <w:rPr>
          <w:spacing w:val="-2"/>
          <w:kern w:val="22"/>
          <w:lang w:val="en-CA"/>
        </w:rPr>
        <w:t xml:space="preserve"> it</w:t>
      </w:r>
      <w:r w:rsidRPr="006834CE">
        <w:rPr>
          <w:spacing w:val="-2"/>
          <w:kern w:val="22"/>
          <w:lang w:val="en-CA"/>
        </w:rPr>
        <w:t xml:space="preserve">. The boundary </w:t>
      </w:r>
      <w:r w:rsidR="00636108" w:rsidRPr="006834CE">
        <w:rPr>
          <w:spacing w:val="-2"/>
          <w:kern w:val="22"/>
          <w:lang w:val="en-CA"/>
        </w:rPr>
        <w:t>was named</w:t>
      </w:r>
      <w:r w:rsidR="00170593" w:rsidRPr="006834CE">
        <w:rPr>
          <w:spacing w:val="-2"/>
          <w:kern w:val="22"/>
          <w:lang w:val="en-CA"/>
        </w:rPr>
        <w:t xml:space="preserve"> </w:t>
      </w:r>
      <w:r w:rsidRPr="006834CE">
        <w:rPr>
          <w:spacing w:val="-2"/>
          <w:kern w:val="22"/>
          <w:lang w:val="en-CA"/>
        </w:rPr>
        <w:t>the McM</w:t>
      </w:r>
      <w:r w:rsidR="00555059" w:rsidRPr="006834CE">
        <w:rPr>
          <w:spacing w:val="-2"/>
          <w:kern w:val="22"/>
          <w:lang w:val="en-CA"/>
        </w:rPr>
        <w:t>a</w:t>
      </w:r>
      <w:r w:rsidRPr="006834CE">
        <w:rPr>
          <w:spacing w:val="-2"/>
          <w:kern w:val="22"/>
          <w:lang w:val="en-CA"/>
        </w:rPr>
        <w:t>h</w:t>
      </w:r>
      <w:r w:rsidR="00555059" w:rsidRPr="006834CE">
        <w:rPr>
          <w:spacing w:val="-2"/>
          <w:kern w:val="22"/>
          <w:lang w:val="en-CA"/>
        </w:rPr>
        <w:t>o</w:t>
      </w:r>
      <w:r w:rsidRPr="006834CE">
        <w:rPr>
          <w:spacing w:val="-2"/>
          <w:kern w:val="22"/>
          <w:lang w:val="en-CA"/>
        </w:rPr>
        <w:t xml:space="preserve">n </w:t>
      </w:r>
      <w:r w:rsidR="002D6B30" w:rsidRPr="006834CE">
        <w:rPr>
          <w:spacing w:val="-2"/>
          <w:kern w:val="22"/>
          <w:lang w:val="en-CA"/>
        </w:rPr>
        <w:t>Line</w:t>
      </w:r>
      <w:r w:rsidR="00555059" w:rsidRPr="006834CE">
        <w:rPr>
          <w:spacing w:val="-2"/>
          <w:kern w:val="22"/>
          <w:lang w:val="en-CA"/>
        </w:rPr>
        <w:t>, after the British colonial administrator Sir Henry McMahon, and represented</w:t>
      </w:r>
      <w:r w:rsidRPr="006834CE">
        <w:rPr>
          <w:spacing w:val="-2"/>
          <w:kern w:val="22"/>
          <w:lang w:val="en-CA"/>
        </w:rPr>
        <w:t xml:space="preserve"> the official border between </w:t>
      </w:r>
      <w:r w:rsidR="0059451F" w:rsidRPr="006834CE">
        <w:rPr>
          <w:spacing w:val="-2"/>
          <w:kern w:val="22"/>
          <w:lang w:val="en-CA"/>
        </w:rPr>
        <w:t>India and China</w:t>
      </w:r>
      <w:r w:rsidRPr="006834CE">
        <w:rPr>
          <w:spacing w:val="-2"/>
          <w:kern w:val="22"/>
          <w:lang w:val="en-CA"/>
        </w:rPr>
        <w:t>, as claimed by India</w:t>
      </w:r>
      <w:r w:rsidR="00636108" w:rsidRPr="006834CE">
        <w:rPr>
          <w:spacing w:val="-2"/>
          <w:kern w:val="22"/>
          <w:lang w:val="en-CA"/>
        </w:rPr>
        <w:t>.</w:t>
      </w:r>
      <w:r w:rsidRPr="006834CE">
        <w:rPr>
          <w:rStyle w:val="EndnoteReference"/>
          <w:spacing w:val="-2"/>
          <w:kern w:val="22"/>
          <w:lang w:val="en-CA"/>
        </w:rPr>
        <w:endnoteReference w:id="25"/>
      </w:r>
      <w:r w:rsidRPr="006834CE">
        <w:rPr>
          <w:spacing w:val="-2"/>
          <w:kern w:val="22"/>
          <w:lang w:val="en-CA"/>
        </w:rPr>
        <w:t xml:space="preserve"> </w:t>
      </w:r>
      <w:r w:rsidR="007602E2" w:rsidRPr="006834CE">
        <w:rPr>
          <w:spacing w:val="-2"/>
          <w:kern w:val="22"/>
          <w:lang w:val="en-CA"/>
        </w:rPr>
        <w:t>Eventually, India became independent from Great Britain in 1947 and</w:t>
      </w:r>
      <w:r w:rsidRPr="006834CE">
        <w:rPr>
          <w:spacing w:val="-2"/>
          <w:kern w:val="22"/>
          <w:lang w:val="en-CA"/>
        </w:rPr>
        <w:t xml:space="preserve"> shared </w:t>
      </w:r>
      <w:r w:rsidR="007602E2" w:rsidRPr="006834CE">
        <w:rPr>
          <w:spacing w:val="-2"/>
          <w:kern w:val="22"/>
          <w:lang w:val="en-CA"/>
        </w:rPr>
        <w:t xml:space="preserve">a </w:t>
      </w:r>
      <w:r w:rsidRPr="006834CE">
        <w:rPr>
          <w:spacing w:val="-2"/>
          <w:kern w:val="22"/>
          <w:lang w:val="en-CA"/>
        </w:rPr>
        <w:t>cordial relations</w:t>
      </w:r>
      <w:r w:rsidR="007602E2" w:rsidRPr="006834CE">
        <w:rPr>
          <w:spacing w:val="-2"/>
          <w:kern w:val="22"/>
          <w:lang w:val="en-CA"/>
        </w:rPr>
        <w:t>hip with China.</w:t>
      </w:r>
      <w:r w:rsidRPr="006834CE">
        <w:rPr>
          <w:rStyle w:val="EndnoteReference"/>
          <w:spacing w:val="-2"/>
          <w:kern w:val="22"/>
          <w:lang w:val="en-CA"/>
        </w:rPr>
        <w:endnoteReference w:id="26"/>
      </w:r>
    </w:p>
    <w:p w14:paraId="5E4CD004" w14:textId="2D8CF711" w:rsidR="00FB13F9" w:rsidRPr="006834CE" w:rsidRDefault="00FB13F9" w:rsidP="00FB13F9">
      <w:pPr>
        <w:pStyle w:val="BodyTextMain"/>
        <w:rPr>
          <w:sz w:val="14"/>
          <w:szCs w:val="14"/>
          <w:lang w:val="en-CA"/>
        </w:rPr>
      </w:pPr>
    </w:p>
    <w:p w14:paraId="0694E6A3" w14:textId="5C5E012E" w:rsidR="00FB13F9" w:rsidRPr="006834CE" w:rsidRDefault="00FB13F9" w:rsidP="00FB13F9">
      <w:pPr>
        <w:pStyle w:val="BodyTextMain"/>
        <w:rPr>
          <w:spacing w:val="-4"/>
          <w:lang w:val="en-CA"/>
        </w:rPr>
      </w:pPr>
      <w:r w:rsidRPr="006834CE">
        <w:rPr>
          <w:spacing w:val="-4"/>
          <w:lang w:val="en-CA"/>
        </w:rPr>
        <w:t>In 1950</w:t>
      </w:r>
      <w:r w:rsidR="002D6B30" w:rsidRPr="006834CE">
        <w:rPr>
          <w:spacing w:val="-4"/>
          <w:lang w:val="en-CA"/>
        </w:rPr>
        <w:t>,</w:t>
      </w:r>
      <w:r w:rsidRPr="006834CE">
        <w:rPr>
          <w:spacing w:val="-4"/>
          <w:lang w:val="en-CA"/>
        </w:rPr>
        <w:t xml:space="preserve"> the 14</w:t>
      </w:r>
      <w:r w:rsidR="00CD6D5B" w:rsidRPr="006834CE">
        <w:rPr>
          <w:spacing w:val="-4"/>
          <w:lang w:val="en-CA"/>
        </w:rPr>
        <w:t>th</w:t>
      </w:r>
      <w:r w:rsidRPr="006834CE">
        <w:rPr>
          <w:spacing w:val="-4"/>
          <w:lang w:val="en-CA"/>
        </w:rPr>
        <w:t xml:space="preserve"> Dalai Lama</w:t>
      </w:r>
      <w:r w:rsidR="00FE5457" w:rsidRPr="006834CE">
        <w:rPr>
          <w:spacing w:val="-4"/>
          <w:lang w:val="en-CA"/>
        </w:rPr>
        <w:t xml:space="preserve"> of Tibet</w:t>
      </w:r>
      <w:r w:rsidRPr="006834CE">
        <w:rPr>
          <w:spacing w:val="-4"/>
          <w:lang w:val="en-CA"/>
        </w:rPr>
        <w:t xml:space="preserve"> accepted </w:t>
      </w:r>
      <w:r w:rsidR="002D6B30" w:rsidRPr="006834CE">
        <w:rPr>
          <w:spacing w:val="-4"/>
          <w:lang w:val="en-CA"/>
        </w:rPr>
        <w:t>China</w:t>
      </w:r>
      <w:r w:rsidR="00CD6D5B" w:rsidRPr="006834CE">
        <w:rPr>
          <w:spacing w:val="-4"/>
          <w:lang w:val="en-CA"/>
        </w:rPr>
        <w:t>’</w:t>
      </w:r>
      <w:r w:rsidR="002D6B30" w:rsidRPr="006834CE">
        <w:rPr>
          <w:spacing w:val="-4"/>
          <w:lang w:val="en-CA"/>
        </w:rPr>
        <w:t xml:space="preserve">s </w:t>
      </w:r>
      <w:r w:rsidRPr="006834CE">
        <w:rPr>
          <w:spacing w:val="-4"/>
          <w:lang w:val="en-CA"/>
        </w:rPr>
        <w:t xml:space="preserve">sovereignty </w:t>
      </w:r>
      <w:r w:rsidR="00CD6D5B" w:rsidRPr="006834CE">
        <w:rPr>
          <w:spacing w:val="-4"/>
          <w:lang w:val="en-CA"/>
        </w:rPr>
        <w:t xml:space="preserve">but </w:t>
      </w:r>
      <w:r w:rsidR="004755AB" w:rsidRPr="006834CE">
        <w:rPr>
          <w:spacing w:val="-4"/>
          <w:lang w:val="en-CA"/>
        </w:rPr>
        <w:t>retain</w:t>
      </w:r>
      <w:r w:rsidR="00CD6D5B" w:rsidRPr="006834CE">
        <w:rPr>
          <w:spacing w:val="-4"/>
          <w:lang w:val="en-CA"/>
        </w:rPr>
        <w:t>ed partial</w:t>
      </w:r>
      <w:r w:rsidRPr="006834CE">
        <w:rPr>
          <w:spacing w:val="-4"/>
          <w:lang w:val="en-CA"/>
        </w:rPr>
        <w:t xml:space="preserve"> autonomy </w:t>
      </w:r>
      <w:r w:rsidR="004755AB" w:rsidRPr="006834CE">
        <w:rPr>
          <w:spacing w:val="-4"/>
          <w:lang w:val="en-CA"/>
        </w:rPr>
        <w:t xml:space="preserve">for </w:t>
      </w:r>
      <w:r w:rsidRPr="006834CE">
        <w:rPr>
          <w:spacing w:val="-4"/>
          <w:lang w:val="en-CA"/>
        </w:rPr>
        <w:t xml:space="preserve">Tibet. </w:t>
      </w:r>
      <w:r w:rsidR="002D6B30" w:rsidRPr="006834CE">
        <w:rPr>
          <w:spacing w:val="-4"/>
          <w:lang w:val="en-CA"/>
        </w:rPr>
        <w:t>H</w:t>
      </w:r>
      <w:r w:rsidR="00CD6D5B" w:rsidRPr="006834CE">
        <w:rPr>
          <w:spacing w:val="-4"/>
          <w:lang w:val="en-CA"/>
        </w:rPr>
        <w:t>owever, after a revolt in 1959, th</w:t>
      </w:r>
      <w:r w:rsidR="002D6B30" w:rsidRPr="006834CE">
        <w:rPr>
          <w:spacing w:val="-4"/>
          <w:lang w:val="en-CA"/>
        </w:rPr>
        <w:t>e</w:t>
      </w:r>
      <w:r w:rsidR="00CD6D5B" w:rsidRPr="006834CE">
        <w:rPr>
          <w:spacing w:val="-4"/>
          <w:lang w:val="en-CA"/>
        </w:rPr>
        <w:t xml:space="preserve"> Dalai Lama was forced to flee</w:t>
      </w:r>
      <w:r w:rsidR="002D6B30" w:rsidRPr="006834CE">
        <w:rPr>
          <w:spacing w:val="-4"/>
          <w:lang w:val="en-CA"/>
        </w:rPr>
        <w:t xml:space="preserve"> to India</w:t>
      </w:r>
      <w:r w:rsidR="004755AB" w:rsidRPr="006834CE">
        <w:rPr>
          <w:spacing w:val="-4"/>
          <w:lang w:val="en-CA"/>
        </w:rPr>
        <w:t xml:space="preserve"> </w:t>
      </w:r>
      <w:r w:rsidRPr="006834CE">
        <w:rPr>
          <w:spacing w:val="-4"/>
          <w:lang w:val="en-CA"/>
        </w:rPr>
        <w:t xml:space="preserve">and the Chinese government </w:t>
      </w:r>
      <w:r w:rsidR="00CD6D5B" w:rsidRPr="006834CE">
        <w:rPr>
          <w:spacing w:val="-4"/>
          <w:lang w:val="en-CA"/>
        </w:rPr>
        <w:t xml:space="preserve">eventually </w:t>
      </w:r>
      <w:r w:rsidRPr="006834CE">
        <w:rPr>
          <w:spacing w:val="-4"/>
          <w:lang w:val="en-CA"/>
        </w:rPr>
        <w:t xml:space="preserve">integrated Tibet into China </w:t>
      </w:r>
      <w:r w:rsidR="00CD6D5B" w:rsidRPr="006834CE">
        <w:rPr>
          <w:spacing w:val="-4"/>
          <w:lang w:val="en-CA"/>
        </w:rPr>
        <w:t xml:space="preserve">in 1965 </w:t>
      </w:r>
      <w:r w:rsidR="00FE5457" w:rsidRPr="006834CE">
        <w:rPr>
          <w:spacing w:val="-4"/>
          <w:lang w:val="en-CA"/>
        </w:rPr>
        <w:t>under the name of</w:t>
      </w:r>
      <w:r w:rsidR="00CD6D5B" w:rsidRPr="006834CE">
        <w:rPr>
          <w:spacing w:val="-4"/>
          <w:lang w:val="en-CA"/>
        </w:rPr>
        <w:t xml:space="preserve"> </w:t>
      </w:r>
      <w:r w:rsidRPr="006834CE">
        <w:rPr>
          <w:spacing w:val="-4"/>
          <w:lang w:val="en-CA"/>
        </w:rPr>
        <w:t>T</w:t>
      </w:r>
      <w:r w:rsidR="00CD6D5B" w:rsidRPr="006834CE">
        <w:rPr>
          <w:spacing w:val="-4"/>
          <w:lang w:val="en-CA"/>
        </w:rPr>
        <w:t xml:space="preserve">ibet </w:t>
      </w:r>
      <w:r w:rsidRPr="006834CE">
        <w:rPr>
          <w:spacing w:val="-4"/>
          <w:lang w:val="en-CA"/>
        </w:rPr>
        <w:t>A</w:t>
      </w:r>
      <w:r w:rsidR="00CD6D5B" w:rsidRPr="006834CE">
        <w:rPr>
          <w:spacing w:val="-4"/>
          <w:lang w:val="en-CA"/>
        </w:rPr>
        <w:t xml:space="preserve">utonomous </w:t>
      </w:r>
      <w:r w:rsidRPr="006834CE">
        <w:rPr>
          <w:spacing w:val="-4"/>
          <w:lang w:val="en-CA"/>
        </w:rPr>
        <w:t>R</w:t>
      </w:r>
      <w:r w:rsidR="00CD6D5B" w:rsidRPr="006834CE">
        <w:rPr>
          <w:spacing w:val="-4"/>
          <w:lang w:val="en-CA"/>
        </w:rPr>
        <w:t>egion</w:t>
      </w:r>
      <w:r w:rsidRPr="006834CE">
        <w:rPr>
          <w:spacing w:val="-4"/>
          <w:lang w:val="en-CA"/>
        </w:rPr>
        <w:t>.</w:t>
      </w:r>
      <w:r w:rsidRPr="006834CE">
        <w:rPr>
          <w:rStyle w:val="EndnoteReference"/>
          <w:spacing w:val="-4"/>
          <w:lang w:val="en-CA"/>
        </w:rPr>
        <w:endnoteReference w:id="27"/>
      </w:r>
      <w:r w:rsidRPr="006834CE">
        <w:rPr>
          <w:spacing w:val="-4"/>
          <w:lang w:val="en-CA"/>
        </w:rPr>
        <w:t xml:space="preserve"> Around th</w:t>
      </w:r>
      <w:r w:rsidR="00CD6D5B" w:rsidRPr="006834CE">
        <w:rPr>
          <w:spacing w:val="-4"/>
          <w:lang w:val="en-CA"/>
        </w:rPr>
        <w:t>at</w:t>
      </w:r>
      <w:r w:rsidRPr="006834CE">
        <w:rPr>
          <w:spacing w:val="-4"/>
          <w:lang w:val="en-CA"/>
        </w:rPr>
        <w:t xml:space="preserve"> same time, India and China developed difference</w:t>
      </w:r>
      <w:r w:rsidR="004755AB" w:rsidRPr="006834CE">
        <w:rPr>
          <w:spacing w:val="-4"/>
          <w:lang w:val="en-CA"/>
        </w:rPr>
        <w:t xml:space="preserve">s </w:t>
      </w:r>
      <w:r w:rsidR="00CD6D5B" w:rsidRPr="006834CE">
        <w:rPr>
          <w:spacing w:val="-4"/>
          <w:lang w:val="en-CA"/>
        </w:rPr>
        <w:t xml:space="preserve">of opinion </w:t>
      </w:r>
      <w:r w:rsidR="004755AB" w:rsidRPr="006834CE">
        <w:rPr>
          <w:spacing w:val="-4"/>
          <w:lang w:val="en-CA"/>
        </w:rPr>
        <w:t>o</w:t>
      </w:r>
      <w:r w:rsidR="00FE5457" w:rsidRPr="006834CE">
        <w:rPr>
          <w:spacing w:val="-4"/>
          <w:lang w:val="en-CA"/>
        </w:rPr>
        <w:t>ver</w:t>
      </w:r>
      <w:r w:rsidR="004755AB" w:rsidRPr="006834CE">
        <w:rPr>
          <w:spacing w:val="-4"/>
          <w:lang w:val="en-CA"/>
        </w:rPr>
        <w:t xml:space="preserve"> </w:t>
      </w:r>
      <w:r w:rsidR="002D6B30" w:rsidRPr="006834CE">
        <w:rPr>
          <w:spacing w:val="-4"/>
          <w:lang w:val="en-CA"/>
        </w:rPr>
        <w:t xml:space="preserve">the </w:t>
      </w:r>
      <w:r w:rsidR="004755AB" w:rsidRPr="006834CE">
        <w:rPr>
          <w:spacing w:val="-4"/>
          <w:lang w:val="en-CA"/>
        </w:rPr>
        <w:t xml:space="preserve">demarcation </w:t>
      </w:r>
      <w:r w:rsidRPr="006834CE">
        <w:rPr>
          <w:spacing w:val="-4"/>
          <w:lang w:val="en-CA"/>
        </w:rPr>
        <w:t>of the</w:t>
      </w:r>
      <w:r w:rsidR="00FE5457" w:rsidRPr="006834CE">
        <w:rPr>
          <w:spacing w:val="-4"/>
          <w:lang w:val="en-CA"/>
        </w:rPr>
        <w:t>ir</w:t>
      </w:r>
      <w:r w:rsidRPr="006834CE">
        <w:rPr>
          <w:spacing w:val="-4"/>
          <w:lang w:val="en-CA"/>
        </w:rPr>
        <w:t xml:space="preserve"> international border. </w:t>
      </w:r>
      <w:r w:rsidR="00555059" w:rsidRPr="006834CE">
        <w:rPr>
          <w:spacing w:val="-4"/>
          <w:lang w:val="en-CA"/>
        </w:rPr>
        <w:t>On</w:t>
      </w:r>
      <w:r w:rsidRPr="006834CE">
        <w:rPr>
          <w:spacing w:val="-4"/>
          <w:lang w:val="en-CA"/>
        </w:rPr>
        <w:t xml:space="preserve"> the eastern section</w:t>
      </w:r>
      <w:r w:rsidR="00555059" w:rsidRPr="006834CE">
        <w:rPr>
          <w:spacing w:val="-4"/>
          <w:lang w:val="en-CA"/>
        </w:rPr>
        <w:t>, China disputed the area</w:t>
      </w:r>
      <w:r w:rsidRPr="006834CE">
        <w:rPr>
          <w:spacing w:val="-4"/>
          <w:lang w:val="en-CA"/>
        </w:rPr>
        <w:t xml:space="preserve"> cover</w:t>
      </w:r>
      <w:r w:rsidR="00555059" w:rsidRPr="006834CE">
        <w:rPr>
          <w:spacing w:val="-4"/>
          <w:lang w:val="en-CA"/>
        </w:rPr>
        <w:t>ed by</w:t>
      </w:r>
      <w:r w:rsidRPr="006834CE">
        <w:rPr>
          <w:spacing w:val="-4"/>
          <w:lang w:val="en-CA"/>
        </w:rPr>
        <w:t xml:space="preserve"> the Indian </w:t>
      </w:r>
      <w:r w:rsidR="00555059" w:rsidRPr="006834CE">
        <w:rPr>
          <w:spacing w:val="-4"/>
          <w:lang w:val="en-CA"/>
        </w:rPr>
        <w:t>state of</w:t>
      </w:r>
      <w:r w:rsidRPr="006834CE">
        <w:rPr>
          <w:spacing w:val="-4"/>
          <w:lang w:val="en-CA"/>
        </w:rPr>
        <w:t xml:space="preserve"> Arunachal Pradesh</w:t>
      </w:r>
      <w:r w:rsidR="00555059" w:rsidRPr="006834CE">
        <w:rPr>
          <w:spacing w:val="-4"/>
          <w:lang w:val="en-CA"/>
        </w:rPr>
        <w:t>, which it claimed</w:t>
      </w:r>
      <w:r w:rsidRPr="006834CE">
        <w:rPr>
          <w:spacing w:val="-4"/>
          <w:lang w:val="en-CA"/>
        </w:rPr>
        <w:t xml:space="preserve"> as South Tibet.</w:t>
      </w:r>
      <w:r w:rsidR="002D6B30" w:rsidRPr="006834CE">
        <w:rPr>
          <w:spacing w:val="-4"/>
          <w:lang w:val="en-CA"/>
        </w:rPr>
        <w:t xml:space="preserve"> </w:t>
      </w:r>
      <w:r w:rsidR="00555059" w:rsidRPr="006834CE">
        <w:rPr>
          <w:spacing w:val="-4"/>
          <w:lang w:val="en-CA"/>
        </w:rPr>
        <w:t>O</w:t>
      </w:r>
      <w:r w:rsidR="00D27C09" w:rsidRPr="006834CE">
        <w:rPr>
          <w:spacing w:val="-4"/>
          <w:lang w:val="en-CA"/>
        </w:rPr>
        <w:t>n the western border</w:t>
      </w:r>
      <w:r w:rsidR="00555059" w:rsidRPr="006834CE">
        <w:rPr>
          <w:spacing w:val="-4"/>
          <w:lang w:val="en-CA"/>
        </w:rPr>
        <w:t>,</w:t>
      </w:r>
      <w:r w:rsidR="00D27C09" w:rsidRPr="006834CE">
        <w:rPr>
          <w:spacing w:val="-4"/>
          <w:lang w:val="en-CA"/>
        </w:rPr>
        <w:t xml:space="preserve"> </w:t>
      </w:r>
      <w:r w:rsidR="00555059" w:rsidRPr="006834CE">
        <w:rPr>
          <w:spacing w:val="-4"/>
          <w:lang w:val="en-CA"/>
        </w:rPr>
        <w:t>the dispute included</w:t>
      </w:r>
      <w:r w:rsidR="00D27C09" w:rsidRPr="006834CE">
        <w:rPr>
          <w:spacing w:val="-4"/>
          <w:lang w:val="en-CA"/>
        </w:rPr>
        <w:t xml:space="preserve"> the </w:t>
      </w:r>
      <w:r w:rsidR="00555059" w:rsidRPr="006834CE">
        <w:rPr>
          <w:spacing w:val="-4"/>
          <w:lang w:val="en-CA"/>
        </w:rPr>
        <w:t xml:space="preserve">areas covered by the Ladakh </w:t>
      </w:r>
      <w:r w:rsidRPr="006834CE">
        <w:rPr>
          <w:spacing w:val="-4"/>
          <w:lang w:val="en-CA"/>
        </w:rPr>
        <w:t xml:space="preserve">Union Territory </w:t>
      </w:r>
      <w:r w:rsidR="00555059" w:rsidRPr="006834CE">
        <w:rPr>
          <w:spacing w:val="-4"/>
          <w:lang w:val="en-CA"/>
        </w:rPr>
        <w:t xml:space="preserve">Front </w:t>
      </w:r>
      <w:r w:rsidRPr="006834CE">
        <w:rPr>
          <w:spacing w:val="-4"/>
          <w:lang w:val="en-CA"/>
        </w:rPr>
        <w:t>o</w:t>
      </w:r>
      <w:r w:rsidR="00D27C09" w:rsidRPr="006834CE">
        <w:rPr>
          <w:spacing w:val="-4"/>
          <w:lang w:val="en-CA"/>
        </w:rPr>
        <w:t xml:space="preserve">n </w:t>
      </w:r>
      <w:r w:rsidR="00555059" w:rsidRPr="006834CE">
        <w:rPr>
          <w:spacing w:val="-4"/>
          <w:lang w:val="en-CA"/>
        </w:rPr>
        <w:t xml:space="preserve">the </w:t>
      </w:r>
      <w:r w:rsidR="00D27C09" w:rsidRPr="006834CE">
        <w:rPr>
          <w:spacing w:val="-4"/>
          <w:lang w:val="en-CA"/>
        </w:rPr>
        <w:t>India</w:t>
      </w:r>
      <w:r w:rsidR="00555059" w:rsidRPr="006834CE">
        <w:rPr>
          <w:spacing w:val="-4"/>
          <w:lang w:val="en-CA"/>
        </w:rPr>
        <w:t>n side</w:t>
      </w:r>
      <w:r w:rsidR="00D27C09" w:rsidRPr="006834CE">
        <w:rPr>
          <w:spacing w:val="-4"/>
          <w:lang w:val="en-CA"/>
        </w:rPr>
        <w:t xml:space="preserve"> and the </w:t>
      </w:r>
      <w:r w:rsidRPr="006834CE">
        <w:rPr>
          <w:spacing w:val="-4"/>
          <w:lang w:val="en-CA"/>
        </w:rPr>
        <w:t xml:space="preserve">Aksai Chin </w:t>
      </w:r>
      <w:r w:rsidR="00555059" w:rsidRPr="006834CE">
        <w:rPr>
          <w:spacing w:val="-4"/>
          <w:lang w:val="en-CA"/>
        </w:rPr>
        <w:t>p</w:t>
      </w:r>
      <w:r w:rsidRPr="006834CE">
        <w:rPr>
          <w:spacing w:val="-4"/>
          <w:lang w:val="en-CA"/>
        </w:rPr>
        <w:t>lateau</w:t>
      </w:r>
      <w:r w:rsidR="00555059" w:rsidRPr="006834CE">
        <w:rPr>
          <w:spacing w:val="-4"/>
          <w:lang w:val="en-CA"/>
        </w:rPr>
        <w:t xml:space="preserve"> on the Chinese side</w:t>
      </w:r>
      <w:r w:rsidR="00CD6D5B" w:rsidRPr="006834CE">
        <w:rPr>
          <w:spacing w:val="-4"/>
          <w:lang w:val="en-CA"/>
        </w:rPr>
        <w:t>.</w:t>
      </w:r>
      <w:r w:rsidRPr="006834CE">
        <w:rPr>
          <w:rStyle w:val="EndnoteReference"/>
          <w:spacing w:val="-4"/>
          <w:lang w:val="en-CA"/>
        </w:rPr>
        <w:endnoteReference w:id="28"/>
      </w:r>
      <w:r w:rsidRPr="006834CE">
        <w:rPr>
          <w:spacing w:val="-4"/>
          <w:lang w:val="en-CA"/>
        </w:rPr>
        <w:t xml:space="preserve"> </w:t>
      </w:r>
    </w:p>
    <w:p w14:paraId="353FE2D2" w14:textId="77777777" w:rsidR="00CD6D5B" w:rsidRPr="006834CE" w:rsidRDefault="00CD6D5B" w:rsidP="00FB13F9">
      <w:pPr>
        <w:pStyle w:val="BodyTextMain"/>
        <w:rPr>
          <w:sz w:val="14"/>
          <w:szCs w:val="14"/>
          <w:lang w:val="en-CA"/>
        </w:rPr>
      </w:pPr>
    </w:p>
    <w:p w14:paraId="053114A9" w14:textId="09049D5F" w:rsidR="005D2720" w:rsidRPr="006834CE" w:rsidRDefault="004755AB" w:rsidP="00FB13F9">
      <w:pPr>
        <w:pStyle w:val="BodyTextMain"/>
        <w:rPr>
          <w:b/>
          <w:lang w:val="en-CA"/>
        </w:rPr>
      </w:pPr>
      <w:r w:rsidRPr="006834CE">
        <w:rPr>
          <w:lang w:val="en-CA"/>
        </w:rPr>
        <w:t>T</w:t>
      </w:r>
      <w:r w:rsidR="00FB13F9" w:rsidRPr="006834CE">
        <w:rPr>
          <w:lang w:val="en-CA"/>
        </w:rPr>
        <w:t xml:space="preserve">he two countries </w:t>
      </w:r>
      <w:r w:rsidR="005D4A96" w:rsidRPr="006834CE">
        <w:rPr>
          <w:lang w:val="en-CA"/>
        </w:rPr>
        <w:t>fought</w:t>
      </w:r>
      <w:r w:rsidR="00FB13F9" w:rsidRPr="006834CE">
        <w:rPr>
          <w:lang w:val="en-CA"/>
        </w:rPr>
        <w:t xml:space="preserve"> a short inconclusive war in 1962</w:t>
      </w:r>
      <w:r w:rsidR="005D4A96" w:rsidRPr="006834CE">
        <w:rPr>
          <w:lang w:val="en-CA"/>
        </w:rPr>
        <w:t xml:space="preserve"> and</w:t>
      </w:r>
      <w:r w:rsidR="00FB13F9" w:rsidRPr="006834CE">
        <w:rPr>
          <w:lang w:val="en-CA"/>
        </w:rPr>
        <w:t xml:space="preserve"> reinstituted diplomatic ties in 1976. In 1993 they agreed to maintain peace and tranquility at the disputed border, referred to as the Line of Actual Control (LAC).</w:t>
      </w:r>
      <w:r w:rsidR="00FB13F9" w:rsidRPr="006834CE">
        <w:rPr>
          <w:rStyle w:val="EndnoteReference"/>
          <w:lang w:val="en-CA"/>
        </w:rPr>
        <w:endnoteReference w:id="29"/>
      </w:r>
      <w:r w:rsidR="00FB13F9" w:rsidRPr="006834CE">
        <w:rPr>
          <w:lang w:val="en-CA"/>
        </w:rPr>
        <w:t xml:space="preserve"> In 1996</w:t>
      </w:r>
      <w:r w:rsidR="00FE5457" w:rsidRPr="006834CE">
        <w:rPr>
          <w:lang w:val="en-CA"/>
        </w:rPr>
        <w:t>,</w:t>
      </w:r>
      <w:r w:rsidR="00FB13F9" w:rsidRPr="006834CE">
        <w:rPr>
          <w:lang w:val="en-CA"/>
        </w:rPr>
        <w:t xml:space="preserve"> the two governments reached an agreement</w:t>
      </w:r>
      <w:r w:rsidR="005D4A96" w:rsidRPr="006834CE">
        <w:rPr>
          <w:lang w:val="en-CA"/>
        </w:rPr>
        <w:t xml:space="preserve"> to avoid any firearm conflict between the</w:t>
      </w:r>
      <w:r w:rsidR="002D6B30" w:rsidRPr="006834CE">
        <w:rPr>
          <w:lang w:val="en-CA"/>
        </w:rPr>
        <w:t xml:space="preserve"> </w:t>
      </w:r>
      <w:r w:rsidR="00FB13F9" w:rsidRPr="006834CE">
        <w:rPr>
          <w:lang w:val="en-CA"/>
        </w:rPr>
        <w:t>armed forces</w:t>
      </w:r>
      <w:r w:rsidR="005D4A96" w:rsidRPr="006834CE">
        <w:rPr>
          <w:lang w:val="en-CA"/>
        </w:rPr>
        <w:t xml:space="preserve"> of the two countries.</w:t>
      </w:r>
      <w:r w:rsidR="00FB13F9" w:rsidRPr="006834CE">
        <w:rPr>
          <w:rStyle w:val="EndnoteReference"/>
          <w:lang w:val="en-CA"/>
        </w:rPr>
        <w:endnoteReference w:id="30"/>
      </w:r>
      <w:r w:rsidR="00FB13F9" w:rsidRPr="006834CE">
        <w:rPr>
          <w:lang w:val="en-CA"/>
        </w:rPr>
        <w:t xml:space="preserve"> Between 1962 and 2020, only two significant armed skirmishes </w:t>
      </w:r>
      <w:r w:rsidR="005D4A96" w:rsidRPr="006834CE">
        <w:rPr>
          <w:lang w:val="en-CA"/>
        </w:rPr>
        <w:t xml:space="preserve">were recorded </w:t>
      </w:r>
      <w:r w:rsidR="00FB13F9" w:rsidRPr="006834CE">
        <w:rPr>
          <w:lang w:val="en-CA"/>
        </w:rPr>
        <w:t xml:space="preserve">between Indian and Chinese soldiers </w:t>
      </w:r>
      <w:r w:rsidR="005D4A96" w:rsidRPr="006834CE">
        <w:rPr>
          <w:lang w:val="en-CA"/>
        </w:rPr>
        <w:t xml:space="preserve">that </w:t>
      </w:r>
      <w:r w:rsidR="00FB13F9" w:rsidRPr="006834CE">
        <w:rPr>
          <w:lang w:val="en-CA"/>
        </w:rPr>
        <w:t>result</w:t>
      </w:r>
      <w:r w:rsidR="005D4A96" w:rsidRPr="006834CE">
        <w:rPr>
          <w:lang w:val="en-CA"/>
        </w:rPr>
        <w:t>ed</w:t>
      </w:r>
      <w:r w:rsidR="00FB13F9" w:rsidRPr="006834CE">
        <w:rPr>
          <w:lang w:val="en-CA"/>
        </w:rPr>
        <w:t xml:space="preserve"> in </w:t>
      </w:r>
      <w:r w:rsidR="005D4A96" w:rsidRPr="006834CE">
        <w:rPr>
          <w:lang w:val="en-CA"/>
        </w:rPr>
        <w:t>fatalities</w:t>
      </w:r>
      <w:r w:rsidR="00FB13F9" w:rsidRPr="006834CE">
        <w:rPr>
          <w:lang w:val="en-CA"/>
        </w:rPr>
        <w:t>.</w:t>
      </w:r>
      <w:r w:rsidR="00FB13F9" w:rsidRPr="006834CE">
        <w:rPr>
          <w:rStyle w:val="EndnoteReference"/>
          <w:lang w:val="en-CA"/>
        </w:rPr>
        <w:endnoteReference w:id="31"/>
      </w:r>
    </w:p>
    <w:p w14:paraId="5B037E18" w14:textId="379E7ABC" w:rsidR="005D2720" w:rsidRPr="006834CE" w:rsidRDefault="005D2720" w:rsidP="00FB13F9">
      <w:pPr>
        <w:pStyle w:val="BodyTextMain"/>
        <w:rPr>
          <w:b/>
          <w:sz w:val="14"/>
          <w:szCs w:val="14"/>
          <w:lang w:val="en-CA"/>
        </w:rPr>
      </w:pPr>
    </w:p>
    <w:p w14:paraId="55D75955" w14:textId="77777777" w:rsidR="00CB5E60" w:rsidRPr="006834CE" w:rsidRDefault="00CB5E60" w:rsidP="00FB13F9">
      <w:pPr>
        <w:pStyle w:val="BodyTextMain"/>
        <w:rPr>
          <w:b/>
          <w:sz w:val="14"/>
          <w:szCs w:val="14"/>
          <w:lang w:val="en-CA"/>
        </w:rPr>
      </w:pPr>
    </w:p>
    <w:p w14:paraId="60E44615" w14:textId="13F7E855" w:rsidR="002D6B30" w:rsidRPr="006834CE" w:rsidRDefault="002A69E6" w:rsidP="00640A6F">
      <w:pPr>
        <w:pStyle w:val="Casehead1"/>
        <w:keepNext/>
        <w:rPr>
          <w:lang w:val="en-CA"/>
        </w:rPr>
      </w:pPr>
      <w:r w:rsidRPr="006834CE">
        <w:rPr>
          <w:lang w:val="en-CA"/>
        </w:rPr>
        <w:t>INDIA</w:t>
      </w:r>
      <w:r w:rsidR="005D4A96" w:rsidRPr="006834CE">
        <w:rPr>
          <w:lang w:val="en-CA"/>
        </w:rPr>
        <w:t>–</w:t>
      </w:r>
      <w:r w:rsidRPr="006834CE">
        <w:rPr>
          <w:lang w:val="en-CA"/>
        </w:rPr>
        <w:t>CHINA TRADE RELAT</w:t>
      </w:r>
      <w:r w:rsidR="002D6B30" w:rsidRPr="006834CE">
        <w:rPr>
          <w:lang w:val="en-CA"/>
        </w:rPr>
        <w:t>I</w:t>
      </w:r>
      <w:r w:rsidRPr="006834CE">
        <w:rPr>
          <w:lang w:val="en-CA"/>
        </w:rPr>
        <w:t>ONS</w:t>
      </w:r>
    </w:p>
    <w:p w14:paraId="691FC536" w14:textId="77777777" w:rsidR="005D2720" w:rsidRPr="006834CE" w:rsidRDefault="005D2720" w:rsidP="00640A6F">
      <w:pPr>
        <w:pStyle w:val="BodyTextMain"/>
        <w:keepNext/>
        <w:rPr>
          <w:sz w:val="14"/>
          <w:szCs w:val="14"/>
          <w:lang w:val="en-CA"/>
        </w:rPr>
      </w:pPr>
    </w:p>
    <w:p w14:paraId="0D7E359C" w14:textId="4366D225" w:rsidR="00CB5E60" w:rsidRPr="006834CE" w:rsidRDefault="005D4A96" w:rsidP="00640A6F">
      <w:pPr>
        <w:pStyle w:val="BodyTextMain"/>
        <w:keepNext/>
        <w:rPr>
          <w:lang w:val="en-CA"/>
        </w:rPr>
      </w:pPr>
      <w:r w:rsidRPr="006834CE">
        <w:rPr>
          <w:lang w:val="en-CA"/>
        </w:rPr>
        <w:t>With the start of the new millennium</w:t>
      </w:r>
      <w:r w:rsidR="00FB13F9" w:rsidRPr="006834CE">
        <w:rPr>
          <w:lang w:val="en-CA"/>
        </w:rPr>
        <w:t>, the two countries significantly increased commercial relations</w:t>
      </w:r>
      <w:r w:rsidR="00FE5457" w:rsidRPr="006834CE">
        <w:rPr>
          <w:lang w:val="en-CA"/>
        </w:rPr>
        <w:t>. By 2008,</w:t>
      </w:r>
      <w:r w:rsidRPr="006834CE">
        <w:rPr>
          <w:lang w:val="en-CA"/>
        </w:rPr>
        <w:t xml:space="preserve"> </w:t>
      </w:r>
      <w:r w:rsidR="00FB13F9" w:rsidRPr="006834CE">
        <w:rPr>
          <w:lang w:val="en-CA"/>
        </w:rPr>
        <w:t xml:space="preserve">China </w:t>
      </w:r>
      <w:r w:rsidR="00FE5457" w:rsidRPr="006834CE">
        <w:rPr>
          <w:lang w:val="en-CA"/>
        </w:rPr>
        <w:t xml:space="preserve">had </w:t>
      </w:r>
      <w:r w:rsidR="00FB13F9" w:rsidRPr="006834CE">
        <w:rPr>
          <w:lang w:val="en-CA"/>
        </w:rPr>
        <w:t>bec</w:t>
      </w:r>
      <w:r w:rsidR="00FE5457" w:rsidRPr="006834CE">
        <w:rPr>
          <w:lang w:val="en-CA"/>
        </w:rPr>
        <w:t>o</w:t>
      </w:r>
      <w:r w:rsidR="00FB13F9" w:rsidRPr="006834CE">
        <w:rPr>
          <w:lang w:val="en-CA"/>
        </w:rPr>
        <w:t>m</w:t>
      </w:r>
      <w:r w:rsidRPr="006834CE">
        <w:rPr>
          <w:lang w:val="en-CA"/>
        </w:rPr>
        <w:t>e</w:t>
      </w:r>
      <w:r w:rsidR="00FB13F9" w:rsidRPr="006834CE">
        <w:rPr>
          <w:lang w:val="en-CA"/>
        </w:rPr>
        <w:t xml:space="preserve"> </w:t>
      </w:r>
      <w:r w:rsidR="002D6B30" w:rsidRPr="006834CE">
        <w:rPr>
          <w:lang w:val="en-CA"/>
        </w:rPr>
        <w:t>India</w:t>
      </w:r>
      <w:r w:rsidRPr="006834CE">
        <w:rPr>
          <w:lang w:val="en-CA"/>
        </w:rPr>
        <w:t>’</w:t>
      </w:r>
      <w:r w:rsidR="002D6B30" w:rsidRPr="006834CE">
        <w:rPr>
          <w:lang w:val="en-CA"/>
        </w:rPr>
        <w:t xml:space="preserve">s </w:t>
      </w:r>
      <w:r w:rsidR="00FB13F9" w:rsidRPr="006834CE">
        <w:rPr>
          <w:lang w:val="en-CA"/>
        </w:rPr>
        <w:t>largest trading partner.</w:t>
      </w:r>
      <w:r w:rsidR="00FB13F9" w:rsidRPr="006834CE">
        <w:rPr>
          <w:rStyle w:val="EndnoteReference"/>
          <w:lang w:val="en-CA"/>
        </w:rPr>
        <w:endnoteReference w:id="32"/>
      </w:r>
      <w:r w:rsidR="00FB13F9" w:rsidRPr="006834CE">
        <w:rPr>
          <w:lang w:val="en-CA"/>
        </w:rPr>
        <w:t xml:space="preserve"> Trade </w:t>
      </w:r>
      <w:r w:rsidRPr="006834CE">
        <w:rPr>
          <w:lang w:val="en-CA"/>
        </w:rPr>
        <w:t>between the two countries had</w:t>
      </w:r>
      <w:r w:rsidR="00FB13F9" w:rsidRPr="006834CE">
        <w:rPr>
          <w:lang w:val="en-CA"/>
        </w:rPr>
        <w:t xml:space="preserve"> officially </w:t>
      </w:r>
      <w:r w:rsidRPr="006834CE">
        <w:rPr>
          <w:lang w:val="en-CA"/>
        </w:rPr>
        <w:t xml:space="preserve">started </w:t>
      </w:r>
      <w:r w:rsidR="00FB13F9" w:rsidRPr="006834CE">
        <w:rPr>
          <w:lang w:val="en-CA"/>
        </w:rPr>
        <w:t>in 1978</w:t>
      </w:r>
      <w:r w:rsidR="008539DA" w:rsidRPr="006834CE">
        <w:rPr>
          <w:lang w:val="en-CA"/>
        </w:rPr>
        <w:t>, with both</w:t>
      </w:r>
      <w:r w:rsidR="00FB13F9" w:rsidRPr="006834CE">
        <w:rPr>
          <w:lang w:val="en-CA"/>
        </w:rPr>
        <w:t xml:space="preserve"> grant</w:t>
      </w:r>
      <w:r w:rsidR="008539DA" w:rsidRPr="006834CE">
        <w:rPr>
          <w:lang w:val="en-CA"/>
        </w:rPr>
        <w:t>ing</w:t>
      </w:r>
      <w:r w:rsidR="00FB13F9" w:rsidRPr="006834CE">
        <w:rPr>
          <w:lang w:val="en-CA"/>
        </w:rPr>
        <w:t xml:space="preserve"> Most Favoured Nation (MFN) status to each other</w:t>
      </w:r>
      <w:r w:rsidR="008539DA" w:rsidRPr="006834CE">
        <w:rPr>
          <w:lang w:val="en-CA"/>
        </w:rPr>
        <w:t xml:space="preserve"> several years later, in 1984.</w:t>
      </w:r>
      <w:r w:rsidR="00FB13F9" w:rsidRPr="006834CE">
        <w:rPr>
          <w:rStyle w:val="EndnoteReference"/>
          <w:lang w:val="en-CA"/>
        </w:rPr>
        <w:endnoteReference w:id="33"/>
      </w:r>
      <w:r w:rsidR="00FB13F9" w:rsidRPr="006834CE">
        <w:rPr>
          <w:lang w:val="en-CA"/>
        </w:rPr>
        <w:t xml:space="preserve"> During </w:t>
      </w:r>
      <w:r w:rsidR="008539DA" w:rsidRPr="006834CE">
        <w:rPr>
          <w:lang w:val="en-CA"/>
        </w:rPr>
        <w:t xml:space="preserve">FY </w:t>
      </w:r>
      <w:r w:rsidR="00FB13F9" w:rsidRPr="006834CE">
        <w:rPr>
          <w:lang w:val="en-CA"/>
        </w:rPr>
        <w:t>2019</w:t>
      </w:r>
      <w:r w:rsidR="008539DA" w:rsidRPr="006834CE">
        <w:rPr>
          <w:lang w:val="en-CA"/>
        </w:rPr>
        <w:t>–</w:t>
      </w:r>
      <w:r w:rsidR="00FB13F9" w:rsidRPr="006834CE">
        <w:rPr>
          <w:lang w:val="en-CA"/>
        </w:rPr>
        <w:t>20, India export</w:t>
      </w:r>
      <w:r w:rsidR="008539DA" w:rsidRPr="006834CE">
        <w:rPr>
          <w:lang w:val="en-CA"/>
        </w:rPr>
        <w:t>ed good</w:t>
      </w:r>
      <w:r w:rsidR="00FE5457" w:rsidRPr="006834CE">
        <w:rPr>
          <w:lang w:val="en-CA"/>
        </w:rPr>
        <w:t>s</w:t>
      </w:r>
      <w:r w:rsidR="008539DA" w:rsidRPr="006834CE">
        <w:rPr>
          <w:lang w:val="en-CA"/>
        </w:rPr>
        <w:t xml:space="preserve"> valued at</w:t>
      </w:r>
      <w:r w:rsidR="00FB13F9" w:rsidRPr="006834CE">
        <w:rPr>
          <w:lang w:val="en-CA"/>
        </w:rPr>
        <w:t xml:space="preserve"> US$16.6 billion</w:t>
      </w:r>
      <w:r w:rsidR="008539DA" w:rsidRPr="006834CE">
        <w:rPr>
          <w:lang w:val="en-CA"/>
        </w:rPr>
        <w:t xml:space="preserve"> to China</w:t>
      </w:r>
      <w:r w:rsidR="00FB13F9" w:rsidRPr="006834CE">
        <w:rPr>
          <w:lang w:val="en-CA"/>
        </w:rPr>
        <w:t xml:space="preserve">, </w:t>
      </w:r>
      <w:r w:rsidR="008539DA" w:rsidRPr="006834CE">
        <w:rPr>
          <w:lang w:val="en-CA"/>
        </w:rPr>
        <w:t>while its</w:t>
      </w:r>
      <w:r w:rsidR="00FB13F9" w:rsidRPr="006834CE">
        <w:rPr>
          <w:lang w:val="en-CA"/>
        </w:rPr>
        <w:t xml:space="preserve"> imports </w:t>
      </w:r>
      <w:r w:rsidR="008539DA" w:rsidRPr="006834CE">
        <w:rPr>
          <w:lang w:val="en-CA"/>
        </w:rPr>
        <w:t>amounted to</w:t>
      </w:r>
      <w:r w:rsidR="00FB13F9" w:rsidRPr="006834CE">
        <w:rPr>
          <w:lang w:val="en-CA"/>
        </w:rPr>
        <w:t xml:space="preserve"> US$65.26 billion. </w:t>
      </w:r>
      <w:r w:rsidR="00BC3DA4" w:rsidRPr="006834CE">
        <w:rPr>
          <w:lang w:val="en-CA"/>
        </w:rPr>
        <w:t>T</w:t>
      </w:r>
      <w:r w:rsidR="00FB13F9" w:rsidRPr="006834CE">
        <w:rPr>
          <w:lang w:val="en-CA"/>
        </w:rPr>
        <w:t>he trade deficit of US$48.66 billion was a cause of concern for India</w:t>
      </w:r>
      <w:r w:rsidR="00BC3DA4" w:rsidRPr="006834CE">
        <w:rPr>
          <w:lang w:val="en-CA"/>
        </w:rPr>
        <w:t xml:space="preserve"> but</w:t>
      </w:r>
      <w:r w:rsidR="00FB13F9" w:rsidRPr="006834CE">
        <w:rPr>
          <w:lang w:val="en-CA"/>
        </w:rPr>
        <w:t xml:space="preserve"> was </w:t>
      </w:r>
      <w:r w:rsidR="008539DA" w:rsidRPr="006834CE">
        <w:rPr>
          <w:lang w:val="en-CA"/>
        </w:rPr>
        <w:t xml:space="preserve">lower than </w:t>
      </w:r>
      <w:r w:rsidR="00E66707" w:rsidRPr="006834CE">
        <w:rPr>
          <w:lang w:val="en-CA"/>
        </w:rPr>
        <w:t xml:space="preserve">in </w:t>
      </w:r>
      <w:r w:rsidR="008539DA" w:rsidRPr="006834CE">
        <w:rPr>
          <w:lang w:val="en-CA"/>
        </w:rPr>
        <w:t>both previous years.</w:t>
      </w:r>
      <w:r w:rsidR="0077046A" w:rsidRPr="006834CE">
        <w:rPr>
          <w:rStyle w:val="EndnoteReference"/>
          <w:lang w:val="en-CA"/>
        </w:rPr>
        <w:endnoteReference w:id="34"/>
      </w:r>
      <w:r w:rsidR="00FB13F9" w:rsidRPr="006834CE">
        <w:rPr>
          <w:lang w:val="en-CA"/>
        </w:rPr>
        <w:t xml:space="preserve"> </w:t>
      </w:r>
      <w:r w:rsidR="0077046A" w:rsidRPr="006834CE">
        <w:rPr>
          <w:lang w:val="en-CA"/>
        </w:rPr>
        <w:t xml:space="preserve">China accounted for </w:t>
      </w:r>
      <w:r w:rsidR="008539DA" w:rsidRPr="006834CE">
        <w:rPr>
          <w:lang w:val="en-CA"/>
        </w:rPr>
        <w:t xml:space="preserve">a considerable amount of </w:t>
      </w:r>
      <w:r w:rsidR="0077046A" w:rsidRPr="006834CE">
        <w:rPr>
          <w:lang w:val="en-CA"/>
        </w:rPr>
        <w:t>nearly 10.6</w:t>
      </w:r>
      <w:r w:rsidR="00FA7411" w:rsidRPr="006834CE">
        <w:rPr>
          <w:lang w:val="en-CA"/>
        </w:rPr>
        <w:t xml:space="preserve"> per cent</w:t>
      </w:r>
      <w:r w:rsidR="0077046A" w:rsidRPr="006834CE">
        <w:rPr>
          <w:lang w:val="en-CA"/>
        </w:rPr>
        <w:t xml:space="preserve"> of India</w:t>
      </w:r>
      <w:r w:rsidR="008539DA" w:rsidRPr="006834CE">
        <w:rPr>
          <w:lang w:val="en-CA"/>
        </w:rPr>
        <w:t>’</w:t>
      </w:r>
      <w:r w:rsidR="009D663C" w:rsidRPr="006834CE">
        <w:rPr>
          <w:lang w:val="en-CA"/>
        </w:rPr>
        <w:t>s</w:t>
      </w:r>
      <w:r w:rsidR="0077046A" w:rsidRPr="006834CE">
        <w:rPr>
          <w:lang w:val="en-CA"/>
        </w:rPr>
        <w:t xml:space="preserve"> international trade</w:t>
      </w:r>
      <w:r w:rsidR="005B2C46" w:rsidRPr="006834CE">
        <w:rPr>
          <w:lang w:val="en-CA"/>
        </w:rPr>
        <w:t xml:space="preserve">, </w:t>
      </w:r>
      <w:r w:rsidR="008539DA" w:rsidRPr="006834CE">
        <w:rPr>
          <w:lang w:val="en-CA"/>
        </w:rPr>
        <w:t xml:space="preserve">whereas </w:t>
      </w:r>
      <w:r w:rsidR="0077046A" w:rsidRPr="006834CE">
        <w:rPr>
          <w:lang w:val="en-CA"/>
        </w:rPr>
        <w:t xml:space="preserve">India </w:t>
      </w:r>
      <w:r w:rsidR="008539DA" w:rsidRPr="006834CE">
        <w:rPr>
          <w:lang w:val="en-CA"/>
        </w:rPr>
        <w:t xml:space="preserve">was </w:t>
      </w:r>
      <w:r w:rsidR="00CB5E60" w:rsidRPr="006834CE">
        <w:rPr>
          <w:lang w:val="en-CA"/>
        </w:rPr>
        <w:t>China’s</w:t>
      </w:r>
      <w:r w:rsidR="0077046A" w:rsidRPr="006834CE">
        <w:rPr>
          <w:lang w:val="en-CA"/>
        </w:rPr>
        <w:t xml:space="preserve"> 12</w:t>
      </w:r>
      <w:r w:rsidR="008539DA" w:rsidRPr="006834CE">
        <w:rPr>
          <w:lang w:val="en-CA"/>
        </w:rPr>
        <w:t xml:space="preserve">th-largest </w:t>
      </w:r>
      <w:r w:rsidR="002D6B30" w:rsidRPr="006834CE">
        <w:rPr>
          <w:lang w:val="en-CA"/>
        </w:rPr>
        <w:t>trading partner</w:t>
      </w:r>
      <w:r w:rsidR="0077046A" w:rsidRPr="006834CE">
        <w:rPr>
          <w:lang w:val="en-CA"/>
        </w:rPr>
        <w:t xml:space="preserve">, </w:t>
      </w:r>
      <w:r w:rsidR="00CB5E60" w:rsidRPr="006834CE">
        <w:rPr>
          <w:lang w:val="en-CA"/>
        </w:rPr>
        <w:t>providing only</w:t>
      </w:r>
      <w:r w:rsidR="0077046A" w:rsidRPr="006834CE">
        <w:rPr>
          <w:lang w:val="en-CA"/>
        </w:rPr>
        <w:t xml:space="preserve"> 2.1</w:t>
      </w:r>
      <w:r w:rsidR="00FA7411" w:rsidRPr="006834CE">
        <w:rPr>
          <w:lang w:val="en-CA"/>
        </w:rPr>
        <w:t xml:space="preserve"> per cent</w:t>
      </w:r>
      <w:r w:rsidR="0077046A" w:rsidRPr="006834CE">
        <w:rPr>
          <w:lang w:val="en-CA"/>
        </w:rPr>
        <w:t xml:space="preserve"> of Chin</w:t>
      </w:r>
      <w:r w:rsidR="00CB5E60" w:rsidRPr="006834CE">
        <w:rPr>
          <w:lang w:val="en-CA"/>
        </w:rPr>
        <w:t>a’</w:t>
      </w:r>
      <w:r w:rsidR="0077046A" w:rsidRPr="006834CE">
        <w:rPr>
          <w:lang w:val="en-CA"/>
        </w:rPr>
        <w:t xml:space="preserve">s trade. </w:t>
      </w:r>
      <w:r w:rsidR="00CB5E60" w:rsidRPr="006834CE">
        <w:rPr>
          <w:lang w:val="en-CA"/>
        </w:rPr>
        <w:t xml:space="preserve">In India, </w:t>
      </w:r>
      <w:r w:rsidR="005B2C46" w:rsidRPr="006834CE">
        <w:rPr>
          <w:lang w:val="en-CA"/>
        </w:rPr>
        <w:t>15.3</w:t>
      </w:r>
      <w:r w:rsidR="00FA7411" w:rsidRPr="006834CE">
        <w:rPr>
          <w:lang w:val="en-CA"/>
        </w:rPr>
        <w:t xml:space="preserve"> per cent</w:t>
      </w:r>
      <w:r w:rsidR="005B2C46" w:rsidRPr="006834CE">
        <w:rPr>
          <w:lang w:val="en-CA"/>
        </w:rPr>
        <w:t xml:space="preserve"> of all imports came from China</w:t>
      </w:r>
      <w:r w:rsidR="00CB5E60" w:rsidRPr="006834CE">
        <w:rPr>
          <w:lang w:val="en-CA"/>
        </w:rPr>
        <w:t>,</w:t>
      </w:r>
      <w:r w:rsidR="005B2C46" w:rsidRPr="006834CE">
        <w:rPr>
          <w:lang w:val="en-CA"/>
        </w:rPr>
        <w:t xml:space="preserve"> wh</w:t>
      </w:r>
      <w:r w:rsidR="00CB5E60" w:rsidRPr="006834CE">
        <w:rPr>
          <w:lang w:val="en-CA"/>
        </w:rPr>
        <w:t>ile India provided</w:t>
      </w:r>
      <w:r w:rsidR="005B2C46" w:rsidRPr="006834CE">
        <w:rPr>
          <w:lang w:val="en-CA"/>
        </w:rPr>
        <w:t xml:space="preserve"> only 5.1</w:t>
      </w:r>
      <w:r w:rsidR="00FA7411" w:rsidRPr="006834CE">
        <w:rPr>
          <w:lang w:val="en-CA"/>
        </w:rPr>
        <w:t xml:space="preserve"> per cent</w:t>
      </w:r>
      <w:r w:rsidR="005B2C46" w:rsidRPr="006834CE">
        <w:rPr>
          <w:lang w:val="en-CA"/>
        </w:rPr>
        <w:t xml:space="preserve"> of </w:t>
      </w:r>
      <w:r w:rsidR="00CB5E60" w:rsidRPr="006834CE">
        <w:rPr>
          <w:lang w:val="en-CA"/>
        </w:rPr>
        <w:t>its exports to China</w:t>
      </w:r>
      <w:r w:rsidR="005B2C46" w:rsidRPr="006834CE">
        <w:rPr>
          <w:lang w:val="en-CA"/>
        </w:rPr>
        <w:t>.</w:t>
      </w:r>
      <w:r w:rsidR="005B2C46" w:rsidRPr="006834CE">
        <w:rPr>
          <w:rStyle w:val="EndnoteReference"/>
          <w:lang w:val="en-CA"/>
        </w:rPr>
        <w:endnoteReference w:id="35"/>
      </w:r>
    </w:p>
    <w:p w14:paraId="2186CE2E" w14:textId="77777777" w:rsidR="00CB5E60" w:rsidRPr="006834CE" w:rsidRDefault="00CB5E60" w:rsidP="0077046A">
      <w:pPr>
        <w:pStyle w:val="BodyTextMain"/>
        <w:rPr>
          <w:lang w:val="en-CA"/>
        </w:rPr>
      </w:pPr>
    </w:p>
    <w:p w14:paraId="10FE5726" w14:textId="3B098399" w:rsidR="0077046A" w:rsidRPr="006834CE" w:rsidRDefault="00CB5E60" w:rsidP="0077046A">
      <w:pPr>
        <w:pStyle w:val="BodyTextMain"/>
        <w:rPr>
          <w:lang w:val="en-CA"/>
        </w:rPr>
      </w:pPr>
      <w:r w:rsidRPr="006834CE">
        <w:rPr>
          <w:lang w:val="en-CA"/>
        </w:rPr>
        <w:lastRenderedPageBreak/>
        <w:t>The i</w:t>
      </w:r>
      <w:r w:rsidR="00473EB7" w:rsidRPr="006834CE">
        <w:rPr>
          <w:lang w:val="en-CA"/>
        </w:rPr>
        <w:t>mport of telecom</w:t>
      </w:r>
      <w:r w:rsidRPr="006834CE">
        <w:rPr>
          <w:lang w:val="en-CA"/>
        </w:rPr>
        <w:t>munication</w:t>
      </w:r>
      <w:r w:rsidR="00473EB7" w:rsidRPr="006834CE">
        <w:rPr>
          <w:lang w:val="en-CA"/>
        </w:rPr>
        <w:t xml:space="preserve"> and electronic equipment</w:t>
      </w:r>
      <w:r w:rsidR="009D663C" w:rsidRPr="006834CE">
        <w:rPr>
          <w:lang w:val="en-CA"/>
        </w:rPr>
        <w:t xml:space="preserve"> wa</w:t>
      </w:r>
      <w:r w:rsidR="00473EB7" w:rsidRPr="006834CE">
        <w:rPr>
          <w:lang w:val="en-CA"/>
        </w:rPr>
        <w:t>s critical for the</w:t>
      </w:r>
      <w:r w:rsidRPr="006834CE">
        <w:rPr>
          <w:lang w:val="en-CA"/>
        </w:rPr>
        <w:t xml:space="preserve"> government’s</w:t>
      </w:r>
      <w:r w:rsidR="00473EB7" w:rsidRPr="006834CE">
        <w:rPr>
          <w:lang w:val="en-CA"/>
        </w:rPr>
        <w:t xml:space="preserve"> Digital India</w:t>
      </w:r>
      <w:r w:rsidR="00E66707" w:rsidRPr="006834CE">
        <w:rPr>
          <w:lang w:val="en-CA"/>
        </w:rPr>
        <w:t xml:space="preserve"> initiative, a</w:t>
      </w:r>
      <w:r w:rsidR="00473EB7" w:rsidRPr="006834CE">
        <w:rPr>
          <w:lang w:val="en-CA"/>
        </w:rPr>
        <w:t xml:space="preserve"> program</w:t>
      </w:r>
      <w:r w:rsidR="00E66707" w:rsidRPr="006834CE">
        <w:rPr>
          <w:lang w:val="en-CA"/>
        </w:rPr>
        <w:t xml:space="preserve"> that</w:t>
      </w:r>
      <w:r w:rsidRPr="006834CE">
        <w:rPr>
          <w:lang w:val="en-CA"/>
        </w:rPr>
        <w:t xml:space="preserve"> encouraged a knowledge economy in </w:t>
      </w:r>
      <w:r w:rsidR="00E66707" w:rsidRPr="006834CE">
        <w:rPr>
          <w:lang w:val="en-CA"/>
        </w:rPr>
        <w:t>India. T</w:t>
      </w:r>
      <w:r w:rsidR="009D663C" w:rsidRPr="006834CE">
        <w:rPr>
          <w:lang w:val="en-CA"/>
        </w:rPr>
        <w:t xml:space="preserve">he </w:t>
      </w:r>
      <w:r w:rsidR="00473EB7" w:rsidRPr="006834CE">
        <w:rPr>
          <w:lang w:val="en-CA"/>
        </w:rPr>
        <w:t>import of Active Pha</w:t>
      </w:r>
      <w:r w:rsidR="009D663C" w:rsidRPr="006834CE">
        <w:rPr>
          <w:lang w:val="en-CA"/>
        </w:rPr>
        <w:t xml:space="preserve">rmaceutical </w:t>
      </w:r>
      <w:r w:rsidR="002D6B30" w:rsidRPr="006834CE">
        <w:rPr>
          <w:lang w:val="en-CA"/>
        </w:rPr>
        <w:t>I</w:t>
      </w:r>
      <w:r w:rsidR="009D663C" w:rsidRPr="006834CE">
        <w:rPr>
          <w:lang w:val="en-CA"/>
        </w:rPr>
        <w:t>ngredients (API) wa</w:t>
      </w:r>
      <w:r w:rsidR="00473EB7" w:rsidRPr="006834CE">
        <w:rPr>
          <w:lang w:val="en-CA"/>
        </w:rPr>
        <w:t>s</w:t>
      </w:r>
      <w:r w:rsidR="00E66707" w:rsidRPr="006834CE">
        <w:rPr>
          <w:lang w:val="en-CA"/>
        </w:rPr>
        <w:t xml:space="preserve"> also</w:t>
      </w:r>
      <w:r w:rsidR="00473EB7" w:rsidRPr="006834CE">
        <w:rPr>
          <w:lang w:val="en-CA"/>
        </w:rPr>
        <w:t xml:space="preserve"> </w:t>
      </w:r>
      <w:r w:rsidR="009D663C" w:rsidRPr="006834CE">
        <w:rPr>
          <w:lang w:val="en-CA"/>
        </w:rPr>
        <w:t>essential f</w:t>
      </w:r>
      <w:r w:rsidR="00473EB7" w:rsidRPr="006834CE">
        <w:rPr>
          <w:lang w:val="en-CA"/>
        </w:rPr>
        <w:t xml:space="preserve">or Indian pharmaceutical companies </w:t>
      </w:r>
      <w:r w:rsidRPr="006834CE">
        <w:rPr>
          <w:lang w:val="en-CA"/>
        </w:rPr>
        <w:t xml:space="preserve">to </w:t>
      </w:r>
      <w:r w:rsidR="00853104" w:rsidRPr="006834CE">
        <w:rPr>
          <w:lang w:val="en-CA"/>
        </w:rPr>
        <w:t xml:space="preserve">be able to </w:t>
      </w:r>
      <w:r w:rsidR="00E66707" w:rsidRPr="006834CE">
        <w:rPr>
          <w:lang w:val="en-CA"/>
        </w:rPr>
        <w:t xml:space="preserve">produce and </w:t>
      </w:r>
      <w:r w:rsidR="00473EB7" w:rsidRPr="006834CE">
        <w:rPr>
          <w:lang w:val="en-CA"/>
        </w:rPr>
        <w:t>export</w:t>
      </w:r>
      <w:r w:rsidRPr="006834CE">
        <w:rPr>
          <w:lang w:val="en-CA"/>
        </w:rPr>
        <w:t xml:space="preserve"> lower priced</w:t>
      </w:r>
      <w:r w:rsidR="00473EB7" w:rsidRPr="006834CE">
        <w:rPr>
          <w:lang w:val="en-CA"/>
        </w:rPr>
        <w:t xml:space="preserve"> medicines </w:t>
      </w:r>
      <w:r w:rsidR="00853104" w:rsidRPr="006834CE">
        <w:rPr>
          <w:lang w:val="en-CA"/>
        </w:rPr>
        <w:t>across the globe</w:t>
      </w:r>
      <w:r w:rsidR="002D6B30" w:rsidRPr="006834CE">
        <w:rPr>
          <w:lang w:val="en-CA"/>
        </w:rPr>
        <w:t>.</w:t>
      </w:r>
      <w:r w:rsidR="00853104" w:rsidRPr="006834CE">
        <w:rPr>
          <w:lang w:val="en-CA"/>
        </w:rPr>
        <w:t xml:space="preserve"> India’s demand for APIs was met mainly by Chin</w:t>
      </w:r>
      <w:r w:rsidR="00E66707" w:rsidRPr="006834CE">
        <w:rPr>
          <w:lang w:val="en-CA"/>
        </w:rPr>
        <w:t>a</w:t>
      </w:r>
      <w:r w:rsidR="00853104" w:rsidRPr="006834CE">
        <w:rPr>
          <w:lang w:val="en-CA"/>
        </w:rPr>
        <w:t xml:space="preserve">, </w:t>
      </w:r>
      <w:r w:rsidR="00E66707" w:rsidRPr="006834CE">
        <w:rPr>
          <w:lang w:val="en-CA"/>
        </w:rPr>
        <w:t>which provided</w:t>
      </w:r>
      <w:r w:rsidR="00853104" w:rsidRPr="006834CE">
        <w:rPr>
          <w:lang w:val="en-CA"/>
        </w:rPr>
        <w:t xml:space="preserve"> 70 per cent </w:t>
      </w:r>
      <w:r w:rsidR="00E66707" w:rsidRPr="006834CE">
        <w:rPr>
          <w:lang w:val="en-CA"/>
        </w:rPr>
        <w:t>of APIs to India</w:t>
      </w:r>
      <w:r w:rsidR="00853104" w:rsidRPr="006834CE">
        <w:rPr>
          <w:lang w:val="en-CA"/>
        </w:rPr>
        <w:t>.</w:t>
      </w:r>
      <w:r w:rsidR="002D6B30" w:rsidRPr="006834CE">
        <w:rPr>
          <w:lang w:val="en-CA"/>
        </w:rPr>
        <w:t xml:space="preserve"> Other</w:t>
      </w:r>
      <w:r w:rsidR="00473EB7" w:rsidRPr="006834CE">
        <w:rPr>
          <w:lang w:val="en-CA"/>
        </w:rPr>
        <w:t xml:space="preserve"> </w:t>
      </w:r>
      <w:r w:rsidR="00853104" w:rsidRPr="006834CE">
        <w:rPr>
          <w:lang w:val="en-CA"/>
        </w:rPr>
        <w:t xml:space="preserve">essential </w:t>
      </w:r>
      <w:r w:rsidR="00473EB7" w:rsidRPr="006834CE">
        <w:rPr>
          <w:lang w:val="en-CA"/>
        </w:rPr>
        <w:t>imports from China included motorcycle parts, solar photovoltaic cells</w:t>
      </w:r>
      <w:r w:rsidR="00853104" w:rsidRPr="006834CE">
        <w:rPr>
          <w:lang w:val="en-CA"/>
        </w:rPr>
        <w:t>,</w:t>
      </w:r>
      <w:r w:rsidR="00473EB7" w:rsidRPr="006834CE">
        <w:rPr>
          <w:lang w:val="en-CA"/>
        </w:rPr>
        <w:t xml:space="preserve"> and synthetic and artificial woven yarn.</w:t>
      </w:r>
      <w:r w:rsidR="00473EB7" w:rsidRPr="006834CE">
        <w:rPr>
          <w:rStyle w:val="EndnoteReference"/>
          <w:lang w:val="en-CA"/>
        </w:rPr>
        <w:endnoteReference w:id="36"/>
      </w:r>
      <w:r w:rsidR="00CC2B32" w:rsidRPr="006834CE">
        <w:rPr>
          <w:lang w:val="en-CA"/>
        </w:rPr>
        <w:t xml:space="preserve"> </w:t>
      </w:r>
      <w:r w:rsidR="00853104" w:rsidRPr="006834CE">
        <w:rPr>
          <w:lang w:val="en-CA"/>
        </w:rPr>
        <w:t xml:space="preserve">Similar to </w:t>
      </w:r>
      <w:r w:rsidR="00E66707" w:rsidRPr="006834CE">
        <w:rPr>
          <w:lang w:val="en-CA"/>
        </w:rPr>
        <w:t xml:space="preserve">the need by </w:t>
      </w:r>
      <w:r w:rsidR="00853104" w:rsidRPr="006834CE">
        <w:rPr>
          <w:lang w:val="en-CA"/>
        </w:rPr>
        <w:t xml:space="preserve">Indian </w:t>
      </w:r>
      <w:r w:rsidR="00E66707" w:rsidRPr="006834CE">
        <w:rPr>
          <w:lang w:val="en-CA"/>
        </w:rPr>
        <w:t xml:space="preserve">pharmaceutical </w:t>
      </w:r>
      <w:r w:rsidR="00853104" w:rsidRPr="006834CE">
        <w:rPr>
          <w:lang w:val="en-CA"/>
        </w:rPr>
        <w:t>companies</w:t>
      </w:r>
      <w:r w:rsidR="00E66707" w:rsidRPr="006834CE">
        <w:rPr>
          <w:lang w:val="en-CA"/>
        </w:rPr>
        <w:t>,</w:t>
      </w:r>
      <w:r w:rsidR="00AD7A13" w:rsidRPr="006834CE">
        <w:rPr>
          <w:lang w:val="en-CA"/>
        </w:rPr>
        <w:t xml:space="preserve"> </w:t>
      </w:r>
      <w:r w:rsidR="00E66707" w:rsidRPr="006834CE">
        <w:rPr>
          <w:lang w:val="en-CA"/>
        </w:rPr>
        <w:t xml:space="preserve">India’s </w:t>
      </w:r>
      <w:r w:rsidR="00AD7A13" w:rsidRPr="006834CE">
        <w:rPr>
          <w:lang w:val="en-CA"/>
        </w:rPr>
        <w:t xml:space="preserve">consumer electronics </w:t>
      </w:r>
      <w:r w:rsidR="00853104" w:rsidRPr="006834CE">
        <w:rPr>
          <w:lang w:val="en-CA"/>
        </w:rPr>
        <w:t xml:space="preserve">companies </w:t>
      </w:r>
      <w:r w:rsidR="00E66707" w:rsidRPr="006834CE">
        <w:rPr>
          <w:lang w:val="en-CA"/>
        </w:rPr>
        <w:t>were heavily dependent on</w:t>
      </w:r>
      <w:r w:rsidR="00853104" w:rsidRPr="006834CE">
        <w:rPr>
          <w:lang w:val="en-CA"/>
        </w:rPr>
        <w:t xml:space="preserve"> </w:t>
      </w:r>
      <w:r w:rsidR="00AD7A13" w:rsidRPr="006834CE">
        <w:rPr>
          <w:lang w:val="en-CA"/>
        </w:rPr>
        <w:t xml:space="preserve">components from China. </w:t>
      </w:r>
      <w:r w:rsidR="00853104" w:rsidRPr="006834CE">
        <w:rPr>
          <w:lang w:val="en-CA"/>
        </w:rPr>
        <w:t>In fact, if an</w:t>
      </w:r>
      <w:r w:rsidR="00AD7A13" w:rsidRPr="006834CE">
        <w:rPr>
          <w:lang w:val="en-CA"/>
        </w:rPr>
        <w:t xml:space="preserve"> immediate embargo</w:t>
      </w:r>
      <w:r w:rsidR="00853104" w:rsidRPr="006834CE">
        <w:rPr>
          <w:lang w:val="en-CA"/>
        </w:rPr>
        <w:t xml:space="preserve"> were to happen, it</w:t>
      </w:r>
      <w:r w:rsidR="00AD7A13" w:rsidRPr="006834CE">
        <w:rPr>
          <w:lang w:val="en-CA"/>
        </w:rPr>
        <w:t xml:space="preserve"> would paralyze </w:t>
      </w:r>
      <w:r w:rsidR="00853104" w:rsidRPr="006834CE">
        <w:rPr>
          <w:lang w:val="en-CA"/>
        </w:rPr>
        <w:t>India’s consumer electronics</w:t>
      </w:r>
      <w:r w:rsidR="00AD7A13" w:rsidRPr="006834CE">
        <w:rPr>
          <w:lang w:val="en-CA"/>
        </w:rPr>
        <w:t xml:space="preserve"> industry</w:t>
      </w:r>
      <w:r w:rsidR="00853104" w:rsidRPr="006834CE">
        <w:rPr>
          <w:lang w:val="en-CA"/>
        </w:rPr>
        <w:t>, which would need a great deal</w:t>
      </w:r>
      <w:r w:rsidR="00AD7A13" w:rsidRPr="006834CE">
        <w:rPr>
          <w:lang w:val="en-CA"/>
        </w:rPr>
        <w:t xml:space="preserve"> of time </w:t>
      </w:r>
      <w:r w:rsidR="00BC3DA4" w:rsidRPr="006834CE">
        <w:rPr>
          <w:lang w:val="en-CA"/>
        </w:rPr>
        <w:t xml:space="preserve">to </w:t>
      </w:r>
      <w:r w:rsidR="00AD7A13" w:rsidRPr="006834CE">
        <w:rPr>
          <w:lang w:val="en-CA"/>
        </w:rPr>
        <w:t>set up</w:t>
      </w:r>
      <w:r w:rsidR="00853104" w:rsidRPr="006834CE">
        <w:rPr>
          <w:lang w:val="en-CA"/>
        </w:rPr>
        <w:t xml:space="preserve"> </w:t>
      </w:r>
      <w:r w:rsidR="00E66707" w:rsidRPr="006834CE">
        <w:rPr>
          <w:lang w:val="en-CA"/>
        </w:rPr>
        <w:t xml:space="preserve">new </w:t>
      </w:r>
      <w:r w:rsidR="00AD7A13" w:rsidRPr="006834CE">
        <w:rPr>
          <w:lang w:val="en-CA"/>
        </w:rPr>
        <w:t>local supply chains.</w:t>
      </w:r>
      <w:r w:rsidR="00AD7A13" w:rsidRPr="006834CE">
        <w:rPr>
          <w:rStyle w:val="EndnoteReference"/>
          <w:lang w:val="en-CA"/>
        </w:rPr>
        <w:endnoteReference w:id="37"/>
      </w:r>
      <w:r w:rsidR="00AD7A13" w:rsidRPr="006834CE">
        <w:rPr>
          <w:lang w:val="en-CA"/>
        </w:rPr>
        <w:t xml:space="preserve"> </w:t>
      </w:r>
    </w:p>
    <w:p w14:paraId="67883C7A" w14:textId="2339CAC4" w:rsidR="00AA4A0F" w:rsidRPr="006834CE" w:rsidRDefault="00AA4A0F" w:rsidP="00FB13F9">
      <w:pPr>
        <w:pStyle w:val="BodyTextMain"/>
        <w:rPr>
          <w:lang w:val="en-CA"/>
        </w:rPr>
      </w:pPr>
    </w:p>
    <w:p w14:paraId="6902032C" w14:textId="4418C1DD" w:rsidR="00FB13F9" w:rsidRPr="006834CE" w:rsidRDefault="00AA4A0F" w:rsidP="00FB13F9">
      <w:pPr>
        <w:pStyle w:val="BodyTextMain"/>
        <w:rPr>
          <w:lang w:val="en-CA"/>
        </w:rPr>
      </w:pPr>
      <w:r w:rsidRPr="006834CE">
        <w:rPr>
          <w:lang w:val="en-CA"/>
        </w:rPr>
        <w:t xml:space="preserve">China was a leading investor in India. </w:t>
      </w:r>
      <w:r w:rsidR="00853104" w:rsidRPr="006834CE">
        <w:rPr>
          <w:lang w:val="en-CA"/>
        </w:rPr>
        <w:t>Between</w:t>
      </w:r>
      <w:r w:rsidRPr="006834CE">
        <w:rPr>
          <w:lang w:val="en-CA"/>
        </w:rPr>
        <w:t xml:space="preserve"> April 2014 </w:t>
      </w:r>
      <w:r w:rsidR="00853104" w:rsidRPr="006834CE">
        <w:rPr>
          <w:lang w:val="en-CA"/>
        </w:rPr>
        <w:t>and</w:t>
      </w:r>
      <w:r w:rsidRPr="006834CE">
        <w:rPr>
          <w:lang w:val="en-CA"/>
        </w:rPr>
        <w:t xml:space="preserve"> March 2019</w:t>
      </w:r>
      <w:r w:rsidR="002D6B30" w:rsidRPr="006834CE">
        <w:rPr>
          <w:lang w:val="en-CA"/>
        </w:rPr>
        <w:t>,</w:t>
      </w:r>
      <w:r w:rsidRPr="006834CE">
        <w:rPr>
          <w:lang w:val="en-CA"/>
        </w:rPr>
        <w:t xml:space="preserve"> India received cumulative </w:t>
      </w:r>
      <w:r w:rsidR="00853104" w:rsidRPr="006834CE">
        <w:rPr>
          <w:lang w:val="en-CA"/>
        </w:rPr>
        <w:t xml:space="preserve">Chinese </w:t>
      </w:r>
      <w:r w:rsidR="00D3157A" w:rsidRPr="006834CE">
        <w:rPr>
          <w:lang w:val="en-CA"/>
        </w:rPr>
        <w:t>f</w:t>
      </w:r>
      <w:r w:rsidR="00853104" w:rsidRPr="006834CE">
        <w:rPr>
          <w:lang w:val="en-CA"/>
        </w:rPr>
        <w:t xml:space="preserve">oreign </w:t>
      </w:r>
      <w:r w:rsidR="00D3157A" w:rsidRPr="006834CE">
        <w:rPr>
          <w:lang w:val="en-CA"/>
        </w:rPr>
        <w:t>d</w:t>
      </w:r>
      <w:r w:rsidR="00853104" w:rsidRPr="006834CE">
        <w:rPr>
          <w:lang w:val="en-CA"/>
        </w:rPr>
        <w:t xml:space="preserve">irect </w:t>
      </w:r>
      <w:r w:rsidR="00D3157A" w:rsidRPr="006834CE">
        <w:rPr>
          <w:lang w:val="en-CA"/>
        </w:rPr>
        <w:t>i</w:t>
      </w:r>
      <w:r w:rsidR="00853104" w:rsidRPr="006834CE">
        <w:rPr>
          <w:lang w:val="en-CA"/>
        </w:rPr>
        <w:t>nvestment</w:t>
      </w:r>
      <w:r w:rsidRPr="006834CE">
        <w:rPr>
          <w:lang w:val="en-CA"/>
        </w:rPr>
        <w:t xml:space="preserve"> of US$1.81 billion from China</w:t>
      </w:r>
      <w:r w:rsidR="00D3157A" w:rsidRPr="006834CE">
        <w:rPr>
          <w:lang w:val="en-CA"/>
        </w:rPr>
        <w:t>, with</w:t>
      </w:r>
      <w:r w:rsidR="002D6B30" w:rsidRPr="006834CE">
        <w:rPr>
          <w:lang w:val="en-CA"/>
        </w:rPr>
        <w:t xml:space="preserve"> significant</w:t>
      </w:r>
      <w:r w:rsidRPr="006834CE">
        <w:rPr>
          <w:lang w:val="en-CA"/>
        </w:rPr>
        <w:t xml:space="preserve"> investment</w:t>
      </w:r>
      <w:r w:rsidR="00D3157A" w:rsidRPr="006834CE">
        <w:rPr>
          <w:lang w:val="en-CA"/>
        </w:rPr>
        <w:t xml:space="preserve"> amount</w:t>
      </w:r>
      <w:r w:rsidRPr="006834CE">
        <w:rPr>
          <w:lang w:val="en-CA"/>
        </w:rPr>
        <w:t xml:space="preserve">s in </w:t>
      </w:r>
      <w:r w:rsidR="002D6B30" w:rsidRPr="006834CE">
        <w:rPr>
          <w:lang w:val="en-CA"/>
        </w:rPr>
        <w:t xml:space="preserve">the </w:t>
      </w:r>
      <w:r w:rsidRPr="006834CE">
        <w:rPr>
          <w:lang w:val="en-CA"/>
        </w:rPr>
        <w:t xml:space="preserve">automobile industry, </w:t>
      </w:r>
      <w:r w:rsidR="00D3157A" w:rsidRPr="006834CE">
        <w:rPr>
          <w:lang w:val="en-CA"/>
        </w:rPr>
        <w:t xml:space="preserve">the </w:t>
      </w:r>
      <w:r w:rsidR="00A45976" w:rsidRPr="006834CE">
        <w:rPr>
          <w:lang w:val="en-CA"/>
        </w:rPr>
        <w:t xml:space="preserve">manufacturing of </w:t>
      </w:r>
      <w:r w:rsidRPr="006834CE">
        <w:rPr>
          <w:lang w:val="en-CA"/>
        </w:rPr>
        <w:t>electrical equipment</w:t>
      </w:r>
      <w:r w:rsidR="00D3157A" w:rsidRPr="006834CE">
        <w:rPr>
          <w:lang w:val="en-CA"/>
        </w:rPr>
        <w:t>,</w:t>
      </w:r>
      <w:r w:rsidRPr="006834CE">
        <w:rPr>
          <w:lang w:val="en-CA"/>
        </w:rPr>
        <w:t xml:space="preserve"> and </w:t>
      </w:r>
      <w:r w:rsidR="00D3157A" w:rsidRPr="006834CE">
        <w:rPr>
          <w:lang w:val="en-CA"/>
        </w:rPr>
        <w:t xml:space="preserve">the </w:t>
      </w:r>
      <w:r w:rsidRPr="006834CE">
        <w:rPr>
          <w:lang w:val="en-CA"/>
        </w:rPr>
        <w:t>services industry.</w:t>
      </w:r>
      <w:r w:rsidRPr="006834CE">
        <w:rPr>
          <w:rStyle w:val="EndnoteReference"/>
          <w:lang w:val="en-CA"/>
        </w:rPr>
        <w:endnoteReference w:id="38"/>
      </w:r>
      <w:r w:rsidRPr="006834CE">
        <w:rPr>
          <w:lang w:val="en-CA"/>
        </w:rPr>
        <w:t xml:space="preserve"> </w:t>
      </w:r>
      <w:r w:rsidR="00F20EAB" w:rsidRPr="006834CE">
        <w:rPr>
          <w:lang w:val="en-CA"/>
        </w:rPr>
        <w:t>Nearly 75</w:t>
      </w:r>
      <w:r w:rsidR="00FA7411" w:rsidRPr="006834CE">
        <w:rPr>
          <w:lang w:val="en-CA"/>
        </w:rPr>
        <w:t xml:space="preserve"> per cent</w:t>
      </w:r>
      <w:r w:rsidR="00F20EAB" w:rsidRPr="006834CE">
        <w:rPr>
          <w:lang w:val="en-CA"/>
        </w:rPr>
        <w:t xml:space="preserve"> </w:t>
      </w:r>
      <w:r w:rsidR="00F34F08" w:rsidRPr="006834CE">
        <w:rPr>
          <w:lang w:val="en-CA"/>
        </w:rPr>
        <w:t xml:space="preserve">of the Chinese </w:t>
      </w:r>
      <w:r w:rsidR="00F20EAB" w:rsidRPr="006834CE">
        <w:rPr>
          <w:lang w:val="en-CA"/>
        </w:rPr>
        <w:t>companies operating in India were registered as private companies</w:t>
      </w:r>
      <w:r w:rsidR="00D3157A" w:rsidRPr="006834CE">
        <w:rPr>
          <w:lang w:val="en-CA"/>
        </w:rPr>
        <w:t>, and</w:t>
      </w:r>
      <w:r w:rsidR="00F20EAB" w:rsidRPr="006834CE">
        <w:rPr>
          <w:lang w:val="en-CA"/>
        </w:rPr>
        <w:t xml:space="preserve"> less than 10</w:t>
      </w:r>
      <w:r w:rsidR="00FA7411" w:rsidRPr="006834CE">
        <w:rPr>
          <w:lang w:val="en-CA"/>
        </w:rPr>
        <w:t xml:space="preserve"> per cent</w:t>
      </w:r>
      <w:r w:rsidR="00F20EAB" w:rsidRPr="006834CE">
        <w:rPr>
          <w:lang w:val="en-CA"/>
        </w:rPr>
        <w:t xml:space="preserve"> operate</w:t>
      </w:r>
      <w:r w:rsidR="00A45976" w:rsidRPr="006834CE">
        <w:rPr>
          <w:lang w:val="en-CA"/>
        </w:rPr>
        <w:t>d</w:t>
      </w:r>
      <w:r w:rsidR="00F20EAB" w:rsidRPr="006834CE">
        <w:rPr>
          <w:lang w:val="en-CA"/>
        </w:rPr>
        <w:t xml:space="preserve"> as joint</w:t>
      </w:r>
      <w:r w:rsidR="00D3157A" w:rsidRPr="006834CE">
        <w:rPr>
          <w:lang w:val="en-CA"/>
        </w:rPr>
        <w:t xml:space="preserve"> </w:t>
      </w:r>
      <w:r w:rsidR="00F20EAB" w:rsidRPr="006834CE">
        <w:rPr>
          <w:lang w:val="en-CA"/>
        </w:rPr>
        <w:t>ventures.</w:t>
      </w:r>
      <w:r w:rsidR="001E4CBD" w:rsidRPr="006834CE">
        <w:rPr>
          <w:lang w:val="en-CA"/>
        </w:rPr>
        <w:t xml:space="preserve"> </w:t>
      </w:r>
      <w:r w:rsidR="00D3157A" w:rsidRPr="006834CE">
        <w:rPr>
          <w:lang w:val="en-CA"/>
        </w:rPr>
        <w:t>After 2014, t</w:t>
      </w:r>
      <w:r w:rsidR="002D6B30" w:rsidRPr="006834CE">
        <w:rPr>
          <w:lang w:val="en-CA"/>
        </w:rPr>
        <w:t>he t</w:t>
      </w:r>
      <w:r w:rsidR="001E4CBD" w:rsidRPr="006834CE">
        <w:rPr>
          <w:lang w:val="en-CA"/>
        </w:rPr>
        <w:t xml:space="preserve">echnology sector </w:t>
      </w:r>
      <w:r w:rsidR="00D3157A" w:rsidRPr="006834CE">
        <w:rPr>
          <w:lang w:val="en-CA"/>
        </w:rPr>
        <w:t>became</w:t>
      </w:r>
      <w:r w:rsidR="001E4CBD" w:rsidRPr="006834CE">
        <w:rPr>
          <w:lang w:val="en-CA"/>
        </w:rPr>
        <w:t xml:space="preserve"> the focus of Chinese investment</w:t>
      </w:r>
      <w:r w:rsidR="00D3157A" w:rsidRPr="006834CE">
        <w:rPr>
          <w:lang w:val="en-CA"/>
        </w:rPr>
        <w:t>, with</w:t>
      </w:r>
      <w:r w:rsidR="001E4CBD" w:rsidRPr="006834CE">
        <w:rPr>
          <w:lang w:val="en-CA"/>
        </w:rPr>
        <w:t xml:space="preserve"> companies </w:t>
      </w:r>
      <w:r w:rsidR="00D3157A" w:rsidRPr="006834CE">
        <w:rPr>
          <w:lang w:val="en-CA"/>
        </w:rPr>
        <w:t>such as</w:t>
      </w:r>
      <w:r w:rsidR="001E4CBD" w:rsidRPr="006834CE">
        <w:rPr>
          <w:lang w:val="en-CA"/>
        </w:rPr>
        <w:t xml:space="preserve"> Alibaba </w:t>
      </w:r>
      <w:r w:rsidR="00D3157A" w:rsidRPr="006834CE">
        <w:rPr>
          <w:lang w:val="en-CA"/>
        </w:rPr>
        <w:t xml:space="preserve">Group Holding Limited </w:t>
      </w:r>
      <w:r w:rsidR="001E4CBD" w:rsidRPr="006834CE">
        <w:rPr>
          <w:lang w:val="en-CA"/>
        </w:rPr>
        <w:t xml:space="preserve">and Tencent </w:t>
      </w:r>
      <w:r w:rsidR="00D3157A" w:rsidRPr="006834CE">
        <w:rPr>
          <w:lang w:val="en-CA"/>
        </w:rPr>
        <w:t>Holdings Ltd</w:t>
      </w:r>
      <w:r w:rsidR="00E66707" w:rsidRPr="006834CE">
        <w:rPr>
          <w:lang w:val="en-CA"/>
        </w:rPr>
        <w:t>.</w:t>
      </w:r>
      <w:r w:rsidR="00D3157A" w:rsidRPr="006834CE">
        <w:rPr>
          <w:lang w:val="en-CA"/>
        </w:rPr>
        <w:t xml:space="preserve"> </w:t>
      </w:r>
      <w:r w:rsidR="001E4CBD" w:rsidRPr="006834CE">
        <w:rPr>
          <w:lang w:val="en-CA"/>
        </w:rPr>
        <w:t>ma</w:t>
      </w:r>
      <w:r w:rsidR="00D3157A" w:rsidRPr="006834CE">
        <w:rPr>
          <w:lang w:val="en-CA"/>
        </w:rPr>
        <w:t>king</w:t>
      </w:r>
      <w:r w:rsidR="001E4CBD" w:rsidRPr="006834CE">
        <w:rPr>
          <w:lang w:val="en-CA"/>
        </w:rPr>
        <w:t xml:space="preserve"> significant investments in </w:t>
      </w:r>
      <w:r w:rsidR="00D3157A" w:rsidRPr="006834CE">
        <w:rPr>
          <w:lang w:val="en-CA"/>
        </w:rPr>
        <w:t>e-c</w:t>
      </w:r>
      <w:r w:rsidR="001E4CBD" w:rsidRPr="006834CE">
        <w:rPr>
          <w:lang w:val="en-CA"/>
        </w:rPr>
        <w:t xml:space="preserve">ommerce and </w:t>
      </w:r>
      <w:r w:rsidR="00D3157A" w:rsidRPr="006834CE">
        <w:rPr>
          <w:lang w:val="en-CA"/>
        </w:rPr>
        <w:t>f</w:t>
      </w:r>
      <w:r w:rsidR="001E4CBD" w:rsidRPr="006834CE">
        <w:rPr>
          <w:lang w:val="en-CA"/>
        </w:rPr>
        <w:t>in</w:t>
      </w:r>
      <w:r w:rsidR="00D3157A" w:rsidRPr="006834CE">
        <w:rPr>
          <w:lang w:val="en-CA"/>
        </w:rPr>
        <w:t xml:space="preserve">ancial </w:t>
      </w:r>
      <w:r w:rsidR="001E4CBD" w:rsidRPr="006834CE">
        <w:rPr>
          <w:lang w:val="en-CA"/>
        </w:rPr>
        <w:t>tech</w:t>
      </w:r>
      <w:r w:rsidR="00D3157A" w:rsidRPr="006834CE">
        <w:rPr>
          <w:lang w:val="en-CA"/>
        </w:rPr>
        <w:t>nology</w:t>
      </w:r>
      <w:r w:rsidR="001E4CBD" w:rsidRPr="006834CE">
        <w:rPr>
          <w:lang w:val="en-CA"/>
        </w:rPr>
        <w:t>.</w:t>
      </w:r>
      <w:r w:rsidR="00F20EAB" w:rsidRPr="006834CE">
        <w:rPr>
          <w:rStyle w:val="EndnoteReference"/>
          <w:lang w:val="en-CA"/>
        </w:rPr>
        <w:endnoteReference w:id="39"/>
      </w:r>
      <w:r w:rsidR="00F20EAB" w:rsidRPr="006834CE">
        <w:rPr>
          <w:lang w:val="en-CA"/>
        </w:rPr>
        <w:t xml:space="preserve"> </w:t>
      </w:r>
    </w:p>
    <w:p w14:paraId="34DAAC8A" w14:textId="2E1A0D56" w:rsidR="00FB13F9" w:rsidRPr="006834CE" w:rsidRDefault="00FB13F9" w:rsidP="00FB13F9">
      <w:pPr>
        <w:pStyle w:val="BodyTextMain"/>
        <w:rPr>
          <w:lang w:val="en-CA"/>
        </w:rPr>
      </w:pPr>
    </w:p>
    <w:p w14:paraId="387E7482" w14:textId="77777777" w:rsidR="005D2720" w:rsidRPr="006834CE" w:rsidRDefault="005D2720" w:rsidP="00FB13F9">
      <w:pPr>
        <w:pStyle w:val="BodyTextMain"/>
        <w:rPr>
          <w:lang w:val="en-CA"/>
        </w:rPr>
      </w:pPr>
    </w:p>
    <w:p w14:paraId="4B172289" w14:textId="04D21D5F" w:rsidR="00FB13F9" w:rsidRPr="006834CE" w:rsidRDefault="00FB13F9" w:rsidP="00FB13F9">
      <w:pPr>
        <w:pStyle w:val="Casehead1"/>
        <w:rPr>
          <w:lang w:val="en-CA"/>
        </w:rPr>
      </w:pPr>
      <w:r w:rsidRPr="006834CE">
        <w:rPr>
          <w:lang w:val="en-CA"/>
        </w:rPr>
        <w:t>The Trigger: Clash in the Galwan Valley</w:t>
      </w:r>
    </w:p>
    <w:p w14:paraId="2B401AC4" w14:textId="77777777" w:rsidR="00FB13F9" w:rsidRPr="006834CE" w:rsidRDefault="00FB13F9" w:rsidP="00FB13F9">
      <w:pPr>
        <w:pStyle w:val="BodyTextMain"/>
        <w:rPr>
          <w:lang w:val="en-CA"/>
        </w:rPr>
      </w:pPr>
    </w:p>
    <w:p w14:paraId="5194BFCE" w14:textId="0351F03C" w:rsidR="00FB13F9" w:rsidRPr="006834CE" w:rsidRDefault="003C1DA3" w:rsidP="00FB13F9">
      <w:pPr>
        <w:pStyle w:val="BodyTextMain"/>
        <w:rPr>
          <w:lang w:val="en-CA"/>
        </w:rPr>
      </w:pPr>
      <w:r w:rsidRPr="006834CE">
        <w:rPr>
          <w:lang w:val="en-CA"/>
        </w:rPr>
        <w:t xml:space="preserve">Confrontations between </w:t>
      </w:r>
      <w:r w:rsidR="00FB13F9" w:rsidRPr="006834CE">
        <w:rPr>
          <w:lang w:val="en-CA"/>
        </w:rPr>
        <w:t xml:space="preserve">Indian and Chinese armies </w:t>
      </w:r>
      <w:r w:rsidRPr="006834CE">
        <w:rPr>
          <w:lang w:val="en-CA"/>
        </w:rPr>
        <w:t>were not uncommon. S</w:t>
      </w:r>
      <w:r w:rsidR="00FB13F9" w:rsidRPr="006834CE">
        <w:rPr>
          <w:lang w:val="en-CA"/>
        </w:rPr>
        <w:t>tandoffs occurred when</w:t>
      </w:r>
      <w:r w:rsidRPr="006834CE">
        <w:rPr>
          <w:lang w:val="en-CA"/>
        </w:rPr>
        <w:t>ever</w:t>
      </w:r>
      <w:r w:rsidR="00FB13F9" w:rsidRPr="006834CE">
        <w:rPr>
          <w:lang w:val="en-CA"/>
        </w:rPr>
        <w:t xml:space="preserve"> patrolling parties of one army were stopped by the other side</w:t>
      </w:r>
      <w:r w:rsidR="001D2B00" w:rsidRPr="006834CE">
        <w:rPr>
          <w:lang w:val="en-CA"/>
        </w:rPr>
        <w:t>, which</w:t>
      </w:r>
      <w:r w:rsidR="00FB13F9" w:rsidRPr="006834CE">
        <w:rPr>
          <w:lang w:val="en-CA"/>
        </w:rPr>
        <w:t xml:space="preserve"> claim</w:t>
      </w:r>
      <w:r w:rsidR="001D2B00" w:rsidRPr="006834CE">
        <w:rPr>
          <w:lang w:val="en-CA"/>
        </w:rPr>
        <w:t>ed</w:t>
      </w:r>
      <w:r w:rsidR="00FB13F9" w:rsidRPr="006834CE">
        <w:rPr>
          <w:lang w:val="en-CA"/>
        </w:rPr>
        <w:t xml:space="preserve"> ownership of th</w:t>
      </w:r>
      <w:r w:rsidRPr="006834CE">
        <w:rPr>
          <w:lang w:val="en-CA"/>
        </w:rPr>
        <w:t>at</w:t>
      </w:r>
      <w:r w:rsidR="001D2B00" w:rsidRPr="006834CE">
        <w:rPr>
          <w:lang w:val="en-CA"/>
        </w:rPr>
        <w:t xml:space="preserve"> same</w:t>
      </w:r>
      <w:r w:rsidR="00FB13F9" w:rsidRPr="006834CE">
        <w:rPr>
          <w:lang w:val="en-CA"/>
        </w:rPr>
        <w:t xml:space="preserve"> territory. Minor </w:t>
      </w:r>
      <w:r w:rsidRPr="006834CE">
        <w:rPr>
          <w:lang w:val="en-CA"/>
        </w:rPr>
        <w:t>confrontations had occurred</w:t>
      </w:r>
      <w:r w:rsidR="00FB13F9" w:rsidRPr="006834CE">
        <w:rPr>
          <w:lang w:val="en-CA"/>
        </w:rPr>
        <w:t xml:space="preserve"> in Chumar (Ladakh)</w:t>
      </w:r>
      <w:r w:rsidRPr="006834CE">
        <w:rPr>
          <w:lang w:val="en-CA"/>
        </w:rPr>
        <w:t xml:space="preserve"> </w:t>
      </w:r>
      <w:r w:rsidR="00FB13F9" w:rsidRPr="006834CE">
        <w:rPr>
          <w:lang w:val="en-CA"/>
        </w:rPr>
        <w:t xml:space="preserve">in 2014 and </w:t>
      </w:r>
      <w:r w:rsidRPr="006834CE">
        <w:rPr>
          <w:lang w:val="en-CA"/>
        </w:rPr>
        <w:t xml:space="preserve">in </w:t>
      </w:r>
      <w:r w:rsidR="00FB13F9" w:rsidRPr="006834CE">
        <w:rPr>
          <w:lang w:val="en-CA"/>
        </w:rPr>
        <w:t xml:space="preserve">Doklam (near Sikkim) in 2017. </w:t>
      </w:r>
      <w:r w:rsidRPr="006834CE">
        <w:rPr>
          <w:lang w:val="en-CA"/>
        </w:rPr>
        <w:t>However, t</w:t>
      </w:r>
      <w:r w:rsidR="00FB13F9" w:rsidRPr="006834CE">
        <w:rPr>
          <w:lang w:val="en-CA"/>
        </w:rPr>
        <w:t xml:space="preserve">here </w:t>
      </w:r>
      <w:r w:rsidRPr="006834CE">
        <w:rPr>
          <w:lang w:val="en-CA"/>
        </w:rPr>
        <w:t>had never been a</w:t>
      </w:r>
      <w:r w:rsidR="00FB13F9" w:rsidRPr="006834CE">
        <w:rPr>
          <w:lang w:val="en-CA"/>
        </w:rPr>
        <w:t xml:space="preserve"> clash in Galwan</w:t>
      </w:r>
      <w:r w:rsidR="001D2B00" w:rsidRPr="006834CE">
        <w:rPr>
          <w:lang w:val="en-CA"/>
        </w:rPr>
        <w:t>,</w:t>
      </w:r>
      <w:r w:rsidR="00FB13F9" w:rsidRPr="006834CE">
        <w:rPr>
          <w:lang w:val="en-CA"/>
        </w:rPr>
        <w:t xml:space="preserve"> because the </w:t>
      </w:r>
      <w:r w:rsidR="002D6B30" w:rsidRPr="006834CE">
        <w:rPr>
          <w:lang w:val="en-CA"/>
        </w:rPr>
        <w:t>LAC</w:t>
      </w:r>
      <w:r w:rsidR="00FB13F9" w:rsidRPr="006834CE">
        <w:rPr>
          <w:lang w:val="en-CA"/>
        </w:rPr>
        <w:t xml:space="preserve"> was not </w:t>
      </w:r>
      <w:r w:rsidRPr="006834CE">
        <w:rPr>
          <w:lang w:val="en-CA"/>
        </w:rPr>
        <w:t>disputed there.</w:t>
      </w:r>
      <w:r w:rsidR="00FB13F9" w:rsidRPr="006834CE">
        <w:rPr>
          <w:rStyle w:val="EndnoteReference"/>
          <w:lang w:val="en-CA"/>
        </w:rPr>
        <w:endnoteReference w:id="40"/>
      </w:r>
      <w:r w:rsidR="00FB13F9" w:rsidRPr="006834CE">
        <w:rPr>
          <w:lang w:val="en-CA"/>
        </w:rPr>
        <w:t xml:space="preserve"> </w:t>
      </w:r>
      <w:r w:rsidR="001D2B00" w:rsidRPr="006834CE">
        <w:rPr>
          <w:lang w:val="en-CA"/>
        </w:rPr>
        <w:t xml:space="preserve">In recent years, </w:t>
      </w:r>
      <w:r w:rsidR="00FB13F9" w:rsidRPr="006834CE">
        <w:rPr>
          <w:lang w:val="en-CA"/>
        </w:rPr>
        <w:t>China had been</w:t>
      </w:r>
      <w:r w:rsidRPr="006834CE">
        <w:rPr>
          <w:lang w:val="en-CA"/>
        </w:rPr>
        <w:t xml:space="preserve"> making some</w:t>
      </w:r>
      <w:r w:rsidR="00FB13F9" w:rsidRPr="006834CE">
        <w:rPr>
          <w:lang w:val="en-CA"/>
        </w:rPr>
        <w:t xml:space="preserve"> infrastructure </w:t>
      </w:r>
      <w:r w:rsidRPr="006834CE">
        <w:rPr>
          <w:lang w:val="en-CA"/>
        </w:rPr>
        <w:t>improvements on</w:t>
      </w:r>
      <w:r w:rsidR="00FB13F9" w:rsidRPr="006834CE">
        <w:rPr>
          <w:lang w:val="en-CA"/>
        </w:rPr>
        <w:t xml:space="preserve"> its side of the LAC</w:t>
      </w:r>
      <w:r w:rsidR="001D2B00" w:rsidRPr="006834CE">
        <w:rPr>
          <w:lang w:val="en-CA"/>
        </w:rPr>
        <w:t>.</w:t>
      </w:r>
      <w:r w:rsidRPr="006834CE">
        <w:rPr>
          <w:lang w:val="en-CA"/>
        </w:rPr>
        <w:t xml:space="preserve"> </w:t>
      </w:r>
      <w:r w:rsidR="00FB13F9" w:rsidRPr="006834CE">
        <w:rPr>
          <w:lang w:val="en-CA"/>
        </w:rPr>
        <w:t xml:space="preserve">India </w:t>
      </w:r>
      <w:r w:rsidRPr="006834CE">
        <w:rPr>
          <w:lang w:val="en-CA"/>
        </w:rPr>
        <w:t xml:space="preserve">had </w:t>
      </w:r>
      <w:r w:rsidR="00FB13F9" w:rsidRPr="006834CE">
        <w:rPr>
          <w:lang w:val="en-CA"/>
        </w:rPr>
        <w:t xml:space="preserve">also </w:t>
      </w:r>
      <w:r w:rsidR="001D2B00" w:rsidRPr="006834CE">
        <w:rPr>
          <w:lang w:val="en-CA"/>
        </w:rPr>
        <w:t xml:space="preserve">been </w:t>
      </w:r>
      <w:r w:rsidR="00A840E4" w:rsidRPr="006834CE">
        <w:rPr>
          <w:lang w:val="en-CA"/>
        </w:rPr>
        <w:t>steadily increas</w:t>
      </w:r>
      <w:r w:rsidR="001D2B00" w:rsidRPr="006834CE">
        <w:rPr>
          <w:lang w:val="en-CA"/>
        </w:rPr>
        <w:t>ing</w:t>
      </w:r>
      <w:r w:rsidR="00A840E4" w:rsidRPr="006834CE">
        <w:rPr>
          <w:lang w:val="en-CA"/>
        </w:rPr>
        <w:t xml:space="preserve"> </w:t>
      </w:r>
      <w:r w:rsidR="00FB13F9" w:rsidRPr="006834CE">
        <w:rPr>
          <w:lang w:val="en-CA"/>
        </w:rPr>
        <w:t xml:space="preserve">infrastructure </w:t>
      </w:r>
      <w:r w:rsidR="00A840E4" w:rsidRPr="006834CE">
        <w:rPr>
          <w:lang w:val="en-CA"/>
        </w:rPr>
        <w:t xml:space="preserve">construction in the border area, </w:t>
      </w:r>
      <w:r w:rsidR="001D2B00" w:rsidRPr="006834CE">
        <w:rPr>
          <w:lang w:val="en-CA"/>
        </w:rPr>
        <w:t>which</w:t>
      </w:r>
      <w:r w:rsidR="00A840E4" w:rsidRPr="006834CE">
        <w:rPr>
          <w:lang w:val="en-CA"/>
        </w:rPr>
        <w:t xml:space="preserve"> </w:t>
      </w:r>
      <w:r w:rsidR="001D2B00" w:rsidRPr="006834CE">
        <w:rPr>
          <w:lang w:val="en-CA"/>
        </w:rPr>
        <w:t xml:space="preserve">was </w:t>
      </w:r>
      <w:r w:rsidR="000A6AEB" w:rsidRPr="006834CE">
        <w:rPr>
          <w:lang w:val="en-CA"/>
        </w:rPr>
        <w:t>creating some</w:t>
      </w:r>
      <w:r w:rsidR="00A840E4" w:rsidRPr="006834CE">
        <w:rPr>
          <w:lang w:val="en-CA"/>
        </w:rPr>
        <w:t xml:space="preserve"> concern for</w:t>
      </w:r>
      <w:r w:rsidR="00FB13F9" w:rsidRPr="006834CE">
        <w:rPr>
          <w:lang w:val="en-CA"/>
        </w:rPr>
        <w:t xml:space="preserve"> Chin</w:t>
      </w:r>
      <w:r w:rsidR="00A840E4" w:rsidRPr="006834CE">
        <w:rPr>
          <w:lang w:val="en-CA"/>
        </w:rPr>
        <w:t>a.</w:t>
      </w:r>
      <w:r w:rsidR="00FB13F9" w:rsidRPr="006834CE">
        <w:rPr>
          <w:rStyle w:val="EndnoteReference"/>
          <w:lang w:val="en-CA"/>
        </w:rPr>
        <w:endnoteReference w:id="41"/>
      </w:r>
    </w:p>
    <w:p w14:paraId="270882E8" w14:textId="77777777" w:rsidR="00FB13F9" w:rsidRPr="006834CE" w:rsidRDefault="00FB13F9" w:rsidP="00FB13F9">
      <w:pPr>
        <w:pStyle w:val="BodyTextMain"/>
        <w:rPr>
          <w:lang w:val="en-CA"/>
        </w:rPr>
      </w:pPr>
    </w:p>
    <w:p w14:paraId="528F1A1A" w14:textId="5A98AEE8" w:rsidR="00FB13F9" w:rsidRPr="006834CE" w:rsidRDefault="00FB13F9" w:rsidP="00FB13F9">
      <w:pPr>
        <w:pStyle w:val="BodyTextMain"/>
        <w:rPr>
          <w:spacing w:val="-2"/>
          <w:lang w:val="en-CA"/>
        </w:rPr>
      </w:pPr>
      <w:r w:rsidRPr="006834CE">
        <w:rPr>
          <w:spacing w:val="-2"/>
          <w:lang w:val="en-CA"/>
        </w:rPr>
        <w:t>Since the beginning of May 2020, Indian and Chin</w:t>
      </w:r>
      <w:r w:rsidR="00A840E4" w:rsidRPr="006834CE">
        <w:rPr>
          <w:spacing w:val="-2"/>
          <w:lang w:val="en-CA"/>
        </w:rPr>
        <w:t>ese</w:t>
      </w:r>
      <w:r w:rsidRPr="006834CE">
        <w:rPr>
          <w:spacing w:val="-2"/>
          <w:lang w:val="en-CA"/>
        </w:rPr>
        <w:t xml:space="preserve"> troops </w:t>
      </w:r>
      <w:r w:rsidR="00A840E4" w:rsidRPr="006834CE">
        <w:rPr>
          <w:spacing w:val="-2"/>
          <w:lang w:val="en-CA"/>
        </w:rPr>
        <w:t>experienced</w:t>
      </w:r>
      <w:r w:rsidRPr="006834CE">
        <w:rPr>
          <w:spacing w:val="-2"/>
          <w:lang w:val="en-CA"/>
        </w:rPr>
        <w:t xml:space="preserve"> confront</w:t>
      </w:r>
      <w:r w:rsidR="00A840E4" w:rsidRPr="006834CE">
        <w:rPr>
          <w:spacing w:val="-2"/>
          <w:lang w:val="en-CA"/>
        </w:rPr>
        <w:t>ations</w:t>
      </w:r>
      <w:r w:rsidRPr="006834CE">
        <w:rPr>
          <w:spacing w:val="-2"/>
          <w:lang w:val="en-CA"/>
        </w:rPr>
        <w:t xml:space="preserve"> at three locations on the western border in Ladakh</w:t>
      </w:r>
      <w:r w:rsidR="00A840E4" w:rsidRPr="006834CE">
        <w:rPr>
          <w:spacing w:val="-2"/>
          <w:lang w:val="en-CA"/>
        </w:rPr>
        <w:t xml:space="preserve"> Union Territory Front, with t</w:t>
      </w:r>
      <w:r w:rsidRPr="006834CE">
        <w:rPr>
          <w:spacing w:val="-2"/>
          <w:lang w:val="en-CA"/>
        </w:rPr>
        <w:t>he two armies accus</w:t>
      </w:r>
      <w:r w:rsidR="00A840E4" w:rsidRPr="006834CE">
        <w:rPr>
          <w:spacing w:val="-2"/>
          <w:lang w:val="en-CA"/>
        </w:rPr>
        <w:t>ing</w:t>
      </w:r>
      <w:r w:rsidRPr="006834CE">
        <w:rPr>
          <w:spacing w:val="-2"/>
          <w:lang w:val="en-CA"/>
        </w:rPr>
        <w:t xml:space="preserve"> each other of violating the </w:t>
      </w:r>
      <w:r w:rsidR="00A840E4" w:rsidRPr="006834CE">
        <w:rPr>
          <w:spacing w:val="-2"/>
          <w:lang w:val="en-CA"/>
        </w:rPr>
        <w:t>LAC</w:t>
      </w:r>
      <w:r w:rsidRPr="006834CE">
        <w:rPr>
          <w:spacing w:val="-2"/>
          <w:lang w:val="en-CA"/>
        </w:rPr>
        <w:t>.</w:t>
      </w:r>
      <w:r w:rsidRPr="006834CE">
        <w:rPr>
          <w:rStyle w:val="EndnoteReference"/>
          <w:spacing w:val="-2"/>
          <w:lang w:val="en-CA"/>
        </w:rPr>
        <w:endnoteReference w:id="42"/>
      </w:r>
      <w:r w:rsidRPr="006834CE">
        <w:rPr>
          <w:spacing w:val="-2"/>
          <w:lang w:val="en-CA"/>
        </w:rPr>
        <w:t xml:space="preserve"> On the night of June 15, 2020, the two parties discussed ways to de-escalate tension</w:t>
      </w:r>
      <w:r w:rsidR="00A840E4" w:rsidRPr="006834CE">
        <w:rPr>
          <w:spacing w:val="-2"/>
          <w:lang w:val="en-CA"/>
        </w:rPr>
        <w:t>s</w:t>
      </w:r>
      <w:r w:rsidRPr="006834CE">
        <w:rPr>
          <w:spacing w:val="-2"/>
          <w:lang w:val="en-CA"/>
        </w:rPr>
        <w:t xml:space="preserve"> in </w:t>
      </w:r>
      <w:r w:rsidR="00A840E4" w:rsidRPr="006834CE">
        <w:rPr>
          <w:spacing w:val="-2"/>
          <w:lang w:val="en-CA"/>
        </w:rPr>
        <w:t xml:space="preserve">the </w:t>
      </w:r>
      <w:r w:rsidRPr="006834CE">
        <w:rPr>
          <w:spacing w:val="-2"/>
          <w:lang w:val="en-CA"/>
        </w:rPr>
        <w:t>Galwan valley. According to Indian sources, Chinese soldiers attacked them with iron rods. In the ensuing skirmish, 20 Indian soldiers</w:t>
      </w:r>
      <w:r w:rsidR="00A840E4" w:rsidRPr="006834CE">
        <w:rPr>
          <w:spacing w:val="-2"/>
          <w:lang w:val="en-CA"/>
        </w:rPr>
        <w:t xml:space="preserve"> were killed</w:t>
      </w:r>
      <w:r w:rsidR="000A6AEB" w:rsidRPr="006834CE">
        <w:rPr>
          <w:spacing w:val="-2"/>
          <w:lang w:val="en-CA"/>
        </w:rPr>
        <w:t>,</w:t>
      </w:r>
      <w:r w:rsidRPr="006834CE">
        <w:rPr>
          <w:spacing w:val="-2"/>
          <w:lang w:val="en-CA"/>
        </w:rPr>
        <w:t xml:space="preserve"> including </w:t>
      </w:r>
      <w:r w:rsidR="00A840E4" w:rsidRPr="006834CE">
        <w:rPr>
          <w:spacing w:val="-2"/>
          <w:lang w:val="en-CA"/>
        </w:rPr>
        <w:t>a</w:t>
      </w:r>
      <w:r w:rsidRPr="006834CE">
        <w:rPr>
          <w:spacing w:val="-2"/>
          <w:lang w:val="en-CA"/>
        </w:rPr>
        <w:t xml:space="preserve"> commanding officer</w:t>
      </w:r>
      <w:r w:rsidR="00A840E4" w:rsidRPr="006834CE">
        <w:rPr>
          <w:spacing w:val="-2"/>
          <w:lang w:val="en-CA"/>
        </w:rPr>
        <w:t>.</w:t>
      </w:r>
      <w:r w:rsidRPr="006834CE">
        <w:rPr>
          <w:rStyle w:val="EndnoteReference"/>
          <w:spacing w:val="-2"/>
          <w:lang w:val="en-CA"/>
        </w:rPr>
        <w:endnoteReference w:id="43"/>
      </w:r>
      <w:r w:rsidRPr="006834CE">
        <w:rPr>
          <w:spacing w:val="-2"/>
          <w:lang w:val="en-CA"/>
        </w:rPr>
        <w:t xml:space="preserve"> The Chinese government did not disclose the number of casualties on its side and squarely blamed India for the incident.</w:t>
      </w:r>
      <w:r w:rsidRPr="006834CE">
        <w:rPr>
          <w:rStyle w:val="EndnoteReference"/>
          <w:spacing w:val="-2"/>
          <w:lang w:val="en-CA"/>
        </w:rPr>
        <w:endnoteReference w:id="44"/>
      </w:r>
    </w:p>
    <w:p w14:paraId="21A4286E" w14:textId="5175EA07" w:rsidR="00FB13F9" w:rsidRPr="006834CE" w:rsidRDefault="00FB13F9" w:rsidP="00FB13F9">
      <w:pPr>
        <w:pStyle w:val="BodyTextMain"/>
        <w:rPr>
          <w:lang w:val="en-CA"/>
        </w:rPr>
      </w:pPr>
    </w:p>
    <w:p w14:paraId="339FF220" w14:textId="77777777" w:rsidR="00FB13F9" w:rsidRPr="006834CE" w:rsidRDefault="00FB13F9" w:rsidP="00FB13F9">
      <w:pPr>
        <w:pStyle w:val="BodyTextMain"/>
        <w:rPr>
          <w:lang w:val="en-CA"/>
        </w:rPr>
      </w:pPr>
    </w:p>
    <w:p w14:paraId="56E9303C" w14:textId="67CE1215" w:rsidR="00FB13F9" w:rsidRPr="006834CE" w:rsidRDefault="00FB13F9" w:rsidP="00640A6F">
      <w:pPr>
        <w:pStyle w:val="Casehead1"/>
        <w:keepNext/>
        <w:rPr>
          <w:lang w:val="en-CA"/>
        </w:rPr>
      </w:pPr>
      <w:r w:rsidRPr="006834CE">
        <w:rPr>
          <w:lang w:val="en-CA"/>
        </w:rPr>
        <w:t>The reaction in India</w:t>
      </w:r>
    </w:p>
    <w:p w14:paraId="29535CE9" w14:textId="77777777" w:rsidR="00FB13F9" w:rsidRPr="006834CE" w:rsidRDefault="00FB13F9" w:rsidP="00640A6F">
      <w:pPr>
        <w:pStyle w:val="BodyTextMain"/>
        <w:keepNext/>
        <w:rPr>
          <w:lang w:val="en-CA"/>
        </w:rPr>
      </w:pPr>
    </w:p>
    <w:p w14:paraId="4AEC5100" w14:textId="0C994B03" w:rsidR="00FB13F9" w:rsidRPr="006834CE" w:rsidRDefault="00FB13F9" w:rsidP="00640A6F">
      <w:pPr>
        <w:pStyle w:val="BodyTextMain"/>
        <w:keepNext/>
        <w:rPr>
          <w:lang w:val="en-CA"/>
        </w:rPr>
      </w:pPr>
      <w:r w:rsidRPr="006834CE">
        <w:rPr>
          <w:lang w:val="en-CA"/>
        </w:rPr>
        <w:t>The</w:t>
      </w:r>
      <w:r w:rsidR="00BB7C1D" w:rsidRPr="006834CE">
        <w:rPr>
          <w:lang w:val="en-CA"/>
        </w:rPr>
        <w:t xml:space="preserve"> Galwan</w:t>
      </w:r>
      <w:r w:rsidRPr="006834CE">
        <w:rPr>
          <w:lang w:val="en-CA"/>
        </w:rPr>
        <w:t xml:space="preserve"> incident sent waves of shock and anger among the Indian public. There was widespread condemnation of the Chinese government and </w:t>
      </w:r>
      <w:r w:rsidR="00FC5FC1" w:rsidRPr="006834CE">
        <w:rPr>
          <w:lang w:val="en-CA"/>
        </w:rPr>
        <w:t xml:space="preserve">its </w:t>
      </w:r>
      <w:r w:rsidRPr="006834CE">
        <w:rPr>
          <w:lang w:val="en-CA"/>
        </w:rPr>
        <w:t xml:space="preserve">army from all political parties. Indian media </w:t>
      </w:r>
      <w:r w:rsidR="00FC5FC1" w:rsidRPr="006834CE">
        <w:rPr>
          <w:lang w:val="en-CA"/>
        </w:rPr>
        <w:t xml:space="preserve">outlets </w:t>
      </w:r>
      <w:r w:rsidRPr="006834CE">
        <w:rPr>
          <w:lang w:val="en-CA"/>
        </w:rPr>
        <w:t>debated th</w:t>
      </w:r>
      <w:r w:rsidR="00A201B2" w:rsidRPr="006834CE">
        <w:rPr>
          <w:lang w:val="en-CA"/>
        </w:rPr>
        <w:t>e</w:t>
      </w:r>
      <w:r w:rsidRPr="006834CE">
        <w:rPr>
          <w:lang w:val="en-CA"/>
        </w:rPr>
        <w:t xml:space="preserve"> incident fiercely and called for action by the Indian government</w:t>
      </w:r>
      <w:r w:rsidR="00FC5FC1" w:rsidRPr="006834CE">
        <w:rPr>
          <w:lang w:val="en-CA"/>
        </w:rPr>
        <w:t>.</w:t>
      </w:r>
      <w:r w:rsidRPr="006834CE">
        <w:rPr>
          <w:rStyle w:val="EndnoteReference"/>
          <w:lang w:val="en-CA"/>
        </w:rPr>
        <w:endnoteReference w:id="45"/>
      </w:r>
      <w:r w:rsidRPr="006834CE">
        <w:rPr>
          <w:lang w:val="en-CA"/>
        </w:rPr>
        <w:t xml:space="preserve"> There was </w:t>
      </w:r>
      <w:r w:rsidR="00FC5FC1" w:rsidRPr="006834CE">
        <w:rPr>
          <w:lang w:val="en-CA"/>
        </w:rPr>
        <w:t xml:space="preserve">even </w:t>
      </w:r>
      <w:r w:rsidRPr="006834CE">
        <w:rPr>
          <w:lang w:val="en-CA"/>
        </w:rPr>
        <w:t xml:space="preserve">a demand for military action against China. People </w:t>
      </w:r>
      <w:r w:rsidR="00FC5FC1" w:rsidRPr="006834CE">
        <w:rPr>
          <w:lang w:val="en-CA"/>
        </w:rPr>
        <w:t>gathered</w:t>
      </w:r>
      <w:r w:rsidRPr="006834CE">
        <w:rPr>
          <w:lang w:val="en-CA"/>
        </w:rPr>
        <w:t xml:space="preserve"> on the street</w:t>
      </w:r>
      <w:r w:rsidR="00FC5FC1" w:rsidRPr="006834CE">
        <w:rPr>
          <w:lang w:val="en-CA"/>
        </w:rPr>
        <w:t xml:space="preserve"> to</w:t>
      </w:r>
      <w:r w:rsidRPr="006834CE">
        <w:rPr>
          <w:lang w:val="en-CA"/>
        </w:rPr>
        <w:t xml:space="preserve"> burn Chinese flags and </w:t>
      </w:r>
      <w:r w:rsidR="00FC5FC1" w:rsidRPr="006834CE">
        <w:rPr>
          <w:lang w:val="en-CA"/>
        </w:rPr>
        <w:t>pictures</w:t>
      </w:r>
      <w:r w:rsidRPr="006834CE">
        <w:rPr>
          <w:lang w:val="en-CA"/>
        </w:rPr>
        <w:t xml:space="preserve"> of Chin</w:t>
      </w:r>
      <w:r w:rsidR="00FC5FC1" w:rsidRPr="006834CE">
        <w:rPr>
          <w:lang w:val="en-CA"/>
        </w:rPr>
        <w:t>a’s</w:t>
      </w:r>
      <w:r w:rsidRPr="006834CE">
        <w:rPr>
          <w:lang w:val="en-CA"/>
        </w:rPr>
        <w:t xml:space="preserve"> </w:t>
      </w:r>
      <w:r w:rsidR="00FC5FC1" w:rsidRPr="006834CE">
        <w:rPr>
          <w:lang w:val="en-CA"/>
        </w:rPr>
        <w:t>p</w:t>
      </w:r>
      <w:r w:rsidRPr="006834CE">
        <w:rPr>
          <w:lang w:val="en-CA"/>
        </w:rPr>
        <w:t xml:space="preserve">resident. </w:t>
      </w:r>
      <w:r w:rsidR="00FC5FC1" w:rsidRPr="006834CE">
        <w:rPr>
          <w:lang w:val="en-CA"/>
        </w:rPr>
        <w:t>The slogan “</w:t>
      </w:r>
      <w:r w:rsidRPr="006834CE">
        <w:rPr>
          <w:lang w:val="en-CA"/>
        </w:rPr>
        <w:t xml:space="preserve">Boycott </w:t>
      </w:r>
      <w:r w:rsidR="002D6B30" w:rsidRPr="006834CE">
        <w:rPr>
          <w:lang w:val="en-CA"/>
        </w:rPr>
        <w:t>China</w:t>
      </w:r>
      <w:r w:rsidR="00FC5FC1" w:rsidRPr="006834CE">
        <w:rPr>
          <w:lang w:val="en-CA"/>
        </w:rPr>
        <w:t>” was</w:t>
      </w:r>
      <w:r w:rsidRPr="006834CE">
        <w:rPr>
          <w:lang w:val="en-CA"/>
        </w:rPr>
        <w:t xml:space="preserve"> </w:t>
      </w:r>
      <w:r w:rsidR="00FC5FC1" w:rsidRPr="006834CE">
        <w:rPr>
          <w:lang w:val="en-CA"/>
        </w:rPr>
        <w:t xml:space="preserve">shared widely </w:t>
      </w:r>
      <w:r w:rsidRPr="006834CE">
        <w:rPr>
          <w:lang w:val="en-CA"/>
        </w:rPr>
        <w:t>on social media</w:t>
      </w:r>
      <w:r w:rsidR="00FC5FC1" w:rsidRPr="006834CE">
        <w:rPr>
          <w:lang w:val="en-CA"/>
        </w:rPr>
        <w:t xml:space="preserve"> networks</w:t>
      </w:r>
      <w:r w:rsidRPr="006834CE">
        <w:rPr>
          <w:lang w:val="en-CA"/>
        </w:rPr>
        <w:t>.</w:t>
      </w:r>
      <w:r w:rsidRPr="006834CE">
        <w:rPr>
          <w:rStyle w:val="EndnoteReference"/>
          <w:lang w:val="en-CA"/>
        </w:rPr>
        <w:endnoteReference w:id="46"/>
      </w:r>
      <w:r w:rsidRPr="006834CE">
        <w:rPr>
          <w:lang w:val="en-CA"/>
        </w:rPr>
        <w:t xml:space="preserve"> </w:t>
      </w:r>
      <w:r w:rsidR="00FC5FC1" w:rsidRPr="006834CE">
        <w:rPr>
          <w:lang w:val="en-CA"/>
        </w:rPr>
        <w:t>A</w:t>
      </w:r>
      <w:r w:rsidRPr="006834CE">
        <w:rPr>
          <w:lang w:val="en-CA"/>
        </w:rPr>
        <w:t xml:space="preserve"> flurry of </w:t>
      </w:r>
      <w:r w:rsidR="001434B8">
        <w:rPr>
          <w:lang w:val="en-CA"/>
        </w:rPr>
        <w:t xml:space="preserve">messages posted </w:t>
      </w:r>
      <w:r w:rsidR="00FC5FC1" w:rsidRPr="006834CE">
        <w:rPr>
          <w:lang w:val="en-CA"/>
        </w:rPr>
        <w:t xml:space="preserve">online posted </w:t>
      </w:r>
      <w:r w:rsidRPr="006834CE">
        <w:rPr>
          <w:lang w:val="en-CA"/>
        </w:rPr>
        <w:t>identif</w:t>
      </w:r>
      <w:r w:rsidR="00FC5FC1" w:rsidRPr="006834CE">
        <w:rPr>
          <w:lang w:val="en-CA"/>
        </w:rPr>
        <w:t>ied</w:t>
      </w:r>
      <w:r w:rsidRPr="006834CE">
        <w:rPr>
          <w:lang w:val="en-CA"/>
        </w:rPr>
        <w:t xml:space="preserve"> products, companies, and brands </w:t>
      </w:r>
      <w:r w:rsidR="00FC5FC1" w:rsidRPr="006834CE">
        <w:rPr>
          <w:lang w:val="en-CA"/>
        </w:rPr>
        <w:t>with</w:t>
      </w:r>
      <w:r w:rsidRPr="006834CE">
        <w:rPr>
          <w:lang w:val="en-CA"/>
        </w:rPr>
        <w:t xml:space="preserve"> Chinese </w:t>
      </w:r>
      <w:r w:rsidR="00FC5FC1" w:rsidRPr="006834CE">
        <w:rPr>
          <w:lang w:val="en-CA"/>
        </w:rPr>
        <w:t>origins to be avoided</w:t>
      </w:r>
      <w:r w:rsidRPr="006834CE">
        <w:rPr>
          <w:lang w:val="en-CA"/>
        </w:rPr>
        <w:t xml:space="preserve">, </w:t>
      </w:r>
      <w:r w:rsidR="00FC5FC1" w:rsidRPr="006834CE">
        <w:rPr>
          <w:lang w:val="en-CA"/>
        </w:rPr>
        <w:t>including</w:t>
      </w:r>
      <w:r w:rsidRPr="006834CE">
        <w:rPr>
          <w:lang w:val="en-CA"/>
        </w:rPr>
        <w:t xml:space="preserve"> mobile applications and</w:t>
      </w:r>
      <w:r w:rsidR="00FC5FC1" w:rsidRPr="006834CE">
        <w:rPr>
          <w:lang w:val="en-CA"/>
        </w:rPr>
        <w:t xml:space="preserve"> financial</w:t>
      </w:r>
      <w:r w:rsidRPr="006834CE">
        <w:rPr>
          <w:lang w:val="en-CA"/>
        </w:rPr>
        <w:t xml:space="preserve"> investments</w:t>
      </w:r>
      <w:r w:rsidR="00FC5FC1" w:rsidRPr="006834CE">
        <w:rPr>
          <w:lang w:val="en-CA"/>
        </w:rPr>
        <w:t>.</w:t>
      </w:r>
      <w:r w:rsidRPr="006834CE">
        <w:rPr>
          <w:rStyle w:val="EndnoteReference"/>
          <w:lang w:val="en-CA"/>
        </w:rPr>
        <w:endnoteReference w:id="47"/>
      </w:r>
    </w:p>
    <w:p w14:paraId="0788EFC2" w14:textId="77777777" w:rsidR="00FB13F9" w:rsidRPr="006834CE" w:rsidRDefault="00FB13F9" w:rsidP="00FB13F9">
      <w:pPr>
        <w:pStyle w:val="BodyTextMain"/>
        <w:rPr>
          <w:lang w:val="en-CA"/>
        </w:rPr>
      </w:pPr>
    </w:p>
    <w:p w14:paraId="66EC59B8" w14:textId="7C231758" w:rsidR="00FB13F9" w:rsidRPr="006834CE" w:rsidRDefault="00FB13F9" w:rsidP="00FB13F9">
      <w:pPr>
        <w:pStyle w:val="BodyTextMain"/>
        <w:rPr>
          <w:lang w:val="en-CA"/>
        </w:rPr>
      </w:pPr>
      <w:r w:rsidRPr="006834CE">
        <w:rPr>
          <w:lang w:val="en-CA"/>
        </w:rPr>
        <w:t>On June 23, 2020, India</w:t>
      </w:r>
      <w:r w:rsidR="00FC5FC1" w:rsidRPr="006834CE">
        <w:rPr>
          <w:lang w:val="en-CA"/>
        </w:rPr>
        <w:t>’</w:t>
      </w:r>
      <w:r w:rsidRPr="006834CE">
        <w:rPr>
          <w:lang w:val="en-CA"/>
        </w:rPr>
        <w:t xml:space="preserve">s government made it mandatory for companies to provide </w:t>
      </w:r>
      <w:r w:rsidR="00FC5FC1" w:rsidRPr="006834CE">
        <w:rPr>
          <w:lang w:val="en-CA"/>
        </w:rPr>
        <w:t>c</w:t>
      </w:r>
      <w:r w:rsidRPr="006834CE">
        <w:rPr>
          <w:lang w:val="en-CA"/>
        </w:rPr>
        <w:t>ountry</w:t>
      </w:r>
      <w:r w:rsidR="00F56FC3" w:rsidRPr="006834CE">
        <w:rPr>
          <w:lang w:val="en-CA"/>
        </w:rPr>
        <w:t>-</w:t>
      </w:r>
      <w:r w:rsidRPr="006834CE">
        <w:rPr>
          <w:lang w:val="en-CA"/>
        </w:rPr>
        <w:t>of</w:t>
      </w:r>
      <w:r w:rsidR="00F56FC3" w:rsidRPr="006834CE">
        <w:rPr>
          <w:lang w:val="en-CA"/>
        </w:rPr>
        <w:t>-</w:t>
      </w:r>
      <w:r w:rsidR="00FC5FC1" w:rsidRPr="006834CE">
        <w:rPr>
          <w:lang w:val="en-CA"/>
        </w:rPr>
        <w:t>o</w:t>
      </w:r>
      <w:r w:rsidR="002D6B30" w:rsidRPr="006834CE">
        <w:rPr>
          <w:lang w:val="en-CA"/>
        </w:rPr>
        <w:t xml:space="preserve">rigin </w:t>
      </w:r>
      <w:r w:rsidRPr="006834CE">
        <w:rPr>
          <w:lang w:val="en-CA"/>
        </w:rPr>
        <w:t>information on the Government e</w:t>
      </w:r>
      <w:r w:rsidR="00BC3DA4" w:rsidRPr="006834CE">
        <w:rPr>
          <w:lang w:val="en-CA"/>
        </w:rPr>
        <w:t xml:space="preserve"> </w:t>
      </w:r>
      <w:r w:rsidR="002D6B30" w:rsidRPr="006834CE">
        <w:rPr>
          <w:lang w:val="en-CA"/>
        </w:rPr>
        <w:t>Marketplace</w:t>
      </w:r>
      <w:r w:rsidRPr="006834CE">
        <w:rPr>
          <w:lang w:val="en-CA"/>
        </w:rPr>
        <w:t xml:space="preserve"> and enabled a </w:t>
      </w:r>
      <w:r w:rsidR="00BC3DA4" w:rsidRPr="006834CE">
        <w:rPr>
          <w:lang w:val="en-CA"/>
        </w:rPr>
        <w:t>“</w:t>
      </w:r>
      <w:r w:rsidRPr="006834CE">
        <w:rPr>
          <w:lang w:val="en-CA"/>
        </w:rPr>
        <w:t xml:space="preserve">Made in </w:t>
      </w:r>
      <w:r w:rsidR="002D6B30" w:rsidRPr="006834CE">
        <w:rPr>
          <w:lang w:val="en-CA"/>
        </w:rPr>
        <w:t>India</w:t>
      </w:r>
      <w:r w:rsidR="00BC3DA4" w:rsidRPr="006834CE">
        <w:rPr>
          <w:lang w:val="en-CA"/>
        </w:rPr>
        <w:t>”</w:t>
      </w:r>
      <w:r w:rsidR="002D6B30" w:rsidRPr="006834CE">
        <w:rPr>
          <w:lang w:val="en-CA"/>
        </w:rPr>
        <w:t xml:space="preserve"> </w:t>
      </w:r>
      <w:r w:rsidRPr="006834CE">
        <w:rPr>
          <w:lang w:val="en-CA"/>
        </w:rPr>
        <w:t xml:space="preserve">filter to </w:t>
      </w:r>
      <w:r w:rsidR="00FC5FC1" w:rsidRPr="006834CE">
        <w:rPr>
          <w:lang w:val="en-CA"/>
        </w:rPr>
        <w:t>clearly show preference for</w:t>
      </w:r>
      <w:r w:rsidRPr="006834CE">
        <w:rPr>
          <w:lang w:val="en-CA"/>
        </w:rPr>
        <w:t xml:space="preserve"> products made in India.</w:t>
      </w:r>
      <w:r w:rsidRPr="006834CE">
        <w:rPr>
          <w:rStyle w:val="EndnoteReference"/>
          <w:lang w:val="en-CA"/>
        </w:rPr>
        <w:endnoteReference w:id="48"/>
      </w:r>
      <w:r w:rsidRPr="006834CE">
        <w:rPr>
          <w:lang w:val="en-CA"/>
        </w:rPr>
        <w:t xml:space="preserve"> Reacting to the situation, some state governments and Public Sector </w:t>
      </w:r>
      <w:r w:rsidRPr="006834CE">
        <w:rPr>
          <w:lang w:val="en-CA"/>
        </w:rPr>
        <w:lastRenderedPageBreak/>
        <w:t>Undertakings (</w:t>
      </w:r>
      <w:r w:rsidR="00FC5FC1" w:rsidRPr="006834CE">
        <w:rPr>
          <w:lang w:val="en-CA"/>
        </w:rPr>
        <w:t xml:space="preserve">i.e., </w:t>
      </w:r>
      <w:r w:rsidRPr="006834CE">
        <w:rPr>
          <w:lang w:val="en-CA"/>
        </w:rPr>
        <w:t xml:space="preserve">government-owned companies) cancelled contracts </w:t>
      </w:r>
      <w:r w:rsidR="00FC5FC1" w:rsidRPr="006834CE">
        <w:rPr>
          <w:lang w:val="en-CA"/>
        </w:rPr>
        <w:t xml:space="preserve">that had been </w:t>
      </w:r>
      <w:r w:rsidRPr="006834CE">
        <w:rPr>
          <w:lang w:val="en-CA"/>
        </w:rPr>
        <w:t>awarded to Chinese companies</w:t>
      </w:r>
      <w:r w:rsidR="00FC5FC1" w:rsidRPr="006834CE">
        <w:rPr>
          <w:lang w:val="en-CA"/>
        </w:rPr>
        <w:t>.</w:t>
      </w:r>
      <w:r w:rsidRPr="006834CE">
        <w:rPr>
          <w:rStyle w:val="EndnoteReference"/>
          <w:lang w:val="en-CA"/>
        </w:rPr>
        <w:endnoteReference w:id="49"/>
      </w:r>
      <w:r w:rsidRPr="006834CE">
        <w:rPr>
          <w:lang w:val="en-CA"/>
        </w:rPr>
        <w:t xml:space="preserve"> On June 29, 2020, India</w:t>
      </w:r>
      <w:r w:rsidR="00FC5FC1" w:rsidRPr="006834CE">
        <w:rPr>
          <w:lang w:val="en-CA"/>
        </w:rPr>
        <w:t>’</w:t>
      </w:r>
      <w:r w:rsidRPr="006834CE">
        <w:rPr>
          <w:lang w:val="en-CA"/>
        </w:rPr>
        <w:t>s government banned 59 mobile applications, most of wh</w:t>
      </w:r>
      <w:r w:rsidR="00FC5FC1" w:rsidRPr="006834CE">
        <w:rPr>
          <w:lang w:val="en-CA"/>
        </w:rPr>
        <w:t>ich were created by</w:t>
      </w:r>
      <w:r w:rsidRPr="006834CE">
        <w:rPr>
          <w:lang w:val="en-CA"/>
        </w:rPr>
        <w:t xml:space="preserve"> Chinese companies</w:t>
      </w:r>
      <w:r w:rsidR="00FC5FC1" w:rsidRPr="006834CE">
        <w:rPr>
          <w:lang w:val="en-CA"/>
        </w:rPr>
        <w:t>.</w:t>
      </w:r>
      <w:r w:rsidRPr="006834CE">
        <w:rPr>
          <w:rStyle w:val="EndnoteReference"/>
          <w:lang w:val="en-CA"/>
        </w:rPr>
        <w:endnoteReference w:id="50"/>
      </w:r>
      <w:r w:rsidRPr="006834CE">
        <w:rPr>
          <w:lang w:val="en-CA"/>
        </w:rPr>
        <w:t xml:space="preserve"> </w:t>
      </w:r>
      <w:r w:rsidR="0021087E" w:rsidRPr="006834CE">
        <w:rPr>
          <w:lang w:val="en-CA"/>
        </w:rPr>
        <w:t xml:space="preserve">The </w:t>
      </w:r>
      <w:r w:rsidRPr="006834CE">
        <w:rPr>
          <w:lang w:val="en-CA"/>
        </w:rPr>
        <w:t>Confederation of All India Traders appealed to major Indian corporat</w:t>
      </w:r>
      <w:r w:rsidR="0021087E" w:rsidRPr="006834CE">
        <w:rPr>
          <w:lang w:val="en-CA"/>
        </w:rPr>
        <w:t>ions</w:t>
      </w:r>
      <w:r w:rsidRPr="006834CE">
        <w:rPr>
          <w:lang w:val="en-CA"/>
        </w:rPr>
        <w:t xml:space="preserve"> to reject Chin</w:t>
      </w:r>
      <w:r w:rsidR="0021087E" w:rsidRPr="006834CE">
        <w:rPr>
          <w:lang w:val="en-CA"/>
        </w:rPr>
        <w:t>ese</w:t>
      </w:r>
      <w:r w:rsidRPr="006834CE">
        <w:rPr>
          <w:lang w:val="en-CA"/>
        </w:rPr>
        <w:t xml:space="preserve"> products and components</w:t>
      </w:r>
      <w:r w:rsidR="0021087E" w:rsidRPr="006834CE">
        <w:rPr>
          <w:lang w:val="en-CA"/>
        </w:rPr>
        <w:t>, and the</w:t>
      </w:r>
      <w:r w:rsidRPr="006834CE">
        <w:rPr>
          <w:lang w:val="en-CA"/>
        </w:rPr>
        <w:t xml:space="preserve"> Corporate India </w:t>
      </w:r>
      <w:r w:rsidR="0021087E" w:rsidRPr="006834CE">
        <w:rPr>
          <w:lang w:val="en-CA"/>
        </w:rPr>
        <w:t>business sector concurred with</w:t>
      </w:r>
      <w:r w:rsidRPr="006834CE">
        <w:rPr>
          <w:lang w:val="en-CA"/>
        </w:rPr>
        <w:t xml:space="preserve"> the</w:t>
      </w:r>
      <w:r w:rsidR="0021087E" w:rsidRPr="006834CE">
        <w:rPr>
          <w:lang w:val="en-CA"/>
        </w:rPr>
        <w:t>se</w:t>
      </w:r>
      <w:r w:rsidRPr="006834CE">
        <w:rPr>
          <w:lang w:val="en-CA"/>
        </w:rPr>
        <w:t xml:space="preserve"> sentiments. On July 4, 2020, Hero Cycles, </w:t>
      </w:r>
      <w:r w:rsidR="002D6B30" w:rsidRPr="006834CE">
        <w:rPr>
          <w:lang w:val="en-CA"/>
        </w:rPr>
        <w:t>India</w:t>
      </w:r>
      <w:r w:rsidR="0021087E" w:rsidRPr="006834CE">
        <w:rPr>
          <w:lang w:val="en-CA"/>
        </w:rPr>
        <w:t>’</w:t>
      </w:r>
      <w:r w:rsidR="002D6B30" w:rsidRPr="006834CE">
        <w:rPr>
          <w:lang w:val="en-CA"/>
        </w:rPr>
        <w:t xml:space="preserve">s </w:t>
      </w:r>
      <w:r w:rsidRPr="006834CE">
        <w:rPr>
          <w:lang w:val="en-CA"/>
        </w:rPr>
        <w:t>largest manufacturer</w:t>
      </w:r>
      <w:r w:rsidR="0021087E" w:rsidRPr="006834CE">
        <w:rPr>
          <w:lang w:val="en-CA"/>
        </w:rPr>
        <w:t xml:space="preserve"> of bicycles</w:t>
      </w:r>
      <w:r w:rsidRPr="006834CE">
        <w:rPr>
          <w:lang w:val="en-CA"/>
        </w:rPr>
        <w:t xml:space="preserve">, announced the cancellation of </w:t>
      </w:r>
      <w:r w:rsidR="0021087E" w:rsidRPr="006834CE">
        <w:rPr>
          <w:lang w:val="en-CA"/>
        </w:rPr>
        <w:t>₹</w:t>
      </w:r>
      <w:r w:rsidRPr="006834CE">
        <w:rPr>
          <w:lang w:val="en-CA"/>
        </w:rPr>
        <w:t xml:space="preserve">90 billion </w:t>
      </w:r>
      <w:r w:rsidR="0021087E" w:rsidRPr="006834CE">
        <w:rPr>
          <w:lang w:val="en-CA"/>
        </w:rPr>
        <w:t xml:space="preserve">in </w:t>
      </w:r>
      <w:r w:rsidRPr="006834CE">
        <w:rPr>
          <w:lang w:val="en-CA"/>
        </w:rPr>
        <w:t xml:space="preserve">contracts for parts </w:t>
      </w:r>
      <w:r w:rsidR="00FC1A27" w:rsidRPr="006834CE">
        <w:rPr>
          <w:lang w:val="en-CA"/>
        </w:rPr>
        <w:t xml:space="preserve">that were </w:t>
      </w:r>
      <w:r w:rsidRPr="006834CE">
        <w:rPr>
          <w:lang w:val="en-CA"/>
        </w:rPr>
        <w:t>to</w:t>
      </w:r>
      <w:r w:rsidR="0021087E" w:rsidRPr="006834CE">
        <w:rPr>
          <w:lang w:val="en-CA"/>
        </w:rPr>
        <w:t xml:space="preserve"> come from</w:t>
      </w:r>
      <w:r w:rsidRPr="006834CE">
        <w:rPr>
          <w:lang w:val="en-CA"/>
        </w:rPr>
        <w:t xml:space="preserve"> China.</w:t>
      </w:r>
      <w:r w:rsidRPr="006834CE">
        <w:rPr>
          <w:rStyle w:val="EndnoteReference"/>
          <w:lang w:val="en-CA"/>
        </w:rPr>
        <w:endnoteReference w:id="51"/>
      </w:r>
      <w:r w:rsidRPr="006834CE">
        <w:rPr>
          <w:lang w:val="en-CA"/>
        </w:rPr>
        <w:t xml:space="preserve"> Online retailers </w:t>
      </w:r>
      <w:r w:rsidR="0021087E" w:rsidRPr="006834CE">
        <w:rPr>
          <w:lang w:val="en-CA"/>
        </w:rPr>
        <w:t>including</w:t>
      </w:r>
      <w:r w:rsidRPr="006834CE">
        <w:rPr>
          <w:lang w:val="en-CA"/>
        </w:rPr>
        <w:t xml:space="preserve"> Amazon India and Flipkart announced that they would force vendors to display </w:t>
      </w:r>
      <w:r w:rsidR="0021087E" w:rsidRPr="006834CE">
        <w:rPr>
          <w:lang w:val="en-CA"/>
        </w:rPr>
        <w:t>the c</w:t>
      </w:r>
      <w:r w:rsidRPr="006834CE">
        <w:rPr>
          <w:lang w:val="en-CA"/>
        </w:rPr>
        <w:t>ountry</w:t>
      </w:r>
      <w:r w:rsidR="00F56FC3" w:rsidRPr="006834CE">
        <w:rPr>
          <w:lang w:val="en-CA"/>
        </w:rPr>
        <w:t>-</w:t>
      </w:r>
      <w:r w:rsidRPr="006834CE">
        <w:rPr>
          <w:lang w:val="en-CA"/>
        </w:rPr>
        <w:t>of</w:t>
      </w:r>
      <w:r w:rsidR="00F56FC3" w:rsidRPr="006834CE">
        <w:rPr>
          <w:lang w:val="en-CA"/>
        </w:rPr>
        <w:t>-</w:t>
      </w:r>
      <w:r w:rsidR="0021087E" w:rsidRPr="006834CE">
        <w:rPr>
          <w:lang w:val="en-CA"/>
        </w:rPr>
        <w:t>o</w:t>
      </w:r>
      <w:r w:rsidR="002D6B30" w:rsidRPr="006834CE">
        <w:rPr>
          <w:lang w:val="en-CA"/>
        </w:rPr>
        <w:t>rigin</w:t>
      </w:r>
      <w:r w:rsidR="0021087E" w:rsidRPr="006834CE">
        <w:rPr>
          <w:lang w:val="en-CA"/>
        </w:rPr>
        <w:t xml:space="preserve"> information</w:t>
      </w:r>
      <w:r w:rsidR="002D6B30" w:rsidRPr="006834CE">
        <w:rPr>
          <w:lang w:val="en-CA"/>
        </w:rPr>
        <w:t xml:space="preserve"> </w:t>
      </w:r>
      <w:r w:rsidRPr="006834CE">
        <w:rPr>
          <w:lang w:val="en-CA"/>
        </w:rPr>
        <w:t xml:space="preserve">for </w:t>
      </w:r>
      <w:r w:rsidR="0021087E" w:rsidRPr="006834CE">
        <w:rPr>
          <w:lang w:val="en-CA"/>
        </w:rPr>
        <w:t>all</w:t>
      </w:r>
      <w:r w:rsidRPr="006834CE">
        <w:rPr>
          <w:lang w:val="en-CA"/>
        </w:rPr>
        <w:t xml:space="preserve"> products sold online in India.</w:t>
      </w:r>
      <w:r w:rsidRPr="006834CE">
        <w:rPr>
          <w:rStyle w:val="EndnoteReference"/>
          <w:lang w:val="en-CA"/>
        </w:rPr>
        <w:endnoteReference w:id="52"/>
      </w:r>
    </w:p>
    <w:p w14:paraId="0826FAA4" w14:textId="77777777" w:rsidR="0021087E" w:rsidRPr="006834CE" w:rsidRDefault="0021087E" w:rsidP="00FB13F9">
      <w:pPr>
        <w:pStyle w:val="BodyTextMain"/>
        <w:rPr>
          <w:lang w:val="en-CA"/>
        </w:rPr>
      </w:pPr>
    </w:p>
    <w:p w14:paraId="143AD731" w14:textId="088D7229" w:rsidR="00FB13F9" w:rsidRPr="006834CE" w:rsidRDefault="00812770" w:rsidP="00FB13F9">
      <w:pPr>
        <w:pStyle w:val="BodyTextMain"/>
        <w:rPr>
          <w:spacing w:val="-2"/>
          <w:lang w:val="en-CA"/>
        </w:rPr>
      </w:pPr>
      <w:r w:rsidRPr="006834CE">
        <w:rPr>
          <w:spacing w:val="-2"/>
          <w:lang w:val="en-CA"/>
        </w:rPr>
        <w:t>N</w:t>
      </w:r>
      <w:r w:rsidR="00FB13F9" w:rsidRPr="006834CE">
        <w:rPr>
          <w:spacing w:val="-2"/>
          <w:lang w:val="en-CA"/>
        </w:rPr>
        <w:t>egative sentiments were expected to h</w:t>
      </w:r>
      <w:r w:rsidR="0021087E" w:rsidRPr="006834CE">
        <w:rPr>
          <w:spacing w:val="-2"/>
          <w:lang w:val="en-CA"/>
        </w:rPr>
        <w:t>ave a considerable negative impact on</w:t>
      </w:r>
      <w:r w:rsidR="00FB13F9" w:rsidRPr="006834CE">
        <w:rPr>
          <w:spacing w:val="-2"/>
          <w:lang w:val="en-CA"/>
        </w:rPr>
        <w:t xml:space="preserve"> India</w:t>
      </w:r>
      <w:r w:rsidR="0021087E" w:rsidRPr="006834CE">
        <w:rPr>
          <w:spacing w:val="-2"/>
          <w:lang w:val="en-CA"/>
        </w:rPr>
        <w:t>’</w:t>
      </w:r>
      <w:r w:rsidR="00FB13F9" w:rsidRPr="006834CE">
        <w:rPr>
          <w:spacing w:val="-2"/>
          <w:lang w:val="en-CA"/>
        </w:rPr>
        <w:t>s smart</w:t>
      </w:r>
      <w:r w:rsidR="0021087E" w:rsidRPr="006834CE">
        <w:rPr>
          <w:spacing w:val="-2"/>
          <w:lang w:val="en-CA"/>
        </w:rPr>
        <w:t xml:space="preserve"> </w:t>
      </w:r>
      <w:r w:rsidR="00FB13F9" w:rsidRPr="006834CE">
        <w:rPr>
          <w:spacing w:val="-2"/>
          <w:lang w:val="en-CA"/>
        </w:rPr>
        <w:t xml:space="preserve">phone </w:t>
      </w:r>
      <w:r w:rsidR="0021087E" w:rsidRPr="006834CE">
        <w:rPr>
          <w:spacing w:val="-2"/>
          <w:lang w:val="en-CA"/>
        </w:rPr>
        <w:t xml:space="preserve">segment, </w:t>
      </w:r>
      <w:r w:rsidR="00FB13F9" w:rsidRPr="006834CE">
        <w:rPr>
          <w:spacing w:val="-2"/>
          <w:lang w:val="en-CA"/>
        </w:rPr>
        <w:t>w</w:t>
      </w:r>
      <w:r w:rsidR="0021087E" w:rsidRPr="006834CE">
        <w:rPr>
          <w:spacing w:val="-2"/>
          <w:lang w:val="en-CA"/>
        </w:rPr>
        <w:t xml:space="preserve">hich relied heavily on parts </w:t>
      </w:r>
      <w:r w:rsidR="00FC1A27" w:rsidRPr="006834CE">
        <w:rPr>
          <w:spacing w:val="-2"/>
          <w:lang w:val="en-CA"/>
        </w:rPr>
        <w:t xml:space="preserve">imported </w:t>
      </w:r>
      <w:r w:rsidR="0021087E" w:rsidRPr="006834CE">
        <w:rPr>
          <w:spacing w:val="-2"/>
          <w:lang w:val="en-CA"/>
        </w:rPr>
        <w:t>from</w:t>
      </w:r>
      <w:r w:rsidR="00FB13F9" w:rsidRPr="006834CE">
        <w:rPr>
          <w:spacing w:val="-2"/>
          <w:lang w:val="en-CA"/>
        </w:rPr>
        <w:t xml:space="preserve"> China. All Chinese mobile phone manufacturers were likely to </w:t>
      </w:r>
      <w:r w:rsidR="0021087E" w:rsidRPr="006834CE">
        <w:rPr>
          <w:spacing w:val="-2"/>
          <w:lang w:val="en-CA"/>
        </w:rPr>
        <w:t>feel a strong impact.</w:t>
      </w:r>
      <w:r w:rsidR="00FB13F9" w:rsidRPr="006834CE">
        <w:rPr>
          <w:spacing w:val="-2"/>
          <w:lang w:val="en-CA"/>
        </w:rPr>
        <w:t xml:space="preserve"> Xiaomi</w:t>
      </w:r>
      <w:r w:rsidR="00FC1A27" w:rsidRPr="006834CE">
        <w:rPr>
          <w:spacing w:val="-2"/>
          <w:lang w:val="en-CA"/>
        </w:rPr>
        <w:t xml:space="preserve"> India</w:t>
      </w:r>
      <w:r w:rsidR="0021087E" w:rsidRPr="006834CE">
        <w:rPr>
          <w:spacing w:val="-2"/>
          <w:lang w:val="en-CA"/>
        </w:rPr>
        <w:t>, as</w:t>
      </w:r>
      <w:r w:rsidR="00FB13F9" w:rsidRPr="006834CE">
        <w:rPr>
          <w:spacing w:val="-2"/>
          <w:lang w:val="en-CA"/>
        </w:rPr>
        <w:t xml:space="preserve"> the market leader, risk</w:t>
      </w:r>
      <w:r w:rsidR="0021087E" w:rsidRPr="006834CE">
        <w:rPr>
          <w:spacing w:val="-2"/>
          <w:lang w:val="en-CA"/>
        </w:rPr>
        <w:t>ed</w:t>
      </w:r>
      <w:r w:rsidR="00FB13F9" w:rsidRPr="006834CE">
        <w:rPr>
          <w:spacing w:val="-2"/>
          <w:lang w:val="en-CA"/>
        </w:rPr>
        <w:t xml:space="preserve"> losing market</w:t>
      </w:r>
      <w:r w:rsidR="0021087E" w:rsidRPr="006834CE">
        <w:rPr>
          <w:spacing w:val="-2"/>
          <w:lang w:val="en-CA"/>
        </w:rPr>
        <w:t xml:space="preserve"> </w:t>
      </w:r>
      <w:r w:rsidR="00FB13F9" w:rsidRPr="006834CE">
        <w:rPr>
          <w:spacing w:val="-2"/>
          <w:lang w:val="en-CA"/>
        </w:rPr>
        <w:t>share to competitors</w:t>
      </w:r>
      <w:r w:rsidR="0021087E" w:rsidRPr="006834CE">
        <w:rPr>
          <w:spacing w:val="-2"/>
          <w:lang w:val="en-CA"/>
        </w:rPr>
        <w:t xml:space="preserve"> who did not have ties with China</w:t>
      </w:r>
      <w:r w:rsidR="00FB13F9" w:rsidRPr="006834CE">
        <w:rPr>
          <w:spacing w:val="-2"/>
          <w:lang w:val="en-CA"/>
        </w:rPr>
        <w:t xml:space="preserve">, especially Samsung, </w:t>
      </w:r>
      <w:r w:rsidR="00F810F0" w:rsidRPr="006834CE">
        <w:rPr>
          <w:spacing w:val="-2"/>
          <w:lang w:val="en-CA"/>
        </w:rPr>
        <w:t xml:space="preserve">which </w:t>
      </w:r>
      <w:r w:rsidR="00FB13F9" w:rsidRPr="006834CE">
        <w:rPr>
          <w:spacing w:val="-2"/>
          <w:lang w:val="en-CA"/>
        </w:rPr>
        <w:t xml:space="preserve">ranked third in </w:t>
      </w:r>
      <w:r w:rsidR="00F810F0" w:rsidRPr="006834CE">
        <w:rPr>
          <w:spacing w:val="-2"/>
          <w:lang w:val="en-CA"/>
        </w:rPr>
        <w:t xml:space="preserve">the </w:t>
      </w:r>
      <w:r w:rsidR="00FB13F9" w:rsidRPr="006834CE">
        <w:rPr>
          <w:spacing w:val="-2"/>
          <w:lang w:val="en-CA"/>
        </w:rPr>
        <w:t>market</w:t>
      </w:r>
      <w:r w:rsidR="001434B8">
        <w:rPr>
          <w:spacing w:val="-2"/>
          <w:lang w:val="en-CA"/>
        </w:rPr>
        <w:t xml:space="preserve"> at the time</w:t>
      </w:r>
      <w:r w:rsidR="00F810F0" w:rsidRPr="006834CE">
        <w:rPr>
          <w:spacing w:val="-2"/>
          <w:lang w:val="en-CA"/>
        </w:rPr>
        <w:t>.</w:t>
      </w:r>
      <w:r w:rsidR="00FB13F9" w:rsidRPr="006834CE">
        <w:rPr>
          <w:rStyle w:val="EndnoteReference"/>
          <w:spacing w:val="-2"/>
          <w:lang w:val="en-CA"/>
        </w:rPr>
        <w:endnoteReference w:id="53"/>
      </w:r>
      <w:r w:rsidR="00FB13F9" w:rsidRPr="006834CE">
        <w:rPr>
          <w:spacing w:val="-2"/>
          <w:lang w:val="en-CA"/>
        </w:rPr>
        <w:t xml:space="preserve"> </w:t>
      </w:r>
    </w:p>
    <w:p w14:paraId="1B1DEB3F" w14:textId="7C063438" w:rsidR="00FB13F9" w:rsidRPr="006834CE" w:rsidRDefault="00FB13F9" w:rsidP="00FB13F9">
      <w:pPr>
        <w:pStyle w:val="BodyTextMain"/>
        <w:rPr>
          <w:lang w:val="en-CA"/>
        </w:rPr>
      </w:pPr>
    </w:p>
    <w:p w14:paraId="150E5117" w14:textId="77777777" w:rsidR="00FB13F9" w:rsidRPr="006834CE" w:rsidRDefault="00FB13F9" w:rsidP="00FB13F9">
      <w:pPr>
        <w:pStyle w:val="BodyTextMain"/>
        <w:rPr>
          <w:lang w:val="en-CA"/>
        </w:rPr>
      </w:pPr>
    </w:p>
    <w:p w14:paraId="305E2321" w14:textId="36E90E45" w:rsidR="00FB13F9" w:rsidRPr="006834CE" w:rsidRDefault="00FB13F9" w:rsidP="00FB13F9">
      <w:pPr>
        <w:pStyle w:val="Casehead1"/>
        <w:rPr>
          <w:lang w:val="en-CA"/>
        </w:rPr>
      </w:pPr>
      <w:r w:rsidRPr="006834CE">
        <w:rPr>
          <w:lang w:val="en-CA"/>
        </w:rPr>
        <w:t>Response by Xiaomi</w:t>
      </w:r>
      <w:r w:rsidR="00FC1A27" w:rsidRPr="006834CE">
        <w:rPr>
          <w:lang w:val="en-CA"/>
        </w:rPr>
        <w:t xml:space="preserve"> India</w:t>
      </w:r>
    </w:p>
    <w:p w14:paraId="13B72840" w14:textId="77777777" w:rsidR="00AA4A0F" w:rsidRPr="006834CE" w:rsidRDefault="00AA4A0F" w:rsidP="00FB13F9">
      <w:pPr>
        <w:pStyle w:val="BodyTextMain"/>
        <w:rPr>
          <w:lang w:val="en-CA"/>
        </w:rPr>
      </w:pPr>
    </w:p>
    <w:p w14:paraId="0B205B61" w14:textId="3561364F" w:rsidR="00F810F0" w:rsidRPr="006834CE" w:rsidRDefault="00F810F0" w:rsidP="00FB13F9">
      <w:pPr>
        <w:pStyle w:val="BodyTextMain"/>
        <w:rPr>
          <w:lang w:val="en-CA"/>
        </w:rPr>
      </w:pPr>
      <w:r w:rsidRPr="006834CE">
        <w:rPr>
          <w:lang w:val="en-CA"/>
        </w:rPr>
        <w:t xml:space="preserve">With </w:t>
      </w:r>
      <w:r w:rsidR="00FB13F9" w:rsidRPr="006834CE">
        <w:rPr>
          <w:lang w:val="en-CA"/>
        </w:rPr>
        <w:t>tension</w:t>
      </w:r>
      <w:r w:rsidRPr="006834CE">
        <w:rPr>
          <w:lang w:val="en-CA"/>
        </w:rPr>
        <w:t>s</w:t>
      </w:r>
      <w:r w:rsidR="00FB13F9" w:rsidRPr="006834CE">
        <w:rPr>
          <w:lang w:val="en-CA"/>
        </w:rPr>
        <w:t xml:space="preserve"> brewing on the Ind</w:t>
      </w:r>
      <w:r w:rsidR="00FC1A27" w:rsidRPr="006834CE">
        <w:rPr>
          <w:lang w:val="en-CA"/>
        </w:rPr>
        <w:t>ia</w:t>
      </w:r>
      <w:r w:rsidR="00812770" w:rsidRPr="006834CE">
        <w:rPr>
          <w:lang w:val="en-CA"/>
        </w:rPr>
        <w:t>-</w:t>
      </w:r>
      <w:r w:rsidR="00FB13F9" w:rsidRPr="006834CE">
        <w:rPr>
          <w:lang w:val="en-CA"/>
        </w:rPr>
        <w:t>China border</w:t>
      </w:r>
      <w:r w:rsidRPr="006834CE">
        <w:rPr>
          <w:lang w:val="en-CA"/>
        </w:rPr>
        <w:t xml:space="preserve"> for some time</w:t>
      </w:r>
      <w:r w:rsidR="00FB13F9" w:rsidRPr="006834CE">
        <w:rPr>
          <w:lang w:val="en-CA"/>
        </w:rPr>
        <w:t xml:space="preserve">, Chinese companies </w:t>
      </w:r>
      <w:r w:rsidRPr="006834CE">
        <w:rPr>
          <w:lang w:val="en-CA"/>
        </w:rPr>
        <w:t xml:space="preserve">had already been </w:t>
      </w:r>
      <w:r w:rsidR="00FB13F9" w:rsidRPr="006834CE">
        <w:rPr>
          <w:lang w:val="en-CA"/>
        </w:rPr>
        <w:t>experienc</w:t>
      </w:r>
      <w:r w:rsidRPr="006834CE">
        <w:rPr>
          <w:lang w:val="en-CA"/>
        </w:rPr>
        <w:t>ing</w:t>
      </w:r>
      <w:r w:rsidR="00FB13F9" w:rsidRPr="006834CE">
        <w:rPr>
          <w:lang w:val="en-CA"/>
        </w:rPr>
        <w:t xml:space="preserve"> hostilit</w:t>
      </w:r>
      <w:r w:rsidRPr="006834CE">
        <w:rPr>
          <w:lang w:val="en-CA"/>
        </w:rPr>
        <w:t>ies—</w:t>
      </w:r>
      <w:r w:rsidR="00FB13F9" w:rsidRPr="006834CE">
        <w:rPr>
          <w:lang w:val="en-CA"/>
        </w:rPr>
        <w:t>even before the Galwan clash. As early as April</w:t>
      </w:r>
      <w:r w:rsidRPr="006834CE">
        <w:rPr>
          <w:lang w:val="en-CA"/>
        </w:rPr>
        <w:t xml:space="preserve"> and </w:t>
      </w:r>
      <w:r w:rsidR="00FB13F9" w:rsidRPr="006834CE">
        <w:rPr>
          <w:lang w:val="en-CA"/>
        </w:rPr>
        <w:t xml:space="preserve">May 2020, questions were raised on the security of user data stored by Xiaomi </w:t>
      </w:r>
      <w:r w:rsidR="00FC1A27" w:rsidRPr="006834CE">
        <w:rPr>
          <w:lang w:val="en-CA"/>
        </w:rPr>
        <w:t xml:space="preserve">India </w:t>
      </w:r>
      <w:r w:rsidR="00FB13F9" w:rsidRPr="006834CE">
        <w:rPr>
          <w:lang w:val="en-CA"/>
        </w:rPr>
        <w:t>on its servers</w:t>
      </w:r>
      <w:r w:rsidRPr="006834CE">
        <w:rPr>
          <w:lang w:val="en-CA"/>
        </w:rPr>
        <w:t>, which were</w:t>
      </w:r>
      <w:r w:rsidR="00FB13F9" w:rsidRPr="006834CE">
        <w:rPr>
          <w:lang w:val="en-CA"/>
        </w:rPr>
        <w:t xml:space="preserve"> located in </w:t>
      </w:r>
      <w:r w:rsidRPr="006834CE">
        <w:rPr>
          <w:lang w:val="en-CA"/>
        </w:rPr>
        <w:t xml:space="preserve">the parent company’s </w:t>
      </w:r>
      <w:r w:rsidR="00FB13F9" w:rsidRPr="006834CE">
        <w:rPr>
          <w:lang w:val="en-CA"/>
        </w:rPr>
        <w:t>Chin</w:t>
      </w:r>
      <w:r w:rsidRPr="006834CE">
        <w:rPr>
          <w:lang w:val="en-CA"/>
        </w:rPr>
        <w:t>ese location</w:t>
      </w:r>
      <w:r w:rsidR="00FB13F9" w:rsidRPr="006834CE">
        <w:rPr>
          <w:lang w:val="en-CA"/>
        </w:rPr>
        <w:t>.</w:t>
      </w:r>
      <w:r w:rsidR="00FB13F9" w:rsidRPr="006834CE">
        <w:rPr>
          <w:rStyle w:val="EndnoteReference"/>
          <w:lang w:val="en-CA"/>
        </w:rPr>
        <w:endnoteReference w:id="54"/>
      </w:r>
      <w:r w:rsidR="00FB13F9" w:rsidRPr="006834CE">
        <w:rPr>
          <w:lang w:val="en-CA"/>
        </w:rPr>
        <w:t xml:space="preserve"> There </w:t>
      </w:r>
      <w:r w:rsidRPr="006834CE">
        <w:rPr>
          <w:lang w:val="en-CA"/>
        </w:rPr>
        <w:t>had also been some avoidance of</w:t>
      </w:r>
      <w:r w:rsidR="00FB13F9" w:rsidRPr="006834CE">
        <w:rPr>
          <w:lang w:val="en-CA"/>
        </w:rPr>
        <w:t xml:space="preserve"> </w:t>
      </w:r>
      <w:r w:rsidR="002D6B30" w:rsidRPr="006834CE">
        <w:rPr>
          <w:lang w:val="en-CA"/>
        </w:rPr>
        <w:t xml:space="preserve">products </w:t>
      </w:r>
      <w:r w:rsidR="00FB13F9" w:rsidRPr="006834CE">
        <w:rPr>
          <w:lang w:val="en-CA"/>
        </w:rPr>
        <w:t xml:space="preserve">made in </w:t>
      </w:r>
      <w:r w:rsidR="002D6B30" w:rsidRPr="006834CE">
        <w:rPr>
          <w:lang w:val="en-CA"/>
        </w:rPr>
        <w:t>China</w:t>
      </w:r>
      <w:r w:rsidR="00FB13F9" w:rsidRPr="006834CE">
        <w:rPr>
          <w:lang w:val="en-CA"/>
        </w:rPr>
        <w:t xml:space="preserve">, </w:t>
      </w:r>
      <w:r w:rsidRPr="006834CE">
        <w:rPr>
          <w:lang w:val="en-CA"/>
        </w:rPr>
        <w:t>although the reason was the threat</w:t>
      </w:r>
      <w:r w:rsidR="00FB13F9" w:rsidRPr="006834CE">
        <w:rPr>
          <w:lang w:val="en-CA"/>
        </w:rPr>
        <w:t xml:space="preserve"> of job losses due to</w:t>
      </w:r>
      <w:r w:rsidRPr="006834CE">
        <w:rPr>
          <w:lang w:val="en-CA"/>
        </w:rPr>
        <w:t xml:space="preserve"> the</w:t>
      </w:r>
      <w:r w:rsidR="00FB13F9" w:rsidRPr="006834CE">
        <w:rPr>
          <w:lang w:val="en-CA"/>
        </w:rPr>
        <w:t xml:space="preserve"> COVID-19</w:t>
      </w:r>
      <w:r w:rsidRPr="006834CE">
        <w:rPr>
          <w:lang w:val="en-CA"/>
        </w:rPr>
        <w:t xml:space="preserve"> pandemic</w:t>
      </w:r>
      <w:r w:rsidR="00FB13F9" w:rsidRPr="006834CE">
        <w:rPr>
          <w:lang w:val="en-CA"/>
        </w:rPr>
        <w:t xml:space="preserve">. </w:t>
      </w:r>
      <w:r w:rsidRPr="006834CE">
        <w:rPr>
          <w:lang w:val="en-CA"/>
        </w:rPr>
        <w:t xml:space="preserve">Still, </w:t>
      </w:r>
      <w:r w:rsidR="00FB13F9" w:rsidRPr="006834CE">
        <w:rPr>
          <w:lang w:val="en-CA"/>
        </w:rPr>
        <w:t>the</w:t>
      </w:r>
      <w:r w:rsidRPr="006834CE">
        <w:rPr>
          <w:lang w:val="en-CA"/>
        </w:rPr>
        <w:t>se</w:t>
      </w:r>
      <w:r w:rsidR="00FB13F9" w:rsidRPr="006834CE">
        <w:rPr>
          <w:lang w:val="en-CA"/>
        </w:rPr>
        <w:t xml:space="preserve"> negative sentiments </w:t>
      </w:r>
      <w:r w:rsidRPr="006834CE">
        <w:rPr>
          <w:lang w:val="en-CA"/>
        </w:rPr>
        <w:t>against China seemed to have had little</w:t>
      </w:r>
      <w:r w:rsidR="00FB13F9" w:rsidRPr="006834CE">
        <w:rPr>
          <w:lang w:val="en-CA"/>
        </w:rPr>
        <w:t xml:space="preserve"> </w:t>
      </w:r>
      <w:r w:rsidRPr="006834CE">
        <w:rPr>
          <w:lang w:val="en-CA"/>
        </w:rPr>
        <w:t>e</w:t>
      </w:r>
      <w:r w:rsidR="00FB13F9" w:rsidRPr="006834CE">
        <w:rPr>
          <w:lang w:val="en-CA"/>
        </w:rPr>
        <w:t xml:space="preserve">ffect </w:t>
      </w:r>
      <w:r w:rsidRPr="006834CE">
        <w:rPr>
          <w:lang w:val="en-CA"/>
        </w:rPr>
        <w:t xml:space="preserve">on Xiaomi </w:t>
      </w:r>
      <w:r w:rsidR="00FC1A27" w:rsidRPr="006834CE">
        <w:rPr>
          <w:lang w:val="en-CA"/>
        </w:rPr>
        <w:t>India</w:t>
      </w:r>
      <w:r w:rsidR="00FB13F9" w:rsidRPr="006834CE">
        <w:rPr>
          <w:lang w:val="en-CA"/>
        </w:rPr>
        <w:t>.</w:t>
      </w:r>
      <w:r w:rsidR="00FB13F9" w:rsidRPr="006834CE">
        <w:rPr>
          <w:rStyle w:val="EndnoteReference"/>
          <w:lang w:val="en-CA"/>
        </w:rPr>
        <w:endnoteReference w:id="55"/>
      </w:r>
    </w:p>
    <w:p w14:paraId="0368FEB5" w14:textId="77777777" w:rsidR="00F810F0" w:rsidRPr="006834CE" w:rsidRDefault="00F810F0" w:rsidP="00FB13F9">
      <w:pPr>
        <w:pStyle w:val="BodyTextMain"/>
        <w:rPr>
          <w:lang w:val="en-CA"/>
        </w:rPr>
      </w:pPr>
    </w:p>
    <w:p w14:paraId="267688E6" w14:textId="74A2FFB8" w:rsidR="00FB13F9" w:rsidRPr="006834CE" w:rsidRDefault="00FB13F9" w:rsidP="00FB13F9">
      <w:pPr>
        <w:pStyle w:val="BodyTextMain"/>
        <w:rPr>
          <w:lang w:val="en-CA"/>
        </w:rPr>
      </w:pPr>
      <w:r w:rsidRPr="006834CE">
        <w:rPr>
          <w:lang w:val="en-CA"/>
        </w:rPr>
        <w:t>The situation changed dra</w:t>
      </w:r>
      <w:r w:rsidR="00FC1A27" w:rsidRPr="006834CE">
        <w:rPr>
          <w:lang w:val="en-CA"/>
        </w:rPr>
        <w:t>ma</w:t>
      </w:r>
      <w:r w:rsidRPr="006834CE">
        <w:rPr>
          <w:lang w:val="en-CA"/>
        </w:rPr>
        <w:t>tically</w:t>
      </w:r>
      <w:r w:rsidR="00F810F0" w:rsidRPr="006834CE">
        <w:rPr>
          <w:lang w:val="en-CA"/>
        </w:rPr>
        <w:t>, however,</w:t>
      </w:r>
      <w:r w:rsidRPr="006834CE">
        <w:rPr>
          <w:lang w:val="en-CA"/>
        </w:rPr>
        <w:t xml:space="preserve"> after the clash in Galwan. </w:t>
      </w:r>
      <w:r w:rsidR="00F810F0" w:rsidRPr="006834CE">
        <w:rPr>
          <w:lang w:val="en-CA"/>
        </w:rPr>
        <w:t>An announcement on Twitter</w:t>
      </w:r>
      <w:r w:rsidRPr="006834CE">
        <w:rPr>
          <w:lang w:val="en-CA"/>
        </w:rPr>
        <w:t xml:space="preserve"> by </w:t>
      </w:r>
      <w:r w:rsidR="00F810F0" w:rsidRPr="006834CE">
        <w:rPr>
          <w:lang w:val="en-CA"/>
        </w:rPr>
        <w:t>Jain, Xiaomi</w:t>
      </w:r>
      <w:r w:rsidR="00FC1A27" w:rsidRPr="006834CE">
        <w:rPr>
          <w:lang w:val="en-CA"/>
        </w:rPr>
        <w:t xml:space="preserve"> India</w:t>
      </w:r>
      <w:r w:rsidR="00F810F0" w:rsidRPr="006834CE">
        <w:rPr>
          <w:lang w:val="en-CA"/>
        </w:rPr>
        <w:t>’s managing director</w:t>
      </w:r>
      <w:r w:rsidR="00FC1A27" w:rsidRPr="006834CE">
        <w:rPr>
          <w:lang w:val="en-CA"/>
        </w:rPr>
        <w:t>,</w:t>
      </w:r>
      <w:r w:rsidR="00542918" w:rsidRPr="006834CE">
        <w:rPr>
          <w:lang w:val="en-CA"/>
        </w:rPr>
        <w:t xml:space="preserve"> about</w:t>
      </w:r>
      <w:r w:rsidRPr="006834CE">
        <w:rPr>
          <w:lang w:val="en-CA"/>
        </w:rPr>
        <w:t xml:space="preserve"> the new Mi Notebook</w:t>
      </w:r>
      <w:r w:rsidR="00542918" w:rsidRPr="006834CE">
        <w:rPr>
          <w:lang w:val="en-CA"/>
        </w:rPr>
        <w:t xml:space="preserve"> generated a flurry of negative responses on social media</w:t>
      </w:r>
      <w:r w:rsidRPr="006834CE">
        <w:rPr>
          <w:lang w:val="en-CA"/>
        </w:rPr>
        <w:t>.</w:t>
      </w:r>
      <w:r w:rsidRPr="006834CE">
        <w:rPr>
          <w:rStyle w:val="EndnoteReference"/>
          <w:lang w:val="en-CA"/>
        </w:rPr>
        <w:endnoteReference w:id="56"/>
      </w:r>
      <w:r w:rsidRPr="006834CE">
        <w:rPr>
          <w:lang w:val="en-CA"/>
        </w:rPr>
        <w:t xml:space="preserve"> Anticipating threat</w:t>
      </w:r>
      <w:r w:rsidR="00542918" w:rsidRPr="006834CE">
        <w:rPr>
          <w:lang w:val="en-CA"/>
        </w:rPr>
        <w:t>s of violence against</w:t>
      </w:r>
      <w:r w:rsidRPr="006834CE">
        <w:rPr>
          <w:lang w:val="en-CA"/>
        </w:rPr>
        <w:t xml:space="preserve"> shops selling Chinese smart</w:t>
      </w:r>
      <w:r w:rsidR="00542918" w:rsidRPr="006834CE">
        <w:rPr>
          <w:lang w:val="en-CA"/>
        </w:rPr>
        <w:t xml:space="preserve"> </w:t>
      </w:r>
      <w:r w:rsidRPr="006834CE">
        <w:rPr>
          <w:lang w:val="en-CA"/>
        </w:rPr>
        <w:t xml:space="preserve">phones, </w:t>
      </w:r>
      <w:r w:rsidR="00542918" w:rsidRPr="006834CE">
        <w:rPr>
          <w:lang w:val="en-CA"/>
        </w:rPr>
        <w:t xml:space="preserve">the </w:t>
      </w:r>
      <w:r w:rsidRPr="006834CE">
        <w:rPr>
          <w:lang w:val="en-CA"/>
        </w:rPr>
        <w:t xml:space="preserve">All India Mobile Retailers Association requested </w:t>
      </w:r>
      <w:r w:rsidR="00542918" w:rsidRPr="006834CE">
        <w:rPr>
          <w:lang w:val="en-CA"/>
        </w:rPr>
        <w:t xml:space="preserve">permission from </w:t>
      </w:r>
      <w:r w:rsidRPr="006834CE">
        <w:rPr>
          <w:lang w:val="en-CA"/>
        </w:rPr>
        <w:t xml:space="preserve">Chinese </w:t>
      </w:r>
      <w:r w:rsidR="00542918" w:rsidRPr="006834CE">
        <w:rPr>
          <w:lang w:val="en-CA"/>
        </w:rPr>
        <w:t>companies</w:t>
      </w:r>
      <w:r w:rsidRPr="006834CE">
        <w:rPr>
          <w:lang w:val="en-CA"/>
        </w:rPr>
        <w:t xml:space="preserve"> to remove or </w:t>
      </w:r>
      <w:r w:rsidR="00542918" w:rsidRPr="006834CE">
        <w:rPr>
          <w:lang w:val="en-CA"/>
        </w:rPr>
        <w:t>cover their</w:t>
      </w:r>
      <w:r w:rsidRPr="006834CE">
        <w:rPr>
          <w:lang w:val="en-CA"/>
        </w:rPr>
        <w:t xml:space="preserve"> branding</w:t>
      </w:r>
      <w:r w:rsidR="00542918" w:rsidRPr="006834CE">
        <w:rPr>
          <w:lang w:val="en-CA"/>
        </w:rPr>
        <w:t xml:space="preserve"> signage</w:t>
      </w:r>
      <w:r w:rsidRPr="006834CE">
        <w:rPr>
          <w:lang w:val="en-CA"/>
        </w:rPr>
        <w:t>. Xiaomi</w:t>
      </w:r>
      <w:r w:rsidR="00FC1A27" w:rsidRPr="006834CE">
        <w:rPr>
          <w:lang w:val="en-CA"/>
        </w:rPr>
        <w:t xml:space="preserve"> India</w:t>
      </w:r>
      <w:r w:rsidRPr="006834CE">
        <w:rPr>
          <w:lang w:val="en-CA"/>
        </w:rPr>
        <w:t xml:space="preserve"> advised retailers to cover </w:t>
      </w:r>
      <w:r w:rsidR="00542918" w:rsidRPr="006834CE">
        <w:rPr>
          <w:lang w:val="en-CA"/>
        </w:rPr>
        <w:t>i</w:t>
      </w:r>
      <w:r w:rsidRPr="006834CE">
        <w:rPr>
          <w:lang w:val="en-CA"/>
        </w:rPr>
        <w:t>t</w:t>
      </w:r>
      <w:r w:rsidR="00542918" w:rsidRPr="006834CE">
        <w:rPr>
          <w:lang w:val="en-CA"/>
        </w:rPr>
        <w:t>s</w:t>
      </w:r>
      <w:r w:rsidRPr="006834CE">
        <w:rPr>
          <w:lang w:val="en-CA"/>
        </w:rPr>
        <w:t xml:space="preserve"> branding </w:t>
      </w:r>
      <w:r w:rsidR="00542918" w:rsidRPr="006834CE">
        <w:rPr>
          <w:lang w:val="en-CA"/>
        </w:rPr>
        <w:t xml:space="preserve">images </w:t>
      </w:r>
      <w:r w:rsidRPr="006834CE">
        <w:rPr>
          <w:lang w:val="en-CA"/>
        </w:rPr>
        <w:t xml:space="preserve">with the </w:t>
      </w:r>
      <w:r w:rsidR="00542918" w:rsidRPr="006834CE">
        <w:rPr>
          <w:lang w:val="en-CA"/>
        </w:rPr>
        <w:t xml:space="preserve">government’s </w:t>
      </w:r>
      <w:r w:rsidRPr="006834CE">
        <w:rPr>
          <w:lang w:val="en-CA"/>
        </w:rPr>
        <w:t>Ma</w:t>
      </w:r>
      <w:r w:rsidR="00542918" w:rsidRPr="006834CE">
        <w:rPr>
          <w:lang w:val="en-CA"/>
        </w:rPr>
        <w:t>k</w:t>
      </w:r>
      <w:r w:rsidRPr="006834CE">
        <w:rPr>
          <w:lang w:val="en-CA"/>
        </w:rPr>
        <w:t xml:space="preserve">e in </w:t>
      </w:r>
      <w:r w:rsidR="002D6B30" w:rsidRPr="006834CE">
        <w:rPr>
          <w:lang w:val="en-CA"/>
        </w:rPr>
        <w:t xml:space="preserve">India </w:t>
      </w:r>
      <w:r w:rsidR="00542918" w:rsidRPr="006834CE">
        <w:rPr>
          <w:lang w:val="en-CA"/>
        </w:rPr>
        <w:t>icon</w:t>
      </w:r>
      <w:r w:rsidRPr="006834CE">
        <w:rPr>
          <w:lang w:val="en-CA"/>
        </w:rPr>
        <w:t xml:space="preserve">. The company also advised </w:t>
      </w:r>
      <w:r w:rsidR="005653A9" w:rsidRPr="006834CE">
        <w:rPr>
          <w:lang w:val="en-CA"/>
        </w:rPr>
        <w:t>local</w:t>
      </w:r>
      <w:r w:rsidRPr="006834CE">
        <w:rPr>
          <w:lang w:val="en-CA"/>
        </w:rPr>
        <w:t xml:space="preserve"> </w:t>
      </w:r>
      <w:r w:rsidR="005653A9" w:rsidRPr="006834CE">
        <w:rPr>
          <w:lang w:val="en-CA"/>
        </w:rPr>
        <w:t xml:space="preserve">company representatives and </w:t>
      </w:r>
      <w:r w:rsidRPr="006834CE">
        <w:rPr>
          <w:lang w:val="en-CA"/>
        </w:rPr>
        <w:t xml:space="preserve">promoters to </w:t>
      </w:r>
      <w:r w:rsidR="005653A9" w:rsidRPr="006834CE">
        <w:rPr>
          <w:lang w:val="en-CA"/>
        </w:rPr>
        <w:t xml:space="preserve">avoid </w:t>
      </w:r>
      <w:r w:rsidRPr="006834CE">
        <w:rPr>
          <w:lang w:val="en-CA"/>
        </w:rPr>
        <w:t>wear</w:t>
      </w:r>
      <w:r w:rsidR="005653A9" w:rsidRPr="006834CE">
        <w:rPr>
          <w:lang w:val="en-CA"/>
        </w:rPr>
        <w:t>ing</w:t>
      </w:r>
      <w:r w:rsidRPr="006834CE">
        <w:rPr>
          <w:lang w:val="en-CA"/>
        </w:rPr>
        <w:t xml:space="preserve"> company uniform</w:t>
      </w:r>
      <w:r w:rsidR="005653A9" w:rsidRPr="006834CE">
        <w:rPr>
          <w:lang w:val="en-CA"/>
        </w:rPr>
        <w:t>s</w:t>
      </w:r>
      <w:r w:rsidRPr="006834CE">
        <w:rPr>
          <w:lang w:val="en-CA"/>
        </w:rPr>
        <w:t xml:space="preserve"> </w:t>
      </w:r>
      <w:r w:rsidR="005653A9" w:rsidRPr="006834CE">
        <w:rPr>
          <w:lang w:val="en-CA"/>
        </w:rPr>
        <w:t>un</w:t>
      </w:r>
      <w:r w:rsidRPr="006834CE">
        <w:rPr>
          <w:lang w:val="en-CA"/>
        </w:rPr>
        <w:t>til tempers c</w:t>
      </w:r>
      <w:r w:rsidR="005653A9" w:rsidRPr="006834CE">
        <w:rPr>
          <w:lang w:val="en-CA"/>
        </w:rPr>
        <w:t>a</w:t>
      </w:r>
      <w:r w:rsidRPr="006834CE">
        <w:rPr>
          <w:lang w:val="en-CA"/>
        </w:rPr>
        <w:t>l</w:t>
      </w:r>
      <w:r w:rsidR="005653A9" w:rsidRPr="006834CE">
        <w:rPr>
          <w:lang w:val="en-CA"/>
        </w:rPr>
        <w:t>me</w:t>
      </w:r>
      <w:r w:rsidRPr="006834CE">
        <w:rPr>
          <w:lang w:val="en-CA"/>
        </w:rPr>
        <w:t>d.</w:t>
      </w:r>
      <w:r w:rsidRPr="006834CE">
        <w:rPr>
          <w:rStyle w:val="EndnoteReference"/>
          <w:lang w:val="en-CA"/>
        </w:rPr>
        <w:endnoteReference w:id="57"/>
      </w:r>
    </w:p>
    <w:p w14:paraId="7302240A" w14:textId="77777777" w:rsidR="00FB13F9" w:rsidRPr="006834CE" w:rsidRDefault="00FB13F9" w:rsidP="00FB13F9">
      <w:pPr>
        <w:pStyle w:val="BodyTextMain"/>
        <w:rPr>
          <w:lang w:val="en-CA"/>
        </w:rPr>
      </w:pPr>
    </w:p>
    <w:p w14:paraId="2C6EA637" w14:textId="1D97B8C6" w:rsidR="00FB13F9" w:rsidRPr="006834CE" w:rsidRDefault="00C00D96" w:rsidP="00FB13F9">
      <w:pPr>
        <w:pStyle w:val="BodyTextMain"/>
        <w:rPr>
          <w:lang w:val="en-CA"/>
        </w:rPr>
      </w:pPr>
      <w:r w:rsidRPr="006834CE">
        <w:rPr>
          <w:lang w:val="en-CA"/>
        </w:rPr>
        <w:t xml:space="preserve">Xiaomi </w:t>
      </w:r>
      <w:r w:rsidR="00FC1A27" w:rsidRPr="006834CE">
        <w:rPr>
          <w:lang w:val="en-CA"/>
        </w:rPr>
        <w:t xml:space="preserve">India </w:t>
      </w:r>
      <w:r w:rsidR="00EE4CB8" w:rsidRPr="006834CE">
        <w:rPr>
          <w:lang w:val="en-CA"/>
        </w:rPr>
        <w:t>wanted to</w:t>
      </w:r>
      <w:r w:rsidR="00FB13F9" w:rsidRPr="006834CE">
        <w:rPr>
          <w:lang w:val="en-CA"/>
        </w:rPr>
        <w:t xml:space="preserve"> be seen as a multi-national company, with </w:t>
      </w:r>
      <w:r w:rsidR="006B412D" w:rsidRPr="006834CE">
        <w:rPr>
          <w:lang w:val="en-CA"/>
        </w:rPr>
        <w:t xml:space="preserve">its parent </w:t>
      </w:r>
      <w:r w:rsidR="00FB13F9" w:rsidRPr="006834CE">
        <w:rPr>
          <w:lang w:val="en-CA"/>
        </w:rPr>
        <w:t>headquarters in China.</w:t>
      </w:r>
      <w:r w:rsidR="00FB13F9" w:rsidRPr="006834CE">
        <w:rPr>
          <w:rStyle w:val="EndnoteReference"/>
          <w:lang w:val="en-CA"/>
        </w:rPr>
        <w:endnoteReference w:id="58"/>
      </w:r>
      <w:r w:rsidR="00FB13F9" w:rsidRPr="006834CE">
        <w:rPr>
          <w:lang w:val="en-CA"/>
        </w:rPr>
        <w:t xml:space="preserve"> It claimed that its</w:t>
      </w:r>
      <w:r w:rsidR="00EE4CB8" w:rsidRPr="006834CE">
        <w:rPr>
          <w:lang w:val="en-CA"/>
        </w:rPr>
        <w:t xml:space="preserve"> products</w:t>
      </w:r>
      <w:r w:rsidR="00FB13F9" w:rsidRPr="006834CE">
        <w:rPr>
          <w:lang w:val="en-CA"/>
        </w:rPr>
        <w:t xml:space="preserve"> </w:t>
      </w:r>
      <w:r w:rsidR="00EE4CB8" w:rsidRPr="006834CE">
        <w:rPr>
          <w:lang w:val="en-CA"/>
        </w:rPr>
        <w:t>we</w:t>
      </w:r>
      <w:r w:rsidR="00FB13F9" w:rsidRPr="006834CE">
        <w:rPr>
          <w:lang w:val="en-CA"/>
        </w:rPr>
        <w:t xml:space="preserve">re more </w:t>
      </w:r>
      <w:r w:rsidR="00EE4CB8" w:rsidRPr="006834CE">
        <w:rPr>
          <w:lang w:val="en-CA"/>
        </w:rPr>
        <w:t xml:space="preserve">genuinely </w:t>
      </w:r>
      <w:r w:rsidR="00FB13F9" w:rsidRPr="006834CE">
        <w:rPr>
          <w:lang w:val="en-CA"/>
        </w:rPr>
        <w:t xml:space="preserve">Indian than </w:t>
      </w:r>
      <w:r w:rsidR="00EE4CB8" w:rsidRPr="006834CE">
        <w:rPr>
          <w:lang w:val="en-CA"/>
        </w:rPr>
        <w:t>many of its competi</w:t>
      </w:r>
      <w:r w:rsidR="00FB01A4" w:rsidRPr="006834CE">
        <w:rPr>
          <w:lang w:val="en-CA"/>
        </w:rPr>
        <w:t>t</w:t>
      </w:r>
      <w:r w:rsidR="00EE4CB8" w:rsidRPr="006834CE">
        <w:rPr>
          <w:lang w:val="en-CA"/>
        </w:rPr>
        <w:t>ors</w:t>
      </w:r>
      <w:r w:rsidR="00FB01A4" w:rsidRPr="006834CE">
        <w:rPr>
          <w:lang w:val="en-CA"/>
        </w:rPr>
        <w:t>.</w:t>
      </w:r>
      <w:r w:rsidR="00FB13F9" w:rsidRPr="006834CE">
        <w:rPr>
          <w:lang w:val="en-CA"/>
        </w:rPr>
        <w:t xml:space="preserve"> </w:t>
      </w:r>
      <w:r w:rsidR="00FB01A4" w:rsidRPr="006834CE">
        <w:rPr>
          <w:lang w:val="en-CA"/>
        </w:rPr>
        <w:t>Xiaomi</w:t>
      </w:r>
      <w:r w:rsidR="00FC1A27" w:rsidRPr="006834CE">
        <w:rPr>
          <w:lang w:val="en-CA"/>
        </w:rPr>
        <w:t xml:space="preserve"> India</w:t>
      </w:r>
      <w:r w:rsidR="00FB01A4" w:rsidRPr="006834CE">
        <w:rPr>
          <w:lang w:val="en-CA"/>
        </w:rPr>
        <w:t xml:space="preserve"> stated that many </w:t>
      </w:r>
      <w:r w:rsidR="00FB13F9" w:rsidRPr="006834CE">
        <w:rPr>
          <w:lang w:val="en-CA"/>
        </w:rPr>
        <w:t>Indian companies source</w:t>
      </w:r>
      <w:r w:rsidR="00FB01A4" w:rsidRPr="006834CE">
        <w:rPr>
          <w:lang w:val="en-CA"/>
        </w:rPr>
        <w:t>d</w:t>
      </w:r>
      <w:r w:rsidR="00FB13F9" w:rsidRPr="006834CE">
        <w:rPr>
          <w:lang w:val="en-CA"/>
        </w:rPr>
        <w:t xml:space="preserve"> all </w:t>
      </w:r>
      <w:r w:rsidR="008E0A10">
        <w:rPr>
          <w:lang w:val="en-CA"/>
        </w:rPr>
        <w:t xml:space="preserve">of </w:t>
      </w:r>
      <w:r w:rsidR="00FB13F9" w:rsidRPr="006834CE">
        <w:rPr>
          <w:lang w:val="en-CA"/>
        </w:rPr>
        <w:t>their components or products from China</w:t>
      </w:r>
      <w:r w:rsidR="00FB01A4" w:rsidRPr="006834CE">
        <w:rPr>
          <w:lang w:val="en-CA"/>
        </w:rPr>
        <w:t>,</w:t>
      </w:r>
      <w:r w:rsidR="00FB13F9" w:rsidRPr="006834CE">
        <w:rPr>
          <w:rStyle w:val="EndnoteReference"/>
          <w:lang w:val="en-CA"/>
        </w:rPr>
        <w:endnoteReference w:id="59"/>
      </w:r>
      <w:r w:rsidR="00FB13F9" w:rsidRPr="006834CE">
        <w:rPr>
          <w:lang w:val="en-CA"/>
        </w:rPr>
        <w:t xml:space="preserve"> </w:t>
      </w:r>
      <w:r w:rsidR="00FB01A4" w:rsidRPr="006834CE">
        <w:rPr>
          <w:lang w:val="en-CA"/>
        </w:rPr>
        <w:t xml:space="preserve">whereas </w:t>
      </w:r>
      <w:r w:rsidR="00FB13F9" w:rsidRPr="006834CE">
        <w:rPr>
          <w:lang w:val="en-CA"/>
        </w:rPr>
        <w:t>99</w:t>
      </w:r>
      <w:r w:rsidR="00FA7411" w:rsidRPr="006834CE">
        <w:rPr>
          <w:lang w:val="en-CA"/>
        </w:rPr>
        <w:t xml:space="preserve"> per cent</w:t>
      </w:r>
      <w:r w:rsidR="00FB13F9" w:rsidRPr="006834CE">
        <w:rPr>
          <w:lang w:val="en-CA"/>
        </w:rPr>
        <w:t xml:space="preserve"> of </w:t>
      </w:r>
      <w:r w:rsidR="00FB01A4" w:rsidRPr="006834CE">
        <w:rPr>
          <w:lang w:val="en-CA"/>
        </w:rPr>
        <w:t xml:space="preserve">Xiaomi </w:t>
      </w:r>
      <w:r w:rsidR="00FB13F9" w:rsidRPr="006834CE">
        <w:rPr>
          <w:lang w:val="en-CA"/>
        </w:rPr>
        <w:t>phones sold in India were made at Foxconn</w:t>
      </w:r>
      <w:r w:rsidR="00FB01A4" w:rsidRPr="006834CE">
        <w:rPr>
          <w:lang w:val="en-CA"/>
        </w:rPr>
        <w:t>’s</w:t>
      </w:r>
      <w:r w:rsidR="00FB13F9" w:rsidRPr="006834CE">
        <w:rPr>
          <w:lang w:val="en-CA"/>
        </w:rPr>
        <w:t xml:space="preserve"> manufacturing plants</w:t>
      </w:r>
      <w:r w:rsidR="00FC1A27" w:rsidRPr="006834CE">
        <w:rPr>
          <w:lang w:val="en-CA"/>
        </w:rPr>
        <w:t>,</w:t>
      </w:r>
      <w:r w:rsidR="00FB13F9" w:rsidRPr="006834CE">
        <w:rPr>
          <w:lang w:val="en-CA"/>
        </w:rPr>
        <w:t xml:space="preserve"> </w:t>
      </w:r>
      <w:r w:rsidR="00FB01A4" w:rsidRPr="006834CE">
        <w:rPr>
          <w:lang w:val="en-CA"/>
        </w:rPr>
        <w:t>located</w:t>
      </w:r>
      <w:r w:rsidR="00FB13F9" w:rsidRPr="006834CE">
        <w:rPr>
          <w:lang w:val="en-CA"/>
        </w:rPr>
        <w:t xml:space="preserve"> in India. The company also export</w:t>
      </w:r>
      <w:r w:rsidR="00FB01A4" w:rsidRPr="006834CE">
        <w:rPr>
          <w:lang w:val="en-CA"/>
        </w:rPr>
        <w:t>ed smart phones</w:t>
      </w:r>
      <w:r w:rsidR="00FB13F9" w:rsidRPr="006834CE">
        <w:rPr>
          <w:lang w:val="en-CA"/>
        </w:rPr>
        <w:t xml:space="preserve"> made in India to Bangladesh and Nepal. The company </w:t>
      </w:r>
      <w:r w:rsidR="006B412D" w:rsidRPr="006834CE">
        <w:rPr>
          <w:lang w:val="en-CA"/>
        </w:rPr>
        <w:t>emphasized</w:t>
      </w:r>
      <w:r w:rsidR="00FB13F9" w:rsidRPr="006834CE">
        <w:rPr>
          <w:lang w:val="en-CA"/>
        </w:rPr>
        <w:t xml:space="preserve"> that </w:t>
      </w:r>
      <w:r w:rsidR="00FB01A4" w:rsidRPr="006834CE">
        <w:rPr>
          <w:lang w:val="en-CA"/>
        </w:rPr>
        <w:t>Xiaomi</w:t>
      </w:r>
      <w:r w:rsidR="00FC1A27" w:rsidRPr="006834CE">
        <w:rPr>
          <w:lang w:val="en-CA"/>
        </w:rPr>
        <w:t xml:space="preserve"> India</w:t>
      </w:r>
      <w:r w:rsidR="00FB01A4" w:rsidRPr="006834CE">
        <w:rPr>
          <w:lang w:val="en-CA"/>
        </w:rPr>
        <w:t xml:space="preserve"> was</w:t>
      </w:r>
      <w:r w:rsidR="00FB13F9" w:rsidRPr="006834CE">
        <w:rPr>
          <w:lang w:val="en-CA"/>
        </w:rPr>
        <w:t xml:space="preserve"> entirely</w:t>
      </w:r>
      <w:r w:rsidR="00FB01A4" w:rsidRPr="006834CE">
        <w:rPr>
          <w:lang w:val="en-CA"/>
        </w:rPr>
        <w:t xml:space="preserve"> led by a</w:t>
      </w:r>
      <w:r w:rsidR="00812770" w:rsidRPr="006834CE">
        <w:rPr>
          <w:lang w:val="en-CA"/>
        </w:rPr>
        <w:t>n</w:t>
      </w:r>
      <w:r w:rsidR="00FB13F9" w:rsidRPr="006834CE">
        <w:rPr>
          <w:lang w:val="en-CA"/>
        </w:rPr>
        <w:t xml:space="preserve"> Indian </w:t>
      </w:r>
      <w:r w:rsidR="00FB01A4" w:rsidRPr="006834CE">
        <w:rPr>
          <w:lang w:val="en-CA"/>
        </w:rPr>
        <w:t xml:space="preserve">management </w:t>
      </w:r>
      <w:r w:rsidR="00FB13F9" w:rsidRPr="006834CE">
        <w:rPr>
          <w:lang w:val="en-CA"/>
        </w:rPr>
        <w:t>team and employed nearly 50,000 Indian</w:t>
      </w:r>
      <w:r w:rsidR="00FB01A4" w:rsidRPr="006834CE">
        <w:rPr>
          <w:lang w:val="en-CA"/>
        </w:rPr>
        <w:t xml:space="preserve"> worker</w:t>
      </w:r>
      <w:r w:rsidR="00FB13F9" w:rsidRPr="006834CE">
        <w:rPr>
          <w:lang w:val="en-CA"/>
        </w:rPr>
        <w:t xml:space="preserve">s </w:t>
      </w:r>
      <w:r w:rsidR="00FC1A27" w:rsidRPr="006834CE">
        <w:rPr>
          <w:lang w:val="en-CA"/>
        </w:rPr>
        <w:t>who held</w:t>
      </w:r>
      <w:r w:rsidR="00FB13F9" w:rsidRPr="006834CE">
        <w:rPr>
          <w:lang w:val="en-CA"/>
        </w:rPr>
        <w:t xml:space="preserve"> </w:t>
      </w:r>
      <w:r w:rsidR="00FB01A4" w:rsidRPr="006834CE">
        <w:rPr>
          <w:lang w:val="en-CA"/>
        </w:rPr>
        <w:t xml:space="preserve">many </w:t>
      </w:r>
      <w:r w:rsidR="00FB13F9" w:rsidRPr="006834CE">
        <w:rPr>
          <w:lang w:val="en-CA"/>
        </w:rPr>
        <w:t xml:space="preserve">different </w:t>
      </w:r>
      <w:r w:rsidR="00FB01A4" w:rsidRPr="006834CE">
        <w:rPr>
          <w:lang w:val="en-CA"/>
        </w:rPr>
        <w:t xml:space="preserve">positions </w:t>
      </w:r>
      <w:r w:rsidR="00FC1A27" w:rsidRPr="006834CE">
        <w:rPr>
          <w:lang w:val="en-CA"/>
        </w:rPr>
        <w:t>at</w:t>
      </w:r>
      <w:r w:rsidR="00FB01A4" w:rsidRPr="006834CE">
        <w:rPr>
          <w:lang w:val="en-CA"/>
        </w:rPr>
        <w:t xml:space="preserve"> the company</w:t>
      </w:r>
      <w:r w:rsidR="00FC1A27" w:rsidRPr="006834CE">
        <w:rPr>
          <w:lang w:val="en-CA"/>
        </w:rPr>
        <w:t xml:space="preserve"> and</w:t>
      </w:r>
      <w:r w:rsidR="00FB13F9" w:rsidRPr="006834CE">
        <w:rPr>
          <w:lang w:val="en-CA"/>
        </w:rPr>
        <w:t xml:space="preserve"> pa</w:t>
      </w:r>
      <w:r w:rsidR="00FB01A4" w:rsidRPr="006834CE">
        <w:rPr>
          <w:lang w:val="en-CA"/>
        </w:rPr>
        <w:t>id</w:t>
      </w:r>
      <w:r w:rsidR="00FB13F9" w:rsidRPr="006834CE">
        <w:rPr>
          <w:lang w:val="en-CA"/>
        </w:rPr>
        <w:t xml:space="preserve"> taxes in India.</w:t>
      </w:r>
      <w:r w:rsidR="00FB13F9" w:rsidRPr="006834CE">
        <w:rPr>
          <w:rStyle w:val="EndnoteReference"/>
          <w:lang w:val="en-CA"/>
        </w:rPr>
        <w:endnoteReference w:id="60"/>
      </w:r>
      <w:r w:rsidR="00FB13F9" w:rsidRPr="006834CE">
        <w:rPr>
          <w:lang w:val="en-CA"/>
        </w:rPr>
        <w:t xml:space="preserve"> </w:t>
      </w:r>
    </w:p>
    <w:p w14:paraId="48E721F1" w14:textId="77777777" w:rsidR="00FB01A4" w:rsidRPr="006834CE" w:rsidRDefault="00FB01A4" w:rsidP="00FB13F9">
      <w:pPr>
        <w:pStyle w:val="Casehead1"/>
        <w:rPr>
          <w:lang w:val="en-CA"/>
        </w:rPr>
      </w:pPr>
    </w:p>
    <w:p w14:paraId="435C4FDC" w14:textId="77777777" w:rsidR="00FB01A4" w:rsidRPr="006834CE" w:rsidRDefault="00FB01A4" w:rsidP="00FB13F9">
      <w:pPr>
        <w:pStyle w:val="Casehead1"/>
        <w:rPr>
          <w:lang w:val="en-CA"/>
        </w:rPr>
      </w:pPr>
    </w:p>
    <w:p w14:paraId="2BEB4A79" w14:textId="17447F63" w:rsidR="00FB13F9" w:rsidRPr="006834CE" w:rsidRDefault="00FB13F9" w:rsidP="00FB13F9">
      <w:pPr>
        <w:pStyle w:val="Casehead1"/>
        <w:rPr>
          <w:lang w:val="en-CA"/>
        </w:rPr>
      </w:pPr>
      <w:r w:rsidRPr="006834CE">
        <w:rPr>
          <w:lang w:val="en-CA"/>
        </w:rPr>
        <w:t>Dilemma</w:t>
      </w:r>
    </w:p>
    <w:p w14:paraId="673104EB" w14:textId="77777777" w:rsidR="00FB13F9" w:rsidRPr="006834CE" w:rsidRDefault="00FB13F9" w:rsidP="00FB13F9">
      <w:pPr>
        <w:pStyle w:val="BodyTextMain"/>
        <w:rPr>
          <w:lang w:val="en-CA"/>
        </w:rPr>
      </w:pPr>
    </w:p>
    <w:p w14:paraId="7AEDD1A1" w14:textId="2524C583" w:rsidR="000066B2" w:rsidRPr="006834CE" w:rsidRDefault="00FB13F9" w:rsidP="00640A6F">
      <w:pPr>
        <w:rPr>
          <w:rFonts w:ascii="Arial" w:hAnsi="Arial" w:cs="Arial"/>
          <w:b/>
          <w:caps/>
          <w:sz w:val="22"/>
          <w:szCs w:val="22"/>
          <w:lang w:val="en-CA"/>
        </w:rPr>
      </w:pPr>
      <w:r w:rsidRPr="006834CE">
        <w:rPr>
          <w:sz w:val="22"/>
          <w:szCs w:val="22"/>
          <w:lang w:val="en-CA"/>
        </w:rPr>
        <w:t>The situation was complicated for Xiaomi</w:t>
      </w:r>
      <w:r w:rsidR="00193016" w:rsidRPr="006834CE">
        <w:rPr>
          <w:sz w:val="22"/>
          <w:szCs w:val="22"/>
          <w:lang w:val="en-CA"/>
        </w:rPr>
        <w:t xml:space="preserve"> India</w:t>
      </w:r>
      <w:r w:rsidR="006B412D" w:rsidRPr="006834CE">
        <w:rPr>
          <w:sz w:val="22"/>
          <w:szCs w:val="22"/>
          <w:lang w:val="en-CA"/>
        </w:rPr>
        <w:t>, with negative c</w:t>
      </w:r>
      <w:r w:rsidRPr="006834CE">
        <w:rPr>
          <w:sz w:val="22"/>
          <w:szCs w:val="22"/>
          <w:lang w:val="en-CA"/>
        </w:rPr>
        <w:t xml:space="preserve">onsumer sentiment </w:t>
      </w:r>
      <w:r w:rsidR="00193016" w:rsidRPr="006834CE">
        <w:rPr>
          <w:sz w:val="22"/>
          <w:szCs w:val="22"/>
          <w:lang w:val="en-CA"/>
        </w:rPr>
        <w:t xml:space="preserve">on one side </w:t>
      </w:r>
      <w:r w:rsidRPr="006834CE">
        <w:rPr>
          <w:sz w:val="22"/>
          <w:szCs w:val="22"/>
          <w:lang w:val="en-CA"/>
        </w:rPr>
        <w:t xml:space="preserve">and </w:t>
      </w:r>
      <w:r w:rsidR="00193016" w:rsidRPr="006834CE">
        <w:rPr>
          <w:sz w:val="22"/>
          <w:szCs w:val="22"/>
          <w:lang w:val="en-CA"/>
        </w:rPr>
        <w:t xml:space="preserve">strong </w:t>
      </w:r>
      <w:r w:rsidRPr="006834CE">
        <w:rPr>
          <w:sz w:val="22"/>
          <w:szCs w:val="22"/>
          <w:lang w:val="en-CA"/>
        </w:rPr>
        <w:t>competitors like Samsung</w:t>
      </w:r>
      <w:r w:rsidR="006B412D" w:rsidRPr="006834CE">
        <w:rPr>
          <w:sz w:val="22"/>
          <w:szCs w:val="22"/>
          <w:lang w:val="en-CA"/>
        </w:rPr>
        <w:t xml:space="preserve"> </w:t>
      </w:r>
      <w:r w:rsidR="00193016" w:rsidRPr="006834CE">
        <w:rPr>
          <w:sz w:val="22"/>
          <w:szCs w:val="22"/>
          <w:lang w:val="en-CA"/>
        </w:rPr>
        <w:t xml:space="preserve">on the other </w:t>
      </w:r>
      <w:r w:rsidR="006B412D" w:rsidRPr="006834CE">
        <w:rPr>
          <w:sz w:val="22"/>
          <w:szCs w:val="22"/>
          <w:lang w:val="en-CA"/>
        </w:rPr>
        <w:t>eager to take advantage.</w:t>
      </w:r>
      <w:r w:rsidRPr="006834CE">
        <w:rPr>
          <w:rStyle w:val="EndnoteReference"/>
          <w:sz w:val="22"/>
          <w:szCs w:val="22"/>
          <w:lang w:val="en-CA"/>
        </w:rPr>
        <w:endnoteReference w:id="61"/>
      </w:r>
      <w:r w:rsidRPr="006834CE">
        <w:rPr>
          <w:sz w:val="22"/>
          <w:szCs w:val="22"/>
          <w:lang w:val="en-CA"/>
        </w:rPr>
        <w:t xml:space="preserve"> </w:t>
      </w:r>
      <w:r w:rsidR="006B412D" w:rsidRPr="006834CE">
        <w:rPr>
          <w:sz w:val="22"/>
          <w:szCs w:val="22"/>
          <w:lang w:val="en-CA"/>
        </w:rPr>
        <w:t>How could</w:t>
      </w:r>
      <w:r w:rsidRPr="006834CE">
        <w:rPr>
          <w:sz w:val="22"/>
          <w:szCs w:val="22"/>
          <w:lang w:val="en-CA"/>
        </w:rPr>
        <w:t xml:space="preserve"> </w:t>
      </w:r>
      <w:r w:rsidR="00193016" w:rsidRPr="006834CE">
        <w:rPr>
          <w:sz w:val="22"/>
          <w:szCs w:val="22"/>
          <w:lang w:val="en-CA"/>
        </w:rPr>
        <w:t>the company</w:t>
      </w:r>
      <w:r w:rsidRPr="006834CE">
        <w:rPr>
          <w:sz w:val="22"/>
          <w:szCs w:val="22"/>
          <w:lang w:val="en-CA"/>
        </w:rPr>
        <w:t xml:space="preserve"> </w:t>
      </w:r>
      <w:r w:rsidR="006B412D" w:rsidRPr="006834CE">
        <w:rPr>
          <w:sz w:val="22"/>
          <w:szCs w:val="22"/>
          <w:lang w:val="en-CA"/>
        </w:rPr>
        <w:t>manage</w:t>
      </w:r>
      <w:r w:rsidRPr="006834CE">
        <w:rPr>
          <w:sz w:val="22"/>
          <w:szCs w:val="22"/>
          <w:lang w:val="en-CA"/>
        </w:rPr>
        <w:t xml:space="preserve"> th</w:t>
      </w:r>
      <w:r w:rsidR="006B412D" w:rsidRPr="006834CE">
        <w:rPr>
          <w:sz w:val="22"/>
          <w:szCs w:val="22"/>
          <w:lang w:val="en-CA"/>
        </w:rPr>
        <w:t>e</w:t>
      </w:r>
      <w:r w:rsidRPr="006834CE">
        <w:rPr>
          <w:sz w:val="22"/>
          <w:szCs w:val="22"/>
          <w:lang w:val="en-CA"/>
        </w:rPr>
        <w:t xml:space="preserve"> situation? </w:t>
      </w:r>
      <w:r w:rsidR="006B412D" w:rsidRPr="006834CE">
        <w:rPr>
          <w:sz w:val="22"/>
          <w:szCs w:val="22"/>
          <w:lang w:val="en-CA"/>
        </w:rPr>
        <w:t>I</w:t>
      </w:r>
      <w:r w:rsidRPr="006834CE">
        <w:rPr>
          <w:sz w:val="22"/>
          <w:szCs w:val="22"/>
          <w:lang w:val="en-CA"/>
        </w:rPr>
        <w:t xml:space="preserve">t </w:t>
      </w:r>
      <w:r w:rsidR="006B412D" w:rsidRPr="006834CE">
        <w:rPr>
          <w:sz w:val="22"/>
          <w:szCs w:val="22"/>
          <w:lang w:val="en-CA"/>
        </w:rPr>
        <w:t xml:space="preserve">could choose to </w:t>
      </w:r>
      <w:r w:rsidRPr="006834CE">
        <w:rPr>
          <w:sz w:val="22"/>
          <w:szCs w:val="22"/>
          <w:lang w:val="en-CA"/>
        </w:rPr>
        <w:t>do nothing</w:t>
      </w:r>
      <w:r w:rsidR="006B412D" w:rsidRPr="006834CE">
        <w:rPr>
          <w:sz w:val="22"/>
          <w:szCs w:val="22"/>
          <w:lang w:val="en-CA"/>
        </w:rPr>
        <w:t xml:space="preserve"> and</w:t>
      </w:r>
      <w:r w:rsidRPr="006834CE">
        <w:rPr>
          <w:sz w:val="22"/>
          <w:szCs w:val="22"/>
          <w:lang w:val="en-CA"/>
        </w:rPr>
        <w:t xml:space="preserve"> wait for the </w:t>
      </w:r>
      <w:r w:rsidR="006B412D" w:rsidRPr="006834CE">
        <w:rPr>
          <w:sz w:val="22"/>
          <w:szCs w:val="22"/>
          <w:lang w:val="en-CA"/>
        </w:rPr>
        <w:t xml:space="preserve">negative </w:t>
      </w:r>
      <w:r w:rsidRPr="006834CE">
        <w:rPr>
          <w:sz w:val="22"/>
          <w:szCs w:val="22"/>
          <w:lang w:val="en-CA"/>
        </w:rPr>
        <w:t>sentiments to c</w:t>
      </w:r>
      <w:r w:rsidR="006B412D" w:rsidRPr="006834CE">
        <w:rPr>
          <w:sz w:val="22"/>
          <w:szCs w:val="22"/>
          <w:lang w:val="en-CA"/>
        </w:rPr>
        <w:t>alm</w:t>
      </w:r>
      <w:r w:rsidRPr="006834CE">
        <w:rPr>
          <w:sz w:val="22"/>
          <w:szCs w:val="22"/>
          <w:lang w:val="en-CA"/>
        </w:rPr>
        <w:t xml:space="preserve"> down</w:t>
      </w:r>
      <w:r w:rsidR="006B412D" w:rsidRPr="006834CE">
        <w:rPr>
          <w:sz w:val="22"/>
          <w:szCs w:val="22"/>
          <w:lang w:val="en-CA"/>
        </w:rPr>
        <w:t>.</w:t>
      </w:r>
      <w:r w:rsidRPr="006834CE">
        <w:rPr>
          <w:sz w:val="22"/>
          <w:szCs w:val="22"/>
          <w:lang w:val="en-CA"/>
        </w:rPr>
        <w:t xml:space="preserve"> </w:t>
      </w:r>
      <w:r w:rsidR="006B412D" w:rsidRPr="006834CE">
        <w:rPr>
          <w:sz w:val="22"/>
          <w:szCs w:val="22"/>
          <w:lang w:val="en-CA"/>
        </w:rPr>
        <w:t>O</w:t>
      </w:r>
      <w:r w:rsidRPr="006834CE">
        <w:rPr>
          <w:sz w:val="22"/>
          <w:szCs w:val="22"/>
          <w:lang w:val="en-CA"/>
        </w:rPr>
        <w:t>r</w:t>
      </w:r>
      <w:r w:rsidR="00812770" w:rsidRPr="006834CE">
        <w:rPr>
          <w:sz w:val="22"/>
          <w:szCs w:val="22"/>
          <w:lang w:val="en-CA"/>
        </w:rPr>
        <w:t>,</w:t>
      </w:r>
      <w:r w:rsidRPr="006834CE">
        <w:rPr>
          <w:sz w:val="22"/>
          <w:szCs w:val="22"/>
          <w:lang w:val="en-CA"/>
        </w:rPr>
        <w:t xml:space="preserve"> it </w:t>
      </w:r>
      <w:r w:rsidR="006B412D" w:rsidRPr="006834CE">
        <w:rPr>
          <w:sz w:val="22"/>
          <w:szCs w:val="22"/>
          <w:lang w:val="en-CA"/>
        </w:rPr>
        <w:t xml:space="preserve">could </w:t>
      </w:r>
      <w:r w:rsidRPr="006834CE">
        <w:rPr>
          <w:sz w:val="22"/>
          <w:szCs w:val="22"/>
          <w:lang w:val="en-CA"/>
        </w:rPr>
        <w:t xml:space="preserve">try to neutralize </w:t>
      </w:r>
      <w:r w:rsidR="00491778" w:rsidRPr="006834CE">
        <w:rPr>
          <w:sz w:val="22"/>
          <w:szCs w:val="22"/>
          <w:lang w:val="en-CA"/>
        </w:rPr>
        <w:t xml:space="preserve">some of the </w:t>
      </w:r>
      <w:r w:rsidR="002D6B30" w:rsidRPr="006834CE">
        <w:rPr>
          <w:sz w:val="22"/>
          <w:szCs w:val="22"/>
          <w:lang w:val="en-CA"/>
        </w:rPr>
        <w:t xml:space="preserve">negativity </w:t>
      </w:r>
      <w:r w:rsidR="00491778" w:rsidRPr="006834CE">
        <w:rPr>
          <w:sz w:val="22"/>
          <w:szCs w:val="22"/>
          <w:lang w:val="en-CA"/>
        </w:rPr>
        <w:t>aimed directly a</w:t>
      </w:r>
      <w:r w:rsidR="002D6B30" w:rsidRPr="006834CE">
        <w:rPr>
          <w:sz w:val="22"/>
          <w:szCs w:val="22"/>
          <w:lang w:val="en-CA"/>
        </w:rPr>
        <w:t>t its brands</w:t>
      </w:r>
      <w:r w:rsidR="00491778" w:rsidRPr="006834CE">
        <w:rPr>
          <w:sz w:val="22"/>
          <w:szCs w:val="22"/>
          <w:lang w:val="en-CA"/>
        </w:rPr>
        <w:t>, but it was not clear w</w:t>
      </w:r>
      <w:r w:rsidRPr="006834CE">
        <w:rPr>
          <w:sz w:val="22"/>
          <w:szCs w:val="22"/>
          <w:lang w:val="en-CA"/>
        </w:rPr>
        <w:t xml:space="preserve">hat specific actions or decisions </w:t>
      </w:r>
      <w:r w:rsidR="00491778" w:rsidRPr="006834CE">
        <w:rPr>
          <w:sz w:val="22"/>
          <w:szCs w:val="22"/>
          <w:lang w:val="en-CA"/>
        </w:rPr>
        <w:t xml:space="preserve">the company </w:t>
      </w:r>
      <w:r w:rsidRPr="006834CE">
        <w:rPr>
          <w:sz w:val="22"/>
          <w:szCs w:val="22"/>
          <w:lang w:val="en-CA"/>
        </w:rPr>
        <w:t xml:space="preserve">could take to </w:t>
      </w:r>
      <w:r w:rsidR="00491778" w:rsidRPr="006834CE">
        <w:rPr>
          <w:sz w:val="22"/>
          <w:szCs w:val="22"/>
          <w:lang w:val="en-CA"/>
        </w:rPr>
        <w:t>do so</w:t>
      </w:r>
      <w:r w:rsidR="00193016" w:rsidRPr="006834CE">
        <w:rPr>
          <w:sz w:val="22"/>
          <w:szCs w:val="22"/>
          <w:lang w:val="en-CA"/>
        </w:rPr>
        <w:t>.</w:t>
      </w:r>
      <w:r w:rsidRPr="006834CE">
        <w:rPr>
          <w:sz w:val="22"/>
          <w:szCs w:val="22"/>
          <w:lang w:val="en-CA"/>
        </w:rPr>
        <w:t xml:space="preserve"> </w:t>
      </w:r>
      <w:r w:rsidR="00193016" w:rsidRPr="006834CE">
        <w:rPr>
          <w:sz w:val="22"/>
          <w:szCs w:val="22"/>
          <w:lang w:val="en-CA"/>
        </w:rPr>
        <w:t>In addition,</w:t>
      </w:r>
      <w:r w:rsidRPr="006834CE">
        <w:rPr>
          <w:sz w:val="22"/>
          <w:szCs w:val="22"/>
          <w:lang w:val="en-CA"/>
        </w:rPr>
        <w:t xml:space="preserve"> </w:t>
      </w:r>
      <w:r w:rsidR="00491778" w:rsidRPr="006834CE">
        <w:rPr>
          <w:sz w:val="22"/>
          <w:szCs w:val="22"/>
          <w:lang w:val="en-CA"/>
        </w:rPr>
        <w:t xml:space="preserve">there was </w:t>
      </w:r>
      <w:r w:rsidRPr="006834CE">
        <w:rPr>
          <w:sz w:val="22"/>
          <w:szCs w:val="22"/>
          <w:lang w:val="en-CA"/>
        </w:rPr>
        <w:t xml:space="preserve">a </w:t>
      </w:r>
      <w:r w:rsidR="00491778" w:rsidRPr="006834CE">
        <w:rPr>
          <w:sz w:val="22"/>
          <w:szCs w:val="22"/>
          <w:lang w:val="en-CA"/>
        </w:rPr>
        <w:t>long</w:t>
      </w:r>
      <w:r w:rsidR="00193016" w:rsidRPr="006834CE">
        <w:rPr>
          <w:sz w:val="22"/>
          <w:szCs w:val="22"/>
          <w:lang w:val="en-CA"/>
        </w:rPr>
        <w:t>er</w:t>
      </w:r>
      <w:r w:rsidR="00491778" w:rsidRPr="006834CE">
        <w:rPr>
          <w:sz w:val="22"/>
          <w:szCs w:val="22"/>
          <w:lang w:val="en-CA"/>
        </w:rPr>
        <w:t xml:space="preserve">-term and </w:t>
      </w:r>
      <w:r w:rsidRPr="006834CE">
        <w:rPr>
          <w:sz w:val="22"/>
          <w:szCs w:val="22"/>
          <w:lang w:val="en-CA"/>
        </w:rPr>
        <w:t xml:space="preserve">fundamental </w:t>
      </w:r>
      <w:r w:rsidR="00491778" w:rsidRPr="006834CE">
        <w:rPr>
          <w:sz w:val="22"/>
          <w:szCs w:val="22"/>
          <w:lang w:val="en-CA"/>
        </w:rPr>
        <w:t>issue to address</w:t>
      </w:r>
      <w:r w:rsidRPr="006834CE">
        <w:rPr>
          <w:sz w:val="22"/>
          <w:szCs w:val="22"/>
          <w:lang w:val="en-CA"/>
        </w:rPr>
        <w:t xml:space="preserve">: </w:t>
      </w:r>
      <w:r w:rsidR="00193016" w:rsidRPr="006834CE">
        <w:rPr>
          <w:sz w:val="22"/>
          <w:szCs w:val="22"/>
          <w:lang w:val="en-CA"/>
        </w:rPr>
        <w:t>How c</w:t>
      </w:r>
      <w:r w:rsidRPr="006834CE">
        <w:rPr>
          <w:sz w:val="22"/>
          <w:szCs w:val="22"/>
          <w:lang w:val="en-CA"/>
        </w:rPr>
        <w:t>ould companies like Xiaomi</w:t>
      </w:r>
      <w:r w:rsidR="00193016" w:rsidRPr="006834CE">
        <w:rPr>
          <w:sz w:val="22"/>
          <w:szCs w:val="22"/>
          <w:lang w:val="en-CA"/>
        </w:rPr>
        <w:t xml:space="preserve"> India</w:t>
      </w:r>
      <w:r w:rsidRPr="006834CE">
        <w:rPr>
          <w:sz w:val="22"/>
          <w:szCs w:val="22"/>
          <w:lang w:val="en-CA"/>
        </w:rPr>
        <w:t xml:space="preserve"> insulate themselves from the fallout of </w:t>
      </w:r>
      <w:r w:rsidR="00193016" w:rsidRPr="006834CE">
        <w:rPr>
          <w:sz w:val="22"/>
          <w:szCs w:val="22"/>
          <w:lang w:val="en-CA"/>
        </w:rPr>
        <w:t xml:space="preserve">future </w:t>
      </w:r>
      <w:r w:rsidR="00491778" w:rsidRPr="006834CE">
        <w:rPr>
          <w:sz w:val="22"/>
          <w:szCs w:val="22"/>
          <w:lang w:val="en-CA"/>
        </w:rPr>
        <w:t>g</w:t>
      </w:r>
      <w:r w:rsidRPr="006834CE">
        <w:rPr>
          <w:sz w:val="22"/>
          <w:szCs w:val="22"/>
          <w:lang w:val="en-CA"/>
        </w:rPr>
        <w:t>eopolitical conflict</w:t>
      </w:r>
      <w:r w:rsidR="00193016" w:rsidRPr="006834CE">
        <w:rPr>
          <w:sz w:val="22"/>
          <w:szCs w:val="22"/>
          <w:lang w:val="en-CA"/>
        </w:rPr>
        <w:t>s</w:t>
      </w:r>
      <w:r w:rsidRPr="006834CE">
        <w:rPr>
          <w:sz w:val="22"/>
          <w:szCs w:val="22"/>
          <w:lang w:val="en-CA"/>
        </w:rPr>
        <w:t xml:space="preserve"> between </w:t>
      </w:r>
      <w:r w:rsidR="00491778" w:rsidRPr="006834CE">
        <w:rPr>
          <w:sz w:val="22"/>
          <w:szCs w:val="22"/>
          <w:lang w:val="en-CA"/>
        </w:rPr>
        <w:t>India and China</w:t>
      </w:r>
      <w:r w:rsidRPr="006834CE">
        <w:rPr>
          <w:sz w:val="22"/>
          <w:szCs w:val="22"/>
          <w:lang w:val="en-CA"/>
        </w:rPr>
        <w:t>?</w:t>
      </w:r>
      <w:r w:rsidR="000066B2" w:rsidRPr="006834CE">
        <w:rPr>
          <w:sz w:val="22"/>
          <w:szCs w:val="22"/>
          <w:lang w:val="en-CA"/>
        </w:rPr>
        <w:br w:type="page"/>
      </w:r>
    </w:p>
    <w:p w14:paraId="3203B62A" w14:textId="7BC327E2" w:rsidR="004F5958" w:rsidRPr="006834CE" w:rsidRDefault="00F31580" w:rsidP="004F5958">
      <w:pPr>
        <w:pStyle w:val="ExhibitHeading"/>
        <w:rPr>
          <w:lang w:val="en-CA"/>
        </w:rPr>
      </w:pPr>
      <w:r w:rsidRPr="006834CE">
        <w:rPr>
          <w:lang w:val="en-CA"/>
        </w:rPr>
        <w:lastRenderedPageBreak/>
        <w:t>EXHIBIT 1</w:t>
      </w:r>
      <w:r w:rsidR="004F5958" w:rsidRPr="006834CE">
        <w:rPr>
          <w:lang w:val="en-CA"/>
        </w:rPr>
        <w:t>: Xiaomi Corporation consolidated statement of income 2015</w:t>
      </w:r>
      <w:r w:rsidR="00013E58" w:rsidRPr="006834CE">
        <w:rPr>
          <w:lang w:val="en-CA"/>
        </w:rPr>
        <w:t>–</w:t>
      </w:r>
      <w:r w:rsidR="004F5958" w:rsidRPr="006834CE">
        <w:rPr>
          <w:lang w:val="en-CA"/>
        </w:rPr>
        <w:t>2019</w:t>
      </w:r>
      <w:r w:rsidR="00FA7411" w:rsidRPr="006834CE">
        <w:rPr>
          <w:lang w:val="en-CA"/>
        </w:rPr>
        <w:t xml:space="preserve"> </w:t>
      </w:r>
      <w:r w:rsidR="00013E58" w:rsidRPr="006834CE">
        <w:rPr>
          <w:lang w:val="en-CA"/>
        </w:rPr>
        <w:br/>
      </w:r>
      <w:r w:rsidR="00FA7411" w:rsidRPr="006834CE">
        <w:rPr>
          <w:lang w:val="en-CA"/>
        </w:rPr>
        <w:t>(in ₹000)</w:t>
      </w:r>
    </w:p>
    <w:p w14:paraId="5EF9D98E" w14:textId="77777777" w:rsidR="004F5958" w:rsidRPr="006834CE" w:rsidRDefault="004F5958" w:rsidP="00F31580">
      <w:pPr>
        <w:pStyle w:val="Footnote"/>
        <w:rPr>
          <w:sz w:val="20"/>
          <w:szCs w:val="20"/>
          <w:lang w:val="en-CA"/>
        </w:rPr>
      </w:pPr>
    </w:p>
    <w:tbl>
      <w:tblPr>
        <w:tblStyle w:val="TableGrid"/>
        <w:tblW w:w="9393" w:type="dxa"/>
        <w:jc w:val="center"/>
        <w:tblCellMar>
          <w:top w:w="43" w:type="dxa"/>
          <w:left w:w="58" w:type="dxa"/>
          <w:bottom w:w="43" w:type="dxa"/>
          <w:right w:w="58" w:type="dxa"/>
        </w:tblCellMar>
        <w:tblLook w:val="04A0" w:firstRow="1" w:lastRow="0" w:firstColumn="1" w:lastColumn="0" w:noHBand="0" w:noVBand="1"/>
        <w:tblCaption w:val="Exhibit 1"/>
        <w:tblDescription w:val="Xiaomi Corporation conslidated statement of income from 2015 to 2019"/>
      </w:tblPr>
      <w:tblGrid>
        <w:gridCol w:w="3107"/>
        <w:gridCol w:w="1259"/>
        <w:gridCol w:w="1259"/>
        <w:gridCol w:w="1348"/>
        <w:gridCol w:w="1169"/>
        <w:gridCol w:w="1251"/>
      </w:tblGrid>
      <w:tr w:rsidR="004F5958" w:rsidRPr="006834CE" w14:paraId="33535FF2" w14:textId="77777777" w:rsidTr="00963D61">
        <w:trPr>
          <w:trHeight w:val="187"/>
          <w:tblHeader/>
          <w:jc w:val="center"/>
        </w:trPr>
        <w:tc>
          <w:tcPr>
            <w:tcW w:w="3145" w:type="dxa"/>
          </w:tcPr>
          <w:p w14:paraId="6E6AA4D9" w14:textId="77777777" w:rsidR="004F5958" w:rsidRPr="006834CE" w:rsidRDefault="004F5958" w:rsidP="004F5958">
            <w:pPr>
              <w:pStyle w:val="ExhibitText"/>
              <w:rPr>
                <w:lang w:val="en-CA"/>
              </w:rPr>
            </w:pPr>
          </w:p>
        </w:tc>
        <w:tc>
          <w:tcPr>
            <w:tcW w:w="1260" w:type="dxa"/>
          </w:tcPr>
          <w:p w14:paraId="0C430149" w14:textId="77777777" w:rsidR="004F5958" w:rsidRPr="006834CE" w:rsidRDefault="004F5958" w:rsidP="00F31580">
            <w:pPr>
              <w:pStyle w:val="ExhibitText"/>
              <w:jc w:val="center"/>
              <w:rPr>
                <w:b/>
                <w:lang w:val="en-CA"/>
              </w:rPr>
            </w:pPr>
            <w:r w:rsidRPr="006834CE">
              <w:rPr>
                <w:b/>
                <w:lang w:val="en-CA"/>
              </w:rPr>
              <w:t>2019</w:t>
            </w:r>
          </w:p>
        </w:tc>
        <w:tc>
          <w:tcPr>
            <w:tcW w:w="1260" w:type="dxa"/>
          </w:tcPr>
          <w:p w14:paraId="01950917" w14:textId="77777777" w:rsidR="004F5958" w:rsidRPr="006834CE" w:rsidRDefault="004F5958" w:rsidP="00F31580">
            <w:pPr>
              <w:pStyle w:val="ExhibitText"/>
              <w:jc w:val="center"/>
              <w:rPr>
                <w:b/>
                <w:lang w:val="en-CA"/>
              </w:rPr>
            </w:pPr>
            <w:r w:rsidRPr="006834CE">
              <w:rPr>
                <w:b/>
                <w:lang w:val="en-CA"/>
              </w:rPr>
              <w:t>2018</w:t>
            </w:r>
          </w:p>
        </w:tc>
        <w:tc>
          <w:tcPr>
            <w:tcW w:w="1350" w:type="dxa"/>
          </w:tcPr>
          <w:p w14:paraId="4D8A7A57" w14:textId="77777777" w:rsidR="004F5958" w:rsidRPr="006834CE" w:rsidRDefault="004F5958" w:rsidP="00F31580">
            <w:pPr>
              <w:pStyle w:val="ExhibitText"/>
              <w:jc w:val="center"/>
              <w:rPr>
                <w:b/>
                <w:lang w:val="en-CA"/>
              </w:rPr>
            </w:pPr>
            <w:r w:rsidRPr="006834CE">
              <w:rPr>
                <w:b/>
                <w:lang w:val="en-CA"/>
              </w:rPr>
              <w:t>2017</w:t>
            </w:r>
          </w:p>
        </w:tc>
        <w:tc>
          <w:tcPr>
            <w:tcW w:w="1170" w:type="dxa"/>
          </w:tcPr>
          <w:p w14:paraId="54844448" w14:textId="77777777" w:rsidR="004F5958" w:rsidRPr="006834CE" w:rsidRDefault="004F5958" w:rsidP="00F31580">
            <w:pPr>
              <w:pStyle w:val="ExhibitText"/>
              <w:jc w:val="center"/>
              <w:rPr>
                <w:b/>
                <w:lang w:val="en-CA"/>
              </w:rPr>
            </w:pPr>
            <w:r w:rsidRPr="006834CE">
              <w:rPr>
                <w:b/>
                <w:lang w:val="en-CA"/>
              </w:rPr>
              <w:t>2016</w:t>
            </w:r>
          </w:p>
        </w:tc>
        <w:tc>
          <w:tcPr>
            <w:tcW w:w="1208" w:type="dxa"/>
          </w:tcPr>
          <w:p w14:paraId="713C59F1" w14:textId="77777777" w:rsidR="004F5958" w:rsidRPr="006834CE" w:rsidRDefault="004F5958" w:rsidP="00F31580">
            <w:pPr>
              <w:pStyle w:val="ExhibitText"/>
              <w:jc w:val="center"/>
              <w:rPr>
                <w:b/>
                <w:lang w:val="en-CA"/>
              </w:rPr>
            </w:pPr>
            <w:r w:rsidRPr="006834CE">
              <w:rPr>
                <w:b/>
                <w:lang w:val="en-CA"/>
              </w:rPr>
              <w:t>2015</w:t>
            </w:r>
          </w:p>
        </w:tc>
      </w:tr>
      <w:tr w:rsidR="004F5958" w:rsidRPr="006834CE" w14:paraId="2E0DE0BC" w14:textId="77777777" w:rsidTr="00963D61">
        <w:trPr>
          <w:trHeight w:val="187"/>
          <w:tblHeader/>
          <w:jc w:val="center"/>
        </w:trPr>
        <w:tc>
          <w:tcPr>
            <w:tcW w:w="3145" w:type="dxa"/>
          </w:tcPr>
          <w:p w14:paraId="2094A840" w14:textId="77777777" w:rsidR="004F5958" w:rsidRPr="006834CE" w:rsidRDefault="004F5958" w:rsidP="00F31580">
            <w:pPr>
              <w:pStyle w:val="ExhibitText"/>
              <w:jc w:val="left"/>
              <w:rPr>
                <w:lang w:val="en-CA"/>
              </w:rPr>
            </w:pPr>
            <w:r w:rsidRPr="006834CE">
              <w:rPr>
                <w:lang w:val="en-CA"/>
              </w:rPr>
              <w:t>Revenue</w:t>
            </w:r>
          </w:p>
        </w:tc>
        <w:tc>
          <w:tcPr>
            <w:tcW w:w="1260" w:type="dxa"/>
          </w:tcPr>
          <w:p w14:paraId="020750DB" w14:textId="77777777" w:rsidR="004F5958" w:rsidRPr="006834CE" w:rsidRDefault="004F5958" w:rsidP="00FA7411">
            <w:pPr>
              <w:pStyle w:val="ExhibitText"/>
              <w:jc w:val="right"/>
              <w:rPr>
                <w:lang w:val="en-CA"/>
              </w:rPr>
            </w:pPr>
            <w:r w:rsidRPr="006834CE">
              <w:rPr>
                <w:lang w:val="en-CA"/>
              </w:rPr>
              <w:t>205,838,682</w:t>
            </w:r>
          </w:p>
        </w:tc>
        <w:tc>
          <w:tcPr>
            <w:tcW w:w="1260" w:type="dxa"/>
          </w:tcPr>
          <w:p w14:paraId="6DB59E79" w14:textId="77777777" w:rsidR="004F5958" w:rsidRPr="006834CE" w:rsidRDefault="004F5958" w:rsidP="00FA7411">
            <w:pPr>
              <w:pStyle w:val="ExhibitText"/>
              <w:jc w:val="right"/>
              <w:rPr>
                <w:lang w:val="en-CA"/>
              </w:rPr>
            </w:pPr>
            <w:r w:rsidRPr="006834CE">
              <w:rPr>
                <w:lang w:val="en-CA"/>
              </w:rPr>
              <w:t>174,915,425</w:t>
            </w:r>
          </w:p>
        </w:tc>
        <w:tc>
          <w:tcPr>
            <w:tcW w:w="1350" w:type="dxa"/>
          </w:tcPr>
          <w:p w14:paraId="6B8D7BA5" w14:textId="77777777" w:rsidR="004F5958" w:rsidRPr="006834CE" w:rsidRDefault="004F5958" w:rsidP="00FA7411">
            <w:pPr>
              <w:pStyle w:val="ExhibitText"/>
              <w:jc w:val="right"/>
              <w:rPr>
                <w:lang w:val="en-CA"/>
              </w:rPr>
            </w:pPr>
            <w:r w:rsidRPr="006834CE">
              <w:rPr>
                <w:lang w:val="en-CA"/>
              </w:rPr>
              <w:t>114,624,742</w:t>
            </w:r>
          </w:p>
        </w:tc>
        <w:tc>
          <w:tcPr>
            <w:tcW w:w="1170" w:type="dxa"/>
          </w:tcPr>
          <w:p w14:paraId="2DCD6B3E" w14:textId="77777777" w:rsidR="004F5958" w:rsidRPr="006834CE" w:rsidRDefault="004F5958" w:rsidP="00FA7411">
            <w:pPr>
              <w:pStyle w:val="ExhibitText"/>
              <w:jc w:val="right"/>
              <w:rPr>
                <w:lang w:val="en-CA"/>
              </w:rPr>
            </w:pPr>
            <w:r w:rsidRPr="006834CE">
              <w:rPr>
                <w:lang w:val="en-CA"/>
              </w:rPr>
              <w:t>68,436,161</w:t>
            </w:r>
          </w:p>
        </w:tc>
        <w:tc>
          <w:tcPr>
            <w:tcW w:w="1208" w:type="dxa"/>
          </w:tcPr>
          <w:p w14:paraId="3C97FE91" w14:textId="77777777" w:rsidR="004F5958" w:rsidRPr="006834CE" w:rsidRDefault="004F5958" w:rsidP="00FA7411">
            <w:pPr>
              <w:pStyle w:val="ExhibitText"/>
              <w:jc w:val="right"/>
              <w:rPr>
                <w:lang w:val="en-CA"/>
              </w:rPr>
            </w:pPr>
            <w:r w:rsidRPr="006834CE">
              <w:rPr>
                <w:lang w:val="en-CA"/>
              </w:rPr>
              <w:t>66,811,258</w:t>
            </w:r>
          </w:p>
        </w:tc>
      </w:tr>
      <w:tr w:rsidR="004F5958" w:rsidRPr="006834CE" w14:paraId="0023BAA3" w14:textId="77777777" w:rsidTr="00963D61">
        <w:trPr>
          <w:trHeight w:val="178"/>
          <w:tblHeader/>
          <w:jc w:val="center"/>
        </w:trPr>
        <w:tc>
          <w:tcPr>
            <w:tcW w:w="3145" w:type="dxa"/>
          </w:tcPr>
          <w:p w14:paraId="657360E4" w14:textId="08DE0D47" w:rsidR="004F5958" w:rsidRPr="006834CE" w:rsidRDefault="004F5958" w:rsidP="00F31580">
            <w:pPr>
              <w:pStyle w:val="ExhibitText"/>
              <w:jc w:val="left"/>
              <w:rPr>
                <w:lang w:val="en-CA"/>
              </w:rPr>
            </w:pPr>
            <w:r w:rsidRPr="006834CE">
              <w:rPr>
                <w:lang w:val="en-CA"/>
              </w:rPr>
              <w:t xml:space="preserve">Gross </w:t>
            </w:r>
            <w:r w:rsidR="00FE6B67" w:rsidRPr="006834CE">
              <w:rPr>
                <w:lang w:val="en-CA"/>
              </w:rPr>
              <w:t>p</w:t>
            </w:r>
            <w:r w:rsidRPr="006834CE">
              <w:rPr>
                <w:lang w:val="en-CA"/>
              </w:rPr>
              <w:t>rofit</w:t>
            </w:r>
          </w:p>
        </w:tc>
        <w:tc>
          <w:tcPr>
            <w:tcW w:w="1260" w:type="dxa"/>
          </w:tcPr>
          <w:p w14:paraId="1658E771" w14:textId="77777777" w:rsidR="004F5958" w:rsidRPr="006834CE" w:rsidRDefault="004F5958" w:rsidP="00FA7411">
            <w:pPr>
              <w:pStyle w:val="ExhibitText"/>
              <w:jc w:val="right"/>
              <w:rPr>
                <w:lang w:val="en-CA"/>
              </w:rPr>
            </w:pPr>
            <w:r w:rsidRPr="006834CE">
              <w:rPr>
                <w:lang w:val="en-CA"/>
              </w:rPr>
              <w:t>28,554,033</w:t>
            </w:r>
          </w:p>
        </w:tc>
        <w:tc>
          <w:tcPr>
            <w:tcW w:w="1260" w:type="dxa"/>
          </w:tcPr>
          <w:p w14:paraId="6BB3A101" w14:textId="77777777" w:rsidR="004F5958" w:rsidRPr="006834CE" w:rsidRDefault="004F5958" w:rsidP="00FA7411">
            <w:pPr>
              <w:pStyle w:val="ExhibitText"/>
              <w:jc w:val="right"/>
              <w:rPr>
                <w:lang w:val="en-CA"/>
              </w:rPr>
            </w:pPr>
            <w:r w:rsidRPr="006834CE">
              <w:rPr>
                <w:lang w:val="en-CA"/>
              </w:rPr>
              <w:t>22,191,939</w:t>
            </w:r>
          </w:p>
        </w:tc>
        <w:tc>
          <w:tcPr>
            <w:tcW w:w="1350" w:type="dxa"/>
          </w:tcPr>
          <w:p w14:paraId="6534A417" w14:textId="77777777" w:rsidR="004F5958" w:rsidRPr="006834CE" w:rsidRDefault="004F5958" w:rsidP="00FA7411">
            <w:pPr>
              <w:pStyle w:val="ExhibitText"/>
              <w:jc w:val="right"/>
              <w:rPr>
                <w:lang w:val="en-CA"/>
              </w:rPr>
            </w:pPr>
            <w:r w:rsidRPr="006834CE">
              <w:rPr>
                <w:lang w:val="en-CA"/>
              </w:rPr>
              <w:t xml:space="preserve">15,154,205 </w:t>
            </w:r>
          </w:p>
        </w:tc>
        <w:tc>
          <w:tcPr>
            <w:tcW w:w="1170" w:type="dxa"/>
          </w:tcPr>
          <w:p w14:paraId="2F87E298" w14:textId="77777777" w:rsidR="004F5958" w:rsidRPr="006834CE" w:rsidRDefault="004F5958" w:rsidP="00FA7411">
            <w:pPr>
              <w:pStyle w:val="ExhibitText"/>
              <w:jc w:val="right"/>
              <w:rPr>
                <w:lang w:val="en-CA"/>
              </w:rPr>
            </w:pPr>
            <w:r w:rsidRPr="006834CE">
              <w:rPr>
                <w:lang w:val="en-CA"/>
              </w:rPr>
              <w:t xml:space="preserve">7,249,355 </w:t>
            </w:r>
          </w:p>
        </w:tc>
        <w:tc>
          <w:tcPr>
            <w:tcW w:w="1208" w:type="dxa"/>
          </w:tcPr>
          <w:p w14:paraId="0B0CABB3" w14:textId="77777777" w:rsidR="004F5958" w:rsidRPr="006834CE" w:rsidRDefault="004F5958" w:rsidP="00FA7411">
            <w:pPr>
              <w:pStyle w:val="ExhibitText"/>
              <w:jc w:val="right"/>
              <w:rPr>
                <w:lang w:val="en-CA"/>
              </w:rPr>
            </w:pPr>
            <w:r w:rsidRPr="006834CE">
              <w:rPr>
                <w:lang w:val="en-CA"/>
              </w:rPr>
              <w:t>2,699,933</w:t>
            </w:r>
          </w:p>
        </w:tc>
      </w:tr>
      <w:tr w:rsidR="004F5958" w:rsidRPr="006834CE" w14:paraId="74F94A63" w14:textId="77777777" w:rsidTr="00963D61">
        <w:trPr>
          <w:trHeight w:val="187"/>
          <w:tblHeader/>
          <w:jc w:val="center"/>
        </w:trPr>
        <w:tc>
          <w:tcPr>
            <w:tcW w:w="3145" w:type="dxa"/>
          </w:tcPr>
          <w:p w14:paraId="75BBB310" w14:textId="49B02027" w:rsidR="004F5958" w:rsidRPr="006834CE" w:rsidRDefault="004F5958" w:rsidP="00F31580">
            <w:pPr>
              <w:pStyle w:val="ExhibitText"/>
              <w:jc w:val="left"/>
              <w:rPr>
                <w:lang w:val="en-CA"/>
              </w:rPr>
            </w:pPr>
            <w:r w:rsidRPr="006834CE">
              <w:rPr>
                <w:lang w:val="en-CA"/>
              </w:rPr>
              <w:t xml:space="preserve">Operating </w:t>
            </w:r>
            <w:r w:rsidR="00FE6B67" w:rsidRPr="006834CE">
              <w:rPr>
                <w:lang w:val="en-CA"/>
              </w:rPr>
              <w:t>p</w:t>
            </w:r>
            <w:r w:rsidRPr="006834CE">
              <w:rPr>
                <w:lang w:val="en-CA"/>
              </w:rPr>
              <w:t>rofit</w:t>
            </w:r>
          </w:p>
        </w:tc>
        <w:tc>
          <w:tcPr>
            <w:tcW w:w="1260" w:type="dxa"/>
          </w:tcPr>
          <w:p w14:paraId="3CD16154" w14:textId="77777777" w:rsidR="004F5958" w:rsidRPr="006834CE" w:rsidRDefault="004F5958" w:rsidP="00FA7411">
            <w:pPr>
              <w:pStyle w:val="ExhibitText"/>
              <w:jc w:val="right"/>
              <w:rPr>
                <w:lang w:val="en-CA"/>
              </w:rPr>
            </w:pPr>
            <w:r w:rsidRPr="006834CE">
              <w:rPr>
                <w:bCs/>
                <w:lang w:val="en-CA"/>
              </w:rPr>
              <w:t xml:space="preserve">11,760,217 </w:t>
            </w:r>
          </w:p>
        </w:tc>
        <w:tc>
          <w:tcPr>
            <w:tcW w:w="1260" w:type="dxa"/>
          </w:tcPr>
          <w:p w14:paraId="478FA6C3" w14:textId="77777777" w:rsidR="004F5958" w:rsidRPr="006834CE" w:rsidRDefault="004F5958" w:rsidP="00FA7411">
            <w:pPr>
              <w:pStyle w:val="ExhibitText"/>
              <w:jc w:val="right"/>
              <w:rPr>
                <w:lang w:val="en-CA"/>
              </w:rPr>
            </w:pPr>
            <w:r w:rsidRPr="006834CE">
              <w:rPr>
                <w:lang w:val="en-CA"/>
              </w:rPr>
              <w:t xml:space="preserve">1,196,472 </w:t>
            </w:r>
          </w:p>
        </w:tc>
        <w:tc>
          <w:tcPr>
            <w:tcW w:w="1350" w:type="dxa"/>
          </w:tcPr>
          <w:p w14:paraId="6CFD591C" w14:textId="77777777" w:rsidR="004F5958" w:rsidRPr="006834CE" w:rsidRDefault="004F5958" w:rsidP="00FA7411">
            <w:pPr>
              <w:pStyle w:val="ExhibitText"/>
              <w:jc w:val="right"/>
              <w:rPr>
                <w:lang w:val="en-CA"/>
              </w:rPr>
            </w:pPr>
            <w:r w:rsidRPr="006834CE">
              <w:rPr>
                <w:lang w:val="en-CA"/>
              </w:rPr>
              <w:t xml:space="preserve">12,215,467 </w:t>
            </w:r>
          </w:p>
        </w:tc>
        <w:tc>
          <w:tcPr>
            <w:tcW w:w="1170" w:type="dxa"/>
          </w:tcPr>
          <w:p w14:paraId="4E5071F2" w14:textId="77777777" w:rsidR="004F5958" w:rsidRPr="006834CE" w:rsidRDefault="004F5958" w:rsidP="00FA7411">
            <w:pPr>
              <w:pStyle w:val="ExhibitText"/>
              <w:jc w:val="right"/>
              <w:rPr>
                <w:lang w:val="en-CA"/>
              </w:rPr>
            </w:pPr>
            <w:r w:rsidRPr="006834CE">
              <w:rPr>
                <w:lang w:val="en-CA"/>
              </w:rPr>
              <w:t xml:space="preserve">3,785,064 </w:t>
            </w:r>
          </w:p>
        </w:tc>
        <w:tc>
          <w:tcPr>
            <w:tcW w:w="1208" w:type="dxa"/>
          </w:tcPr>
          <w:p w14:paraId="7F30249B" w14:textId="77777777" w:rsidR="004F5958" w:rsidRPr="006834CE" w:rsidRDefault="004F5958" w:rsidP="00FA7411">
            <w:pPr>
              <w:pStyle w:val="ExhibitText"/>
              <w:jc w:val="right"/>
              <w:rPr>
                <w:lang w:val="en-CA"/>
              </w:rPr>
            </w:pPr>
            <w:r w:rsidRPr="006834CE">
              <w:rPr>
                <w:lang w:val="en-CA"/>
              </w:rPr>
              <w:t>1,372,670</w:t>
            </w:r>
          </w:p>
        </w:tc>
      </w:tr>
      <w:tr w:rsidR="004F5958" w:rsidRPr="006834CE" w14:paraId="4626274A" w14:textId="77777777" w:rsidTr="00963D61">
        <w:trPr>
          <w:trHeight w:val="187"/>
          <w:tblHeader/>
          <w:jc w:val="center"/>
        </w:trPr>
        <w:tc>
          <w:tcPr>
            <w:tcW w:w="3145" w:type="dxa"/>
          </w:tcPr>
          <w:p w14:paraId="1AA7B061" w14:textId="7BDEF4DE" w:rsidR="004F5958" w:rsidRPr="006834CE" w:rsidRDefault="004F5958" w:rsidP="00F31580">
            <w:pPr>
              <w:pStyle w:val="ExhibitText"/>
              <w:jc w:val="left"/>
              <w:rPr>
                <w:lang w:val="en-CA"/>
              </w:rPr>
            </w:pPr>
            <w:r w:rsidRPr="006834CE">
              <w:rPr>
                <w:lang w:val="en-CA"/>
              </w:rPr>
              <w:t>Profit</w:t>
            </w:r>
            <w:r w:rsidR="00FE6B67" w:rsidRPr="006834CE">
              <w:rPr>
                <w:lang w:val="en-CA"/>
              </w:rPr>
              <w:t xml:space="preserve"> </w:t>
            </w:r>
            <w:r w:rsidRPr="006834CE">
              <w:rPr>
                <w:lang w:val="en-CA"/>
              </w:rPr>
              <w:t>(loss) before income</w:t>
            </w:r>
            <w:r w:rsidR="00013E58" w:rsidRPr="006834CE">
              <w:rPr>
                <w:lang w:val="en-CA"/>
              </w:rPr>
              <w:t xml:space="preserve"> </w:t>
            </w:r>
            <w:r w:rsidRPr="006834CE">
              <w:rPr>
                <w:lang w:val="en-CA"/>
              </w:rPr>
              <w:t>tax</w:t>
            </w:r>
          </w:p>
        </w:tc>
        <w:tc>
          <w:tcPr>
            <w:tcW w:w="1260" w:type="dxa"/>
          </w:tcPr>
          <w:p w14:paraId="2E2628D2" w14:textId="77777777" w:rsidR="004F5958" w:rsidRPr="006834CE" w:rsidRDefault="004F5958" w:rsidP="00FA7411">
            <w:pPr>
              <w:pStyle w:val="ExhibitText"/>
              <w:jc w:val="right"/>
              <w:rPr>
                <w:lang w:val="en-CA"/>
              </w:rPr>
            </w:pPr>
            <w:r w:rsidRPr="006834CE">
              <w:rPr>
                <w:bCs/>
                <w:lang w:val="en-CA"/>
              </w:rPr>
              <w:t xml:space="preserve">12,162,646 </w:t>
            </w:r>
          </w:p>
        </w:tc>
        <w:tc>
          <w:tcPr>
            <w:tcW w:w="1260" w:type="dxa"/>
          </w:tcPr>
          <w:p w14:paraId="08F8C0E2" w14:textId="77777777" w:rsidR="004F5958" w:rsidRPr="006834CE" w:rsidRDefault="004F5958" w:rsidP="00FA7411">
            <w:pPr>
              <w:pStyle w:val="ExhibitText"/>
              <w:jc w:val="right"/>
              <w:rPr>
                <w:lang w:val="en-CA"/>
              </w:rPr>
            </w:pPr>
            <w:r w:rsidRPr="006834CE">
              <w:rPr>
                <w:lang w:val="en-CA"/>
              </w:rPr>
              <w:t xml:space="preserve">13,927,124 </w:t>
            </w:r>
          </w:p>
        </w:tc>
        <w:tc>
          <w:tcPr>
            <w:tcW w:w="1350" w:type="dxa"/>
          </w:tcPr>
          <w:p w14:paraId="4A0C413E" w14:textId="77777777" w:rsidR="004F5958" w:rsidRPr="006834CE" w:rsidRDefault="004F5958" w:rsidP="00FA7411">
            <w:pPr>
              <w:pStyle w:val="ExhibitText"/>
              <w:jc w:val="right"/>
              <w:rPr>
                <w:lang w:val="en-CA"/>
              </w:rPr>
            </w:pPr>
            <w:r w:rsidRPr="006834CE">
              <w:rPr>
                <w:lang w:val="en-CA"/>
              </w:rPr>
              <w:t xml:space="preserve">(41,829,352) </w:t>
            </w:r>
          </w:p>
        </w:tc>
        <w:tc>
          <w:tcPr>
            <w:tcW w:w="1170" w:type="dxa"/>
          </w:tcPr>
          <w:p w14:paraId="532FC8A1" w14:textId="77777777" w:rsidR="004F5958" w:rsidRPr="006834CE" w:rsidRDefault="004F5958" w:rsidP="00FA7411">
            <w:pPr>
              <w:pStyle w:val="ExhibitText"/>
              <w:jc w:val="right"/>
              <w:rPr>
                <w:lang w:val="en-CA"/>
              </w:rPr>
            </w:pPr>
            <w:r w:rsidRPr="006834CE">
              <w:rPr>
                <w:lang w:val="en-CA"/>
              </w:rPr>
              <w:t xml:space="preserve">1,175,509 </w:t>
            </w:r>
          </w:p>
        </w:tc>
        <w:tc>
          <w:tcPr>
            <w:tcW w:w="1208" w:type="dxa"/>
          </w:tcPr>
          <w:p w14:paraId="6B30B1E9" w14:textId="77777777" w:rsidR="004F5958" w:rsidRPr="006834CE" w:rsidRDefault="004F5958" w:rsidP="00FA7411">
            <w:pPr>
              <w:pStyle w:val="ExhibitText"/>
              <w:jc w:val="right"/>
              <w:rPr>
                <w:lang w:val="en-CA"/>
              </w:rPr>
            </w:pPr>
            <w:r w:rsidRPr="006834CE">
              <w:rPr>
                <w:lang w:val="en-CA"/>
              </w:rPr>
              <w:t>(7,472,511)</w:t>
            </w:r>
          </w:p>
        </w:tc>
      </w:tr>
      <w:tr w:rsidR="004F5958" w:rsidRPr="006834CE" w14:paraId="3D6FF1A9" w14:textId="77777777" w:rsidTr="00963D61">
        <w:trPr>
          <w:trHeight w:val="187"/>
          <w:tblHeader/>
          <w:jc w:val="center"/>
        </w:trPr>
        <w:tc>
          <w:tcPr>
            <w:tcW w:w="3145" w:type="dxa"/>
          </w:tcPr>
          <w:p w14:paraId="40BE0E3C" w14:textId="3364DFEF" w:rsidR="004F5958" w:rsidRPr="006834CE" w:rsidRDefault="004F5958" w:rsidP="00F31580">
            <w:pPr>
              <w:pStyle w:val="ExhibitText"/>
              <w:jc w:val="left"/>
              <w:rPr>
                <w:lang w:val="en-CA"/>
              </w:rPr>
            </w:pPr>
            <w:r w:rsidRPr="006834CE">
              <w:rPr>
                <w:lang w:val="en-CA"/>
              </w:rPr>
              <w:t>Profit</w:t>
            </w:r>
            <w:r w:rsidR="00FE6B67" w:rsidRPr="006834CE">
              <w:rPr>
                <w:lang w:val="en-CA"/>
              </w:rPr>
              <w:t xml:space="preserve"> </w:t>
            </w:r>
            <w:r w:rsidRPr="006834CE">
              <w:rPr>
                <w:lang w:val="en-CA"/>
              </w:rPr>
              <w:t>(loss) for the year</w:t>
            </w:r>
          </w:p>
        </w:tc>
        <w:tc>
          <w:tcPr>
            <w:tcW w:w="1260" w:type="dxa"/>
          </w:tcPr>
          <w:p w14:paraId="5634F128" w14:textId="77777777" w:rsidR="004F5958" w:rsidRPr="006834CE" w:rsidRDefault="004F5958" w:rsidP="00FA7411">
            <w:pPr>
              <w:pStyle w:val="ExhibitText"/>
              <w:jc w:val="right"/>
              <w:rPr>
                <w:lang w:val="en-CA"/>
              </w:rPr>
            </w:pPr>
            <w:r w:rsidRPr="006834CE">
              <w:rPr>
                <w:bCs/>
                <w:lang w:val="en-CA"/>
              </w:rPr>
              <w:t xml:space="preserve">10,102,950 </w:t>
            </w:r>
          </w:p>
        </w:tc>
        <w:tc>
          <w:tcPr>
            <w:tcW w:w="1260" w:type="dxa"/>
          </w:tcPr>
          <w:p w14:paraId="481471CF" w14:textId="77777777" w:rsidR="004F5958" w:rsidRPr="006834CE" w:rsidRDefault="004F5958" w:rsidP="00FA7411">
            <w:pPr>
              <w:pStyle w:val="ExhibitText"/>
              <w:jc w:val="right"/>
              <w:rPr>
                <w:lang w:val="en-CA"/>
              </w:rPr>
            </w:pPr>
            <w:r w:rsidRPr="006834CE">
              <w:rPr>
                <w:lang w:val="en-CA"/>
              </w:rPr>
              <w:t xml:space="preserve">13,477,747 </w:t>
            </w:r>
          </w:p>
        </w:tc>
        <w:tc>
          <w:tcPr>
            <w:tcW w:w="1350" w:type="dxa"/>
          </w:tcPr>
          <w:p w14:paraId="535EE9B7" w14:textId="77777777" w:rsidR="004F5958" w:rsidRPr="006834CE" w:rsidRDefault="004F5958" w:rsidP="00FA7411">
            <w:pPr>
              <w:pStyle w:val="ExhibitText"/>
              <w:jc w:val="right"/>
              <w:rPr>
                <w:lang w:val="en-CA"/>
              </w:rPr>
            </w:pPr>
            <w:r w:rsidRPr="006834CE">
              <w:rPr>
                <w:lang w:val="en-CA"/>
              </w:rPr>
              <w:t xml:space="preserve">(43,889,115) </w:t>
            </w:r>
          </w:p>
        </w:tc>
        <w:tc>
          <w:tcPr>
            <w:tcW w:w="1170" w:type="dxa"/>
          </w:tcPr>
          <w:p w14:paraId="7B38F14F" w14:textId="77777777" w:rsidR="004F5958" w:rsidRPr="006834CE" w:rsidRDefault="004F5958" w:rsidP="00FA7411">
            <w:pPr>
              <w:pStyle w:val="ExhibitText"/>
              <w:jc w:val="right"/>
              <w:rPr>
                <w:lang w:val="en-CA"/>
              </w:rPr>
            </w:pPr>
            <w:r w:rsidRPr="006834CE">
              <w:rPr>
                <w:lang w:val="en-CA"/>
              </w:rPr>
              <w:t xml:space="preserve">491,606 </w:t>
            </w:r>
          </w:p>
        </w:tc>
        <w:tc>
          <w:tcPr>
            <w:tcW w:w="1208" w:type="dxa"/>
          </w:tcPr>
          <w:p w14:paraId="528E701D" w14:textId="77777777" w:rsidR="004F5958" w:rsidRPr="006834CE" w:rsidRDefault="004F5958" w:rsidP="00FA7411">
            <w:pPr>
              <w:pStyle w:val="ExhibitText"/>
              <w:jc w:val="right"/>
              <w:rPr>
                <w:lang w:val="en-CA"/>
              </w:rPr>
            </w:pPr>
            <w:r w:rsidRPr="006834CE">
              <w:rPr>
                <w:lang w:val="en-CA"/>
              </w:rPr>
              <w:t>(7,627,030)</w:t>
            </w:r>
          </w:p>
        </w:tc>
      </w:tr>
      <w:tr w:rsidR="004F5958" w:rsidRPr="006834CE" w14:paraId="4B772B98" w14:textId="77777777" w:rsidTr="00963D61">
        <w:trPr>
          <w:trHeight w:val="375"/>
          <w:tblHeader/>
          <w:jc w:val="center"/>
        </w:trPr>
        <w:tc>
          <w:tcPr>
            <w:tcW w:w="3145" w:type="dxa"/>
          </w:tcPr>
          <w:p w14:paraId="0A96B42B" w14:textId="6A2D43B7" w:rsidR="004F5958" w:rsidRPr="006834CE" w:rsidRDefault="004F5958" w:rsidP="00F31580">
            <w:pPr>
              <w:pStyle w:val="ExhibitText"/>
              <w:jc w:val="left"/>
              <w:rPr>
                <w:lang w:val="en-CA"/>
              </w:rPr>
            </w:pPr>
            <w:r w:rsidRPr="006834CE">
              <w:rPr>
                <w:lang w:val="en-CA"/>
              </w:rPr>
              <w:t>Profit</w:t>
            </w:r>
            <w:r w:rsidR="00FE6B67" w:rsidRPr="006834CE">
              <w:rPr>
                <w:lang w:val="en-CA"/>
              </w:rPr>
              <w:t xml:space="preserve"> </w:t>
            </w:r>
            <w:r w:rsidRPr="006834CE">
              <w:rPr>
                <w:lang w:val="en-CA"/>
              </w:rPr>
              <w:t>(loss) attributable to company</w:t>
            </w:r>
            <w:r w:rsidR="00013E58" w:rsidRPr="006834CE">
              <w:rPr>
                <w:lang w:val="en-CA"/>
              </w:rPr>
              <w:t xml:space="preserve"> owners</w:t>
            </w:r>
          </w:p>
        </w:tc>
        <w:tc>
          <w:tcPr>
            <w:tcW w:w="1260" w:type="dxa"/>
          </w:tcPr>
          <w:p w14:paraId="528A8BF1" w14:textId="77777777" w:rsidR="004F5958" w:rsidRPr="006834CE" w:rsidRDefault="004F5958" w:rsidP="00FA7411">
            <w:pPr>
              <w:pStyle w:val="ExhibitText"/>
              <w:jc w:val="right"/>
              <w:rPr>
                <w:lang w:val="en-CA"/>
              </w:rPr>
            </w:pPr>
            <w:r w:rsidRPr="006834CE">
              <w:rPr>
                <w:bCs/>
                <w:lang w:val="en-CA"/>
              </w:rPr>
              <w:t xml:space="preserve">10,044,164 </w:t>
            </w:r>
          </w:p>
        </w:tc>
        <w:tc>
          <w:tcPr>
            <w:tcW w:w="1260" w:type="dxa"/>
          </w:tcPr>
          <w:p w14:paraId="282790D7" w14:textId="77777777" w:rsidR="004F5958" w:rsidRPr="006834CE" w:rsidRDefault="004F5958" w:rsidP="00FA7411">
            <w:pPr>
              <w:pStyle w:val="ExhibitText"/>
              <w:jc w:val="right"/>
              <w:rPr>
                <w:lang w:val="en-CA"/>
              </w:rPr>
            </w:pPr>
            <w:r w:rsidRPr="006834CE">
              <w:rPr>
                <w:lang w:val="en-CA"/>
              </w:rPr>
              <w:t xml:space="preserve">13,553,886 </w:t>
            </w:r>
          </w:p>
        </w:tc>
        <w:tc>
          <w:tcPr>
            <w:tcW w:w="1350" w:type="dxa"/>
          </w:tcPr>
          <w:p w14:paraId="10EC5E5A" w14:textId="77777777" w:rsidR="004F5958" w:rsidRPr="006834CE" w:rsidRDefault="004F5958" w:rsidP="00FA7411">
            <w:pPr>
              <w:pStyle w:val="ExhibitText"/>
              <w:jc w:val="right"/>
              <w:rPr>
                <w:lang w:val="en-CA"/>
              </w:rPr>
            </w:pPr>
            <w:r w:rsidRPr="006834CE">
              <w:rPr>
                <w:lang w:val="en-CA"/>
              </w:rPr>
              <w:t xml:space="preserve">(43,826,016) </w:t>
            </w:r>
          </w:p>
        </w:tc>
        <w:tc>
          <w:tcPr>
            <w:tcW w:w="1170" w:type="dxa"/>
          </w:tcPr>
          <w:p w14:paraId="56EC58CB" w14:textId="77777777" w:rsidR="004F5958" w:rsidRPr="006834CE" w:rsidRDefault="004F5958" w:rsidP="00FA7411">
            <w:pPr>
              <w:pStyle w:val="ExhibitText"/>
              <w:jc w:val="right"/>
              <w:rPr>
                <w:lang w:val="en-CA"/>
              </w:rPr>
            </w:pPr>
            <w:r w:rsidRPr="006834CE">
              <w:rPr>
                <w:lang w:val="en-CA"/>
              </w:rPr>
              <w:t xml:space="preserve">553,250 </w:t>
            </w:r>
          </w:p>
        </w:tc>
        <w:tc>
          <w:tcPr>
            <w:tcW w:w="1208" w:type="dxa"/>
          </w:tcPr>
          <w:p w14:paraId="44174321" w14:textId="77777777" w:rsidR="004F5958" w:rsidRPr="006834CE" w:rsidRDefault="004F5958" w:rsidP="00FA7411">
            <w:pPr>
              <w:pStyle w:val="ExhibitText"/>
              <w:jc w:val="right"/>
              <w:rPr>
                <w:lang w:val="en-CA"/>
              </w:rPr>
            </w:pPr>
            <w:r w:rsidRPr="006834CE">
              <w:rPr>
                <w:lang w:val="en-CA"/>
              </w:rPr>
              <w:t>(7,581,295)</w:t>
            </w:r>
          </w:p>
        </w:tc>
      </w:tr>
      <w:tr w:rsidR="004F5958" w:rsidRPr="006834CE" w14:paraId="7A9F7CCC" w14:textId="77777777" w:rsidTr="00963D61">
        <w:trPr>
          <w:trHeight w:val="375"/>
          <w:tblHeader/>
          <w:jc w:val="center"/>
        </w:trPr>
        <w:tc>
          <w:tcPr>
            <w:tcW w:w="3145" w:type="dxa"/>
          </w:tcPr>
          <w:p w14:paraId="35D0418F" w14:textId="12E201C4" w:rsidR="004F5958" w:rsidRPr="006834CE" w:rsidRDefault="004F5958" w:rsidP="00F31580">
            <w:pPr>
              <w:pStyle w:val="ExhibitText"/>
              <w:jc w:val="left"/>
              <w:rPr>
                <w:lang w:val="en-CA"/>
              </w:rPr>
            </w:pPr>
            <w:r w:rsidRPr="006834CE">
              <w:rPr>
                <w:lang w:val="en-CA"/>
              </w:rPr>
              <w:t xml:space="preserve">Total comprehensive </w:t>
            </w:r>
            <w:r w:rsidR="00FE6B67" w:rsidRPr="006834CE">
              <w:rPr>
                <w:lang w:val="en-CA"/>
              </w:rPr>
              <w:t>p</w:t>
            </w:r>
            <w:r w:rsidRPr="006834CE">
              <w:rPr>
                <w:lang w:val="en-CA"/>
              </w:rPr>
              <w:t>rofit</w:t>
            </w:r>
            <w:r w:rsidR="00FE6B67" w:rsidRPr="006834CE">
              <w:rPr>
                <w:lang w:val="en-CA"/>
              </w:rPr>
              <w:t xml:space="preserve"> </w:t>
            </w:r>
            <w:r w:rsidRPr="006834CE">
              <w:rPr>
                <w:lang w:val="en-CA"/>
              </w:rPr>
              <w:t>(loss) for the year</w:t>
            </w:r>
          </w:p>
        </w:tc>
        <w:tc>
          <w:tcPr>
            <w:tcW w:w="1260" w:type="dxa"/>
          </w:tcPr>
          <w:p w14:paraId="116FCE8A" w14:textId="77777777" w:rsidR="004F5958" w:rsidRPr="006834CE" w:rsidRDefault="004F5958" w:rsidP="00FA7411">
            <w:pPr>
              <w:pStyle w:val="ExhibitText"/>
              <w:jc w:val="right"/>
              <w:rPr>
                <w:lang w:val="en-CA"/>
              </w:rPr>
            </w:pPr>
            <w:r w:rsidRPr="006834CE">
              <w:rPr>
                <w:bCs/>
                <w:lang w:val="en-CA"/>
              </w:rPr>
              <w:t xml:space="preserve">10,543,383 </w:t>
            </w:r>
          </w:p>
        </w:tc>
        <w:tc>
          <w:tcPr>
            <w:tcW w:w="1260" w:type="dxa"/>
          </w:tcPr>
          <w:p w14:paraId="09533178" w14:textId="77777777" w:rsidR="004F5958" w:rsidRPr="006834CE" w:rsidRDefault="004F5958" w:rsidP="00FA7411">
            <w:pPr>
              <w:pStyle w:val="ExhibitText"/>
              <w:jc w:val="right"/>
              <w:rPr>
                <w:lang w:val="en-CA"/>
              </w:rPr>
            </w:pPr>
            <w:r w:rsidRPr="006834CE">
              <w:rPr>
                <w:lang w:val="en-CA"/>
              </w:rPr>
              <w:t xml:space="preserve">11,921,632 </w:t>
            </w:r>
          </w:p>
        </w:tc>
        <w:tc>
          <w:tcPr>
            <w:tcW w:w="1350" w:type="dxa"/>
          </w:tcPr>
          <w:p w14:paraId="579D77F3" w14:textId="77777777" w:rsidR="004F5958" w:rsidRPr="006834CE" w:rsidRDefault="004F5958" w:rsidP="00FA7411">
            <w:pPr>
              <w:pStyle w:val="ExhibitText"/>
              <w:jc w:val="right"/>
              <w:rPr>
                <w:lang w:val="en-CA"/>
              </w:rPr>
            </w:pPr>
            <w:r w:rsidRPr="006834CE">
              <w:rPr>
                <w:lang w:val="en-CA"/>
              </w:rPr>
              <w:t xml:space="preserve">(35,994,749) </w:t>
            </w:r>
          </w:p>
        </w:tc>
        <w:tc>
          <w:tcPr>
            <w:tcW w:w="1170" w:type="dxa"/>
          </w:tcPr>
          <w:p w14:paraId="4F0F7753" w14:textId="77777777" w:rsidR="004F5958" w:rsidRPr="006834CE" w:rsidRDefault="004F5958" w:rsidP="00FA7411">
            <w:pPr>
              <w:pStyle w:val="ExhibitText"/>
              <w:jc w:val="right"/>
              <w:rPr>
                <w:lang w:val="en-CA"/>
              </w:rPr>
            </w:pPr>
            <w:r w:rsidRPr="006834CE">
              <w:rPr>
                <w:lang w:val="en-CA"/>
              </w:rPr>
              <w:t xml:space="preserve">(6,307,155) </w:t>
            </w:r>
          </w:p>
        </w:tc>
        <w:tc>
          <w:tcPr>
            <w:tcW w:w="1208" w:type="dxa"/>
          </w:tcPr>
          <w:p w14:paraId="1F618106" w14:textId="77777777" w:rsidR="004F5958" w:rsidRPr="006834CE" w:rsidRDefault="004F5958" w:rsidP="00FA7411">
            <w:pPr>
              <w:pStyle w:val="ExhibitText"/>
              <w:jc w:val="right"/>
              <w:rPr>
                <w:lang w:val="en-CA"/>
              </w:rPr>
            </w:pPr>
            <w:r w:rsidRPr="006834CE">
              <w:rPr>
                <w:lang w:val="en-CA"/>
              </w:rPr>
              <w:t>(13,136,127)</w:t>
            </w:r>
          </w:p>
        </w:tc>
      </w:tr>
      <w:tr w:rsidR="004F5958" w:rsidRPr="006834CE" w14:paraId="6C46851A" w14:textId="77777777" w:rsidTr="00963D61">
        <w:trPr>
          <w:trHeight w:val="554"/>
          <w:tblHeader/>
          <w:jc w:val="center"/>
        </w:trPr>
        <w:tc>
          <w:tcPr>
            <w:tcW w:w="3145" w:type="dxa"/>
          </w:tcPr>
          <w:p w14:paraId="53839219" w14:textId="658BAC74" w:rsidR="004F5958" w:rsidRPr="006834CE" w:rsidRDefault="004F5958" w:rsidP="00F31580">
            <w:pPr>
              <w:pStyle w:val="ExhibitText"/>
              <w:jc w:val="left"/>
              <w:rPr>
                <w:lang w:val="en-CA"/>
              </w:rPr>
            </w:pPr>
            <w:r w:rsidRPr="006834CE">
              <w:rPr>
                <w:lang w:val="en-CA"/>
              </w:rPr>
              <w:t xml:space="preserve">Total comprehensive </w:t>
            </w:r>
            <w:r w:rsidR="00FE6B67" w:rsidRPr="006834CE">
              <w:rPr>
                <w:lang w:val="en-CA"/>
              </w:rPr>
              <w:t>p</w:t>
            </w:r>
            <w:r w:rsidRPr="006834CE">
              <w:rPr>
                <w:lang w:val="en-CA"/>
              </w:rPr>
              <w:t>rofit</w:t>
            </w:r>
            <w:r w:rsidR="00FE6B67" w:rsidRPr="006834CE">
              <w:rPr>
                <w:lang w:val="en-CA"/>
              </w:rPr>
              <w:t xml:space="preserve"> </w:t>
            </w:r>
            <w:r w:rsidRPr="006834CE">
              <w:rPr>
                <w:lang w:val="en-CA"/>
              </w:rPr>
              <w:t xml:space="preserve">(loss) attributable to </w:t>
            </w:r>
            <w:r w:rsidR="00013E58" w:rsidRPr="006834CE">
              <w:rPr>
                <w:lang w:val="en-CA"/>
              </w:rPr>
              <w:t xml:space="preserve">company </w:t>
            </w:r>
            <w:r w:rsidRPr="006834CE">
              <w:rPr>
                <w:lang w:val="en-CA"/>
              </w:rPr>
              <w:t>owners</w:t>
            </w:r>
          </w:p>
        </w:tc>
        <w:tc>
          <w:tcPr>
            <w:tcW w:w="1260" w:type="dxa"/>
          </w:tcPr>
          <w:p w14:paraId="7988A9D0" w14:textId="77777777" w:rsidR="004F5958" w:rsidRPr="006834CE" w:rsidRDefault="004F5958" w:rsidP="00FA7411">
            <w:pPr>
              <w:pStyle w:val="ExhibitText"/>
              <w:jc w:val="right"/>
              <w:rPr>
                <w:lang w:val="en-CA"/>
              </w:rPr>
            </w:pPr>
            <w:r w:rsidRPr="006834CE">
              <w:rPr>
                <w:bCs/>
                <w:lang w:val="en-CA"/>
              </w:rPr>
              <w:t xml:space="preserve">10,472,914 </w:t>
            </w:r>
          </w:p>
        </w:tc>
        <w:tc>
          <w:tcPr>
            <w:tcW w:w="1260" w:type="dxa"/>
          </w:tcPr>
          <w:p w14:paraId="0AE77D83" w14:textId="77777777" w:rsidR="004F5958" w:rsidRPr="006834CE" w:rsidRDefault="004F5958" w:rsidP="00FA7411">
            <w:pPr>
              <w:pStyle w:val="ExhibitText"/>
              <w:jc w:val="right"/>
              <w:rPr>
                <w:lang w:val="en-CA"/>
              </w:rPr>
            </w:pPr>
            <w:r w:rsidRPr="006834CE">
              <w:rPr>
                <w:lang w:val="en-CA"/>
              </w:rPr>
              <w:t xml:space="preserve">11,989,243 </w:t>
            </w:r>
          </w:p>
        </w:tc>
        <w:tc>
          <w:tcPr>
            <w:tcW w:w="1350" w:type="dxa"/>
          </w:tcPr>
          <w:p w14:paraId="6DC6C242" w14:textId="77777777" w:rsidR="004F5958" w:rsidRPr="006834CE" w:rsidRDefault="004F5958" w:rsidP="00FA7411">
            <w:pPr>
              <w:pStyle w:val="ExhibitText"/>
              <w:jc w:val="right"/>
              <w:rPr>
                <w:lang w:val="en-CA"/>
              </w:rPr>
            </w:pPr>
            <w:r w:rsidRPr="006834CE">
              <w:rPr>
                <w:lang w:val="en-CA"/>
              </w:rPr>
              <w:t xml:space="preserve">(35,922,124) </w:t>
            </w:r>
          </w:p>
        </w:tc>
        <w:tc>
          <w:tcPr>
            <w:tcW w:w="1170" w:type="dxa"/>
          </w:tcPr>
          <w:p w14:paraId="7D175C9A" w14:textId="77777777" w:rsidR="004F5958" w:rsidRPr="006834CE" w:rsidRDefault="004F5958" w:rsidP="00FA7411">
            <w:pPr>
              <w:pStyle w:val="ExhibitText"/>
              <w:jc w:val="right"/>
              <w:rPr>
                <w:lang w:val="en-CA"/>
              </w:rPr>
            </w:pPr>
            <w:r w:rsidRPr="006834CE">
              <w:rPr>
                <w:lang w:val="en-CA"/>
              </w:rPr>
              <w:t xml:space="preserve">(6,254,475) </w:t>
            </w:r>
          </w:p>
        </w:tc>
        <w:tc>
          <w:tcPr>
            <w:tcW w:w="1208" w:type="dxa"/>
          </w:tcPr>
          <w:p w14:paraId="04487F41" w14:textId="77777777" w:rsidR="004F5958" w:rsidRPr="006834CE" w:rsidRDefault="004F5958" w:rsidP="00FA7411">
            <w:pPr>
              <w:pStyle w:val="ExhibitText"/>
              <w:jc w:val="right"/>
              <w:rPr>
                <w:lang w:val="en-CA"/>
              </w:rPr>
            </w:pPr>
            <w:r w:rsidRPr="006834CE">
              <w:rPr>
                <w:lang w:val="en-CA"/>
              </w:rPr>
              <w:t>(13,098,817)</w:t>
            </w:r>
          </w:p>
        </w:tc>
      </w:tr>
      <w:tr w:rsidR="004F5958" w:rsidRPr="006834CE" w14:paraId="2A7AD97D" w14:textId="77777777" w:rsidTr="00963D61">
        <w:trPr>
          <w:trHeight w:val="375"/>
          <w:tblHeader/>
          <w:jc w:val="center"/>
        </w:trPr>
        <w:tc>
          <w:tcPr>
            <w:tcW w:w="3145" w:type="dxa"/>
          </w:tcPr>
          <w:p w14:paraId="686D21E4" w14:textId="34635BFA" w:rsidR="00013E58" w:rsidRPr="006834CE" w:rsidRDefault="004F5958" w:rsidP="00F31580">
            <w:pPr>
              <w:pStyle w:val="ExhibitText"/>
              <w:jc w:val="left"/>
              <w:rPr>
                <w:lang w:val="en-CA"/>
              </w:rPr>
            </w:pPr>
            <w:r w:rsidRPr="006834CE">
              <w:rPr>
                <w:lang w:val="en-CA"/>
              </w:rPr>
              <w:t xml:space="preserve">Non-IFRS measure: </w:t>
            </w:r>
            <w:r w:rsidR="00FE6B67" w:rsidRPr="006834CE">
              <w:rPr>
                <w:lang w:val="en-CA"/>
              </w:rPr>
              <w:t>unaudited a</w:t>
            </w:r>
            <w:r w:rsidRPr="006834CE">
              <w:rPr>
                <w:lang w:val="en-CA"/>
              </w:rPr>
              <w:t xml:space="preserve">djusted net </w:t>
            </w:r>
            <w:r w:rsidR="00FE6B67" w:rsidRPr="006834CE">
              <w:rPr>
                <w:lang w:val="en-CA"/>
              </w:rPr>
              <w:t>p</w:t>
            </w:r>
            <w:r w:rsidRPr="006834CE">
              <w:rPr>
                <w:lang w:val="en-CA"/>
              </w:rPr>
              <w:t>rofit</w:t>
            </w:r>
            <w:r w:rsidR="00FE6B67" w:rsidRPr="006834CE">
              <w:rPr>
                <w:lang w:val="en-CA"/>
              </w:rPr>
              <w:t xml:space="preserve"> </w:t>
            </w:r>
            <w:r w:rsidRPr="006834CE">
              <w:rPr>
                <w:lang w:val="en-CA"/>
              </w:rPr>
              <w:t>(loss)</w:t>
            </w:r>
          </w:p>
        </w:tc>
        <w:tc>
          <w:tcPr>
            <w:tcW w:w="1260" w:type="dxa"/>
          </w:tcPr>
          <w:p w14:paraId="3DBA13F3" w14:textId="77777777" w:rsidR="004F5958" w:rsidRPr="006834CE" w:rsidRDefault="004F5958" w:rsidP="00FA7411">
            <w:pPr>
              <w:pStyle w:val="ExhibitText"/>
              <w:jc w:val="right"/>
              <w:rPr>
                <w:lang w:val="en-CA"/>
              </w:rPr>
            </w:pPr>
            <w:r w:rsidRPr="006834CE">
              <w:rPr>
                <w:bCs/>
                <w:lang w:val="en-CA"/>
              </w:rPr>
              <w:t xml:space="preserve">11,532,296 </w:t>
            </w:r>
          </w:p>
        </w:tc>
        <w:tc>
          <w:tcPr>
            <w:tcW w:w="1260" w:type="dxa"/>
          </w:tcPr>
          <w:p w14:paraId="269C2F3D" w14:textId="77777777" w:rsidR="004F5958" w:rsidRPr="006834CE" w:rsidRDefault="004F5958" w:rsidP="00FA7411">
            <w:pPr>
              <w:pStyle w:val="ExhibitText"/>
              <w:jc w:val="right"/>
              <w:rPr>
                <w:lang w:val="en-CA"/>
              </w:rPr>
            </w:pPr>
            <w:r w:rsidRPr="006834CE">
              <w:rPr>
                <w:lang w:val="en-CA"/>
              </w:rPr>
              <w:t xml:space="preserve">8,554,548 </w:t>
            </w:r>
          </w:p>
        </w:tc>
        <w:tc>
          <w:tcPr>
            <w:tcW w:w="1350" w:type="dxa"/>
          </w:tcPr>
          <w:p w14:paraId="50CD0875" w14:textId="77777777" w:rsidR="004F5958" w:rsidRPr="006834CE" w:rsidRDefault="004F5958" w:rsidP="00FA7411">
            <w:pPr>
              <w:pStyle w:val="ExhibitText"/>
              <w:jc w:val="right"/>
              <w:rPr>
                <w:lang w:val="en-CA"/>
              </w:rPr>
            </w:pPr>
            <w:r w:rsidRPr="006834CE">
              <w:rPr>
                <w:lang w:val="en-CA"/>
              </w:rPr>
              <w:t xml:space="preserve">5,361,876 </w:t>
            </w:r>
          </w:p>
        </w:tc>
        <w:tc>
          <w:tcPr>
            <w:tcW w:w="1170" w:type="dxa"/>
          </w:tcPr>
          <w:p w14:paraId="64CA4D6A" w14:textId="77777777" w:rsidR="004F5958" w:rsidRPr="006834CE" w:rsidRDefault="004F5958" w:rsidP="00FA7411">
            <w:pPr>
              <w:pStyle w:val="ExhibitText"/>
              <w:jc w:val="right"/>
              <w:rPr>
                <w:lang w:val="en-CA"/>
              </w:rPr>
            </w:pPr>
            <w:r w:rsidRPr="006834CE">
              <w:rPr>
                <w:lang w:val="en-CA"/>
              </w:rPr>
              <w:t xml:space="preserve">1,895,657 </w:t>
            </w:r>
          </w:p>
        </w:tc>
        <w:tc>
          <w:tcPr>
            <w:tcW w:w="1208" w:type="dxa"/>
          </w:tcPr>
          <w:p w14:paraId="4008BE57" w14:textId="77777777" w:rsidR="004F5958" w:rsidRPr="006834CE" w:rsidRDefault="004F5958" w:rsidP="00FA7411">
            <w:pPr>
              <w:pStyle w:val="ExhibitText"/>
              <w:jc w:val="right"/>
              <w:rPr>
                <w:lang w:val="en-CA"/>
              </w:rPr>
            </w:pPr>
            <w:r w:rsidRPr="006834CE">
              <w:rPr>
                <w:lang w:val="en-CA"/>
              </w:rPr>
              <w:t>(303,887)</w:t>
            </w:r>
          </w:p>
        </w:tc>
      </w:tr>
    </w:tbl>
    <w:p w14:paraId="2244D643" w14:textId="77777777" w:rsidR="004F5958" w:rsidRPr="006834CE" w:rsidRDefault="004F5958" w:rsidP="00F31580">
      <w:pPr>
        <w:pStyle w:val="Footnote"/>
        <w:rPr>
          <w:sz w:val="20"/>
          <w:szCs w:val="20"/>
          <w:lang w:val="en-CA"/>
        </w:rPr>
      </w:pPr>
    </w:p>
    <w:p w14:paraId="5C01D5CE" w14:textId="71EB9D93" w:rsidR="00FA7411" w:rsidRPr="006834CE" w:rsidRDefault="00FA7411" w:rsidP="004F5958">
      <w:pPr>
        <w:pStyle w:val="Footnote"/>
        <w:rPr>
          <w:lang w:val="en-CA"/>
        </w:rPr>
      </w:pPr>
      <w:r w:rsidRPr="006834CE">
        <w:rPr>
          <w:lang w:val="en-CA"/>
        </w:rPr>
        <w:t xml:space="preserve">Note: ₹ = INR = Indian rupee; IFSR = </w:t>
      </w:r>
      <w:r w:rsidR="00FE6B67" w:rsidRPr="006834CE">
        <w:rPr>
          <w:lang w:val="en-CA"/>
        </w:rPr>
        <w:t>International Federation for Systems Research</w:t>
      </w:r>
      <w:r w:rsidR="008E0A10">
        <w:rPr>
          <w:lang w:val="en-CA"/>
        </w:rPr>
        <w:t>.</w:t>
      </w:r>
    </w:p>
    <w:p w14:paraId="45F647A2" w14:textId="0CC5A62D" w:rsidR="004F5958" w:rsidRPr="006834CE" w:rsidRDefault="004F5958" w:rsidP="004F5958">
      <w:pPr>
        <w:pStyle w:val="Footnote"/>
        <w:rPr>
          <w:lang w:val="en-CA"/>
        </w:rPr>
      </w:pPr>
      <w:r w:rsidRPr="006834CE">
        <w:rPr>
          <w:lang w:val="en-CA"/>
        </w:rPr>
        <w:t>Source: Xiaomi Corporation</w:t>
      </w:r>
      <w:r w:rsidR="009E1413" w:rsidRPr="006834CE">
        <w:rPr>
          <w:lang w:val="en-CA"/>
        </w:rPr>
        <w:t>,</w:t>
      </w:r>
      <w:r w:rsidRPr="006834CE">
        <w:rPr>
          <w:lang w:val="en-CA"/>
        </w:rPr>
        <w:t xml:space="preserve"> </w:t>
      </w:r>
      <w:r w:rsidR="009E1413" w:rsidRPr="006834CE">
        <w:rPr>
          <w:i/>
          <w:lang w:val="en-CA"/>
        </w:rPr>
        <w:t xml:space="preserve">2019 </w:t>
      </w:r>
      <w:r w:rsidRPr="006834CE">
        <w:rPr>
          <w:i/>
          <w:lang w:val="en-CA"/>
        </w:rPr>
        <w:t>Annual Report</w:t>
      </w:r>
      <w:r w:rsidR="009E1413" w:rsidRPr="006834CE">
        <w:rPr>
          <w:lang w:val="en-CA"/>
        </w:rPr>
        <w:t xml:space="preserve">, </w:t>
      </w:r>
      <w:r w:rsidR="00812770" w:rsidRPr="006834CE">
        <w:rPr>
          <w:lang w:val="en-CA"/>
        </w:rPr>
        <w:t xml:space="preserve">March 31, 2020, </w:t>
      </w:r>
      <w:r w:rsidRPr="006834CE">
        <w:rPr>
          <w:lang w:val="en-CA"/>
        </w:rPr>
        <w:t>a</w:t>
      </w:r>
      <w:r w:rsidR="00013E58" w:rsidRPr="006834CE">
        <w:rPr>
          <w:lang w:val="en-CA"/>
        </w:rPr>
        <w:t>ccessed February 8, 2021,</w:t>
      </w:r>
      <w:r w:rsidRPr="006834CE">
        <w:rPr>
          <w:lang w:val="en-CA"/>
        </w:rPr>
        <w:t xml:space="preserve"> http://cnbj1.fds.api.xiaomi.com/company/announcement/en-us/2019_AR_E.pdf</w:t>
      </w:r>
      <w:r w:rsidR="00013E58" w:rsidRPr="006834CE">
        <w:rPr>
          <w:lang w:val="en-CA"/>
        </w:rPr>
        <w:t>.</w:t>
      </w:r>
    </w:p>
    <w:p w14:paraId="1426E6AC" w14:textId="7CC60C5D" w:rsidR="004F5958" w:rsidRPr="006834CE" w:rsidRDefault="004F5958" w:rsidP="00F31580">
      <w:pPr>
        <w:pStyle w:val="Footnote"/>
        <w:rPr>
          <w:sz w:val="20"/>
          <w:szCs w:val="20"/>
          <w:lang w:val="en-CA"/>
        </w:rPr>
      </w:pPr>
    </w:p>
    <w:p w14:paraId="54D548C4" w14:textId="77777777" w:rsidR="004F5958" w:rsidRPr="006834CE" w:rsidRDefault="004F5958" w:rsidP="00F31580">
      <w:pPr>
        <w:pStyle w:val="Footnote"/>
        <w:rPr>
          <w:sz w:val="20"/>
          <w:szCs w:val="20"/>
          <w:lang w:val="en-CA"/>
        </w:rPr>
      </w:pPr>
    </w:p>
    <w:p w14:paraId="336C1FA3" w14:textId="3909F7C2" w:rsidR="004F5958" w:rsidRPr="006834CE" w:rsidRDefault="00F31580" w:rsidP="004F5958">
      <w:pPr>
        <w:pStyle w:val="ExhibitHeading"/>
        <w:rPr>
          <w:lang w:val="en-CA"/>
        </w:rPr>
      </w:pPr>
      <w:r w:rsidRPr="006834CE">
        <w:rPr>
          <w:lang w:val="en-CA"/>
        </w:rPr>
        <w:t>Exhibit 2</w:t>
      </w:r>
      <w:r w:rsidR="004F5958" w:rsidRPr="006834CE">
        <w:rPr>
          <w:lang w:val="en-CA"/>
        </w:rPr>
        <w:t xml:space="preserve">: Xiaomi </w:t>
      </w:r>
      <w:r w:rsidR="002A23A7" w:rsidRPr="006834CE">
        <w:rPr>
          <w:lang w:val="en-CA"/>
        </w:rPr>
        <w:t xml:space="preserve">Corporation </w:t>
      </w:r>
      <w:r w:rsidR="004F5958" w:rsidRPr="006834CE">
        <w:rPr>
          <w:lang w:val="en-CA"/>
        </w:rPr>
        <w:t>break</w:t>
      </w:r>
      <w:r w:rsidR="00FA7411" w:rsidRPr="006834CE">
        <w:rPr>
          <w:lang w:val="en-CA"/>
        </w:rPr>
        <w:t>down</w:t>
      </w:r>
      <w:r w:rsidR="004F5958" w:rsidRPr="006834CE">
        <w:rPr>
          <w:lang w:val="en-CA"/>
        </w:rPr>
        <w:t xml:space="preserve"> of revenues by line of business (2019)</w:t>
      </w:r>
    </w:p>
    <w:p w14:paraId="0CB1C7A1" w14:textId="77777777" w:rsidR="004F5958" w:rsidRPr="006834CE" w:rsidRDefault="004F5958" w:rsidP="00F31580">
      <w:pPr>
        <w:pStyle w:val="Footnote"/>
        <w:rPr>
          <w:sz w:val="20"/>
          <w:szCs w:val="20"/>
          <w:lang w:val="en-CA"/>
        </w:rPr>
      </w:pPr>
    </w:p>
    <w:tbl>
      <w:tblPr>
        <w:tblStyle w:val="TableGrid"/>
        <w:tblW w:w="0" w:type="auto"/>
        <w:jc w:val="center"/>
        <w:tblCellMar>
          <w:top w:w="43" w:type="dxa"/>
          <w:left w:w="115" w:type="dxa"/>
          <w:bottom w:w="43" w:type="dxa"/>
          <w:right w:w="115" w:type="dxa"/>
        </w:tblCellMar>
        <w:tblLook w:val="04A0" w:firstRow="1" w:lastRow="0" w:firstColumn="1" w:lastColumn="0" w:noHBand="0" w:noVBand="1"/>
        <w:tblCaption w:val="Exhibit 2"/>
        <w:tblDescription w:val="Xiaomi Corporation breakdown of revenues by line of business in 2019"/>
      </w:tblPr>
      <w:tblGrid>
        <w:gridCol w:w="2610"/>
        <w:gridCol w:w="1800"/>
        <w:gridCol w:w="1875"/>
      </w:tblGrid>
      <w:tr w:rsidR="004F5958" w:rsidRPr="006834CE" w14:paraId="4B04A123" w14:textId="77777777" w:rsidTr="00963D61">
        <w:trPr>
          <w:tblHeader/>
          <w:jc w:val="center"/>
        </w:trPr>
        <w:tc>
          <w:tcPr>
            <w:tcW w:w="2610" w:type="dxa"/>
          </w:tcPr>
          <w:p w14:paraId="5606912C" w14:textId="77777777" w:rsidR="004F5958" w:rsidRPr="006834CE" w:rsidRDefault="004F5958" w:rsidP="004F5958">
            <w:pPr>
              <w:pStyle w:val="ExhibitText"/>
              <w:rPr>
                <w:lang w:val="en-CA"/>
              </w:rPr>
            </w:pPr>
          </w:p>
        </w:tc>
        <w:tc>
          <w:tcPr>
            <w:tcW w:w="1800" w:type="dxa"/>
          </w:tcPr>
          <w:p w14:paraId="54FC2079" w14:textId="1F81007D" w:rsidR="004F5958" w:rsidRPr="006834CE" w:rsidRDefault="004F5958" w:rsidP="00F31580">
            <w:pPr>
              <w:pStyle w:val="ExhibitText"/>
              <w:jc w:val="center"/>
              <w:rPr>
                <w:b/>
                <w:lang w:val="en-CA"/>
              </w:rPr>
            </w:pPr>
            <w:r w:rsidRPr="006834CE">
              <w:rPr>
                <w:b/>
                <w:lang w:val="en-CA"/>
              </w:rPr>
              <w:t xml:space="preserve">Revenue </w:t>
            </w:r>
            <w:r w:rsidR="00FA7411" w:rsidRPr="006834CE">
              <w:rPr>
                <w:b/>
                <w:lang w:val="en-CA"/>
              </w:rPr>
              <w:br/>
            </w:r>
            <w:r w:rsidRPr="006834CE">
              <w:rPr>
                <w:b/>
                <w:lang w:val="en-CA"/>
              </w:rPr>
              <w:t xml:space="preserve">(in </w:t>
            </w:r>
            <w:r w:rsidR="00FA7411" w:rsidRPr="006834CE">
              <w:rPr>
                <w:b/>
                <w:lang w:val="en-CA"/>
              </w:rPr>
              <w:t>¥ M</w:t>
            </w:r>
            <w:r w:rsidRPr="006834CE">
              <w:rPr>
                <w:b/>
                <w:lang w:val="en-CA"/>
              </w:rPr>
              <w:t>illion)</w:t>
            </w:r>
          </w:p>
        </w:tc>
        <w:tc>
          <w:tcPr>
            <w:tcW w:w="1875" w:type="dxa"/>
          </w:tcPr>
          <w:p w14:paraId="54A6FACF" w14:textId="32FC7ACD" w:rsidR="00013E58" w:rsidRPr="006834CE" w:rsidRDefault="00FA7411" w:rsidP="00F31580">
            <w:pPr>
              <w:pStyle w:val="ExhibitText"/>
              <w:jc w:val="center"/>
              <w:rPr>
                <w:b/>
                <w:lang w:val="en-CA"/>
              </w:rPr>
            </w:pPr>
            <w:r w:rsidRPr="006834CE">
              <w:rPr>
                <w:b/>
                <w:lang w:val="en-CA"/>
              </w:rPr>
              <w:t>Percentage</w:t>
            </w:r>
            <w:r w:rsidR="004F5958" w:rsidRPr="006834CE">
              <w:rPr>
                <w:b/>
                <w:lang w:val="en-CA"/>
              </w:rPr>
              <w:t xml:space="preserve"> of </w:t>
            </w:r>
          </w:p>
          <w:p w14:paraId="6776937A" w14:textId="63FDF8B8" w:rsidR="004F5958" w:rsidRPr="006834CE" w:rsidRDefault="00FA7411" w:rsidP="00F31580">
            <w:pPr>
              <w:pStyle w:val="ExhibitText"/>
              <w:jc w:val="center"/>
              <w:rPr>
                <w:b/>
                <w:lang w:val="en-CA"/>
              </w:rPr>
            </w:pPr>
            <w:r w:rsidRPr="006834CE">
              <w:rPr>
                <w:b/>
                <w:lang w:val="en-CA"/>
              </w:rPr>
              <w:t>T</w:t>
            </w:r>
            <w:r w:rsidR="004F5958" w:rsidRPr="006834CE">
              <w:rPr>
                <w:b/>
                <w:lang w:val="en-CA"/>
              </w:rPr>
              <w:t xml:space="preserve">otal </w:t>
            </w:r>
            <w:r w:rsidRPr="006834CE">
              <w:rPr>
                <w:b/>
                <w:lang w:val="en-CA"/>
              </w:rPr>
              <w:t>R</w:t>
            </w:r>
            <w:r w:rsidR="004F5958" w:rsidRPr="006834CE">
              <w:rPr>
                <w:b/>
                <w:lang w:val="en-CA"/>
              </w:rPr>
              <w:t>evenue</w:t>
            </w:r>
          </w:p>
        </w:tc>
      </w:tr>
      <w:tr w:rsidR="004F5958" w:rsidRPr="006834CE" w14:paraId="0CE4FE41" w14:textId="77777777" w:rsidTr="00963D61">
        <w:trPr>
          <w:tblHeader/>
          <w:jc w:val="center"/>
        </w:trPr>
        <w:tc>
          <w:tcPr>
            <w:tcW w:w="2610" w:type="dxa"/>
          </w:tcPr>
          <w:p w14:paraId="0BA69230" w14:textId="070D86AF" w:rsidR="004F5958" w:rsidRPr="006834CE" w:rsidRDefault="004F5958" w:rsidP="004F5958">
            <w:pPr>
              <w:pStyle w:val="ExhibitText"/>
              <w:rPr>
                <w:lang w:val="en-CA"/>
              </w:rPr>
            </w:pPr>
            <w:r w:rsidRPr="006834CE">
              <w:rPr>
                <w:lang w:val="en-CA"/>
              </w:rPr>
              <w:t>Smart</w:t>
            </w:r>
            <w:r w:rsidR="00FA7411" w:rsidRPr="006834CE">
              <w:rPr>
                <w:lang w:val="en-CA"/>
              </w:rPr>
              <w:t xml:space="preserve"> </w:t>
            </w:r>
            <w:r w:rsidRPr="006834CE">
              <w:rPr>
                <w:lang w:val="en-CA"/>
              </w:rPr>
              <w:t>phones</w:t>
            </w:r>
          </w:p>
        </w:tc>
        <w:tc>
          <w:tcPr>
            <w:tcW w:w="1800" w:type="dxa"/>
          </w:tcPr>
          <w:p w14:paraId="1042E015" w14:textId="77777777" w:rsidR="004F5958" w:rsidRPr="006834CE" w:rsidRDefault="004F5958" w:rsidP="00FA7411">
            <w:pPr>
              <w:pStyle w:val="ExhibitText"/>
              <w:jc w:val="right"/>
              <w:rPr>
                <w:lang w:val="en-CA"/>
              </w:rPr>
            </w:pPr>
            <w:r w:rsidRPr="006834CE">
              <w:rPr>
                <w:lang w:val="en-CA"/>
              </w:rPr>
              <w:t xml:space="preserve">122,094.9 </w:t>
            </w:r>
          </w:p>
        </w:tc>
        <w:tc>
          <w:tcPr>
            <w:tcW w:w="1875" w:type="dxa"/>
          </w:tcPr>
          <w:p w14:paraId="709B3249" w14:textId="77777777" w:rsidR="004F5958" w:rsidRPr="006834CE" w:rsidRDefault="004F5958" w:rsidP="00FA7411">
            <w:pPr>
              <w:pStyle w:val="ExhibitText"/>
              <w:jc w:val="right"/>
              <w:rPr>
                <w:lang w:val="en-CA"/>
              </w:rPr>
            </w:pPr>
            <w:r w:rsidRPr="006834CE">
              <w:rPr>
                <w:lang w:val="en-CA"/>
              </w:rPr>
              <w:t>59.3%</w:t>
            </w:r>
          </w:p>
        </w:tc>
      </w:tr>
      <w:tr w:rsidR="004F5958" w:rsidRPr="006834CE" w14:paraId="0D4C2ECC" w14:textId="77777777" w:rsidTr="00963D61">
        <w:trPr>
          <w:tblHeader/>
          <w:jc w:val="center"/>
        </w:trPr>
        <w:tc>
          <w:tcPr>
            <w:tcW w:w="2610" w:type="dxa"/>
          </w:tcPr>
          <w:p w14:paraId="47FAAE19" w14:textId="213B8E47" w:rsidR="004F5958" w:rsidRPr="006834CE" w:rsidRDefault="004F5958" w:rsidP="004F5958">
            <w:pPr>
              <w:pStyle w:val="ExhibitText"/>
              <w:rPr>
                <w:lang w:val="en-CA"/>
              </w:rPr>
            </w:pPr>
            <w:r w:rsidRPr="006834CE">
              <w:rPr>
                <w:lang w:val="en-CA"/>
              </w:rPr>
              <w:t xml:space="preserve">IoT </w:t>
            </w:r>
            <w:r w:rsidR="00FA7411" w:rsidRPr="006834CE">
              <w:rPr>
                <w:lang w:val="en-CA"/>
              </w:rPr>
              <w:t>and l</w:t>
            </w:r>
            <w:r w:rsidRPr="006834CE">
              <w:rPr>
                <w:lang w:val="en-CA"/>
              </w:rPr>
              <w:t>ifestyle products</w:t>
            </w:r>
          </w:p>
        </w:tc>
        <w:tc>
          <w:tcPr>
            <w:tcW w:w="1800" w:type="dxa"/>
          </w:tcPr>
          <w:p w14:paraId="76F5CE8B" w14:textId="77777777" w:rsidR="004F5958" w:rsidRPr="006834CE" w:rsidRDefault="004F5958" w:rsidP="00FA7411">
            <w:pPr>
              <w:pStyle w:val="ExhibitText"/>
              <w:jc w:val="right"/>
              <w:rPr>
                <w:lang w:val="en-CA"/>
              </w:rPr>
            </w:pPr>
            <w:r w:rsidRPr="006834CE">
              <w:rPr>
                <w:lang w:val="en-CA"/>
              </w:rPr>
              <w:t xml:space="preserve">62,088.0 </w:t>
            </w:r>
          </w:p>
        </w:tc>
        <w:tc>
          <w:tcPr>
            <w:tcW w:w="1875" w:type="dxa"/>
          </w:tcPr>
          <w:p w14:paraId="4F01A60D" w14:textId="77777777" w:rsidR="004F5958" w:rsidRPr="006834CE" w:rsidRDefault="004F5958" w:rsidP="00FA7411">
            <w:pPr>
              <w:pStyle w:val="ExhibitText"/>
              <w:jc w:val="right"/>
              <w:rPr>
                <w:lang w:val="en-CA"/>
              </w:rPr>
            </w:pPr>
            <w:r w:rsidRPr="006834CE">
              <w:rPr>
                <w:lang w:val="en-CA"/>
              </w:rPr>
              <w:t>30.2%</w:t>
            </w:r>
          </w:p>
        </w:tc>
      </w:tr>
      <w:tr w:rsidR="004F5958" w:rsidRPr="006834CE" w14:paraId="31C913E4" w14:textId="77777777" w:rsidTr="00963D61">
        <w:trPr>
          <w:tblHeader/>
          <w:jc w:val="center"/>
        </w:trPr>
        <w:tc>
          <w:tcPr>
            <w:tcW w:w="2610" w:type="dxa"/>
          </w:tcPr>
          <w:p w14:paraId="3EABF511" w14:textId="77777777" w:rsidR="004F5958" w:rsidRPr="006834CE" w:rsidRDefault="004F5958" w:rsidP="004F5958">
            <w:pPr>
              <w:pStyle w:val="ExhibitText"/>
              <w:rPr>
                <w:lang w:val="en-CA"/>
              </w:rPr>
            </w:pPr>
            <w:r w:rsidRPr="006834CE">
              <w:rPr>
                <w:lang w:val="en-CA"/>
              </w:rPr>
              <w:t>Internet services</w:t>
            </w:r>
          </w:p>
        </w:tc>
        <w:tc>
          <w:tcPr>
            <w:tcW w:w="1800" w:type="dxa"/>
          </w:tcPr>
          <w:p w14:paraId="65E5666A" w14:textId="77777777" w:rsidR="004F5958" w:rsidRPr="006834CE" w:rsidRDefault="004F5958" w:rsidP="00FA7411">
            <w:pPr>
              <w:pStyle w:val="ExhibitText"/>
              <w:jc w:val="right"/>
              <w:rPr>
                <w:lang w:val="en-CA"/>
              </w:rPr>
            </w:pPr>
            <w:r w:rsidRPr="006834CE">
              <w:rPr>
                <w:lang w:val="en-CA"/>
              </w:rPr>
              <w:t xml:space="preserve">19,841.6 </w:t>
            </w:r>
          </w:p>
        </w:tc>
        <w:tc>
          <w:tcPr>
            <w:tcW w:w="1875" w:type="dxa"/>
          </w:tcPr>
          <w:p w14:paraId="2C96D729" w14:textId="77777777" w:rsidR="004F5958" w:rsidRPr="006834CE" w:rsidRDefault="004F5958" w:rsidP="00FA7411">
            <w:pPr>
              <w:pStyle w:val="ExhibitText"/>
              <w:jc w:val="right"/>
              <w:rPr>
                <w:lang w:val="en-CA"/>
              </w:rPr>
            </w:pPr>
            <w:r w:rsidRPr="006834CE">
              <w:rPr>
                <w:lang w:val="en-CA"/>
              </w:rPr>
              <w:t>9.6%</w:t>
            </w:r>
          </w:p>
        </w:tc>
      </w:tr>
      <w:tr w:rsidR="004F5958" w:rsidRPr="006834CE" w14:paraId="5F5B5666" w14:textId="77777777" w:rsidTr="00963D61">
        <w:trPr>
          <w:tblHeader/>
          <w:jc w:val="center"/>
        </w:trPr>
        <w:tc>
          <w:tcPr>
            <w:tcW w:w="2610" w:type="dxa"/>
          </w:tcPr>
          <w:p w14:paraId="0A0CDD0F" w14:textId="77777777" w:rsidR="004F5958" w:rsidRPr="006834CE" w:rsidRDefault="004F5958" w:rsidP="004F5958">
            <w:pPr>
              <w:pStyle w:val="ExhibitText"/>
              <w:rPr>
                <w:lang w:val="en-CA"/>
              </w:rPr>
            </w:pPr>
            <w:r w:rsidRPr="006834CE">
              <w:rPr>
                <w:lang w:val="en-CA"/>
              </w:rPr>
              <w:t>Others</w:t>
            </w:r>
          </w:p>
        </w:tc>
        <w:tc>
          <w:tcPr>
            <w:tcW w:w="1800" w:type="dxa"/>
          </w:tcPr>
          <w:p w14:paraId="2A894A03" w14:textId="77777777" w:rsidR="004F5958" w:rsidRPr="006834CE" w:rsidRDefault="004F5958" w:rsidP="00FA7411">
            <w:pPr>
              <w:pStyle w:val="ExhibitText"/>
              <w:jc w:val="right"/>
              <w:rPr>
                <w:lang w:val="en-CA"/>
              </w:rPr>
            </w:pPr>
            <w:r w:rsidRPr="006834CE">
              <w:rPr>
                <w:lang w:val="en-CA"/>
              </w:rPr>
              <w:t xml:space="preserve">1,814.2 </w:t>
            </w:r>
          </w:p>
        </w:tc>
        <w:tc>
          <w:tcPr>
            <w:tcW w:w="1875" w:type="dxa"/>
          </w:tcPr>
          <w:p w14:paraId="6FE92C74" w14:textId="77777777" w:rsidR="004F5958" w:rsidRPr="006834CE" w:rsidRDefault="004F5958" w:rsidP="00FA7411">
            <w:pPr>
              <w:pStyle w:val="ExhibitText"/>
              <w:jc w:val="right"/>
              <w:rPr>
                <w:lang w:val="en-CA"/>
              </w:rPr>
            </w:pPr>
            <w:r w:rsidRPr="006834CE">
              <w:rPr>
                <w:lang w:val="en-CA"/>
              </w:rPr>
              <w:t>0.9%</w:t>
            </w:r>
          </w:p>
        </w:tc>
      </w:tr>
      <w:tr w:rsidR="004F5958" w:rsidRPr="006834CE" w14:paraId="3894DFA2" w14:textId="77777777" w:rsidTr="00963D61">
        <w:trPr>
          <w:tblHeader/>
          <w:jc w:val="center"/>
        </w:trPr>
        <w:tc>
          <w:tcPr>
            <w:tcW w:w="2610" w:type="dxa"/>
          </w:tcPr>
          <w:p w14:paraId="4E0E756C" w14:textId="77777777" w:rsidR="004F5958" w:rsidRPr="006834CE" w:rsidRDefault="004F5958" w:rsidP="004F5958">
            <w:pPr>
              <w:pStyle w:val="ExhibitText"/>
              <w:rPr>
                <w:lang w:val="en-CA"/>
              </w:rPr>
            </w:pPr>
            <w:r w:rsidRPr="006834CE">
              <w:rPr>
                <w:lang w:val="en-CA"/>
              </w:rPr>
              <w:t>Total</w:t>
            </w:r>
          </w:p>
        </w:tc>
        <w:tc>
          <w:tcPr>
            <w:tcW w:w="1800" w:type="dxa"/>
          </w:tcPr>
          <w:p w14:paraId="1BBB9F6E" w14:textId="77777777" w:rsidR="004F5958" w:rsidRPr="006834CE" w:rsidRDefault="004F5958" w:rsidP="00FA7411">
            <w:pPr>
              <w:pStyle w:val="ExhibitText"/>
              <w:jc w:val="right"/>
              <w:rPr>
                <w:lang w:val="en-CA"/>
              </w:rPr>
            </w:pPr>
            <w:r w:rsidRPr="006834CE">
              <w:rPr>
                <w:lang w:val="en-CA"/>
              </w:rPr>
              <w:t xml:space="preserve">205,838.7 </w:t>
            </w:r>
          </w:p>
        </w:tc>
        <w:tc>
          <w:tcPr>
            <w:tcW w:w="1875" w:type="dxa"/>
          </w:tcPr>
          <w:p w14:paraId="07E007B8" w14:textId="77777777" w:rsidR="004F5958" w:rsidRPr="006834CE" w:rsidRDefault="004F5958" w:rsidP="00FA7411">
            <w:pPr>
              <w:pStyle w:val="ExhibitText"/>
              <w:jc w:val="right"/>
              <w:rPr>
                <w:lang w:val="en-CA"/>
              </w:rPr>
            </w:pPr>
            <w:r w:rsidRPr="006834CE">
              <w:rPr>
                <w:lang w:val="en-CA"/>
              </w:rPr>
              <w:t>100.0%</w:t>
            </w:r>
          </w:p>
        </w:tc>
      </w:tr>
    </w:tbl>
    <w:p w14:paraId="6A01A6F5" w14:textId="77777777" w:rsidR="004F5958" w:rsidRPr="006834CE" w:rsidRDefault="004F5958" w:rsidP="00F31580">
      <w:pPr>
        <w:pStyle w:val="Footnote"/>
        <w:rPr>
          <w:sz w:val="20"/>
          <w:szCs w:val="20"/>
          <w:lang w:val="en-CA"/>
        </w:rPr>
      </w:pPr>
    </w:p>
    <w:p w14:paraId="5B2EC84B" w14:textId="770900F1" w:rsidR="00FA7411" w:rsidRPr="006834CE" w:rsidRDefault="00FA7411" w:rsidP="004F5958">
      <w:pPr>
        <w:pStyle w:val="Footnote"/>
        <w:rPr>
          <w:lang w:val="en-CA"/>
        </w:rPr>
      </w:pPr>
      <w:r w:rsidRPr="006834CE">
        <w:rPr>
          <w:lang w:val="en-CA"/>
        </w:rPr>
        <w:t>Note: ¥ = RMB = Chinese yuan renminbi; IoT = Internet of Things</w:t>
      </w:r>
      <w:r w:rsidR="008E0A10">
        <w:rPr>
          <w:lang w:val="en-CA"/>
        </w:rPr>
        <w:t>.</w:t>
      </w:r>
    </w:p>
    <w:p w14:paraId="42540FC3" w14:textId="218BEA25" w:rsidR="004F5958" w:rsidRPr="006834CE" w:rsidRDefault="004F5958" w:rsidP="004F5958">
      <w:pPr>
        <w:pStyle w:val="Footnote"/>
        <w:rPr>
          <w:lang w:val="en-CA"/>
        </w:rPr>
      </w:pPr>
      <w:r w:rsidRPr="006834CE">
        <w:rPr>
          <w:lang w:val="en-CA"/>
        </w:rPr>
        <w:t>Source: Xiaomi Corporation</w:t>
      </w:r>
      <w:r w:rsidR="009E1413" w:rsidRPr="006834CE">
        <w:rPr>
          <w:lang w:val="en-CA"/>
        </w:rPr>
        <w:t>,</w:t>
      </w:r>
      <w:r w:rsidRPr="006834CE">
        <w:rPr>
          <w:lang w:val="en-CA"/>
        </w:rPr>
        <w:t xml:space="preserve"> </w:t>
      </w:r>
      <w:r w:rsidR="009E1413" w:rsidRPr="006834CE">
        <w:rPr>
          <w:i/>
          <w:lang w:val="en-CA"/>
        </w:rPr>
        <w:t xml:space="preserve">2019 </w:t>
      </w:r>
      <w:r w:rsidRPr="006834CE">
        <w:rPr>
          <w:i/>
          <w:lang w:val="en-CA"/>
        </w:rPr>
        <w:t>Annual Report</w:t>
      </w:r>
      <w:r w:rsidR="009E1413" w:rsidRPr="006834CE">
        <w:rPr>
          <w:lang w:val="en-CA"/>
        </w:rPr>
        <w:t xml:space="preserve">, </w:t>
      </w:r>
      <w:r w:rsidR="00812770" w:rsidRPr="006834CE">
        <w:rPr>
          <w:lang w:val="en-CA"/>
        </w:rPr>
        <w:t xml:space="preserve">March 31, 2020, </w:t>
      </w:r>
      <w:r w:rsidR="009E1413" w:rsidRPr="006834CE">
        <w:rPr>
          <w:lang w:val="en-CA"/>
        </w:rPr>
        <w:t xml:space="preserve">accessed February 8, 2021, </w:t>
      </w:r>
      <w:r w:rsidRPr="006834CE">
        <w:rPr>
          <w:lang w:val="en-CA"/>
        </w:rPr>
        <w:t>http://cnbj1.fds.api.xiaomi.com/company/announcement/en-us/2019_AR_E.pdf</w:t>
      </w:r>
      <w:r w:rsidR="009E1413" w:rsidRPr="006834CE">
        <w:rPr>
          <w:lang w:val="en-CA"/>
        </w:rPr>
        <w:t>.</w:t>
      </w:r>
    </w:p>
    <w:p w14:paraId="2DED7160" w14:textId="407B61AC" w:rsidR="004F5958" w:rsidRPr="006834CE" w:rsidRDefault="004F5958" w:rsidP="00F31580">
      <w:pPr>
        <w:pStyle w:val="Footnote"/>
        <w:rPr>
          <w:sz w:val="20"/>
          <w:szCs w:val="20"/>
          <w:lang w:val="en-CA"/>
        </w:rPr>
      </w:pPr>
    </w:p>
    <w:p w14:paraId="585ED348" w14:textId="77777777" w:rsidR="004F5958" w:rsidRPr="006834CE" w:rsidRDefault="004F5958" w:rsidP="00F31580">
      <w:pPr>
        <w:pStyle w:val="Footnote"/>
        <w:rPr>
          <w:sz w:val="20"/>
          <w:szCs w:val="20"/>
          <w:lang w:val="en-CA"/>
        </w:rPr>
      </w:pPr>
    </w:p>
    <w:p w14:paraId="092338EF" w14:textId="3264A4F9" w:rsidR="004F5958" w:rsidRPr="006834CE" w:rsidRDefault="004F5958" w:rsidP="004F5958">
      <w:pPr>
        <w:pStyle w:val="ExhibitHeading"/>
        <w:rPr>
          <w:lang w:val="en-CA"/>
        </w:rPr>
      </w:pPr>
      <w:r w:rsidRPr="006834CE">
        <w:rPr>
          <w:lang w:val="en-CA"/>
        </w:rPr>
        <w:t xml:space="preserve">Exhibit </w:t>
      </w:r>
      <w:r w:rsidR="00F31580" w:rsidRPr="006834CE">
        <w:rPr>
          <w:lang w:val="en-CA"/>
        </w:rPr>
        <w:t>3</w:t>
      </w:r>
      <w:r w:rsidRPr="006834CE">
        <w:rPr>
          <w:lang w:val="en-CA"/>
        </w:rPr>
        <w:t>: Break</w:t>
      </w:r>
      <w:r w:rsidR="00FE6B67" w:rsidRPr="006834CE">
        <w:rPr>
          <w:lang w:val="en-CA"/>
        </w:rPr>
        <w:t>down</w:t>
      </w:r>
      <w:r w:rsidRPr="006834CE">
        <w:rPr>
          <w:lang w:val="en-CA"/>
        </w:rPr>
        <w:t xml:space="preserve"> of mobile phone volumes by category (in </w:t>
      </w:r>
      <w:r w:rsidR="00FA7411" w:rsidRPr="006834CE">
        <w:rPr>
          <w:lang w:val="en-CA"/>
        </w:rPr>
        <w:t>Thousand</w:t>
      </w:r>
      <w:r w:rsidRPr="006834CE">
        <w:rPr>
          <w:lang w:val="en-CA"/>
        </w:rPr>
        <w:t xml:space="preserve"> units)</w:t>
      </w:r>
    </w:p>
    <w:p w14:paraId="4FAE1CED" w14:textId="77777777" w:rsidR="004F5958" w:rsidRPr="006834CE" w:rsidRDefault="004F5958" w:rsidP="00F31580">
      <w:pPr>
        <w:pStyle w:val="Footnote"/>
        <w:rPr>
          <w:sz w:val="20"/>
          <w:szCs w:val="20"/>
          <w:lang w:val="en-CA"/>
        </w:rPr>
      </w:pPr>
    </w:p>
    <w:tbl>
      <w:tblPr>
        <w:tblStyle w:val="TableGrid"/>
        <w:tblW w:w="0" w:type="auto"/>
        <w:jc w:val="center"/>
        <w:tblCellMar>
          <w:top w:w="43" w:type="dxa"/>
          <w:left w:w="115" w:type="dxa"/>
          <w:bottom w:w="43" w:type="dxa"/>
          <w:right w:w="115" w:type="dxa"/>
        </w:tblCellMar>
        <w:tblLook w:val="04A0" w:firstRow="1" w:lastRow="0" w:firstColumn="1" w:lastColumn="0" w:noHBand="0" w:noVBand="1"/>
        <w:tblCaption w:val="Exhibit 3"/>
        <w:tblDescription w:val="Breakdown of mobile phone volumes by category (in thousand units)"/>
      </w:tblPr>
      <w:tblGrid>
        <w:gridCol w:w="1800"/>
        <w:gridCol w:w="1155"/>
        <w:gridCol w:w="1120"/>
        <w:gridCol w:w="1152"/>
        <w:gridCol w:w="1120"/>
        <w:gridCol w:w="1190"/>
      </w:tblGrid>
      <w:tr w:rsidR="004F5958" w:rsidRPr="006834CE" w14:paraId="7A5D63B7" w14:textId="77777777" w:rsidTr="00963D61">
        <w:trPr>
          <w:tblHeader/>
          <w:jc w:val="center"/>
        </w:trPr>
        <w:tc>
          <w:tcPr>
            <w:tcW w:w="1800" w:type="dxa"/>
          </w:tcPr>
          <w:p w14:paraId="274BE020" w14:textId="77777777" w:rsidR="004F5958" w:rsidRPr="006834CE" w:rsidRDefault="004F5958" w:rsidP="004F5958">
            <w:pPr>
              <w:pStyle w:val="ExhibitText"/>
              <w:rPr>
                <w:lang w:val="en-CA"/>
              </w:rPr>
            </w:pPr>
          </w:p>
        </w:tc>
        <w:tc>
          <w:tcPr>
            <w:tcW w:w="1155" w:type="dxa"/>
          </w:tcPr>
          <w:p w14:paraId="24E1E10D" w14:textId="77777777" w:rsidR="004F5958" w:rsidRPr="006834CE" w:rsidRDefault="004F5958" w:rsidP="00F31580">
            <w:pPr>
              <w:pStyle w:val="ExhibitText"/>
              <w:jc w:val="center"/>
              <w:rPr>
                <w:b/>
                <w:lang w:val="en-CA"/>
              </w:rPr>
            </w:pPr>
            <w:r w:rsidRPr="006834CE">
              <w:rPr>
                <w:b/>
                <w:lang w:val="en-CA"/>
              </w:rPr>
              <w:t>2015</w:t>
            </w:r>
          </w:p>
        </w:tc>
        <w:tc>
          <w:tcPr>
            <w:tcW w:w="1096" w:type="dxa"/>
          </w:tcPr>
          <w:p w14:paraId="088376C2" w14:textId="77777777" w:rsidR="004F5958" w:rsidRPr="006834CE" w:rsidRDefault="004F5958" w:rsidP="00F31580">
            <w:pPr>
              <w:pStyle w:val="ExhibitText"/>
              <w:jc w:val="center"/>
              <w:rPr>
                <w:b/>
                <w:lang w:val="en-CA"/>
              </w:rPr>
            </w:pPr>
            <w:r w:rsidRPr="006834CE">
              <w:rPr>
                <w:b/>
                <w:lang w:val="en-CA"/>
              </w:rPr>
              <w:t>2016</w:t>
            </w:r>
          </w:p>
        </w:tc>
        <w:tc>
          <w:tcPr>
            <w:tcW w:w="1152" w:type="dxa"/>
          </w:tcPr>
          <w:p w14:paraId="366FAB72" w14:textId="77777777" w:rsidR="004F5958" w:rsidRPr="006834CE" w:rsidRDefault="004F5958" w:rsidP="00F31580">
            <w:pPr>
              <w:pStyle w:val="ExhibitText"/>
              <w:jc w:val="center"/>
              <w:rPr>
                <w:b/>
                <w:lang w:val="en-CA"/>
              </w:rPr>
            </w:pPr>
            <w:r w:rsidRPr="006834CE">
              <w:rPr>
                <w:b/>
                <w:lang w:val="en-CA"/>
              </w:rPr>
              <w:t>2017</w:t>
            </w:r>
          </w:p>
        </w:tc>
        <w:tc>
          <w:tcPr>
            <w:tcW w:w="1098" w:type="dxa"/>
          </w:tcPr>
          <w:p w14:paraId="75110C61" w14:textId="77777777" w:rsidR="004F5958" w:rsidRPr="006834CE" w:rsidRDefault="004F5958" w:rsidP="00F31580">
            <w:pPr>
              <w:pStyle w:val="ExhibitText"/>
              <w:jc w:val="center"/>
              <w:rPr>
                <w:b/>
                <w:lang w:val="en-CA"/>
              </w:rPr>
            </w:pPr>
            <w:r w:rsidRPr="006834CE">
              <w:rPr>
                <w:b/>
                <w:lang w:val="en-CA"/>
              </w:rPr>
              <w:t>2018</w:t>
            </w:r>
          </w:p>
        </w:tc>
        <w:tc>
          <w:tcPr>
            <w:tcW w:w="1190" w:type="dxa"/>
          </w:tcPr>
          <w:p w14:paraId="2A14C885" w14:textId="77777777" w:rsidR="004F5958" w:rsidRPr="006834CE" w:rsidRDefault="004F5958" w:rsidP="00F31580">
            <w:pPr>
              <w:pStyle w:val="ExhibitText"/>
              <w:jc w:val="center"/>
              <w:rPr>
                <w:b/>
                <w:lang w:val="en-CA"/>
              </w:rPr>
            </w:pPr>
            <w:r w:rsidRPr="006834CE">
              <w:rPr>
                <w:b/>
                <w:lang w:val="en-CA"/>
              </w:rPr>
              <w:t>2019</w:t>
            </w:r>
          </w:p>
        </w:tc>
      </w:tr>
      <w:tr w:rsidR="004F5958" w:rsidRPr="006834CE" w14:paraId="0FAD6ED3" w14:textId="77777777" w:rsidTr="00963D61">
        <w:trPr>
          <w:tblHeader/>
          <w:jc w:val="center"/>
        </w:trPr>
        <w:tc>
          <w:tcPr>
            <w:tcW w:w="1800" w:type="dxa"/>
          </w:tcPr>
          <w:p w14:paraId="6BC755AB" w14:textId="77777777" w:rsidR="004F5958" w:rsidRPr="006834CE" w:rsidRDefault="004F5958" w:rsidP="004F5958">
            <w:pPr>
              <w:pStyle w:val="ExhibitText"/>
              <w:rPr>
                <w:lang w:val="en-CA"/>
              </w:rPr>
            </w:pPr>
            <w:r w:rsidRPr="006834CE">
              <w:rPr>
                <w:lang w:val="en-CA"/>
              </w:rPr>
              <w:t>Feature Phones</w:t>
            </w:r>
          </w:p>
        </w:tc>
        <w:tc>
          <w:tcPr>
            <w:tcW w:w="1155" w:type="dxa"/>
          </w:tcPr>
          <w:p w14:paraId="592E7A6E" w14:textId="77777777" w:rsidR="004F5958" w:rsidRPr="006834CE" w:rsidRDefault="004F5958" w:rsidP="004F5958">
            <w:pPr>
              <w:pStyle w:val="ExhibitText"/>
              <w:rPr>
                <w:lang w:val="en-CA"/>
              </w:rPr>
            </w:pPr>
            <w:r w:rsidRPr="006834CE">
              <w:rPr>
                <w:lang w:val="en-CA"/>
              </w:rPr>
              <w:t>129,101.5</w:t>
            </w:r>
          </w:p>
        </w:tc>
        <w:tc>
          <w:tcPr>
            <w:tcW w:w="1096" w:type="dxa"/>
          </w:tcPr>
          <w:p w14:paraId="671BAACC" w14:textId="77777777" w:rsidR="004F5958" w:rsidRPr="006834CE" w:rsidRDefault="004F5958" w:rsidP="004F5958">
            <w:pPr>
              <w:pStyle w:val="ExhibitText"/>
              <w:rPr>
                <w:lang w:val="en-CA"/>
              </w:rPr>
            </w:pPr>
            <w:r w:rsidRPr="006834CE">
              <w:rPr>
                <w:lang w:val="en-CA"/>
              </w:rPr>
              <w:t>109,200.1</w:t>
            </w:r>
          </w:p>
        </w:tc>
        <w:tc>
          <w:tcPr>
            <w:tcW w:w="1152" w:type="dxa"/>
          </w:tcPr>
          <w:p w14:paraId="2B742FF9" w14:textId="77777777" w:rsidR="004F5958" w:rsidRPr="006834CE" w:rsidRDefault="004F5958" w:rsidP="004F5958">
            <w:pPr>
              <w:pStyle w:val="ExhibitText"/>
              <w:rPr>
                <w:lang w:val="en-CA"/>
              </w:rPr>
            </w:pPr>
            <w:r w:rsidRPr="006834CE">
              <w:rPr>
                <w:lang w:val="en-CA"/>
              </w:rPr>
              <w:t>140,146.2</w:t>
            </w:r>
          </w:p>
        </w:tc>
        <w:tc>
          <w:tcPr>
            <w:tcW w:w="1098" w:type="dxa"/>
          </w:tcPr>
          <w:p w14:paraId="23613176" w14:textId="77777777" w:rsidR="004F5958" w:rsidRPr="006834CE" w:rsidRDefault="004F5958" w:rsidP="004F5958">
            <w:pPr>
              <w:pStyle w:val="ExhibitText"/>
              <w:rPr>
                <w:lang w:val="en-CA"/>
              </w:rPr>
            </w:pPr>
            <w:r w:rsidRPr="006834CE">
              <w:rPr>
                <w:lang w:val="en-CA"/>
              </w:rPr>
              <w:t>151,592.8</w:t>
            </w:r>
          </w:p>
        </w:tc>
        <w:tc>
          <w:tcPr>
            <w:tcW w:w="1190" w:type="dxa"/>
          </w:tcPr>
          <w:p w14:paraId="62B332B7" w14:textId="77777777" w:rsidR="004F5958" w:rsidRPr="006834CE" w:rsidRDefault="004F5958" w:rsidP="004F5958">
            <w:pPr>
              <w:pStyle w:val="ExhibitText"/>
              <w:rPr>
                <w:lang w:val="en-CA"/>
              </w:rPr>
            </w:pPr>
            <w:r w:rsidRPr="006834CE">
              <w:rPr>
                <w:lang w:val="en-CA"/>
              </w:rPr>
              <w:t>133,795.0</w:t>
            </w:r>
          </w:p>
        </w:tc>
      </w:tr>
      <w:tr w:rsidR="004F5958" w:rsidRPr="006834CE" w14:paraId="169A2FAC" w14:textId="77777777" w:rsidTr="00963D61">
        <w:trPr>
          <w:tblHeader/>
          <w:jc w:val="center"/>
        </w:trPr>
        <w:tc>
          <w:tcPr>
            <w:tcW w:w="1800" w:type="dxa"/>
          </w:tcPr>
          <w:p w14:paraId="0B814E0D" w14:textId="5A19B9CD" w:rsidR="004F5958" w:rsidRPr="006834CE" w:rsidRDefault="004F5958" w:rsidP="004F5958">
            <w:pPr>
              <w:pStyle w:val="ExhibitText"/>
              <w:rPr>
                <w:lang w:val="en-CA"/>
              </w:rPr>
            </w:pPr>
            <w:r w:rsidRPr="006834CE">
              <w:rPr>
                <w:lang w:val="en-CA"/>
              </w:rPr>
              <w:t>Smart</w:t>
            </w:r>
            <w:r w:rsidR="009E1413" w:rsidRPr="006834CE">
              <w:rPr>
                <w:lang w:val="en-CA"/>
              </w:rPr>
              <w:t xml:space="preserve"> P</w:t>
            </w:r>
            <w:r w:rsidRPr="006834CE">
              <w:rPr>
                <w:lang w:val="en-CA"/>
              </w:rPr>
              <w:t>hones</w:t>
            </w:r>
          </w:p>
        </w:tc>
        <w:tc>
          <w:tcPr>
            <w:tcW w:w="1155" w:type="dxa"/>
          </w:tcPr>
          <w:p w14:paraId="7A9C0171" w14:textId="77777777" w:rsidR="004F5958" w:rsidRPr="006834CE" w:rsidRDefault="004F5958" w:rsidP="004F5958">
            <w:pPr>
              <w:pStyle w:val="ExhibitText"/>
              <w:rPr>
                <w:lang w:val="en-CA"/>
              </w:rPr>
            </w:pPr>
            <w:r w:rsidRPr="006834CE">
              <w:rPr>
                <w:lang w:val="en-CA"/>
              </w:rPr>
              <w:t>105,628.5</w:t>
            </w:r>
          </w:p>
        </w:tc>
        <w:tc>
          <w:tcPr>
            <w:tcW w:w="1096" w:type="dxa"/>
          </w:tcPr>
          <w:p w14:paraId="4DF03925" w14:textId="77777777" w:rsidR="004F5958" w:rsidRPr="006834CE" w:rsidRDefault="004F5958" w:rsidP="004F5958">
            <w:pPr>
              <w:pStyle w:val="ExhibitText"/>
              <w:rPr>
                <w:lang w:val="en-CA"/>
              </w:rPr>
            </w:pPr>
            <w:r w:rsidRPr="006834CE">
              <w:rPr>
                <w:lang w:val="en-CA"/>
              </w:rPr>
              <w:t>118,300.1</w:t>
            </w:r>
          </w:p>
        </w:tc>
        <w:tc>
          <w:tcPr>
            <w:tcW w:w="1152" w:type="dxa"/>
          </w:tcPr>
          <w:p w14:paraId="13CD2C44" w14:textId="77777777" w:rsidR="004F5958" w:rsidRPr="006834CE" w:rsidRDefault="004F5958" w:rsidP="004F5958">
            <w:pPr>
              <w:pStyle w:val="ExhibitText"/>
              <w:rPr>
                <w:lang w:val="en-CA"/>
              </w:rPr>
            </w:pPr>
            <w:r w:rsidRPr="006834CE">
              <w:rPr>
                <w:lang w:val="en-CA"/>
              </w:rPr>
              <w:t>130,958.2</w:t>
            </w:r>
          </w:p>
        </w:tc>
        <w:tc>
          <w:tcPr>
            <w:tcW w:w="1098" w:type="dxa"/>
          </w:tcPr>
          <w:p w14:paraId="4127EECA" w14:textId="77777777" w:rsidR="004F5958" w:rsidRPr="006834CE" w:rsidRDefault="004F5958" w:rsidP="004F5958">
            <w:pPr>
              <w:pStyle w:val="ExhibitText"/>
              <w:rPr>
                <w:lang w:val="en-CA"/>
              </w:rPr>
            </w:pPr>
            <w:r w:rsidRPr="006834CE">
              <w:rPr>
                <w:lang w:val="en-CA"/>
              </w:rPr>
              <w:t>144,315.9</w:t>
            </w:r>
          </w:p>
        </w:tc>
        <w:tc>
          <w:tcPr>
            <w:tcW w:w="1190" w:type="dxa"/>
          </w:tcPr>
          <w:p w14:paraId="34009D2A" w14:textId="77777777" w:rsidR="004F5958" w:rsidRPr="006834CE" w:rsidRDefault="004F5958" w:rsidP="004F5958">
            <w:pPr>
              <w:pStyle w:val="ExhibitText"/>
              <w:rPr>
                <w:lang w:val="en-CA"/>
              </w:rPr>
            </w:pPr>
            <w:r w:rsidRPr="006834CE">
              <w:rPr>
                <w:lang w:val="en-CA"/>
              </w:rPr>
              <w:t>154,551.1</w:t>
            </w:r>
          </w:p>
        </w:tc>
      </w:tr>
      <w:tr w:rsidR="004F5958" w:rsidRPr="006834CE" w14:paraId="7E98DBD7" w14:textId="77777777" w:rsidTr="00963D61">
        <w:trPr>
          <w:tblHeader/>
          <w:jc w:val="center"/>
        </w:trPr>
        <w:tc>
          <w:tcPr>
            <w:tcW w:w="1800" w:type="dxa"/>
          </w:tcPr>
          <w:p w14:paraId="3423A40A" w14:textId="77777777" w:rsidR="004F5958" w:rsidRPr="006834CE" w:rsidRDefault="004F5958" w:rsidP="004F5958">
            <w:pPr>
              <w:pStyle w:val="ExhibitText"/>
              <w:rPr>
                <w:lang w:val="en-CA"/>
              </w:rPr>
            </w:pPr>
            <w:r w:rsidRPr="006834CE">
              <w:rPr>
                <w:lang w:val="en-CA"/>
              </w:rPr>
              <w:t>Mobile Phones</w:t>
            </w:r>
          </w:p>
        </w:tc>
        <w:tc>
          <w:tcPr>
            <w:tcW w:w="1155" w:type="dxa"/>
          </w:tcPr>
          <w:p w14:paraId="5658E335" w14:textId="77777777" w:rsidR="004F5958" w:rsidRPr="006834CE" w:rsidRDefault="004F5958" w:rsidP="004F5958">
            <w:pPr>
              <w:pStyle w:val="ExhibitText"/>
              <w:rPr>
                <w:lang w:val="en-CA"/>
              </w:rPr>
            </w:pPr>
            <w:r w:rsidRPr="006834CE">
              <w:rPr>
                <w:lang w:val="en-CA"/>
              </w:rPr>
              <w:t>234,729.9</w:t>
            </w:r>
          </w:p>
        </w:tc>
        <w:tc>
          <w:tcPr>
            <w:tcW w:w="1096" w:type="dxa"/>
          </w:tcPr>
          <w:p w14:paraId="2B113E59" w14:textId="77777777" w:rsidR="004F5958" w:rsidRPr="006834CE" w:rsidRDefault="004F5958" w:rsidP="004F5958">
            <w:pPr>
              <w:pStyle w:val="ExhibitText"/>
              <w:rPr>
                <w:lang w:val="en-CA"/>
              </w:rPr>
            </w:pPr>
            <w:r w:rsidRPr="006834CE">
              <w:rPr>
                <w:lang w:val="en-CA"/>
              </w:rPr>
              <w:t>227,500.1</w:t>
            </w:r>
          </w:p>
        </w:tc>
        <w:tc>
          <w:tcPr>
            <w:tcW w:w="1152" w:type="dxa"/>
          </w:tcPr>
          <w:p w14:paraId="4F91AADB" w14:textId="77777777" w:rsidR="004F5958" w:rsidRPr="006834CE" w:rsidRDefault="004F5958" w:rsidP="004F5958">
            <w:pPr>
              <w:pStyle w:val="ExhibitText"/>
              <w:rPr>
                <w:lang w:val="en-CA"/>
              </w:rPr>
            </w:pPr>
            <w:r w:rsidRPr="006834CE">
              <w:rPr>
                <w:lang w:val="en-CA"/>
              </w:rPr>
              <w:t>271,104.3</w:t>
            </w:r>
          </w:p>
        </w:tc>
        <w:tc>
          <w:tcPr>
            <w:tcW w:w="1098" w:type="dxa"/>
          </w:tcPr>
          <w:p w14:paraId="22547B30" w14:textId="77777777" w:rsidR="004F5958" w:rsidRPr="006834CE" w:rsidRDefault="004F5958" w:rsidP="004F5958">
            <w:pPr>
              <w:pStyle w:val="ExhibitText"/>
              <w:rPr>
                <w:lang w:val="en-CA"/>
              </w:rPr>
            </w:pPr>
            <w:r w:rsidRPr="006834CE">
              <w:rPr>
                <w:lang w:val="en-CA"/>
              </w:rPr>
              <w:t>295,908.7</w:t>
            </w:r>
          </w:p>
        </w:tc>
        <w:tc>
          <w:tcPr>
            <w:tcW w:w="1190" w:type="dxa"/>
          </w:tcPr>
          <w:p w14:paraId="1E069BEF" w14:textId="77777777" w:rsidR="004F5958" w:rsidRPr="006834CE" w:rsidRDefault="004F5958" w:rsidP="004F5958">
            <w:pPr>
              <w:pStyle w:val="ExhibitText"/>
              <w:rPr>
                <w:lang w:val="en-CA"/>
              </w:rPr>
            </w:pPr>
            <w:r w:rsidRPr="006834CE">
              <w:rPr>
                <w:lang w:val="en-CA"/>
              </w:rPr>
              <w:t>288,346.1</w:t>
            </w:r>
          </w:p>
        </w:tc>
      </w:tr>
    </w:tbl>
    <w:p w14:paraId="330F408C" w14:textId="77777777" w:rsidR="004F5958" w:rsidRPr="006834CE" w:rsidRDefault="004F5958" w:rsidP="00F31580">
      <w:pPr>
        <w:pStyle w:val="Footnote"/>
        <w:rPr>
          <w:sz w:val="20"/>
          <w:szCs w:val="20"/>
          <w:lang w:val="en-CA"/>
        </w:rPr>
      </w:pPr>
    </w:p>
    <w:p w14:paraId="1847C451" w14:textId="3841AFFE" w:rsidR="00C05CB5" w:rsidRPr="006834CE" w:rsidRDefault="004F5958" w:rsidP="00C05CB5">
      <w:pPr>
        <w:pStyle w:val="Footnote"/>
        <w:rPr>
          <w:lang w:val="en-CA"/>
        </w:rPr>
      </w:pPr>
      <w:r w:rsidRPr="006834CE">
        <w:rPr>
          <w:lang w:val="en-CA"/>
        </w:rPr>
        <w:t>Source:</w:t>
      </w:r>
      <w:r w:rsidR="00C40F67" w:rsidRPr="006834CE">
        <w:rPr>
          <w:lang w:val="en-CA"/>
        </w:rPr>
        <w:t xml:space="preserve"> </w:t>
      </w:r>
      <w:r w:rsidR="00C05CB5" w:rsidRPr="006834CE">
        <w:rPr>
          <w:lang w:val="en-CA"/>
        </w:rPr>
        <w:t>“Mobile Phone</w:t>
      </w:r>
      <w:r w:rsidR="00766EFF" w:rsidRPr="006834CE">
        <w:rPr>
          <w:lang w:val="en-CA"/>
        </w:rPr>
        <w:t>s in India,”</w:t>
      </w:r>
      <w:r w:rsidR="00C05CB5" w:rsidRPr="006834CE">
        <w:rPr>
          <w:lang w:val="en-CA"/>
        </w:rPr>
        <w:t xml:space="preserve"> </w:t>
      </w:r>
      <w:r w:rsidRPr="006834CE">
        <w:rPr>
          <w:lang w:val="en-CA"/>
        </w:rPr>
        <w:t>Euromonitor</w:t>
      </w:r>
      <w:r w:rsidR="00C05CB5" w:rsidRPr="006834CE">
        <w:rPr>
          <w:lang w:val="en-CA"/>
        </w:rPr>
        <w:t xml:space="preserve"> International, </w:t>
      </w:r>
      <w:r w:rsidR="00766EFF" w:rsidRPr="006834CE">
        <w:rPr>
          <w:lang w:val="en-CA"/>
        </w:rPr>
        <w:t xml:space="preserve">September 2020, </w:t>
      </w:r>
      <w:r w:rsidR="00C05CB5" w:rsidRPr="006834CE">
        <w:rPr>
          <w:lang w:val="en-CA"/>
        </w:rPr>
        <w:t>accessed February 8, 2021</w:t>
      </w:r>
      <w:r w:rsidR="00007B83" w:rsidRPr="006834CE">
        <w:rPr>
          <w:lang w:val="en-CA"/>
        </w:rPr>
        <w:t xml:space="preserve">, </w:t>
      </w:r>
      <w:r w:rsidR="00766EFF" w:rsidRPr="006834CE">
        <w:rPr>
          <w:lang w:val="en-CA"/>
        </w:rPr>
        <w:t>www.euromonitor.com/mobile-phones-in-india/report.</w:t>
      </w:r>
    </w:p>
    <w:p w14:paraId="70B03B37" w14:textId="275DE90B" w:rsidR="004F5958" w:rsidRPr="006834CE" w:rsidRDefault="004F5958" w:rsidP="004F5958">
      <w:pPr>
        <w:pStyle w:val="ExhibitHeading"/>
        <w:rPr>
          <w:lang w:val="en-CA"/>
        </w:rPr>
      </w:pPr>
      <w:r w:rsidRPr="006834CE">
        <w:rPr>
          <w:lang w:val="en-CA"/>
        </w:rPr>
        <w:lastRenderedPageBreak/>
        <w:t xml:space="preserve">Exhibit </w:t>
      </w:r>
      <w:r w:rsidR="00F31580" w:rsidRPr="006834CE">
        <w:rPr>
          <w:lang w:val="en-CA"/>
        </w:rPr>
        <w:t>4</w:t>
      </w:r>
      <w:r w:rsidRPr="006834CE">
        <w:rPr>
          <w:lang w:val="en-CA"/>
        </w:rPr>
        <w:t>: Break</w:t>
      </w:r>
      <w:r w:rsidR="00FE6B67" w:rsidRPr="006834CE">
        <w:rPr>
          <w:lang w:val="en-CA"/>
        </w:rPr>
        <w:t>down</w:t>
      </w:r>
      <w:r w:rsidRPr="006834CE">
        <w:rPr>
          <w:lang w:val="en-CA"/>
        </w:rPr>
        <w:t xml:space="preserve"> of mobile phone sales revenue by category (in </w:t>
      </w:r>
      <w:r w:rsidR="00FA7411" w:rsidRPr="006834CE">
        <w:rPr>
          <w:lang w:val="en-CA"/>
        </w:rPr>
        <w:t xml:space="preserve">₹ </w:t>
      </w:r>
      <w:r w:rsidRPr="006834CE">
        <w:rPr>
          <w:lang w:val="en-CA"/>
        </w:rPr>
        <w:t>billion)</w:t>
      </w:r>
    </w:p>
    <w:p w14:paraId="297576C1" w14:textId="77777777" w:rsidR="004F5958" w:rsidRPr="006834CE" w:rsidRDefault="004F5958" w:rsidP="00F31580">
      <w:pPr>
        <w:pStyle w:val="Footnote"/>
        <w:rPr>
          <w:lang w:val="en-CA"/>
        </w:rPr>
      </w:pPr>
    </w:p>
    <w:tbl>
      <w:tblPr>
        <w:tblStyle w:val="TableGrid"/>
        <w:tblW w:w="0" w:type="auto"/>
        <w:jc w:val="center"/>
        <w:tblCellMar>
          <w:top w:w="29" w:type="dxa"/>
          <w:left w:w="115" w:type="dxa"/>
          <w:bottom w:w="29" w:type="dxa"/>
          <w:right w:w="115" w:type="dxa"/>
        </w:tblCellMar>
        <w:tblLook w:val="04A0" w:firstRow="1" w:lastRow="0" w:firstColumn="1" w:lastColumn="0" w:noHBand="0" w:noVBand="1"/>
        <w:tblCaption w:val="Exhibit 4"/>
        <w:tblDescription w:val="Breakdown of mobile phone sales revenue by category"/>
      </w:tblPr>
      <w:tblGrid>
        <w:gridCol w:w="1800"/>
        <w:gridCol w:w="1155"/>
        <w:gridCol w:w="1096"/>
        <w:gridCol w:w="1152"/>
        <w:gridCol w:w="1098"/>
        <w:gridCol w:w="1190"/>
      </w:tblGrid>
      <w:tr w:rsidR="004F5958" w:rsidRPr="006834CE" w14:paraId="17DFF207" w14:textId="77777777" w:rsidTr="00963D61">
        <w:trPr>
          <w:tblHeader/>
          <w:jc w:val="center"/>
        </w:trPr>
        <w:tc>
          <w:tcPr>
            <w:tcW w:w="1800" w:type="dxa"/>
          </w:tcPr>
          <w:p w14:paraId="33DCB3A1" w14:textId="77777777" w:rsidR="004F5958" w:rsidRPr="006834CE" w:rsidRDefault="004F5958" w:rsidP="004F5958">
            <w:pPr>
              <w:pStyle w:val="ExhibitText"/>
              <w:rPr>
                <w:lang w:val="en-CA"/>
              </w:rPr>
            </w:pPr>
          </w:p>
        </w:tc>
        <w:tc>
          <w:tcPr>
            <w:tcW w:w="1155" w:type="dxa"/>
          </w:tcPr>
          <w:p w14:paraId="34E3EAB3" w14:textId="77777777" w:rsidR="004F5958" w:rsidRPr="006834CE" w:rsidRDefault="004F5958" w:rsidP="00F31580">
            <w:pPr>
              <w:pStyle w:val="ExhibitText"/>
              <w:jc w:val="center"/>
              <w:rPr>
                <w:b/>
                <w:lang w:val="en-CA"/>
              </w:rPr>
            </w:pPr>
            <w:r w:rsidRPr="006834CE">
              <w:rPr>
                <w:b/>
                <w:lang w:val="en-CA"/>
              </w:rPr>
              <w:t>2015</w:t>
            </w:r>
          </w:p>
        </w:tc>
        <w:tc>
          <w:tcPr>
            <w:tcW w:w="1096" w:type="dxa"/>
          </w:tcPr>
          <w:p w14:paraId="26AFAC3F" w14:textId="77777777" w:rsidR="004F5958" w:rsidRPr="006834CE" w:rsidRDefault="004F5958" w:rsidP="00F31580">
            <w:pPr>
              <w:pStyle w:val="ExhibitText"/>
              <w:jc w:val="center"/>
              <w:rPr>
                <w:b/>
                <w:lang w:val="en-CA"/>
              </w:rPr>
            </w:pPr>
            <w:r w:rsidRPr="006834CE">
              <w:rPr>
                <w:b/>
                <w:lang w:val="en-CA"/>
              </w:rPr>
              <w:t>2016</w:t>
            </w:r>
          </w:p>
        </w:tc>
        <w:tc>
          <w:tcPr>
            <w:tcW w:w="1152" w:type="dxa"/>
          </w:tcPr>
          <w:p w14:paraId="3C6FB0D9" w14:textId="77777777" w:rsidR="004F5958" w:rsidRPr="006834CE" w:rsidRDefault="004F5958" w:rsidP="00F31580">
            <w:pPr>
              <w:pStyle w:val="ExhibitText"/>
              <w:jc w:val="center"/>
              <w:rPr>
                <w:b/>
                <w:lang w:val="en-CA"/>
              </w:rPr>
            </w:pPr>
            <w:r w:rsidRPr="006834CE">
              <w:rPr>
                <w:b/>
                <w:lang w:val="en-CA"/>
              </w:rPr>
              <w:t>2017</w:t>
            </w:r>
          </w:p>
        </w:tc>
        <w:tc>
          <w:tcPr>
            <w:tcW w:w="1098" w:type="dxa"/>
          </w:tcPr>
          <w:p w14:paraId="23E04502" w14:textId="77777777" w:rsidR="004F5958" w:rsidRPr="006834CE" w:rsidRDefault="004F5958" w:rsidP="00F31580">
            <w:pPr>
              <w:pStyle w:val="ExhibitText"/>
              <w:jc w:val="center"/>
              <w:rPr>
                <w:b/>
                <w:lang w:val="en-CA"/>
              </w:rPr>
            </w:pPr>
            <w:r w:rsidRPr="006834CE">
              <w:rPr>
                <w:b/>
                <w:lang w:val="en-CA"/>
              </w:rPr>
              <w:t>2018</w:t>
            </w:r>
          </w:p>
        </w:tc>
        <w:tc>
          <w:tcPr>
            <w:tcW w:w="1190" w:type="dxa"/>
          </w:tcPr>
          <w:p w14:paraId="6DC41ED6" w14:textId="77777777" w:rsidR="004F5958" w:rsidRPr="006834CE" w:rsidRDefault="004F5958" w:rsidP="00F31580">
            <w:pPr>
              <w:pStyle w:val="ExhibitText"/>
              <w:jc w:val="center"/>
              <w:rPr>
                <w:b/>
                <w:lang w:val="en-CA"/>
              </w:rPr>
            </w:pPr>
            <w:r w:rsidRPr="006834CE">
              <w:rPr>
                <w:b/>
                <w:lang w:val="en-CA"/>
              </w:rPr>
              <w:t>2019</w:t>
            </w:r>
          </w:p>
        </w:tc>
      </w:tr>
      <w:tr w:rsidR="004F5958" w:rsidRPr="006834CE" w14:paraId="7DFCD554" w14:textId="77777777" w:rsidTr="00963D61">
        <w:trPr>
          <w:tblHeader/>
          <w:jc w:val="center"/>
        </w:trPr>
        <w:tc>
          <w:tcPr>
            <w:tcW w:w="1800" w:type="dxa"/>
          </w:tcPr>
          <w:p w14:paraId="0554BACE" w14:textId="77777777" w:rsidR="004F5958" w:rsidRPr="006834CE" w:rsidRDefault="004F5958" w:rsidP="004F5958">
            <w:pPr>
              <w:pStyle w:val="ExhibitText"/>
              <w:rPr>
                <w:lang w:val="en-CA"/>
              </w:rPr>
            </w:pPr>
            <w:r w:rsidRPr="006834CE">
              <w:rPr>
                <w:lang w:val="en-CA"/>
              </w:rPr>
              <w:t>Feature Phones</w:t>
            </w:r>
          </w:p>
        </w:tc>
        <w:tc>
          <w:tcPr>
            <w:tcW w:w="1155" w:type="dxa"/>
          </w:tcPr>
          <w:p w14:paraId="1E8F3686" w14:textId="77777777" w:rsidR="004F5958" w:rsidRPr="006834CE" w:rsidRDefault="004F5958" w:rsidP="00FA7411">
            <w:pPr>
              <w:pStyle w:val="ExhibitText"/>
              <w:jc w:val="right"/>
              <w:rPr>
                <w:lang w:val="en-CA"/>
              </w:rPr>
            </w:pPr>
            <w:r w:rsidRPr="006834CE">
              <w:rPr>
                <w:lang w:val="en-CA"/>
              </w:rPr>
              <w:t>489.1</w:t>
            </w:r>
          </w:p>
        </w:tc>
        <w:tc>
          <w:tcPr>
            <w:tcW w:w="1096" w:type="dxa"/>
          </w:tcPr>
          <w:p w14:paraId="772B634E" w14:textId="77777777" w:rsidR="004F5958" w:rsidRPr="006834CE" w:rsidRDefault="004F5958" w:rsidP="00FA7411">
            <w:pPr>
              <w:pStyle w:val="ExhibitText"/>
              <w:jc w:val="right"/>
              <w:rPr>
                <w:lang w:val="en-CA"/>
              </w:rPr>
            </w:pPr>
            <w:r w:rsidRPr="006834CE">
              <w:rPr>
                <w:lang w:val="en-CA"/>
              </w:rPr>
              <w:t>408.9</w:t>
            </w:r>
          </w:p>
        </w:tc>
        <w:tc>
          <w:tcPr>
            <w:tcW w:w="1152" w:type="dxa"/>
          </w:tcPr>
          <w:p w14:paraId="568DA31E" w14:textId="77777777" w:rsidR="004F5958" w:rsidRPr="006834CE" w:rsidRDefault="004F5958" w:rsidP="00FA7411">
            <w:pPr>
              <w:pStyle w:val="ExhibitText"/>
              <w:jc w:val="right"/>
              <w:rPr>
                <w:lang w:val="en-CA"/>
              </w:rPr>
            </w:pPr>
            <w:r w:rsidRPr="006834CE">
              <w:rPr>
                <w:lang w:val="en-CA"/>
              </w:rPr>
              <w:t>373.0</w:t>
            </w:r>
          </w:p>
        </w:tc>
        <w:tc>
          <w:tcPr>
            <w:tcW w:w="1098" w:type="dxa"/>
          </w:tcPr>
          <w:p w14:paraId="12B79270" w14:textId="77777777" w:rsidR="004F5958" w:rsidRPr="006834CE" w:rsidRDefault="004F5958" w:rsidP="00FA7411">
            <w:pPr>
              <w:pStyle w:val="ExhibitText"/>
              <w:jc w:val="right"/>
              <w:rPr>
                <w:lang w:val="en-CA"/>
              </w:rPr>
            </w:pPr>
            <w:r w:rsidRPr="006834CE">
              <w:rPr>
                <w:lang w:val="en-CA"/>
              </w:rPr>
              <w:t>338.8</w:t>
            </w:r>
          </w:p>
        </w:tc>
        <w:tc>
          <w:tcPr>
            <w:tcW w:w="1190" w:type="dxa"/>
          </w:tcPr>
          <w:p w14:paraId="277992AE" w14:textId="77777777" w:rsidR="004F5958" w:rsidRPr="006834CE" w:rsidRDefault="004F5958" w:rsidP="00FA7411">
            <w:pPr>
              <w:pStyle w:val="ExhibitText"/>
              <w:jc w:val="right"/>
              <w:rPr>
                <w:lang w:val="en-CA"/>
              </w:rPr>
            </w:pPr>
            <w:r w:rsidRPr="006834CE">
              <w:rPr>
                <w:lang w:val="en-CA"/>
              </w:rPr>
              <w:t>299.7</w:t>
            </w:r>
          </w:p>
        </w:tc>
      </w:tr>
      <w:tr w:rsidR="004F5958" w:rsidRPr="006834CE" w14:paraId="69DF7D13" w14:textId="77777777" w:rsidTr="00963D61">
        <w:trPr>
          <w:tblHeader/>
          <w:jc w:val="center"/>
        </w:trPr>
        <w:tc>
          <w:tcPr>
            <w:tcW w:w="1800" w:type="dxa"/>
          </w:tcPr>
          <w:p w14:paraId="6790F997" w14:textId="58C20A9C" w:rsidR="004F5958" w:rsidRPr="006834CE" w:rsidRDefault="004F5958" w:rsidP="004F5958">
            <w:pPr>
              <w:pStyle w:val="ExhibitText"/>
              <w:rPr>
                <w:lang w:val="en-CA"/>
              </w:rPr>
            </w:pPr>
            <w:r w:rsidRPr="006834CE">
              <w:rPr>
                <w:lang w:val="en-CA"/>
              </w:rPr>
              <w:t>Smart</w:t>
            </w:r>
            <w:r w:rsidR="009E1413" w:rsidRPr="006834CE">
              <w:rPr>
                <w:lang w:val="en-CA"/>
              </w:rPr>
              <w:t xml:space="preserve"> P</w:t>
            </w:r>
            <w:r w:rsidRPr="006834CE">
              <w:rPr>
                <w:lang w:val="en-CA"/>
              </w:rPr>
              <w:t>hones</w:t>
            </w:r>
          </w:p>
        </w:tc>
        <w:tc>
          <w:tcPr>
            <w:tcW w:w="1155" w:type="dxa"/>
          </w:tcPr>
          <w:p w14:paraId="3FC3FC48" w14:textId="77777777" w:rsidR="004F5958" w:rsidRPr="006834CE" w:rsidRDefault="004F5958" w:rsidP="00FA7411">
            <w:pPr>
              <w:pStyle w:val="ExhibitText"/>
              <w:jc w:val="right"/>
              <w:rPr>
                <w:lang w:val="en-CA"/>
              </w:rPr>
            </w:pPr>
            <w:r w:rsidRPr="006834CE">
              <w:rPr>
                <w:lang w:val="en-CA"/>
              </w:rPr>
              <w:t>865.1</w:t>
            </w:r>
          </w:p>
        </w:tc>
        <w:tc>
          <w:tcPr>
            <w:tcW w:w="1096" w:type="dxa"/>
          </w:tcPr>
          <w:p w14:paraId="5CB23B9C" w14:textId="77777777" w:rsidR="004F5958" w:rsidRPr="006834CE" w:rsidRDefault="004F5958" w:rsidP="00FA7411">
            <w:pPr>
              <w:pStyle w:val="ExhibitText"/>
              <w:jc w:val="right"/>
              <w:rPr>
                <w:lang w:val="en-CA"/>
              </w:rPr>
            </w:pPr>
            <w:r w:rsidRPr="006834CE">
              <w:rPr>
                <w:lang w:val="en-CA"/>
              </w:rPr>
              <w:t>948.8</w:t>
            </w:r>
          </w:p>
        </w:tc>
        <w:tc>
          <w:tcPr>
            <w:tcW w:w="1152" w:type="dxa"/>
          </w:tcPr>
          <w:p w14:paraId="3CA5A743" w14:textId="77777777" w:rsidR="004F5958" w:rsidRPr="006834CE" w:rsidRDefault="004F5958" w:rsidP="00FA7411">
            <w:pPr>
              <w:pStyle w:val="ExhibitText"/>
              <w:jc w:val="right"/>
              <w:rPr>
                <w:lang w:val="en-CA"/>
              </w:rPr>
            </w:pPr>
            <w:r w:rsidRPr="006834CE">
              <w:rPr>
                <w:lang w:val="en-CA"/>
              </w:rPr>
              <w:t>1064.3</w:t>
            </w:r>
          </w:p>
        </w:tc>
        <w:tc>
          <w:tcPr>
            <w:tcW w:w="1098" w:type="dxa"/>
          </w:tcPr>
          <w:p w14:paraId="3A0E9C24" w14:textId="77777777" w:rsidR="004F5958" w:rsidRPr="006834CE" w:rsidRDefault="004F5958" w:rsidP="00FA7411">
            <w:pPr>
              <w:pStyle w:val="ExhibitText"/>
              <w:jc w:val="right"/>
              <w:rPr>
                <w:lang w:val="en-CA"/>
              </w:rPr>
            </w:pPr>
            <w:r w:rsidRPr="006834CE">
              <w:rPr>
                <w:lang w:val="en-CA"/>
              </w:rPr>
              <w:t>1178.2</w:t>
            </w:r>
          </w:p>
        </w:tc>
        <w:tc>
          <w:tcPr>
            <w:tcW w:w="1190" w:type="dxa"/>
          </w:tcPr>
          <w:p w14:paraId="5D88F302" w14:textId="77777777" w:rsidR="004F5958" w:rsidRPr="006834CE" w:rsidRDefault="004F5958" w:rsidP="00FA7411">
            <w:pPr>
              <w:pStyle w:val="ExhibitText"/>
              <w:jc w:val="right"/>
              <w:rPr>
                <w:lang w:val="en-CA"/>
              </w:rPr>
            </w:pPr>
            <w:r w:rsidRPr="006834CE">
              <w:rPr>
                <w:lang w:val="en-CA"/>
              </w:rPr>
              <w:t>1,297.5</w:t>
            </w:r>
          </w:p>
        </w:tc>
      </w:tr>
      <w:tr w:rsidR="004F5958" w:rsidRPr="006834CE" w14:paraId="2F40BC62" w14:textId="77777777" w:rsidTr="00963D61">
        <w:trPr>
          <w:tblHeader/>
          <w:jc w:val="center"/>
        </w:trPr>
        <w:tc>
          <w:tcPr>
            <w:tcW w:w="1800" w:type="dxa"/>
          </w:tcPr>
          <w:p w14:paraId="3DCE2A94" w14:textId="77777777" w:rsidR="004F5958" w:rsidRPr="006834CE" w:rsidRDefault="004F5958" w:rsidP="004F5958">
            <w:pPr>
              <w:pStyle w:val="ExhibitText"/>
              <w:rPr>
                <w:lang w:val="en-CA"/>
              </w:rPr>
            </w:pPr>
            <w:r w:rsidRPr="006834CE">
              <w:rPr>
                <w:lang w:val="en-CA"/>
              </w:rPr>
              <w:t>Mobile Phones</w:t>
            </w:r>
          </w:p>
        </w:tc>
        <w:tc>
          <w:tcPr>
            <w:tcW w:w="1155" w:type="dxa"/>
          </w:tcPr>
          <w:p w14:paraId="29444017" w14:textId="77777777" w:rsidR="004F5958" w:rsidRPr="006834CE" w:rsidRDefault="004F5958" w:rsidP="00FA7411">
            <w:pPr>
              <w:pStyle w:val="ExhibitText"/>
              <w:jc w:val="right"/>
              <w:rPr>
                <w:lang w:val="en-CA"/>
              </w:rPr>
            </w:pPr>
            <w:r w:rsidRPr="006834CE">
              <w:rPr>
                <w:lang w:val="en-CA"/>
              </w:rPr>
              <w:t>1,354.2</w:t>
            </w:r>
          </w:p>
        </w:tc>
        <w:tc>
          <w:tcPr>
            <w:tcW w:w="1096" w:type="dxa"/>
          </w:tcPr>
          <w:p w14:paraId="3A5B8168" w14:textId="77777777" w:rsidR="004F5958" w:rsidRPr="006834CE" w:rsidRDefault="004F5958" w:rsidP="00FA7411">
            <w:pPr>
              <w:pStyle w:val="ExhibitText"/>
              <w:jc w:val="right"/>
              <w:rPr>
                <w:lang w:val="en-CA"/>
              </w:rPr>
            </w:pPr>
            <w:r w:rsidRPr="006834CE">
              <w:rPr>
                <w:lang w:val="en-CA"/>
              </w:rPr>
              <w:t>1357.8</w:t>
            </w:r>
          </w:p>
        </w:tc>
        <w:tc>
          <w:tcPr>
            <w:tcW w:w="1152" w:type="dxa"/>
          </w:tcPr>
          <w:p w14:paraId="63803E75" w14:textId="77777777" w:rsidR="004F5958" w:rsidRPr="006834CE" w:rsidRDefault="004F5958" w:rsidP="00FA7411">
            <w:pPr>
              <w:pStyle w:val="ExhibitText"/>
              <w:jc w:val="right"/>
              <w:rPr>
                <w:lang w:val="en-CA"/>
              </w:rPr>
            </w:pPr>
            <w:r w:rsidRPr="006834CE">
              <w:rPr>
                <w:lang w:val="en-CA"/>
              </w:rPr>
              <w:t>1,437.2</w:t>
            </w:r>
          </w:p>
        </w:tc>
        <w:tc>
          <w:tcPr>
            <w:tcW w:w="1098" w:type="dxa"/>
          </w:tcPr>
          <w:p w14:paraId="49E8F9E0" w14:textId="77777777" w:rsidR="004F5958" w:rsidRPr="006834CE" w:rsidRDefault="004F5958" w:rsidP="00FA7411">
            <w:pPr>
              <w:pStyle w:val="ExhibitText"/>
              <w:jc w:val="right"/>
              <w:rPr>
                <w:lang w:val="en-CA"/>
              </w:rPr>
            </w:pPr>
            <w:r w:rsidRPr="006834CE">
              <w:rPr>
                <w:lang w:val="en-CA"/>
              </w:rPr>
              <w:t>1517.1</w:t>
            </w:r>
          </w:p>
        </w:tc>
        <w:tc>
          <w:tcPr>
            <w:tcW w:w="1190" w:type="dxa"/>
          </w:tcPr>
          <w:p w14:paraId="09C6EB62" w14:textId="77777777" w:rsidR="004F5958" w:rsidRPr="006834CE" w:rsidRDefault="004F5958" w:rsidP="00FA7411">
            <w:pPr>
              <w:pStyle w:val="ExhibitText"/>
              <w:jc w:val="right"/>
              <w:rPr>
                <w:lang w:val="en-CA"/>
              </w:rPr>
            </w:pPr>
            <w:r w:rsidRPr="006834CE">
              <w:rPr>
                <w:lang w:val="en-CA"/>
              </w:rPr>
              <w:t>1,597.2</w:t>
            </w:r>
          </w:p>
        </w:tc>
      </w:tr>
    </w:tbl>
    <w:p w14:paraId="0EE52FD2" w14:textId="77777777" w:rsidR="00F31580" w:rsidRPr="006834CE" w:rsidRDefault="00F31580" w:rsidP="004F5958">
      <w:pPr>
        <w:pStyle w:val="Footnote"/>
        <w:rPr>
          <w:sz w:val="16"/>
          <w:szCs w:val="16"/>
          <w:lang w:val="en-CA"/>
        </w:rPr>
      </w:pPr>
    </w:p>
    <w:p w14:paraId="3FDC7D64" w14:textId="2F761729" w:rsidR="00C05CB5" w:rsidRPr="006834CE" w:rsidRDefault="00C05CB5" w:rsidP="00F31580">
      <w:pPr>
        <w:pStyle w:val="Footnote"/>
        <w:rPr>
          <w:lang w:val="en-CA"/>
        </w:rPr>
      </w:pPr>
      <w:r w:rsidRPr="006834CE">
        <w:rPr>
          <w:lang w:val="en-CA"/>
        </w:rPr>
        <w:t>Note: ₹ = INR = Indian rupee</w:t>
      </w:r>
      <w:r w:rsidR="008E0A10">
        <w:rPr>
          <w:lang w:val="en-CA"/>
        </w:rPr>
        <w:t>.</w:t>
      </w:r>
    </w:p>
    <w:p w14:paraId="517BE36F" w14:textId="4B0981AF" w:rsidR="00B32878" w:rsidRPr="006834CE" w:rsidRDefault="00D64355" w:rsidP="00F31580">
      <w:pPr>
        <w:pStyle w:val="Footnote"/>
        <w:rPr>
          <w:lang w:val="en-CA"/>
        </w:rPr>
      </w:pPr>
      <w:r w:rsidRPr="006834CE">
        <w:rPr>
          <w:lang w:val="en-CA"/>
        </w:rPr>
        <w:t>Source: India, “Mobile Phones in India,” Euromonitor International, September 2020, accessed February 8, 2021, www.euromonitor.com/mobile-phones-in-india/report.</w:t>
      </w:r>
    </w:p>
    <w:p w14:paraId="25CAC460" w14:textId="77777777" w:rsidR="00B32878" w:rsidRPr="006834CE" w:rsidRDefault="00B32878" w:rsidP="00F31580">
      <w:pPr>
        <w:pStyle w:val="Footnote"/>
        <w:rPr>
          <w:sz w:val="20"/>
          <w:szCs w:val="20"/>
          <w:lang w:val="en-CA"/>
        </w:rPr>
      </w:pPr>
    </w:p>
    <w:p w14:paraId="046ED4C4" w14:textId="7A660D08" w:rsidR="00F31580" w:rsidRPr="006834CE" w:rsidRDefault="00F31580" w:rsidP="00F31580">
      <w:pPr>
        <w:pStyle w:val="Footnote"/>
        <w:rPr>
          <w:sz w:val="20"/>
          <w:szCs w:val="20"/>
          <w:lang w:val="en-CA"/>
        </w:rPr>
      </w:pPr>
    </w:p>
    <w:p w14:paraId="45E4D695" w14:textId="389A5E3F" w:rsidR="004F5958" w:rsidRPr="006834CE" w:rsidRDefault="004F5958" w:rsidP="00F31580">
      <w:pPr>
        <w:pStyle w:val="ExhibitHeading"/>
        <w:rPr>
          <w:lang w:val="en-CA"/>
        </w:rPr>
      </w:pPr>
      <w:r w:rsidRPr="006834CE">
        <w:rPr>
          <w:lang w:val="en-CA"/>
        </w:rPr>
        <w:t xml:space="preserve">Exhibit </w:t>
      </w:r>
      <w:r w:rsidR="00F31580" w:rsidRPr="006834CE">
        <w:rPr>
          <w:lang w:val="en-CA"/>
        </w:rPr>
        <w:t>5</w:t>
      </w:r>
      <w:r w:rsidRPr="006834CE">
        <w:rPr>
          <w:lang w:val="en-CA"/>
        </w:rPr>
        <w:t>: Market</w:t>
      </w:r>
      <w:r w:rsidR="00FE6B67" w:rsidRPr="006834CE">
        <w:rPr>
          <w:lang w:val="en-CA"/>
        </w:rPr>
        <w:t xml:space="preserve"> </w:t>
      </w:r>
      <w:r w:rsidRPr="006834CE">
        <w:rPr>
          <w:lang w:val="en-CA"/>
        </w:rPr>
        <w:t>share of smart</w:t>
      </w:r>
      <w:r w:rsidR="00FE6B67" w:rsidRPr="006834CE">
        <w:rPr>
          <w:lang w:val="en-CA"/>
        </w:rPr>
        <w:t xml:space="preserve"> </w:t>
      </w:r>
      <w:r w:rsidRPr="006834CE">
        <w:rPr>
          <w:lang w:val="en-CA"/>
        </w:rPr>
        <w:t>phone brands in India: First quarter of 2020</w:t>
      </w:r>
    </w:p>
    <w:p w14:paraId="1F9CC132" w14:textId="5FBDF87C" w:rsidR="004F5958" w:rsidRPr="006834CE" w:rsidRDefault="004F5958" w:rsidP="00F31580">
      <w:pPr>
        <w:pStyle w:val="Footnote"/>
        <w:rPr>
          <w:sz w:val="20"/>
          <w:szCs w:val="20"/>
          <w:lang w:val="en-CA"/>
        </w:rPr>
      </w:pPr>
    </w:p>
    <w:tbl>
      <w:tblPr>
        <w:tblStyle w:val="TableGrid"/>
        <w:tblW w:w="0" w:type="auto"/>
        <w:jc w:val="center"/>
        <w:tblLook w:val="04A0" w:firstRow="1" w:lastRow="0" w:firstColumn="1" w:lastColumn="0" w:noHBand="0" w:noVBand="1"/>
      </w:tblPr>
      <w:tblGrid>
        <w:gridCol w:w="6470"/>
      </w:tblGrid>
      <w:tr w:rsidR="00B1618B" w:rsidRPr="006834CE" w14:paraId="763CF26C" w14:textId="77777777" w:rsidTr="00B1618B">
        <w:trPr>
          <w:trHeight w:val="125"/>
          <w:jc w:val="center"/>
        </w:trPr>
        <w:tc>
          <w:tcPr>
            <w:tcW w:w="5469" w:type="dxa"/>
          </w:tcPr>
          <w:p w14:paraId="44BF340F" w14:textId="45890F78" w:rsidR="00B1618B" w:rsidRPr="006834CE" w:rsidRDefault="00B1618B" w:rsidP="00F31580">
            <w:pPr>
              <w:pStyle w:val="ExhibitText"/>
              <w:jc w:val="center"/>
              <w:rPr>
                <w:lang w:val="en-CA"/>
              </w:rPr>
            </w:pPr>
            <w:r w:rsidRPr="006834CE">
              <w:rPr>
                <w:noProof/>
              </w:rPr>
              <w:drawing>
                <wp:inline distT="0" distB="0" distL="0" distR="0" wp14:anchorId="36234CEE" wp14:editId="7A54B837">
                  <wp:extent cx="3971499" cy="1448829"/>
                  <wp:effectExtent l="0" t="0" r="0" b="0"/>
                  <wp:docPr id="3" name="Picture 3" descr="Graph depicting the market share of smart phone brands in India in the first quarter of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5.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3253" cy="1464061"/>
                          </a:xfrm>
                          <a:prstGeom prst="rect">
                            <a:avLst/>
                          </a:prstGeom>
                        </pic:spPr>
                      </pic:pic>
                    </a:graphicData>
                  </a:graphic>
                </wp:inline>
              </w:drawing>
            </w:r>
          </w:p>
        </w:tc>
      </w:tr>
    </w:tbl>
    <w:p w14:paraId="7708DCFB" w14:textId="4B3044F4" w:rsidR="004F5958" w:rsidRPr="006834CE" w:rsidRDefault="004F5958" w:rsidP="00F31580">
      <w:pPr>
        <w:pStyle w:val="ExhibitText"/>
        <w:jc w:val="center"/>
        <w:rPr>
          <w:sz w:val="16"/>
          <w:szCs w:val="16"/>
          <w:lang w:val="en-CA"/>
        </w:rPr>
      </w:pPr>
    </w:p>
    <w:p w14:paraId="2A1274A2" w14:textId="40DAB12A" w:rsidR="004F5958" w:rsidRPr="006834CE" w:rsidRDefault="004F5958" w:rsidP="004F5958">
      <w:pPr>
        <w:pStyle w:val="Footnote"/>
        <w:rPr>
          <w:rStyle w:val="ExhibitTextChar"/>
          <w:lang w:val="en-CA"/>
        </w:rPr>
      </w:pPr>
      <w:r w:rsidRPr="006834CE">
        <w:rPr>
          <w:lang w:val="en-CA"/>
        </w:rPr>
        <w:t xml:space="preserve">Source: </w:t>
      </w:r>
      <w:r w:rsidR="007A0677" w:rsidRPr="006834CE">
        <w:rPr>
          <w:lang w:val="en-CA"/>
        </w:rPr>
        <w:t>P</w:t>
      </w:r>
      <w:r w:rsidRPr="006834CE">
        <w:rPr>
          <w:lang w:val="en-CA"/>
        </w:rPr>
        <w:t xml:space="preserve">repared </w:t>
      </w:r>
      <w:r w:rsidR="00B83076" w:rsidRPr="006834CE">
        <w:rPr>
          <w:lang w:val="en-CA"/>
        </w:rPr>
        <w:t xml:space="preserve">by the author </w:t>
      </w:r>
      <w:r w:rsidRPr="006834CE">
        <w:rPr>
          <w:lang w:val="en-CA"/>
        </w:rPr>
        <w:t xml:space="preserve">based on data </w:t>
      </w:r>
      <w:r w:rsidR="00B83076" w:rsidRPr="006834CE">
        <w:rPr>
          <w:lang w:val="en-CA"/>
        </w:rPr>
        <w:t>from</w:t>
      </w:r>
      <w:r w:rsidRPr="006834CE">
        <w:rPr>
          <w:lang w:val="en-CA"/>
        </w:rPr>
        <w:t xml:space="preserve"> </w:t>
      </w:r>
      <w:r w:rsidR="00B83076" w:rsidRPr="006834CE">
        <w:rPr>
          <w:lang w:val="en-CA"/>
        </w:rPr>
        <w:t>Kanuj Sharma, “Smartphone Market Share India—2020–21 (Samsung and Realme Gains),” Candytech, January 10, 2021</w:t>
      </w:r>
      <w:r w:rsidR="00757510" w:rsidRPr="006834CE">
        <w:rPr>
          <w:lang w:val="en-CA"/>
        </w:rPr>
        <w:t xml:space="preserve">, accessed February 8, 2021, </w:t>
      </w:r>
      <w:r w:rsidRPr="006834CE">
        <w:rPr>
          <w:lang w:val="en-CA"/>
        </w:rPr>
        <w:t>https://candytech.in/smartphone-market-share-india</w:t>
      </w:r>
      <w:r w:rsidR="00757510" w:rsidRPr="006834CE">
        <w:rPr>
          <w:lang w:val="en-CA"/>
        </w:rPr>
        <w:t>.</w:t>
      </w:r>
    </w:p>
    <w:p w14:paraId="44AA9636" w14:textId="626F2E01" w:rsidR="004F5958" w:rsidRPr="006834CE" w:rsidRDefault="004F5958" w:rsidP="00F31580">
      <w:pPr>
        <w:pStyle w:val="Footnote"/>
        <w:rPr>
          <w:rStyle w:val="Hyperlink"/>
          <w:color w:val="auto"/>
          <w:sz w:val="20"/>
          <w:szCs w:val="20"/>
          <w:u w:val="none"/>
          <w:lang w:val="en-CA"/>
        </w:rPr>
      </w:pPr>
    </w:p>
    <w:p w14:paraId="5E44BC7F" w14:textId="77777777" w:rsidR="004F5958" w:rsidRPr="006834CE" w:rsidRDefault="004F5958" w:rsidP="00F31580">
      <w:pPr>
        <w:pStyle w:val="Footnote"/>
        <w:rPr>
          <w:sz w:val="20"/>
          <w:szCs w:val="20"/>
          <w:lang w:val="en-CA"/>
        </w:rPr>
      </w:pPr>
    </w:p>
    <w:p w14:paraId="2111309D" w14:textId="2EA8E09F" w:rsidR="004F5958" w:rsidRPr="006834CE" w:rsidRDefault="004F5958" w:rsidP="004F5958">
      <w:pPr>
        <w:pStyle w:val="ExhibitHeading"/>
        <w:rPr>
          <w:lang w:val="en-CA"/>
        </w:rPr>
      </w:pPr>
      <w:r w:rsidRPr="006834CE">
        <w:rPr>
          <w:lang w:val="en-CA"/>
        </w:rPr>
        <w:t xml:space="preserve">Exhibit </w:t>
      </w:r>
      <w:r w:rsidR="00F31580" w:rsidRPr="006834CE">
        <w:rPr>
          <w:lang w:val="en-CA"/>
        </w:rPr>
        <w:t>6</w:t>
      </w:r>
      <w:r w:rsidRPr="006834CE">
        <w:rPr>
          <w:lang w:val="en-CA"/>
        </w:rPr>
        <w:t>: Distribution Channels for mobile phones</w:t>
      </w:r>
    </w:p>
    <w:p w14:paraId="0570E008" w14:textId="77777777" w:rsidR="004F5958" w:rsidRPr="006834CE" w:rsidRDefault="004F5958" w:rsidP="00F31580">
      <w:pPr>
        <w:pStyle w:val="Footnote"/>
        <w:rPr>
          <w:sz w:val="16"/>
          <w:szCs w:val="16"/>
          <w:lang w:val="en-CA"/>
        </w:rPr>
      </w:pPr>
    </w:p>
    <w:tbl>
      <w:tblPr>
        <w:tblStyle w:val="TableGrid"/>
        <w:tblW w:w="0" w:type="auto"/>
        <w:jc w:val="center"/>
        <w:tblCellMar>
          <w:top w:w="29" w:type="dxa"/>
          <w:left w:w="115" w:type="dxa"/>
          <w:bottom w:w="29" w:type="dxa"/>
          <w:right w:w="115" w:type="dxa"/>
        </w:tblCellMar>
        <w:tblLook w:val="04A0" w:firstRow="1" w:lastRow="0" w:firstColumn="1" w:lastColumn="0" w:noHBand="0" w:noVBand="1"/>
        <w:tblCaption w:val="Exhibit 6"/>
        <w:tblDescription w:val="Distribution channels for mobile phones from 2015 to 2019"/>
      </w:tblPr>
      <w:tblGrid>
        <w:gridCol w:w="3413"/>
        <w:gridCol w:w="1181"/>
        <w:gridCol w:w="1181"/>
        <w:gridCol w:w="1181"/>
        <w:gridCol w:w="1312"/>
        <w:gridCol w:w="1080"/>
      </w:tblGrid>
      <w:tr w:rsidR="004F5958" w:rsidRPr="006834CE" w14:paraId="6FEAD192" w14:textId="77777777" w:rsidTr="00963D61">
        <w:trPr>
          <w:trHeight w:val="219"/>
          <w:tblHeader/>
          <w:jc w:val="center"/>
        </w:trPr>
        <w:tc>
          <w:tcPr>
            <w:tcW w:w="3413" w:type="dxa"/>
          </w:tcPr>
          <w:p w14:paraId="2B82AEA2" w14:textId="77777777" w:rsidR="004F5958" w:rsidRPr="006834CE" w:rsidRDefault="004F5958" w:rsidP="004F5958">
            <w:pPr>
              <w:pStyle w:val="ExhibitText"/>
              <w:rPr>
                <w:lang w:val="en-CA"/>
              </w:rPr>
            </w:pPr>
          </w:p>
        </w:tc>
        <w:tc>
          <w:tcPr>
            <w:tcW w:w="1181" w:type="dxa"/>
          </w:tcPr>
          <w:p w14:paraId="4F724E26" w14:textId="77777777" w:rsidR="004F5958" w:rsidRPr="006834CE" w:rsidRDefault="004F5958" w:rsidP="00F31580">
            <w:pPr>
              <w:pStyle w:val="ExhibitText"/>
              <w:jc w:val="center"/>
              <w:rPr>
                <w:b/>
                <w:lang w:val="en-CA"/>
              </w:rPr>
            </w:pPr>
            <w:r w:rsidRPr="006834CE">
              <w:rPr>
                <w:b/>
                <w:lang w:val="en-CA"/>
              </w:rPr>
              <w:t>2015</w:t>
            </w:r>
          </w:p>
        </w:tc>
        <w:tc>
          <w:tcPr>
            <w:tcW w:w="1181" w:type="dxa"/>
          </w:tcPr>
          <w:p w14:paraId="6F2CE4B7" w14:textId="77777777" w:rsidR="004F5958" w:rsidRPr="006834CE" w:rsidRDefault="004F5958" w:rsidP="00F31580">
            <w:pPr>
              <w:pStyle w:val="ExhibitText"/>
              <w:jc w:val="center"/>
              <w:rPr>
                <w:b/>
                <w:lang w:val="en-CA"/>
              </w:rPr>
            </w:pPr>
            <w:r w:rsidRPr="006834CE">
              <w:rPr>
                <w:b/>
                <w:lang w:val="en-CA"/>
              </w:rPr>
              <w:t>2016</w:t>
            </w:r>
          </w:p>
        </w:tc>
        <w:tc>
          <w:tcPr>
            <w:tcW w:w="1181" w:type="dxa"/>
          </w:tcPr>
          <w:p w14:paraId="284F2350" w14:textId="77777777" w:rsidR="004F5958" w:rsidRPr="006834CE" w:rsidRDefault="004F5958" w:rsidP="00F31580">
            <w:pPr>
              <w:pStyle w:val="ExhibitText"/>
              <w:jc w:val="center"/>
              <w:rPr>
                <w:b/>
                <w:lang w:val="en-CA"/>
              </w:rPr>
            </w:pPr>
            <w:r w:rsidRPr="006834CE">
              <w:rPr>
                <w:b/>
                <w:lang w:val="en-CA"/>
              </w:rPr>
              <w:t>2017</w:t>
            </w:r>
          </w:p>
        </w:tc>
        <w:tc>
          <w:tcPr>
            <w:tcW w:w="1312" w:type="dxa"/>
          </w:tcPr>
          <w:p w14:paraId="7F0A7E03" w14:textId="77777777" w:rsidR="004F5958" w:rsidRPr="006834CE" w:rsidRDefault="004F5958" w:rsidP="00F31580">
            <w:pPr>
              <w:pStyle w:val="ExhibitText"/>
              <w:jc w:val="center"/>
              <w:rPr>
                <w:b/>
                <w:lang w:val="en-CA"/>
              </w:rPr>
            </w:pPr>
            <w:r w:rsidRPr="006834CE">
              <w:rPr>
                <w:b/>
                <w:lang w:val="en-CA"/>
              </w:rPr>
              <w:t>2018</w:t>
            </w:r>
          </w:p>
        </w:tc>
        <w:tc>
          <w:tcPr>
            <w:tcW w:w="1080" w:type="dxa"/>
          </w:tcPr>
          <w:p w14:paraId="50914402" w14:textId="77777777" w:rsidR="004F5958" w:rsidRPr="006834CE" w:rsidRDefault="004F5958" w:rsidP="00F31580">
            <w:pPr>
              <w:pStyle w:val="ExhibitText"/>
              <w:jc w:val="center"/>
              <w:rPr>
                <w:b/>
                <w:lang w:val="en-CA"/>
              </w:rPr>
            </w:pPr>
            <w:r w:rsidRPr="006834CE">
              <w:rPr>
                <w:b/>
                <w:lang w:val="en-CA"/>
              </w:rPr>
              <w:t>2019</w:t>
            </w:r>
          </w:p>
        </w:tc>
      </w:tr>
      <w:tr w:rsidR="004F5958" w:rsidRPr="006834CE" w14:paraId="649A5157" w14:textId="77777777" w:rsidTr="00963D61">
        <w:trPr>
          <w:trHeight w:val="219"/>
          <w:tblHeader/>
          <w:jc w:val="center"/>
        </w:trPr>
        <w:tc>
          <w:tcPr>
            <w:tcW w:w="3413" w:type="dxa"/>
          </w:tcPr>
          <w:p w14:paraId="1E76CDDE" w14:textId="20CB7CD0" w:rsidR="004F5958" w:rsidRPr="006834CE" w:rsidRDefault="004F5958" w:rsidP="004F5958">
            <w:pPr>
              <w:pStyle w:val="ExhibitText"/>
              <w:rPr>
                <w:lang w:val="en-CA"/>
              </w:rPr>
            </w:pPr>
            <w:r w:rsidRPr="006834CE">
              <w:rPr>
                <w:lang w:val="en-CA"/>
              </w:rPr>
              <w:t>Store-</w:t>
            </w:r>
            <w:r w:rsidR="00FE6B67" w:rsidRPr="006834CE">
              <w:rPr>
                <w:lang w:val="en-CA"/>
              </w:rPr>
              <w:t>B</w:t>
            </w:r>
            <w:r w:rsidRPr="006834CE">
              <w:rPr>
                <w:lang w:val="en-CA"/>
              </w:rPr>
              <w:t>ased Retailers</w:t>
            </w:r>
          </w:p>
        </w:tc>
        <w:tc>
          <w:tcPr>
            <w:tcW w:w="1181" w:type="dxa"/>
          </w:tcPr>
          <w:p w14:paraId="4EC492FE" w14:textId="77777777" w:rsidR="004F5958" w:rsidRPr="006834CE" w:rsidRDefault="004F5958" w:rsidP="002602FC">
            <w:pPr>
              <w:pStyle w:val="ExhibitText"/>
              <w:jc w:val="center"/>
              <w:rPr>
                <w:lang w:val="en-CA"/>
              </w:rPr>
            </w:pPr>
            <w:r w:rsidRPr="006834CE">
              <w:rPr>
                <w:lang w:val="en-CA"/>
              </w:rPr>
              <w:t>87.5%</w:t>
            </w:r>
          </w:p>
        </w:tc>
        <w:tc>
          <w:tcPr>
            <w:tcW w:w="1181" w:type="dxa"/>
          </w:tcPr>
          <w:p w14:paraId="6647EFD7" w14:textId="77777777" w:rsidR="004F5958" w:rsidRPr="006834CE" w:rsidRDefault="004F5958" w:rsidP="002602FC">
            <w:pPr>
              <w:pStyle w:val="ExhibitText"/>
              <w:jc w:val="center"/>
              <w:rPr>
                <w:lang w:val="en-CA"/>
              </w:rPr>
            </w:pPr>
            <w:r w:rsidRPr="006834CE">
              <w:rPr>
                <w:lang w:val="en-CA"/>
              </w:rPr>
              <w:t>81.6%</w:t>
            </w:r>
          </w:p>
        </w:tc>
        <w:tc>
          <w:tcPr>
            <w:tcW w:w="1181" w:type="dxa"/>
          </w:tcPr>
          <w:p w14:paraId="70C8F593" w14:textId="77777777" w:rsidR="004F5958" w:rsidRPr="006834CE" w:rsidRDefault="004F5958" w:rsidP="002602FC">
            <w:pPr>
              <w:pStyle w:val="ExhibitText"/>
              <w:jc w:val="center"/>
              <w:rPr>
                <w:lang w:val="en-CA"/>
              </w:rPr>
            </w:pPr>
            <w:r w:rsidRPr="006834CE">
              <w:rPr>
                <w:lang w:val="en-CA"/>
              </w:rPr>
              <w:t>79.9%</w:t>
            </w:r>
          </w:p>
        </w:tc>
        <w:tc>
          <w:tcPr>
            <w:tcW w:w="1312" w:type="dxa"/>
          </w:tcPr>
          <w:p w14:paraId="68820CE0" w14:textId="77777777" w:rsidR="004F5958" w:rsidRPr="006834CE" w:rsidRDefault="004F5958" w:rsidP="002602FC">
            <w:pPr>
              <w:pStyle w:val="ExhibitText"/>
              <w:jc w:val="center"/>
              <w:rPr>
                <w:lang w:val="en-CA"/>
              </w:rPr>
            </w:pPr>
            <w:r w:rsidRPr="006834CE">
              <w:rPr>
                <w:lang w:val="en-CA"/>
              </w:rPr>
              <w:t>68.7%</w:t>
            </w:r>
          </w:p>
        </w:tc>
        <w:tc>
          <w:tcPr>
            <w:tcW w:w="1080" w:type="dxa"/>
          </w:tcPr>
          <w:p w14:paraId="6034CC9B" w14:textId="77777777" w:rsidR="004F5958" w:rsidRPr="006834CE" w:rsidRDefault="004F5958" w:rsidP="002602FC">
            <w:pPr>
              <w:pStyle w:val="ExhibitText"/>
              <w:jc w:val="center"/>
              <w:rPr>
                <w:lang w:val="en-CA"/>
              </w:rPr>
            </w:pPr>
            <w:r w:rsidRPr="006834CE">
              <w:rPr>
                <w:lang w:val="en-CA"/>
              </w:rPr>
              <w:t>66%</w:t>
            </w:r>
          </w:p>
        </w:tc>
      </w:tr>
      <w:tr w:rsidR="004F5958" w:rsidRPr="006834CE" w14:paraId="1921CB1D" w14:textId="77777777" w:rsidTr="00963D61">
        <w:trPr>
          <w:trHeight w:val="219"/>
          <w:tblHeader/>
          <w:jc w:val="center"/>
        </w:trPr>
        <w:tc>
          <w:tcPr>
            <w:tcW w:w="3413" w:type="dxa"/>
          </w:tcPr>
          <w:p w14:paraId="0F2F5A30" w14:textId="77777777" w:rsidR="004F5958" w:rsidRPr="006834CE" w:rsidRDefault="004F5958" w:rsidP="004F5958">
            <w:pPr>
              <w:pStyle w:val="ExhibitText"/>
              <w:rPr>
                <w:lang w:val="en-CA"/>
              </w:rPr>
            </w:pPr>
            <w:r w:rsidRPr="006834CE">
              <w:rPr>
                <w:lang w:val="en-CA"/>
              </w:rPr>
              <w:t>Online Retailers</w:t>
            </w:r>
          </w:p>
        </w:tc>
        <w:tc>
          <w:tcPr>
            <w:tcW w:w="1181" w:type="dxa"/>
          </w:tcPr>
          <w:p w14:paraId="26A3A647" w14:textId="77777777" w:rsidR="004F5958" w:rsidRPr="006834CE" w:rsidRDefault="004F5958" w:rsidP="002602FC">
            <w:pPr>
              <w:pStyle w:val="ExhibitText"/>
              <w:jc w:val="center"/>
              <w:rPr>
                <w:lang w:val="en-CA"/>
              </w:rPr>
            </w:pPr>
            <w:r w:rsidRPr="006834CE">
              <w:rPr>
                <w:lang w:val="en-CA"/>
              </w:rPr>
              <w:t>12.5%</w:t>
            </w:r>
          </w:p>
        </w:tc>
        <w:tc>
          <w:tcPr>
            <w:tcW w:w="1181" w:type="dxa"/>
          </w:tcPr>
          <w:p w14:paraId="6F2EA62A" w14:textId="77777777" w:rsidR="004F5958" w:rsidRPr="006834CE" w:rsidRDefault="004F5958" w:rsidP="002602FC">
            <w:pPr>
              <w:pStyle w:val="ExhibitText"/>
              <w:jc w:val="center"/>
              <w:rPr>
                <w:lang w:val="en-CA"/>
              </w:rPr>
            </w:pPr>
            <w:r w:rsidRPr="006834CE">
              <w:rPr>
                <w:lang w:val="en-CA"/>
              </w:rPr>
              <w:t>18.4%</w:t>
            </w:r>
          </w:p>
        </w:tc>
        <w:tc>
          <w:tcPr>
            <w:tcW w:w="1181" w:type="dxa"/>
          </w:tcPr>
          <w:p w14:paraId="6BA9982F" w14:textId="77777777" w:rsidR="004F5958" w:rsidRPr="006834CE" w:rsidRDefault="004F5958" w:rsidP="002602FC">
            <w:pPr>
              <w:pStyle w:val="ExhibitText"/>
              <w:jc w:val="center"/>
              <w:rPr>
                <w:lang w:val="en-CA"/>
              </w:rPr>
            </w:pPr>
            <w:r w:rsidRPr="006834CE">
              <w:rPr>
                <w:lang w:val="en-CA"/>
              </w:rPr>
              <w:t>20.1%</w:t>
            </w:r>
          </w:p>
        </w:tc>
        <w:tc>
          <w:tcPr>
            <w:tcW w:w="1312" w:type="dxa"/>
          </w:tcPr>
          <w:p w14:paraId="644037E3" w14:textId="77777777" w:rsidR="004F5958" w:rsidRPr="006834CE" w:rsidRDefault="004F5958" w:rsidP="002602FC">
            <w:pPr>
              <w:pStyle w:val="ExhibitText"/>
              <w:jc w:val="center"/>
              <w:rPr>
                <w:lang w:val="en-CA"/>
              </w:rPr>
            </w:pPr>
            <w:r w:rsidRPr="006834CE">
              <w:rPr>
                <w:lang w:val="en-CA"/>
              </w:rPr>
              <w:t>31.3%</w:t>
            </w:r>
          </w:p>
        </w:tc>
        <w:tc>
          <w:tcPr>
            <w:tcW w:w="1080" w:type="dxa"/>
          </w:tcPr>
          <w:p w14:paraId="0EACE033" w14:textId="77777777" w:rsidR="004F5958" w:rsidRPr="006834CE" w:rsidRDefault="004F5958" w:rsidP="002602FC">
            <w:pPr>
              <w:pStyle w:val="ExhibitText"/>
              <w:jc w:val="center"/>
              <w:rPr>
                <w:lang w:val="en-CA"/>
              </w:rPr>
            </w:pPr>
            <w:r w:rsidRPr="006834CE">
              <w:rPr>
                <w:lang w:val="en-CA"/>
              </w:rPr>
              <w:t>34%</w:t>
            </w:r>
          </w:p>
        </w:tc>
      </w:tr>
    </w:tbl>
    <w:p w14:paraId="2A2E30AB" w14:textId="77777777" w:rsidR="004F5958" w:rsidRPr="006834CE" w:rsidRDefault="004F5958" w:rsidP="00F31580">
      <w:pPr>
        <w:pStyle w:val="Footnote"/>
        <w:rPr>
          <w:sz w:val="16"/>
          <w:szCs w:val="16"/>
          <w:lang w:val="en-CA"/>
        </w:rPr>
      </w:pPr>
    </w:p>
    <w:p w14:paraId="4079CF0F" w14:textId="741CE617" w:rsidR="004F5958" w:rsidRPr="006834CE" w:rsidRDefault="004F5958" w:rsidP="004F5958">
      <w:pPr>
        <w:pStyle w:val="Footnote"/>
        <w:rPr>
          <w:lang w:val="en-CA"/>
        </w:rPr>
      </w:pPr>
      <w:r w:rsidRPr="006834CE">
        <w:rPr>
          <w:lang w:val="en-CA"/>
        </w:rPr>
        <w:t xml:space="preserve">Source: </w:t>
      </w:r>
      <w:r w:rsidR="000C616C" w:rsidRPr="006834CE">
        <w:rPr>
          <w:lang w:val="en-CA"/>
        </w:rPr>
        <w:t>“Mobile Phones in India,”</w:t>
      </w:r>
      <w:r w:rsidR="00B32878" w:rsidRPr="006834CE">
        <w:rPr>
          <w:lang w:val="en-CA"/>
        </w:rPr>
        <w:t xml:space="preserve"> </w:t>
      </w:r>
      <w:r w:rsidRPr="006834CE">
        <w:rPr>
          <w:lang w:val="en-CA"/>
        </w:rPr>
        <w:t>Euromonitor International</w:t>
      </w:r>
      <w:r w:rsidR="00B1618B" w:rsidRPr="006834CE">
        <w:rPr>
          <w:lang w:val="en-CA"/>
        </w:rPr>
        <w:t xml:space="preserve">, </w:t>
      </w:r>
      <w:r w:rsidR="000C616C" w:rsidRPr="006834CE">
        <w:rPr>
          <w:lang w:val="en-CA"/>
        </w:rPr>
        <w:t xml:space="preserve">September 2020, </w:t>
      </w:r>
      <w:r w:rsidR="00B1618B" w:rsidRPr="006834CE">
        <w:rPr>
          <w:lang w:val="en-CA"/>
        </w:rPr>
        <w:t>accessed February 8, 2021</w:t>
      </w:r>
      <w:r w:rsidR="000C616C" w:rsidRPr="006834CE">
        <w:rPr>
          <w:lang w:val="en-CA"/>
        </w:rPr>
        <w:t>, www.euromonitor.com/mobile-phones-in-india/report</w:t>
      </w:r>
      <w:r w:rsidR="00B1618B" w:rsidRPr="006834CE">
        <w:rPr>
          <w:lang w:val="en-CA"/>
        </w:rPr>
        <w:t>.</w:t>
      </w:r>
    </w:p>
    <w:p w14:paraId="06CF787F" w14:textId="44E63BF9" w:rsidR="00EC7282" w:rsidRPr="006834CE" w:rsidRDefault="00EC7282">
      <w:pPr>
        <w:spacing w:after="200" w:line="276" w:lineRule="auto"/>
        <w:rPr>
          <w:rFonts w:ascii="Arial" w:hAnsi="Arial" w:cs="Arial"/>
          <w:lang w:val="en-CA"/>
        </w:rPr>
      </w:pPr>
      <w:r w:rsidRPr="006834CE">
        <w:rPr>
          <w:lang w:val="en-CA"/>
        </w:rPr>
        <w:br w:type="page"/>
      </w:r>
    </w:p>
    <w:p w14:paraId="1C093CC8" w14:textId="3B9F1D04" w:rsidR="004F5958" w:rsidRPr="006834CE" w:rsidRDefault="00F31580" w:rsidP="004F5958">
      <w:pPr>
        <w:pStyle w:val="ExhibitHeading"/>
        <w:rPr>
          <w:lang w:val="en-CA"/>
        </w:rPr>
      </w:pPr>
      <w:r w:rsidRPr="006834CE">
        <w:rPr>
          <w:lang w:val="en-CA"/>
        </w:rPr>
        <w:lastRenderedPageBreak/>
        <w:t>Exhibit 7</w:t>
      </w:r>
      <w:r w:rsidR="004F5958" w:rsidRPr="006834CE">
        <w:rPr>
          <w:lang w:val="en-CA"/>
        </w:rPr>
        <w:t>: Domestic output and imports of mobile phones in India</w:t>
      </w:r>
    </w:p>
    <w:p w14:paraId="2C7FE256" w14:textId="77777777" w:rsidR="004F5958" w:rsidRPr="006834CE" w:rsidRDefault="004F5958" w:rsidP="00F31580">
      <w:pPr>
        <w:pStyle w:val="Footnote"/>
        <w:rPr>
          <w:sz w:val="20"/>
          <w:szCs w:val="20"/>
          <w:lang w:val="en-CA"/>
        </w:rPr>
      </w:pPr>
    </w:p>
    <w:tbl>
      <w:tblPr>
        <w:tblStyle w:val="TableGrid"/>
        <w:tblW w:w="0" w:type="auto"/>
        <w:tblCellMar>
          <w:top w:w="29" w:type="dxa"/>
          <w:left w:w="115" w:type="dxa"/>
          <w:bottom w:w="29" w:type="dxa"/>
          <w:right w:w="115" w:type="dxa"/>
        </w:tblCellMar>
        <w:tblLook w:val="04A0" w:firstRow="1" w:lastRow="0" w:firstColumn="1" w:lastColumn="0" w:noHBand="0" w:noVBand="1"/>
        <w:tblCaption w:val="Exhibit 7"/>
        <w:tblDescription w:val="Table of domestic output and imports of mobile phones in India"/>
      </w:tblPr>
      <w:tblGrid>
        <w:gridCol w:w="1435"/>
        <w:gridCol w:w="3780"/>
        <w:gridCol w:w="4135"/>
      </w:tblGrid>
      <w:tr w:rsidR="004F5958" w:rsidRPr="006834CE" w14:paraId="3F99D3E1" w14:textId="77777777" w:rsidTr="00963D61">
        <w:trPr>
          <w:tblHeader/>
        </w:trPr>
        <w:tc>
          <w:tcPr>
            <w:tcW w:w="1435" w:type="dxa"/>
          </w:tcPr>
          <w:p w14:paraId="296D7F54" w14:textId="77777777" w:rsidR="004F5958" w:rsidRPr="006834CE" w:rsidRDefault="004F5958" w:rsidP="00F31580">
            <w:pPr>
              <w:pStyle w:val="ExhibitText"/>
              <w:jc w:val="center"/>
              <w:rPr>
                <w:b/>
                <w:lang w:val="en-CA"/>
              </w:rPr>
            </w:pPr>
            <w:r w:rsidRPr="006834CE">
              <w:rPr>
                <w:b/>
                <w:lang w:val="en-CA"/>
              </w:rPr>
              <w:t>Year</w:t>
            </w:r>
          </w:p>
        </w:tc>
        <w:tc>
          <w:tcPr>
            <w:tcW w:w="3780" w:type="dxa"/>
          </w:tcPr>
          <w:p w14:paraId="68BA759B" w14:textId="25716411" w:rsidR="004F5958" w:rsidRPr="006834CE" w:rsidRDefault="004F5958" w:rsidP="00F31580">
            <w:pPr>
              <w:pStyle w:val="ExhibitText"/>
              <w:jc w:val="center"/>
              <w:rPr>
                <w:b/>
                <w:lang w:val="en-CA"/>
              </w:rPr>
            </w:pPr>
            <w:r w:rsidRPr="006834CE">
              <w:rPr>
                <w:b/>
                <w:lang w:val="en-CA"/>
              </w:rPr>
              <w:t>Domestic Output of Mobile Phones (in US$</w:t>
            </w:r>
            <w:r w:rsidR="00FE6B67" w:rsidRPr="006834CE">
              <w:rPr>
                <w:b/>
                <w:lang w:val="en-CA"/>
              </w:rPr>
              <w:t xml:space="preserve"> Billion</w:t>
            </w:r>
            <w:r w:rsidRPr="006834CE">
              <w:rPr>
                <w:b/>
                <w:lang w:val="en-CA"/>
              </w:rPr>
              <w:t>)</w:t>
            </w:r>
          </w:p>
        </w:tc>
        <w:tc>
          <w:tcPr>
            <w:tcW w:w="4135" w:type="dxa"/>
          </w:tcPr>
          <w:p w14:paraId="543EAF12" w14:textId="2A332E19" w:rsidR="004F5958" w:rsidRPr="006834CE" w:rsidRDefault="004F5958" w:rsidP="00F31580">
            <w:pPr>
              <w:pStyle w:val="ExhibitText"/>
              <w:jc w:val="center"/>
              <w:rPr>
                <w:b/>
                <w:lang w:val="en-CA"/>
              </w:rPr>
            </w:pPr>
            <w:r w:rsidRPr="006834CE">
              <w:rPr>
                <w:b/>
                <w:lang w:val="en-CA"/>
              </w:rPr>
              <w:t>Imports of Mobile Phones</w:t>
            </w:r>
          </w:p>
          <w:p w14:paraId="03CF37BC" w14:textId="0A18A6FD" w:rsidR="004F5958" w:rsidRPr="006834CE" w:rsidRDefault="004F5958" w:rsidP="00F31580">
            <w:pPr>
              <w:pStyle w:val="ExhibitText"/>
              <w:jc w:val="center"/>
              <w:rPr>
                <w:b/>
                <w:lang w:val="en-CA"/>
              </w:rPr>
            </w:pPr>
            <w:r w:rsidRPr="006834CE">
              <w:rPr>
                <w:b/>
                <w:lang w:val="en-CA"/>
              </w:rPr>
              <w:t>(in US$</w:t>
            </w:r>
            <w:r w:rsidR="00FE6B67" w:rsidRPr="006834CE">
              <w:rPr>
                <w:b/>
                <w:lang w:val="en-CA"/>
              </w:rPr>
              <w:t xml:space="preserve"> Billion</w:t>
            </w:r>
            <w:r w:rsidRPr="006834CE">
              <w:rPr>
                <w:b/>
                <w:lang w:val="en-CA"/>
              </w:rPr>
              <w:t>)</w:t>
            </w:r>
          </w:p>
        </w:tc>
      </w:tr>
      <w:tr w:rsidR="004F5958" w:rsidRPr="006834CE" w14:paraId="5DE82E66" w14:textId="77777777" w:rsidTr="00963D61">
        <w:trPr>
          <w:tblHeader/>
        </w:trPr>
        <w:tc>
          <w:tcPr>
            <w:tcW w:w="1435" w:type="dxa"/>
          </w:tcPr>
          <w:p w14:paraId="0B623B81" w14:textId="6ECADDF9" w:rsidR="004F5958" w:rsidRPr="006834CE" w:rsidRDefault="004F5958" w:rsidP="00B32878">
            <w:pPr>
              <w:pStyle w:val="ExhibitText"/>
              <w:jc w:val="center"/>
              <w:rPr>
                <w:lang w:val="en-CA"/>
              </w:rPr>
            </w:pPr>
            <w:r w:rsidRPr="006834CE">
              <w:rPr>
                <w:lang w:val="en-CA"/>
              </w:rPr>
              <w:t>2013</w:t>
            </w:r>
            <w:r w:rsidR="00FE6B67" w:rsidRPr="006834CE">
              <w:rPr>
                <w:lang w:val="en-CA"/>
              </w:rPr>
              <w:t>–</w:t>
            </w:r>
            <w:r w:rsidRPr="006834CE">
              <w:rPr>
                <w:lang w:val="en-CA"/>
              </w:rPr>
              <w:t>14</w:t>
            </w:r>
          </w:p>
        </w:tc>
        <w:tc>
          <w:tcPr>
            <w:tcW w:w="3780" w:type="dxa"/>
          </w:tcPr>
          <w:p w14:paraId="52917265" w14:textId="77777777" w:rsidR="004F5958" w:rsidRPr="006834CE" w:rsidRDefault="004F5958" w:rsidP="00FE6B67">
            <w:pPr>
              <w:pStyle w:val="ExhibitText"/>
              <w:jc w:val="center"/>
              <w:rPr>
                <w:lang w:val="en-CA"/>
              </w:rPr>
            </w:pPr>
            <w:r w:rsidRPr="006834CE">
              <w:rPr>
                <w:lang w:val="en-CA"/>
              </w:rPr>
              <w:t>4.4</w:t>
            </w:r>
          </w:p>
        </w:tc>
        <w:tc>
          <w:tcPr>
            <w:tcW w:w="4135" w:type="dxa"/>
          </w:tcPr>
          <w:p w14:paraId="30DE5ED0" w14:textId="77777777" w:rsidR="004F5958" w:rsidRPr="006834CE" w:rsidRDefault="004F5958" w:rsidP="00FE6B67">
            <w:pPr>
              <w:pStyle w:val="ExhibitText"/>
              <w:jc w:val="center"/>
              <w:rPr>
                <w:lang w:val="en-CA"/>
              </w:rPr>
            </w:pPr>
            <w:r w:rsidRPr="006834CE">
              <w:rPr>
                <w:lang w:val="en-CA"/>
              </w:rPr>
              <w:t>5.93</w:t>
            </w:r>
          </w:p>
        </w:tc>
      </w:tr>
      <w:tr w:rsidR="004F5958" w:rsidRPr="006834CE" w14:paraId="05D7D58D" w14:textId="77777777" w:rsidTr="00963D61">
        <w:trPr>
          <w:tblHeader/>
        </w:trPr>
        <w:tc>
          <w:tcPr>
            <w:tcW w:w="1435" w:type="dxa"/>
          </w:tcPr>
          <w:p w14:paraId="2F48DAEB" w14:textId="77B27DC8" w:rsidR="004F5958" w:rsidRPr="006834CE" w:rsidRDefault="004F5958" w:rsidP="00B32878">
            <w:pPr>
              <w:pStyle w:val="ExhibitText"/>
              <w:jc w:val="center"/>
              <w:rPr>
                <w:lang w:val="en-CA"/>
              </w:rPr>
            </w:pPr>
            <w:r w:rsidRPr="006834CE">
              <w:rPr>
                <w:lang w:val="en-CA"/>
              </w:rPr>
              <w:t>2014</w:t>
            </w:r>
            <w:r w:rsidR="00FE6B67" w:rsidRPr="006834CE">
              <w:rPr>
                <w:lang w:val="en-CA"/>
              </w:rPr>
              <w:t>–</w:t>
            </w:r>
            <w:r w:rsidRPr="006834CE">
              <w:rPr>
                <w:lang w:val="en-CA"/>
              </w:rPr>
              <w:t>15</w:t>
            </w:r>
          </w:p>
        </w:tc>
        <w:tc>
          <w:tcPr>
            <w:tcW w:w="3780" w:type="dxa"/>
          </w:tcPr>
          <w:p w14:paraId="19033760" w14:textId="77777777" w:rsidR="004F5958" w:rsidRPr="006834CE" w:rsidRDefault="004F5958" w:rsidP="00FE6B67">
            <w:pPr>
              <w:pStyle w:val="ExhibitText"/>
              <w:jc w:val="center"/>
              <w:rPr>
                <w:lang w:val="en-CA"/>
              </w:rPr>
            </w:pPr>
            <w:r w:rsidRPr="006834CE">
              <w:rPr>
                <w:lang w:val="en-CA"/>
              </w:rPr>
              <w:t>3.1</w:t>
            </w:r>
          </w:p>
        </w:tc>
        <w:tc>
          <w:tcPr>
            <w:tcW w:w="4135" w:type="dxa"/>
          </w:tcPr>
          <w:p w14:paraId="2B7014B9" w14:textId="77777777" w:rsidR="004F5958" w:rsidRPr="006834CE" w:rsidRDefault="004F5958" w:rsidP="00FE6B67">
            <w:pPr>
              <w:pStyle w:val="ExhibitText"/>
              <w:jc w:val="center"/>
              <w:rPr>
                <w:lang w:val="en-CA"/>
              </w:rPr>
            </w:pPr>
            <w:r w:rsidRPr="006834CE">
              <w:rPr>
                <w:lang w:val="en-CA"/>
              </w:rPr>
              <w:t>7.95</w:t>
            </w:r>
          </w:p>
        </w:tc>
      </w:tr>
      <w:tr w:rsidR="004F5958" w:rsidRPr="006834CE" w14:paraId="3FFFE01D" w14:textId="77777777" w:rsidTr="00963D61">
        <w:trPr>
          <w:tblHeader/>
        </w:trPr>
        <w:tc>
          <w:tcPr>
            <w:tcW w:w="1435" w:type="dxa"/>
          </w:tcPr>
          <w:p w14:paraId="44283B9E" w14:textId="15906A41" w:rsidR="004F5958" w:rsidRPr="006834CE" w:rsidRDefault="004F5958" w:rsidP="00B32878">
            <w:pPr>
              <w:pStyle w:val="ExhibitText"/>
              <w:jc w:val="center"/>
              <w:rPr>
                <w:lang w:val="en-CA"/>
              </w:rPr>
            </w:pPr>
            <w:r w:rsidRPr="006834CE">
              <w:rPr>
                <w:lang w:val="en-CA"/>
              </w:rPr>
              <w:t>2015</w:t>
            </w:r>
            <w:r w:rsidR="00FE6B67" w:rsidRPr="006834CE">
              <w:rPr>
                <w:lang w:val="en-CA"/>
              </w:rPr>
              <w:t>–</w:t>
            </w:r>
            <w:r w:rsidRPr="006834CE">
              <w:rPr>
                <w:lang w:val="en-CA"/>
              </w:rPr>
              <w:t>16</w:t>
            </w:r>
          </w:p>
        </w:tc>
        <w:tc>
          <w:tcPr>
            <w:tcW w:w="3780" w:type="dxa"/>
          </w:tcPr>
          <w:p w14:paraId="5683FB7B" w14:textId="77777777" w:rsidR="004F5958" w:rsidRPr="006834CE" w:rsidRDefault="004F5958" w:rsidP="00FE6B67">
            <w:pPr>
              <w:pStyle w:val="ExhibitText"/>
              <w:jc w:val="center"/>
              <w:rPr>
                <w:lang w:val="en-CA"/>
              </w:rPr>
            </w:pPr>
            <w:r w:rsidRPr="006834CE">
              <w:rPr>
                <w:lang w:val="en-CA"/>
              </w:rPr>
              <w:t>8.2</w:t>
            </w:r>
          </w:p>
        </w:tc>
        <w:tc>
          <w:tcPr>
            <w:tcW w:w="4135" w:type="dxa"/>
          </w:tcPr>
          <w:p w14:paraId="20538AC8" w14:textId="77777777" w:rsidR="004F5958" w:rsidRPr="006834CE" w:rsidRDefault="004F5958" w:rsidP="00FE6B67">
            <w:pPr>
              <w:pStyle w:val="ExhibitText"/>
              <w:jc w:val="center"/>
              <w:rPr>
                <w:lang w:val="en-CA"/>
              </w:rPr>
            </w:pPr>
            <w:r w:rsidRPr="006834CE">
              <w:rPr>
                <w:lang w:val="en-CA"/>
              </w:rPr>
              <w:t>6.06</w:t>
            </w:r>
          </w:p>
        </w:tc>
      </w:tr>
      <w:tr w:rsidR="004F5958" w:rsidRPr="006834CE" w14:paraId="08252F05" w14:textId="77777777" w:rsidTr="00963D61">
        <w:trPr>
          <w:tblHeader/>
        </w:trPr>
        <w:tc>
          <w:tcPr>
            <w:tcW w:w="1435" w:type="dxa"/>
          </w:tcPr>
          <w:p w14:paraId="5645A0FC" w14:textId="6048F82F" w:rsidR="004F5958" w:rsidRPr="006834CE" w:rsidRDefault="004F5958" w:rsidP="00B32878">
            <w:pPr>
              <w:pStyle w:val="ExhibitText"/>
              <w:jc w:val="center"/>
              <w:rPr>
                <w:lang w:val="en-CA"/>
              </w:rPr>
            </w:pPr>
            <w:r w:rsidRPr="006834CE">
              <w:rPr>
                <w:lang w:val="en-CA"/>
              </w:rPr>
              <w:t>2016</w:t>
            </w:r>
            <w:r w:rsidR="00FE6B67" w:rsidRPr="006834CE">
              <w:rPr>
                <w:lang w:val="en-CA"/>
              </w:rPr>
              <w:t>–</w:t>
            </w:r>
            <w:r w:rsidRPr="006834CE">
              <w:rPr>
                <w:lang w:val="en-CA"/>
              </w:rPr>
              <w:t>17</w:t>
            </w:r>
          </w:p>
        </w:tc>
        <w:tc>
          <w:tcPr>
            <w:tcW w:w="3780" w:type="dxa"/>
          </w:tcPr>
          <w:p w14:paraId="483DC554" w14:textId="77777777" w:rsidR="004F5958" w:rsidRPr="006834CE" w:rsidRDefault="004F5958" w:rsidP="00FE6B67">
            <w:pPr>
              <w:pStyle w:val="ExhibitText"/>
              <w:jc w:val="center"/>
              <w:rPr>
                <w:lang w:val="en-CA"/>
              </w:rPr>
            </w:pPr>
            <w:r w:rsidRPr="006834CE">
              <w:rPr>
                <w:lang w:val="en-CA"/>
              </w:rPr>
              <w:t>13.4</w:t>
            </w:r>
          </w:p>
        </w:tc>
        <w:tc>
          <w:tcPr>
            <w:tcW w:w="4135" w:type="dxa"/>
          </w:tcPr>
          <w:p w14:paraId="04C802EF" w14:textId="77777777" w:rsidR="004F5958" w:rsidRPr="006834CE" w:rsidRDefault="004F5958" w:rsidP="00FE6B67">
            <w:pPr>
              <w:pStyle w:val="ExhibitText"/>
              <w:jc w:val="center"/>
              <w:rPr>
                <w:lang w:val="en-CA"/>
              </w:rPr>
            </w:pPr>
            <w:r w:rsidRPr="006834CE">
              <w:rPr>
                <w:lang w:val="en-CA"/>
              </w:rPr>
              <w:t>3.79</w:t>
            </w:r>
          </w:p>
        </w:tc>
      </w:tr>
      <w:tr w:rsidR="004F5958" w:rsidRPr="006834CE" w14:paraId="22C1874A" w14:textId="77777777" w:rsidTr="00963D61">
        <w:trPr>
          <w:tblHeader/>
        </w:trPr>
        <w:tc>
          <w:tcPr>
            <w:tcW w:w="1435" w:type="dxa"/>
          </w:tcPr>
          <w:p w14:paraId="15897C08" w14:textId="6A66023B" w:rsidR="004F5958" w:rsidRPr="006834CE" w:rsidRDefault="004F5958" w:rsidP="00B32878">
            <w:pPr>
              <w:pStyle w:val="ExhibitText"/>
              <w:jc w:val="center"/>
              <w:rPr>
                <w:lang w:val="en-CA"/>
              </w:rPr>
            </w:pPr>
            <w:r w:rsidRPr="006834CE">
              <w:rPr>
                <w:lang w:val="en-CA"/>
              </w:rPr>
              <w:t>2017</w:t>
            </w:r>
            <w:r w:rsidR="00FE6B67" w:rsidRPr="006834CE">
              <w:rPr>
                <w:lang w:val="en-CA"/>
              </w:rPr>
              <w:t>–</w:t>
            </w:r>
            <w:r w:rsidRPr="006834CE">
              <w:rPr>
                <w:lang w:val="en-CA"/>
              </w:rPr>
              <w:t>18</w:t>
            </w:r>
          </w:p>
        </w:tc>
        <w:tc>
          <w:tcPr>
            <w:tcW w:w="3780" w:type="dxa"/>
          </w:tcPr>
          <w:p w14:paraId="5667EEA2" w14:textId="77777777" w:rsidR="004F5958" w:rsidRPr="006834CE" w:rsidRDefault="004F5958" w:rsidP="00FE6B67">
            <w:pPr>
              <w:pStyle w:val="ExhibitText"/>
              <w:jc w:val="center"/>
              <w:rPr>
                <w:lang w:val="en-CA"/>
              </w:rPr>
            </w:pPr>
            <w:r w:rsidRPr="006834CE">
              <w:rPr>
                <w:lang w:val="en-CA"/>
              </w:rPr>
              <w:t>20.5</w:t>
            </w:r>
          </w:p>
        </w:tc>
        <w:tc>
          <w:tcPr>
            <w:tcW w:w="4135" w:type="dxa"/>
          </w:tcPr>
          <w:p w14:paraId="6C3AB1BD" w14:textId="77777777" w:rsidR="004F5958" w:rsidRPr="006834CE" w:rsidRDefault="004F5958" w:rsidP="00FE6B67">
            <w:pPr>
              <w:pStyle w:val="ExhibitText"/>
              <w:jc w:val="center"/>
              <w:rPr>
                <w:lang w:val="en-CA"/>
              </w:rPr>
            </w:pPr>
            <w:r w:rsidRPr="006834CE">
              <w:rPr>
                <w:lang w:val="en-CA"/>
              </w:rPr>
              <w:t>3.54</w:t>
            </w:r>
          </w:p>
        </w:tc>
      </w:tr>
    </w:tbl>
    <w:p w14:paraId="3E023F17" w14:textId="77777777" w:rsidR="00297D39" w:rsidRPr="006834CE" w:rsidRDefault="00297D39" w:rsidP="004F5958">
      <w:pPr>
        <w:pStyle w:val="Footnote"/>
        <w:rPr>
          <w:sz w:val="16"/>
          <w:szCs w:val="16"/>
          <w:lang w:val="en-CA"/>
        </w:rPr>
      </w:pPr>
    </w:p>
    <w:p w14:paraId="756FDD73" w14:textId="7AB7D4E6" w:rsidR="004F5958" w:rsidRPr="006834CE" w:rsidRDefault="004F5958" w:rsidP="004F5958">
      <w:pPr>
        <w:pStyle w:val="Footnote"/>
        <w:rPr>
          <w:rStyle w:val="Hyperlink"/>
          <w:color w:val="auto"/>
          <w:u w:val="none"/>
          <w:lang w:val="en-CA"/>
        </w:rPr>
      </w:pPr>
      <w:r w:rsidRPr="006834CE">
        <w:rPr>
          <w:lang w:val="en-CA"/>
        </w:rPr>
        <w:t xml:space="preserve">Source: Compiled by the author </w:t>
      </w:r>
      <w:r w:rsidR="00B32878" w:rsidRPr="006834CE">
        <w:rPr>
          <w:lang w:val="en-CA"/>
        </w:rPr>
        <w:t>with</w:t>
      </w:r>
      <w:r w:rsidRPr="006834CE">
        <w:rPr>
          <w:lang w:val="en-CA"/>
        </w:rPr>
        <w:t xml:space="preserve"> information </w:t>
      </w:r>
      <w:r w:rsidR="00B32878" w:rsidRPr="006834CE">
        <w:rPr>
          <w:lang w:val="en-CA"/>
        </w:rPr>
        <w:t>from</w:t>
      </w:r>
      <w:r w:rsidRPr="006834CE">
        <w:rPr>
          <w:lang w:val="en-CA"/>
        </w:rPr>
        <w:t xml:space="preserve"> </w:t>
      </w:r>
      <w:r w:rsidR="00B32878" w:rsidRPr="006834CE">
        <w:rPr>
          <w:lang w:val="en-CA"/>
        </w:rPr>
        <w:t xml:space="preserve">Sunil Mani, “Developing India’s Mobile Phone Manufacturing Industry,” </w:t>
      </w:r>
      <w:r w:rsidR="00B32878" w:rsidRPr="006834CE">
        <w:rPr>
          <w:i/>
          <w:lang w:val="en-CA"/>
        </w:rPr>
        <w:t>Economic and Political Weekly</w:t>
      </w:r>
      <w:r w:rsidR="00B32878" w:rsidRPr="006834CE">
        <w:rPr>
          <w:lang w:val="en-CA"/>
        </w:rPr>
        <w:t xml:space="preserve"> 55, no. 19 (</w:t>
      </w:r>
      <w:r w:rsidR="000C616C" w:rsidRPr="006834CE">
        <w:rPr>
          <w:lang w:val="en-CA"/>
        </w:rPr>
        <w:t xml:space="preserve">May </w:t>
      </w:r>
      <w:r w:rsidR="00B32878" w:rsidRPr="006834CE">
        <w:rPr>
          <w:lang w:val="en-CA"/>
        </w:rPr>
        <w:t xml:space="preserve">2020), accessed February 8, 2021, </w:t>
      </w:r>
      <w:r w:rsidRPr="006834CE">
        <w:rPr>
          <w:rStyle w:val="Hyperlink"/>
          <w:color w:val="auto"/>
          <w:u w:val="none"/>
          <w:lang w:val="en-CA"/>
        </w:rPr>
        <w:t>www.epw.in/journal/2020/19/special-articles/developing-indias-mobile-phone-manufacturing.html</w:t>
      </w:r>
      <w:r w:rsidR="00B32878" w:rsidRPr="006834CE">
        <w:rPr>
          <w:rStyle w:val="Hyperlink"/>
          <w:color w:val="auto"/>
          <w:u w:val="none"/>
          <w:lang w:val="en-CA"/>
        </w:rPr>
        <w:t>.</w:t>
      </w:r>
    </w:p>
    <w:p w14:paraId="2F51BC80" w14:textId="77777777" w:rsidR="00C05CB5" w:rsidRPr="006834CE" w:rsidRDefault="00C05CB5" w:rsidP="004F5958">
      <w:pPr>
        <w:pStyle w:val="ExhibitHeading"/>
        <w:rPr>
          <w:lang w:val="en-CA"/>
        </w:rPr>
      </w:pPr>
    </w:p>
    <w:p w14:paraId="07CF340A" w14:textId="77777777" w:rsidR="00EC7282" w:rsidRPr="006834CE" w:rsidRDefault="00EC7282" w:rsidP="004F5958">
      <w:pPr>
        <w:pStyle w:val="ExhibitHeading"/>
        <w:rPr>
          <w:lang w:val="en-CA"/>
        </w:rPr>
      </w:pPr>
    </w:p>
    <w:p w14:paraId="5F8F6E20" w14:textId="6D9FE5CD" w:rsidR="004F5958" w:rsidRPr="006834CE" w:rsidRDefault="004F5958" w:rsidP="004F5958">
      <w:pPr>
        <w:pStyle w:val="ExhibitHeading"/>
        <w:rPr>
          <w:lang w:val="en-CA"/>
        </w:rPr>
      </w:pPr>
      <w:r w:rsidRPr="006834CE">
        <w:rPr>
          <w:lang w:val="en-CA"/>
        </w:rPr>
        <w:t>Exhibit</w:t>
      </w:r>
      <w:r w:rsidR="00B1618B" w:rsidRPr="006834CE">
        <w:rPr>
          <w:lang w:val="en-CA"/>
        </w:rPr>
        <w:t xml:space="preserve"> </w:t>
      </w:r>
      <w:r w:rsidR="00F31580" w:rsidRPr="006834CE">
        <w:rPr>
          <w:lang w:val="en-CA"/>
        </w:rPr>
        <w:t>8</w:t>
      </w:r>
      <w:r w:rsidRPr="006834CE">
        <w:rPr>
          <w:lang w:val="en-CA"/>
        </w:rPr>
        <w:t>: Import of mobile phone parts in India (2009</w:t>
      </w:r>
      <w:r w:rsidR="00FE6B67" w:rsidRPr="006834CE">
        <w:rPr>
          <w:lang w:val="en-CA"/>
        </w:rPr>
        <w:t>–20</w:t>
      </w:r>
      <w:r w:rsidRPr="006834CE">
        <w:rPr>
          <w:lang w:val="en-CA"/>
        </w:rPr>
        <w:t>18)</w:t>
      </w:r>
    </w:p>
    <w:p w14:paraId="5FE4413C" w14:textId="77777777" w:rsidR="004F5958" w:rsidRPr="006834CE" w:rsidRDefault="004F5958" w:rsidP="00F31580">
      <w:pPr>
        <w:pStyle w:val="Footnote"/>
        <w:rPr>
          <w:sz w:val="20"/>
          <w:szCs w:val="20"/>
          <w:lang w:val="en-CA"/>
        </w:rPr>
      </w:pPr>
    </w:p>
    <w:tbl>
      <w:tblPr>
        <w:tblStyle w:val="TableGrid"/>
        <w:tblW w:w="0" w:type="auto"/>
        <w:jc w:val="center"/>
        <w:tblCellMar>
          <w:top w:w="43" w:type="dxa"/>
          <w:left w:w="115" w:type="dxa"/>
          <w:bottom w:w="43" w:type="dxa"/>
          <w:right w:w="115" w:type="dxa"/>
        </w:tblCellMar>
        <w:tblLook w:val="04A0" w:firstRow="1" w:lastRow="0" w:firstColumn="1" w:lastColumn="0" w:noHBand="0" w:noVBand="1"/>
        <w:tblCaption w:val="Exhibit 8"/>
        <w:tblDescription w:val="Import of mobile phone parts in India from 2009 to 2018"/>
      </w:tblPr>
      <w:tblGrid>
        <w:gridCol w:w="805"/>
        <w:gridCol w:w="3060"/>
      </w:tblGrid>
      <w:tr w:rsidR="004F5958" w:rsidRPr="006834CE" w14:paraId="21613271" w14:textId="77777777" w:rsidTr="00963D61">
        <w:trPr>
          <w:tblHeader/>
          <w:jc w:val="center"/>
        </w:trPr>
        <w:tc>
          <w:tcPr>
            <w:tcW w:w="805" w:type="dxa"/>
          </w:tcPr>
          <w:p w14:paraId="1C80AA74" w14:textId="77777777" w:rsidR="004F5958" w:rsidRPr="006834CE" w:rsidRDefault="004F5958" w:rsidP="00F31580">
            <w:pPr>
              <w:pStyle w:val="ExhibitText"/>
              <w:jc w:val="center"/>
              <w:rPr>
                <w:b/>
                <w:lang w:val="en-CA"/>
              </w:rPr>
            </w:pPr>
            <w:r w:rsidRPr="006834CE">
              <w:rPr>
                <w:b/>
                <w:lang w:val="en-CA"/>
              </w:rPr>
              <w:t>Year</w:t>
            </w:r>
          </w:p>
        </w:tc>
        <w:tc>
          <w:tcPr>
            <w:tcW w:w="3060" w:type="dxa"/>
          </w:tcPr>
          <w:p w14:paraId="0F17DC0A" w14:textId="714A9FB6" w:rsidR="004F5958" w:rsidRPr="006834CE" w:rsidRDefault="004F5958" w:rsidP="00F31580">
            <w:pPr>
              <w:pStyle w:val="ExhibitText"/>
              <w:jc w:val="center"/>
              <w:rPr>
                <w:b/>
                <w:lang w:val="en-CA"/>
              </w:rPr>
            </w:pPr>
            <w:r w:rsidRPr="006834CE">
              <w:rPr>
                <w:b/>
                <w:lang w:val="en-CA"/>
              </w:rPr>
              <w:t xml:space="preserve">Import of Mobile Phone Parts (in </w:t>
            </w:r>
            <w:r w:rsidR="00FE6B67" w:rsidRPr="006834CE">
              <w:rPr>
                <w:b/>
                <w:lang w:val="en-CA"/>
              </w:rPr>
              <w:t>US$ B</w:t>
            </w:r>
            <w:r w:rsidRPr="006834CE">
              <w:rPr>
                <w:b/>
                <w:lang w:val="en-CA"/>
              </w:rPr>
              <w:t>illion)</w:t>
            </w:r>
          </w:p>
        </w:tc>
      </w:tr>
      <w:tr w:rsidR="004F5958" w:rsidRPr="006834CE" w14:paraId="245D8B76" w14:textId="77777777" w:rsidTr="00963D61">
        <w:trPr>
          <w:tblHeader/>
          <w:jc w:val="center"/>
        </w:trPr>
        <w:tc>
          <w:tcPr>
            <w:tcW w:w="805" w:type="dxa"/>
          </w:tcPr>
          <w:p w14:paraId="28D8E57B" w14:textId="77777777" w:rsidR="004F5958" w:rsidRPr="006834CE" w:rsidRDefault="004F5958" w:rsidP="004F5958">
            <w:pPr>
              <w:pStyle w:val="ExhibitText"/>
              <w:rPr>
                <w:lang w:val="en-CA"/>
              </w:rPr>
            </w:pPr>
            <w:r w:rsidRPr="006834CE">
              <w:rPr>
                <w:lang w:val="en-CA"/>
              </w:rPr>
              <w:t>2009</w:t>
            </w:r>
          </w:p>
        </w:tc>
        <w:tc>
          <w:tcPr>
            <w:tcW w:w="3060" w:type="dxa"/>
          </w:tcPr>
          <w:p w14:paraId="23E85DA7" w14:textId="77777777" w:rsidR="004F5958" w:rsidRPr="006834CE" w:rsidRDefault="004F5958" w:rsidP="00FE6B67">
            <w:pPr>
              <w:pStyle w:val="ExhibitText"/>
              <w:jc w:val="center"/>
              <w:rPr>
                <w:lang w:val="en-CA"/>
              </w:rPr>
            </w:pPr>
            <w:r w:rsidRPr="006834CE">
              <w:rPr>
                <w:lang w:val="en-CA"/>
              </w:rPr>
              <w:t>2.26</w:t>
            </w:r>
          </w:p>
        </w:tc>
      </w:tr>
      <w:tr w:rsidR="004F5958" w:rsidRPr="006834CE" w14:paraId="5C0B79D4" w14:textId="77777777" w:rsidTr="00963D61">
        <w:trPr>
          <w:tblHeader/>
          <w:jc w:val="center"/>
        </w:trPr>
        <w:tc>
          <w:tcPr>
            <w:tcW w:w="805" w:type="dxa"/>
          </w:tcPr>
          <w:p w14:paraId="33BC05C2" w14:textId="77777777" w:rsidR="004F5958" w:rsidRPr="006834CE" w:rsidRDefault="004F5958" w:rsidP="004F5958">
            <w:pPr>
              <w:pStyle w:val="ExhibitText"/>
              <w:rPr>
                <w:lang w:val="en-CA"/>
              </w:rPr>
            </w:pPr>
            <w:r w:rsidRPr="006834CE">
              <w:rPr>
                <w:lang w:val="en-CA"/>
              </w:rPr>
              <w:t>2010</w:t>
            </w:r>
          </w:p>
        </w:tc>
        <w:tc>
          <w:tcPr>
            <w:tcW w:w="3060" w:type="dxa"/>
          </w:tcPr>
          <w:p w14:paraId="4F35BFCA" w14:textId="77777777" w:rsidR="004F5958" w:rsidRPr="006834CE" w:rsidRDefault="004F5958" w:rsidP="00FE6B67">
            <w:pPr>
              <w:pStyle w:val="ExhibitText"/>
              <w:jc w:val="center"/>
              <w:rPr>
                <w:lang w:val="en-CA"/>
              </w:rPr>
            </w:pPr>
            <w:r w:rsidRPr="006834CE">
              <w:rPr>
                <w:lang w:val="en-CA"/>
              </w:rPr>
              <w:t>1.98</w:t>
            </w:r>
          </w:p>
        </w:tc>
      </w:tr>
      <w:tr w:rsidR="004F5958" w:rsidRPr="006834CE" w14:paraId="2FBB3801" w14:textId="77777777" w:rsidTr="00963D61">
        <w:trPr>
          <w:tblHeader/>
          <w:jc w:val="center"/>
        </w:trPr>
        <w:tc>
          <w:tcPr>
            <w:tcW w:w="805" w:type="dxa"/>
          </w:tcPr>
          <w:p w14:paraId="3F4DA4DD" w14:textId="77777777" w:rsidR="004F5958" w:rsidRPr="006834CE" w:rsidRDefault="004F5958" w:rsidP="004F5958">
            <w:pPr>
              <w:pStyle w:val="ExhibitText"/>
              <w:rPr>
                <w:lang w:val="en-CA"/>
              </w:rPr>
            </w:pPr>
            <w:r w:rsidRPr="006834CE">
              <w:rPr>
                <w:lang w:val="en-CA"/>
              </w:rPr>
              <w:t>2011</w:t>
            </w:r>
          </w:p>
        </w:tc>
        <w:tc>
          <w:tcPr>
            <w:tcW w:w="3060" w:type="dxa"/>
          </w:tcPr>
          <w:p w14:paraId="20BA8CE0" w14:textId="77777777" w:rsidR="004F5958" w:rsidRPr="006834CE" w:rsidRDefault="004F5958" w:rsidP="00FE6B67">
            <w:pPr>
              <w:pStyle w:val="ExhibitText"/>
              <w:jc w:val="center"/>
              <w:rPr>
                <w:lang w:val="en-CA"/>
              </w:rPr>
            </w:pPr>
            <w:r w:rsidRPr="006834CE">
              <w:rPr>
                <w:lang w:val="en-CA"/>
              </w:rPr>
              <w:t>3.1</w:t>
            </w:r>
          </w:p>
        </w:tc>
      </w:tr>
      <w:tr w:rsidR="004F5958" w:rsidRPr="006834CE" w14:paraId="3D49FE83" w14:textId="77777777" w:rsidTr="00963D61">
        <w:trPr>
          <w:tblHeader/>
          <w:jc w:val="center"/>
        </w:trPr>
        <w:tc>
          <w:tcPr>
            <w:tcW w:w="805" w:type="dxa"/>
          </w:tcPr>
          <w:p w14:paraId="3C6054E8" w14:textId="77777777" w:rsidR="004F5958" w:rsidRPr="006834CE" w:rsidRDefault="004F5958" w:rsidP="004F5958">
            <w:pPr>
              <w:pStyle w:val="ExhibitText"/>
              <w:rPr>
                <w:lang w:val="en-CA"/>
              </w:rPr>
            </w:pPr>
            <w:r w:rsidRPr="006834CE">
              <w:rPr>
                <w:lang w:val="en-CA"/>
              </w:rPr>
              <w:t>2012</w:t>
            </w:r>
          </w:p>
        </w:tc>
        <w:tc>
          <w:tcPr>
            <w:tcW w:w="3060" w:type="dxa"/>
          </w:tcPr>
          <w:p w14:paraId="56A61A40" w14:textId="77777777" w:rsidR="004F5958" w:rsidRPr="006834CE" w:rsidRDefault="004F5958" w:rsidP="00FE6B67">
            <w:pPr>
              <w:pStyle w:val="ExhibitText"/>
              <w:jc w:val="center"/>
              <w:rPr>
                <w:lang w:val="en-CA"/>
              </w:rPr>
            </w:pPr>
            <w:r w:rsidRPr="006834CE">
              <w:rPr>
                <w:lang w:val="en-CA"/>
              </w:rPr>
              <w:t>2.68</w:t>
            </w:r>
          </w:p>
        </w:tc>
      </w:tr>
      <w:tr w:rsidR="004F5958" w:rsidRPr="006834CE" w14:paraId="39184D43" w14:textId="77777777" w:rsidTr="00963D61">
        <w:trPr>
          <w:tblHeader/>
          <w:jc w:val="center"/>
        </w:trPr>
        <w:tc>
          <w:tcPr>
            <w:tcW w:w="805" w:type="dxa"/>
          </w:tcPr>
          <w:p w14:paraId="5AB5CBB1" w14:textId="77777777" w:rsidR="004F5958" w:rsidRPr="006834CE" w:rsidRDefault="004F5958" w:rsidP="004F5958">
            <w:pPr>
              <w:pStyle w:val="ExhibitText"/>
              <w:rPr>
                <w:lang w:val="en-CA"/>
              </w:rPr>
            </w:pPr>
            <w:r w:rsidRPr="006834CE">
              <w:rPr>
                <w:lang w:val="en-CA"/>
              </w:rPr>
              <w:t>2013</w:t>
            </w:r>
          </w:p>
        </w:tc>
        <w:tc>
          <w:tcPr>
            <w:tcW w:w="3060" w:type="dxa"/>
          </w:tcPr>
          <w:p w14:paraId="0B5438EB" w14:textId="77777777" w:rsidR="004F5958" w:rsidRPr="006834CE" w:rsidRDefault="004F5958" w:rsidP="00FE6B67">
            <w:pPr>
              <w:pStyle w:val="ExhibitText"/>
              <w:jc w:val="center"/>
              <w:rPr>
                <w:lang w:val="en-CA"/>
              </w:rPr>
            </w:pPr>
            <w:r w:rsidRPr="006834CE">
              <w:rPr>
                <w:lang w:val="en-CA"/>
              </w:rPr>
              <w:t>2.9</w:t>
            </w:r>
          </w:p>
        </w:tc>
      </w:tr>
      <w:tr w:rsidR="004F5958" w:rsidRPr="006834CE" w14:paraId="772A9E05" w14:textId="77777777" w:rsidTr="00963D61">
        <w:trPr>
          <w:tblHeader/>
          <w:jc w:val="center"/>
        </w:trPr>
        <w:tc>
          <w:tcPr>
            <w:tcW w:w="805" w:type="dxa"/>
          </w:tcPr>
          <w:p w14:paraId="7458DE86" w14:textId="77777777" w:rsidR="004F5958" w:rsidRPr="006834CE" w:rsidRDefault="004F5958" w:rsidP="004F5958">
            <w:pPr>
              <w:pStyle w:val="ExhibitText"/>
              <w:rPr>
                <w:lang w:val="en-CA"/>
              </w:rPr>
            </w:pPr>
            <w:r w:rsidRPr="006834CE">
              <w:rPr>
                <w:lang w:val="en-CA"/>
              </w:rPr>
              <w:t>2014</w:t>
            </w:r>
          </w:p>
        </w:tc>
        <w:tc>
          <w:tcPr>
            <w:tcW w:w="3060" w:type="dxa"/>
          </w:tcPr>
          <w:p w14:paraId="105DBD0F" w14:textId="77777777" w:rsidR="004F5958" w:rsidRPr="006834CE" w:rsidRDefault="004F5958" w:rsidP="00FE6B67">
            <w:pPr>
              <w:pStyle w:val="ExhibitText"/>
              <w:jc w:val="center"/>
              <w:rPr>
                <w:lang w:val="en-CA"/>
              </w:rPr>
            </w:pPr>
            <w:r w:rsidRPr="006834CE">
              <w:rPr>
                <w:lang w:val="en-CA"/>
              </w:rPr>
              <w:t>2.67</w:t>
            </w:r>
          </w:p>
        </w:tc>
      </w:tr>
      <w:tr w:rsidR="004F5958" w:rsidRPr="006834CE" w14:paraId="7088F4A5" w14:textId="77777777" w:rsidTr="00963D61">
        <w:trPr>
          <w:tblHeader/>
          <w:jc w:val="center"/>
        </w:trPr>
        <w:tc>
          <w:tcPr>
            <w:tcW w:w="805" w:type="dxa"/>
          </w:tcPr>
          <w:p w14:paraId="38FD2126" w14:textId="77777777" w:rsidR="004F5958" w:rsidRPr="006834CE" w:rsidRDefault="004F5958" w:rsidP="004F5958">
            <w:pPr>
              <w:pStyle w:val="ExhibitText"/>
              <w:rPr>
                <w:lang w:val="en-CA"/>
              </w:rPr>
            </w:pPr>
            <w:r w:rsidRPr="006834CE">
              <w:rPr>
                <w:lang w:val="en-CA"/>
              </w:rPr>
              <w:t>2015</w:t>
            </w:r>
          </w:p>
        </w:tc>
        <w:tc>
          <w:tcPr>
            <w:tcW w:w="3060" w:type="dxa"/>
          </w:tcPr>
          <w:p w14:paraId="61ED880B" w14:textId="77777777" w:rsidR="004F5958" w:rsidRPr="006834CE" w:rsidRDefault="004F5958" w:rsidP="00FE6B67">
            <w:pPr>
              <w:pStyle w:val="ExhibitText"/>
              <w:jc w:val="center"/>
              <w:rPr>
                <w:lang w:val="en-CA"/>
              </w:rPr>
            </w:pPr>
            <w:r w:rsidRPr="006834CE">
              <w:rPr>
                <w:lang w:val="en-CA"/>
              </w:rPr>
              <w:t>2.84</w:t>
            </w:r>
          </w:p>
        </w:tc>
      </w:tr>
      <w:tr w:rsidR="004F5958" w:rsidRPr="006834CE" w14:paraId="4F576553" w14:textId="77777777" w:rsidTr="00963D61">
        <w:trPr>
          <w:tblHeader/>
          <w:jc w:val="center"/>
        </w:trPr>
        <w:tc>
          <w:tcPr>
            <w:tcW w:w="805" w:type="dxa"/>
          </w:tcPr>
          <w:p w14:paraId="511E584C" w14:textId="77777777" w:rsidR="004F5958" w:rsidRPr="006834CE" w:rsidRDefault="004F5958" w:rsidP="004F5958">
            <w:pPr>
              <w:pStyle w:val="ExhibitText"/>
              <w:rPr>
                <w:lang w:val="en-CA"/>
              </w:rPr>
            </w:pPr>
            <w:r w:rsidRPr="006834CE">
              <w:rPr>
                <w:lang w:val="en-CA"/>
              </w:rPr>
              <w:t>2016</w:t>
            </w:r>
          </w:p>
        </w:tc>
        <w:tc>
          <w:tcPr>
            <w:tcW w:w="3060" w:type="dxa"/>
          </w:tcPr>
          <w:p w14:paraId="142E4D47" w14:textId="77777777" w:rsidR="004F5958" w:rsidRPr="006834CE" w:rsidRDefault="004F5958" w:rsidP="00FE6B67">
            <w:pPr>
              <w:pStyle w:val="ExhibitText"/>
              <w:jc w:val="center"/>
              <w:rPr>
                <w:lang w:val="en-CA"/>
              </w:rPr>
            </w:pPr>
            <w:r w:rsidRPr="006834CE">
              <w:rPr>
                <w:lang w:val="en-CA"/>
              </w:rPr>
              <w:t>5.04</w:t>
            </w:r>
          </w:p>
        </w:tc>
      </w:tr>
      <w:tr w:rsidR="004F5958" w:rsidRPr="006834CE" w14:paraId="1D3ABDED" w14:textId="77777777" w:rsidTr="00963D61">
        <w:trPr>
          <w:tblHeader/>
          <w:jc w:val="center"/>
        </w:trPr>
        <w:tc>
          <w:tcPr>
            <w:tcW w:w="805" w:type="dxa"/>
          </w:tcPr>
          <w:p w14:paraId="66D6F465" w14:textId="77777777" w:rsidR="004F5958" w:rsidRPr="006834CE" w:rsidRDefault="004F5958" w:rsidP="004F5958">
            <w:pPr>
              <w:pStyle w:val="ExhibitText"/>
              <w:rPr>
                <w:lang w:val="en-CA"/>
              </w:rPr>
            </w:pPr>
            <w:r w:rsidRPr="006834CE">
              <w:rPr>
                <w:lang w:val="en-CA"/>
              </w:rPr>
              <w:t>2017</w:t>
            </w:r>
          </w:p>
        </w:tc>
        <w:tc>
          <w:tcPr>
            <w:tcW w:w="3060" w:type="dxa"/>
          </w:tcPr>
          <w:p w14:paraId="5F6ABF53" w14:textId="77777777" w:rsidR="004F5958" w:rsidRPr="006834CE" w:rsidRDefault="004F5958" w:rsidP="00FE6B67">
            <w:pPr>
              <w:pStyle w:val="ExhibitText"/>
              <w:jc w:val="center"/>
              <w:rPr>
                <w:lang w:val="en-CA"/>
              </w:rPr>
            </w:pPr>
            <w:r w:rsidRPr="006834CE">
              <w:rPr>
                <w:lang w:val="en-CA"/>
              </w:rPr>
              <w:t>7.44</w:t>
            </w:r>
          </w:p>
        </w:tc>
      </w:tr>
      <w:tr w:rsidR="004F5958" w:rsidRPr="006834CE" w14:paraId="2631DA77" w14:textId="77777777" w:rsidTr="00963D61">
        <w:trPr>
          <w:tblHeader/>
          <w:jc w:val="center"/>
        </w:trPr>
        <w:tc>
          <w:tcPr>
            <w:tcW w:w="805" w:type="dxa"/>
          </w:tcPr>
          <w:p w14:paraId="719500B7" w14:textId="77777777" w:rsidR="004F5958" w:rsidRPr="006834CE" w:rsidRDefault="004F5958" w:rsidP="004F5958">
            <w:pPr>
              <w:pStyle w:val="ExhibitText"/>
              <w:rPr>
                <w:lang w:val="en-CA"/>
              </w:rPr>
            </w:pPr>
            <w:r w:rsidRPr="006834CE">
              <w:rPr>
                <w:lang w:val="en-CA"/>
              </w:rPr>
              <w:t>2018</w:t>
            </w:r>
          </w:p>
        </w:tc>
        <w:tc>
          <w:tcPr>
            <w:tcW w:w="3060" w:type="dxa"/>
          </w:tcPr>
          <w:p w14:paraId="7C496197" w14:textId="77777777" w:rsidR="004F5958" w:rsidRPr="006834CE" w:rsidRDefault="004F5958" w:rsidP="00FE6B67">
            <w:pPr>
              <w:pStyle w:val="ExhibitText"/>
              <w:jc w:val="center"/>
              <w:rPr>
                <w:lang w:val="en-CA"/>
              </w:rPr>
            </w:pPr>
            <w:r w:rsidRPr="006834CE">
              <w:rPr>
                <w:lang w:val="en-CA"/>
              </w:rPr>
              <w:t>11.56</w:t>
            </w:r>
          </w:p>
        </w:tc>
      </w:tr>
    </w:tbl>
    <w:p w14:paraId="2FB397D9" w14:textId="77777777" w:rsidR="00B1618B" w:rsidRPr="006834CE" w:rsidRDefault="00B1618B" w:rsidP="00F31580">
      <w:pPr>
        <w:pStyle w:val="Footnote"/>
        <w:rPr>
          <w:sz w:val="20"/>
          <w:szCs w:val="20"/>
          <w:lang w:val="en-CA"/>
        </w:rPr>
      </w:pPr>
    </w:p>
    <w:p w14:paraId="6C957DEB" w14:textId="443F1AFC" w:rsidR="004F5958" w:rsidRPr="006834CE" w:rsidRDefault="004F5958" w:rsidP="00F31580">
      <w:pPr>
        <w:pStyle w:val="Footnote"/>
        <w:rPr>
          <w:sz w:val="22"/>
          <w:szCs w:val="22"/>
          <w:lang w:val="en-CA"/>
        </w:rPr>
      </w:pPr>
      <w:r w:rsidRPr="006834CE">
        <w:rPr>
          <w:lang w:val="en-CA"/>
        </w:rPr>
        <w:t xml:space="preserve">Source: Compiled by the author </w:t>
      </w:r>
      <w:r w:rsidR="00FE6B67" w:rsidRPr="006834CE">
        <w:rPr>
          <w:lang w:val="en-CA"/>
        </w:rPr>
        <w:t>with</w:t>
      </w:r>
      <w:r w:rsidRPr="006834CE">
        <w:rPr>
          <w:lang w:val="en-CA"/>
        </w:rPr>
        <w:t xml:space="preserve"> information </w:t>
      </w:r>
      <w:r w:rsidR="00FE6B67" w:rsidRPr="006834CE">
        <w:rPr>
          <w:lang w:val="en-CA"/>
        </w:rPr>
        <w:t>from Sunil Mani, “Developing India’s Mobile Phone Manufacturing Industry,”</w:t>
      </w:r>
      <w:r w:rsidRPr="006834CE">
        <w:rPr>
          <w:lang w:val="en-CA"/>
        </w:rPr>
        <w:t xml:space="preserve"> </w:t>
      </w:r>
      <w:r w:rsidR="00FE6B67" w:rsidRPr="006834CE">
        <w:rPr>
          <w:i/>
          <w:lang w:val="en-CA"/>
        </w:rPr>
        <w:t>Economic and Political Weekly</w:t>
      </w:r>
      <w:r w:rsidR="00FE6B67" w:rsidRPr="006834CE">
        <w:rPr>
          <w:lang w:val="en-CA"/>
        </w:rPr>
        <w:t xml:space="preserve"> 55, no. 19 (May</w:t>
      </w:r>
      <w:r w:rsidR="000C616C" w:rsidRPr="006834CE">
        <w:rPr>
          <w:lang w:val="en-CA"/>
        </w:rPr>
        <w:t xml:space="preserve"> </w:t>
      </w:r>
      <w:r w:rsidR="00FE6B67" w:rsidRPr="006834CE">
        <w:rPr>
          <w:lang w:val="en-CA"/>
        </w:rPr>
        <w:t xml:space="preserve">2020), accessed February 8, 2021, </w:t>
      </w:r>
      <w:r w:rsidRPr="006834CE">
        <w:rPr>
          <w:lang w:val="en-CA"/>
        </w:rPr>
        <w:t>www.epw.in/journal/2020/19/special-articles/developing-indias-mobile-phone-manufacturing.html</w:t>
      </w:r>
      <w:r w:rsidR="00FE6B67" w:rsidRPr="006834CE">
        <w:rPr>
          <w:lang w:val="en-CA"/>
        </w:rPr>
        <w:t>.</w:t>
      </w:r>
      <w:r w:rsidRPr="006834CE">
        <w:rPr>
          <w:sz w:val="22"/>
          <w:szCs w:val="22"/>
          <w:lang w:val="en-CA"/>
        </w:rPr>
        <w:br w:type="page"/>
      </w:r>
    </w:p>
    <w:p w14:paraId="7F446812" w14:textId="2E7C178B" w:rsidR="00FB13F9" w:rsidRPr="006834CE" w:rsidRDefault="00FB13F9" w:rsidP="00FB13F9">
      <w:pPr>
        <w:pStyle w:val="Casehead1"/>
        <w:rPr>
          <w:lang w:val="en-CA"/>
        </w:rPr>
      </w:pPr>
      <w:r w:rsidRPr="006834CE">
        <w:rPr>
          <w:lang w:val="en-CA"/>
        </w:rPr>
        <w:lastRenderedPageBreak/>
        <w:t>Endnotes</w:t>
      </w:r>
    </w:p>
    <w:sectPr w:rsidR="00FB13F9" w:rsidRPr="006834CE"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BD039" w16cex:dateUtc="2021-01-15T13:26:00Z"/>
  <w16cex:commentExtensible w16cex:durableId="23ABD063" w16cex:dateUtc="2021-01-15T13:27:00Z"/>
  <w16cex:commentExtensible w16cex:durableId="23ABD289" w16cex:dateUtc="2021-01-15T13:36:00Z"/>
  <w16cex:commentExtensible w16cex:durableId="23ABD0BF" w16cex:dateUtc="2021-01-15T13:28:00Z"/>
  <w16cex:commentExtensible w16cex:durableId="23ABD482" w16cex:dateUtc="2021-01-15T13:44:00Z"/>
  <w16cex:commentExtensible w16cex:durableId="23ABD536" w16cex:dateUtc="2021-01-15T13:47:00Z"/>
  <w16cex:commentExtensible w16cex:durableId="23ABD5C7" w16cex:dateUtc="2021-01-15T13:50:00Z"/>
  <w16cex:commentExtensible w16cex:durableId="23ABD641" w16cex:dateUtc="2021-01-15T13: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FEF57" w14:textId="77777777" w:rsidR="003673E3" w:rsidRDefault="003673E3" w:rsidP="00D75295">
      <w:r>
        <w:separator/>
      </w:r>
    </w:p>
  </w:endnote>
  <w:endnote w:type="continuationSeparator" w:id="0">
    <w:p w14:paraId="753E444F" w14:textId="77777777" w:rsidR="003673E3" w:rsidRDefault="003673E3" w:rsidP="00D75295">
      <w:r>
        <w:continuationSeparator/>
      </w:r>
    </w:p>
  </w:endnote>
  <w:endnote w:id="1">
    <w:p w14:paraId="54F26061" w14:textId="63CC3D35"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This case has been written on the basis of published sources only. Consequently, the interpretation and perspectives presented in this case are not necessarily those of Xiaomi Corporation or any of its employees.</w:t>
      </w:r>
    </w:p>
  </w:endnote>
  <w:endnote w:id="2">
    <w:p w14:paraId="2999EEB2" w14:textId="4372042E"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ANI [Asian News International], “Anti-China Protests Erupt across India to Condemn Death of Army Personnel,” </w:t>
      </w:r>
      <w:r w:rsidRPr="008E0A10">
        <w:rPr>
          <w:i/>
          <w:sz w:val="16"/>
          <w:szCs w:val="16"/>
        </w:rPr>
        <w:t>Business Standard</w:t>
      </w:r>
      <w:r w:rsidRPr="008E0A10">
        <w:rPr>
          <w:sz w:val="16"/>
          <w:szCs w:val="16"/>
        </w:rPr>
        <w:t>, updated June 17, 2020, accessed October 26, 2020, www.business-standard.com/article/current-affairs/anti-china-protests-erupt-across-india-to-condemn-death-of-army-personnel-120061700891_1.html.</w:t>
      </w:r>
    </w:p>
  </w:endnote>
  <w:endnote w:id="3">
    <w:p w14:paraId="1166DB8A" w14:textId="43FB00B3"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PTI [Press Trust of India], “Anti-China Demonstration Held Outside </w:t>
      </w:r>
      <w:proofErr w:type="spellStart"/>
      <w:r w:rsidRPr="008E0A10">
        <w:rPr>
          <w:sz w:val="16"/>
          <w:szCs w:val="16"/>
        </w:rPr>
        <w:t>Oppo</w:t>
      </w:r>
      <w:proofErr w:type="spellEnd"/>
      <w:r w:rsidRPr="008E0A10">
        <w:rPr>
          <w:sz w:val="16"/>
          <w:szCs w:val="16"/>
        </w:rPr>
        <w:t xml:space="preserve"> Factory in Greater Noida, 32 Protestors Booked,” </w:t>
      </w:r>
      <w:r w:rsidRPr="008E0A10">
        <w:rPr>
          <w:i/>
          <w:sz w:val="16"/>
          <w:szCs w:val="16"/>
        </w:rPr>
        <w:t>New Indian Express</w:t>
      </w:r>
      <w:r w:rsidRPr="008E0A10">
        <w:rPr>
          <w:sz w:val="16"/>
          <w:szCs w:val="16"/>
        </w:rPr>
        <w:t>, June 20, 2020, accessed October 26, 2020, www.newindianexpress.com/nation/2020/jun/20/anti-china-demonstration-held-outside-oppo-factory-in-greater-noida-32-protesters-booked-2159224.html.</w:t>
      </w:r>
    </w:p>
  </w:endnote>
  <w:endnote w:id="4">
    <w:p w14:paraId="3200EB71" w14:textId="0F56B3FD"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w:t>
      </w:r>
      <w:proofErr w:type="spellStart"/>
      <w:r w:rsidRPr="008E0A10">
        <w:rPr>
          <w:sz w:val="16"/>
          <w:szCs w:val="16"/>
        </w:rPr>
        <w:t>Devjyot</w:t>
      </w:r>
      <w:proofErr w:type="spellEnd"/>
      <w:r w:rsidRPr="008E0A10">
        <w:rPr>
          <w:sz w:val="16"/>
          <w:szCs w:val="16"/>
        </w:rPr>
        <w:t xml:space="preserve"> Ghoshal, </w:t>
      </w:r>
      <w:proofErr w:type="spellStart"/>
      <w:r w:rsidRPr="008E0A10">
        <w:rPr>
          <w:sz w:val="16"/>
          <w:szCs w:val="16"/>
        </w:rPr>
        <w:t>Fayaz</w:t>
      </w:r>
      <w:proofErr w:type="spellEnd"/>
      <w:r w:rsidRPr="008E0A10">
        <w:rPr>
          <w:sz w:val="16"/>
          <w:szCs w:val="16"/>
        </w:rPr>
        <w:t xml:space="preserve"> Bukhari, and </w:t>
      </w:r>
      <w:proofErr w:type="spellStart"/>
      <w:r w:rsidRPr="008E0A10">
        <w:rPr>
          <w:sz w:val="16"/>
          <w:szCs w:val="16"/>
        </w:rPr>
        <w:t>Huizhong</w:t>
      </w:r>
      <w:proofErr w:type="spellEnd"/>
      <w:r w:rsidRPr="008E0A10">
        <w:rPr>
          <w:sz w:val="16"/>
          <w:szCs w:val="16"/>
        </w:rPr>
        <w:t xml:space="preserve"> Wu, “India, China Troops Clash at the Himalayan Border, ‘Casualties on Both Sides,’” Reuters, June 16, 2020, accessed July 17, 2020, https://in.reuters.com/article/india-china/india-says-officer-two-soldiers-killed-in-violent-faceoff-on-border-with-china-idINKBN23N0Z7.</w:t>
      </w:r>
    </w:p>
  </w:endnote>
  <w:endnote w:id="5">
    <w:p w14:paraId="68550B44" w14:textId="1A4578CB"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IANS [Indo-Asian News Service], “Retailers Cover </w:t>
      </w:r>
      <w:r w:rsidR="00D64355" w:rsidRPr="008E0A10">
        <w:rPr>
          <w:sz w:val="16"/>
          <w:szCs w:val="16"/>
        </w:rPr>
        <w:t>u</w:t>
      </w:r>
      <w:r w:rsidRPr="008E0A10">
        <w:rPr>
          <w:sz w:val="16"/>
          <w:szCs w:val="16"/>
        </w:rPr>
        <w:t xml:space="preserve">p China Brand Names,” </w:t>
      </w:r>
      <w:r w:rsidRPr="008E0A10">
        <w:rPr>
          <w:i/>
          <w:sz w:val="16"/>
          <w:szCs w:val="16"/>
        </w:rPr>
        <w:t>Times of India</w:t>
      </w:r>
      <w:r w:rsidRPr="008E0A10">
        <w:rPr>
          <w:sz w:val="16"/>
          <w:szCs w:val="16"/>
        </w:rPr>
        <w:t>, June 26, 2020, accessed October 27, 2020, https://timesofindia.indiatimes.com/india/retailers-cover-up-china-brand-names/articleshow/76635186.cms.</w:t>
      </w:r>
    </w:p>
  </w:endnote>
  <w:endnote w:id="6">
    <w:p w14:paraId="219E18E8" w14:textId="7BCD5856"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w:t>
      </w:r>
      <w:proofErr w:type="spellStart"/>
      <w:r w:rsidRPr="008E0A10">
        <w:rPr>
          <w:sz w:val="16"/>
          <w:szCs w:val="16"/>
        </w:rPr>
        <w:t>Kanuj</w:t>
      </w:r>
      <w:proofErr w:type="spellEnd"/>
      <w:r w:rsidRPr="008E0A10">
        <w:rPr>
          <w:sz w:val="16"/>
          <w:szCs w:val="16"/>
        </w:rPr>
        <w:t xml:space="preserve"> Sharma, “Smartphone Market Share India—2020–21 (Samsung and </w:t>
      </w:r>
      <w:proofErr w:type="spellStart"/>
      <w:r w:rsidRPr="008E0A10">
        <w:rPr>
          <w:sz w:val="16"/>
          <w:szCs w:val="16"/>
        </w:rPr>
        <w:t>Realme</w:t>
      </w:r>
      <w:proofErr w:type="spellEnd"/>
      <w:r w:rsidRPr="008E0A10">
        <w:rPr>
          <w:sz w:val="16"/>
          <w:szCs w:val="16"/>
        </w:rPr>
        <w:t xml:space="preserve"> Gains),” </w:t>
      </w:r>
      <w:proofErr w:type="spellStart"/>
      <w:r w:rsidRPr="008E0A10">
        <w:rPr>
          <w:sz w:val="16"/>
          <w:szCs w:val="16"/>
        </w:rPr>
        <w:t>Candytech</w:t>
      </w:r>
      <w:proofErr w:type="spellEnd"/>
      <w:r w:rsidRPr="008E0A10">
        <w:rPr>
          <w:sz w:val="16"/>
          <w:szCs w:val="16"/>
        </w:rPr>
        <w:t>, January 10, 2021, accessed July 5, 2020, https://candytech.in/smartphone-market-share-india.</w:t>
      </w:r>
    </w:p>
  </w:endnote>
  <w:endnote w:id="7">
    <w:p w14:paraId="492E30A8" w14:textId="41AE730F" w:rsidR="00431FE4" w:rsidRPr="008E0A10" w:rsidRDefault="00431FE4" w:rsidP="00FB13F9">
      <w:pPr>
        <w:pStyle w:val="Footnote"/>
        <w:rPr>
          <w:spacing w:val="-6"/>
          <w:kern w:val="16"/>
          <w:sz w:val="16"/>
          <w:szCs w:val="16"/>
        </w:rPr>
      </w:pPr>
      <w:r w:rsidRPr="008E0A10">
        <w:rPr>
          <w:rStyle w:val="EndnoteReference"/>
          <w:spacing w:val="-6"/>
          <w:kern w:val="16"/>
          <w:sz w:val="16"/>
          <w:szCs w:val="16"/>
        </w:rPr>
        <w:endnoteRef/>
      </w:r>
      <w:r w:rsidRPr="008E0A10">
        <w:rPr>
          <w:spacing w:val="-6"/>
          <w:kern w:val="16"/>
          <w:sz w:val="16"/>
          <w:szCs w:val="16"/>
        </w:rPr>
        <w:t xml:space="preserve"> IANS, “Anti-China Sentiment to Benefit Samsung Mobile Biz in India: Analysts,” ET: Telecom.com, July 12, 2020, accessed October 27, 2020, https://telecom.economictimes.indiatimes.com/news/anti-china-sentiment-to-benefit-samsung-mobile-biz-in-india-analysts/76920477.</w:t>
      </w:r>
    </w:p>
  </w:endnote>
  <w:endnote w:id="8">
    <w:p w14:paraId="0C0D759A" w14:textId="5C80D0A0"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“About Us: Always Believe that Something Wonderful is About to Happen,” mi [Mobile Internet], accessed July 3, 2020, www.mi.com/global/about.</w:t>
      </w:r>
    </w:p>
  </w:endnote>
  <w:endnote w:id="9">
    <w:p w14:paraId="7B653CE1" w14:textId="5E54D5D3"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Xiaomi Corporation, </w:t>
      </w:r>
      <w:r w:rsidRPr="008E0A10">
        <w:rPr>
          <w:i/>
          <w:sz w:val="16"/>
          <w:szCs w:val="16"/>
        </w:rPr>
        <w:t>2019 Annual Report</w:t>
      </w:r>
      <w:r w:rsidRPr="008E0A10">
        <w:rPr>
          <w:sz w:val="16"/>
          <w:szCs w:val="16"/>
        </w:rPr>
        <w:t>,</w:t>
      </w:r>
      <w:r w:rsidR="00D64355" w:rsidRPr="008E0A10">
        <w:rPr>
          <w:sz w:val="16"/>
          <w:szCs w:val="16"/>
        </w:rPr>
        <w:t xml:space="preserve"> </w:t>
      </w:r>
      <w:r w:rsidRPr="008E0A10">
        <w:rPr>
          <w:sz w:val="16"/>
          <w:szCs w:val="16"/>
        </w:rPr>
        <w:t>March 31, 2020, accessed July 3, 2020, http://cnbj1.fds.api.xiaomi.com/company/announcement/en-us/2019_AR_E.pdf.</w:t>
      </w:r>
    </w:p>
  </w:endnote>
  <w:endnote w:id="10">
    <w:p w14:paraId="7526291F" w14:textId="180EE4DA" w:rsidR="00431FE4" w:rsidRPr="008E0A10" w:rsidRDefault="00431FE4">
      <w:pPr>
        <w:pStyle w:val="EndnoteText"/>
        <w:rPr>
          <w:rFonts w:ascii="Arial" w:hAnsi="Arial" w:cs="Arial"/>
          <w:sz w:val="16"/>
          <w:szCs w:val="16"/>
          <w:lang w:val="en-CA"/>
        </w:rPr>
      </w:pPr>
      <w:r w:rsidRPr="008E0A10">
        <w:rPr>
          <w:rStyle w:val="EndnoteReference"/>
          <w:rFonts w:ascii="Arial" w:hAnsi="Arial" w:cs="Arial"/>
          <w:sz w:val="16"/>
          <w:szCs w:val="16"/>
        </w:rPr>
        <w:endnoteRef/>
      </w:r>
      <w:r w:rsidRPr="008E0A10">
        <w:rPr>
          <w:rFonts w:ascii="Arial" w:hAnsi="Arial" w:cs="Arial"/>
          <w:sz w:val="16"/>
          <w:szCs w:val="16"/>
        </w:rPr>
        <w:t xml:space="preserve"> In India, the financial year for all businesses extended from April 1 to March 31; in China, the financial year coincided with the calendar year.</w:t>
      </w:r>
    </w:p>
  </w:endnote>
  <w:endnote w:id="11">
    <w:p w14:paraId="75DD7CD2" w14:textId="7DACE218"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 = RMB = Chinese yuan renminbi; US$1 = ¥7.13 on June 1, 2020.</w:t>
      </w:r>
    </w:p>
  </w:endnote>
  <w:endnote w:id="12">
    <w:p w14:paraId="4D0A7282" w14:textId="6AD147B2"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Xiaomi Corporation, op. cit. </w:t>
      </w:r>
    </w:p>
  </w:endnote>
  <w:endnote w:id="13">
    <w:p w14:paraId="01797B4B" w14:textId="6A9D641F" w:rsidR="00431FE4" w:rsidRPr="008E0A10" w:rsidRDefault="00431FE4" w:rsidP="00FB13F9">
      <w:pPr>
        <w:pStyle w:val="Footnote"/>
        <w:rPr>
          <w:spacing w:val="-6"/>
          <w:sz w:val="16"/>
          <w:szCs w:val="16"/>
        </w:rPr>
      </w:pPr>
      <w:r w:rsidRPr="008E0A10">
        <w:rPr>
          <w:rStyle w:val="EndnoteReference"/>
          <w:spacing w:val="-6"/>
          <w:sz w:val="16"/>
          <w:szCs w:val="16"/>
        </w:rPr>
        <w:endnoteRef/>
      </w:r>
      <w:r w:rsidRPr="008E0A10">
        <w:rPr>
          <w:spacing w:val="-6"/>
          <w:sz w:val="16"/>
          <w:szCs w:val="16"/>
        </w:rPr>
        <w:t xml:space="preserve"> “India Feature Phone Market Declines 24% in the First Quarter of 2020: Report,” </w:t>
      </w:r>
      <w:r w:rsidRPr="008E0A10">
        <w:rPr>
          <w:i/>
          <w:spacing w:val="-6"/>
          <w:sz w:val="16"/>
          <w:szCs w:val="16"/>
        </w:rPr>
        <w:t>Business Standard</w:t>
      </w:r>
      <w:r w:rsidRPr="008E0A10">
        <w:rPr>
          <w:spacing w:val="-6"/>
          <w:sz w:val="16"/>
          <w:szCs w:val="16"/>
        </w:rPr>
        <w:t>, April 25, 2020, accessed July 4, 2020, www.business-standard.com/article/technology/india-feature-phone-market-declines-24-in-first-quarter-of-2020-report-120042500409_1.html.</w:t>
      </w:r>
    </w:p>
  </w:endnote>
  <w:endnote w:id="14">
    <w:p w14:paraId="348960F2" w14:textId="5A990E1F" w:rsidR="00431FE4" w:rsidRPr="008E0A10" w:rsidRDefault="00431FE4">
      <w:pPr>
        <w:pStyle w:val="EndnoteText"/>
        <w:rPr>
          <w:rFonts w:ascii="Arial" w:hAnsi="Arial" w:cs="Arial"/>
          <w:sz w:val="16"/>
          <w:szCs w:val="16"/>
          <w:lang w:val="en-CA"/>
        </w:rPr>
      </w:pPr>
      <w:r w:rsidRPr="008E0A10">
        <w:rPr>
          <w:rStyle w:val="EndnoteReference"/>
          <w:rFonts w:ascii="Arial" w:hAnsi="Arial" w:cs="Arial"/>
          <w:sz w:val="16"/>
          <w:szCs w:val="16"/>
        </w:rPr>
        <w:endnoteRef/>
      </w:r>
      <w:r w:rsidRPr="008E0A10">
        <w:rPr>
          <w:rFonts w:ascii="Arial" w:hAnsi="Arial" w:cs="Arial"/>
          <w:sz w:val="16"/>
          <w:szCs w:val="16"/>
        </w:rPr>
        <w:t xml:space="preserve"> </w:t>
      </w:r>
      <w:r w:rsidRPr="008E0A10">
        <w:rPr>
          <w:rFonts w:ascii="Arial" w:hAnsi="Arial" w:cs="Arial"/>
          <w:sz w:val="16"/>
          <w:szCs w:val="16"/>
          <w:lang w:val="en-CA"/>
        </w:rPr>
        <w:t>₹ = INR = Indian rupee; US1 = ₹75.55 on June 1, 2020; all currency amounts are in ₹ unless otherwise specified.</w:t>
      </w:r>
    </w:p>
  </w:endnote>
  <w:endnote w:id="15">
    <w:p w14:paraId="2C7B9336" w14:textId="6493788A"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Sharma, op. cit. </w:t>
      </w:r>
    </w:p>
  </w:endnote>
  <w:endnote w:id="16">
    <w:p w14:paraId="1BCB437B" w14:textId="65C0DEFD"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Ibid. </w:t>
      </w:r>
    </w:p>
  </w:endnote>
  <w:endnote w:id="17">
    <w:p w14:paraId="5FE881E3" w14:textId="64356BC6" w:rsidR="00431FE4" w:rsidRPr="008E0A10" w:rsidRDefault="00431FE4" w:rsidP="00FB13F9">
      <w:pPr>
        <w:pStyle w:val="Footnote"/>
        <w:rPr>
          <w:spacing w:val="-6"/>
          <w:kern w:val="16"/>
          <w:sz w:val="16"/>
          <w:szCs w:val="16"/>
        </w:rPr>
      </w:pPr>
      <w:r w:rsidRPr="008E0A10">
        <w:rPr>
          <w:rStyle w:val="EndnoteReference"/>
          <w:spacing w:val="-6"/>
          <w:kern w:val="16"/>
          <w:sz w:val="16"/>
          <w:szCs w:val="16"/>
        </w:rPr>
        <w:endnoteRef/>
      </w:r>
      <w:r w:rsidRPr="008E0A10">
        <w:rPr>
          <w:spacing w:val="-6"/>
          <w:kern w:val="16"/>
          <w:sz w:val="16"/>
          <w:szCs w:val="16"/>
        </w:rPr>
        <w:t xml:space="preserve"> </w:t>
      </w:r>
      <w:proofErr w:type="spellStart"/>
      <w:r w:rsidRPr="008E0A10">
        <w:rPr>
          <w:spacing w:val="-6"/>
          <w:kern w:val="16"/>
          <w:sz w:val="16"/>
          <w:szCs w:val="16"/>
        </w:rPr>
        <w:t>Jagmeet</w:t>
      </w:r>
      <w:proofErr w:type="spellEnd"/>
      <w:r w:rsidRPr="008E0A10">
        <w:rPr>
          <w:spacing w:val="-6"/>
          <w:kern w:val="16"/>
          <w:sz w:val="16"/>
          <w:szCs w:val="16"/>
        </w:rPr>
        <w:t xml:space="preserve"> Singh, “Xiaomi Turns 10: A Timeline of How the Tech Giant Evolved through the Years,” Gadgets 360, April 7, 2020, accessed October 28, 2020, https://gadgets.ndtv.com/mobiles/features/xiaomi-mi-10-anniversary-india-timeline-redmi-launch-2207866.</w:t>
      </w:r>
    </w:p>
  </w:endnote>
  <w:endnote w:id="18">
    <w:p w14:paraId="75CBCC7F" w14:textId="3C25E624"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Ibid</w:t>
      </w:r>
      <w:r w:rsidRPr="008E0A10">
        <w:rPr>
          <w:i/>
          <w:sz w:val="16"/>
          <w:szCs w:val="16"/>
        </w:rPr>
        <w:t>.</w:t>
      </w:r>
    </w:p>
  </w:endnote>
  <w:endnote w:id="19">
    <w:p w14:paraId="5D66911B" w14:textId="14FAD6E3"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w:t>
      </w:r>
      <w:proofErr w:type="spellStart"/>
      <w:r w:rsidRPr="008E0A10">
        <w:rPr>
          <w:sz w:val="16"/>
          <w:szCs w:val="16"/>
        </w:rPr>
        <w:t>Writankar</w:t>
      </w:r>
      <w:proofErr w:type="spellEnd"/>
      <w:r w:rsidRPr="008E0A10">
        <w:rPr>
          <w:sz w:val="16"/>
          <w:szCs w:val="16"/>
        </w:rPr>
        <w:t xml:space="preserve"> Mukherjee, “</w:t>
      </w:r>
      <w:r w:rsidRPr="008E0A10">
        <w:rPr>
          <w:color w:val="000000"/>
          <w:sz w:val="16"/>
          <w:szCs w:val="16"/>
          <w:shd w:val="clear" w:color="auto" w:fill="FFFFFF"/>
        </w:rPr>
        <w:t xml:space="preserve">Xiaomi Touches $5-Billion Revenue Milestone in India in 2018–19,” </w:t>
      </w:r>
      <w:r w:rsidRPr="008E0A10">
        <w:rPr>
          <w:i/>
          <w:color w:val="000000"/>
          <w:sz w:val="16"/>
          <w:szCs w:val="16"/>
          <w:shd w:val="clear" w:color="auto" w:fill="FFFFFF"/>
        </w:rPr>
        <w:t>Economic Times</w:t>
      </w:r>
      <w:r w:rsidRPr="008E0A10">
        <w:rPr>
          <w:color w:val="000000"/>
          <w:sz w:val="16"/>
          <w:szCs w:val="16"/>
          <w:shd w:val="clear" w:color="auto" w:fill="FFFFFF"/>
        </w:rPr>
        <w:t xml:space="preserve">, November 29, 2019, accessed July 15, 2020, </w:t>
      </w:r>
      <w:r w:rsidRPr="008E0A10">
        <w:rPr>
          <w:sz w:val="16"/>
          <w:szCs w:val="16"/>
        </w:rPr>
        <w:t>https://economictimes.indiatimes.com/tech/hardware/xiaomi-touches-5-billion-revenue-milestone-in-india-in-2018-19/articleshow/72299318.cms?from=mdr.</w:t>
      </w:r>
    </w:p>
  </w:endnote>
  <w:endnote w:id="20">
    <w:p w14:paraId="42D9AF58" w14:textId="4C75F771"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Indo Asian News Network, “Xiaomi Becomes Largest Exclusive Brand Retail Network in India,” HT Tech, November 4, 2019, accessed July 15, 2020, https://tech.hindustantimes.com/tech/news/xiaomi-becomes-largest-exclusive-brand-retail-network-in-india-story-fXnFvbGdWtOKWDVE83JoLM.html.</w:t>
      </w:r>
    </w:p>
  </w:endnote>
  <w:endnote w:id="21">
    <w:p w14:paraId="3428AA72" w14:textId="761273D7"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Jeet, “Xiaomi Reassigns Leadership Roles in India; Manu Kumar Jain to Focus on New Areas,” </w:t>
      </w:r>
      <w:proofErr w:type="spellStart"/>
      <w:r w:rsidRPr="008E0A10">
        <w:rPr>
          <w:sz w:val="16"/>
          <w:szCs w:val="16"/>
        </w:rPr>
        <w:t>Gizmochina</w:t>
      </w:r>
      <w:proofErr w:type="spellEnd"/>
      <w:r w:rsidRPr="008E0A10">
        <w:rPr>
          <w:sz w:val="16"/>
          <w:szCs w:val="16"/>
        </w:rPr>
        <w:t>, January 20, 2020, accessed July 15, 2020, www.gizmochina.com/2020/01/20/xiaomi-offline-expansion-head-muralikrishnan.</w:t>
      </w:r>
    </w:p>
  </w:endnote>
  <w:endnote w:id="22">
    <w:p w14:paraId="171FAB56" w14:textId="1F1B3ABB"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IANS, “About 99% of Phones Xiaomi Sold in India Were Made in the Country, Says COO,” </w:t>
      </w:r>
      <w:r w:rsidRPr="008E0A10">
        <w:rPr>
          <w:i/>
          <w:sz w:val="16"/>
          <w:szCs w:val="16"/>
        </w:rPr>
        <w:t>Business Standard</w:t>
      </w:r>
      <w:r w:rsidRPr="008E0A10">
        <w:rPr>
          <w:sz w:val="16"/>
          <w:szCs w:val="16"/>
        </w:rPr>
        <w:t>, November 18, 2019, accessed October 28, 2020, www.business-standard.com/article/companies/about-99-of-phones-xiaomi-sold-in-india-were-made-in-the-country-says-coo-119111800970_1.html.</w:t>
      </w:r>
    </w:p>
  </w:endnote>
  <w:endnote w:id="23">
    <w:p w14:paraId="34FCC681" w14:textId="4F817F4F" w:rsidR="00431FE4" w:rsidRPr="008E0A10" w:rsidRDefault="00431FE4" w:rsidP="00FB13F9">
      <w:pPr>
        <w:pStyle w:val="Footnote"/>
        <w:rPr>
          <w:spacing w:val="-6"/>
          <w:kern w:val="16"/>
          <w:sz w:val="16"/>
          <w:szCs w:val="16"/>
        </w:rPr>
      </w:pPr>
      <w:r w:rsidRPr="008E0A10">
        <w:rPr>
          <w:rStyle w:val="EndnoteReference"/>
          <w:spacing w:val="-6"/>
          <w:kern w:val="16"/>
          <w:sz w:val="16"/>
          <w:szCs w:val="16"/>
        </w:rPr>
        <w:endnoteRef/>
      </w:r>
      <w:r w:rsidRPr="008E0A10">
        <w:rPr>
          <w:spacing w:val="-6"/>
          <w:kern w:val="16"/>
          <w:sz w:val="16"/>
          <w:szCs w:val="16"/>
        </w:rPr>
        <w:t xml:space="preserve"> </w:t>
      </w:r>
      <w:proofErr w:type="spellStart"/>
      <w:r w:rsidRPr="008E0A10">
        <w:rPr>
          <w:spacing w:val="-6"/>
          <w:kern w:val="16"/>
          <w:sz w:val="16"/>
          <w:szCs w:val="16"/>
        </w:rPr>
        <w:t>Adrija</w:t>
      </w:r>
      <w:proofErr w:type="spellEnd"/>
      <w:r w:rsidRPr="008E0A10">
        <w:rPr>
          <w:spacing w:val="-6"/>
          <w:kern w:val="16"/>
          <w:sz w:val="16"/>
          <w:szCs w:val="16"/>
        </w:rPr>
        <w:t xml:space="preserve"> </w:t>
      </w:r>
      <w:proofErr w:type="spellStart"/>
      <w:r w:rsidRPr="008E0A10">
        <w:rPr>
          <w:spacing w:val="-6"/>
          <w:kern w:val="16"/>
          <w:sz w:val="16"/>
          <w:szCs w:val="16"/>
        </w:rPr>
        <w:t>Roychowdhury</w:t>
      </w:r>
      <w:proofErr w:type="spellEnd"/>
      <w:r w:rsidRPr="008E0A10">
        <w:rPr>
          <w:spacing w:val="-6"/>
          <w:kern w:val="16"/>
          <w:sz w:val="16"/>
          <w:szCs w:val="16"/>
        </w:rPr>
        <w:t>, “Why Ladakh Matters to India, China: History, Geography and Strategy,”</w:t>
      </w:r>
      <w:r w:rsidRPr="008E0A10">
        <w:rPr>
          <w:i/>
          <w:spacing w:val="-6"/>
          <w:kern w:val="16"/>
          <w:sz w:val="16"/>
          <w:szCs w:val="16"/>
        </w:rPr>
        <w:t xml:space="preserve"> Indian Express</w:t>
      </w:r>
      <w:r w:rsidRPr="008E0A10">
        <w:rPr>
          <w:spacing w:val="-6"/>
          <w:kern w:val="16"/>
          <w:sz w:val="16"/>
          <w:szCs w:val="16"/>
        </w:rPr>
        <w:t>, June 19, 2020, accessed October 31, 2020, https://indianexpress.com/article/explained/why-ladakh-matters-to-india-and-china-lac-galwan-faceoff-6465198.</w:t>
      </w:r>
    </w:p>
  </w:endnote>
  <w:endnote w:id="24">
    <w:p w14:paraId="7F4457C9" w14:textId="75752FE2" w:rsidR="009D2755" w:rsidRPr="00092C41" w:rsidRDefault="009D2755" w:rsidP="00092C41">
      <w:pPr>
        <w:pStyle w:val="Footnote"/>
      </w:pPr>
      <w:r>
        <w:rPr>
          <w:rStyle w:val="EndnoteReference"/>
        </w:rPr>
        <w:endnoteRef/>
      </w:r>
      <w:r>
        <w:t xml:space="preserve"> Hugh E. Richardson and Victor C. </w:t>
      </w:r>
      <w:proofErr w:type="spellStart"/>
      <w:r>
        <w:t>Falkenheim</w:t>
      </w:r>
      <w:proofErr w:type="spellEnd"/>
      <w:r>
        <w:t>, “Tibet, 14</w:t>
      </w:r>
      <w:r w:rsidRPr="00092C41">
        <w:rPr>
          <w:vertAlign w:val="superscript"/>
        </w:rPr>
        <w:t>th</w:t>
      </w:r>
      <w:r>
        <w:t xml:space="preserve"> to 19</w:t>
      </w:r>
      <w:r w:rsidRPr="00092C41">
        <w:rPr>
          <w:vertAlign w:val="superscript"/>
        </w:rPr>
        <w:t>th</w:t>
      </w:r>
      <w:r>
        <w:t xml:space="preserve"> Century,” </w:t>
      </w:r>
      <w:r w:rsidRPr="00092C41">
        <w:rPr>
          <w:i/>
        </w:rPr>
        <w:t>Britannica,</w:t>
      </w:r>
      <w:r>
        <w:rPr>
          <w:i/>
        </w:rPr>
        <w:t xml:space="preserve"> </w:t>
      </w:r>
      <w:r>
        <w:t xml:space="preserve">accessed July 6, 2020, </w:t>
      </w:r>
      <w:r w:rsidRPr="008E0A10">
        <w:rPr>
          <w:sz w:val="16"/>
          <w:szCs w:val="16"/>
        </w:rPr>
        <w:t>www.britannica.com/place/Tibet/Tibet-14th-to-19th-century.</w:t>
      </w:r>
    </w:p>
  </w:endnote>
  <w:endnote w:id="25">
    <w:p w14:paraId="6058088C" w14:textId="5353670F" w:rsidR="00431FE4" w:rsidRPr="00092C41" w:rsidRDefault="00431FE4" w:rsidP="00092C41">
      <w:pPr>
        <w:pStyle w:val="Footnote"/>
      </w:pPr>
      <w:r w:rsidRPr="00092C41">
        <w:rPr>
          <w:rStyle w:val="EndnoteReference"/>
        </w:rPr>
        <w:endnoteRef/>
      </w:r>
      <w:r w:rsidRPr="00092C41">
        <w:rPr>
          <w:vertAlign w:val="superscript"/>
        </w:rPr>
        <w:t xml:space="preserve"> </w:t>
      </w:r>
      <w:r w:rsidRPr="00092C41">
        <w:t xml:space="preserve">Hugh E. Richardson and Victor C. </w:t>
      </w:r>
      <w:proofErr w:type="spellStart"/>
      <w:r w:rsidRPr="00092C41">
        <w:t>Falkenheim</w:t>
      </w:r>
      <w:proofErr w:type="spellEnd"/>
      <w:r w:rsidRPr="00092C41">
        <w:t>, “Tibet</w:t>
      </w:r>
      <w:r w:rsidR="00AD26C9" w:rsidRPr="00092C41">
        <w:t xml:space="preserve"> Since 1900</w:t>
      </w:r>
      <w:r w:rsidRPr="00092C41">
        <w:t>,” Britannica, accessed July 6, 2020, www.britannica.com/place/Tibet/</w:t>
      </w:r>
      <w:r w:rsidR="009D2755" w:rsidRPr="00092C41">
        <w:t>Tibet-since-1900</w:t>
      </w:r>
      <w:r w:rsidR="00092C41">
        <w:t>.</w:t>
      </w:r>
    </w:p>
  </w:endnote>
  <w:endnote w:id="26">
    <w:p w14:paraId="2F7E2493" w14:textId="1CA60732"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“India-China Bilateral Relations,” Ministry of External Affairs, Government of India, January 2012, accessed October 29, 2020, https://mea.gov.in/Portal/ForeignRelation/China-January-2012.pdf.</w:t>
      </w:r>
    </w:p>
  </w:endnote>
  <w:endnote w:id="27">
    <w:p w14:paraId="154DDB65" w14:textId="6F06DED6"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Richardson and </w:t>
      </w:r>
      <w:proofErr w:type="spellStart"/>
      <w:r w:rsidRPr="008E0A10">
        <w:rPr>
          <w:sz w:val="16"/>
          <w:szCs w:val="16"/>
        </w:rPr>
        <w:t>Falkenheim</w:t>
      </w:r>
      <w:proofErr w:type="spellEnd"/>
      <w:r w:rsidRPr="008E0A10">
        <w:rPr>
          <w:sz w:val="16"/>
          <w:szCs w:val="16"/>
        </w:rPr>
        <w:t>, op. cit.</w:t>
      </w:r>
    </w:p>
  </w:endnote>
  <w:endnote w:id="28">
    <w:p w14:paraId="66E669D0" w14:textId="6324F2A6" w:rsidR="00431FE4" w:rsidRPr="00963D61" w:rsidRDefault="00431FE4" w:rsidP="00FB13F9">
      <w:pPr>
        <w:pStyle w:val="Footnote"/>
        <w:rPr>
          <w:sz w:val="16"/>
          <w:szCs w:val="16"/>
        </w:rPr>
      </w:pPr>
      <w:r w:rsidRPr="00963D61">
        <w:rPr>
          <w:rStyle w:val="EndnoteReference"/>
          <w:sz w:val="16"/>
          <w:szCs w:val="16"/>
        </w:rPr>
        <w:endnoteRef/>
      </w:r>
      <w:r w:rsidRPr="00963D61">
        <w:rPr>
          <w:sz w:val="16"/>
          <w:szCs w:val="16"/>
        </w:rPr>
        <w:t xml:space="preserve"> </w:t>
      </w:r>
      <w:r w:rsidRPr="00963D61">
        <w:rPr>
          <w:sz w:val="16"/>
          <w:szCs w:val="16"/>
          <w:shd w:val="clear" w:color="auto" w:fill="FFFFFF"/>
        </w:rPr>
        <w:t>David M. Malone and Rohan Mukherjee, “India and China: Conflict and Cooperation,” </w:t>
      </w:r>
      <w:r w:rsidRPr="00963D61">
        <w:rPr>
          <w:i/>
          <w:iCs/>
          <w:sz w:val="16"/>
          <w:szCs w:val="16"/>
          <w:shd w:val="clear" w:color="auto" w:fill="FFFFFF"/>
        </w:rPr>
        <w:t xml:space="preserve">Survival </w:t>
      </w:r>
      <w:r w:rsidRPr="00963D61">
        <w:rPr>
          <w:sz w:val="16"/>
          <w:szCs w:val="16"/>
          <w:shd w:val="clear" w:color="auto" w:fill="FFFFFF"/>
        </w:rPr>
        <w:t>52, no. 1 (2010): 137–158, accessed October 29, 2020, www.researchgate.net/publication/240542362_India_and_China_Conflict_and_Cooperation.</w:t>
      </w:r>
    </w:p>
  </w:endnote>
  <w:endnote w:id="29">
    <w:p w14:paraId="30762C47" w14:textId="10AA8996" w:rsidR="00431FE4" w:rsidRPr="00963D61" w:rsidRDefault="00431FE4" w:rsidP="00FB13F9">
      <w:pPr>
        <w:pStyle w:val="Footnote"/>
        <w:rPr>
          <w:sz w:val="16"/>
          <w:szCs w:val="16"/>
        </w:rPr>
      </w:pPr>
      <w:r w:rsidRPr="00963D61">
        <w:rPr>
          <w:rStyle w:val="EndnoteReference"/>
          <w:sz w:val="16"/>
          <w:szCs w:val="16"/>
        </w:rPr>
        <w:endnoteRef/>
      </w:r>
      <w:r w:rsidRPr="00963D61">
        <w:rPr>
          <w:sz w:val="16"/>
          <w:szCs w:val="16"/>
        </w:rPr>
        <w:t xml:space="preserve"> “India-China Bilateral Relations,” op. cit. </w:t>
      </w:r>
    </w:p>
  </w:endnote>
  <w:endnote w:id="30">
    <w:p w14:paraId="408D5FDB" w14:textId="623676D6" w:rsidR="00431FE4" w:rsidRPr="008E0A10" w:rsidRDefault="00431FE4" w:rsidP="00FB13F9">
      <w:pPr>
        <w:pStyle w:val="Footnote"/>
        <w:rPr>
          <w:spacing w:val="-6"/>
          <w:kern w:val="16"/>
          <w:sz w:val="16"/>
          <w:szCs w:val="16"/>
        </w:rPr>
      </w:pPr>
      <w:r w:rsidRPr="00963D61">
        <w:rPr>
          <w:rStyle w:val="EndnoteReference"/>
          <w:spacing w:val="-6"/>
          <w:kern w:val="16"/>
          <w:sz w:val="16"/>
          <w:szCs w:val="16"/>
        </w:rPr>
        <w:endnoteRef/>
      </w:r>
      <w:r w:rsidRPr="00963D61">
        <w:rPr>
          <w:spacing w:val="-6"/>
          <w:kern w:val="16"/>
          <w:sz w:val="16"/>
          <w:szCs w:val="16"/>
        </w:rPr>
        <w:t xml:space="preserve"> </w:t>
      </w:r>
      <w:proofErr w:type="spellStart"/>
      <w:r w:rsidRPr="00963D61">
        <w:rPr>
          <w:spacing w:val="-6"/>
          <w:kern w:val="16"/>
          <w:sz w:val="16"/>
          <w:szCs w:val="16"/>
        </w:rPr>
        <w:t>Prabhash</w:t>
      </w:r>
      <w:proofErr w:type="spellEnd"/>
      <w:r w:rsidRPr="00963D61">
        <w:rPr>
          <w:spacing w:val="-6"/>
          <w:kern w:val="16"/>
          <w:sz w:val="16"/>
          <w:szCs w:val="16"/>
        </w:rPr>
        <w:t xml:space="preserve"> K Dutta, “</w:t>
      </w:r>
      <w:proofErr w:type="spellStart"/>
      <w:r w:rsidRPr="00963D61">
        <w:rPr>
          <w:spacing w:val="-6"/>
          <w:kern w:val="16"/>
          <w:sz w:val="16"/>
          <w:szCs w:val="16"/>
        </w:rPr>
        <w:t>Galwan</w:t>
      </w:r>
      <w:proofErr w:type="spellEnd"/>
      <w:r w:rsidRPr="00963D61">
        <w:rPr>
          <w:spacing w:val="-6"/>
          <w:kern w:val="16"/>
          <w:sz w:val="16"/>
          <w:szCs w:val="16"/>
        </w:rPr>
        <w:t xml:space="preserve">: Here’s Why Indian Soldiers </w:t>
      </w:r>
      <w:r w:rsidRPr="008E0A10">
        <w:rPr>
          <w:spacing w:val="-6"/>
          <w:kern w:val="16"/>
          <w:sz w:val="16"/>
          <w:szCs w:val="16"/>
        </w:rPr>
        <w:t xml:space="preserve">Did Not Use Firearm </w:t>
      </w:r>
      <w:r w:rsidR="001818F4" w:rsidRPr="008E0A10">
        <w:rPr>
          <w:spacing w:val="-6"/>
          <w:kern w:val="16"/>
          <w:sz w:val="16"/>
          <w:szCs w:val="16"/>
        </w:rPr>
        <w:t>w</w:t>
      </w:r>
      <w:r w:rsidRPr="008E0A10">
        <w:rPr>
          <w:spacing w:val="-6"/>
          <w:kern w:val="16"/>
          <w:sz w:val="16"/>
          <w:szCs w:val="16"/>
        </w:rPr>
        <w:t xml:space="preserve">hen </w:t>
      </w:r>
      <w:r w:rsidR="001818F4" w:rsidRPr="008E0A10">
        <w:rPr>
          <w:spacing w:val="-6"/>
          <w:kern w:val="16"/>
          <w:sz w:val="16"/>
          <w:szCs w:val="16"/>
        </w:rPr>
        <w:t xml:space="preserve">Chinese </w:t>
      </w:r>
      <w:r w:rsidRPr="008E0A10">
        <w:rPr>
          <w:spacing w:val="-6"/>
          <w:kern w:val="16"/>
          <w:sz w:val="16"/>
          <w:szCs w:val="16"/>
        </w:rPr>
        <w:t xml:space="preserve">Attacked </w:t>
      </w:r>
      <w:r w:rsidR="001818F4" w:rsidRPr="008E0A10">
        <w:rPr>
          <w:spacing w:val="-6"/>
          <w:kern w:val="16"/>
          <w:sz w:val="16"/>
          <w:szCs w:val="16"/>
        </w:rPr>
        <w:t>Them</w:t>
      </w:r>
      <w:r w:rsidRPr="008E0A10">
        <w:rPr>
          <w:spacing w:val="-6"/>
          <w:kern w:val="16"/>
          <w:sz w:val="16"/>
          <w:szCs w:val="16"/>
        </w:rPr>
        <w:t xml:space="preserve">,” </w:t>
      </w:r>
      <w:r w:rsidRPr="008E0A10">
        <w:rPr>
          <w:i/>
          <w:spacing w:val="-6"/>
          <w:kern w:val="16"/>
          <w:sz w:val="16"/>
          <w:szCs w:val="16"/>
        </w:rPr>
        <w:t>India Today</w:t>
      </w:r>
      <w:r w:rsidRPr="008E0A10">
        <w:rPr>
          <w:spacing w:val="-6"/>
          <w:kern w:val="16"/>
          <w:sz w:val="16"/>
          <w:szCs w:val="16"/>
        </w:rPr>
        <w:t>, June 19, 2020, accessed July 16, 2020, www.indiatoday.in/news-analysis/story/galwan-rahul-gandhi-indian-soldiers-china-1690330-2020-06-18.</w:t>
      </w:r>
    </w:p>
  </w:endnote>
  <w:endnote w:id="31">
    <w:p w14:paraId="32F55CAF" w14:textId="24A63A3E" w:rsidR="00431FE4" w:rsidRPr="008E0A10" w:rsidRDefault="00431FE4" w:rsidP="00FB13F9">
      <w:pPr>
        <w:pStyle w:val="Footnote"/>
        <w:rPr>
          <w:spacing w:val="-6"/>
          <w:kern w:val="16"/>
          <w:sz w:val="16"/>
          <w:szCs w:val="16"/>
        </w:rPr>
      </w:pPr>
      <w:r w:rsidRPr="008E0A10">
        <w:rPr>
          <w:rStyle w:val="EndnoteReference"/>
          <w:spacing w:val="-6"/>
          <w:kern w:val="16"/>
          <w:sz w:val="16"/>
          <w:szCs w:val="16"/>
        </w:rPr>
        <w:endnoteRef/>
      </w:r>
      <w:r w:rsidRPr="008E0A10">
        <w:rPr>
          <w:spacing w:val="-6"/>
          <w:kern w:val="16"/>
          <w:sz w:val="16"/>
          <w:szCs w:val="16"/>
        </w:rPr>
        <w:t xml:space="preserve"> Srijan Shukla, “1975 Arunachal Ambush—The Last Time Indian Soldiers Died at a Clash with Chin</w:t>
      </w:r>
      <w:r w:rsidR="00261620" w:rsidRPr="008E0A10">
        <w:rPr>
          <w:spacing w:val="-6"/>
          <w:kern w:val="16"/>
          <w:sz w:val="16"/>
          <w:szCs w:val="16"/>
        </w:rPr>
        <w:t xml:space="preserve">a </w:t>
      </w:r>
      <w:r w:rsidRPr="008E0A10">
        <w:rPr>
          <w:spacing w:val="-6"/>
          <w:kern w:val="16"/>
          <w:sz w:val="16"/>
          <w:szCs w:val="16"/>
        </w:rPr>
        <w:t xml:space="preserve">at LAC,” </w:t>
      </w:r>
      <w:r w:rsidRPr="008E0A10">
        <w:rPr>
          <w:i/>
          <w:spacing w:val="-6"/>
          <w:kern w:val="16"/>
          <w:sz w:val="16"/>
          <w:szCs w:val="16"/>
        </w:rPr>
        <w:t>The Print</w:t>
      </w:r>
      <w:r w:rsidRPr="008E0A10">
        <w:rPr>
          <w:spacing w:val="-6"/>
          <w:kern w:val="16"/>
          <w:sz w:val="16"/>
          <w:szCs w:val="16"/>
        </w:rPr>
        <w:t>, June 16, 2020, accessed July 6, 2020, https://theprint.in/india/1975-arunachal-ambush-the-last-time-indian-soldiers-died-in-clash-with-china-at-lac/442674.</w:t>
      </w:r>
    </w:p>
  </w:endnote>
  <w:endnote w:id="32">
    <w:p w14:paraId="09F16604" w14:textId="3CF16E2F"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Chaitanya </w:t>
      </w:r>
      <w:proofErr w:type="spellStart"/>
      <w:r w:rsidRPr="008E0A10">
        <w:rPr>
          <w:sz w:val="16"/>
          <w:szCs w:val="16"/>
        </w:rPr>
        <w:t>Mallapur</w:t>
      </w:r>
      <w:proofErr w:type="spellEnd"/>
      <w:r w:rsidRPr="008E0A10">
        <w:rPr>
          <w:sz w:val="16"/>
          <w:szCs w:val="16"/>
        </w:rPr>
        <w:t xml:space="preserve">, “The Amazing Story of India’s Trade with China,” </w:t>
      </w:r>
      <w:proofErr w:type="spellStart"/>
      <w:r w:rsidR="00337AD6" w:rsidRPr="008E0A10">
        <w:rPr>
          <w:sz w:val="16"/>
          <w:szCs w:val="16"/>
        </w:rPr>
        <w:t>iS</w:t>
      </w:r>
      <w:proofErr w:type="spellEnd"/>
      <w:r w:rsidR="00337AD6" w:rsidRPr="008E0A10">
        <w:rPr>
          <w:sz w:val="16"/>
          <w:szCs w:val="16"/>
        </w:rPr>
        <w:t xml:space="preserve">: </w:t>
      </w:r>
      <w:r w:rsidRPr="008E0A10">
        <w:rPr>
          <w:sz w:val="16"/>
          <w:szCs w:val="16"/>
        </w:rPr>
        <w:t>India Spend, August 26, 2014, accessed July 7, 2020, https://archive.indiaspend.com/special-reports/the-amazing-story-of-indias-trade-with-china.</w:t>
      </w:r>
    </w:p>
  </w:endnote>
  <w:endnote w:id="33">
    <w:p w14:paraId="0CE36306" w14:textId="430243C9"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“India-China Bilateral Relations,” op. cit. </w:t>
      </w:r>
    </w:p>
  </w:endnote>
  <w:endnote w:id="34">
    <w:p w14:paraId="551419AF" w14:textId="37CF66F7" w:rsidR="00431FE4" w:rsidRPr="008E0A10" w:rsidRDefault="00431FE4">
      <w:pPr>
        <w:pStyle w:val="EndnoteText"/>
        <w:rPr>
          <w:rFonts w:ascii="Arial" w:hAnsi="Arial" w:cs="Arial"/>
          <w:sz w:val="16"/>
          <w:szCs w:val="16"/>
          <w:lang w:val="en-CA"/>
        </w:rPr>
      </w:pPr>
      <w:r w:rsidRPr="008E0A10">
        <w:rPr>
          <w:rStyle w:val="EndnoteReference"/>
          <w:rFonts w:ascii="Arial" w:hAnsi="Arial" w:cs="Arial"/>
          <w:sz w:val="16"/>
          <w:szCs w:val="16"/>
        </w:rPr>
        <w:endnoteRef/>
      </w:r>
      <w:r w:rsidRPr="008E0A10">
        <w:rPr>
          <w:rFonts w:ascii="Arial" w:hAnsi="Arial" w:cs="Arial"/>
          <w:sz w:val="16"/>
          <w:szCs w:val="16"/>
        </w:rPr>
        <w:t xml:space="preserve"> PTI, “India’s </w:t>
      </w:r>
      <w:r w:rsidRPr="008E0A10">
        <w:rPr>
          <w:rFonts w:ascii="Arial" w:hAnsi="Arial" w:cs="Arial"/>
          <w:sz w:val="16"/>
          <w:szCs w:val="16"/>
          <w:lang w:val="en-CA"/>
        </w:rPr>
        <w:t>T</w:t>
      </w:r>
      <w:proofErr w:type="spellStart"/>
      <w:r w:rsidRPr="008E0A10">
        <w:rPr>
          <w:rFonts w:ascii="Arial" w:hAnsi="Arial" w:cs="Arial"/>
          <w:sz w:val="16"/>
          <w:szCs w:val="16"/>
        </w:rPr>
        <w:t>rade</w:t>
      </w:r>
      <w:proofErr w:type="spellEnd"/>
      <w:r w:rsidRPr="008E0A10">
        <w:rPr>
          <w:rFonts w:ascii="Arial" w:hAnsi="Arial" w:cs="Arial"/>
          <w:sz w:val="16"/>
          <w:szCs w:val="16"/>
        </w:rPr>
        <w:t xml:space="preserve"> </w:t>
      </w:r>
      <w:r w:rsidRPr="008E0A10">
        <w:rPr>
          <w:rFonts w:ascii="Arial" w:hAnsi="Arial" w:cs="Arial"/>
          <w:sz w:val="16"/>
          <w:szCs w:val="16"/>
          <w:lang w:val="en-CA"/>
        </w:rPr>
        <w:t>D</w:t>
      </w:r>
      <w:proofErr w:type="spellStart"/>
      <w:r w:rsidRPr="008E0A10">
        <w:rPr>
          <w:rFonts w:ascii="Arial" w:hAnsi="Arial" w:cs="Arial"/>
          <w:sz w:val="16"/>
          <w:szCs w:val="16"/>
        </w:rPr>
        <w:t>eficit</w:t>
      </w:r>
      <w:proofErr w:type="spellEnd"/>
      <w:r w:rsidRPr="008E0A10">
        <w:rPr>
          <w:rFonts w:ascii="Arial" w:hAnsi="Arial" w:cs="Arial"/>
          <w:sz w:val="16"/>
          <w:szCs w:val="16"/>
        </w:rPr>
        <w:t xml:space="preserve"> with China </w:t>
      </w:r>
      <w:r w:rsidRPr="008E0A10">
        <w:rPr>
          <w:rFonts w:ascii="Arial" w:hAnsi="Arial" w:cs="Arial"/>
          <w:sz w:val="16"/>
          <w:szCs w:val="16"/>
          <w:lang w:val="en-CA"/>
        </w:rPr>
        <w:t>D</w:t>
      </w:r>
      <w:proofErr w:type="spellStart"/>
      <w:r w:rsidRPr="008E0A10">
        <w:rPr>
          <w:rFonts w:ascii="Arial" w:hAnsi="Arial" w:cs="Arial"/>
          <w:sz w:val="16"/>
          <w:szCs w:val="16"/>
        </w:rPr>
        <w:t>ips</w:t>
      </w:r>
      <w:proofErr w:type="spellEnd"/>
      <w:r w:rsidRPr="008E0A10">
        <w:rPr>
          <w:rFonts w:ascii="Arial" w:hAnsi="Arial" w:cs="Arial"/>
          <w:sz w:val="16"/>
          <w:szCs w:val="16"/>
        </w:rPr>
        <w:t xml:space="preserve"> to $</w:t>
      </w:r>
      <w:bookmarkStart w:id="0" w:name="_GoBack"/>
      <w:bookmarkEnd w:id="0"/>
      <w:r w:rsidRPr="008E0A10">
        <w:rPr>
          <w:rFonts w:ascii="Arial" w:hAnsi="Arial" w:cs="Arial"/>
          <w:sz w:val="16"/>
          <w:szCs w:val="16"/>
        </w:rPr>
        <w:t xml:space="preserve">48.66 </w:t>
      </w:r>
      <w:r w:rsidRPr="008E0A10">
        <w:rPr>
          <w:rFonts w:ascii="Arial" w:hAnsi="Arial" w:cs="Arial"/>
          <w:sz w:val="16"/>
          <w:szCs w:val="16"/>
          <w:lang w:val="en-CA"/>
        </w:rPr>
        <w:t>B</w:t>
      </w:r>
      <w:proofErr w:type="spellStart"/>
      <w:r w:rsidRPr="008E0A10">
        <w:rPr>
          <w:rFonts w:ascii="Arial" w:hAnsi="Arial" w:cs="Arial"/>
          <w:sz w:val="16"/>
          <w:szCs w:val="16"/>
        </w:rPr>
        <w:t>illion</w:t>
      </w:r>
      <w:proofErr w:type="spellEnd"/>
      <w:r w:rsidRPr="008E0A10">
        <w:rPr>
          <w:rFonts w:ascii="Arial" w:hAnsi="Arial" w:cs="Arial"/>
          <w:sz w:val="16"/>
          <w:szCs w:val="16"/>
        </w:rPr>
        <w:t xml:space="preserve"> in FY20,” </w:t>
      </w:r>
      <w:r w:rsidRPr="008E0A10">
        <w:rPr>
          <w:rFonts w:ascii="Arial" w:hAnsi="Arial" w:cs="Arial"/>
          <w:i/>
          <w:sz w:val="16"/>
          <w:szCs w:val="16"/>
        </w:rPr>
        <w:t>The Hindu</w:t>
      </w:r>
      <w:r w:rsidRPr="008E0A10">
        <w:rPr>
          <w:rFonts w:ascii="Arial" w:hAnsi="Arial" w:cs="Arial"/>
          <w:sz w:val="16"/>
          <w:szCs w:val="16"/>
        </w:rPr>
        <w:t>, July 3, 2020, accessed October 29, 2020, www.thehindu.com/business/Economy/indias-trade-deficit-with-china-dips-to-4866-billion-in-fy20/article31973598.ece</w:t>
      </w:r>
      <w:r w:rsidRPr="008E0A10">
        <w:rPr>
          <w:rFonts w:ascii="Arial" w:hAnsi="Arial" w:cs="Arial"/>
          <w:sz w:val="16"/>
          <w:szCs w:val="16"/>
          <w:lang w:val="en-CA"/>
        </w:rPr>
        <w:t>.</w:t>
      </w:r>
    </w:p>
  </w:endnote>
  <w:endnote w:id="35">
    <w:p w14:paraId="5B8CF7C0" w14:textId="48EF5939" w:rsidR="00431FE4" w:rsidRPr="008E0A10" w:rsidRDefault="00431FE4">
      <w:pPr>
        <w:pStyle w:val="EndnoteText"/>
        <w:rPr>
          <w:rFonts w:ascii="Arial" w:hAnsi="Arial" w:cs="Arial"/>
          <w:sz w:val="16"/>
          <w:szCs w:val="16"/>
          <w:lang w:val="en-US"/>
        </w:rPr>
      </w:pPr>
      <w:r w:rsidRPr="008E0A10">
        <w:rPr>
          <w:rStyle w:val="EndnoteReference"/>
          <w:rFonts w:ascii="Arial" w:hAnsi="Arial" w:cs="Arial"/>
          <w:sz w:val="16"/>
          <w:szCs w:val="16"/>
        </w:rPr>
        <w:endnoteRef/>
      </w:r>
      <w:r w:rsidRPr="008E0A10">
        <w:rPr>
          <w:rFonts w:ascii="Arial" w:hAnsi="Arial" w:cs="Arial"/>
          <w:sz w:val="16"/>
          <w:szCs w:val="16"/>
        </w:rPr>
        <w:t xml:space="preserve"> </w:t>
      </w:r>
      <w:r w:rsidRPr="008E0A10">
        <w:rPr>
          <w:rFonts w:ascii="Arial" w:hAnsi="Arial" w:cs="Arial"/>
          <w:sz w:val="16"/>
          <w:szCs w:val="16"/>
          <w:lang w:val="en-US"/>
        </w:rPr>
        <w:t xml:space="preserve">Atul Thakur, “We Can Boycott China but at What Cost?” </w:t>
      </w:r>
      <w:r w:rsidR="00460A73" w:rsidRPr="008E0A10">
        <w:rPr>
          <w:rFonts w:ascii="Arial" w:hAnsi="Arial" w:cs="Arial"/>
          <w:i/>
          <w:sz w:val="16"/>
          <w:szCs w:val="16"/>
          <w:lang w:val="en-US"/>
        </w:rPr>
        <w:t>TOI</w:t>
      </w:r>
      <w:r w:rsidR="00460A73" w:rsidRPr="008E0A10">
        <w:rPr>
          <w:rFonts w:ascii="Arial" w:hAnsi="Arial" w:cs="Arial"/>
          <w:sz w:val="16"/>
          <w:szCs w:val="16"/>
          <w:lang w:val="en-US"/>
        </w:rPr>
        <w:t xml:space="preserve"> [</w:t>
      </w:r>
      <w:r w:rsidRPr="008E0A10">
        <w:rPr>
          <w:rFonts w:ascii="Arial" w:hAnsi="Arial" w:cs="Arial"/>
          <w:i/>
          <w:sz w:val="16"/>
          <w:szCs w:val="16"/>
          <w:lang w:val="en-US"/>
        </w:rPr>
        <w:t>Times of India</w:t>
      </w:r>
      <w:r w:rsidR="00460A73" w:rsidRPr="008E0A10">
        <w:rPr>
          <w:rFonts w:ascii="Arial" w:hAnsi="Arial" w:cs="Arial"/>
          <w:i/>
          <w:sz w:val="16"/>
          <w:szCs w:val="16"/>
          <w:lang w:val="en-US"/>
        </w:rPr>
        <w:t>]</w:t>
      </w:r>
      <w:r w:rsidRPr="008E0A10">
        <w:rPr>
          <w:rFonts w:ascii="Arial" w:hAnsi="Arial" w:cs="Arial"/>
          <w:sz w:val="16"/>
          <w:szCs w:val="16"/>
          <w:lang w:val="en-US"/>
        </w:rPr>
        <w:t>, June 20, 2020, accessed January 27, 2021, https://timesofindia.indiatimes.com/india/we-can-boycott-china-but-at-what-cost/articleshow/76477740.cms.</w:t>
      </w:r>
    </w:p>
  </w:endnote>
  <w:endnote w:id="36">
    <w:p w14:paraId="21CD4F06" w14:textId="013560F2" w:rsidR="00431FE4" w:rsidRPr="008E0A10" w:rsidRDefault="00431FE4">
      <w:pPr>
        <w:pStyle w:val="EndnoteText"/>
        <w:rPr>
          <w:rFonts w:ascii="Arial" w:hAnsi="Arial" w:cs="Arial"/>
          <w:sz w:val="16"/>
          <w:szCs w:val="16"/>
          <w:lang w:val="en-US"/>
        </w:rPr>
      </w:pPr>
      <w:r w:rsidRPr="008E0A10">
        <w:rPr>
          <w:rStyle w:val="EndnoteReference"/>
          <w:rFonts w:ascii="Arial" w:hAnsi="Arial" w:cs="Arial"/>
          <w:sz w:val="16"/>
          <w:szCs w:val="16"/>
        </w:rPr>
        <w:endnoteRef/>
      </w:r>
      <w:r w:rsidRPr="008E0A10">
        <w:rPr>
          <w:rFonts w:ascii="Arial" w:hAnsi="Arial" w:cs="Arial"/>
          <w:sz w:val="16"/>
          <w:szCs w:val="16"/>
        </w:rPr>
        <w:t xml:space="preserve"> </w:t>
      </w:r>
      <w:r w:rsidRPr="008E0A10">
        <w:rPr>
          <w:rFonts w:ascii="Arial" w:hAnsi="Arial" w:cs="Arial"/>
          <w:sz w:val="16"/>
          <w:szCs w:val="16"/>
          <w:lang w:val="en-US"/>
        </w:rPr>
        <w:t xml:space="preserve">Biswajit Dhar, K S </w:t>
      </w:r>
      <w:proofErr w:type="spellStart"/>
      <w:r w:rsidRPr="008E0A10">
        <w:rPr>
          <w:rFonts w:ascii="Arial" w:hAnsi="Arial" w:cs="Arial"/>
          <w:sz w:val="16"/>
          <w:szCs w:val="16"/>
          <w:lang w:val="en-US"/>
        </w:rPr>
        <w:t>Chalapati</w:t>
      </w:r>
      <w:proofErr w:type="spellEnd"/>
      <w:r w:rsidRPr="008E0A10">
        <w:rPr>
          <w:rFonts w:ascii="Arial" w:hAnsi="Arial" w:cs="Arial"/>
          <w:sz w:val="16"/>
          <w:szCs w:val="16"/>
          <w:lang w:val="en-US"/>
        </w:rPr>
        <w:t xml:space="preserve"> Rao, “India’s Economic Dependence on China,” </w:t>
      </w:r>
      <w:r w:rsidRPr="008E0A10">
        <w:rPr>
          <w:rFonts w:ascii="Arial" w:hAnsi="Arial" w:cs="Arial"/>
          <w:i/>
          <w:sz w:val="16"/>
          <w:szCs w:val="16"/>
          <w:lang w:val="en-US"/>
        </w:rPr>
        <w:t>India Forum</w:t>
      </w:r>
      <w:r w:rsidRPr="008E0A10">
        <w:rPr>
          <w:rFonts w:ascii="Arial" w:hAnsi="Arial" w:cs="Arial"/>
          <w:sz w:val="16"/>
          <w:szCs w:val="16"/>
          <w:lang w:val="en-US"/>
        </w:rPr>
        <w:t>, July 24, 2020, accessed January 27, 2021, www.theindiaforum.in/article/india-s-dependence-china.</w:t>
      </w:r>
    </w:p>
  </w:endnote>
  <w:endnote w:id="37">
    <w:p w14:paraId="13BAF37B" w14:textId="00AE11BE" w:rsidR="00431FE4" w:rsidRPr="008E0A10" w:rsidRDefault="00431FE4">
      <w:pPr>
        <w:pStyle w:val="EndnoteText"/>
        <w:rPr>
          <w:rFonts w:ascii="Arial" w:hAnsi="Arial" w:cs="Arial"/>
          <w:sz w:val="16"/>
          <w:szCs w:val="16"/>
          <w:lang w:val="en-US"/>
        </w:rPr>
      </w:pPr>
      <w:r w:rsidRPr="008E0A10">
        <w:rPr>
          <w:rStyle w:val="EndnoteReference"/>
          <w:rFonts w:ascii="Arial" w:hAnsi="Arial" w:cs="Arial"/>
          <w:sz w:val="16"/>
          <w:szCs w:val="16"/>
        </w:rPr>
        <w:endnoteRef/>
      </w:r>
      <w:r w:rsidRPr="008E0A10">
        <w:rPr>
          <w:rFonts w:ascii="Arial" w:hAnsi="Arial" w:cs="Arial"/>
          <w:sz w:val="16"/>
          <w:szCs w:val="16"/>
        </w:rPr>
        <w:t xml:space="preserve"> </w:t>
      </w:r>
      <w:r w:rsidRPr="008E0A10">
        <w:rPr>
          <w:rFonts w:ascii="Arial" w:hAnsi="Arial" w:cs="Arial"/>
          <w:sz w:val="16"/>
          <w:szCs w:val="16"/>
          <w:lang w:val="en-US"/>
        </w:rPr>
        <w:t>Nikhil Inamdar, “Can India Afford to Boycott Chinese Products?” B</w:t>
      </w:r>
      <w:r w:rsidR="00ED3EEB" w:rsidRPr="008E0A10">
        <w:rPr>
          <w:rFonts w:ascii="Arial" w:hAnsi="Arial" w:cs="Arial"/>
          <w:sz w:val="16"/>
          <w:szCs w:val="16"/>
          <w:lang w:val="en-US"/>
        </w:rPr>
        <w:t>BC</w:t>
      </w:r>
      <w:r w:rsidRPr="008E0A10">
        <w:rPr>
          <w:rFonts w:ascii="Arial" w:hAnsi="Arial" w:cs="Arial"/>
          <w:sz w:val="16"/>
          <w:szCs w:val="16"/>
          <w:lang w:val="en-US"/>
        </w:rPr>
        <w:t>, June 2</w:t>
      </w:r>
      <w:r w:rsidR="00ED3EEB" w:rsidRPr="008E0A10">
        <w:rPr>
          <w:rFonts w:ascii="Arial" w:hAnsi="Arial" w:cs="Arial"/>
          <w:sz w:val="16"/>
          <w:szCs w:val="16"/>
          <w:lang w:val="en-US"/>
        </w:rPr>
        <w:t>5</w:t>
      </w:r>
      <w:r w:rsidRPr="008E0A10">
        <w:rPr>
          <w:rFonts w:ascii="Arial" w:hAnsi="Arial" w:cs="Arial"/>
          <w:sz w:val="16"/>
          <w:szCs w:val="16"/>
          <w:lang w:val="en-US"/>
        </w:rPr>
        <w:t>, 2020, accessed January 28, 2021, www.bbc.com/news/world-asia-india-53150898.</w:t>
      </w:r>
    </w:p>
  </w:endnote>
  <w:endnote w:id="38">
    <w:p w14:paraId="7A4FE4F2" w14:textId="69A48A17" w:rsidR="00431FE4" w:rsidRPr="008E0A10" w:rsidRDefault="00431FE4" w:rsidP="00A56845">
      <w:pPr>
        <w:rPr>
          <w:rFonts w:ascii="Arial" w:hAnsi="Arial" w:cs="Arial"/>
          <w:sz w:val="16"/>
          <w:szCs w:val="16"/>
        </w:rPr>
      </w:pPr>
      <w:r w:rsidRPr="008E0A10">
        <w:rPr>
          <w:rStyle w:val="EndnoteReference"/>
          <w:rFonts w:ascii="Arial" w:hAnsi="Arial" w:cs="Arial"/>
          <w:sz w:val="16"/>
          <w:szCs w:val="16"/>
        </w:rPr>
        <w:endnoteRef/>
      </w:r>
      <w:r w:rsidRPr="008E0A10">
        <w:rPr>
          <w:rFonts w:ascii="Arial" w:hAnsi="Arial" w:cs="Arial"/>
          <w:sz w:val="16"/>
          <w:szCs w:val="16"/>
        </w:rPr>
        <w:t xml:space="preserve"> PTI, “</w:t>
      </w:r>
      <w:r w:rsidRPr="008E0A10">
        <w:rPr>
          <w:rFonts w:ascii="Arial" w:hAnsi="Arial" w:cs="Arial"/>
          <w:color w:val="000000"/>
          <w:sz w:val="16"/>
          <w:szCs w:val="16"/>
          <w:shd w:val="clear" w:color="auto" w:fill="FFFFFF"/>
        </w:rPr>
        <w:t xml:space="preserve">India Received $1.81 </w:t>
      </w:r>
      <w:r w:rsidR="0066234D" w:rsidRPr="008E0A10">
        <w:rPr>
          <w:rFonts w:ascii="Arial" w:hAnsi="Arial" w:cs="Arial"/>
          <w:color w:val="000000"/>
          <w:sz w:val="16"/>
          <w:szCs w:val="16"/>
          <w:shd w:val="clear" w:color="auto" w:fill="FFFFFF"/>
        </w:rPr>
        <w:t>B</w:t>
      </w:r>
      <w:r w:rsidRPr="008E0A10">
        <w:rPr>
          <w:rFonts w:ascii="Arial" w:hAnsi="Arial" w:cs="Arial"/>
          <w:color w:val="000000"/>
          <w:sz w:val="16"/>
          <w:szCs w:val="16"/>
          <w:shd w:val="clear" w:color="auto" w:fill="FFFFFF"/>
        </w:rPr>
        <w:t xml:space="preserve">n FDI from China </w:t>
      </w:r>
      <w:r w:rsidR="0066234D" w:rsidRPr="008E0A10">
        <w:rPr>
          <w:rFonts w:ascii="Arial" w:hAnsi="Arial" w:cs="Arial"/>
          <w:color w:val="000000"/>
          <w:sz w:val="16"/>
          <w:szCs w:val="16"/>
          <w:shd w:val="clear" w:color="auto" w:fill="FFFFFF"/>
        </w:rPr>
        <w:t>d</w:t>
      </w:r>
      <w:r w:rsidRPr="008E0A10">
        <w:rPr>
          <w:rFonts w:ascii="Arial" w:hAnsi="Arial" w:cs="Arial"/>
          <w:color w:val="000000"/>
          <w:sz w:val="16"/>
          <w:szCs w:val="16"/>
          <w:shd w:val="clear" w:color="auto" w:fill="FFFFFF"/>
        </w:rPr>
        <w:t>uring Apr '14–Mar '19: Piyush Goyal,”</w:t>
      </w:r>
      <w:r w:rsidRPr="008E0A10">
        <w:rPr>
          <w:rFonts w:ascii="Arial" w:hAnsi="Arial" w:cs="Arial"/>
          <w:i/>
          <w:color w:val="000000"/>
          <w:sz w:val="16"/>
          <w:szCs w:val="16"/>
          <w:shd w:val="clear" w:color="auto" w:fill="FFFFFF"/>
        </w:rPr>
        <w:t xml:space="preserve"> Economic Times</w:t>
      </w:r>
      <w:r w:rsidRPr="008E0A10">
        <w:rPr>
          <w:rFonts w:ascii="Arial" w:hAnsi="Arial" w:cs="Arial"/>
          <w:color w:val="000000"/>
          <w:sz w:val="16"/>
          <w:szCs w:val="16"/>
          <w:shd w:val="clear" w:color="auto" w:fill="FFFFFF"/>
        </w:rPr>
        <w:t>, June 28, 2019, accessed January 28, 2021, https://economictimes.indiatimes.com/news/economy/finance/india-received-1-81-bn-fdi-from-china-during-apr14-mar19-piyush-goyal/articleshow/69989734.cms?from=mdr.</w:t>
      </w:r>
    </w:p>
  </w:endnote>
  <w:endnote w:id="39">
    <w:p w14:paraId="409D30CC" w14:textId="329096C3" w:rsidR="00431FE4" w:rsidRPr="008E0A10" w:rsidRDefault="00431FE4">
      <w:pPr>
        <w:pStyle w:val="EndnoteText"/>
        <w:rPr>
          <w:rFonts w:ascii="Arial" w:hAnsi="Arial" w:cs="Arial"/>
          <w:sz w:val="16"/>
          <w:szCs w:val="16"/>
          <w:lang w:val="en-US"/>
        </w:rPr>
      </w:pPr>
      <w:r w:rsidRPr="008E0A10">
        <w:rPr>
          <w:rStyle w:val="EndnoteReference"/>
          <w:rFonts w:ascii="Arial" w:hAnsi="Arial" w:cs="Arial"/>
          <w:sz w:val="16"/>
          <w:szCs w:val="16"/>
        </w:rPr>
        <w:endnoteRef/>
      </w:r>
      <w:r w:rsidRPr="008E0A10">
        <w:rPr>
          <w:rFonts w:ascii="Arial" w:hAnsi="Arial" w:cs="Arial"/>
          <w:sz w:val="16"/>
          <w:szCs w:val="16"/>
        </w:rPr>
        <w:t xml:space="preserve"> </w:t>
      </w:r>
      <w:r w:rsidRPr="008E0A10">
        <w:rPr>
          <w:rFonts w:ascii="Arial" w:hAnsi="Arial" w:cs="Arial"/>
          <w:sz w:val="16"/>
          <w:szCs w:val="16"/>
          <w:lang w:val="en-US"/>
        </w:rPr>
        <w:t>Ananth Krishnan, “Follow</w:t>
      </w:r>
      <w:r w:rsidR="00A365D0" w:rsidRPr="008E0A10">
        <w:rPr>
          <w:rFonts w:ascii="Arial" w:hAnsi="Arial" w:cs="Arial"/>
          <w:sz w:val="16"/>
          <w:szCs w:val="16"/>
          <w:lang w:val="en-US"/>
        </w:rPr>
        <w:t>ing</w:t>
      </w:r>
      <w:r w:rsidRPr="008E0A10">
        <w:rPr>
          <w:rFonts w:ascii="Arial" w:hAnsi="Arial" w:cs="Arial"/>
          <w:sz w:val="16"/>
          <w:szCs w:val="16"/>
          <w:lang w:val="en-US"/>
        </w:rPr>
        <w:t xml:space="preserve"> the Money: </w:t>
      </w:r>
      <w:r w:rsidR="00A365D0" w:rsidRPr="008E0A10">
        <w:rPr>
          <w:rFonts w:ascii="Arial" w:hAnsi="Arial" w:cs="Arial"/>
          <w:sz w:val="16"/>
          <w:szCs w:val="16"/>
          <w:lang w:val="en-US"/>
        </w:rPr>
        <w:t>China</w:t>
      </w:r>
      <w:r w:rsidRPr="008E0A10">
        <w:rPr>
          <w:rFonts w:ascii="Arial" w:hAnsi="Arial" w:cs="Arial"/>
          <w:sz w:val="16"/>
          <w:szCs w:val="16"/>
          <w:lang w:val="en-US"/>
        </w:rPr>
        <w:t xml:space="preserve"> Inc’s Growing Stake in India</w:t>
      </w:r>
      <w:r w:rsidR="00A365D0" w:rsidRPr="008E0A10">
        <w:rPr>
          <w:rFonts w:ascii="Arial" w:hAnsi="Arial" w:cs="Arial"/>
          <w:sz w:val="16"/>
          <w:szCs w:val="16"/>
          <w:lang w:val="en-US"/>
        </w:rPr>
        <w:t>-</w:t>
      </w:r>
      <w:r w:rsidRPr="008E0A10">
        <w:rPr>
          <w:rFonts w:ascii="Arial" w:hAnsi="Arial" w:cs="Arial"/>
          <w:sz w:val="16"/>
          <w:szCs w:val="16"/>
          <w:lang w:val="en-US"/>
        </w:rPr>
        <w:t>China Relations,” Brookings Institution India Cent</w:t>
      </w:r>
      <w:r w:rsidR="00C50568" w:rsidRPr="008E0A10">
        <w:rPr>
          <w:rFonts w:ascii="Arial" w:hAnsi="Arial" w:cs="Arial"/>
          <w:sz w:val="16"/>
          <w:szCs w:val="16"/>
          <w:lang w:val="en-US"/>
        </w:rPr>
        <w:t>er</w:t>
      </w:r>
      <w:r w:rsidRPr="008E0A10">
        <w:rPr>
          <w:rFonts w:ascii="Arial" w:hAnsi="Arial" w:cs="Arial"/>
          <w:sz w:val="16"/>
          <w:szCs w:val="16"/>
          <w:lang w:val="en-US"/>
        </w:rPr>
        <w:t>, March 2020, accessed January 28, 2021, www.brookings.edu/wp-content/uploads/2020/03/China-Inc%E2%80%99s-growing-stake-in-India-China-relations_F.pdf.</w:t>
      </w:r>
    </w:p>
  </w:endnote>
  <w:endnote w:id="40">
    <w:p w14:paraId="51BF53EF" w14:textId="6FF490AD" w:rsidR="00431FE4" w:rsidRPr="008E0A10" w:rsidRDefault="00431FE4" w:rsidP="00FB13F9">
      <w:pPr>
        <w:pStyle w:val="Footnote"/>
        <w:rPr>
          <w:spacing w:val="-6"/>
          <w:kern w:val="17"/>
          <w:sz w:val="16"/>
          <w:szCs w:val="16"/>
        </w:rPr>
      </w:pPr>
      <w:r w:rsidRPr="008E0A10">
        <w:rPr>
          <w:rStyle w:val="EndnoteReference"/>
          <w:spacing w:val="-6"/>
          <w:kern w:val="17"/>
          <w:sz w:val="16"/>
          <w:szCs w:val="16"/>
        </w:rPr>
        <w:endnoteRef/>
      </w:r>
      <w:r w:rsidRPr="008E0A10">
        <w:rPr>
          <w:spacing w:val="-6"/>
          <w:kern w:val="17"/>
          <w:sz w:val="16"/>
          <w:szCs w:val="16"/>
        </w:rPr>
        <w:t xml:space="preserve"> Sushant Singh, “Experts Explain: What Triggered China’s Line of Actual Control (LAC) Moves?” </w:t>
      </w:r>
      <w:r w:rsidRPr="008E0A10">
        <w:rPr>
          <w:i/>
          <w:spacing w:val="-6"/>
          <w:kern w:val="17"/>
          <w:sz w:val="16"/>
          <w:szCs w:val="16"/>
        </w:rPr>
        <w:t>Indian Express</w:t>
      </w:r>
      <w:r w:rsidRPr="008E0A10">
        <w:rPr>
          <w:spacing w:val="-6"/>
          <w:kern w:val="17"/>
          <w:sz w:val="16"/>
          <w:szCs w:val="16"/>
        </w:rPr>
        <w:t>, June 16, 2020, accessed October 30, 2020, https://indianexpress.com/article/explained/china-india-line-of-actual-control-ladakh-6427647.</w:t>
      </w:r>
    </w:p>
  </w:endnote>
  <w:endnote w:id="41">
    <w:p w14:paraId="3403C826" w14:textId="26241FB2"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Ibid. </w:t>
      </w:r>
    </w:p>
  </w:endnote>
  <w:endnote w:id="42">
    <w:p w14:paraId="102228DB" w14:textId="52E0B160"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w:t>
      </w:r>
      <w:r w:rsidR="00796F08" w:rsidRPr="008E0A10">
        <w:rPr>
          <w:sz w:val="16"/>
          <w:szCs w:val="16"/>
        </w:rPr>
        <w:t>“</w:t>
      </w:r>
      <w:r w:rsidRPr="008E0A10">
        <w:rPr>
          <w:sz w:val="16"/>
          <w:szCs w:val="16"/>
        </w:rPr>
        <w:t>Line of Actual Control</w:t>
      </w:r>
      <w:r w:rsidR="003869C2" w:rsidRPr="008E0A10">
        <w:rPr>
          <w:sz w:val="16"/>
          <w:szCs w:val="16"/>
        </w:rPr>
        <w:t>”</w:t>
      </w:r>
      <w:r w:rsidRPr="008E0A10">
        <w:rPr>
          <w:sz w:val="16"/>
          <w:szCs w:val="16"/>
        </w:rPr>
        <w:t xml:space="preserve"> refers to a loosely defined line separating the territories controlled by India and China at their border, which differs from the international border that both countries define differently.</w:t>
      </w:r>
    </w:p>
  </w:endnote>
  <w:endnote w:id="43">
    <w:p w14:paraId="0986253D" w14:textId="21515309"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Ghoshal, Bukhari, and Wu, op. cit.</w:t>
      </w:r>
    </w:p>
  </w:endnote>
  <w:endnote w:id="44">
    <w:p w14:paraId="7A4F5A2A" w14:textId="2B76B0D0"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P</w:t>
      </w:r>
      <w:r w:rsidR="003869C2" w:rsidRPr="008E0A10">
        <w:rPr>
          <w:sz w:val="16"/>
          <w:szCs w:val="16"/>
        </w:rPr>
        <w:t xml:space="preserve">TI, </w:t>
      </w:r>
      <w:r w:rsidRPr="008E0A10">
        <w:rPr>
          <w:sz w:val="16"/>
          <w:szCs w:val="16"/>
        </w:rPr>
        <w:t>“</w:t>
      </w:r>
      <w:r w:rsidRPr="008E0A10">
        <w:rPr>
          <w:color w:val="000000"/>
          <w:sz w:val="16"/>
          <w:szCs w:val="16"/>
          <w:shd w:val="clear" w:color="auto" w:fill="FFFFFF"/>
        </w:rPr>
        <w:t xml:space="preserve">China Brushes Aside Questions on Attack by Its Troops on Indian Soldiers, Damming </w:t>
      </w:r>
      <w:proofErr w:type="spellStart"/>
      <w:r w:rsidRPr="008E0A10">
        <w:rPr>
          <w:color w:val="000000"/>
          <w:sz w:val="16"/>
          <w:szCs w:val="16"/>
          <w:shd w:val="clear" w:color="auto" w:fill="FFFFFF"/>
        </w:rPr>
        <w:t>Galwan</w:t>
      </w:r>
      <w:proofErr w:type="spellEnd"/>
      <w:r w:rsidRPr="008E0A10">
        <w:rPr>
          <w:color w:val="000000"/>
          <w:sz w:val="16"/>
          <w:szCs w:val="16"/>
          <w:shd w:val="clear" w:color="auto" w:fill="FFFFFF"/>
        </w:rPr>
        <w:t xml:space="preserve"> River,”</w:t>
      </w:r>
      <w:r w:rsidR="003869C2" w:rsidRPr="008E0A10">
        <w:rPr>
          <w:i/>
          <w:color w:val="000000"/>
          <w:sz w:val="16"/>
          <w:szCs w:val="16"/>
          <w:shd w:val="clear" w:color="auto" w:fill="FFFFFF"/>
        </w:rPr>
        <w:t xml:space="preserve"> </w:t>
      </w:r>
      <w:r w:rsidRPr="008E0A10">
        <w:rPr>
          <w:i/>
          <w:color w:val="000000"/>
          <w:sz w:val="16"/>
          <w:szCs w:val="16"/>
          <w:shd w:val="clear" w:color="auto" w:fill="FFFFFF"/>
        </w:rPr>
        <w:t>Economic Times</w:t>
      </w:r>
      <w:r w:rsidRPr="008E0A10">
        <w:rPr>
          <w:color w:val="000000"/>
          <w:sz w:val="16"/>
          <w:szCs w:val="16"/>
          <w:shd w:val="clear" w:color="auto" w:fill="FFFFFF"/>
        </w:rPr>
        <w:t xml:space="preserve">, June 18, 2020, accessed July 17, 2020, </w:t>
      </w:r>
      <w:r w:rsidRPr="008E0A10">
        <w:rPr>
          <w:sz w:val="16"/>
          <w:szCs w:val="16"/>
        </w:rPr>
        <w:t>https://economictimes.indiatimes.com/news/defence/china-brushes-aside-questions-on-attack-by-its-troops-on-indian-soldiers-damming-galwan-river/articleshow/76443473.cms?from=mdr</w:t>
      </w:r>
      <w:r w:rsidRPr="008E0A10">
        <w:rPr>
          <w:color w:val="000000"/>
          <w:sz w:val="16"/>
          <w:szCs w:val="16"/>
        </w:rPr>
        <w:t>.</w:t>
      </w:r>
    </w:p>
  </w:endnote>
  <w:endnote w:id="45">
    <w:p w14:paraId="514308A0" w14:textId="72DDE089"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w:t>
      </w:r>
      <w:proofErr w:type="spellStart"/>
      <w:r w:rsidRPr="008E0A10">
        <w:rPr>
          <w:sz w:val="16"/>
          <w:szCs w:val="16"/>
        </w:rPr>
        <w:t>Abhirup</w:t>
      </w:r>
      <w:proofErr w:type="spellEnd"/>
      <w:r w:rsidRPr="008E0A10">
        <w:rPr>
          <w:sz w:val="16"/>
          <w:szCs w:val="16"/>
        </w:rPr>
        <w:t xml:space="preserve"> Roy, Shilpa </w:t>
      </w:r>
      <w:proofErr w:type="spellStart"/>
      <w:r w:rsidRPr="008E0A10">
        <w:rPr>
          <w:sz w:val="16"/>
          <w:szCs w:val="16"/>
        </w:rPr>
        <w:t>Jamkhandikar</w:t>
      </w:r>
      <w:proofErr w:type="spellEnd"/>
      <w:r w:rsidRPr="008E0A10">
        <w:rPr>
          <w:sz w:val="16"/>
          <w:szCs w:val="16"/>
        </w:rPr>
        <w:t xml:space="preserve">, Mayank Bhardwaj, and </w:t>
      </w:r>
      <w:proofErr w:type="spellStart"/>
      <w:r w:rsidRPr="008E0A10">
        <w:rPr>
          <w:sz w:val="16"/>
          <w:szCs w:val="16"/>
        </w:rPr>
        <w:t>Huizhong</w:t>
      </w:r>
      <w:proofErr w:type="spellEnd"/>
      <w:r w:rsidRPr="008E0A10">
        <w:rPr>
          <w:sz w:val="16"/>
          <w:szCs w:val="16"/>
        </w:rPr>
        <w:t xml:space="preserve"> Wu, “</w:t>
      </w:r>
      <w:proofErr w:type="spellStart"/>
      <w:r w:rsidRPr="008E0A10">
        <w:rPr>
          <w:sz w:val="16"/>
          <w:szCs w:val="16"/>
        </w:rPr>
        <w:t>Fact</w:t>
      </w:r>
      <w:r w:rsidR="00E02C63" w:rsidRPr="008E0A10">
        <w:rPr>
          <w:sz w:val="16"/>
          <w:szCs w:val="16"/>
        </w:rPr>
        <w:t>b</w:t>
      </w:r>
      <w:r w:rsidRPr="008E0A10">
        <w:rPr>
          <w:sz w:val="16"/>
          <w:szCs w:val="16"/>
        </w:rPr>
        <w:t>ox</w:t>
      </w:r>
      <w:proofErr w:type="spellEnd"/>
      <w:r w:rsidRPr="008E0A10">
        <w:rPr>
          <w:sz w:val="16"/>
          <w:szCs w:val="16"/>
        </w:rPr>
        <w:t>: Indian Media Call for Strong Response to Border Clash with China,” Reuters, June 17, 2020, accessed June 17, 2020, https://in.reuters.com/article/india-china-media/factbox-indian-media-call-for-strong-response-to-border-clash-with-china-idINKBN23O1RA.</w:t>
      </w:r>
    </w:p>
  </w:endnote>
  <w:endnote w:id="46">
    <w:p w14:paraId="13AEB646" w14:textId="3BFE600E" w:rsidR="00431FE4" w:rsidRPr="008E0A10" w:rsidRDefault="00431FE4" w:rsidP="00FB13F9">
      <w:pPr>
        <w:pStyle w:val="Footnote"/>
        <w:rPr>
          <w:spacing w:val="-6"/>
          <w:kern w:val="16"/>
          <w:sz w:val="16"/>
          <w:szCs w:val="16"/>
        </w:rPr>
      </w:pPr>
      <w:r w:rsidRPr="008E0A10">
        <w:rPr>
          <w:rStyle w:val="EndnoteReference"/>
          <w:spacing w:val="-6"/>
          <w:kern w:val="16"/>
          <w:sz w:val="16"/>
          <w:szCs w:val="16"/>
        </w:rPr>
        <w:endnoteRef/>
      </w:r>
      <w:r w:rsidRPr="008E0A10">
        <w:rPr>
          <w:spacing w:val="-6"/>
          <w:kern w:val="16"/>
          <w:sz w:val="16"/>
          <w:szCs w:val="16"/>
        </w:rPr>
        <w:t xml:space="preserve"> Sanjeev </w:t>
      </w:r>
      <w:proofErr w:type="spellStart"/>
      <w:r w:rsidRPr="008E0A10">
        <w:rPr>
          <w:spacing w:val="-6"/>
          <w:kern w:val="16"/>
          <w:sz w:val="16"/>
          <w:szCs w:val="16"/>
        </w:rPr>
        <w:t>Miglani</w:t>
      </w:r>
      <w:proofErr w:type="spellEnd"/>
      <w:r w:rsidRPr="008E0A10">
        <w:rPr>
          <w:spacing w:val="-6"/>
          <w:kern w:val="16"/>
          <w:sz w:val="16"/>
          <w:szCs w:val="16"/>
        </w:rPr>
        <w:t xml:space="preserve">, “Indians Hold Funerals for Soldiers Killed at China Border, Burn Portraits of Xi,” </w:t>
      </w:r>
      <w:r w:rsidR="00271AD1" w:rsidRPr="001434B8">
        <w:rPr>
          <w:i/>
          <w:spacing w:val="-6"/>
          <w:kern w:val="16"/>
          <w:sz w:val="16"/>
          <w:szCs w:val="16"/>
        </w:rPr>
        <w:t>Guardian</w:t>
      </w:r>
      <w:r w:rsidRPr="008E0A10">
        <w:rPr>
          <w:spacing w:val="-6"/>
          <w:kern w:val="16"/>
          <w:sz w:val="16"/>
          <w:szCs w:val="16"/>
        </w:rPr>
        <w:t xml:space="preserve">, June 18, 2020, accessed July 7, 2020, </w:t>
      </w:r>
      <w:r w:rsidR="00271AD1" w:rsidRPr="008E0A10">
        <w:rPr>
          <w:spacing w:val="-6"/>
          <w:kern w:val="16"/>
          <w:sz w:val="16"/>
          <w:szCs w:val="16"/>
        </w:rPr>
        <w:t>www.theguardian.pe.ca/news/world/india-holds-funerals-for-soldiers-killed-in-china-border-clash-as-tensions-stay-high-463549/</w:t>
      </w:r>
      <w:r w:rsidRPr="008E0A10">
        <w:rPr>
          <w:spacing w:val="-6"/>
          <w:kern w:val="16"/>
          <w:sz w:val="16"/>
          <w:szCs w:val="16"/>
        </w:rPr>
        <w:t>.</w:t>
      </w:r>
    </w:p>
  </w:endnote>
  <w:endnote w:id="47">
    <w:p w14:paraId="30934E3B" w14:textId="08CE1E4A"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Kenneth </w:t>
      </w:r>
      <w:proofErr w:type="spellStart"/>
      <w:r w:rsidRPr="008E0A10">
        <w:rPr>
          <w:sz w:val="16"/>
          <w:szCs w:val="16"/>
        </w:rPr>
        <w:t>Rapoza</w:t>
      </w:r>
      <w:proofErr w:type="spellEnd"/>
      <w:r w:rsidRPr="008E0A10">
        <w:rPr>
          <w:sz w:val="16"/>
          <w:szCs w:val="16"/>
        </w:rPr>
        <w:t xml:space="preserve">, “India Goes All In on ‘Boycott China,’” </w:t>
      </w:r>
      <w:r w:rsidRPr="008E0A10">
        <w:rPr>
          <w:i/>
          <w:sz w:val="16"/>
          <w:szCs w:val="16"/>
        </w:rPr>
        <w:t>Forbes</w:t>
      </w:r>
      <w:r w:rsidRPr="008E0A10">
        <w:rPr>
          <w:sz w:val="16"/>
          <w:szCs w:val="16"/>
        </w:rPr>
        <w:t>, July 10, 2020, accessed July 11, 2020, www.forbes.com/sites/kenrapoza/2020/07/10/india-goes-all-in-on-boycott-china/#698b4aea6e19.</w:t>
      </w:r>
    </w:p>
  </w:endnote>
  <w:endnote w:id="48">
    <w:p w14:paraId="1E2D0D1F" w14:textId="699D622D"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w:t>
      </w:r>
      <w:r w:rsidR="00BB3CAF" w:rsidRPr="008E0A10">
        <w:rPr>
          <w:sz w:val="16"/>
          <w:szCs w:val="16"/>
        </w:rPr>
        <w:t>Ibid.</w:t>
      </w:r>
    </w:p>
  </w:endnote>
  <w:endnote w:id="49">
    <w:p w14:paraId="415D1004" w14:textId="7AE3006A"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Anupam Chatterjee and Deepa </w:t>
      </w:r>
      <w:proofErr w:type="spellStart"/>
      <w:r w:rsidRPr="008E0A10">
        <w:rPr>
          <w:sz w:val="16"/>
          <w:szCs w:val="16"/>
        </w:rPr>
        <w:t>Jainani</w:t>
      </w:r>
      <w:proofErr w:type="spellEnd"/>
      <w:r w:rsidRPr="008E0A10">
        <w:rPr>
          <w:sz w:val="16"/>
          <w:szCs w:val="16"/>
        </w:rPr>
        <w:t>, “States, PSUs Back Off from Chinese Contracts</w:t>
      </w:r>
      <w:r w:rsidR="004039F1" w:rsidRPr="008E0A10">
        <w:rPr>
          <w:sz w:val="16"/>
          <w:szCs w:val="16"/>
        </w:rPr>
        <w:t>;</w:t>
      </w:r>
      <w:r w:rsidRPr="008E0A10">
        <w:rPr>
          <w:sz w:val="16"/>
          <w:szCs w:val="16"/>
        </w:rPr>
        <w:t xml:space="preserve"> New Orders Also Scarce as India Calls for China Boycott,” </w:t>
      </w:r>
      <w:r w:rsidRPr="008E0A10">
        <w:rPr>
          <w:i/>
          <w:sz w:val="16"/>
          <w:szCs w:val="16"/>
        </w:rPr>
        <w:t>Financial Express</w:t>
      </w:r>
      <w:r w:rsidRPr="008E0A10">
        <w:rPr>
          <w:sz w:val="16"/>
          <w:szCs w:val="16"/>
        </w:rPr>
        <w:t>, June 23, 2020, accessed July 18, 2020, www.financialexpress.com/economy/economic-face-off-states-psus-lead-china-hit-back/2000090.</w:t>
      </w:r>
    </w:p>
  </w:endnote>
  <w:endnote w:id="50">
    <w:p w14:paraId="2A3C344F" w14:textId="4B6B19E4"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Sankalp </w:t>
      </w:r>
      <w:proofErr w:type="spellStart"/>
      <w:r w:rsidRPr="008E0A10">
        <w:rPr>
          <w:sz w:val="16"/>
          <w:szCs w:val="16"/>
        </w:rPr>
        <w:t>Phartiyal</w:t>
      </w:r>
      <w:proofErr w:type="spellEnd"/>
      <w:r w:rsidRPr="008E0A10">
        <w:rPr>
          <w:sz w:val="16"/>
          <w:szCs w:val="16"/>
        </w:rPr>
        <w:t xml:space="preserve">, Aditya </w:t>
      </w:r>
      <w:proofErr w:type="spellStart"/>
      <w:r w:rsidRPr="008E0A10">
        <w:rPr>
          <w:sz w:val="16"/>
          <w:szCs w:val="16"/>
        </w:rPr>
        <w:t>Kalra</w:t>
      </w:r>
      <w:proofErr w:type="spellEnd"/>
      <w:r w:rsidRPr="008E0A10">
        <w:rPr>
          <w:sz w:val="16"/>
          <w:szCs w:val="16"/>
        </w:rPr>
        <w:t>, and Aditi Shah, “India Bans 59 Mostly Chinese Apps amid Border Crisis,” Reuters India, June 29, 2020, accessed July 18, 2020, https://in.reuters.com/article/india-china-apps/india-bans-59-mostly-chinese-apps-amid-border-crisis-idINKBN24025A.</w:t>
      </w:r>
    </w:p>
  </w:endnote>
  <w:endnote w:id="51">
    <w:p w14:paraId="62AF7FC8" w14:textId="7193D226" w:rsidR="00431FE4" w:rsidRPr="008E0A10" w:rsidRDefault="00431FE4" w:rsidP="00FB13F9">
      <w:pPr>
        <w:pStyle w:val="Footnote"/>
        <w:rPr>
          <w:spacing w:val="-6"/>
          <w:kern w:val="16"/>
          <w:sz w:val="16"/>
          <w:szCs w:val="16"/>
        </w:rPr>
      </w:pPr>
      <w:r w:rsidRPr="008E0A10">
        <w:rPr>
          <w:rStyle w:val="EndnoteReference"/>
          <w:spacing w:val="-6"/>
          <w:kern w:val="16"/>
          <w:sz w:val="16"/>
          <w:szCs w:val="16"/>
        </w:rPr>
        <w:endnoteRef/>
      </w:r>
      <w:r w:rsidRPr="008E0A10">
        <w:rPr>
          <w:spacing w:val="-6"/>
          <w:kern w:val="16"/>
          <w:sz w:val="16"/>
          <w:szCs w:val="16"/>
        </w:rPr>
        <w:t xml:space="preserve"> </w:t>
      </w:r>
      <w:proofErr w:type="spellStart"/>
      <w:r w:rsidRPr="008E0A10">
        <w:rPr>
          <w:spacing w:val="-6"/>
          <w:kern w:val="16"/>
          <w:sz w:val="16"/>
          <w:szCs w:val="16"/>
        </w:rPr>
        <w:t>Raakhi</w:t>
      </w:r>
      <w:proofErr w:type="spellEnd"/>
      <w:r w:rsidRPr="008E0A10">
        <w:rPr>
          <w:spacing w:val="-6"/>
          <w:kern w:val="16"/>
          <w:sz w:val="16"/>
          <w:szCs w:val="16"/>
        </w:rPr>
        <w:t xml:space="preserve"> </w:t>
      </w:r>
      <w:proofErr w:type="spellStart"/>
      <w:r w:rsidRPr="008E0A10">
        <w:rPr>
          <w:spacing w:val="-6"/>
          <w:kern w:val="16"/>
          <w:sz w:val="16"/>
          <w:szCs w:val="16"/>
        </w:rPr>
        <w:t>Jagga</w:t>
      </w:r>
      <w:proofErr w:type="spellEnd"/>
      <w:r w:rsidRPr="008E0A10">
        <w:rPr>
          <w:spacing w:val="-6"/>
          <w:kern w:val="16"/>
          <w:sz w:val="16"/>
          <w:szCs w:val="16"/>
        </w:rPr>
        <w:t xml:space="preserve">, “Plans to Do Business with China Worth Rs 900 Crore Shelved, Say Hero Cycles,” </w:t>
      </w:r>
      <w:r w:rsidRPr="008E0A10">
        <w:rPr>
          <w:i/>
          <w:spacing w:val="-6"/>
          <w:kern w:val="16"/>
          <w:sz w:val="16"/>
          <w:szCs w:val="16"/>
        </w:rPr>
        <w:t>Indian Express</w:t>
      </w:r>
      <w:r w:rsidRPr="008E0A10">
        <w:rPr>
          <w:spacing w:val="-6"/>
          <w:kern w:val="16"/>
          <w:sz w:val="16"/>
          <w:szCs w:val="16"/>
        </w:rPr>
        <w:t>, July 4, 2020, accessed July 11, 2020, https://indianexpress.com/article/cities/chandigarh/plans-business-china-rs-900-crore-shelved-hero-cycles-6489756.</w:t>
      </w:r>
    </w:p>
  </w:endnote>
  <w:endnote w:id="52">
    <w:p w14:paraId="01C607A2" w14:textId="53E213EF" w:rsidR="00431FE4" w:rsidRPr="008E0A10" w:rsidRDefault="00431FE4" w:rsidP="00FB13F9">
      <w:pPr>
        <w:pStyle w:val="Footnote"/>
        <w:rPr>
          <w:spacing w:val="-4"/>
          <w:kern w:val="17"/>
          <w:sz w:val="16"/>
          <w:szCs w:val="16"/>
        </w:rPr>
      </w:pPr>
      <w:r w:rsidRPr="008E0A10">
        <w:rPr>
          <w:rStyle w:val="EndnoteReference"/>
          <w:spacing w:val="-4"/>
          <w:kern w:val="17"/>
          <w:sz w:val="16"/>
          <w:szCs w:val="16"/>
        </w:rPr>
        <w:endnoteRef/>
      </w:r>
      <w:r w:rsidRPr="008E0A10">
        <w:rPr>
          <w:spacing w:val="-4"/>
          <w:kern w:val="17"/>
          <w:sz w:val="16"/>
          <w:szCs w:val="16"/>
        </w:rPr>
        <w:t xml:space="preserve"> Saritha Rai, “Amazon Will Show Made-in-China Labels for India as Tensions Rise,” Bloomberg </w:t>
      </w:r>
      <w:r w:rsidR="007B4F58" w:rsidRPr="008E0A10">
        <w:rPr>
          <w:spacing w:val="-4"/>
          <w:kern w:val="17"/>
          <w:sz w:val="16"/>
          <w:szCs w:val="16"/>
        </w:rPr>
        <w:sym w:font="Symbol" w:char="F0EF"/>
      </w:r>
      <w:r w:rsidR="007B4F58" w:rsidRPr="008E0A10">
        <w:rPr>
          <w:spacing w:val="-4"/>
          <w:kern w:val="17"/>
          <w:sz w:val="16"/>
          <w:szCs w:val="16"/>
        </w:rPr>
        <w:t xml:space="preserve"> </w:t>
      </w:r>
      <w:r w:rsidRPr="008E0A10">
        <w:rPr>
          <w:spacing w:val="-4"/>
          <w:kern w:val="17"/>
          <w:sz w:val="16"/>
          <w:szCs w:val="16"/>
        </w:rPr>
        <w:t>Quint, June 25, 2020, accessed July 11, 2020, www.bloombergquint.com/business/amazon-will-show-made-in-china-labels-for-india-as-tensions-rise.</w:t>
      </w:r>
    </w:p>
  </w:endnote>
  <w:endnote w:id="53">
    <w:p w14:paraId="251F7B83" w14:textId="4EF1EE85" w:rsidR="00431FE4" w:rsidRPr="008E0A10" w:rsidRDefault="00431FE4" w:rsidP="00FB13F9">
      <w:pPr>
        <w:pStyle w:val="Footnote"/>
        <w:rPr>
          <w:spacing w:val="-6"/>
          <w:kern w:val="16"/>
          <w:sz w:val="16"/>
          <w:szCs w:val="16"/>
        </w:rPr>
      </w:pPr>
      <w:r w:rsidRPr="008E0A10">
        <w:rPr>
          <w:rStyle w:val="EndnoteReference"/>
          <w:spacing w:val="-6"/>
          <w:kern w:val="16"/>
          <w:sz w:val="16"/>
          <w:szCs w:val="16"/>
        </w:rPr>
        <w:endnoteRef/>
      </w:r>
      <w:r w:rsidRPr="008E0A10">
        <w:rPr>
          <w:spacing w:val="-6"/>
          <w:kern w:val="16"/>
          <w:sz w:val="16"/>
          <w:szCs w:val="16"/>
        </w:rPr>
        <w:t xml:space="preserve"> IANS, “Anti-China Sentiment to Benefit Samsung Mobile Biz in India: Analysts,” </w:t>
      </w:r>
      <w:r w:rsidR="007B4F58" w:rsidRPr="008E0A10">
        <w:rPr>
          <w:spacing w:val="-6"/>
          <w:kern w:val="16"/>
          <w:sz w:val="16"/>
          <w:szCs w:val="16"/>
        </w:rPr>
        <w:t>ET: Telecom.com</w:t>
      </w:r>
      <w:r w:rsidRPr="008E0A10">
        <w:rPr>
          <w:spacing w:val="-6"/>
          <w:kern w:val="16"/>
          <w:sz w:val="16"/>
          <w:szCs w:val="16"/>
        </w:rPr>
        <w:t>, July 12, 2020, accessed October 27, 2020, https://telecom.economictimes.indiatimes.com/news/anti-china-sentiment-to-benefit-samsung-mobile-biz-in-india-analysts/76920477.</w:t>
      </w:r>
    </w:p>
  </w:endnote>
  <w:endnote w:id="54">
    <w:p w14:paraId="43D22A22" w14:textId="2F55D570"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Abhijit </w:t>
      </w:r>
      <w:proofErr w:type="spellStart"/>
      <w:r w:rsidRPr="008E0A10">
        <w:rPr>
          <w:sz w:val="16"/>
          <w:szCs w:val="16"/>
        </w:rPr>
        <w:t>Ahaskar</w:t>
      </w:r>
      <w:proofErr w:type="spellEnd"/>
      <w:r w:rsidRPr="008E0A10">
        <w:rPr>
          <w:sz w:val="16"/>
          <w:szCs w:val="16"/>
        </w:rPr>
        <w:t xml:space="preserve">, “Xiaomi </w:t>
      </w:r>
      <w:r w:rsidR="006E3F3D" w:rsidRPr="008E0A10">
        <w:rPr>
          <w:sz w:val="16"/>
          <w:szCs w:val="16"/>
        </w:rPr>
        <w:t>R</w:t>
      </w:r>
      <w:r w:rsidRPr="008E0A10">
        <w:rPr>
          <w:sz w:val="16"/>
          <w:szCs w:val="16"/>
        </w:rPr>
        <w:t xml:space="preserve">efutes </w:t>
      </w:r>
      <w:r w:rsidR="006E3F3D" w:rsidRPr="008E0A10">
        <w:rPr>
          <w:sz w:val="16"/>
          <w:szCs w:val="16"/>
        </w:rPr>
        <w:t>A</w:t>
      </w:r>
      <w:r w:rsidRPr="008E0A10">
        <w:rPr>
          <w:sz w:val="16"/>
          <w:szCs w:val="16"/>
        </w:rPr>
        <w:t xml:space="preserve">llegations of </w:t>
      </w:r>
      <w:r w:rsidR="006E3F3D" w:rsidRPr="008E0A10">
        <w:rPr>
          <w:sz w:val="16"/>
          <w:szCs w:val="16"/>
        </w:rPr>
        <w:t>D</w:t>
      </w:r>
      <w:r w:rsidRPr="008E0A10">
        <w:rPr>
          <w:sz w:val="16"/>
          <w:szCs w:val="16"/>
        </w:rPr>
        <w:t xml:space="preserve">ata </w:t>
      </w:r>
      <w:r w:rsidR="006E3F3D" w:rsidRPr="008E0A10">
        <w:rPr>
          <w:sz w:val="16"/>
          <w:szCs w:val="16"/>
        </w:rPr>
        <w:t>H</w:t>
      </w:r>
      <w:r w:rsidRPr="008E0A10">
        <w:rPr>
          <w:sz w:val="16"/>
          <w:szCs w:val="16"/>
        </w:rPr>
        <w:t xml:space="preserve">arvesting through Mi </w:t>
      </w:r>
      <w:r w:rsidR="006E3F3D" w:rsidRPr="008E0A10">
        <w:rPr>
          <w:sz w:val="16"/>
          <w:szCs w:val="16"/>
        </w:rPr>
        <w:t>B</w:t>
      </w:r>
      <w:r w:rsidRPr="008E0A10">
        <w:rPr>
          <w:sz w:val="16"/>
          <w:szCs w:val="16"/>
        </w:rPr>
        <w:t>rowser,” mint, May 2, 2020, accessed July 13, 2020, www.livemint.com/technology/tech-news/xiaomi-refutes-allegations-of-data-harvesting-through-mi-browser-11588421145810.html.</w:t>
      </w:r>
    </w:p>
  </w:endnote>
  <w:endnote w:id="55">
    <w:p w14:paraId="70A72727" w14:textId="0AE9F1C6"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w:t>
      </w:r>
      <w:proofErr w:type="spellStart"/>
      <w:r w:rsidRPr="008E0A10">
        <w:rPr>
          <w:sz w:val="16"/>
          <w:szCs w:val="16"/>
        </w:rPr>
        <w:t>Debashis</w:t>
      </w:r>
      <w:proofErr w:type="spellEnd"/>
      <w:r w:rsidRPr="008E0A10">
        <w:rPr>
          <w:sz w:val="16"/>
          <w:szCs w:val="16"/>
        </w:rPr>
        <w:t xml:space="preserve"> Sarkar, “Why Xiaomi India MD Thinks ‘Anti-China Sentiment’ Will Not Hurt the Company,” </w:t>
      </w:r>
      <w:r w:rsidRPr="008E0A10">
        <w:rPr>
          <w:i/>
          <w:sz w:val="16"/>
          <w:szCs w:val="16"/>
        </w:rPr>
        <w:t>Times of India</w:t>
      </w:r>
      <w:r w:rsidRPr="008E0A10">
        <w:rPr>
          <w:sz w:val="16"/>
          <w:szCs w:val="16"/>
        </w:rPr>
        <w:t>, May 5, 2020, accessed July 13, 2020, https://timesofindia.indiatimes.com/gadgets-news/why-xiaomi-india-md-thinks-anti-china-sentiment-will-not-hurt-the-company/articleshow/75546359.cms.</w:t>
      </w:r>
    </w:p>
  </w:endnote>
  <w:endnote w:id="56">
    <w:p w14:paraId="5795E3F9" w14:textId="4BECE25D" w:rsidR="00431FE4" w:rsidRPr="008E0A10" w:rsidRDefault="00431FE4" w:rsidP="00FB13F9">
      <w:pPr>
        <w:pStyle w:val="Footnote"/>
        <w:rPr>
          <w:spacing w:val="-6"/>
          <w:kern w:val="17"/>
          <w:sz w:val="16"/>
          <w:szCs w:val="16"/>
        </w:rPr>
      </w:pPr>
      <w:r w:rsidRPr="008E0A10">
        <w:rPr>
          <w:rStyle w:val="EndnoteReference"/>
          <w:spacing w:val="-6"/>
          <w:kern w:val="17"/>
          <w:sz w:val="16"/>
          <w:szCs w:val="16"/>
        </w:rPr>
        <w:endnoteRef/>
      </w:r>
      <w:r w:rsidRPr="008E0A10">
        <w:rPr>
          <w:spacing w:val="-6"/>
          <w:kern w:val="17"/>
          <w:sz w:val="16"/>
          <w:szCs w:val="16"/>
        </w:rPr>
        <w:t xml:space="preserve"> IANS, “Top Indian CEOs of Chinese Phone Brands Get Trolled on Twitter,” </w:t>
      </w:r>
      <w:r w:rsidRPr="008E0A10">
        <w:rPr>
          <w:i/>
          <w:spacing w:val="-6"/>
          <w:kern w:val="17"/>
          <w:sz w:val="16"/>
          <w:szCs w:val="16"/>
        </w:rPr>
        <w:t>New Indian Express</w:t>
      </w:r>
      <w:r w:rsidRPr="008E0A10">
        <w:rPr>
          <w:spacing w:val="-6"/>
          <w:kern w:val="17"/>
          <w:sz w:val="16"/>
          <w:szCs w:val="16"/>
        </w:rPr>
        <w:t>, June 19</w:t>
      </w:r>
      <w:r w:rsidR="00131D40" w:rsidRPr="008E0A10">
        <w:rPr>
          <w:spacing w:val="-6"/>
          <w:kern w:val="17"/>
          <w:sz w:val="16"/>
          <w:szCs w:val="16"/>
        </w:rPr>
        <w:t>,</w:t>
      </w:r>
      <w:r w:rsidRPr="008E0A10">
        <w:rPr>
          <w:spacing w:val="-6"/>
          <w:kern w:val="17"/>
          <w:sz w:val="16"/>
          <w:szCs w:val="16"/>
        </w:rPr>
        <w:t xml:space="preserve"> 2020, accessed July 13, 2020, www.newindianexpress.com/business/2020/jun/19/top-indian-ceos-of-chinese-phone-brands-get-trolled-on-twitter-2158700.html.</w:t>
      </w:r>
    </w:p>
  </w:endnote>
  <w:endnote w:id="57">
    <w:p w14:paraId="2C57BB5F" w14:textId="0E1F852F"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w:t>
      </w:r>
      <w:proofErr w:type="spellStart"/>
      <w:r w:rsidRPr="008E0A10">
        <w:rPr>
          <w:sz w:val="16"/>
          <w:szCs w:val="16"/>
        </w:rPr>
        <w:t>Writankar</w:t>
      </w:r>
      <w:proofErr w:type="spellEnd"/>
      <w:r w:rsidRPr="008E0A10">
        <w:rPr>
          <w:sz w:val="16"/>
          <w:szCs w:val="16"/>
        </w:rPr>
        <w:t xml:space="preserve"> Mukherjee, “Xiaomi Covers </w:t>
      </w:r>
      <w:r w:rsidR="00D64355" w:rsidRPr="008E0A10">
        <w:rPr>
          <w:sz w:val="16"/>
          <w:szCs w:val="16"/>
        </w:rPr>
        <w:t>u</w:t>
      </w:r>
      <w:r w:rsidRPr="008E0A10">
        <w:rPr>
          <w:sz w:val="16"/>
          <w:szCs w:val="16"/>
        </w:rPr>
        <w:t xml:space="preserve">p Its Store Branding with Made in India Logo,” </w:t>
      </w:r>
      <w:r w:rsidRPr="008E0A10">
        <w:rPr>
          <w:i/>
          <w:sz w:val="16"/>
          <w:szCs w:val="16"/>
        </w:rPr>
        <w:t>Economic Times</w:t>
      </w:r>
      <w:r w:rsidRPr="008E0A10">
        <w:rPr>
          <w:sz w:val="16"/>
          <w:szCs w:val="16"/>
        </w:rPr>
        <w:t>, June 25, 2020, accessed July 13, 2020, https://economictimes.indiatimes.com/tech/hardware/xiaomi-covers-up-its-store-branding-with-make-in-india-logo/articleshow/76569832.cms.</w:t>
      </w:r>
    </w:p>
  </w:endnote>
  <w:endnote w:id="58">
    <w:p w14:paraId="3CBC0547" w14:textId="161662AC"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Sarkar, op. cit</w:t>
      </w:r>
      <w:r w:rsidR="001648BE" w:rsidRPr="008E0A10">
        <w:rPr>
          <w:sz w:val="16"/>
          <w:szCs w:val="16"/>
        </w:rPr>
        <w:t>.</w:t>
      </w:r>
    </w:p>
  </w:endnote>
  <w:endnote w:id="59">
    <w:p w14:paraId="14233F80" w14:textId="3B6FC3DA"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IANS, “Xiaomi Is ‘More Indian’ Smartphone Brand than Any Other, Says India Head,” </w:t>
      </w:r>
      <w:r w:rsidRPr="008E0A10">
        <w:rPr>
          <w:i/>
          <w:sz w:val="16"/>
          <w:szCs w:val="16"/>
        </w:rPr>
        <w:t>Business Standard</w:t>
      </w:r>
      <w:r w:rsidRPr="008E0A10">
        <w:rPr>
          <w:sz w:val="16"/>
          <w:szCs w:val="16"/>
        </w:rPr>
        <w:t xml:space="preserve">, June 20, 2020, accessed July 14, 2020, www.business-standard.com/article/companies/xiaomi-a-more-indian-smartphone-brand-than-any-other-says-india-head-120062001200_1.html. </w:t>
      </w:r>
    </w:p>
  </w:endnote>
  <w:endnote w:id="60">
    <w:p w14:paraId="2747C8A6" w14:textId="47795844"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IANS, “</w:t>
      </w:r>
      <w:r w:rsidRPr="008E0A10">
        <w:rPr>
          <w:bCs/>
          <w:sz w:val="16"/>
          <w:szCs w:val="16"/>
        </w:rPr>
        <w:t>About 99% of Phones</w:t>
      </w:r>
      <w:r w:rsidR="001648BE" w:rsidRPr="008E0A10">
        <w:rPr>
          <w:bCs/>
          <w:sz w:val="16"/>
          <w:szCs w:val="16"/>
        </w:rPr>
        <w:t>,”</w:t>
      </w:r>
      <w:r w:rsidRPr="008E0A10">
        <w:rPr>
          <w:sz w:val="16"/>
          <w:szCs w:val="16"/>
        </w:rPr>
        <w:t xml:space="preserve"> op. cit</w:t>
      </w:r>
      <w:r w:rsidR="001648BE" w:rsidRPr="008E0A10">
        <w:rPr>
          <w:sz w:val="16"/>
          <w:szCs w:val="16"/>
        </w:rPr>
        <w:t>.</w:t>
      </w:r>
    </w:p>
  </w:endnote>
  <w:endnote w:id="61">
    <w:p w14:paraId="07E95629" w14:textId="3C84C5C9" w:rsidR="00431FE4" w:rsidRPr="008E0A10" w:rsidRDefault="00431FE4" w:rsidP="00FB13F9">
      <w:pPr>
        <w:pStyle w:val="Footnote"/>
        <w:rPr>
          <w:sz w:val="16"/>
          <w:szCs w:val="16"/>
        </w:rPr>
      </w:pPr>
      <w:r w:rsidRPr="008E0A10">
        <w:rPr>
          <w:rStyle w:val="EndnoteReference"/>
          <w:sz w:val="16"/>
          <w:szCs w:val="16"/>
        </w:rPr>
        <w:endnoteRef/>
      </w:r>
      <w:r w:rsidRPr="008E0A10">
        <w:rPr>
          <w:sz w:val="16"/>
          <w:szCs w:val="16"/>
        </w:rPr>
        <w:t xml:space="preserve"> Sankalp </w:t>
      </w:r>
      <w:proofErr w:type="spellStart"/>
      <w:r w:rsidRPr="008E0A10">
        <w:rPr>
          <w:sz w:val="16"/>
          <w:szCs w:val="16"/>
        </w:rPr>
        <w:t>Phartiyal</w:t>
      </w:r>
      <w:proofErr w:type="spellEnd"/>
      <w:r w:rsidRPr="008E0A10">
        <w:rPr>
          <w:sz w:val="16"/>
          <w:szCs w:val="16"/>
        </w:rPr>
        <w:t xml:space="preserve"> and </w:t>
      </w:r>
      <w:proofErr w:type="spellStart"/>
      <w:r w:rsidRPr="008E0A10">
        <w:rPr>
          <w:sz w:val="16"/>
          <w:szCs w:val="16"/>
        </w:rPr>
        <w:t>Heekyong</w:t>
      </w:r>
      <w:proofErr w:type="spellEnd"/>
      <w:r w:rsidRPr="008E0A10">
        <w:rPr>
          <w:sz w:val="16"/>
          <w:szCs w:val="16"/>
        </w:rPr>
        <w:t xml:space="preserve"> Yang, “Samsung Crafts India Comeback as Anti-China Wave Surges,” Reuters, August </w:t>
      </w:r>
      <w:r w:rsidR="001648BE" w:rsidRPr="008E0A10">
        <w:rPr>
          <w:sz w:val="16"/>
          <w:szCs w:val="16"/>
        </w:rPr>
        <w:t>2</w:t>
      </w:r>
      <w:r w:rsidRPr="008E0A10">
        <w:rPr>
          <w:sz w:val="16"/>
          <w:szCs w:val="16"/>
        </w:rPr>
        <w:t>, 2020, accessed October 30, 2020, https://in.reuters.com/article/samsung-elec-india/samsung-crafts-india-comeback-as-anti-china-wave-surges-idINKBN24Z05G.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A602E" w14:textId="77777777" w:rsidR="003673E3" w:rsidRDefault="003673E3" w:rsidP="00D75295">
      <w:r>
        <w:separator/>
      </w:r>
    </w:p>
  </w:footnote>
  <w:footnote w:type="continuationSeparator" w:id="0">
    <w:p w14:paraId="4589359B" w14:textId="77777777" w:rsidR="003673E3" w:rsidRDefault="003673E3"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BC9BAF8" w:rsidR="00431FE4" w:rsidRPr="00C92CC4" w:rsidRDefault="00431FE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E5BBA">
      <w:rPr>
        <w:rFonts w:ascii="Arial" w:hAnsi="Arial"/>
        <w:b/>
        <w:noProof/>
      </w:rPr>
      <w:t>7</w:t>
    </w:r>
    <w:r>
      <w:rPr>
        <w:rFonts w:ascii="Arial" w:hAnsi="Arial"/>
        <w:b/>
      </w:rPr>
      <w:fldChar w:fldCharType="end"/>
    </w:r>
    <w:r>
      <w:rPr>
        <w:rFonts w:ascii="Arial" w:hAnsi="Arial"/>
        <w:b/>
      </w:rPr>
      <w:tab/>
    </w:r>
    <w:r w:rsidR="00092C41">
      <w:rPr>
        <w:rFonts w:ascii="Arial" w:hAnsi="Arial"/>
        <w:b/>
      </w:rPr>
      <w:t>9B21M031</w:t>
    </w:r>
  </w:p>
  <w:p w14:paraId="2B53C0A0" w14:textId="77777777" w:rsidR="00431FE4" w:rsidRDefault="00431FE4" w:rsidP="00D13667">
    <w:pPr>
      <w:pStyle w:val="Header"/>
      <w:tabs>
        <w:tab w:val="clear" w:pos="4680"/>
      </w:tabs>
      <w:rPr>
        <w:sz w:val="18"/>
        <w:szCs w:val="18"/>
      </w:rPr>
    </w:pPr>
  </w:p>
  <w:p w14:paraId="47119730" w14:textId="77777777" w:rsidR="00431FE4" w:rsidRPr="00C92CC4" w:rsidRDefault="00431FE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3MzIxtjA2NjY3NLRQ0lEKTi0uzszPAykwNKkFANll1pwtAAAA"/>
  </w:docVars>
  <w:rsids>
    <w:rsidRoot w:val="008A4DC4"/>
    <w:rsid w:val="0000085A"/>
    <w:rsid w:val="000066B2"/>
    <w:rsid w:val="00007B83"/>
    <w:rsid w:val="00012523"/>
    <w:rsid w:val="00013360"/>
    <w:rsid w:val="00013A89"/>
    <w:rsid w:val="00013E58"/>
    <w:rsid w:val="00016759"/>
    <w:rsid w:val="000216CE"/>
    <w:rsid w:val="00024ED4"/>
    <w:rsid w:val="00025DC7"/>
    <w:rsid w:val="0002637D"/>
    <w:rsid w:val="00030E52"/>
    <w:rsid w:val="00035F09"/>
    <w:rsid w:val="00044ECC"/>
    <w:rsid w:val="00050A69"/>
    <w:rsid w:val="000531D3"/>
    <w:rsid w:val="0005646B"/>
    <w:rsid w:val="000615D1"/>
    <w:rsid w:val="0006177E"/>
    <w:rsid w:val="00072135"/>
    <w:rsid w:val="0008102D"/>
    <w:rsid w:val="00086B26"/>
    <w:rsid w:val="00092C41"/>
    <w:rsid w:val="00094C0E"/>
    <w:rsid w:val="000A01C2"/>
    <w:rsid w:val="000A146D"/>
    <w:rsid w:val="000A60E4"/>
    <w:rsid w:val="000A6AEB"/>
    <w:rsid w:val="000C29BF"/>
    <w:rsid w:val="000C616C"/>
    <w:rsid w:val="000D2A2F"/>
    <w:rsid w:val="000D7091"/>
    <w:rsid w:val="000E7078"/>
    <w:rsid w:val="000F0C22"/>
    <w:rsid w:val="000F6B09"/>
    <w:rsid w:val="000F6FDC"/>
    <w:rsid w:val="00104567"/>
    <w:rsid w:val="00104916"/>
    <w:rsid w:val="00104AA7"/>
    <w:rsid w:val="00116CB0"/>
    <w:rsid w:val="00123E8F"/>
    <w:rsid w:val="0012732D"/>
    <w:rsid w:val="00131D40"/>
    <w:rsid w:val="00135EB8"/>
    <w:rsid w:val="001434B8"/>
    <w:rsid w:val="00143F25"/>
    <w:rsid w:val="001521AF"/>
    <w:rsid w:val="00152682"/>
    <w:rsid w:val="00154FC9"/>
    <w:rsid w:val="001648BE"/>
    <w:rsid w:val="00170593"/>
    <w:rsid w:val="00172EBB"/>
    <w:rsid w:val="00180B8F"/>
    <w:rsid w:val="001818F4"/>
    <w:rsid w:val="00184608"/>
    <w:rsid w:val="001901C0"/>
    <w:rsid w:val="0019241A"/>
    <w:rsid w:val="00192A18"/>
    <w:rsid w:val="00193016"/>
    <w:rsid w:val="001A22D1"/>
    <w:rsid w:val="001A752D"/>
    <w:rsid w:val="001A757E"/>
    <w:rsid w:val="001B3332"/>
    <w:rsid w:val="001B5032"/>
    <w:rsid w:val="001C7777"/>
    <w:rsid w:val="001D2B00"/>
    <w:rsid w:val="001D344B"/>
    <w:rsid w:val="001D5866"/>
    <w:rsid w:val="001E364F"/>
    <w:rsid w:val="001E4CBD"/>
    <w:rsid w:val="001E6DC3"/>
    <w:rsid w:val="001F4222"/>
    <w:rsid w:val="00203AA1"/>
    <w:rsid w:val="00205DE9"/>
    <w:rsid w:val="0021087E"/>
    <w:rsid w:val="00213E98"/>
    <w:rsid w:val="00217C72"/>
    <w:rsid w:val="002200D7"/>
    <w:rsid w:val="00230150"/>
    <w:rsid w:val="0023081A"/>
    <w:rsid w:val="00233111"/>
    <w:rsid w:val="00254515"/>
    <w:rsid w:val="002602FC"/>
    <w:rsid w:val="00261620"/>
    <w:rsid w:val="0026195F"/>
    <w:rsid w:val="00262781"/>
    <w:rsid w:val="00265FA8"/>
    <w:rsid w:val="002716EF"/>
    <w:rsid w:val="00271AD1"/>
    <w:rsid w:val="00283808"/>
    <w:rsid w:val="00294DF5"/>
    <w:rsid w:val="00297D39"/>
    <w:rsid w:val="002A23A7"/>
    <w:rsid w:val="002A69E6"/>
    <w:rsid w:val="002B40FF"/>
    <w:rsid w:val="002C4E29"/>
    <w:rsid w:val="002D0FE0"/>
    <w:rsid w:val="002D6B30"/>
    <w:rsid w:val="002F460C"/>
    <w:rsid w:val="002F48D6"/>
    <w:rsid w:val="00301DF7"/>
    <w:rsid w:val="003103E4"/>
    <w:rsid w:val="00314171"/>
    <w:rsid w:val="00317391"/>
    <w:rsid w:val="003201A1"/>
    <w:rsid w:val="0032196C"/>
    <w:rsid w:val="00326216"/>
    <w:rsid w:val="003340BB"/>
    <w:rsid w:val="00336459"/>
    <w:rsid w:val="00336580"/>
    <w:rsid w:val="00337AD6"/>
    <w:rsid w:val="00350F2E"/>
    <w:rsid w:val="00354899"/>
    <w:rsid w:val="00355FD6"/>
    <w:rsid w:val="00364A5C"/>
    <w:rsid w:val="003673E3"/>
    <w:rsid w:val="00373FB1"/>
    <w:rsid w:val="003869C2"/>
    <w:rsid w:val="00395138"/>
    <w:rsid w:val="00396C76"/>
    <w:rsid w:val="003A1BE4"/>
    <w:rsid w:val="003A5366"/>
    <w:rsid w:val="003B30D8"/>
    <w:rsid w:val="003B7EF2"/>
    <w:rsid w:val="003C1DA3"/>
    <w:rsid w:val="003C3FA4"/>
    <w:rsid w:val="003C5D7F"/>
    <w:rsid w:val="003D0BA1"/>
    <w:rsid w:val="003E5235"/>
    <w:rsid w:val="003F2B0C"/>
    <w:rsid w:val="004039F1"/>
    <w:rsid w:val="00406701"/>
    <w:rsid w:val="004105B2"/>
    <w:rsid w:val="0041145A"/>
    <w:rsid w:val="00412900"/>
    <w:rsid w:val="004221E4"/>
    <w:rsid w:val="004273F8"/>
    <w:rsid w:val="00431FE4"/>
    <w:rsid w:val="004355A3"/>
    <w:rsid w:val="00446546"/>
    <w:rsid w:val="00452769"/>
    <w:rsid w:val="00454FA7"/>
    <w:rsid w:val="00460A73"/>
    <w:rsid w:val="00465348"/>
    <w:rsid w:val="00473EB7"/>
    <w:rsid w:val="004755AB"/>
    <w:rsid w:val="00491778"/>
    <w:rsid w:val="004979A5"/>
    <w:rsid w:val="004A25E0"/>
    <w:rsid w:val="004A47DD"/>
    <w:rsid w:val="004B1CCB"/>
    <w:rsid w:val="004B4308"/>
    <w:rsid w:val="004B632F"/>
    <w:rsid w:val="004B6B4E"/>
    <w:rsid w:val="004C7C36"/>
    <w:rsid w:val="004D3FB1"/>
    <w:rsid w:val="004D45F9"/>
    <w:rsid w:val="004D6F21"/>
    <w:rsid w:val="004D73A5"/>
    <w:rsid w:val="004E0CD6"/>
    <w:rsid w:val="004E5BBA"/>
    <w:rsid w:val="004F5958"/>
    <w:rsid w:val="005160F1"/>
    <w:rsid w:val="00524F2F"/>
    <w:rsid w:val="0052547D"/>
    <w:rsid w:val="00527304"/>
    <w:rsid w:val="00527E5C"/>
    <w:rsid w:val="00532CF5"/>
    <w:rsid w:val="00542918"/>
    <w:rsid w:val="005528CB"/>
    <w:rsid w:val="00555059"/>
    <w:rsid w:val="005615D8"/>
    <w:rsid w:val="005653A9"/>
    <w:rsid w:val="00566771"/>
    <w:rsid w:val="00572B69"/>
    <w:rsid w:val="005747C1"/>
    <w:rsid w:val="00581E2E"/>
    <w:rsid w:val="00584F15"/>
    <w:rsid w:val="0059451F"/>
    <w:rsid w:val="0059514B"/>
    <w:rsid w:val="005A1B0F"/>
    <w:rsid w:val="005B2C46"/>
    <w:rsid w:val="005B4CE6"/>
    <w:rsid w:val="005B57FE"/>
    <w:rsid w:val="005B5EFE"/>
    <w:rsid w:val="005C52F9"/>
    <w:rsid w:val="005D2720"/>
    <w:rsid w:val="005D4A96"/>
    <w:rsid w:val="005E3767"/>
    <w:rsid w:val="005F31A3"/>
    <w:rsid w:val="005F367A"/>
    <w:rsid w:val="005F5BA3"/>
    <w:rsid w:val="00613E37"/>
    <w:rsid w:val="00613FE3"/>
    <w:rsid w:val="006163F7"/>
    <w:rsid w:val="00627C63"/>
    <w:rsid w:val="0063350B"/>
    <w:rsid w:val="00636108"/>
    <w:rsid w:val="00640A6F"/>
    <w:rsid w:val="00652606"/>
    <w:rsid w:val="00655685"/>
    <w:rsid w:val="0066234D"/>
    <w:rsid w:val="00674C09"/>
    <w:rsid w:val="006834CE"/>
    <w:rsid w:val="00693451"/>
    <w:rsid w:val="006946EE"/>
    <w:rsid w:val="006977F9"/>
    <w:rsid w:val="006A3FBA"/>
    <w:rsid w:val="006A58A9"/>
    <w:rsid w:val="006A606D"/>
    <w:rsid w:val="006A75A0"/>
    <w:rsid w:val="006B412D"/>
    <w:rsid w:val="006C0371"/>
    <w:rsid w:val="006C08B6"/>
    <w:rsid w:val="006C0B1A"/>
    <w:rsid w:val="006C2349"/>
    <w:rsid w:val="006C55DB"/>
    <w:rsid w:val="006C6065"/>
    <w:rsid w:val="006C7F9F"/>
    <w:rsid w:val="006E2F6D"/>
    <w:rsid w:val="006E3F3D"/>
    <w:rsid w:val="006E58F6"/>
    <w:rsid w:val="006E77E1"/>
    <w:rsid w:val="006F131D"/>
    <w:rsid w:val="006F7B1E"/>
    <w:rsid w:val="0071038C"/>
    <w:rsid w:val="00711642"/>
    <w:rsid w:val="00720B54"/>
    <w:rsid w:val="0073751A"/>
    <w:rsid w:val="00742618"/>
    <w:rsid w:val="007507C6"/>
    <w:rsid w:val="00751E0B"/>
    <w:rsid w:val="00752BCD"/>
    <w:rsid w:val="00757510"/>
    <w:rsid w:val="007602E2"/>
    <w:rsid w:val="00766DA1"/>
    <w:rsid w:val="00766EFF"/>
    <w:rsid w:val="0077046A"/>
    <w:rsid w:val="00780D94"/>
    <w:rsid w:val="0078332E"/>
    <w:rsid w:val="00783B52"/>
    <w:rsid w:val="007866A6"/>
    <w:rsid w:val="00796F08"/>
    <w:rsid w:val="007A0677"/>
    <w:rsid w:val="007A130D"/>
    <w:rsid w:val="007A1C0C"/>
    <w:rsid w:val="007B4F58"/>
    <w:rsid w:val="007C1378"/>
    <w:rsid w:val="007D1A2D"/>
    <w:rsid w:val="007D277F"/>
    <w:rsid w:val="007D32E6"/>
    <w:rsid w:val="007D4102"/>
    <w:rsid w:val="007D44F4"/>
    <w:rsid w:val="007E0742"/>
    <w:rsid w:val="007E54A7"/>
    <w:rsid w:val="007F43B7"/>
    <w:rsid w:val="007F4C05"/>
    <w:rsid w:val="008003F7"/>
    <w:rsid w:val="00812770"/>
    <w:rsid w:val="00812D7D"/>
    <w:rsid w:val="00821FFC"/>
    <w:rsid w:val="0082439A"/>
    <w:rsid w:val="008271CA"/>
    <w:rsid w:val="00837526"/>
    <w:rsid w:val="008467D5"/>
    <w:rsid w:val="0084756A"/>
    <w:rsid w:val="00853104"/>
    <w:rsid w:val="008536F7"/>
    <w:rsid w:val="008539DA"/>
    <w:rsid w:val="00860486"/>
    <w:rsid w:val="00873A93"/>
    <w:rsid w:val="008A173E"/>
    <w:rsid w:val="008A4DC4"/>
    <w:rsid w:val="008B438C"/>
    <w:rsid w:val="008C54CD"/>
    <w:rsid w:val="008D06CA"/>
    <w:rsid w:val="008D24E7"/>
    <w:rsid w:val="008D3A46"/>
    <w:rsid w:val="008E0A10"/>
    <w:rsid w:val="008F2385"/>
    <w:rsid w:val="009067A4"/>
    <w:rsid w:val="00923817"/>
    <w:rsid w:val="00930885"/>
    <w:rsid w:val="00933D68"/>
    <w:rsid w:val="009340DB"/>
    <w:rsid w:val="0094618C"/>
    <w:rsid w:val="00946D41"/>
    <w:rsid w:val="0095684B"/>
    <w:rsid w:val="00963D61"/>
    <w:rsid w:val="00972498"/>
    <w:rsid w:val="0097481F"/>
    <w:rsid w:val="00974CC6"/>
    <w:rsid w:val="00976AD4"/>
    <w:rsid w:val="0098168C"/>
    <w:rsid w:val="00995547"/>
    <w:rsid w:val="009A0BA0"/>
    <w:rsid w:val="009A312F"/>
    <w:rsid w:val="009A5348"/>
    <w:rsid w:val="009B0AB7"/>
    <w:rsid w:val="009C660F"/>
    <w:rsid w:val="009C76D5"/>
    <w:rsid w:val="009D2755"/>
    <w:rsid w:val="009D3D5A"/>
    <w:rsid w:val="009D51CD"/>
    <w:rsid w:val="009D663C"/>
    <w:rsid w:val="009E1122"/>
    <w:rsid w:val="009E1413"/>
    <w:rsid w:val="009E68DC"/>
    <w:rsid w:val="009F2FAE"/>
    <w:rsid w:val="009F7AA4"/>
    <w:rsid w:val="00A004F6"/>
    <w:rsid w:val="00A10AD7"/>
    <w:rsid w:val="00A1767D"/>
    <w:rsid w:val="00A201B2"/>
    <w:rsid w:val="00A323B0"/>
    <w:rsid w:val="00A35CDB"/>
    <w:rsid w:val="00A365D0"/>
    <w:rsid w:val="00A43A1F"/>
    <w:rsid w:val="00A45976"/>
    <w:rsid w:val="00A559DB"/>
    <w:rsid w:val="00A56845"/>
    <w:rsid w:val="00A569EA"/>
    <w:rsid w:val="00A60F1C"/>
    <w:rsid w:val="00A66C6D"/>
    <w:rsid w:val="00A676A0"/>
    <w:rsid w:val="00A840E4"/>
    <w:rsid w:val="00AA4A0F"/>
    <w:rsid w:val="00AC3AFE"/>
    <w:rsid w:val="00AC3B6A"/>
    <w:rsid w:val="00AC5136"/>
    <w:rsid w:val="00AD26C9"/>
    <w:rsid w:val="00AD7A13"/>
    <w:rsid w:val="00AE657A"/>
    <w:rsid w:val="00AF35FC"/>
    <w:rsid w:val="00AF5556"/>
    <w:rsid w:val="00B03639"/>
    <w:rsid w:val="00B0652A"/>
    <w:rsid w:val="00B1596F"/>
    <w:rsid w:val="00B1618B"/>
    <w:rsid w:val="00B212C9"/>
    <w:rsid w:val="00B21361"/>
    <w:rsid w:val="00B25819"/>
    <w:rsid w:val="00B32878"/>
    <w:rsid w:val="00B350F2"/>
    <w:rsid w:val="00B40937"/>
    <w:rsid w:val="00B423EF"/>
    <w:rsid w:val="00B453DE"/>
    <w:rsid w:val="00B62497"/>
    <w:rsid w:val="00B67DE0"/>
    <w:rsid w:val="00B72597"/>
    <w:rsid w:val="00B750B1"/>
    <w:rsid w:val="00B83076"/>
    <w:rsid w:val="00B87DC0"/>
    <w:rsid w:val="00B901F9"/>
    <w:rsid w:val="00B9146C"/>
    <w:rsid w:val="00BA00EA"/>
    <w:rsid w:val="00BB3CAF"/>
    <w:rsid w:val="00BB7C1D"/>
    <w:rsid w:val="00BC3DA4"/>
    <w:rsid w:val="00BC4D98"/>
    <w:rsid w:val="00BD6EFB"/>
    <w:rsid w:val="00BE3DF5"/>
    <w:rsid w:val="00BE7FB4"/>
    <w:rsid w:val="00BF5EAB"/>
    <w:rsid w:val="00BF6B6C"/>
    <w:rsid w:val="00C00D96"/>
    <w:rsid w:val="00C00EC9"/>
    <w:rsid w:val="00C02410"/>
    <w:rsid w:val="00C05CB5"/>
    <w:rsid w:val="00C1584D"/>
    <w:rsid w:val="00C15BE2"/>
    <w:rsid w:val="00C3233B"/>
    <w:rsid w:val="00C333F6"/>
    <w:rsid w:val="00C33E27"/>
    <w:rsid w:val="00C3447F"/>
    <w:rsid w:val="00C40F67"/>
    <w:rsid w:val="00C44714"/>
    <w:rsid w:val="00C50568"/>
    <w:rsid w:val="00C508A3"/>
    <w:rsid w:val="00C6659C"/>
    <w:rsid w:val="00C67102"/>
    <w:rsid w:val="00C77B56"/>
    <w:rsid w:val="00C81491"/>
    <w:rsid w:val="00C81676"/>
    <w:rsid w:val="00C85C5D"/>
    <w:rsid w:val="00C92CC4"/>
    <w:rsid w:val="00C97B95"/>
    <w:rsid w:val="00CA0AFB"/>
    <w:rsid w:val="00CA10CD"/>
    <w:rsid w:val="00CA2CE1"/>
    <w:rsid w:val="00CA3976"/>
    <w:rsid w:val="00CA50E3"/>
    <w:rsid w:val="00CA757B"/>
    <w:rsid w:val="00CB5E60"/>
    <w:rsid w:val="00CC1787"/>
    <w:rsid w:val="00CC182C"/>
    <w:rsid w:val="00CC2B32"/>
    <w:rsid w:val="00CD0824"/>
    <w:rsid w:val="00CD2908"/>
    <w:rsid w:val="00CD6D5B"/>
    <w:rsid w:val="00CE148E"/>
    <w:rsid w:val="00CF50FE"/>
    <w:rsid w:val="00CF7354"/>
    <w:rsid w:val="00D03A82"/>
    <w:rsid w:val="00D13667"/>
    <w:rsid w:val="00D1495A"/>
    <w:rsid w:val="00D15344"/>
    <w:rsid w:val="00D238DC"/>
    <w:rsid w:val="00D23F57"/>
    <w:rsid w:val="00D27C09"/>
    <w:rsid w:val="00D3157A"/>
    <w:rsid w:val="00D31BEC"/>
    <w:rsid w:val="00D3595A"/>
    <w:rsid w:val="00D63150"/>
    <w:rsid w:val="00D636BA"/>
    <w:rsid w:val="00D64355"/>
    <w:rsid w:val="00D64A32"/>
    <w:rsid w:val="00D64EFC"/>
    <w:rsid w:val="00D73C35"/>
    <w:rsid w:val="00D7457B"/>
    <w:rsid w:val="00D7525C"/>
    <w:rsid w:val="00D75295"/>
    <w:rsid w:val="00D76CE9"/>
    <w:rsid w:val="00D95065"/>
    <w:rsid w:val="00D97F12"/>
    <w:rsid w:val="00DA0922"/>
    <w:rsid w:val="00DA6095"/>
    <w:rsid w:val="00DB42E7"/>
    <w:rsid w:val="00DC09D8"/>
    <w:rsid w:val="00DC4644"/>
    <w:rsid w:val="00DD4A54"/>
    <w:rsid w:val="00DE01A6"/>
    <w:rsid w:val="00DE7A98"/>
    <w:rsid w:val="00DF1FBE"/>
    <w:rsid w:val="00DF32C2"/>
    <w:rsid w:val="00E00C20"/>
    <w:rsid w:val="00E02B5C"/>
    <w:rsid w:val="00E02C63"/>
    <w:rsid w:val="00E245D6"/>
    <w:rsid w:val="00E268C0"/>
    <w:rsid w:val="00E471A7"/>
    <w:rsid w:val="00E635CF"/>
    <w:rsid w:val="00E63DA6"/>
    <w:rsid w:val="00E66707"/>
    <w:rsid w:val="00E70F97"/>
    <w:rsid w:val="00E72650"/>
    <w:rsid w:val="00E91494"/>
    <w:rsid w:val="00EB1E3B"/>
    <w:rsid w:val="00EC6E0A"/>
    <w:rsid w:val="00EC7282"/>
    <w:rsid w:val="00ED3EEB"/>
    <w:rsid w:val="00ED4D88"/>
    <w:rsid w:val="00ED4E18"/>
    <w:rsid w:val="00ED7922"/>
    <w:rsid w:val="00EE02C4"/>
    <w:rsid w:val="00EE1F37"/>
    <w:rsid w:val="00EE4CB8"/>
    <w:rsid w:val="00EE59F6"/>
    <w:rsid w:val="00EF6C6C"/>
    <w:rsid w:val="00F0159C"/>
    <w:rsid w:val="00F105B7"/>
    <w:rsid w:val="00F13220"/>
    <w:rsid w:val="00F17A21"/>
    <w:rsid w:val="00F20EAB"/>
    <w:rsid w:val="00F23716"/>
    <w:rsid w:val="00F2423C"/>
    <w:rsid w:val="00F31580"/>
    <w:rsid w:val="00F34F08"/>
    <w:rsid w:val="00F36FC2"/>
    <w:rsid w:val="00F37B27"/>
    <w:rsid w:val="00F46556"/>
    <w:rsid w:val="00F476F4"/>
    <w:rsid w:val="00F50E91"/>
    <w:rsid w:val="00F56799"/>
    <w:rsid w:val="00F56FC3"/>
    <w:rsid w:val="00F57D29"/>
    <w:rsid w:val="00F60786"/>
    <w:rsid w:val="00F60E60"/>
    <w:rsid w:val="00F70F81"/>
    <w:rsid w:val="00F810F0"/>
    <w:rsid w:val="00F91BC7"/>
    <w:rsid w:val="00F9259E"/>
    <w:rsid w:val="00F94AB1"/>
    <w:rsid w:val="00F96201"/>
    <w:rsid w:val="00FA15FC"/>
    <w:rsid w:val="00FA1BBC"/>
    <w:rsid w:val="00FA7411"/>
    <w:rsid w:val="00FB01A4"/>
    <w:rsid w:val="00FB13F9"/>
    <w:rsid w:val="00FC1A27"/>
    <w:rsid w:val="00FC5FC1"/>
    <w:rsid w:val="00FD0B18"/>
    <w:rsid w:val="00FD2FAD"/>
    <w:rsid w:val="00FE5457"/>
    <w:rsid w:val="00FE6B67"/>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2F1B0FA2-0287-4CDC-BD57-90B6A308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7604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87574996">
      <w:bodyDiv w:val="1"/>
      <w:marLeft w:val="0"/>
      <w:marRight w:val="0"/>
      <w:marTop w:val="0"/>
      <w:marBottom w:val="0"/>
      <w:divBdr>
        <w:top w:val="none" w:sz="0" w:space="0" w:color="auto"/>
        <w:left w:val="none" w:sz="0" w:space="0" w:color="auto"/>
        <w:bottom w:val="none" w:sz="0" w:space="0" w:color="auto"/>
        <w:right w:val="none" w:sz="0" w:space="0" w:color="auto"/>
      </w:divBdr>
      <w:divsChild>
        <w:div w:id="767626721">
          <w:marLeft w:val="0"/>
          <w:marRight w:val="0"/>
          <w:marTop w:val="0"/>
          <w:marBottom w:val="0"/>
          <w:divBdr>
            <w:top w:val="none" w:sz="0" w:space="0" w:color="auto"/>
            <w:left w:val="none" w:sz="0" w:space="0" w:color="auto"/>
            <w:bottom w:val="none" w:sz="0" w:space="0" w:color="auto"/>
            <w:right w:val="none" w:sz="0" w:space="0" w:color="auto"/>
          </w:divBdr>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DA0CF-4D85-485E-AD1F-248E35D8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3571</Words>
  <Characters>20357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9B21M031</dc:title>
  <dc:creator>smuir</dc:creator>
  <cp:lastModifiedBy>Harnett, Kira</cp:lastModifiedBy>
  <cp:revision>3</cp:revision>
  <cp:lastPrinted>2015-03-04T20:34:00Z</cp:lastPrinted>
  <dcterms:created xsi:type="dcterms:W3CDTF">2021-04-07T18:48:00Z</dcterms:created>
  <dcterms:modified xsi:type="dcterms:W3CDTF">2021-04-07T18:53:00Z</dcterms:modified>
</cp:coreProperties>
</file>