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DEB52" w14:textId="77777777" w:rsidR="003F4C73" w:rsidRDefault="003F4C73" w:rsidP="003F4C73">
      <w:pPr>
        <w:pBdr>
          <w:bottom w:val="single" w:sz="18" w:space="1" w:color="auto"/>
        </w:pBdr>
        <w:tabs>
          <w:tab w:val="left" w:pos="-1440"/>
          <w:tab w:val="left" w:pos="-720"/>
          <w:tab w:val="left" w:pos="1"/>
        </w:tabs>
        <w:jc w:val="both"/>
        <w:rPr>
          <w:rFonts w:ascii="Arial" w:hAnsi="Arial"/>
          <w:b/>
          <w:sz w:val="24"/>
        </w:rPr>
      </w:pPr>
      <w:r>
        <w:rPr>
          <w:rFonts w:ascii="Arial" w:hAnsi="Arial"/>
          <w:b/>
          <w:noProof/>
        </w:rPr>
        <w:drawing>
          <wp:anchor distT="0" distB="0" distL="114300" distR="114300" simplePos="0" relativeHeight="251659264" behindDoc="0" locked="0" layoutInCell="1" allowOverlap="1" wp14:anchorId="702EE3CF" wp14:editId="2C0D7DA2">
            <wp:simplePos x="0" y="0"/>
            <wp:positionH relativeFrom="column">
              <wp:posOffset>3037205</wp:posOffset>
            </wp:positionH>
            <wp:positionV relativeFrom="paragraph">
              <wp:posOffset>114300</wp:posOffset>
            </wp:positionV>
            <wp:extent cx="2903518" cy="327804"/>
            <wp:effectExtent l="0" t="0" r="0" b="0"/>
            <wp:wrapNone/>
            <wp:docPr id="3" name="Picture 3" descr="Concordia University/John Molson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518" cy="327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9EA">
        <w:rPr>
          <w:rFonts w:ascii="Arial" w:hAnsi="Arial"/>
          <w:b/>
          <w:noProof/>
          <w:sz w:val="24"/>
          <w:lang w:val="en-CA" w:eastAsia="en-CA"/>
        </w:rPr>
        <w:drawing>
          <wp:inline distT="0" distB="0" distL="0" distR="0" wp14:anchorId="12536C56" wp14:editId="54FF05A0">
            <wp:extent cx="2613804" cy="551245"/>
            <wp:effectExtent l="0" t="0" r="0" b="1270"/>
            <wp:docPr id="5" name="Picture 5"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A09AC96" w14:textId="5E5A05B0" w:rsidR="003F4C73" w:rsidRPr="00052171" w:rsidRDefault="003F4C73" w:rsidP="003F4C73">
      <w:pPr>
        <w:pStyle w:val="ProductNumber"/>
      </w:pPr>
      <w:r>
        <w:t>9B21M034</w:t>
      </w:r>
    </w:p>
    <w:p w14:paraId="4E057522" w14:textId="7A113CB1" w:rsidR="00D75295" w:rsidRPr="000545B6" w:rsidRDefault="00D75295" w:rsidP="00D75295">
      <w:pPr>
        <w:jc w:val="right"/>
        <w:rPr>
          <w:rFonts w:ascii="Arial" w:hAnsi="Arial"/>
          <w:b/>
        </w:rPr>
      </w:pPr>
    </w:p>
    <w:p w14:paraId="02524312" w14:textId="77777777" w:rsidR="001901C0" w:rsidRPr="000545B6" w:rsidRDefault="001901C0" w:rsidP="00D75295">
      <w:pPr>
        <w:jc w:val="right"/>
        <w:rPr>
          <w:rFonts w:ascii="Arial" w:hAnsi="Arial"/>
          <w:b/>
        </w:rPr>
      </w:pPr>
    </w:p>
    <w:p w14:paraId="2F03D26A" w14:textId="69EAA4AC" w:rsidR="00013360" w:rsidRPr="000545B6" w:rsidRDefault="00ED66BD" w:rsidP="00D756F6">
      <w:pPr>
        <w:pStyle w:val="CaseTitle"/>
        <w:spacing w:after="0" w:line="240" w:lineRule="auto"/>
        <w:jc w:val="center"/>
        <w:rPr>
          <w:sz w:val="20"/>
          <w:szCs w:val="20"/>
        </w:rPr>
      </w:pPr>
      <w:r w:rsidRPr="000545B6">
        <w:t>ora: The power of the Pivot</w:t>
      </w:r>
    </w:p>
    <w:p w14:paraId="40ABF6FD" w14:textId="77777777" w:rsidR="00CA3976" w:rsidRPr="000545B6" w:rsidRDefault="00CA3976" w:rsidP="00013360">
      <w:pPr>
        <w:pStyle w:val="CaseTitle"/>
        <w:spacing w:after="0" w:line="240" w:lineRule="auto"/>
        <w:rPr>
          <w:sz w:val="20"/>
          <w:szCs w:val="20"/>
        </w:rPr>
      </w:pPr>
    </w:p>
    <w:p w14:paraId="202F1085" w14:textId="77777777" w:rsidR="00013360" w:rsidRPr="000545B6" w:rsidRDefault="00013360" w:rsidP="00013360">
      <w:pPr>
        <w:pStyle w:val="CaseTitle"/>
        <w:spacing w:after="0" w:line="240" w:lineRule="auto"/>
        <w:rPr>
          <w:sz w:val="20"/>
          <w:szCs w:val="20"/>
        </w:rPr>
      </w:pPr>
    </w:p>
    <w:p w14:paraId="58B0C73F" w14:textId="6AF2A3AE" w:rsidR="00086B26" w:rsidRPr="000545B6" w:rsidRDefault="00CB6E6F" w:rsidP="00086B26">
      <w:pPr>
        <w:pStyle w:val="StyleCopyrightStatementAfter0ptBottomSinglesolidline1"/>
      </w:pPr>
      <w:r w:rsidRPr="000545B6">
        <w:rPr>
          <w:rFonts w:cs="Arial"/>
        </w:rPr>
        <w:t>Tate Cao and Tyler Case</w:t>
      </w:r>
      <w:r w:rsidR="00ED7922" w:rsidRPr="000545B6">
        <w:rPr>
          <w:rFonts w:cs="Arial"/>
          <w:szCs w:val="16"/>
        </w:rPr>
        <w:t xml:space="preserve"> </w:t>
      </w:r>
      <w:r w:rsidR="00086B26" w:rsidRPr="000545B6">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545B6" w:rsidRDefault="00086B26" w:rsidP="00086B26">
      <w:pPr>
        <w:pStyle w:val="StyleCopyrightStatementAfter0ptBottomSinglesolidline1"/>
      </w:pPr>
    </w:p>
    <w:p w14:paraId="685365A0" w14:textId="77777777" w:rsidR="003F4C73" w:rsidRPr="00A323B0" w:rsidRDefault="003F4C73" w:rsidP="003F4C73">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26E8BA2" w14:textId="77777777" w:rsidR="003F4C73" w:rsidRPr="00A323B0" w:rsidRDefault="003F4C73" w:rsidP="003F4C73">
      <w:pPr>
        <w:pStyle w:val="StyleStyleCopyrightStatementAfter0ptBottomSinglesolid"/>
        <w:rPr>
          <w:rFonts w:cs="Arial"/>
          <w:szCs w:val="16"/>
        </w:rPr>
      </w:pPr>
    </w:p>
    <w:p w14:paraId="3922E14F" w14:textId="7D3EF43F" w:rsidR="00751E0B" w:rsidRPr="000545B6" w:rsidRDefault="003F4C73" w:rsidP="003F4C73">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2021-04-08</w:t>
      </w:r>
    </w:p>
    <w:p w14:paraId="0A2A54E4" w14:textId="528F2A26" w:rsidR="00751E0B" w:rsidRPr="000545B6" w:rsidRDefault="00751E0B" w:rsidP="00751E0B">
      <w:pPr>
        <w:pStyle w:val="StyleCopyrightStatementAfter0ptBottomSinglesolidline1"/>
        <w:rPr>
          <w:rFonts w:ascii="Times New Roman" w:hAnsi="Times New Roman"/>
          <w:sz w:val="20"/>
        </w:rPr>
      </w:pPr>
    </w:p>
    <w:p w14:paraId="5950D3DD" w14:textId="77777777" w:rsidR="00F701DA" w:rsidRPr="000545B6" w:rsidRDefault="00F701DA" w:rsidP="00751E0B">
      <w:pPr>
        <w:pStyle w:val="StyleCopyrightStatementAfter0ptBottomSinglesolidline1"/>
        <w:rPr>
          <w:rFonts w:ascii="Times New Roman" w:hAnsi="Times New Roman"/>
          <w:sz w:val="20"/>
        </w:rPr>
      </w:pPr>
    </w:p>
    <w:p w14:paraId="70D2C3A7" w14:textId="61F508C2" w:rsidR="00426C65" w:rsidRDefault="000545B6" w:rsidP="002E53B5">
      <w:pPr>
        <w:pStyle w:val="BodyTextMain"/>
      </w:pPr>
      <w:r>
        <w:t>In</w:t>
      </w:r>
      <w:r w:rsidR="002E53B5" w:rsidRPr="000545B6">
        <w:t xml:space="preserve"> September 2019</w:t>
      </w:r>
      <w:r>
        <w:t>,</w:t>
      </w:r>
      <w:r w:rsidR="002E53B5" w:rsidRPr="000545B6">
        <w:t xml:space="preserve"> Serese Selanders was at a pivotal point in the development of </w:t>
      </w:r>
      <w:r>
        <w:t xml:space="preserve">ORA, </w:t>
      </w:r>
      <w:r w:rsidR="002E53B5" w:rsidRPr="000545B6">
        <w:t>her personal emergency response systems (PERS) company. Se</w:t>
      </w:r>
      <w:r>
        <w:t>landers</w:t>
      </w:r>
      <w:r w:rsidR="002E53B5" w:rsidRPr="000545B6">
        <w:t xml:space="preserve"> had started he</w:t>
      </w:r>
      <w:r>
        <w:t>r</w:t>
      </w:r>
      <w:r w:rsidR="002E53B5" w:rsidRPr="000545B6">
        <w:t xml:space="preserve"> business </w:t>
      </w:r>
      <w:r w:rsidR="00477E5D">
        <w:t>several</w:t>
      </w:r>
      <w:r w:rsidR="00415110">
        <w:t xml:space="preserve"> years earlier </w:t>
      </w:r>
      <w:r w:rsidR="002E53B5" w:rsidRPr="000545B6">
        <w:t xml:space="preserve">in Saskatoon, </w:t>
      </w:r>
      <w:r>
        <w:t xml:space="preserve">in the Canadian province of </w:t>
      </w:r>
      <w:r w:rsidR="002E53B5" w:rsidRPr="000545B6">
        <w:t>Saskatchewan</w:t>
      </w:r>
      <w:r w:rsidR="00415110">
        <w:t xml:space="preserve">. At the time, </w:t>
      </w:r>
      <w:r>
        <w:t>she</w:t>
      </w:r>
      <w:r w:rsidR="002E53B5" w:rsidRPr="000545B6">
        <w:t xml:space="preserve"> created a customized hardware and software solution that was </w:t>
      </w:r>
      <w:r>
        <w:t>intended</w:t>
      </w:r>
      <w:r w:rsidR="002E53B5" w:rsidRPr="000545B6">
        <w:t xml:space="preserve"> to disrupt the growing </w:t>
      </w:r>
      <w:r>
        <w:t xml:space="preserve">PERS </w:t>
      </w:r>
      <w:r w:rsidR="002E53B5" w:rsidRPr="000545B6">
        <w:t xml:space="preserve">industry </w:t>
      </w:r>
      <w:r w:rsidR="00415110">
        <w:t>and</w:t>
      </w:r>
      <w:r w:rsidR="002E53B5" w:rsidRPr="000545B6">
        <w:t xml:space="preserve"> help improve the lives of</w:t>
      </w:r>
      <w:r w:rsidR="00415110">
        <w:t xml:space="preserve"> older adults</w:t>
      </w:r>
      <w:r w:rsidR="002E53B5" w:rsidRPr="000545B6">
        <w:t xml:space="preserve"> and their caregivers. </w:t>
      </w:r>
      <w:r w:rsidR="00415110">
        <w:t>D</w:t>
      </w:r>
      <w:r w:rsidR="002E53B5" w:rsidRPr="000545B6">
        <w:t xml:space="preserve">espite </w:t>
      </w:r>
      <w:r>
        <w:t xml:space="preserve">considerable </w:t>
      </w:r>
      <w:r w:rsidR="002E53B5" w:rsidRPr="000545B6">
        <w:t xml:space="preserve">positive feedback and publicity, </w:t>
      </w:r>
      <w:r w:rsidR="00415110">
        <w:t xml:space="preserve">however, </w:t>
      </w:r>
      <w:r w:rsidR="002E53B5" w:rsidRPr="000545B6">
        <w:t>sales had not m</w:t>
      </w:r>
      <w:r>
        <w:t xml:space="preserve">et </w:t>
      </w:r>
      <w:r w:rsidR="00415110">
        <w:t xml:space="preserve">the founder’s </w:t>
      </w:r>
      <w:r>
        <w:t>expectations</w:t>
      </w:r>
      <w:r w:rsidR="002E53B5" w:rsidRPr="000545B6">
        <w:t>.</w:t>
      </w:r>
    </w:p>
    <w:p w14:paraId="49A65B1B" w14:textId="77777777" w:rsidR="00426C65" w:rsidRDefault="00426C65" w:rsidP="002E53B5">
      <w:pPr>
        <w:pStyle w:val="BodyTextMain"/>
      </w:pPr>
    </w:p>
    <w:p w14:paraId="1D2E158B" w14:textId="341312BC" w:rsidR="005E5EEC" w:rsidRPr="000545B6" w:rsidRDefault="002E53B5" w:rsidP="002E53B5">
      <w:pPr>
        <w:pStyle w:val="BodyTextMain"/>
      </w:pPr>
      <w:r w:rsidRPr="000545B6">
        <w:t xml:space="preserve">Selanders was </w:t>
      </w:r>
      <w:r w:rsidR="00415110">
        <w:t xml:space="preserve">a </w:t>
      </w:r>
      <w:r w:rsidRPr="000545B6">
        <w:t>skilled and innovative</w:t>
      </w:r>
      <w:r w:rsidR="00415110">
        <w:t xml:space="preserve"> business manager. With her keen market sense, she </w:t>
      </w:r>
      <w:r w:rsidR="00821753">
        <w:t xml:space="preserve">had </w:t>
      </w:r>
      <w:r w:rsidR="00415110">
        <w:t>identified a</w:t>
      </w:r>
      <w:r w:rsidR="00821753">
        <w:t xml:space="preserve"> </w:t>
      </w:r>
      <w:r w:rsidR="008A797A">
        <w:t xml:space="preserve">promising </w:t>
      </w:r>
      <w:r w:rsidR="00821753">
        <w:t>new</w:t>
      </w:r>
      <w:r w:rsidRPr="000545B6">
        <w:t xml:space="preserve"> </w:t>
      </w:r>
      <w:r w:rsidR="00415110">
        <w:t>consumer segment</w:t>
      </w:r>
      <w:r w:rsidR="008A797A">
        <w:t xml:space="preserve"> for her product</w:t>
      </w:r>
      <w:r w:rsidR="00821753">
        <w:t>. However,</w:t>
      </w:r>
      <w:r w:rsidRPr="000545B6">
        <w:t xml:space="preserve"> </w:t>
      </w:r>
      <w:r w:rsidR="00821753">
        <w:t xml:space="preserve">she </w:t>
      </w:r>
      <w:r w:rsidR="008A797A">
        <w:t>was well aware</w:t>
      </w:r>
      <w:r w:rsidR="00821753">
        <w:t xml:space="preserve"> that</w:t>
      </w:r>
      <w:r w:rsidRPr="000545B6">
        <w:t xml:space="preserve"> technology start-ups were notoriously challenging to grow and </w:t>
      </w:r>
      <w:r w:rsidR="008A797A">
        <w:t>sus</w:t>
      </w:r>
      <w:r w:rsidRPr="000545B6">
        <w:t>tain</w:t>
      </w:r>
      <w:r w:rsidR="008A797A">
        <w:t>.</w:t>
      </w:r>
      <w:r w:rsidR="005E5EEC" w:rsidRPr="006F2094">
        <w:rPr>
          <w:rStyle w:val="EndnoteReference"/>
        </w:rPr>
        <w:endnoteReference w:id="1"/>
      </w:r>
      <w:r w:rsidR="005E5EEC" w:rsidRPr="000545B6">
        <w:t xml:space="preserve"> </w:t>
      </w:r>
      <w:r w:rsidR="005E5EEC">
        <w:t>To ensure the success of ORA, Selanders would need to consider all market</w:t>
      </w:r>
      <w:r w:rsidR="005E5EEC" w:rsidRPr="000545B6">
        <w:t xml:space="preserve"> opportunities and threats</w:t>
      </w:r>
      <w:r w:rsidR="005E5EEC">
        <w:t xml:space="preserve"> and determine if her company had a</w:t>
      </w:r>
      <w:r w:rsidR="005E5EEC" w:rsidRPr="000545B6">
        <w:t xml:space="preserve"> sustainable competitive advantage</w:t>
      </w:r>
      <w:r w:rsidR="005E5EEC">
        <w:t>.</w:t>
      </w:r>
      <w:r w:rsidR="005E5EEC" w:rsidRPr="000545B6">
        <w:t xml:space="preserve"> </w:t>
      </w:r>
      <w:r w:rsidR="005E5EEC">
        <w:t xml:space="preserve">Having reached a turning point in her business, she </w:t>
      </w:r>
      <w:r w:rsidR="005E5EEC" w:rsidRPr="000545B6">
        <w:t xml:space="preserve">had to make a </w:t>
      </w:r>
      <w:r w:rsidR="005E5EEC">
        <w:t xml:space="preserve">critical </w:t>
      </w:r>
      <w:r w:rsidR="005E5EEC" w:rsidRPr="000545B6">
        <w:t>decision</w:t>
      </w:r>
      <w:r w:rsidR="005E5EEC">
        <w:t>. Should she grow the company by</w:t>
      </w:r>
      <w:r w:rsidR="005E5EEC" w:rsidRPr="000545B6">
        <w:t xml:space="preserve"> focus</w:t>
      </w:r>
      <w:r w:rsidR="005E5EEC">
        <w:t>ing</w:t>
      </w:r>
      <w:r w:rsidR="005E5EEC" w:rsidRPr="000545B6">
        <w:t xml:space="preserve"> on the new </w:t>
      </w:r>
      <w:r w:rsidR="005E5EEC">
        <w:t>market segment, follow an</w:t>
      </w:r>
      <w:r w:rsidR="005E5EEC" w:rsidRPr="000545B6">
        <w:t>other strategic move</w:t>
      </w:r>
      <w:r w:rsidR="005E5EEC">
        <w:t>, or r</w:t>
      </w:r>
      <w:r w:rsidR="005E5EEC" w:rsidRPr="000545B6">
        <w:t>ais</w:t>
      </w:r>
      <w:r w:rsidR="005E5EEC">
        <w:t>e another round of</w:t>
      </w:r>
      <w:r w:rsidR="005E5EEC" w:rsidRPr="000545B6">
        <w:t xml:space="preserve"> fund</w:t>
      </w:r>
      <w:r w:rsidR="005E5EEC">
        <w:t>ing to stimulate</w:t>
      </w:r>
      <w:r w:rsidR="005E5EEC" w:rsidRPr="000545B6">
        <w:t xml:space="preserve"> grow</w:t>
      </w:r>
      <w:r w:rsidR="005E5EEC">
        <w:t>th? Or should she instead s</w:t>
      </w:r>
      <w:r w:rsidR="005E5EEC" w:rsidRPr="000545B6">
        <w:t xml:space="preserve">ell </w:t>
      </w:r>
      <w:r w:rsidR="005E5EEC">
        <w:t>ORA’s</w:t>
      </w:r>
      <w:r w:rsidR="005E5EEC" w:rsidRPr="000545B6">
        <w:t xml:space="preserve"> technology</w:t>
      </w:r>
      <w:r w:rsidR="005E5EEC">
        <w:t>,</w:t>
      </w:r>
      <w:r w:rsidR="005E5EEC" w:rsidRPr="000545B6">
        <w:t xml:space="preserve"> or the </w:t>
      </w:r>
      <w:r w:rsidR="005E5EEC">
        <w:t xml:space="preserve">entire </w:t>
      </w:r>
      <w:r w:rsidR="005E5EEC" w:rsidRPr="000545B6">
        <w:t>company</w:t>
      </w:r>
      <w:r w:rsidR="005E5EEC">
        <w:t>, and resume</w:t>
      </w:r>
      <w:r w:rsidR="005E5EEC" w:rsidRPr="000545B6">
        <w:t xml:space="preserve"> her executive position in the financial </w:t>
      </w:r>
      <w:r w:rsidR="005E5EEC">
        <w:t>industry?</w:t>
      </w:r>
      <w:r w:rsidR="005E5EEC" w:rsidRPr="000545B6">
        <w:t xml:space="preserve"> It was time to decide.</w:t>
      </w:r>
    </w:p>
    <w:p w14:paraId="7A2816A3" w14:textId="6EF9699E" w:rsidR="005E5EEC" w:rsidRPr="000545B6" w:rsidRDefault="005E5EEC" w:rsidP="00ED66BD">
      <w:pPr>
        <w:pStyle w:val="BodyTextMain"/>
      </w:pPr>
    </w:p>
    <w:p w14:paraId="7155BCB8" w14:textId="77777777" w:rsidR="005E5EEC" w:rsidRPr="000545B6" w:rsidRDefault="005E5EEC" w:rsidP="00ED66BD">
      <w:pPr>
        <w:pStyle w:val="BodyTextMain"/>
      </w:pPr>
    </w:p>
    <w:p w14:paraId="72C89A0E" w14:textId="77777777" w:rsidR="005E5EEC" w:rsidRPr="000545B6" w:rsidRDefault="005E5EEC" w:rsidP="00CB6E6F">
      <w:pPr>
        <w:pStyle w:val="Casehead1"/>
      </w:pPr>
      <w:r w:rsidRPr="000545B6">
        <w:t>The Inspiration for ora</w:t>
      </w:r>
    </w:p>
    <w:p w14:paraId="094AB1AA" w14:textId="77777777" w:rsidR="005E5EEC" w:rsidRPr="000545B6" w:rsidRDefault="005E5EEC" w:rsidP="00ED66BD">
      <w:pPr>
        <w:pStyle w:val="BodyTextMain"/>
      </w:pPr>
    </w:p>
    <w:p w14:paraId="105D6CD8" w14:textId="3610D8E2" w:rsidR="005E5EEC" w:rsidRDefault="005E5EEC" w:rsidP="00ED66BD">
      <w:pPr>
        <w:pStyle w:val="BodyTextMain"/>
        <w:rPr>
          <w:spacing w:val="-2"/>
        </w:rPr>
      </w:pPr>
      <w:r w:rsidRPr="00F97DFE">
        <w:rPr>
          <w:spacing w:val="-2"/>
        </w:rPr>
        <w:t>ORA was an extension of Selanders’s personal philosophy and passion. By 201</w:t>
      </w:r>
      <w:r>
        <w:rPr>
          <w:spacing w:val="-2"/>
        </w:rPr>
        <w:t>2</w:t>
      </w:r>
      <w:r w:rsidRPr="00F97DFE">
        <w:rPr>
          <w:spacing w:val="-2"/>
        </w:rPr>
        <w:t xml:space="preserve">, Selanders had built a successful and rewarding career in the financial services industry, but she had always longed to fulfill her entrepreneurial spirit and create a venture of her own. </w:t>
      </w:r>
      <w:r>
        <w:rPr>
          <w:spacing w:val="-2"/>
        </w:rPr>
        <w:t>Then</w:t>
      </w:r>
      <w:r w:rsidRPr="00F97DFE">
        <w:rPr>
          <w:spacing w:val="-2"/>
        </w:rPr>
        <w:t xml:space="preserve"> a tragic family event led her to make a major change in her career and personal life. Confronted with the death of her mother and the debilitation of her father shortly afterward, Selanders decided to focus on the health and safety of her father. For the next six months, she cared for her father while he continued to live independently in his own home.</w:t>
      </w:r>
      <w:r w:rsidRPr="006F2094">
        <w:rPr>
          <w:rStyle w:val="EndnoteReference"/>
        </w:rPr>
        <w:endnoteReference w:id="2"/>
      </w:r>
    </w:p>
    <w:p w14:paraId="14456AE5" w14:textId="77777777" w:rsidR="005E5EEC" w:rsidRDefault="005E5EEC" w:rsidP="00ED66BD">
      <w:pPr>
        <w:pStyle w:val="BodyTextMain"/>
        <w:rPr>
          <w:spacing w:val="-2"/>
        </w:rPr>
      </w:pPr>
    </w:p>
    <w:p w14:paraId="4AE4B9FE" w14:textId="73036098" w:rsidR="005E5EEC" w:rsidRPr="00A73E96" w:rsidRDefault="005E5EEC" w:rsidP="00ED66BD">
      <w:pPr>
        <w:pStyle w:val="BodyTextMain"/>
        <w:rPr>
          <w:spacing w:val="-4"/>
        </w:rPr>
      </w:pPr>
      <w:r w:rsidRPr="00A73E96">
        <w:rPr>
          <w:spacing w:val="-4"/>
        </w:rPr>
        <w:t>During that time, Selanders’s role shifted from daughter to caregiver. She experienced the stress and tension that comes from the dual responsibility of caring for an ailing older parent while pursuing a career—in her case, as a busy corporate executive. When potential injury became a threat for her father at home, Selanders suggested that he should have an emergency alert device to get immediate help in the event of a medical emergency. However, her father resisted, claiming that such devices were not for him: “Those are for old people.”</w:t>
      </w:r>
    </w:p>
    <w:p w14:paraId="43C02F5F" w14:textId="24E824AD" w:rsidR="005E5EEC" w:rsidRPr="000545B6" w:rsidRDefault="005E5EEC" w:rsidP="00ED66BD">
      <w:pPr>
        <w:pStyle w:val="BodyTextMain"/>
      </w:pPr>
    </w:p>
    <w:p w14:paraId="3EE63125" w14:textId="77777777" w:rsidR="005E5EEC" w:rsidRPr="000545B6" w:rsidRDefault="005E5EEC" w:rsidP="00CB6E6F">
      <w:pPr>
        <w:pStyle w:val="Casehead1"/>
      </w:pPr>
      <w:r w:rsidRPr="000545B6">
        <w:lastRenderedPageBreak/>
        <w:t>Serese Selanders: the entrepreneur</w:t>
      </w:r>
    </w:p>
    <w:p w14:paraId="2A381006" w14:textId="77777777" w:rsidR="005E5EEC" w:rsidRPr="000545B6" w:rsidRDefault="005E5EEC" w:rsidP="00CB6E6F">
      <w:pPr>
        <w:pStyle w:val="BodyTextMain"/>
        <w:keepNext/>
      </w:pPr>
    </w:p>
    <w:p w14:paraId="0DD37B2C" w14:textId="639DA10D" w:rsidR="005E5EEC" w:rsidRPr="000545B6" w:rsidRDefault="005E5EEC" w:rsidP="00ED66BD">
      <w:pPr>
        <w:pStyle w:val="BodyTextMain"/>
      </w:pPr>
      <w:r w:rsidRPr="000545B6">
        <w:t xml:space="preserve">Born in rural Val Marie, Saskatchewan, Selanders grew up in an entrepreneurial family. Her family had owned and operated </w:t>
      </w:r>
      <w:r>
        <w:t>several</w:t>
      </w:r>
      <w:r w:rsidRPr="000545B6">
        <w:t xml:space="preserve"> ventures in the town</w:t>
      </w:r>
      <w:r>
        <w:t>, ranging</w:t>
      </w:r>
      <w:r w:rsidRPr="000545B6">
        <w:t xml:space="preserve"> from </w:t>
      </w:r>
      <w:r>
        <w:t xml:space="preserve">the sale of </w:t>
      </w:r>
      <w:r w:rsidRPr="000545B6">
        <w:t>bulk oil and gas</w:t>
      </w:r>
      <w:r>
        <w:t>,</w:t>
      </w:r>
      <w:r w:rsidRPr="000545B6">
        <w:t xml:space="preserve"> to farming products and</w:t>
      </w:r>
      <w:r>
        <w:t xml:space="preserve"> </w:t>
      </w:r>
      <w:r w:rsidRPr="000545B6">
        <w:t>liquor</w:t>
      </w:r>
      <w:r>
        <w:t>,</w:t>
      </w:r>
      <w:r w:rsidRPr="000545B6">
        <w:t xml:space="preserve"> and even</w:t>
      </w:r>
      <w:r>
        <w:t>tually to</w:t>
      </w:r>
      <w:r w:rsidRPr="000545B6">
        <w:t xml:space="preserve"> insurance</w:t>
      </w:r>
      <w:r>
        <w:t xml:space="preserve"> brokerage</w:t>
      </w:r>
      <w:r w:rsidRPr="000545B6">
        <w:t xml:space="preserve">. </w:t>
      </w:r>
      <w:r>
        <w:t>It seemed that an entrepreneurship</w:t>
      </w:r>
      <w:r w:rsidRPr="000545B6">
        <w:t xml:space="preserve"> pattern had </w:t>
      </w:r>
      <w:r>
        <w:t xml:space="preserve">clearly </w:t>
      </w:r>
      <w:r w:rsidRPr="000545B6">
        <w:t xml:space="preserve">developed </w:t>
      </w:r>
      <w:r>
        <w:t>in her family. However,</w:t>
      </w:r>
      <w:r w:rsidRPr="000545B6">
        <w:t xml:space="preserve"> Selanders </w:t>
      </w:r>
      <w:r>
        <w:t>t</w:t>
      </w:r>
      <w:r w:rsidRPr="000545B6">
        <w:t xml:space="preserve">rained in </w:t>
      </w:r>
      <w:r>
        <w:t>i</w:t>
      </w:r>
      <w:r w:rsidRPr="000545B6">
        <w:t xml:space="preserve">nternational </w:t>
      </w:r>
      <w:r>
        <w:t>s</w:t>
      </w:r>
      <w:r w:rsidRPr="000545B6">
        <w:t>tudies at the University of Saskatchewan</w:t>
      </w:r>
      <w:r>
        <w:t xml:space="preserve"> and landed a job</w:t>
      </w:r>
      <w:r w:rsidRPr="000545B6">
        <w:t xml:space="preserve"> as a sales representative </w:t>
      </w:r>
      <w:r>
        <w:t>with</w:t>
      </w:r>
      <w:r w:rsidRPr="000545B6">
        <w:t xml:space="preserve"> a Canadian insurance company</w:t>
      </w:r>
      <w:r>
        <w:t>,</w:t>
      </w:r>
      <w:r w:rsidRPr="000545B6">
        <w:t xml:space="preserve"> where she quickly mastered sales</w:t>
      </w:r>
      <w:r>
        <w:t xml:space="preserve"> skills</w:t>
      </w:r>
      <w:r w:rsidRPr="000545B6">
        <w:t>. She excelled in her role and became a top financial services representative in her organization.</w:t>
      </w:r>
      <w:r>
        <w:t xml:space="preserve"> </w:t>
      </w:r>
      <w:r w:rsidRPr="000545B6">
        <w:t>Selanders then accepted a position in the financial industry</w:t>
      </w:r>
      <w:r>
        <w:t>,</w:t>
      </w:r>
      <w:r w:rsidRPr="000545B6">
        <w:t xml:space="preserve"> where she managed </w:t>
      </w:r>
      <w:r>
        <w:t>several</w:t>
      </w:r>
      <w:r w:rsidRPr="000545B6">
        <w:t xml:space="preserve"> financial planning offices. </w:t>
      </w:r>
      <w:r>
        <w:t>Eventually, s</w:t>
      </w:r>
      <w:r w:rsidRPr="000545B6">
        <w:t>he join</w:t>
      </w:r>
      <w:r>
        <w:t>ed</w:t>
      </w:r>
      <w:r w:rsidRPr="000545B6">
        <w:t xml:space="preserve"> FirstSask Credit Union (later rebranded as the Affinity Credit Union) as </w:t>
      </w:r>
      <w:r>
        <w:t>v</w:t>
      </w:r>
      <w:r w:rsidRPr="000545B6">
        <w:t>ice</w:t>
      </w:r>
      <w:r>
        <w:t>-p</w:t>
      </w:r>
      <w:r w:rsidRPr="000545B6">
        <w:t xml:space="preserve">resident </w:t>
      </w:r>
      <w:r>
        <w:t>of f</w:t>
      </w:r>
      <w:r w:rsidRPr="000545B6">
        <w:t xml:space="preserve">inancial </w:t>
      </w:r>
      <w:r>
        <w:t>s</w:t>
      </w:r>
      <w:r w:rsidRPr="000545B6">
        <w:t>ervices</w:t>
      </w:r>
      <w:r>
        <w:t>—</w:t>
      </w:r>
      <w:r w:rsidRPr="000545B6">
        <w:t xml:space="preserve">the </w:t>
      </w:r>
      <w:r>
        <w:t xml:space="preserve">company’s </w:t>
      </w:r>
      <w:r w:rsidRPr="000545B6">
        <w:t xml:space="preserve">youngest </w:t>
      </w:r>
      <w:r>
        <w:t>ever v</w:t>
      </w:r>
      <w:r w:rsidRPr="000545B6">
        <w:t>ice</w:t>
      </w:r>
      <w:r>
        <w:t>-p</w:t>
      </w:r>
      <w:r w:rsidRPr="000545B6">
        <w:t>resident.</w:t>
      </w:r>
      <w:r w:rsidRPr="006F2094">
        <w:rPr>
          <w:rStyle w:val="EndnoteReference"/>
        </w:rPr>
        <w:endnoteReference w:id="3"/>
      </w:r>
    </w:p>
    <w:p w14:paraId="4C616ABC" w14:textId="77777777" w:rsidR="005E5EEC" w:rsidRPr="000545B6" w:rsidRDefault="005E5EEC" w:rsidP="00ED66BD">
      <w:pPr>
        <w:pStyle w:val="BodyTextMain"/>
      </w:pPr>
    </w:p>
    <w:p w14:paraId="0528EF73" w14:textId="597053B4" w:rsidR="005E5EEC" w:rsidRPr="00A73E96" w:rsidRDefault="005E5EEC" w:rsidP="00ED66BD">
      <w:pPr>
        <w:pStyle w:val="BodyTextMain"/>
        <w:rPr>
          <w:spacing w:val="-2"/>
        </w:rPr>
      </w:pPr>
      <w:r w:rsidRPr="00A73E96">
        <w:rPr>
          <w:spacing w:val="-2"/>
        </w:rPr>
        <w:t>Making effective use of her business experience and family history, Selanders developed a strong work ethic and exceptional skills in sales, management, and strategic planning. As an executive in a large and progressive organization, Selanders was enthusiastic about innovation and dedicated to customer-centric services. Her abilities in strategic planning were recognized in the broader community. In 2010, she became a member of the critical care patient family advisory committee and the steering committee as a family adviser for the local health care system. Later, she joined quality and safety committees at both local and national levels.</w:t>
      </w:r>
      <w:r w:rsidRPr="00A73E96">
        <w:rPr>
          <w:rStyle w:val="EndnoteReference"/>
          <w:spacing w:val="-2"/>
        </w:rPr>
        <w:endnoteReference w:id="4"/>
      </w:r>
    </w:p>
    <w:p w14:paraId="335B20BF" w14:textId="77777777" w:rsidR="005E5EEC" w:rsidRPr="000545B6" w:rsidRDefault="005E5EEC" w:rsidP="00ED66BD">
      <w:pPr>
        <w:pStyle w:val="BodyTextMain"/>
      </w:pPr>
    </w:p>
    <w:p w14:paraId="0E76C58E" w14:textId="17F8BBAF" w:rsidR="005E5EEC" w:rsidRPr="000545B6" w:rsidRDefault="005E5EEC" w:rsidP="00ED66BD">
      <w:pPr>
        <w:pStyle w:val="BodyTextMain"/>
      </w:pPr>
      <w:r w:rsidRPr="000545B6">
        <w:t xml:space="preserve">While </w:t>
      </w:r>
      <w:r>
        <w:t>pursuing</w:t>
      </w:r>
      <w:r w:rsidRPr="000545B6">
        <w:t xml:space="preserve"> her</w:t>
      </w:r>
      <w:r>
        <w:t xml:space="preserve"> career as a</w:t>
      </w:r>
      <w:r w:rsidRPr="000545B6">
        <w:t xml:space="preserve"> financial </w:t>
      </w:r>
      <w:r>
        <w:t xml:space="preserve">industry </w:t>
      </w:r>
      <w:r w:rsidRPr="000545B6">
        <w:t xml:space="preserve">executive, Selanders </w:t>
      </w:r>
      <w:r>
        <w:t>took</w:t>
      </w:r>
      <w:r w:rsidRPr="000545B6">
        <w:t xml:space="preserve"> career development and training </w:t>
      </w:r>
      <w:r>
        <w:t>courses at</w:t>
      </w:r>
      <w:r w:rsidRPr="000545B6">
        <w:t xml:space="preserve"> Queen’s </w:t>
      </w:r>
      <w:r>
        <w:t>University in Kingston, Ontario. She</w:t>
      </w:r>
      <w:r w:rsidRPr="000545B6">
        <w:t xml:space="preserve"> later </w:t>
      </w:r>
      <w:r>
        <w:t xml:space="preserve">received </w:t>
      </w:r>
      <w:r w:rsidRPr="000545B6">
        <w:t>an MBA from the Edwards School of Business</w:t>
      </w:r>
      <w:r>
        <w:t xml:space="preserve"> in Saskatoon, Saskatchewan</w:t>
      </w:r>
      <w:r w:rsidRPr="000545B6">
        <w:t>. During her MBA</w:t>
      </w:r>
      <w:r>
        <w:t xml:space="preserve"> studies</w:t>
      </w:r>
      <w:r w:rsidRPr="000545B6">
        <w:t xml:space="preserve">, Selanders </w:t>
      </w:r>
      <w:r>
        <w:t>realized that she</w:t>
      </w:r>
      <w:r w:rsidRPr="000545B6">
        <w:t xml:space="preserve"> lack</w:t>
      </w:r>
      <w:r>
        <w:t>ed</w:t>
      </w:r>
      <w:r w:rsidRPr="000545B6">
        <w:t xml:space="preserve"> passion for financial services, despite her success</w:t>
      </w:r>
      <w:r>
        <w:t xml:space="preserve"> in that field</w:t>
      </w:r>
      <w:r w:rsidRPr="000545B6">
        <w:t xml:space="preserve">. </w:t>
      </w:r>
      <w:r>
        <w:t>What she was passionate about, she soon discovered, was creating a</w:t>
      </w:r>
      <w:r w:rsidRPr="000545B6">
        <w:t xml:space="preserve"> personal safety device that combined fashion and technology </w:t>
      </w:r>
      <w:r>
        <w:t>and could help</w:t>
      </w:r>
      <w:r w:rsidRPr="000545B6">
        <w:t xml:space="preserve"> </w:t>
      </w:r>
      <w:r>
        <w:t xml:space="preserve">older adults remain </w:t>
      </w:r>
      <w:r w:rsidRPr="000545B6">
        <w:t xml:space="preserve">active </w:t>
      </w:r>
      <w:r>
        <w:t>and independent</w:t>
      </w:r>
      <w:r w:rsidRPr="000545B6">
        <w:t>.</w:t>
      </w:r>
    </w:p>
    <w:p w14:paraId="7D858397" w14:textId="4A040A64" w:rsidR="005E5EEC" w:rsidRPr="000545B6" w:rsidRDefault="005E5EEC" w:rsidP="00ED66BD">
      <w:pPr>
        <w:pStyle w:val="BodyTextMain"/>
      </w:pPr>
    </w:p>
    <w:p w14:paraId="180F715A" w14:textId="77777777" w:rsidR="005E5EEC" w:rsidRPr="000545B6" w:rsidRDefault="005E5EEC" w:rsidP="00ED66BD">
      <w:pPr>
        <w:pStyle w:val="BodyTextMain"/>
      </w:pPr>
    </w:p>
    <w:p w14:paraId="0616421A" w14:textId="3C44DA8D" w:rsidR="005E5EEC" w:rsidRPr="000545B6" w:rsidRDefault="005E5EEC" w:rsidP="00CB6E6F">
      <w:pPr>
        <w:pStyle w:val="Casehead1"/>
      </w:pPr>
      <w:r w:rsidRPr="000545B6">
        <w:t>birth of a company</w:t>
      </w:r>
    </w:p>
    <w:p w14:paraId="71BF0195" w14:textId="77777777" w:rsidR="005E5EEC" w:rsidRPr="000545B6" w:rsidRDefault="005E5EEC" w:rsidP="00ED66BD">
      <w:pPr>
        <w:pStyle w:val="BodyTextMain"/>
      </w:pPr>
    </w:p>
    <w:p w14:paraId="1EF297DE" w14:textId="388132FB" w:rsidR="005E5EEC" w:rsidRPr="000545B6" w:rsidRDefault="005E5EEC" w:rsidP="00ED66BD">
      <w:pPr>
        <w:pStyle w:val="BodyTextMain"/>
      </w:pPr>
      <w:r w:rsidRPr="000545B6">
        <w:t xml:space="preserve">In 2013, </w:t>
      </w:r>
      <w:r>
        <w:t xml:space="preserve">while </w:t>
      </w:r>
      <w:r w:rsidRPr="000545B6">
        <w:t xml:space="preserve">Selanders </w:t>
      </w:r>
      <w:r>
        <w:t xml:space="preserve">was pursuing her career goals in the financial industry, </w:t>
      </w:r>
      <w:r w:rsidRPr="000545B6">
        <w:t xml:space="preserve">her </w:t>
      </w:r>
      <w:r>
        <w:t xml:space="preserve">family tragedy shifted her priorities. Soon after her </w:t>
      </w:r>
      <w:r w:rsidRPr="000545B6">
        <w:t xml:space="preserve">mother </w:t>
      </w:r>
      <w:r>
        <w:t>died</w:t>
      </w:r>
      <w:r w:rsidRPr="000545B6">
        <w:t xml:space="preserve">, her father fell ill and </w:t>
      </w:r>
      <w:r>
        <w:t>underwent surgery to regain his health and</w:t>
      </w:r>
      <w:r w:rsidRPr="000545B6">
        <w:t xml:space="preserve"> independence</w:t>
      </w:r>
      <w:r>
        <w:t>. However, the outcome was not as was hoped</w:t>
      </w:r>
      <w:r w:rsidRPr="000545B6">
        <w:t>. “Things changed for me, and I went from being the daughter to the caregiver,” said Selanders, who</w:t>
      </w:r>
      <w:r>
        <w:t xml:space="preserve">se work kept her </w:t>
      </w:r>
      <w:r w:rsidRPr="000545B6">
        <w:t>busy most of each day.</w:t>
      </w:r>
    </w:p>
    <w:p w14:paraId="4602284D" w14:textId="77777777" w:rsidR="005E5EEC" w:rsidRPr="000545B6" w:rsidRDefault="005E5EEC" w:rsidP="00ED66BD">
      <w:pPr>
        <w:pStyle w:val="BodyTextMain"/>
      </w:pPr>
    </w:p>
    <w:p w14:paraId="5BB8F0DF" w14:textId="49C4BB16" w:rsidR="005E5EEC" w:rsidRPr="000545B6" w:rsidRDefault="005E5EEC" w:rsidP="00ED66BD">
      <w:pPr>
        <w:pStyle w:val="BodyTextMain"/>
        <w:rPr>
          <w:vertAlign w:val="superscript"/>
        </w:rPr>
      </w:pPr>
      <w:r w:rsidRPr="000545B6">
        <w:t xml:space="preserve">To </w:t>
      </w:r>
      <w:r>
        <w:t>offer the safest care to</w:t>
      </w:r>
      <w:r w:rsidRPr="000545B6">
        <w:t xml:space="preserve"> her ailing father, Selanders explor</w:t>
      </w:r>
      <w:r>
        <w:t>ed all available</w:t>
      </w:r>
      <w:r w:rsidRPr="000545B6">
        <w:t xml:space="preserve"> lifestyle technology and PERS</w:t>
      </w:r>
      <w:r>
        <w:t xml:space="preserve"> products</w:t>
      </w:r>
      <w:r w:rsidRPr="000545B6">
        <w:t xml:space="preserve"> </w:t>
      </w:r>
      <w:r>
        <w:t>but was shocked to find a</w:t>
      </w:r>
      <w:r w:rsidRPr="000545B6">
        <w:t xml:space="preserve"> stagnatin</w:t>
      </w:r>
      <w:r>
        <w:t>g</w:t>
      </w:r>
      <w:r w:rsidRPr="000545B6">
        <w:t xml:space="preserve"> industry and </w:t>
      </w:r>
      <w:r>
        <w:t>meagre</w:t>
      </w:r>
      <w:r w:rsidRPr="000545B6">
        <w:t xml:space="preserve"> options. The medical alert industry had</w:t>
      </w:r>
      <w:r>
        <w:t xml:space="preserve"> fallen far behind</w:t>
      </w:r>
      <w:r w:rsidRPr="000545B6">
        <w:t xml:space="preserve"> </w:t>
      </w:r>
      <w:r>
        <w:t>that of most</w:t>
      </w:r>
      <w:r w:rsidRPr="000545B6">
        <w:t xml:space="preserve"> consumer electronic technologies</w:t>
      </w:r>
      <w:r>
        <w:t xml:space="preserve"> in the market</w:t>
      </w:r>
      <w:r w:rsidRPr="000545B6">
        <w:t xml:space="preserve">. Compared to the convenience </w:t>
      </w:r>
      <w:r>
        <w:t>that the ubiquitous</w:t>
      </w:r>
      <w:r w:rsidRPr="000545B6">
        <w:t xml:space="preserve"> smart</w:t>
      </w:r>
      <w:r>
        <w:t xml:space="preserve"> </w:t>
      </w:r>
      <w:r w:rsidRPr="000545B6">
        <w:t>phone</w:t>
      </w:r>
      <w:r>
        <w:t xml:space="preserve"> offered</w:t>
      </w:r>
      <w:r w:rsidRPr="000545B6">
        <w:t xml:space="preserve">, medical alert devices </w:t>
      </w:r>
      <w:r>
        <w:t>came in mostly</w:t>
      </w:r>
      <w:r w:rsidRPr="000545B6">
        <w:t xml:space="preserve"> </w:t>
      </w:r>
      <w:r>
        <w:t xml:space="preserve">outdated unattractive designs and provided </w:t>
      </w:r>
      <w:r w:rsidRPr="000545B6">
        <w:t xml:space="preserve">limited </w:t>
      </w:r>
      <w:r>
        <w:t xml:space="preserve">communication </w:t>
      </w:r>
      <w:r w:rsidRPr="000545B6">
        <w:t>range</w:t>
      </w:r>
      <w:r>
        <w:t>, which was</w:t>
      </w:r>
      <w:r w:rsidRPr="000545B6">
        <w:t xml:space="preserve"> a </w:t>
      </w:r>
      <w:r>
        <w:t xml:space="preserve">major </w:t>
      </w:r>
      <w:r w:rsidRPr="000545B6">
        <w:t xml:space="preserve">concern </w:t>
      </w:r>
      <w:r>
        <w:t>for an emergency</w:t>
      </w:r>
      <w:r w:rsidRPr="000545B6">
        <w:t xml:space="preserve"> device. The </w:t>
      </w:r>
      <w:r>
        <w:t>central</w:t>
      </w:r>
      <w:r w:rsidRPr="000545B6">
        <w:t xml:space="preserve"> contact centre</w:t>
      </w:r>
      <w:r>
        <w:t xml:space="preserve"> that monitored most devices also charged</w:t>
      </w:r>
      <w:r w:rsidRPr="000545B6">
        <w:t xml:space="preserve"> high monthly fees</w:t>
      </w:r>
      <w:r>
        <w:t xml:space="preserve"> in addition to</w:t>
      </w:r>
      <w:r w:rsidRPr="000545B6">
        <w:t xml:space="preserve"> the initial hardware cost</w:t>
      </w:r>
      <w:r>
        <w:t xml:space="preserve"> </w:t>
      </w:r>
      <w:r w:rsidRPr="000545B6">
        <w:t>(see Exhibit 1).</w:t>
      </w:r>
      <w:r w:rsidRPr="006F2094">
        <w:rPr>
          <w:rStyle w:val="EndnoteReference"/>
        </w:rPr>
        <w:endnoteReference w:id="5"/>
      </w:r>
    </w:p>
    <w:p w14:paraId="7735D047" w14:textId="77777777" w:rsidR="005E5EEC" w:rsidRPr="000545B6" w:rsidRDefault="005E5EEC" w:rsidP="00ED66BD">
      <w:pPr>
        <w:pStyle w:val="BodyTextMain"/>
      </w:pPr>
    </w:p>
    <w:p w14:paraId="44E741E1" w14:textId="02CEEF69" w:rsidR="005E5EEC" w:rsidRDefault="005E5EEC" w:rsidP="00ED66BD">
      <w:pPr>
        <w:pStyle w:val="BodyTextMain"/>
      </w:pPr>
      <w:r>
        <w:t>Selanders was determined</w:t>
      </w:r>
      <w:r w:rsidRPr="000545B6">
        <w:t xml:space="preserve"> to </w:t>
      </w:r>
      <w:r>
        <w:t>re</w:t>
      </w:r>
      <w:r w:rsidRPr="000545B6">
        <w:t xml:space="preserve">solve these shortcomings and </w:t>
      </w:r>
      <w:r>
        <w:t>help</w:t>
      </w:r>
      <w:r w:rsidRPr="000545B6">
        <w:t xml:space="preserve"> keep her father safe</w:t>
      </w:r>
      <w:r>
        <w:t>. She also saw</w:t>
      </w:r>
      <w:r w:rsidRPr="000545B6">
        <w:t xml:space="preserve"> the potential gap in the market as an opportunity to leverage existing technologies </w:t>
      </w:r>
      <w:r>
        <w:t>and</w:t>
      </w:r>
      <w:r w:rsidRPr="000545B6">
        <w:t xml:space="preserve"> improve the lives of</w:t>
      </w:r>
      <w:r>
        <w:t xml:space="preserve"> older adults while offering</w:t>
      </w:r>
      <w:r w:rsidRPr="000545B6">
        <w:t xml:space="preserve"> their caregivers peace of mind. Selanders</w:t>
      </w:r>
      <w:r>
        <w:t xml:space="preserve"> had</w:t>
      </w:r>
      <w:r w:rsidRPr="000545B6">
        <w:t xml:space="preserve"> gain</w:t>
      </w:r>
      <w:r>
        <w:t>ed</w:t>
      </w:r>
      <w:r w:rsidRPr="000545B6">
        <w:t xml:space="preserve"> new skills and foster</w:t>
      </w:r>
      <w:r>
        <w:t>ed</w:t>
      </w:r>
      <w:r w:rsidRPr="000545B6">
        <w:t xml:space="preserve"> an interest in entrepreneurship through her MBA studies</w:t>
      </w:r>
      <w:r>
        <w:t>. Therefore</w:t>
      </w:r>
      <w:r w:rsidRPr="000545B6">
        <w:t xml:space="preserve">, </w:t>
      </w:r>
      <w:r>
        <w:t>she</w:t>
      </w:r>
      <w:r w:rsidRPr="000545B6">
        <w:t xml:space="preserve"> assemble</w:t>
      </w:r>
      <w:r>
        <w:t>d</w:t>
      </w:r>
      <w:r w:rsidRPr="000545B6">
        <w:t xml:space="preserve"> a team of experts to support her development of a</w:t>
      </w:r>
      <w:r>
        <w:t xml:space="preserve"> new alert device</w:t>
      </w:r>
      <w:r w:rsidRPr="000545B6">
        <w:t xml:space="preserve"> </w:t>
      </w:r>
      <w:r>
        <w:t>to fill the market gap</w:t>
      </w:r>
      <w:r w:rsidRPr="000545B6">
        <w:t xml:space="preserve">. Selanders </w:t>
      </w:r>
      <w:r>
        <w:t>admitted to being</w:t>
      </w:r>
      <w:r w:rsidRPr="000545B6">
        <w:t xml:space="preserve"> “not necessarily a technical person”</w:t>
      </w:r>
      <w:r>
        <w:t xml:space="preserve"> and was aware of the high level</w:t>
      </w:r>
      <w:r w:rsidRPr="000545B6">
        <w:t xml:space="preserve"> of responsibility</w:t>
      </w:r>
      <w:r>
        <w:t xml:space="preserve"> that would fall on</w:t>
      </w:r>
      <w:r w:rsidRPr="000545B6">
        <w:t xml:space="preserve"> he</w:t>
      </w:r>
      <w:r>
        <w:t>r</w:t>
      </w:r>
      <w:r w:rsidRPr="000545B6">
        <w:t xml:space="preserve"> venture.</w:t>
      </w:r>
    </w:p>
    <w:p w14:paraId="37200114" w14:textId="77777777" w:rsidR="005E5EEC" w:rsidRDefault="005E5EEC" w:rsidP="00ED66BD">
      <w:pPr>
        <w:pStyle w:val="BodyTextMain"/>
      </w:pPr>
    </w:p>
    <w:p w14:paraId="5BEF57B0" w14:textId="5393B8A3" w:rsidR="005E5EEC" w:rsidRDefault="005E5EEC" w:rsidP="00ED66BD">
      <w:pPr>
        <w:pStyle w:val="BodyTextMain"/>
        <w:rPr>
          <w:bCs/>
        </w:rPr>
      </w:pPr>
      <w:r w:rsidRPr="000545B6">
        <w:lastRenderedPageBreak/>
        <w:t xml:space="preserve">Selanders </w:t>
      </w:r>
      <w:r>
        <w:t>soon launched her new</w:t>
      </w:r>
      <w:r w:rsidRPr="000545B6">
        <w:t xml:space="preserve"> company</w:t>
      </w:r>
      <w:r>
        <w:t>,</w:t>
      </w:r>
      <w:r w:rsidRPr="000545B6">
        <w:t xml:space="preserve"> Kasiel Solutions Inc.</w:t>
      </w:r>
      <w:r>
        <w:t>,</w:t>
      </w:r>
      <w:r w:rsidRPr="000545B6">
        <w:t xml:space="preserve"> and began to create </w:t>
      </w:r>
      <w:r>
        <w:t>her signature product—the</w:t>
      </w:r>
      <w:r w:rsidRPr="000545B6">
        <w:t xml:space="preserve"> ORA (a </w:t>
      </w:r>
      <w:r>
        <w:t>homophone of the word</w:t>
      </w:r>
      <w:r w:rsidRPr="000545B6">
        <w:t xml:space="preserve"> aura).</w:t>
      </w:r>
      <w:r w:rsidRPr="006F2094">
        <w:rPr>
          <w:rStyle w:val="EndnoteReference"/>
        </w:rPr>
        <w:endnoteReference w:id="6"/>
      </w:r>
      <w:r w:rsidRPr="000545B6">
        <w:t xml:space="preserve"> </w:t>
      </w:r>
      <w:r>
        <w:t>S</w:t>
      </w:r>
      <w:r w:rsidRPr="000545B6">
        <w:t xml:space="preserve">he </w:t>
      </w:r>
      <w:r>
        <w:t xml:space="preserve">started the </w:t>
      </w:r>
      <w:r w:rsidRPr="000545B6">
        <w:t xml:space="preserve">company with three full-time employees, </w:t>
      </w:r>
      <w:r>
        <w:t xml:space="preserve">various </w:t>
      </w:r>
      <w:r w:rsidRPr="000545B6">
        <w:t>technical consultants</w:t>
      </w:r>
      <w:r>
        <w:t>,</w:t>
      </w:r>
      <w:r w:rsidRPr="000545B6">
        <w:t xml:space="preserve"> and </w:t>
      </w:r>
      <w:r>
        <w:t xml:space="preserve">several </w:t>
      </w:r>
      <w:r w:rsidRPr="000545B6">
        <w:t xml:space="preserve">mentors to bridge </w:t>
      </w:r>
      <w:r>
        <w:t>a</w:t>
      </w:r>
      <w:r w:rsidRPr="000545B6">
        <w:t xml:space="preserve"> gap in the company’s competency.</w:t>
      </w:r>
      <w:r>
        <w:t xml:space="preserve"> </w:t>
      </w:r>
      <w:r>
        <w:rPr>
          <w:bCs/>
        </w:rPr>
        <w:t>Using</w:t>
      </w:r>
      <w:r w:rsidRPr="000545B6">
        <w:rPr>
          <w:bCs/>
        </w:rPr>
        <w:t xml:space="preserve"> her training and </w:t>
      </w:r>
      <w:r>
        <w:rPr>
          <w:bCs/>
        </w:rPr>
        <w:t xml:space="preserve">business </w:t>
      </w:r>
      <w:r w:rsidRPr="000545B6">
        <w:rPr>
          <w:bCs/>
        </w:rPr>
        <w:t>experience, Selanders leverage</w:t>
      </w:r>
      <w:r>
        <w:rPr>
          <w:bCs/>
        </w:rPr>
        <w:t>d a</w:t>
      </w:r>
      <w:r w:rsidRPr="000545B6">
        <w:rPr>
          <w:bCs/>
        </w:rPr>
        <w:t xml:space="preserve"> network</w:t>
      </w:r>
      <w:r>
        <w:rPr>
          <w:bCs/>
        </w:rPr>
        <w:t xml:space="preserve"> of</w:t>
      </w:r>
      <w:r w:rsidRPr="000545B6">
        <w:rPr>
          <w:bCs/>
        </w:rPr>
        <w:t xml:space="preserve"> potential customers and conducted targeted focus groups with </w:t>
      </w:r>
      <w:r>
        <w:rPr>
          <w:bCs/>
        </w:rPr>
        <w:t>over</w:t>
      </w:r>
      <w:r w:rsidRPr="000545B6">
        <w:rPr>
          <w:bCs/>
        </w:rPr>
        <w:t xml:space="preserve"> 100 p</w:t>
      </w:r>
      <w:r>
        <w:rPr>
          <w:bCs/>
        </w:rPr>
        <w:t>articipants and conducted numerous individual</w:t>
      </w:r>
      <w:r w:rsidRPr="000545B6">
        <w:rPr>
          <w:bCs/>
        </w:rPr>
        <w:t xml:space="preserve"> interviews to gather feedback and validate her </w:t>
      </w:r>
      <w:r>
        <w:rPr>
          <w:bCs/>
        </w:rPr>
        <w:t>assumptions</w:t>
      </w:r>
      <w:r w:rsidRPr="000545B6">
        <w:rPr>
          <w:bCs/>
        </w:rPr>
        <w:t>.</w:t>
      </w:r>
    </w:p>
    <w:p w14:paraId="1AE90FB6" w14:textId="77777777" w:rsidR="005E5EEC" w:rsidRDefault="005E5EEC" w:rsidP="00ED66BD">
      <w:pPr>
        <w:pStyle w:val="BodyTextMain"/>
        <w:rPr>
          <w:bCs/>
        </w:rPr>
      </w:pPr>
    </w:p>
    <w:p w14:paraId="2672BBBA" w14:textId="67A3C2AB" w:rsidR="005E5EEC" w:rsidRPr="000545B6" w:rsidRDefault="005E5EEC" w:rsidP="00ED66BD">
      <w:pPr>
        <w:pStyle w:val="BodyTextMain"/>
        <w:rPr>
          <w:bCs/>
        </w:rPr>
      </w:pPr>
      <w:r>
        <w:rPr>
          <w:bCs/>
        </w:rPr>
        <w:t>P</w:t>
      </w:r>
      <w:r w:rsidRPr="000545B6">
        <w:rPr>
          <w:bCs/>
        </w:rPr>
        <w:t>r</w:t>
      </w:r>
      <w:r>
        <w:rPr>
          <w:bCs/>
        </w:rPr>
        <w:t>el</w:t>
      </w:r>
      <w:r w:rsidRPr="000545B6">
        <w:rPr>
          <w:bCs/>
        </w:rPr>
        <w:t>im</w:t>
      </w:r>
      <w:r>
        <w:rPr>
          <w:bCs/>
        </w:rPr>
        <w:t>in</w:t>
      </w:r>
      <w:r w:rsidRPr="000545B6">
        <w:rPr>
          <w:bCs/>
        </w:rPr>
        <w:t>ary research</w:t>
      </w:r>
      <w:r>
        <w:rPr>
          <w:bCs/>
        </w:rPr>
        <w:t xml:space="preserve"> confirmed</w:t>
      </w:r>
      <w:r w:rsidRPr="000545B6">
        <w:rPr>
          <w:bCs/>
        </w:rPr>
        <w:t xml:space="preserve"> that the current PERS </w:t>
      </w:r>
      <w:r>
        <w:rPr>
          <w:bCs/>
        </w:rPr>
        <w:t>products did not</w:t>
      </w:r>
      <w:r w:rsidRPr="000545B6">
        <w:rPr>
          <w:bCs/>
        </w:rPr>
        <w:t xml:space="preserve"> </w:t>
      </w:r>
      <w:r>
        <w:rPr>
          <w:bCs/>
        </w:rPr>
        <w:t>fulfill</w:t>
      </w:r>
      <w:r w:rsidRPr="000545B6">
        <w:rPr>
          <w:bCs/>
        </w:rPr>
        <w:t xml:space="preserve"> </w:t>
      </w:r>
      <w:r>
        <w:rPr>
          <w:bCs/>
        </w:rPr>
        <w:t>most consumer needs, so Selanders</w:t>
      </w:r>
      <w:r w:rsidRPr="000545B6">
        <w:rPr>
          <w:bCs/>
        </w:rPr>
        <w:t xml:space="preserve"> began to design her </w:t>
      </w:r>
      <w:r>
        <w:rPr>
          <w:bCs/>
        </w:rPr>
        <w:t xml:space="preserve">own </w:t>
      </w:r>
      <w:r w:rsidRPr="000545B6">
        <w:rPr>
          <w:bCs/>
        </w:rPr>
        <w:t>solution</w:t>
      </w:r>
      <w:r>
        <w:rPr>
          <w:bCs/>
        </w:rPr>
        <w:t xml:space="preserve"> to meet those needs and address four key issues</w:t>
      </w:r>
      <w:r w:rsidRPr="000545B6">
        <w:rPr>
          <w:bCs/>
        </w:rPr>
        <w:t xml:space="preserve">. First, most PERS </w:t>
      </w:r>
      <w:r>
        <w:rPr>
          <w:bCs/>
        </w:rPr>
        <w:t>products had</w:t>
      </w:r>
      <w:r w:rsidRPr="000545B6">
        <w:rPr>
          <w:bCs/>
        </w:rPr>
        <w:t xml:space="preserve"> limited range</w:t>
      </w:r>
      <w:r>
        <w:rPr>
          <w:bCs/>
        </w:rPr>
        <w:t>—usually within the user’s home—which greatly reduced the customer’s mobility</w:t>
      </w:r>
      <w:r w:rsidRPr="000545B6">
        <w:rPr>
          <w:bCs/>
        </w:rPr>
        <w:t xml:space="preserve">. Second, many </w:t>
      </w:r>
      <w:r>
        <w:rPr>
          <w:bCs/>
        </w:rPr>
        <w:t>people (such as</w:t>
      </w:r>
      <w:r w:rsidRPr="000545B6">
        <w:rPr>
          <w:bCs/>
        </w:rPr>
        <w:t xml:space="preserve"> Selanders’</w:t>
      </w:r>
      <w:r>
        <w:rPr>
          <w:bCs/>
        </w:rPr>
        <w:t>s</w:t>
      </w:r>
      <w:r w:rsidRPr="000545B6">
        <w:rPr>
          <w:bCs/>
        </w:rPr>
        <w:t xml:space="preserve"> father</w:t>
      </w:r>
      <w:r>
        <w:rPr>
          <w:bCs/>
        </w:rPr>
        <w:t>)</w:t>
      </w:r>
      <w:r w:rsidRPr="000545B6">
        <w:rPr>
          <w:bCs/>
        </w:rPr>
        <w:t xml:space="preserve"> did not regularly </w:t>
      </w:r>
      <w:r>
        <w:rPr>
          <w:bCs/>
        </w:rPr>
        <w:t xml:space="preserve">carry or </w:t>
      </w:r>
      <w:r w:rsidRPr="000545B6">
        <w:rPr>
          <w:bCs/>
        </w:rPr>
        <w:t xml:space="preserve">wear technology. </w:t>
      </w:r>
      <w:r>
        <w:rPr>
          <w:bCs/>
        </w:rPr>
        <w:t>Third</w:t>
      </w:r>
      <w:r w:rsidRPr="000545B6">
        <w:rPr>
          <w:bCs/>
        </w:rPr>
        <w:t xml:space="preserve">, </w:t>
      </w:r>
      <w:r>
        <w:rPr>
          <w:bCs/>
        </w:rPr>
        <w:t>users were reluctant to keep devices fully charged for proper use. Fourth, older adults could</w:t>
      </w:r>
      <w:r w:rsidRPr="000545B6">
        <w:rPr>
          <w:bCs/>
        </w:rPr>
        <w:t xml:space="preserve"> forget to </w:t>
      </w:r>
      <w:r>
        <w:rPr>
          <w:bCs/>
        </w:rPr>
        <w:t>locate the device during</w:t>
      </w:r>
      <w:r w:rsidRPr="000545B6">
        <w:rPr>
          <w:bCs/>
        </w:rPr>
        <w:t xml:space="preserve"> an emergency. Therefore, a better </w:t>
      </w:r>
      <w:r>
        <w:rPr>
          <w:bCs/>
        </w:rPr>
        <w:t xml:space="preserve">PERS </w:t>
      </w:r>
      <w:r w:rsidRPr="000545B6">
        <w:rPr>
          <w:bCs/>
        </w:rPr>
        <w:t>device should be</w:t>
      </w:r>
      <w:r>
        <w:rPr>
          <w:bCs/>
        </w:rPr>
        <w:t xml:space="preserve"> widely</w:t>
      </w:r>
      <w:r w:rsidRPr="000545B6">
        <w:rPr>
          <w:bCs/>
        </w:rPr>
        <w:t xml:space="preserve"> operational, </w:t>
      </w:r>
      <w:r>
        <w:rPr>
          <w:bCs/>
        </w:rPr>
        <w:t xml:space="preserve">be attractive and easy to carry, </w:t>
      </w:r>
      <w:r w:rsidRPr="000545B6">
        <w:rPr>
          <w:bCs/>
        </w:rPr>
        <w:t>require infrequent charging</w:t>
      </w:r>
      <w:r>
        <w:rPr>
          <w:bCs/>
        </w:rPr>
        <w:t>,</w:t>
      </w:r>
      <w:r w:rsidRPr="000545B6">
        <w:rPr>
          <w:bCs/>
        </w:rPr>
        <w:t xml:space="preserve"> and always </w:t>
      </w:r>
      <w:r>
        <w:rPr>
          <w:bCs/>
        </w:rPr>
        <w:t xml:space="preserve">be </w:t>
      </w:r>
      <w:r w:rsidRPr="000545B6">
        <w:rPr>
          <w:bCs/>
        </w:rPr>
        <w:t>within reach.</w:t>
      </w:r>
      <w:r w:rsidRPr="006F2094">
        <w:rPr>
          <w:rStyle w:val="EndnoteReference"/>
        </w:rPr>
        <w:endnoteReference w:id="7"/>
      </w:r>
    </w:p>
    <w:p w14:paraId="12406506" w14:textId="77777777" w:rsidR="005E5EEC" w:rsidRPr="000545B6" w:rsidRDefault="005E5EEC" w:rsidP="00ED66BD">
      <w:pPr>
        <w:pStyle w:val="BodyTextMain"/>
        <w:rPr>
          <w:bCs/>
        </w:rPr>
      </w:pPr>
    </w:p>
    <w:p w14:paraId="1A988964" w14:textId="106FFE01" w:rsidR="005E5EEC" w:rsidRPr="00A73E96" w:rsidRDefault="005E5EEC" w:rsidP="00ED66BD">
      <w:pPr>
        <w:pStyle w:val="BodyTextMain"/>
        <w:rPr>
          <w:bCs/>
          <w:spacing w:val="-4"/>
        </w:rPr>
      </w:pPr>
      <w:r w:rsidRPr="00A73E96">
        <w:rPr>
          <w:bCs/>
          <w:spacing w:val="-4"/>
        </w:rPr>
        <w:t>Based on these design requirements, Selanders launched a stand-alone mobile application of the ORA device and verified the needs and preferences of users in a product beta test. It became obvious to Selanders that providing only a smart phone mobile application (app) would not meet the needs of older adults who might be in distress or injured during a medical emergency. Therefore, a hardware device was also needed for easy access.</w:t>
      </w:r>
    </w:p>
    <w:p w14:paraId="0A2984E9" w14:textId="77777777" w:rsidR="005E5EEC" w:rsidRPr="000545B6" w:rsidRDefault="005E5EEC" w:rsidP="00ED66BD">
      <w:pPr>
        <w:pStyle w:val="BodyTextMain"/>
        <w:rPr>
          <w:bCs/>
        </w:rPr>
      </w:pPr>
    </w:p>
    <w:p w14:paraId="322249EF" w14:textId="4D34039E" w:rsidR="005E5EEC" w:rsidRDefault="005E5EEC" w:rsidP="00ED66BD">
      <w:pPr>
        <w:pStyle w:val="BodyTextMain"/>
        <w:rPr>
          <w:bCs/>
        </w:rPr>
      </w:pPr>
      <w:r w:rsidRPr="000545B6">
        <w:rPr>
          <w:bCs/>
        </w:rPr>
        <w:t xml:space="preserve">Selanders and her team </w:t>
      </w:r>
      <w:r>
        <w:rPr>
          <w:bCs/>
        </w:rPr>
        <w:t>worked on the</w:t>
      </w:r>
      <w:r w:rsidRPr="000545B6">
        <w:rPr>
          <w:bCs/>
        </w:rPr>
        <w:t xml:space="preserve"> development of </w:t>
      </w:r>
      <w:r>
        <w:rPr>
          <w:bCs/>
        </w:rPr>
        <w:t>the ORA</w:t>
      </w:r>
      <w:r w:rsidRPr="000545B6">
        <w:rPr>
          <w:bCs/>
        </w:rPr>
        <w:t xml:space="preserve"> hardware. </w:t>
      </w:r>
      <w:r>
        <w:rPr>
          <w:bCs/>
        </w:rPr>
        <w:t>As</w:t>
      </w:r>
      <w:r w:rsidRPr="000545B6">
        <w:rPr>
          <w:bCs/>
        </w:rPr>
        <w:t xml:space="preserve"> </w:t>
      </w:r>
      <w:r>
        <w:rPr>
          <w:bCs/>
        </w:rPr>
        <w:t xml:space="preserve">with </w:t>
      </w:r>
      <w:r w:rsidRPr="000545B6">
        <w:rPr>
          <w:bCs/>
        </w:rPr>
        <w:t>many tech</w:t>
      </w:r>
      <w:r>
        <w:rPr>
          <w:bCs/>
        </w:rPr>
        <w:t>nology start-ups</w:t>
      </w:r>
      <w:r w:rsidRPr="000545B6">
        <w:rPr>
          <w:bCs/>
        </w:rPr>
        <w:t>, he</w:t>
      </w:r>
      <w:r>
        <w:rPr>
          <w:bCs/>
        </w:rPr>
        <w:t>r</w:t>
      </w:r>
      <w:r w:rsidRPr="000545B6">
        <w:rPr>
          <w:bCs/>
        </w:rPr>
        <w:t xml:space="preserve"> team </w:t>
      </w:r>
      <w:r>
        <w:rPr>
          <w:bCs/>
        </w:rPr>
        <w:t>members were</w:t>
      </w:r>
      <w:r w:rsidRPr="000545B6">
        <w:rPr>
          <w:bCs/>
        </w:rPr>
        <w:t xml:space="preserve"> spread across </w:t>
      </w:r>
      <w:r>
        <w:rPr>
          <w:bCs/>
        </w:rPr>
        <w:t>the country,</w:t>
      </w:r>
      <w:r w:rsidRPr="000545B6">
        <w:rPr>
          <w:bCs/>
        </w:rPr>
        <w:t xml:space="preserve"> but Selanders </w:t>
      </w:r>
      <w:r>
        <w:rPr>
          <w:bCs/>
        </w:rPr>
        <w:t>was determined</w:t>
      </w:r>
      <w:r w:rsidRPr="000545B6">
        <w:rPr>
          <w:bCs/>
        </w:rPr>
        <w:t xml:space="preserve"> to develop and manufacture </w:t>
      </w:r>
      <w:r>
        <w:rPr>
          <w:bCs/>
        </w:rPr>
        <w:t xml:space="preserve">the product </w:t>
      </w:r>
      <w:r w:rsidRPr="000545B6">
        <w:rPr>
          <w:bCs/>
        </w:rPr>
        <w:t xml:space="preserve">as locally as possible to manage </w:t>
      </w:r>
      <w:r>
        <w:rPr>
          <w:bCs/>
        </w:rPr>
        <w:t xml:space="preserve">its </w:t>
      </w:r>
      <w:r w:rsidRPr="000545B6">
        <w:rPr>
          <w:bCs/>
        </w:rPr>
        <w:t xml:space="preserve">quality and facilitate sales to the </w:t>
      </w:r>
      <w:r>
        <w:rPr>
          <w:bCs/>
        </w:rPr>
        <w:t xml:space="preserve">large </w:t>
      </w:r>
      <w:r w:rsidRPr="000545B6">
        <w:rPr>
          <w:bCs/>
        </w:rPr>
        <w:t>US</w:t>
      </w:r>
      <w:r>
        <w:rPr>
          <w:bCs/>
        </w:rPr>
        <w:t xml:space="preserve"> market</w:t>
      </w:r>
      <w:r w:rsidRPr="000545B6">
        <w:rPr>
          <w:bCs/>
        </w:rPr>
        <w:t>. The</w:t>
      </w:r>
      <w:r>
        <w:rPr>
          <w:bCs/>
        </w:rPr>
        <w:t xml:space="preserve"> team considered using</w:t>
      </w:r>
      <w:r w:rsidRPr="000545B6">
        <w:rPr>
          <w:bCs/>
        </w:rPr>
        <w:t xml:space="preserve"> off</w:t>
      </w:r>
      <w:r>
        <w:rPr>
          <w:bCs/>
        </w:rPr>
        <w:t>-</w:t>
      </w:r>
      <w:r w:rsidRPr="000545B6">
        <w:rPr>
          <w:bCs/>
        </w:rPr>
        <w:t>the</w:t>
      </w:r>
      <w:r>
        <w:rPr>
          <w:bCs/>
        </w:rPr>
        <w:t>-</w:t>
      </w:r>
      <w:r w:rsidRPr="000545B6">
        <w:rPr>
          <w:bCs/>
        </w:rPr>
        <w:t xml:space="preserve">shelf options, </w:t>
      </w:r>
      <w:r>
        <w:rPr>
          <w:bCs/>
        </w:rPr>
        <w:t>but they proved</w:t>
      </w:r>
      <w:r w:rsidRPr="000545B6">
        <w:rPr>
          <w:bCs/>
        </w:rPr>
        <w:t xml:space="preserve"> unable to </w:t>
      </w:r>
      <w:r>
        <w:rPr>
          <w:bCs/>
        </w:rPr>
        <w:t>wake</w:t>
      </w:r>
      <w:r w:rsidRPr="000545B6">
        <w:rPr>
          <w:bCs/>
        </w:rPr>
        <w:t xml:space="preserve"> a smart</w:t>
      </w:r>
      <w:r>
        <w:rPr>
          <w:bCs/>
        </w:rPr>
        <w:t xml:space="preserve"> </w:t>
      </w:r>
      <w:r w:rsidRPr="000545B6">
        <w:rPr>
          <w:bCs/>
        </w:rPr>
        <w:t>phone from its sleep state</w:t>
      </w:r>
      <w:r>
        <w:rPr>
          <w:bCs/>
        </w:rPr>
        <w:t>, which was an essential function, or connect with</w:t>
      </w:r>
      <w:r w:rsidRPr="000545B6">
        <w:rPr>
          <w:bCs/>
        </w:rPr>
        <w:t xml:space="preserve"> some operating systems if the associated ORA app was </w:t>
      </w:r>
      <w:r>
        <w:rPr>
          <w:bCs/>
        </w:rPr>
        <w:t>not active</w:t>
      </w:r>
      <w:r w:rsidRPr="000545B6">
        <w:rPr>
          <w:bCs/>
        </w:rPr>
        <w:t>.</w:t>
      </w:r>
    </w:p>
    <w:p w14:paraId="55B8A2C5" w14:textId="77777777" w:rsidR="005E5EEC" w:rsidRDefault="005E5EEC" w:rsidP="00ED66BD">
      <w:pPr>
        <w:pStyle w:val="BodyTextMain"/>
        <w:rPr>
          <w:bCs/>
        </w:rPr>
      </w:pPr>
    </w:p>
    <w:p w14:paraId="00B4D54D" w14:textId="2604C9BA" w:rsidR="005E5EEC" w:rsidRDefault="005E5EEC" w:rsidP="00ED66BD">
      <w:pPr>
        <w:pStyle w:val="BodyTextMain"/>
        <w:rPr>
          <w:bCs/>
        </w:rPr>
      </w:pPr>
      <w:r>
        <w:rPr>
          <w:bCs/>
        </w:rPr>
        <w:t>In June 2016, after</w:t>
      </w:r>
      <w:r w:rsidRPr="000545B6">
        <w:rPr>
          <w:bCs/>
        </w:rPr>
        <w:t xml:space="preserve"> many iterations, the team finally designed and </w:t>
      </w:r>
      <w:r>
        <w:rPr>
          <w:bCs/>
        </w:rPr>
        <w:t>built a new device that used the company’s</w:t>
      </w:r>
      <w:r w:rsidRPr="000545B6">
        <w:rPr>
          <w:bCs/>
        </w:rPr>
        <w:t xml:space="preserve"> own custom circuit boards</w:t>
      </w:r>
      <w:r>
        <w:rPr>
          <w:bCs/>
        </w:rPr>
        <w:t xml:space="preserve"> and</w:t>
      </w:r>
      <w:r w:rsidRPr="000545B6">
        <w:rPr>
          <w:bCs/>
        </w:rPr>
        <w:t xml:space="preserve"> custom ORA hardware (see Exhibit 2). The device </w:t>
      </w:r>
      <w:r>
        <w:rPr>
          <w:bCs/>
        </w:rPr>
        <w:t>featured</w:t>
      </w:r>
      <w:r w:rsidRPr="000545B6">
        <w:rPr>
          <w:bCs/>
        </w:rPr>
        <w:t xml:space="preserve"> a more discreet and fashionable appearance</w:t>
      </w:r>
      <w:r>
        <w:rPr>
          <w:bCs/>
        </w:rPr>
        <w:t>, much like</w:t>
      </w:r>
      <w:r w:rsidRPr="000545B6">
        <w:rPr>
          <w:bCs/>
        </w:rPr>
        <w:t xml:space="preserve"> a jewellery </w:t>
      </w:r>
      <w:r>
        <w:rPr>
          <w:bCs/>
        </w:rPr>
        <w:t xml:space="preserve">item, </w:t>
      </w:r>
      <w:r w:rsidRPr="000545B6">
        <w:rPr>
          <w:bCs/>
        </w:rPr>
        <w:t xml:space="preserve">and could be activated with one push of a button. </w:t>
      </w:r>
      <w:r>
        <w:rPr>
          <w:bCs/>
        </w:rPr>
        <w:t>When</w:t>
      </w:r>
      <w:r w:rsidRPr="000545B6">
        <w:rPr>
          <w:bCs/>
        </w:rPr>
        <w:t xml:space="preserve"> activated, the device </w:t>
      </w:r>
      <w:r>
        <w:rPr>
          <w:bCs/>
        </w:rPr>
        <w:t>w</w:t>
      </w:r>
      <w:r w:rsidRPr="000545B6">
        <w:rPr>
          <w:bCs/>
        </w:rPr>
        <w:t>ould wake a smart</w:t>
      </w:r>
      <w:r>
        <w:rPr>
          <w:bCs/>
        </w:rPr>
        <w:t xml:space="preserve"> </w:t>
      </w:r>
      <w:r w:rsidRPr="000545B6">
        <w:rPr>
          <w:bCs/>
        </w:rPr>
        <w:t xml:space="preserve">phone from a sleep state </w:t>
      </w:r>
      <w:r>
        <w:rPr>
          <w:bCs/>
        </w:rPr>
        <w:t>(</w:t>
      </w:r>
      <w:r w:rsidRPr="000545B6">
        <w:rPr>
          <w:bCs/>
        </w:rPr>
        <w:t xml:space="preserve">on </w:t>
      </w:r>
      <w:r>
        <w:rPr>
          <w:bCs/>
        </w:rPr>
        <w:t>both Apple</w:t>
      </w:r>
      <w:r w:rsidRPr="000545B6">
        <w:rPr>
          <w:bCs/>
        </w:rPr>
        <w:t xml:space="preserve"> iOS or Android platforms</w:t>
      </w:r>
      <w:r>
        <w:rPr>
          <w:bCs/>
        </w:rPr>
        <w:t>)</w:t>
      </w:r>
      <w:r w:rsidRPr="000545B6">
        <w:rPr>
          <w:bCs/>
        </w:rPr>
        <w:t xml:space="preserve"> to </w:t>
      </w:r>
      <w:r>
        <w:rPr>
          <w:bCs/>
        </w:rPr>
        <w:t>transmit an</w:t>
      </w:r>
      <w:r w:rsidRPr="000545B6">
        <w:rPr>
          <w:bCs/>
        </w:rPr>
        <w:t xml:space="preserve"> emergency alert and </w:t>
      </w:r>
      <w:r>
        <w:rPr>
          <w:bCs/>
        </w:rPr>
        <w:t xml:space="preserve">send </w:t>
      </w:r>
      <w:r w:rsidRPr="000545B6">
        <w:rPr>
          <w:bCs/>
        </w:rPr>
        <w:t xml:space="preserve">the user’s </w:t>
      </w:r>
      <w:r>
        <w:rPr>
          <w:bCs/>
        </w:rPr>
        <w:t>global positioning</w:t>
      </w:r>
      <w:r w:rsidRPr="000545B6">
        <w:rPr>
          <w:bCs/>
        </w:rPr>
        <w:t xml:space="preserve"> coordinates to a designated list of contacts in the user</w:t>
      </w:r>
      <w:r>
        <w:rPr>
          <w:bCs/>
        </w:rPr>
        <w:t>’</w:t>
      </w:r>
      <w:r w:rsidRPr="000545B6">
        <w:rPr>
          <w:bCs/>
        </w:rPr>
        <w:t xml:space="preserve">s network. If the contacts failed to respond, the device would then </w:t>
      </w:r>
      <w:r>
        <w:rPr>
          <w:bCs/>
        </w:rPr>
        <w:t>make a</w:t>
      </w:r>
      <w:r w:rsidRPr="000545B6">
        <w:rPr>
          <w:bCs/>
        </w:rPr>
        <w:t xml:space="preserve"> 911</w:t>
      </w:r>
      <w:r>
        <w:rPr>
          <w:bCs/>
        </w:rPr>
        <w:t xml:space="preserve"> emergency call</w:t>
      </w:r>
      <w:r w:rsidRPr="000545B6">
        <w:rPr>
          <w:bCs/>
        </w:rPr>
        <w:t>.</w:t>
      </w:r>
      <w:r w:rsidRPr="006F2094">
        <w:rPr>
          <w:rStyle w:val="EndnoteReference"/>
        </w:rPr>
        <w:endnoteReference w:id="8"/>
      </w:r>
      <w:r w:rsidRPr="000545B6">
        <w:rPr>
          <w:bCs/>
        </w:rPr>
        <w:t xml:space="preserve"> </w:t>
      </w:r>
      <w:r>
        <w:rPr>
          <w:bCs/>
        </w:rPr>
        <w:t>Only</w:t>
      </w:r>
      <w:r w:rsidRPr="000545B6">
        <w:rPr>
          <w:bCs/>
        </w:rPr>
        <w:t xml:space="preserve"> the ORA device </w:t>
      </w:r>
      <w:r>
        <w:rPr>
          <w:bCs/>
        </w:rPr>
        <w:t>could provide these services, so the company</w:t>
      </w:r>
      <w:r w:rsidRPr="000545B6">
        <w:rPr>
          <w:bCs/>
        </w:rPr>
        <w:t xml:space="preserve"> protected </w:t>
      </w:r>
      <w:r>
        <w:rPr>
          <w:bCs/>
        </w:rPr>
        <w:t>its technology using</w:t>
      </w:r>
      <w:r w:rsidRPr="000545B6">
        <w:rPr>
          <w:bCs/>
        </w:rPr>
        <w:t xml:space="preserve"> numerous </w:t>
      </w:r>
      <w:r>
        <w:rPr>
          <w:bCs/>
        </w:rPr>
        <w:t xml:space="preserve">related </w:t>
      </w:r>
      <w:r w:rsidRPr="000545B6">
        <w:rPr>
          <w:bCs/>
        </w:rPr>
        <w:t>patents.</w:t>
      </w:r>
    </w:p>
    <w:p w14:paraId="0855BB03" w14:textId="77777777" w:rsidR="005E5EEC" w:rsidRDefault="005E5EEC" w:rsidP="00ED66BD">
      <w:pPr>
        <w:pStyle w:val="BodyTextMain"/>
        <w:rPr>
          <w:bCs/>
        </w:rPr>
      </w:pPr>
    </w:p>
    <w:p w14:paraId="7F3D56CA" w14:textId="20BBBC77" w:rsidR="005E5EEC" w:rsidRDefault="005E5EEC" w:rsidP="00ED66BD">
      <w:pPr>
        <w:pStyle w:val="BodyTextMain"/>
        <w:rPr>
          <w:bCs/>
        </w:rPr>
      </w:pPr>
      <w:r>
        <w:rPr>
          <w:bCs/>
        </w:rPr>
        <w:t>I</w:t>
      </w:r>
      <w:r w:rsidRPr="000545B6">
        <w:rPr>
          <w:bCs/>
        </w:rPr>
        <w:t>n September</w:t>
      </w:r>
      <w:r>
        <w:rPr>
          <w:bCs/>
        </w:rPr>
        <w:t xml:space="preserve"> 2016</w:t>
      </w:r>
      <w:r w:rsidRPr="000545B6">
        <w:rPr>
          <w:bCs/>
        </w:rPr>
        <w:t xml:space="preserve">, the ORA device </w:t>
      </w:r>
      <w:r>
        <w:rPr>
          <w:bCs/>
        </w:rPr>
        <w:t>was being used by</w:t>
      </w:r>
      <w:r w:rsidRPr="000545B6">
        <w:rPr>
          <w:bCs/>
        </w:rPr>
        <w:t xml:space="preserve"> a </w:t>
      </w:r>
      <w:r>
        <w:rPr>
          <w:bCs/>
        </w:rPr>
        <w:t xml:space="preserve">sample </w:t>
      </w:r>
      <w:r w:rsidRPr="000545B6">
        <w:rPr>
          <w:bCs/>
        </w:rPr>
        <w:t>customer</w:t>
      </w:r>
      <w:r>
        <w:rPr>
          <w:bCs/>
        </w:rPr>
        <w:t xml:space="preserve"> during the product</w:t>
      </w:r>
      <w:r w:rsidRPr="000545B6">
        <w:rPr>
          <w:bCs/>
        </w:rPr>
        <w:t>’s pilot phase.</w:t>
      </w:r>
      <w:r>
        <w:rPr>
          <w:bCs/>
        </w:rPr>
        <w:t xml:space="preserve"> The customer used the device during an emergency, and it</w:t>
      </w:r>
      <w:r w:rsidRPr="000545B6">
        <w:rPr>
          <w:bCs/>
        </w:rPr>
        <w:t xml:space="preserve"> worked</w:t>
      </w:r>
      <w:r>
        <w:rPr>
          <w:bCs/>
        </w:rPr>
        <w:t xml:space="preserve"> perfectly, effectively saving the customer’s life</w:t>
      </w:r>
      <w:r w:rsidRPr="000545B6">
        <w:rPr>
          <w:bCs/>
        </w:rPr>
        <w:t>.</w:t>
      </w:r>
      <w:r w:rsidRPr="006F2094">
        <w:rPr>
          <w:rStyle w:val="EndnoteReference"/>
        </w:rPr>
        <w:endnoteReference w:id="9"/>
      </w:r>
      <w:r w:rsidRPr="000545B6">
        <w:rPr>
          <w:bCs/>
        </w:rPr>
        <w:t xml:space="preserve"> At the time, Selanders </w:t>
      </w:r>
      <w:r>
        <w:rPr>
          <w:bCs/>
        </w:rPr>
        <w:t xml:space="preserve">was </w:t>
      </w:r>
      <w:r w:rsidRPr="000545B6">
        <w:rPr>
          <w:bCs/>
        </w:rPr>
        <w:t>still work</w:t>
      </w:r>
      <w:r>
        <w:rPr>
          <w:bCs/>
        </w:rPr>
        <w:t>ing</w:t>
      </w:r>
      <w:r w:rsidRPr="000545B6">
        <w:rPr>
          <w:bCs/>
        </w:rPr>
        <w:t xml:space="preserve"> in the financial industry</w:t>
      </w:r>
      <w:r>
        <w:rPr>
          <w:bCs/>
        </w:rPr>
        <w:t>, but was e</w:t>
      </w:r>
      <w:r w:rsidRPr="000545B6">
        <w:rPr>
          <w:bCs/>
        </w:rPr>
        <w:t xml:space="preserve">ncouraged by the </w:t>
      </w:r>
      <w:r>
        <w:rPr>
          <w:bCs/>
        </w:rPr>
        <w:t xml:space="preserve">product’s </w:t>
      </w:r>
      <w:r w:rsidRPr="000545B6">
        <w:rPr>
          <w:bCs/>
        </w:rPr>
        <w:t xml:space="preserve">early success </w:t>
      </w:r>
      <w:r>
        <w:rPr>
          <w:bCs/>
        </w:rPr>
        <w:t>during the</w:t>
      </w:r>
      <w:r w:rsidRPr="000545B6">
        <w:rPr>
          <w:bCs/>
        </w:rPr>
        <w:t xml:space="preserve"> pilot phase</w:t>
      </w:r>
      <w:r>
        <w:rPr>
          <w:bCs/>
        </w:rPr>
        <w:t xml:space="preserve"> to consider taking a more active role despite</w:t>
      </w:r>
      <w:r w:rsidRPr="000545B6">
        <w:rPr>
          <w:bCs/>
        </w:rPr>
        <w:t xml:space="preserve"> the high risks</w:t>
      </w:r>
      <w:r>
        <w:rPr>
          <w:bCs/>
        </w:rPr>
        <w:t>—</w:t>
      </w:r>
      <w:r w:rsidRPr="000545B6">
        <w:rPr>
          <w:bCs/>
        </w:rPr>
        <w:t>and rewards</w:t>
      </w:r>
      <w:r>
        <w:rPr>
          <w:bCs/>
        </w:rPr>
        <w:t>—that</w:t>
      </w:r>
      <w:r w:rsidRPr="000545B6">
        <w:rPr>
          <w:bCs/>
        </w:rPr>
        <w:t xml:space="preserve"> </w:t>
      </w:r>
      <w:r>
        <w:rPr>
          <w:bCs/>
        </w:rPr>
        <w:t xml:space="preserve">were common with </w:t>
      </w:r>
      <w:r w:rsidRPr="000545B6">
        <w:rPr>
          <w:bCs/>
        </w:rPr>
        <w:t>technology start-ups</w:t>
      </w:r>
      <w:r>
        <w:rPr>
          <w:bCs/>
        </w:rPr>
        <w:t>.</w:t>
      </w:r>
    </w:p>
    <w:p w14:paraId="415AF0D2" w14:textId="77777777" w:rsidR="005E5EEC" w:rsidRDefault="005E5EEC" w:rsidP="00ED66BD">
      <w:pPr>
        <w:pStyle w:val="BodyTextMain"/>
        <w:rPr>
          <w:bCs/>
        </w:rPr>
      </w:pPr>
    </w:p>
    <w:p w14:paraId="03DBD9B6" w14:textId="4B3918D5" w:rsidR="005E5EEC" w:rsidRPr="000545B6" w:rsidRDefault="005E5EEC" w:rsidP="00ED66BD">
      <w:pPr>
        <w:pStyle w:val="BodyTextMain"/>
        <w:rPr>
          <w:bCs/>
        </w:rPr>
      </w:pPr>
      <w:r w:rsidRPr="000545B6">
        <w:rPr>
          <w:bCs/>
        </w:rPr>
        <w:t xml:space="preserve">Selanders </w:t>
      </w:r>
      <w:r>
        <w:rPr>
          <w:bCs/>
        </w:rPr>
        <w:t>left</w:t>
      </w:r>
      <w:r w:rsidRPr="000545B6">
        <w:rPr>
          <w:bCs/>
        </w:rPr>
        <w:t xml:space="preserve"> her position </w:t>
      </w:r>
      <w:r>
        <w:rPr>
          <w:bCs/>
        </w:rPr>
        <w:t xml:space="preserve">in the financial industry </w:t>
      </w:r>
      <w:r w:rsidRPr="000545B6">
        <w:rPr>
          <w:bCs/>
        </w:rPr>
        <w:t xml:space="preserve">and </w:t>
      </w:r>
      <w:r>
        <w:rPr>
          <w:bCs/>
        </w:rPr>
        <w:t>dedicated all her time to</w:t>
      </w:r>
      <w:r w:rsidRPr="000545B6">
        <w:rPr>
          <w:bCs/>
        </w:rPr>
        <w:t xml:space="preserve"> </w:t>
      </w:r>
      <w:r>
        <w:rPr>
          <w:bCs/>
        </w:rPr>
        <w:t>the operation of her own company</w:t>
      </w:r>
      <w:r w:rsidRPr="000545B6">
        <w:rPr>
          <w:bCs/>
        </w:rPr>
        <w:t xml:space="preserve">. To officially launch the product internationally, Selanders </w:t>
      </w:r>
      <w:r>
        <w:rPr>
          <w:bCs/>
        </w:rPr>
        <w:t>decided to enter the</w:t>
      </w:r>
      <w:r w:rsidRPr="000545B6">
        <w:rPr>
          <w:bCs/>
        </w:rPr>
        <w:t xml:space="preserve"> ORA </w:t>
      </w:r>
      <w:r>
        <w:rPr>
          <w:bCs/>
        </w:rPr>
        <w:t>in the 2017</w:t>
      </w:r>
      <w:r w:rsidRPr="000545B6">
        <w:rPr>
          <w:bCs/>
        </w:rPr>
        <w:t xml:space="preserve"> </w:t>
      </w:r>
      <w:r>
        <w:rPr>
          <w:bCs/>
        </w:rPr>
        <w:t>Consumer Electronics Show (</w:t>
      </w:r>
      <w:r w:rsidRPr="000545B6">
        <w:rPr>
          <w:bCs/>
        </w:rPr>
        <w:t>CES</w:t>
      </w:r>
      <w:r>
        <w:rPr>
          <w:bCs/>
        </w:rPr>
        <w:t>)</w:t>
      </w:r>
      <w:r w:rsidRPr="000545B6">
        <w:rPr>
          <w:bCs/>
        </w:rPr>
        <w:t xml:space="preserve"> </w:t>
      </w:r>
      <w:r>
        <w:rPr>
          <w:bCs/>
        </w:rPr>
        <w:t>convention in Las Vegas, Nevada</w:t>
      </w:r>
      <w:r w:rsidRPr="000545B6">
        <w:rPr>
          <w:bCs/>
        </w:rPr>
        <w:t>.</w:t>
      </w:r>
      <w:r w:rsidRPr="006F2094">
        <w:rPr>
          <w:rStyle w:val="EndnoteReference"/>
        </w:rPr>
        <w:endnoteReference w:id="10"/>
      </w:r>
    </w:p>
    <w:p w14:paraId="243BC0A9" w14:textId="06A1B622" w:rsidR="005E5EEC" w:rsidRPr="000545B6" w:rsidRDefault="005E5EEC" w:rsidP="00CB6E6F">
      <w:pPr>
        <w:pStyle w:val="BodyTextMain"/>
      </w:pPr>
    </w:p>
    <w:p w14:paraId="04D4DE24" w14:textId="0D9DAB64" w:rsidR="005E5EEC" w:rsidRPr="000545B6" w:rsidRDefault="005E5EEC" w:rsidP="00CB6E6F">
      <w:pPr>
        <w:pStyle w:val="BodyTextMain"/>
      </w:pPr>
    </w:p>
    <w:p w14:paraId="235AC6F3" w14:textId="77777777" w:rsidR="005E5EEC" w:rsidRPr="000545B6" w:rsidRDefault="005E5EEC" w:rsidP="00DB232E">
      <w:pPr>
        <w:pStyle w:val="Casehead1"/>
      </w:pPr>
      <w:r w:rsidRPr="000545B6">
        <w:lastRenderedPageBreak/>
        <w:t>A market Overview</w:t>
      </w:r>
    </w:p>
    <w:p w14:paraId="37E52162" w14:textId="77777777" w:rsidR="005E5EEC" w:rsidRPr="000545B6" w:rsidRDefault="005E5EEC" w:rsidP="00A73E96">
      <w:pPr>
        <w:pStyle w:val="BodyTextMain"/>
        <w:keepNext/>
      </w:pPr>
    </w:p>
    <w:p w14:paraId="6C8F0A8D" w14:textId="44FB8CA5" w:rsidR="005E5EEC" w:rsidRPr="000545B6" w:rsidRDefault="005E5EEC" w:rsidP="00A73E96">
      <w:pPr>
        <w:pStyle w:val="BodyTextMain"/>
        <w:keepNext/>
      </w:pPr>
      <w:r w:rsidRPr="000545B6">
        <w:t>Traditional</w:t>
      </w:r>
      <w:r>
        <w:t>ly,</w:t>
      </w:r>
      <w:r w:rsidRPr="000545B6">
        <w:t xml:space="preserve"> </w:t>
      </w:r>
      <w:r>
        <w:t>PERS</w:t>
      </w:r>
      <w:r w:rsidRPr="000545B6">
        <w:t xml:space="preserve"> wearable devices and associated support services enabled at</w:t>
      </w:r>
      <w:r>
        <w:t>-</w:t>
      </w:r>
      <w:r w:rsidRPr="000545B6">
        <w:t>risk individuals</w:t>
      </w:r>
      <w:r>
        <w:t>,</w:t>
      </w:r>
      <w:r w:rsidRPr="000545B6">
        <w:t xml:space="preserve"> such as </w:t>
      </w:r>
      <w:r>
        <w:t>older adults</w:t>
      </w:r>
      <w:r w:rsidRPr="000545B6">
        <w:t xml:space="preserve"> or </w:t>
      </w:r>
      <w:r>
        <w:t>people</w:t>
      </w:r>
      <w:r w:rsidRPr="000545B6">
        <w:t xml:space="preserve"> with disabilities</w:t>
      </w:r>
      <w:r>
        <w:t>,</w:t>
      </w:r>
      <w:r w:rsidRPr="000545B6">
        <w:t xml:space="preserve"> to get assistance in the event of a medical emergency. These devices were often designed in the form of wristbands or neck pendants. Although PERS </w:t>
      </w:r>
      <w:r>
        <w:t xml:space="preserve">devices </w:t>
      </w:r>
      <w:r w:rsidRPr="000545B6">
        <w:t>varied greatly, the</w:t>
      </w:r>
      <w:r>
        <w:t>y</w:t>
      </w:r>
      <w:r w:rsidRPr="000545B6">
        <w:t xml:space="preserve"> generally co</w:t>
      </w:r>
      <w:r>
        <w:t>mprised</w:t>
      </w:r>
      <w:r w:rsidRPr="000545B6">
        <w:t xml:space="preserve"> three basic components: </w:t>
      </w:r>
      <w:r>
        <w:t>an</w:t>
      </w:r>
      <w:r w:rsidRPr="000545B6">
        <w:t xml:space="preserve"> electronic </w:t>
      </w:r>
      <w:r>
        <w:t>device</w:t>
      </w:r>
      <w:r w:rsidRPr="000545B6">
        <w:t xml:space="preserve"> in the home, </w:t>
      </w:r>
      <w:r>
        <w:t xml:space="preserve">a remote </w:t>
      </w:r>
      <w:r w:rsidRPr="000545B6">
        <w:t xml:space="preserve">emergency response centre, and </w:t>
      </w:r>
      <w:r>
        <w:t>resulting</w:t>
      </w:r>
      <w:r w:rsidRPr="000545B6">
        <w:t xml:space="preserve"> dispatch of appropriate help.</w:t>
      </w:r>
      <w:r w:rsidRPr="006F2094">
        <w:rPr>
          <w:rStyle w:val="EndnoteReference"/>
        </w:rPr>
        <w:endnoteReference w:id="11"/>
      </w:r>
    </w:p>
    <w:p w14:paraId="36BB2316" w14:textId="77777777" w:rsidR="005E5EEC" w:rsidRPr="000545B6" w:rsidRDefault="005E5EEC" w:rsidP="00ED66BD">
      <w:pPr>
        <w:pStyle w:val="BodyTextMain"/>
      </w:pPr>
    </w:p>
    <w:p w14:paraId="536AA64F" w14:textId="4A5DA524" w:rsidR="005E5EEC" w:rsidRPr="000545B6" w:rsidRDefault="005E5EEC">
      <w:pPr>
        <w:pStyle w:val="BodyTextMain"/>
      </w:pPr>
      <w:r>
        <w:t>In 2016, t</w:t>
      </w:r>
      <w:r w:rsidRPr="000545B6">
        <w:t>he global</w:t>
      </w:r>
      <w:r>
        <w:t xml:space="preserve"> PERS</w:t>
      </w:r>
      <w:r w:rsidRPr="000545B6">
        <w:t xml:space="preserve"> industry was valued at US$6.7 </w:t>
      </w:r>
      <w:r>
        <w:t>b</w:t>
      </w:r>
      <w:r w:rsidRPr="000545B6">
        <w:t>illion</w:t>
      </w:r>
      <w:r>
        <w:t>,</w:t>
      </w:r>
      <w:r w:rsidRPr="006F2094">
        <w:rPr>
          <w:rStyle w:val="EndnoteReference"/>
        </w:rPr>
        <w:endnoteReference w:id="12"/>
      </w:r>
      <w:r w:rsidRPr="000545B6">
        <w:t xml:space="preserve"> with a </w:t>
      </w:r>
      <w:r>
        <w:t xml:space="preserve">compound annual </w:t>
      </w:r>
      <w:r w:rsidRPr="000545B6">
        <w:t>growth rate of 5.8</w:t>
      </w:r>
      <w:r>
        <w:t xml:space="preserve"> per cent</w:t>
      </w:r>
      <w:r w:rsidRPr="000545B6">
        <w:t>. North America</w:t>
      </w:r>
      <w:r>
        <w:t xml:space="preserve"> was the largest market</w:t>
      </w:r>
      <w:r w:rsidRPr="000545B6">
        <w:t xml:space="preserve">, </w:t>
      </w:r>
      <w:r>
        <w:t>accounting for 41.75 per cent, or</w:t>
      </w:r>
      <w:r w:rsidRPr="000545B6">
        <w:t xml:space="preserve"> </w:t>
      </w:r>
      <w:r>
        <w:t xml:space="preserve">$2.5 billion, of </w:t>
      </w:r>
      <w:r w:rsidRPr="000545B6">
        <w:t>the industry</w:t>
      </w:r>
      <w:r>
        <w:t>’s total revenue, with an annual</w:t>
      </w:r>
      <w:r w:rsidRPr="000545B6">
        <w:t xml:space="preserve"> growth rate of 2.7</w:t>
      </w:r>
      <w:r>
        <w:t xml:space="preserve"> per cent</w:t>
      </w:r>
      <w:r w:rsidRPr="000545B6">
        <w:t>.</w:t>
      </w:r>
      <w:r w:rsidRPr="006F2094">
        <w:rPr>
          <w:rStyle w:val="EndnoteReference"/>
        </w:rPr>
        <w:endnoteReference w:id="13"/>
      </w:r>
      <w:r>
        <w:t xml:space="preserve"> A</w:t>
      </w:r>
      <w:r w:rsidRPr="000545B6">
        <w:t xml:space="preserve">n aging population </w:t>
      </w:r>
      <w:r>
        <w:t>and</w:t>
      </w:r>
      <w:r w:rsidRPr="000545B6">
        <w:t xml:space="preserve"> increas</w:t>
      </w:r>
      <w:r>
        <w:t>ing demand for</w:t>
      </w:r>
      <w:r w:rsidRPr="000545B6">
        <w:t xml:space="preserve"> quality health</w:t>
      </w:r>
      <w:r>
        <w:t xml:space="preserve"> </w:t>
      </w:r>
      <w:r w:rsidRPr="000545B6">
        <w:t xml:space="preserve">care </w:t>
      </w:r>
      <w:r>
        <w:t xml:space="preserve">at home </w:t>
      </w:r>
      <w:r w:rsidRPr="000545B6">
        <w:t>to maintain independence</w:t>
      </w:r>
      <w:r>
        <w:t xml:space="preserve"> were key drivers for</w:t>
      </w:r>
      <w:r w:rsidRPr="000545B6">
        <w:t xml:space="preserve"> </w:t>
      </w:r>
      <w:r>
        <w:t xml:space="preserve">this market and for the </w:t>
      </w:r>
      <w:r w:rsidRPr="000545B6">
        <w:t>development of innovative health</w:t>
      </w:r>
      <w:r>
        <w:t xml:space="preserve"> </w:t>
      </w:r>
      <w:r w:rsidRPr="000545B6">
        <w:t xml:space="preserve">care technologies. It was estimated that </w:t>
      </w:r>
      <w:r>
        <w:t>one in three</w:t>
      </w:r>
      <w:r w:rsidRPr="000545B6">
        <w:t xml:space="preserve"> adults aged 65 and older suffered from falls </w:t>
      </w:r>
      <w:r>
        <w:t>or incurred</w:t>
      </w:r>
      <w:r w:rsidRPr="000545B6">
        <w:t xml:space="preserve"> other medical emergencies each year. PERS </w:t>
      </w:r>
      <w:r>
        <w:t xml:space="preserve">devices </w:t>
      </w:r>
      <w:r w:rsidRPr="000545B6">
        <w:t xml:space="preserve">allowed older adults to retain their independence </w:t>
      </w:r>
      <w:r>
        <w:t>and</w:t>
      </w:r>
      <w:r w:rsidRPr="000545B6">
        <w:t xml:space="preserve"> call for immediate response if a problem occurred. </w:t>
      </w:r>
      <w:r>
        <w:t>They</w:t>
      </w:r>
      <w:r w:rsidRPr="000545B6">
        <w:t xml:space="preserve"> also </w:t>
      </w:r>
      <w:r>
        <w:t xml:space="preserve">provided </w:t>
      </w:r>
      <w:r w:rsidRPr="000545B6">
        <w:t>a more affordable option than other in-person monitoring alternatives.</w:t>
      </w:r>
      <w:r w:rsidRPr="006F2094">
        <w:rPr>
          <w:rStyle w:val="EndnoteReference"/>
        </w:rPr>
        <w:endnoteReference w:id="14"/>
      </w:r>
    </w:p>
    <w:p w14:paraId="03BAED34" w14:textId="77777777" w:rsidR="005E5EEC" w:rsidRPr="000545B6" w:rsidRDefault="005E5EEC" w:rsidP="00ED66BD">
      <w:pPr>
        <w:pStyle w:val="BodyTextMain"/>
      </w:pPr>
    </w:p>
    <w:p w14:paraId="3D7AFADE" w14:textId="7134B17B" w:rsidR="005E5EEC" w:rsidRPr="000545B6" w:rsidRDefault="005E5EEC" w:rsidP="00ED66BD">
      <w:pPr>
        <w:pStyle w:val="BodyTextMain"/>
      </w:pPr>
      <w:r w:rsidRPr="000545B6">
        <w:t>The growth of communication technologies</w:t>
      </w:r>
      <w:r>
        <w:t>,</w:t>
      </w:r>
      <w:r w:rsidRPr="000545B6">
        <w:t xml:space="preserve"> </w:t>
      </w:r>
      <w:r>
        <w:t>combined with</w:t>
      </w:r>
      <w:r w:rsidRPr="000545B6">
        <w:t xml:space="preserve"> recent development</w:t>
      </w:r>
      <w:r>
        <w:t>s</w:t>
      </w:r>
      <w:r w:rsidRPr="000545B6">
        <w:t xml:space="preserve"> of </w:t>
      </w:r>
      <w:r>
        <w:t>I</w:t>
      </w:r>
      <w:r w:rsidRPr="000545B6">
        <w:t xml:space="preserve">nternet of </w:t>
      </w:r>
      <w:r>
        <w:t>T</w:t>
      </w:r>
      <w:r w:rsidRPr="000545B6">
        <w:t>hings devices</w:t>
      </w:r>
      <w:r>
        <w:t>,</w:t>
      </w:r>
      <w:r w:rsidRPr="000545B6">
        <w:t xml:space="preserve"> enabled </w:t>
      </w:r>
      <w:r>
        <w:t>more advanced</w:t>
      </w:r>
      <w:r w:rsidRPr="000545B6">
        <w:t xml:space="preserve"> implementation of </w:t>
      </w:r>
      <w:r>
        <w:t>PERS</w:t>
      </w:r>
      <w:r w:rsidRPr="000545B6">
        <w:t xml:space="preserve">. </w:t>
      </w:r>
      <w:r>
        <w:t>Widespread use of</w:t>
      </w:r>
      <w:r w:rsidRPr="000545B6">
        <w:t xml:space="preserve"> smart</w:t>
      </w:r>
      <w:r>
        <w:t xml:space="preserve"> </w:t>
      </w:r>
      <w:r w:rsidRPr="000545B6">
        <w:t>phones and wearable devices, especially for health monitoring (e.g.</w:t>
      </w:r>
      <w:r>
        <w:t>,</w:t>
      </w:r>
      <w:r w:rsidRPr="000545B6">
        <w:t xml:space="preserve"> </w:t>
      </w:r>
      <w:r>
        <w:t>fitness trackers and smart w</w:t>
      </w:r>
      <w:r w:rsidRPr="000545B6">
        <w:t>atch</w:t>
      </w:r>
      <w:r>
        <w:t>es</w:t>
      </w:r>
      <w:r w:rsidRPr="000545B6">
        <w:t>), h</w:t>
      </w:r>
      <w:r>
        <w:t>elped</w:t>
      </w:r>
      <w:r w:rsidRPr="000545B6">
        <w:t xml:space="preserve"> </w:t>
      </w:r>
      <w:r>
        <w:t>boost interest in PERS</w:t>
      </w:r>
      <w:r w:rsidRPr="000545B6">
        <w:t xml:space="preserve"> devices</w:t>
      </w:r>
      <w:r>
        <w:t xml:space="preserve"> and</w:t>
      </w:r>
      <w:r w:rsidRPr="000545B6">
        <w:t xml:space="preserve"> contribut</w:t>
      </w:r>
      <w:r>
        <w:t>ed</w:t>
      </w:r>
      <w:r w:rsidRPr="000545B6">
        <w:t xml:space="preserve"> </w:t>
      </w:r>
      <w:r>
        <w:t xml:space="preserve">to </w:t>
      </w:r>
      <w:r w:rsidRPr="000545B6">
        <w:t>t</w:t>
      </w:r>
      <w:r>
        <w:t>heir</w:t>
      </w:r>
      <w:r w:rsidRPr="000545B6">
        <w:t xml:space="preserve"> market growth.</w:t>
      </w:r>
      <w:r w:rsidRPr="006F2094">
        <w:rPr>
          <w:rStyle w:val="EndnoteReference"/>
        </w:rPr>
        <w:endnoteReference w:id="15"/>
      </w:r>
    </w:p>
    <w:p w14:paraId="3B90DEC1" w14:textId="77777777" w:rsidR="005E5EEC" w:rsidRPr="000545B6" w:rsidRDefault="005E5EEC" w:rsidP="00ED66BD">
      <w:pPr>
        <w:pStyle w:val="BodyTextMain"/>
      </w:pPr>
    </w:p>
    <w:p w14:paraId="31F6EC25" w14:textId="014F6C7D" w:rsidR="005E5EEC" w:rsidRPr="000545B6" w:rsidRDefault="005E5EEC" w:rsidP="00ED66BD">
      <w:pPr>
        <w:pStyle w:val="BodyTextMain"/>
      </w:pPr>
      <w:r w:rsidRPr="000545B6">
        <w:t xml:space="preserve">The global </w:t>
      </w:r>
      <w:r>
        <w:t>PERS</w:t>
      </w:r>
      <w:r w:rsidRPr="000545B6">
        <w:t xml:space="preserve"> market could be segmented either </w:t>
      </w:r>
      <w:r>
        <w:t>by</w:t>
      </w:r>
      <w:r w:rsidRPr="000545B6">
        <w:t xml:space="preserve"> type of enabling technology or by end</w:t>
      </w:r>
      <w:r>
        <w:t xml:space="preserve"> </w:t>
      </w:r>
      <w:r w:rsidRPr="000545B6">
        <w:t xml:space="preserve">user. In terms of technology, PERS technology </w:t>
      </w:r>
      <w:r>
        <w:t>comprised</w:t>
      </w:r>
      <w:r w:rsidRPr="000545B6">
        <w:t xml:space="preserve"> land</w:t>
      </w:r>
      <w:r>
        <w:t xml:space="preserve"> </w:t>
      </w:r>
      <w:r w:rsidRPr="000545B6">
        <w:t>line</w:t>
      </w:r>
      <w:r>
        <w:t xml:space="preserve"> devices (e.g., home phones)</w:t>
      </w:r>
      <w:r w:rsidRPr="000545B6">
        <w:t xml:space="preserve">, mobile </w:t>
      </w:r>
      <w:r>
        <w:t xml:space="preserve">devices </w:t>
      </w:r>
      <w:r w:rsidRPr="000545B6">
        <w:t>(e.g.</w:t>
      </w:r>
      <w:r>
        <w:t>,</w:t>
      </w:r>
      <w:r w:rsidRPr="000545B6">
        <w:t xml:space="preserve"> wireless, cellular, and </w:t>
      </w:r>
      <w:r>
        <w:t>global positioning systems</w:t>
      </w:r>
      <w:r w:rsidRPr="000545B6">
        <w:t>), and stand</w:t>
      </w:r>
      <w:r>
        <w:t>-</w:t>
      </w:r>
      <w:r w:rsidRPr="000545B6">
        <w:t>alone (e.g.</w:t>
      </w:r>
      <w:r>
        <w:t>,</w:t>
      </w:r>
      <w:r w:rsidRPr="000545B6">
        <w:t xml:space="preserve"> transmitter</w:t>
      </w:r>
      <w:r>
        <w:t>s</w:t>
      </w:r>
      <w:r w:rsidRPr="000545B6">
        <w:t>, stand</w:t>
      </w:r>
      <w:r>
        <w:t>-</w:t>
      </w:r>
      <w:r w:rsidRPr="000545B6">
        <w:t xml:space="preserve">alone </w:t>
      </w:r>
      <w:r>
        <w:t>v</w:t>
      </w:r>
      <w:r w:rsidRPr="000545B6">
        <w:t>oice communicator</w:t>
      </w:r>
      <w:r>
        <w:t>s</w:t>
      </w:r>
      <w:r w:rsidRPr="000545B6">
        <w:t>, wandering system</w:t>
      </w:r>
      <w:r>
        <w:t>s</w:t>
      </w:r>
      <w:r w:rsidRPr="000545B6">
        <w:t xml:space="preserve">, </w:t>
      </w:r>
      <w:r>
        <w:t xml:space="preserve">and </w:t>
      </w:r>
      <w:r w:rsidRPr="000545B6">
        <w:t>R-cube</w:t>
      </w:r>
      <w:r>
        <w:t xml:space="preserve"> and </w:t>
      </w:r>
      <w:r w:rsidRPr="000545B6">
        <w:t>V-cube monitoring system</w:t>
      </w:r>
      <w:r>
        <w:t>s</w:t>
      </w:r>
      <w:r w:rsidRPr="000545B6">
        <w:t>). In terms of end</w:t>
      </w:r>
      <w:r>
        <w:t xml:space="preserve"> </w:t>
      </w:r>
      <w:r w:rsidRPr="000545B6">
        <w:t>user</w:t>
      </w:r>
      <w:r>
        <w:t>s</w:t>
      </w:r>
      <w:r w:rsidRPr="000545B6">
        <w:t xml:space="preserve">, the market </w:t>
      </w:r>
      <w:r>
        <w:t>comprised</w:t>
      </w:r>
      <w:r w:rsidRPr="000545B6">
        <w:t xml:space="preserve"> home-based users, senior living facilities, and assisted living facilities. </w:t>
      </w:r>
      <w:r>
        <w:t xml:space="preserve">In 2016, </w:t>
      </w:r>
      <w:r w:rsidRPr="000545B6">
        <w:t xml:space="preserve">home-based users </w:t>
      </w:r>
      <w:r>
        <w:t xml:space="preserve">consisted of the largest market </w:t>
      </w:r>
      <w:r w:rsidRPr="000545B6">
        <w:t>segment</w:t>
      </w:r>
      <w:r>
        <w:t xml:space="preserve"> and were </w:t>
      </w:r>
      <w:r w:rsidRPr="000545B6">
        <w:t xml:space="preserve">estimated to be the fastest-growing </w:t>
      </w:r>
      <w:r>
        <w:t>PERS consumer group</w:t>
      </w:r>
      <w:r w:rsidRPr="000545B6">
        <w:t xml:space="preserve"> in the next decade.</w:t>
      </w:r>
      <w:r w:rsidRPr="006F2094">
        <w:rPr>
          <w:rStyle w:val="EndnoteReference"/>
        </w:rPr>
        <w:endnoteReference w:id="16"/>
      </w:r>
    </w:p>
    <w:p w14:paraId="0859F4A4" w14:textId="77777777" w:rsidR="005E5EEC" w:rsidRPr="000545B6" w:rsidRDefault="005E5EEC" w:rsidP="00ED66BD">
      <w:pPr>
        <w:pStyle w:val="BodyTextMain"/>
      </w:pPr>
    </w:p>
    <w:p w14:paraId="68CE0495" w14:textId="5CD7C5B7" w:rsidR="005E5EEC" w:rsidRPr="00A73E96" w:rsidRDefault="005E5EEC" w:rsidP="00ED66BD">
      <w:pPr>
        <w:pStyle w:val="BodyTextMain"/>
        <w:rPr>
          <w:spacing w:val="-4"/>
          <w:shd w:val="clear" w:color="auto" w:fill="FFFFFF"/>
        </w:rPr>
      </w:pPr>
      <w:r w:rsidRPr="00A73E96">
        <w:rPr>
          <w:spacing w:val="-4"/>
        </w:rPr>
        <w:t xml:space="preserve">PERS devices were designed to provide fast help for people who lived in isolation, had poor mobility, or were concerned for their personal safety. The target end-user profile was an elderly woman who lived alone, was in poor physical condition, and often required assistance. Many end users were over 80 years old, so a family member or caregiver usually made the purchase decision based on safety reasons, a precaution in case the end user needed emergency assistance. However, many end users who accepted a PERS device or purchased it on their own rarely wore the device. Typical reasons given for not wearing PERS devices included being </w:t>
      </w:r>
      <w:r w:rsidRPr="00A73E96">
        <w:rPr>
          <w:spacing w:val="-4"/>
          <w:shd w:val="clear" w:color="auto" w:fill="FFFFFF"/>
        </w:rPr>
        <w:t>“worried it will get damaged,” having “forgot[ten] to put it on,” and claiming “it is uncomfortable to wear.” A 2016 study found that all women interviewed about this issue admitted that they wore their PERS device unwillingly.</w:t>
      </w:r>
      <w:r w:rsidRPr="00A73E96">
        <w:rPr>
          <w:rStyle w:val="EndnoteReference"/>
          <w:spacing w:val="-4"/>
        </w:rPr>
        <w:endnoteReference w:id="17"/>
      </w:r>
    </w:p>
    <w:p w14:paraId="068EAB3E" w14:textId="77777777" w:rsidR="005E5EEC" w:rsidRPr="000545B6" w:rsidRDefault="005E5EEC" w:rsidP="00ED66BD">
      <w:pPr>
        <w:pStyle w:val="BodyTextMain"/>
      </w:pPr>
    </w:p>
    <w:p w14:paraId="4292AA5C" w14:textId="233AD0F5" w:rsidR="005E5EEC" w:rsidRPr="000545B6" w:rsidRDefault="005E5EEC" w:rsidP="00ED66BD">
      <w:pPr>
        <w:pStyle w:val="BodyTextMain"/>
      </w:pPr>
      <w:r>
        <w:t>W</w:t>
      </w:r>
      <w:r w:rsidRPr="000545B6">
        <w:t xml:space="preserve">ithin </w:t>
      </w:r>
      <w:r>
        <w:t>each</w:t>
      </w:r>
      <w:r w:rsidRPr="000545B6">
        <w:t xml:space="preserve"> operating jurisdiction</w:t>
      </w:r>
      <w:r>
        <w:t xml:space="preserve">, </w:t>
      </w:r>
      <w:r w:rsidRPr="000545B6">
        <w:t xml:space="preserve">PERS </w:t>
      </w:r>
      <w:r>
        <w:t>devices had to</w:t>
      </w:r>
      <w:r w:rsidRPr="000545B6">
        <w:t xml:space="preserve"> comply with relevant legislation</w:t>
      </w:r>
      <w:r>
        <w:t>,</w:t>
      </w:r>
      <w:r w:rsidRPr="000545B6">
        <w:t xml:space="preserve"> includin</w:t>
      </w:r>
      <w:r>
        <w:t>g</w:t>
      </w:r>
      <w:r w:rsidRPr="000545B6">
        <w:t xml:space="preserve"> privacy of personal data and protection of medical information. </w:t>
      </w:r>
      <w:r>
        <w:t>The devices also had to meet</w:t>
      </w:r>
      <w:r w:rsidRPr="000545B6">
        <w:t xml:space="preserve"> certification standard</w:t>
      </w:r>
      <w:r>
        <w:t>s within</w:t>
      </w:r>
      <w:r w:rsidRPr="000545B6">
        <w:t xml:space="preserve"> each jurisdiction</w:t>
      </w:r>
      <w:r>
        <w:t>,</w:t>
      </w:r>
      <w:r w:rsidRPr="000545B6">
        <w:t xml:space="preserve"> </w:t>
      </w:r>
      <w:r>
        <w:t>in some cases</w:t>
      </w:r>
      <w:r w:rsidRPr="000545B6">
        <w:t xml:space="preserve"> from independent laboratories.</w:t>
      </w:r>
      <w:r w:rsidRPr="006F2094">
        <w:rPr>
          <w:rStyle w:val="EndnoteReference"/>
        </w:rPr>
        <w:endnoteReference w:id="18"/>
      </w:r>
    </w:p>
    <w:p w14:paraId="0F9E6A49" w14:textId="2A4C0F37" w:rsidR="005E5EEC" w:rsidRPr="000545B6" w:rsidRDefault="005E5EEC" w:rsidP="00ED66BD">
      <w:pPr>
        <w:pStyle w:val="BodyTextMain"/>
      </w:pPr>
    </w:p>
    <w:p w14:paraId="566ED46A" w14:textId="77777777" w:rsidR="005E5EEC" w:rsidRPr="000545B6" w:rsidRDefault="005E5EEC" w:rsidP="00ED66BD">
      <w:pPr>
        <w:pStyle w:val="BodyTextMain"/>
      </w:pPr>
    </w:p>
    <w:p w14:paraId="4B602459" w14:textId="226F1A8D" w:rsidR="005E5EEC" w:rsidRPr="000545B6" w:rsidRDefault="005E5EEC" w:rsidP="00CB6E6F">
      <w:pPr>
        <w:pStyle w:val="Casehead1"/>
      </w:pPr>
      <w:r w:rsidRPr="000545B6">
        <w:t>stagnate competitors</w:t>
      </w:r>
    </w:p>
    <w:p w14:paraId="2878274B" w14:textId="77777777" w:rsidR="005E5EEC" w:rsidRPr="000545B6" w:rsidRDefault="005E5EEC" w:rsidP="00ED66BD">
      <w:pPr>
        <w:pStyle w:val="BodyTextMain"/>
      </w:pPr>
    </w:p>
    <w:p w14:paraId="425F3C27" w14:textId="0D7E5C0D" w:rsidR="005E5EEC" w:rsidRPr="000545B6" w:rsidRDefault="005E5EEC" w:rsidP="00ED66BD">
      <w:pPr>
        <w:pStyle w:val="BodyTextMain"/>
      </w:pPr>
      <w:r>
        <w:t>N</w:t>
      </w:r>
      <w:r w:rsidRPr="000545B6">
        <w:t>early 4,000 businesses</w:t>
      </w:r>
      <w:r>
        <w:t>, consisting of both</w:t>
      </w:r>
      <w:r w:rsidRPr="000545B6">
        <w:t xml:space="preserve"> large international companies and </w:t>
      </w:r>
      <w:r>
        <w:t xml:space="preserve">smaller </w:t>
      </w:r>
      <w:r w:rsidRPr="000545B6">
        <w:t>regional providers</w:t>
      </w:r>
      <w:r>
        <w:t xml:space="preserve">, competed </w:t>
      </w:r>
      <w:r w:rsidRPr="000545B6">
        <w:t xml:space="preserve">in the global </w:t>
      </w:r>
      <w:r>
        <w:t>PERS</w:t>
      </w:r>
      <w:r w:rsidRPr="000545B6">
        <w:t xml:space="preserve"> </w:t>
      </w:r>
      <w:r>
        <w:t>industry. Most notable among the major competitors were</w:t>
      </w:r>
      <w:r w:rsidRPr="000545B6">
        <w:t xml:space="preserve"> Koninklijke Philips N.V. </w:t>
      </w:r>
      <w:r>
        <w:t xml:space="preserve">(Philips) </w:t>
      </w:r>
      <w:r w:rsidRPr="000545B6">
        <w:t xml:space="preserve">from </w:t>
      </w:r>
      <w:r>
        <w:t xml:space="preserve">the </w:t>
      </w:r>
      <w:r w:rsidRPr="000545B6">
        <w:t>Netherlands</w:t>
      </w:r>
      <w:r>
        <w:t xml:space="preserve"> and</w:t>
      </w:r>
      <w:r w:rsidRPr="000545B6">
        <w:t xml:space="preserve"> </w:t>
      </w:r>
      <w:r>
        <w:t xml:space="preserve">various US companies including </w:t>
      </w:r>
      <w:r w:rsidRPr="000545B6">
        <w:t xml:space="preserve">AlertOne Services LLC, ADT Corporation, Nortek Security &amp; Control LLC, </w:t>
      </w:r>
      <w:r>
        <w:t xml:space="preserve">and </w:t>
      </w:r>
      <w:r w:rsidRPr="000545B6">
        <w:t xml:space="preserve">Bay Alarm Medical (see Exhibit 3). </w:t>
      </w:r>
      <w:r>
        <w:t>To</w:t>
      </w:r>
      <w:r w:rsidRPr="000545B6">
        <w:t xml:space="preserve"> expand their </w:t>
      </w:r>
      <w:r w:rsidRPr="000545B6">
        <w:lastRenderedPageBreak/>
        <w:t xml:space="preserve">product portfolios </w:t>
      </w:r>
      <w:r>
        <w:t>and</w:t>
      </w:r>
      <w:r w:rsidRPr="000545B6">
        <w:t xml:space="preserve"> increase market share, </w:t>
      </w:r>
      <w:r>
        <w:t>many companies</w:t>
      </w:r>
      <w:r w:rsidRPr="000545B6">
        <w:t xml:space="preserve"> were adopting </w:t>
      </w:r>
      <w:r>
        <w:t xml:space="preserve">growth </w:t>
      </w:r>
      <w:r w:rsidRPr="000545B6">
        <w:t>strategies such as acquisition</w:t>
      </w:r>
      <w:r>
        <w:t xml:space="preserve"> of,</w:t>
      </w:r>
      <w:r w:rsidRPr="000545B6">
        <w:t xml:space="preserve"> and collaboration</w:t>
      </w:r>
      <w:r>
        <w:t xml:space="preserve"> with, other provider</w:t>
      </w:r>
      <w:r w:rsidRPr="000545B6">
        <w:t>s.</w:t>
      </w:r>
      <w:r w:rsidRPr="006F2094">
        <w:rPr>
          <w:rStyle w:val="EndnoteReference"/>
        </w:rPr>
        <w:endnoteReference w:id="19"/>
      </w:r>
    </w:p>
    <w:p w14:paraId="179EB739" w14:textId="77777777" w:rsidR="005E5EEC" w:rsidRPr="000545B6" w:rsidRDefault="005E5EEC" w:rsidP="00ED66BD">
      <w:pPr>
        <w:pStyle w:val="BodyTextMain"/>
      </w:pPr>
    </w:p>
    <w:p w14:paraId="5A938B7E" w14:textId="2F7022F5" w:rsidR="005E5EEC" w:rsidRPr="000545B6" w:rsidRDefault="005E5EEC" w:rsidP="00ED66BD">
      <w:pPr>
        <w:pStyle w:val="BodyTextMain"/>
      </w:pPr>
      <w:r w:rsidRPr="000545B6">
        <w:t xml:space="preserve">Most commonly, PERS </w:t>
      </w:r>
      <w:r>
        <w:t xml:space="preserve">devices </w:t>
      </w:r>
      <w:r w:rsidRPr="000545B6">
        <w:t xml:space="preserve">consisted of technological hardware integrated with an alarm monitoring service. For example, Philips Lifeline was </w:t>
      </w:r>
      <w:r>
        <w:t xml:space="preserve">one of </w:t>
      </w:r>
      <w:r w:rsidRPr="000545B6">
        <w:t>the leading provider</w:t>
      </w:r>
      <w:r>
        <w:t>s</w:t>
      </w:r>
      <w:r w:rsidRPr="000545B6">
        <w:t xml:space="preserve"> of </w:t>
      </w:r>
      <w:r>
        <w:t>m</w:t>
      </w:r>
      <w:r w:rsidRPr="000545B6">
        <w:t xml:space="preserve">edical </w:t>
      </w:r>
      <w:r>
        <w:t>a</w:t>
      </w:r>
      <w:r w:rsidRPr="000545B6">
        <w:t xml:space="preserve">lert </w:t>
      </w:r>
      <w:r>
        <w:t>s</w:t>
      </w:r>
      <w:r w:rsidRPr="000545B6">
        <w:t xml:space="preserve">ystems and </w:t>
      </w:r>
      <w:r>
        <w:t>s</w:t>
      </w:r>
      <w:r w:rsidRPr="000545B6">
        <w:t xml:space="preserve">ervice in North America. Lifeline Systems </w:t>
      </w:r>
      <w:r>
        <w:t xml:space="preserve">Company </w:t>
      </w:r>
      <w:r w:rsidRPr="000545B6">
        <w:t xml:space="preserve">was originally founded </w:t>
      </w:r>
      <w:r>
        <w:t xml:space="preserve">in 1974 </w:t>
      </w:r>
      <w:r w:rsidRPr="000545B6">
        <w:t xml:space="preserve">by </w:t>
      </w:r>
      <w:r>
        <w:t>the</w:t>
      </w:r>
      <w:r w:rsidRPr="000545B6">
        <w:t xml:space="preserve"> psychologist and gerontologist Dr. Andrew S. Dibner. </w:t>
      </w:r>
      <w:r>
        <w:t xml:space="preserve">In 2006, </w:t>
      </w:r>
      <w:r w:rsidRPr="000545B6">
        <w:t>Lifeline Systems</w:t>
      </w:r>
      <w:r>
        <w:t xml:space="preserve"> was</w:t>
      </w:r>
      <w:r w:rsidRPr="000545B6">
        <w:t xml:space="preserve"> acquired by Philips, a global lead</w:t>
      </w:r>
      <w:r>
        <w:t>er</w:t>
      </w:r>
      <w:r w:rsidRPr="000545B6">
        <w:t xml:space="preserve"> in health care, for </w:t>
      </w:r>
      <w:r>
        <w:t xml:space="preserve">a total value of </w:t>
      </w:r>
      <w:r w:rsidRPr="000545B6">
        <w:t>$</w:t>
      </w:r>
      <w:r>
        <w:t>750.</w:t>
      </w:r>
      <w:r>
        <w:rPr>
          <w:rStyle w:val="EndnoteReference"/>
        </w:rPr>
        <w:endnoteReference w:id="20"/>
      </w:r>
      <w:r w:rsidRPr="000545B6">
        <w:t xml:space="preserve"> Headquartered in the Netherlands, </w:t>
      </w:r>
      <w:r>
        <w:t>the company</w:t>
      </w:r>
      <w:r w:rsidRPr="000545B6">
        <w:t xml:space="preserve"> had approximately 118,000 employees and provided sales and services in more than 100 countries.</w:t>
      </w:r>
      <w:r>
        <w:t xml:space="preserve"> Philips Lifeline Systems held 85 per cent of the Canadian market share of PERS in Canada</w:t>
      </w:r>
      <w:r>
        <w:rPr>
          <w:rStyle w:val="EndnoteReference"/>
        </w:rPr>
        <w:endnoteReference w:id="21"/>
      </w:r>
      <w:r>
        <w:t xml:space="preserve"> and 60 per cent of the market in North America.</w:t>
      </w:r>
      <w:r>
        <w:rPr>
          <w:rStyle w:val="EndnoteReference"/>
        </w:rPr>
        <w:endnoteReference w:id="22"/>
      </w:r>
      <w:r>
        <w:t xml:space="preserve"> Since 1974, t</w:t>
      </w:r>
      <w:r w:rsidRPr="000545B6">
        <w:t xml:space="preserve">he Philips Lifeline </w:t>
      </w:r>
      <w:r>
        <w:t xml:space="preserve">device </w:t>
      </w:r>
      <w:r w:rsidRPr="000545B6">
        <w:t>had more than 7 million subscribers</w:t>
      </w:r>
      <w:r>
        <w:t>,</w:t>
      </w:r>
      <w:r w:rsidRPr="000545B6">
        <w:t xml:space="preserve"> offer</w:t>
      </w:r>
      <w:r>
        <w:t>ing</w:t>
      </w:r>
      <w:r w:rsidRPr="000545B6">
        <w:t xml:space="preserve"> </w:t>
      </w:r>
      <w:r>
        <w:t xml:space="preserve">an </w:t>
      </w:r>
      <w:r w:rsidRPr="000545B6">
        <w:t>in-home land</w:t>
      </w:r>
      <w:r>
        <w:t xml:space="preserve"> </w:t>
      </w:r>
      <w:r w:rsidRPr="000545B6">
        <w:t xml:space="preserve">line service and </w:t>
      </w:r>
      <w:r>
        <w:t>a cellular service with global positioning system</w:t>
      </w:r>
      <w:r w:rsidRPr="000545B6">
        <w:t xml:space="preserve"> monitor</w:t>
      </w:r>
      <w:r>
        <w:t>ing.</w:t>
      </w:r>
      <w:r>
        <w:rPr>
          <w:rStyle w:val="EndnoteReference"/>
        </w:rPr>
        <w:endnoteReference w:id="23"/>
      </w:r>
      <w:r w:rsidRPr="000545B6">
        <w:t xml:space="preserve"> </w:t>
      </w:r>
      <w:r>
        <w:t>The</w:t>
      </w:r>
      <w:r w:rsidRPr="000545B6">
        <w:t xml:space="preserve"> </w:t>
      </w:r>
      <w:r>
        <w:t xml:space="preserve">cost of the </w:t>
      </w:r>
      <w:r w:rsidRPr="000545B6">
        <w:t>in-home land</w:t>
      </w:r>
      <w:r>
        <w:t xml:space="preserve"> </w:t>
      </w:r>
      <w:r w:rsidRPr="000545B6">
        <w:t xml:space="preserve">line </w:t>
      </w:r>
      <w:r>
        <w:t>version ranged from</w:t>
      </w:r>
      <w:r w:rsidRPr="000545B6">
        <w:t xml:space="preserve"> $30</w:t>
      </w:r>
      <w:r>
        <w:t xml:space="preserve"> to $</w:t>
      </w:r>
      <w:r w:rsidRPr="000545B6">
        <w:t xml:space="preserve">40 per month for the service </w:t>
      </w:r>
      <w:r>
        <w:t>plus</w:t>
      </w:r>
      <w:r w:rsidRPr="000545B6">
        <w:t xml:space="preserve"> $90</w:t>
      </w:r>
      <w:r>
        <w:t xml:space="preserve"> to $</w:t>
      </w:r>
      <w:r w:rsidRPr="000545B6">
        <w:t xml:space="preserve">199 for installation. </w:t>
      </w:r>
      <w:r>
        <w:t>The cellular service total cost</w:t>
      </w:r>
      <w:r w:rsidRPr="000545B6">
        <w:t xml:space="preserve"> </w:t>
      </w:r>
      <w:r>
        <w:t>comprised</w:t>
      </w:r>
      <w:r w:rsidRPr="000545B6">
        <w:t xml:space="preserve"> </w:t>
      </w:r>
      <w:r>
        <w:t xml:space="preserve">both </w:t>
      </w:r>
      <w:r w:rsidRPr="000545B6">
        <w:t xml:space="preserve">a device fee of $149 and a subscription fee of $55 </w:t>
      </w:r>
      <w:r>
        <w:t>t</w:t>
      </w:r>
      <w:r w:rsidRPr="000545B6">
        <w:t>o $65 per month</w:t>
      </w:r>
      <w:r>
        <w:t>.</w:t>
      </w:r>
      <w:r>
        <w:rPr>
          <w:rStyle w:val="EndnoteReference"/>
        </w:rPr>
        <w:endnoteReference w:id="24"/>
      </w:r>
    </w:p>
    <w:p w14:paraId="5BDD448E" w14:textId="77777777" w:rsidR="005E5EEC" w:rsidRPr="000545B6" w:rsidRDefault="005E5EEC" w:rsidP="00ED66BD">
      <w:pPr>
        <w:pStyle w:val="BodyTextMain"/>
      </w:pPr>
    </w:p>
    <w:p w14:paraId="695B4D1E" w14:textId="5FAB5D94" w:rsidR="005E5EEC" w:rsidRPr="000545B6" w:rsidRDefault="005E5EEC" w:rsidP="00ED66BD">
      <w:pPr>
        <w:pStyle w:val="BodyTextMain"/>
      </w:pPr>
      <w:r w:rsidRPr="000545B6">
        <w:t xml:space="preserve">The technology offered by most </w:t>
      </w:r>
      <w:r>
        <w:t>companies in the industry</w:t>
      </w:r>
      <w:r w:rsidRPr="000545B6">
        <w:t xml:space="preserve"> had not changed much over the years. Pendants were the most dominant design</w:t>
      </w:r>
      <w:r>
        <w:t>, although some</w:t>
      </w:r>
      <w:r w:rsidRPr="000545B6">
        <w:t xml:space="preserve"> other form</w:t>
      </w:r>
      <w:r>
        <w:t>ats were being</w:t>
      </w:r>
      <w:r w:rsidRPr="000545B6">
        <w:t xml:space="preserve"> introduced.</w:t>
      </w:r>
      <w:r w:rsidRPr="006F2094">
        <w:rPr>
          <w:rStyle w:val="EndnoteReference"/>
        </w:rPr>
        <w:endnoteReference w:id="25"/>
      </w:r>
      <w:r w:rsidRPr="000545B6">
        <w:t xml:space="preserve"> </w:t>
      </w:r>
      <w:r>
        <w:t>Drawbacks of current products included</w:t>
      </w:r>
      <w:r w:rsidRPr="000545B6">
        <w:t xml:space="preserve"> slow</w:t>
      </w:r>
      <w:r>
        <w:t xml:space="preserve"> response</w:t>
      </w:r>
      <w:r w:rsidRPr="000545B6">
        <w:t>, flimsy</w:t>
      </w:r>
      <w:r>
        <w:t xml:space="preserve"> construction</w:t>
      </w:r>
      <w:r w:rsidRPr="000545B6">
        <w:t>, limited range</w:t>
      </w:r>
      <w:r>
        <w:t>,</w:t>
      </w:r>
      <w:r w:rsidRPr="000545B6">
        <w:t xml:space="preserve"> unattractive</w:t>
      </w:r>
      <w:r>
        <w:t xml:space="preserve"> design,</w:t>
      </w:r>
      <w:r w:rsidRPr="000545B6">
        <w:t xml:space="preserve"> and </w:t>
      </w:r>
      <w:r>
        <w:t>high cost</w:t>
      </w:r>
      <w:r w:rsidRPr="000545B6">
        <w:t>.</w:t>
      </w:r>
      <w:r w:rsidRPr="006F2094">
        <w:rPr>
          <w:rStyle w:val="EndnoteReference"/>
        </w:rPr>
        <w:endnoteReference w:id="26"/>
      </w:r>
      <w:r w:rsidRPr="000545B6">
        <w:t xml:space="preserve"> </w:t>
      </w:r>
      <w:r>
        <w:t>Another drawback was</w:t>
      </w:r>
      <w:r w:rsidRPr="000545B6">
        <w:t xml:space="preserve"> resistan</w:t>
      </w:r>
      <w:r>
        <w:t xml:space="preserve">ce from users who did not readily accept the devices, </w:t>
      </w:r>
      <w:r w:rsidRPr="000545B6">
        <w:t>c</w:t>
      </w:r>
      <w:r>
        <w:t>l</w:t>
      </w:r>
      <w:r w:rsidRPr="000545B6">
        <w:t>a</w:t>
      </w:r>
      <w:r>
        <w:t>im</w:t>
      </w:r>
      <w:r w:rsidRPr="000545B6">
        <w:t>ing the</w:t>
      </w:r>
      <w:r>
        <w:t xml:space="preserve"> products</w:t>
      </w:r>
      <w:r w:rsidRPr="000545B6">
        <w:t xml:space="preserve"> “were for old people” or </w:t>
      </w:r>
      <w:r>
        <w:t xml:space="preserve">the users </w:t>
      </w:r>
      <w:r w:rsidRPr="000545B6">
        <w:t>“didn</w:t>
      </w:r>
      <w:r>
        <w:t>’</w:t>
      </w:r>
      <w:r w:rsidRPr="000545B6">
        <w:t>t want to bother anyone</w:t>
      </w:r>
      <w:r>
        <w:t>.</w:t>
      </w:r>
      <w:r w:rsidRPr="000545B6">
        <w:t>”</w:t>
      </w:r>
      <w:r w:rsidRPr="006F2094">
        <w:rPr>
          <w:rStyle w:val="EndnoteReference"/>
        </w:rPr>
        <w:endnoteReference w:id="27"/>
      </w:r>
      <w:r w:rsidRPr="000545B6">
        <w:t xml:space="preserve"> </w:t>
      </w:r>
      <w:r>
        <w:t>Market leaders depended</w:t>
      </w:r>
      <w:r w:rsidRPr="000545B6">
        <w:t xml:space="preserve"> on </w:t>
      </w:r>
      <w:r>
        <w:t xml:space="preserve">the </w:t>
      </w:r>
      <w:r w:rsidRPr="000545B6">
        <w:t xml:space="preserve">reoccurring revenue </w:t>
      </w:r>
      <w:r>
        <w:t xml:space="preserve">stream </w:t>
      </w:r>
      <w:r w:rsidRPr="000545B6">
        <w:t>f</w:t>
      </w:r>
      <w:r>
        <w:t>rom</w:t>
      </w:r>
      <w:r w:rsidRPr="000545B6">
        <w:t xml:space="preserve"> the subscription model.</w:t>
      </w:r>
      <w:r w:rsidRPr="006F2094">
        <w:rPr>
          <w:rStyle w:val="EndnoteReference"/>
        </w:rPr>
        <w:endnoteReference w:id="28"/>
      </w:r>
      <w:r w:rsidRPr="000545B6">
        <w:t xml:space="preserve"> </w:t>
      </w:r>
      <w:r>
        <w:t>Feeling that</w:t>
      </w:r>
      <w:r w:rsidRPr="000545B6">
        <w:t xml:space="preserve"> the industry was ripe for disruption</w:t>
      </w:r>
      <w:r>
        <w:t xml:space="preserve">, </w:t>
      </w:r>
      <w:r w:rsidRPr="000545B6">
        <w:t xml:space="preserve">Selanders set out to reframe the </w:t>
      </w:r>
      <w:r>
        <w:t xml:space="preserve">consumer’s </w:t>
      </w:r>
      <w:r w:rsidRPr="000545B6">
        <w:t>relationship with personal safety devices.</w:t>
      </w:r>
    </w:p>
    <w:p w14:paraId="6EAA6AC3" w14:textId="529BD69F" w:rsidR="005E5EEC" w:rsidRPr="000545B6" w:rsidRDefault="005E5EEC" w:rsidP="00ED66BD">
      <w:pPr>
        <w:pStyle w:val="BodyTextMain"/>
      </w:pPr>
    </w:p>
    <w:p w14:paraId="3F858633" w14:textId="77777777" w:rsidR="005E5EEC" w:rsidRPr="000545B6" w:rsidRDefault="005E5EEC" w:rsidP="00ED66BD">
      <w:pPr>
        <w:pStyle w:val="BodyTextMain"/>
      </w:pPr>
    </w:p>
    <w:p w14:paraId="1ACEA624" w14:textId="77777777" w:rsidR="005E5EEC" w:rsidRPr="000545B6" w:rsidRDefault="005E5EEC" w:rsidP="00CB6E6F">
      <w:pPr>
        <w:pStyle w:val="Casehead1"/>
      </w:pPr>
      <w:r w:rsidRPr="000545B6">
        <w:t>a little too early and a little too late</w:t>
      </w:r>
    </w:p>
    <w:p w14:paraId="6B9191F9" w14:textId="77777777" w:rsidR="005E5EEC" w:rsidRPr="000545B6" w:rsidRDefault="005E5EEC" w:rsidP="00ED66BD">
      <w:pPr>
        <w:pStyle w:val="BodyTextMain"/>
      </w:pPr>
    </w:p>
    <w:p w14:paraId="55937B1F" w14:textId="4C31D9E5" w:rsidR="005E5EEC" w:rsidRDefault="005E5EEC" w:rsidP="00ED66BD">
      <w:pPr>
        <w:pStyle w:val="BodyTextMain"/>
      </w:pPr>
      <w:r w:rsidRPr="000545B6">
        <w:t xml:space="preserve">With its reliable function and appealing look, Selanders and ORA found significant success at </w:t>
      </w:r>
      <w:r>
        <w:t xml:space="preserve">the 2017 </w:t>
      </w:r>
      <w:r w:rsidRPr="000545B6">
        <w:t xml:space="preserve">CES </w:t>
      </w:r>
      <w:r>
        <w:t xml:space="preserve">convention </w:t>
      </w:r>
      <w:r w:rsidRPr="000545B6">
        <w:t xml:space="preserve">in </w:t>
      </w:r>
      <w:r>
        <w:t>Las Vegas</w:t>
      </w:r>
      <w:r w:rsidRPr="000545B6">
        <w:t xml:space="preserve">. The ORA device </w:t>
      </w:r>
      <w:r>
        <w:t xml:space="preserve">was well </w:t>
      </w:r>
      <w:r w:rsidRPr="000545B6">
        <w:t xml:space="preserve">received </w:t>
      </w:r>
      <w:r>
        <w:t>by</w:t>
      </w:r>
      <w:r w:rsidRPr="000545B6">
        <w:t xml:space="preserve"> many potential customers a</w:t>
      </w:r>
      <w:r>
        <w:t>nd</w:t>
      </w:r>
      <w:r w:rsidRPr="000545B6">
        <w:t xml:space="preserve"> industry partners. Selanders and her team decided </w:t>
      </w:r>
      <w:r>
        <w:t>that they could</w:t>
      </w:r>
      <w:r w:rsidRPr="000545B6">
        <w:t xml:space="preserve"> build on th</w:t>
      </w:r>
      <w:r>
        <w:t>is</w:t>
      </w:r>
      <w:r w:rsidRPr="000545B6">
        <w:t xml:space="preserve"> momentum and </w:t>
      </w:r>
      <w:r>
        <w:t xml:space="preserve">attempted to </w:t>
      </w:r>
      <w:r w:rsidRPr="000545B6">
        <w:t xml:space="preserve">launch the product </w:t>
      </w:r>
      <w:r>
        <w:t xml:space="preserve">using only funding that would be raised using the </w:t>
      </w:r>
      <w:r w:rsidRPr="000545B6">
        <w:t>crowdfunding platform Indiegogo.</w:t>
      </w:r>
      <w:r w:rsidRPr="006F2094">
        <w:rPr>
          <w:rStyle w:val="EndnoteReference"/>
        </w:rPr>
        <w:endnoteReference w:id="29"/>
      </w:r>
    </w:p>
    <w:p w14:paraId="60453419" w14:textId="77777777" w:rsidR="005E5EEC" w:rsidRDefault="005E5EEC" w:rsidP="00ED66BD">
      <w:pPr>
        <w:pStyle w:val="BodyTextMain"/>
      </w:pPr>
    </w:p>
    <w:p w14:paraId="7D922FC1" w14:textId="2F810BF2" w:rsidR="005E5EEC" w:rsidRDefault="005E5EEC" w:rsidP="00ED66BD">
      <w:pPr>
        <w:pStyle w:val="BodyTextMain"/>
      </w:pPr>
      <w:r w:rsidRPr="000545B6">
        <w:t xml:space="preserve">The ORA system </w:t>
      </w:r>
      <w:r>
        <w:t>would be launched as</w:t>
      </w:r>
      <w:r w:rsidRPr="000545B6">
        <w:t xml:space="preserve"> a lightweight, fashionable device that could reliably connect with a network of user contacts </w:t>
      </w:r>
      <w:r>
        <w:t>or</w:t>
      </w:r>
      <w:r w:rsidRPr="000545B6">
        <w:t xml:space="preserve"> provide a 911 call as a backup. </w:t>
      </w:r>
      <w:r>
        <w:t>Its</w:t>
      </w:r>
      <w:r w:rsidRPr="000545B6">
        <w:t xml:space="preserve"> cost </w:t>
      </w:r>
      <w:r>
        <w:t xml:space="preserve">would be </w:t>
      </w:r>
      <w:r w:rsidRPr="000545B6">
        <w:t>$200 for the device</w:t>
      </w:r>
      <w:r>
        <w:t xml:space="preserve"> and—u</w:t>
      </w:r>
      <w:r w:rsidRPr="000545B6">
        <w:t xml:space="preserve">nlike </w:t>
      </w:r>
      <w:r>
        <w:t>i</w:t>
      </w:r>
      <w:r w:rsidRPr="000545B6">
        <w:t>t</w:t>
      </w:r>
      <w:r>
        <w:t>s</w:t>
      </w:r>
      <w:r w:rsidRPr="000545B6">
        <w:t xml:space="preserve"> competitors</w:t>
      </w:r>
      <w:r>
        <w:t>—</w:t>
      </w:r>
      <w:r w:rsidRPr="000545B6">
        <w:t>no monthly subscription fees.</w:t>
      </w:r>
      <w:r>
        <w:t xml:space="preserve"> However, d</w:t>
      </w:r>
      <w:r w:rsidRPr="000545B6">
        <w:t>espite promising early indications</w:t>
      </w:r>
      <w:r>
        <w:t xml:space="preserve">, </w:t>
      </w:r>
      <w:r w:rsidRPr="000545B6">
        <w:t xml:space="preserve">the Indiegogo </w:t>
      </w:r>
      <w:r>
        <w:t xml:space="preserve">fundraising </w:t>
      </w:r>
      <w:r w:rsidRPr="000545B6">
        <w:t xml:space="preserve">campaign </w:t>
      </w:r>
      <w:r>
        <w:t>fell well short of</w:t>
      </w:r>
      <w:r w:rsidRPr="000545B6">
        <w:t xml:space="preserve"> Selanders</w:t>
      </w:r>
      <w:r>
        <w:t>’s</w:t>
      </w:r>
      <w:r w:rsidRPr="000545B6">
        <w:t xml:space="preserve"> expect</w:t>
      </w:r>
      <w:r>
        <w:t>ations</w:t>
      </w:r>
      <w:r w:rsidRPr="000545B6">
        <w:t xml:space="preserve">, </w:t>
      </w:r>
      <w:r>
        <w:t xml:space="preserve">receiving </w:t>
      </w:r>
      <w:r w:rsidRPr="000545B6">
        <w:t>only 35</w:t>
      </w:r>
      <w:r>
        <w:t xml:space="preserve"> per cent of the required</w:t>
      </w:r>
      <w:r w:rsidRPr="000545B6">
        <w:t xml:space="preserve"> fund</w:t>
      </w:r>
      <w:r>
        <w:t>ing, contributed</w:t>
      </w:r>
      <w:r w:rsidRPr="000545B6">
        <w:t xml:space="preserve"> by 101 backers</w:t>
      </w:r>
      <w:r>
        <w:t xml:space="preserve"> that included</w:t>
      </w:r>
      <w:r w:rsidRPr="000545B6">
        <w:t xml:space="preserve"> family </w:t>
      </w:r>
      <w:r>
        <w:t xml:space="preserve">members </w:t>
      </w:r>
      <w:r w:rsidRPr="000545B6">
        <w:t>and friends.</w:t>
      </w:r>
    </w:p>
    <w:p w14:paraId="4773DC92" w14:textId="77777777" w:rsidR="005E5EEC" w:rsidRDefault="005E5EEC" w:rsidP="00ED66BD">
      <w:pPr>
        <w:pStyle w:val="BodyTextMain"/>
      </w:pPr>
    </w:p>
    <w:p w14:paraId="252C05F2" w14:textId="0AD73FC6" w:rsidR="005E5EEC" w:rsidRDefault="005E5EEC" w:rsidP="00ED66BD">
      <w:pPr>
        <w:pStyle w:val="BodyTextMain"/>
      </w:pPr>
      <w:r w:rsidRPr="000545B6">
        <w:t xml:space="preserve">Selanders </w:t>
      </w:r>
      <w:r>
        <w:t>was thus forced</w:t>
      </w:r>
      <w:r w:rsidRPr="000545B6">
        <w:t xml:space="preserve"> to bootstrap the venture with her own funds </w:t>
      </w:r>
      <w:r>
        <w:t xml:space="preserve">plus a variety of other sources that included </w:t>
      </w:r>
      <w:r w:rsidRPr="000545B6">
        <w:t xml:space="preserve">competition winnings </w:t>
      </w:r>
      <w:r>
        <w:t>(e.g.,</w:t>
      </w:r>
      <w:r w:rsidRPr="000545B6">
        <w:t xml:space="preserve"> Seeds for Dreams</w:t>
      </w:r>
      <w:r>
        <w:t>)</w:t>
      </w:r>
      <w:r w:rsidRPr="000545B6">
        <w:t>,</w:t>
      </w:r>
      <w:r w:rsidRPr="006F2094">
        <w:rPr>
          <w:rStyle w:val="EndnoteReference"/>
        </w:rPr>
        <w:endnoteReference w:id="30"/>
      </w:r>
      <w:r w:rsidRPr="000545B6">
        <w:t xml:space="preserve"> industry support from </w:t>
      </w:r>
      <w:r>
        <w:t>t</w:t>
      </w:r>
      <w:r w:rsidRPr="000545B6">
        <w:t>he National Research Council of Canada</w:t>
      </w:r>
      <w:r>
        <w:t xml:space="preserve">’s </w:t>
      </w:r>
      <w:r w:rsidRPr="000545B6">
        <w:t xml:space="preserve">Industrial Research Assistance Program, </w:t>
      </w:r>
      <w:r>
        <w:t xml:space="preserve">innovation support from the </w:t>
      </w:r>
      <w:r w:rsidRPr="00AA7964">
        <w:t>Made in Saskatchewan Technology</w:t>
      </w:r>
      <w:r>
        <w:t xml:space="preserve"> program</w:t>
      </w:r>
      <w:r w:rsidRPr="000545B6">
        <w:t>,</w:t>
      </w:r>
      <w:r w:rsidRPr="006F2094">
        <w:rPr>
          <w:rStyle w:val="EndnoteReference"/>
        </w:rPr>
        <w:endnoteReference w:id="31"/>
      </w:r>
      <w:r w:rsidRPr="000545B6">
        <w:t xml:space="preserve"> </w:t>
      </w:r>
      <w:r>
        <w:t xml:space="preserve">and additional support from various other </w:t>
      </w:r>
      <w:r w:rsidRPr="000545B6">
        <w:t>mentorship</w:t>
      </w:r>
      <w:r>
        <w:t>s</w:t>
      </w:r>
      <w:r w:rsidRPr="000545B6">
        <w:t xml:space="preserve"> and incubator</w:t>
      </w:r>
      <w:r>
        <w:t>s</w:t>
      </w:r>
      <w:r w:rsidRPr="000545B6">
        <w:t xml:space="preserve"> </w:t>
      </w:r>
      <w:r>
        <w:t>(e.g.,</w:t>
      </w:r>
      <w:r w:rsidRPr="000545B6">
        <w:t xml:space="preserve"> Co.Labs and the Conexus Business Incubators</w:t>
      </w:r>
      <w:r>
        <w:t>)</w:t>
      </w:r>
      <w:r w:rsidRPr="000545B6">
        <w:t>.</w:t>
      </w:r>
      <w:r w:rsidRPr="006F2094">
        <w:rPr>
          <w:rStyle w:val="EndnoteReference"/>
        </w:rPr>
        <w:endnoteReference w:id="32"/>
      </w:r>
    </w:p>
    <w:p w14:paraId="2F8D7F6D" w14:textId="77777777" w:rsidR="005E5EEC" w:rsidRDefault="005E5EEC" w:rsidP="00ED66BD">
      <w:pPr>
        <w:pStyle w:val="BodyTextMain"/>
      </w:pPr>
    </w:p>
    <w:p w14:paraId="34C86ED5" w14:textId="7EB64BFE" w:rsidR="005E5EEC" w:rsidRDefault="005E5EEC" w:rsidP="00ED66BD">
      <w:pPr>
        <w:pStyle w:val="BodyTextMain"/>
      </w:pPr>
      <w:r w:rsidRPr="00A73E96">
        <w:rPr>
          <w:spacing w:val="-4"/>
        </w:rPr>
        <w:t>For the launch, the company decided to use a direct sales approach through the ORA website, accompanied by online advertisements on Google Ads and on Facebook. However, the consumer response again fell short of expectations. Sales generated from the online direct-to-consumer channel were low for the next several months</w:t>
      </w:r>
      <w:r w:rsidRPr="000545B6">
        <w:t>.</w:t>
      </w:r>
    </w:p>
    <w:p w14:paraId="1C02E6D4" w14:textId="77777777" w:rsidR="005E5EEC" w:rsidRDefault="005E5EEC" w:rsidP="00ED66BD">
      <w:pPr>
        <w:pStyle w:val="BodyTextMain"/>
      </w:pPr>
    </w:p>
    <w:p w14:paraId="17B42005" w14:textId="31432DEE" w:rsidR="005E5EEC" w:rsidRPr="000545B6" w:rsidRDefault="005E5EEC" w:rsidP="00ED66BD">
      <w:pPr>
        <w:pStyle w:val="BodyTextMain"/>
      </w:pPr>
      <w:r>
        <w:lastRenderedPageBreak/>
        <w:t xml:space="preserve">Within six months of the product launch, </w:t>
      </w:r>
      <w:r w:rsidRPr="000545B6">
        <w:t xml:space="preserve">Selanders found herself </w:t>
      </w:r>
      <w:r>
        <w:t xml:space="preserve">embroiled </w:t>
      </w:r>
      <w:r w:rsidRPr="000545B6">
        <w:t>in a</w:t>
      </w:r>
      <w:r>
        <w:t xml:space="preserve"> </w:t>
      </w:r>
      <w:r w:rsidRPr="000545B6">
        <w:t xml:space="preserve">paradoxical phenomenon. </w:t>
      </w:r>
      <w:r>
        <w:t>Both</w:t>
      </w:r>
      <w:r w:rsidRPr="000545B6">
        <w:t xml:space="preserve"> the product and </w:t>
      </w:r>
      <w:r>
        <w:t xml:space="preserve">her </w:t>
      </w:r>
      <w:r w:rsidRPr="000545B6">
        <w:t>company receiv</w:t>
      </w:r>
      <w:r>
        <w:t>ed consistent</w:t>
      </w:r>
      <w:r w:rsidRPr="000545B6">
        <w:t xml:space="preserve"> recognition</w:t>
      </w:r>
      <w:r>
        <w:t>,</w:t>
      </w:r>
      <w:r w:rsidRPr="000545B6">
        <w:t xml:space="preserve"> accla</w:t>
      </w:r>
      <w:r>
        <w:t>i</w:t>
      </w:r>
      <w:r w:rsidRPr="000545B6">
        <w:t>m</w:t>
      </w:r>
      <w:r>
        <w:t>,</w:t>
      </w:r>
      <w:r w:rsidRPr="000545B6">
        <w:t xml:space="preserve"> media coverage, awards</w:t>
      </w:r>
      <w:r>
        <w:t>,</w:t>
      </w:r>
      <w:r w:rsidRPr="000545B6">
        <w:t xml:space="preserve"> and prizes.</w:t>
      </w:r>
      <w:r w:rsidRPr="006F2094">
        <w:rPr>
          <w:rStyle w:val="EndnoteReference"/>
        </w:rPr>
        <w:endnoteReference w:id="33"/>
      </w:r>
      <w:r w:rsidRPr="000545B6">
        <w:t xml:space="preserve"> </w:t>
      </w:r>
      <w:r>
        <w:t>However</w:t>
      </w:r>
      <w:r w:rsidRPr="000545B6">
        <w:t xml:space="preserve">, </w:t>
      </w:r>
      <w:r>
        <w:t xml:space="preserve">all that </w:t>
      </w:r>
      <w:r w:rsidRPr="000545B6">
        <w:t xml:space="preserve">fame and publicity had </w:t>
      </w:r>
      <w:r>
        <w:t>failed to</w:t>
      </w:r>
      <w:r w:rsidRPr="000545B6">
        <w:t xml:space="preserve"> translate into </w:t>
      </w:r>
      <w:r>
        <w:t>sales</w:t>
      </w:r>
      <w:r w:rsidRPr="000545B6">
        <w:t xml:space="preserve">. The </w:t>
      </w:r>
      <w:r>
        <w:t xml:space="preserve">typical </w:t>
      </w:r>
      <w:r w:rsidRPr="000545B6">
        <w:t>highs and lows of a technology start-up w</w:t>
      </w:r>
      <w:r>
        <w:t>ere</w:t>
      </w:r>
      <w:r w:rsidRPr="000545B6">
        <w:t xml:space="preserve"> in full view.</w:t>
      </w:r>
    </w:p>
    <w:p w14:paraId="58B23E2B" w14:textId="77777777" w:rsidR="005E5EEC" w:rsidRPr="000545B6" w:rsidRDefault="005E5EEC" w:rsidP="00ED66BD">
      <w:pPr>
        <w:pStyle w:val="BodyTextMain"/>
      </w:pPr>
    </w:p>
    <w:p w14:paraId="743D123E" w14:textId="18C26AB0" w:rsidR="005E5EEC" w:rsidRPr="000545B6" w:rsidRDefault="005E5EEC" w:rsidP="00ED66BD">
      <w:pPr>
        <w:pStyle w:val="BodyTextMain"/>
      </w:pPr>
      <w:r w:rsidRPr="000545B6">
        <w:t>The business</w:t>
      </w:r>
      <w:r>
        <w:t>-</w:t>
      </w:r>
      <w:r w:rsidRPr="000545B6">
        <w:t>to</w:t>
      </w:r>
      <w:r>
        <w:t>-</w:t>
      </w:r>
      <w:r w:rsidRPr="000545B6">
        <w:t xml:space="preserve">consumer market </w:t>
      </w:r>
      <w:r>
        <w:t>was proving</w:t>
      </w:r>
      <w:r w:rsidRPr="000545B6">
        <w:t xml:space="preserve"> difficult to </w:t>
      </w:r>
      <w:r>
        <w:t>break into</w:t>
      </w:r>
      <w:r w:rsidRPr="000545B6">
        <w:t xml:space="preserve">. </w:t>
      </w:r>
      <w:r>
        <w:t>It seemed necessary to p</w:t>
      </w:r>
      <w:r w:rsidRPr="000545B6">
        <w:t>ursu</w:t>
      </w:r>
      <w:r>
        <w:t>e</w:t>
      </w:r>
      <w:r w:rsidRPr="000545B6">
        <w:t xml:space="preserve"> and convinc</w:t>
      </w:r>
      <w:r>
        <w:t>e</w:t>
      </w:r>
      <w:r w:rsidRPr="000545B6">
        <w:t xml:space="preserve"> individual</w:t>
      </w:r>
      <w:r>
        <w:t xml:space="preserve"> users before any </w:t>
      </w:r>
      <w:r w:rsidRPr="000545B6">
        <w:t>sale</w:t>
      </w:r>
      <w:r>
        <w:t>s</w:t>
      </w:r>
      <w:r w:rsidRPr="000545B6">
        <w:t xml:space="preserve"> </w:t>
      </w:r>
      <w:r>
        <w:t xml:space="preserve">could be realized. However, </w:t>
      </w:r>
      <w:r w:rsidRPr="000545B6">
        <w:t xml:space="preserve">typical </w:t>
      </w:r>
      <w:r>
        <w:t>customers were adults</w:t>
      </w:r>
      <w:r w:rsidRPr="000545B6">
        <w:t xml:space="preserve"> in their late seventies or eighties</w:t>
      </w:r>
      <w:r>
        <w:t>,</w:t>
      </w:r>
      <w:r w:rsidRPr="000545B6">
        <w:t xml:space="preserve"> who rarely shopped online </w:t>
      </w:r>
      <w:r>
        <w:t>for personal health and</w:t>
      </w:r>
      <w:r w:rsidRPr="000545B6">
        <w:t xml:space="preserve"> safety </w:t>
      </w:r>
      <w:r>
        <w:t>products</w:t>
      </w:r>
      <w:r w:rsidRPr="000545B6">
        <w:t xml:space="preserve">. </w:t>
      </w:r>
      <w:r>
        <w:t xml:space="preserve">Even if the </w:t>
      </w:r>
      <w:r w:rsidRPr="000545B6">
        <w:t xml:space="preserve">children or relatives </w:t>
      </w:r>
      <w:r>
        <w:t xml:space="preserve">of the target customers made the device </w:t>
      </w:r>
      <w:r w:rsidRPr="000545B6">
        <w:t xml:space="preserve">purchase, </w:t>
      </w:r>
      <w:r>
        <w:t>many</w:t>
      </w:r>
      <w:r w:rsidRPr="000545B6">
        <w:t xml:space="preserve"> users </w:t>
      </w:r>
      <w:r>
        <w:t>did not own or carry</w:t>
      </w:r>
      <w:r w:rsidRPr="000545B6">
        <w:t xml:space="preserve"> a smart</w:t>
      </w:r>
      <w:r>
        <w:t xml:space="preserve"> </w:t>
      </w:r>
      <w:r w:rsidRPr="000545B6">
        <w:t>phone</w:t>
      </w:r>
      <w:r>
        <w:t>, which</w:t>
      </w:r>
      <w:r w:rsidRPr="000545B6">
        <w:t xml:space="preserve"> </w:t>
      </w:r>
      <w:r>
        <w:t>was a requirement for the</w:t>
      </w:r>
      <w:r w:rsidRPr="000545B6">
        <w:t xml:space="preserve"> ORA device to function</w:t>
      </w:r>
      <w:r>
        <w:t xml:space="preserve"> properly</w:t>
      </w:r>
      <w:r w:rsidRPr="000545B6">
        <w:t>.</w:t>
      </w:r>
      <w:r w:rsidRPr="006F2094">
        <w:rPr>
          <w:rStyle w:val="EndnoteReference"/>
        </w:rPr>
        <w:endnoteReference w:id="34"/>
      </w:r>
      <w:r w:rsidRPr="000545B6">
        <w:t xml:space="preserve"> Therefore, ORA employees </w:t>
      </w:r>
      <w:r>
        <w:t>would have</w:t>
      </w:r>
      <w:r w:rsidRPr="000545B6">
        <w:t xml:space="preserve"> to spend a significant amount of time train</w:t>
      </w:r>
      <w:r>
        <w:t>ing</w:t>
      </w:r>
      <w:r w:rsidRPr="000545B6">
        <w:t xml:space="preserve"> and onboard</w:t>
      </w:r>
      <w:r>
        <w:t xml:space="preserve">ing </w:t>
      </w:r>
      <w:r w:rsidRPr="000545B6">
        <w:t>end</w:t>
      </w:r>
      <w:r>
        <w:t xml:space="preserve"> </w:t>
      </w:r>
      <w:r w:rsidRPr="000545B6">
        <w:t>users</w:t>
      </w:r>
      <w:r>
        <w:t>, in addition</w:t>
      </w:r>
      <w:r w:rsidRPr="000545B6">
        <w:t xml:space="preserve"> to provid</w:t>
      </w:r>
      <w:r>
        <w:t>ing</w:t>
      </w:r>
      <w:r w:rsidRPr="000545B6">
        <w:t xml:space="preserve"> ongoing support. The next generation of </w:t>
      </w:r>
      <w:r>
        <w:t>potential ORA customers were</w:t>
      </w:r>
      <w:r w:rsidRPr="000545B6">
        <w:t xml:space="preserve"> baby boomers</w:t>
      </w:r>
      <w:r>
        <w:t xml:space="preserve">, who </w:t>
      </w:r>
      <w:r w:rsidRPr="000545B6">
        <w:t xml:space="preserve">were </w:t>
      </w:r>
      <w:r>
        <w:t xml:space="preserve">currently </w:t>
      </w:r>
      <w:r w:rsidRPr="000545B6">
        <w:t>in their fifties and sixties</w:t>
      </w:r>
      <w:r>
        <w:t xml:space="preserve"> and would be </w:t>
      </w:r>
      <w:r w:rsidRPr="000545B6">
        <w:t>more tech</w:t>
      </w:r>
      <w:r>
        <w:t>nology</w:t>
      </w:r>
      <w:r w:rsidRPr="000545B6">
        <w:t>-savvy.</w:t>
      </w:r>
      <w:r w:rsidRPr="006F2094">
        <w:rPr>
          <w:rStyle w:val="EndnoteReference"/>
        </w:rPr>
        <w:endnoteReference w:id="35"/>
      </w:r>
      <w:r w:rsidRPr="000545B6">
        <w:t xml:space="preserve"> </w:t>
      </w:r>
      <w:r>
        <w:t>However, t</w:t>
      </w:r>
      <w:r w:rsidRPr="000545B6">
        <w:t xml:space="preserve">hese users </w:t>
      </w:r>
      <w:r>
        <w:t>would also be unlikely to accept</w:t>
      </w:r>
      <w:r w:rsidRPr="000545B6">
        <w:t xml:space="preserve"> PERS </w:t>
      </w:r>
      <w:r>
        <w:t xml:space="preserve">devices </w:t>
      </w:r>
      <w:r w:rsidRPr="000545B6">
        <w:t>for</w:t>
      </w:r>
      <w:r>
        <w:t xml:space="preserve"> reasons</w:t>
      </w:r>
      <w:r w:rsidRPr="000545B6">
        <w:t xml:space="preserve"> s</w:t>
      </w:r>
      <w:r>
        <w:t>imilar</w:t>
      </w:r>
      <w:r w:rsidRPr="000545B6">
        <w:t xml:space="preserve"> </w:t>
      </w:r>
      <w:r>
        <w:t>to their reluctance to wear</w:t>
      </w:r>
      <w:r w:rsidRPr="000545B6">
        <w:t xml:space="preserve"> hearing aid</w:t>
      </w:r>
      <w:r>
        <w:t>s—they</w:t>
      </w:r>
      <w:r w:rsidRPr="000545B6">
        <w:t xml:space="preserve"> made </w:t>
      </w:r>
      <w:r>
        <w:t>users</w:t>
      </w:r>
      <w:r w:rsidRPr="000545B6">
        <w:t xml:space="preserve"> feel old.</w:t>
      </w:r>
      <w:r w:rsidRPr="006F2094">
        <w:rPr>
          <w:rStyle w:val="EndnoteReference"/>
        </w:rPr>
        <w:endnoteReference w:id="36"/>
      </w:r>
    </w:p>
    <w:p w14:paraId="4E7C70B3" w14:textId="77777777" w:rsidR="005E5EEC" w:rsidRPr="000545B6" w:rsidRDefault="005E5EEC" w:rsidP="00ED66BD">
      <w:pPr>
        <w:pStyle w:val="BodyTextMain"/>
      </w:pPr>
    </w:p>
    <w:p w14:paraId="65F1B7BA" w14:textId="188BD94B" w:rsidR="005E5EEC" w:rsidRPr="000545B6" w:rsidRDefault="005E5EEC" w:rsidP="00ED66BD">
      <w:pPr>
        <w:pStyle w:val="BodyTextMain"/>
      </w:pPr>
      <w:r>
        <w:t>Selanders and her team were facing</w:t>
      </w:r>
      <w:r w:rsidRPr="000545B6">
        <w:t xml:space="preserve"> </w:t>
      </w:r>
      <w:r>
        <w:t>considerable difficulties. Challenges included</w:t>
      </w:r>
      <w:r w:rsidRPr="000545B6">
        <w:t xml:space="preserve"> creating customized hardware and software</w:t>
      </w:r>
      <w:r>
        <w:t>, managing consumer</w:t>
      </w:r>
      <w:r w:rsidRPr="000545B6">
        <w:t xml:space="preserve"> behavio</w:t>
      </w:r>
      <w:r>
        <w:t>u</w:t>
      </w:r>
      <w:r w:rsidRPr="000545B6">
        <w:t xml:space="preserve">r, </w:t>
      </w:r>
      <w:r>
        <w:t>and affording</w:t>
      </w:r>
      <w:r w:rsidRPr="000545B6">
        <w:t xml:space="preserve"> the </w:t>
      </w:r>
      <w:r>
        <w:t xml:space="preserve">high </w:t>
      </w:r>
      <w:r w:rsidRPr="000545B6">
        <w:t>cost of online advertis</w:t>
      </w:r>
      <w:r>
        <w:t>ing such as</w:t>
      </w:r>
      <w:r w:rsidRPr="000545B6">
        <w:t xml:space="preserve"> Google Ads</w:t>
      </w:r>
      <w:r>
        <w:t>, which had been driven</w:t>
      </w:r>
      <w:r w:rsidRPr="000545B6">
        <w:t xml:space="preserve"> out </w:t>
      </w:r>
      <w:r>
        <w:t xml:space="preserve">of </w:t>
      </w:r>
      <w:r w:rsidRPr="000545B6">
        <w:t>the reach of a start</w:t>
      </w:r>
      <w:r>
        <w:t>-</w:t>
      </w:r>
      <w:r w:rsidRPr="000545B6">
        <w:t>up company</w:t>
      </w:r>
      <w:r>
        <w:t xml:space="preserve"> by capital rich competitors</w:t>
      </w:r>
      <w:r w:rsidRPr="000545B6">
        <w:t xml:space="preserve">. These companies </w:t>
      </w:r>
      <w:r>
        <w:t>were wealthy, well established</w:t>
      </w:r>
      <w:r w:rsidRPr="000545B6">
        <w:t xml:space="preserve">, and </w:t>
      </w:r>
      <w:r>
        <w:t>widely spread throughout</w:t>
      </w:r>
      <w:r w:rsidRPr="000545B6">
        <w:t xml:space="preserve"> the PERS market. Selanders </w:t>
      </w:r>
      <w:r>
        <w:t>felt as if</w:t>
      </w:r>
      <w:r w:rsidRPr="000545B6">
        <w:t xml:space="preserve"> </w:t>
      </w:r>
      <w:r>
        <w:t xml:space="preserve">the </w:t>
      </w:r>
      <w:r w:rsidRPr="000545B6">
        <w:t xml:space="preserve">ORA </w:t>
      </w:r>
      <w:r>
        <w:t xml:space="preserve">product </w:t>
      </w:r>
      <w:r w:rsidRPr="000545B6">
        <w:t>was too early for users and too late for the market.</w:t>
      </w:r>
    </w:p>
    <w:p w14:paraId="6AB4601F" w14:textId="24D86552" w:rsidR="005E5EEC" w:rsidRPr="000545B6" w:rsidRDefault="005E5EEC" w:rsidP="00ED66BD">
      <w:pPr>
        <w:pStyle w:val="BodyTextMain"/>
      </w:pPr>
    </w:p>
    <w:p w14:paraId="0522474C" w14:textId="77777777" w:rsidR="005E5EEC" w:rsidRPr="000545B6" w:rsidRDefault="005E5EEC" w:rsidP="00ED66BD">
      <w:pPr>
        <w:pStyle w:val="BodyTextMain"/>
      </w:pPr>
    </w:p>
    <w:p w14:paraId="0F15D13B" w14:textId="77777777" w:rsidR="005E5EEC" w:rsidRPr="000545B6" w:rsidRDefault="005E5EEC" w:rsidP="00CB6E6F">
      <w:pPr>
        <w:pStyle w:val="Casehead1"/>
      </w:pPr>
      <w:r w:rsidRPr="000545B6">
        <w:t>a New Market</w:t>
      </w:r>
    </w:p>
    <w:p w14:paraId="44DF67F0" w14:textId="77777777" w:rsidR="005E5EEC" w:rsidRPr="000545B6" w:rsidRDefault="005E5EEC" w:rsidP="00ED66BD">
      <w:pPr>
        <w:pStyle w:val="BodyTextMain"/>
      </w:pPr>
    </w:p>
    <w:p w14:paraId="3CBFD15C" w14:textId="7583A153" w:rsidR="005E5EEC" w:rsidRPr="00A73E96" w:rsidRDefault="005E5EEC" w:rsidP="00ED66BD">
      <w:pPr>
        <w:pStyle w:val="BodyTextMain"/>
        <w:rPr>
          <w:spacing w:val="-2"/>
        </w:rPr>
      </w:pPr>
      <w:r w:rsidRPr="00A73E96">
        <w:rPr>
          <w:spacing w:val="-2"/>
        </w:rPr>
        <w:t>In 2017, an unexpected and tragic event made Selanders realize that her product could help another consumer segment. A local female realtor, who was attacked while showing a home to a potential buyer, later contacted Selanders for safety advice. At that point, Selanders realized that her product could help provide safety and assistance in a new market, where consumers worked mainly alone. These people were sometimes referred to as “lone workers.” In North America, over 25 million people held positions that required them to work mainly on their own,</w:t>
      </w:r>
      <w:r w:rsidRPr="00A73E96">
        <w:rPr>
          <w:rStyle w:val="EndnoteReference"/>
          <w:spacing w:val="-2"/>
        </w:rPr>
        <w:endnoteReference w:id="37"/>
      </w:r>
      <w:r w:rsidRPr="00A73E96">
        <w:rPr>
          <w:spacing w:val="-2"/>
        </w:rPr>
        <w:t xml:space="preserve"> including taxi drivers, realtors, delivery people, security guards, and convenience store workers. These workers, among others, typically spent most hours alone and often outside business hours.</w:t>
      </w:r>
      <w:r w:rsidRPr="00A73E96">
        <w:rPr>
          <w:rStyle w:val="EndnoteReference"/>
          <w:spacing w:val="-2"/>
        </w:rPr>
        <w:endnoteReference w:id="38"/>
      </w:r>
      <w:r w:rsidRPr="00A73E96">
        <w:rPr>
          <w:spacing w:val="-2"/>
        </w:rPr>
        <w:t xml:space="preserve"> The ORA device could fulfill an important need by helping to keep these workers safe.</w:t>
      </w:r>
    </w:p>
    <w:p w14:paraId="24126C37" w14:textId="77777777" w:rsidR="005E5EEC" w:rsidRDefault="005E5EEC" w:rsidP="00ED66BD">
      <w:pPr>
        <w:pStyle w:val="BodyTextMain"/>
      </w:pPr>
    </w:p>
    <w:p w14:paraId="06743CC0" w14:textId="55D0E09E" w:rsidR="005E5EEC" w:rsidRPr="000545B6" w:rsidRDefault="005E5EEC" w:rsidP="00ED66BD">
      <w:pPr>
        <w:pStyle w:val="BodyTextMain"/>
      </w:pPr>
      <w:r>
        <w:t>With a</w:t>
      </w:r>
      <w:r w:rsidRPr="000545B6">
        <w:t xml:space="preserve"> $200 price point for the device, </w:t>
      </w:r>
      <w:r>
        <w:t xml:space="preserve">Selanders saw </w:t>
      </w:r>
      <w:r w:rsidRPr="000545B6">
        <w:t xml:space="preserve">this as </w:t>
      </w:r>
      <w:r>
        <w:t xml:space="preserve">a </w:t>
      </w:r>
      <w:r w:rsidRPr="000545B6">
        <w:t xml:space="preserve">potentially untapped opportunity with a total addressable market </w:t>
      </w:r>
      <w:r>
        <w:t xml:space="preserve">of </w:t>
      </w:r>
      <w:r w:rsidRPr="000545B6">
        <w:t>$5 billion and far less existing competition</w:t>
      </w:r>
      <w:r>
        <w:t>. Therefore, she</w:t>
      </w:r>
      <w:r w:rsidRPr="000545B6">
        <w:t xml:space="preserve"> launched a </w:t>
      </w:r>
      <w:r>
        <w:t xml:space="preserve">new </w:t>
      </w:r>
      <w:r w:rsidRPr="000545B6">
        <w:t xml:space="preserve">version of </w:t>
      </w:r>
      <w:r>
        <w:t>t</w:t>
      </w:r>
      <w:r w:rsidRPr="000545B6">
        <w:t xml:space="preserve">he </w:t>
      </w:r>
      <w:r>
        <w:t xml:space="preserve">ORA </w:t>
      </w:r>
      <w:r w:rsidRPr="000545B6">
        <w:t xml:space="preserve">product </w:t>
      </w:r>
      <w:r>
        <w:t xml:space="preserve">for this target group, called the </w:t>
      </w:r>
      <w:r w:rsidRPr="000545B6">
        <w:t>ORA P</w:t>
      </w:r>
      <w:r>
        <w:t>RO</w:t>
      </w:r>
      <w:r w:rsidRPr="000545B6">
        <w:t xml:space="preserve"> (see Exhibit 4). Unlike </w:t>
      </w:r>
      <w:r>
        <w:t>with older adults, who usually only used a PERS product after a</w:t>
      </w:r>
      <w:r w:rsidRPr="000545B6">
        <w:t xml:space="preserve"> caregiver</w:t>
      </w:r>
      <w:r>
        <w:t xml:space="preserve"> or family member made the purchase</w:t>
      </w:r>
      <w:r w:rsidRPr="000545B6">
        <w:t>, employer</w:t>
      </w:r>
      <w:r>
        <w:t>s</w:t>
      </w:r>
      <w:r w:rsidRPr="000545B6">
        <w:t xml:space="preserve"> and </w:t>
      </w:r>
      <w:r>
        <w:t xml:space="preserve">lone worker </w:t>
      </w:r>
      <w:r w:rsidRPr="000545B6">
        <w:t>employee</w:t>
      </w:r>
      <w:r>
        <w:t xml:space="preserve">s </w:t>
      </w:r>
      <w:r w:rsidRPr="000545B6">
        <w:t xml:space="preserve">were legally required to have </w:t>
      </w:r>
      <w:r>
        <w:t xml:space="preserve">a </w:t>
      </w:r>
      <w:r w:rsidRPr="000545B6">
        <w:t>monitoring service</w:t>
      </w:r>
      <w:r>
        <w:t xml:space="preserve"> in place</w:t>
      </w:r>
      <w:r w:rsidRPr="000545B6">
        <w:t xml:space="preserve"> for safety.</w:t>
      </w:r>
      <w:r>
        <w:t xml:space="preserve"> The</w:t>
      </w:r>
      <w:r w:rsidRPr="000545B6">
        <w:t xml:space="preserve"> ORA P</w:t>
      </w:r>
      <w:r>
        <w:t>RO</w:t>
      </w:r>
      <w:r w:rsidRPr="000545B6">
        <w:t xml:space="preserve"> </w:t>
      </w:r>
      <w:r>
        <w:t xml:space="preserve">device </w:t>
      </w:r>
      <w:r w:rsidRPr="000545B6">
        <w:t xml:space="preserve">offered </w:t>
      </w:r>
      <w:r>
        <w:t>such a solution</w:t>
      </w:r>
      <w:r w:rsidRPr="000545B6">
        <w:t xml:space="preserve"> for </w:t>
      </w:r>
      <w:r>
        <w:t xml:space="preserve">the initial </w:t>
      </w:r>
      <w:r w:rsidRPr="000545B6">
        <w:t xml:space="preserve">$200 </w:t>
      </w:r>
      <w:r>
        <w:t>device cost plus</w:t>
      </w:r>
      <w:r w:rsidRPr="000545B6">
        <w:t xml:space="preserve"> a monthly fee of $5 for continuous support</w:t>
      </w:r>
      <w:r>
        <w:t xml:space="preserve"> to</w:t>
      </w:r>
      <w:r w:rsidRPr="000545B6">
        <w:t xml:space="preserve"> consumers in this market </w:t>
      </w:r>
      <w:r>
        <w:t>segment</w:t>
      </w:r>
      <w:r w:rsidRPr="000545B6">
        <w:t>.</w:t>
      </w:r>
      <w:r w:rsidRPr="006F2094">
        <w:rPr>
          <w:rStyle w:val="EndnoteReference"/>
        </w:rPr>
        <w:endnoteReference w:id="39"/>
      </w:r>
    </w:p>
    <w:p w14:paraId="321E1128" w14:textId="77777777" w:rsidR="005E5EEC" w:rsidRPr="000545B6" w:rsidRDefault="005E5EEC" w:rsidP="00ED66BD">
      <w:pPr>
        <w:pStyle w:val="BodyTextMain"/>
      </w:pPr>
    </w:p>
    <w:p w14:paraId="380D9B5F" w14:textId="2EF9CEC8" w:rsidR="005E5EEC" w:rsidRDefault="005E5EEC" w:rsidP="00ED66BD">
      <w:pPr>
        <w:pStyle w:val="BodyTextMain"/>
        <w:rPr>
          <w:spacing w:val="-2"/>
        </w:rPr>
      </w:pPr>
      <w:r>
        <w:rPr>
          <w:spacing w:val="-2"/>
        </w:rPr>
        <w:t>However</w:t>
      </w:r>
      <w:r w:rsidRPr="000545B6">
        <w:rPr>
          <w:spacing w:val="-2"/>
        </w:rPr>
        <w:t xml:space="preserve">, </w:t>
      </w:r>
      <w:r>
        <w:rPr>
          <w:spacing w:val="-2"/>
        </w:rPr>
        <w:t>Selanders was again disappointed (</w:t>
      </w:r>
      <w:r w:rsidRPr="000545B6">
        <w:rPr>
          <w:spacing w:val="-2"/>
        </w:rPr>
        <w:t>somewhat surprisingly</w:t>
      </w:r>
      <w:r>
        <w:rPr>
          <w:spacing w:val="-2"/>
        </w:rPr>
        <w:t>)</w:t>
      </w:r>
      <w:r w:rsidRPr="000545B6">
        <w:rPr>
          <w:spacing w:val="-2"/>
        </w:rPr>
        <w:t xml:space="preserve"> </w:t>
      </w:r>
      <w:r>
        <w:rPr>
          <w:spacing w:val="-2"/>
        </w:rPr>
        <w:t xml:space="preserve">at </w:t>
      </w:r>
      <w:r w:rsidRPr="000545B6">
        <w:rPr>
          <w:spacing w:val="-2"/>
        </w:rPr>
        <w:t xml:space="preserve">the </w:t>
      </w:r>
      <w:r>
        <w:rPr>
          <w:spacing w:val="-2"/>
        </w:rPr>
        <w:t xml:space="preserve">lower-than-expected success of the ORA </w:t>
      </w:r>
      <w:r w:rsidRPr="000545B6">
        <w:rPr>
          <w:spacing w:val="-2"/>
        </w:rPr>
        <w:t>P</w:t>
      </w:r>
      <w:r>
        <w:rPr>
          <w:spacing w:val="-2"/>
        </w:rPr>
        <w:t>RO</w:t>
      </w:r>
      <w:r w:rsidRPr="000545B6">
        <w:rPr>
          <w:spacing w:val="-2"/>
        </w:rPr>
        <w:t xml:space="preserve">. </w:t>
      </w:r>
      <w:r>
        <w:rPr>
          <w:spacing w:val="-2"/>
        </w:rPr>
        <w:t>Potential</w:t>
      </w:r>
      <w:r w:rsidRPr="000545B6">
        <w:rPr>
          <w:spacing w:val="-2"/>
        </w:rPr>
        <w:t xml:space="preserve"> customers </w:t>
      </w:r>
      <w:r>
        <w:rPr>
          <w:spacing w:val="-2"/>
        </w:rPr>
        <w:t>who visited</w:t>
      </w:r>
      <w:r w:rsidRPr="000545B6">
        <w:rPr>
          <w:spacing w:val="-2"/>
        </w:rPr>
        <w:t xml:space="preserve"> the ORA website </w:t>
      </w:r>
      <w:r>
        <w:rPr>
          <w:spacing w:val="-2"/>
        </w:rPr>
        <w:t>were greeted by</w:t>
      </w:r>
      <w:r w:rsidRPr="000545B6">
        <w:rPr>
          <w:spacing w:val="-2"/>
        </w:rPr>
        <w:t xml:space="preserve"> </w:t>
      </w:r>
      <w:r>
        <w:rPr>
          <w:spacing w:val="-2"/>
        </w:rPr>
        <w:t xml:space="preserve">two versions of the ORA product: the new </w:t>
      </w:r>
      <w:r w:rsidRPr="000545B6">
        <w:rPr>
          <w:spacing w:val="-2"/>
        </w:rPr>
        <w:t>ORA P</w:t>
      </w:r>
      <w:r>
        <w:rPr>
          <w:spacing w:val="-2"/>
        </w:rPr>
        <w:t>RO</w:t>
      </w:r>
      <w:r w:rsidRPr="000545B6">
        <w:rPr>
          <w:spacing w:val="-2"/>
        </w:rPr>
        <w:t xml:space="preserve"> </w:t>
      </w:r>
      <w:r>
        <w:rPr>
          <w:spacing w:val="-2"/>
        </w:rPr>
        <w:t xml:space="preserve">device </w:t>
      </w:r>
      <w:r w:rsidRPr="000545B6">
        <w:rPr>
          <w:spacing w:val="-2"/>
        </w:rPr>
        <w:t xml:space="preserve">for </w:t>
      </w:r>
      <w:r>
        <w:rPr>
          <w:spacing w:val="-2"/>
        </w:rPr>
        <w:t xml:space="preserve">able </w:t>
      </w:r>
      <w:r w:rsidRPr="000545B6">
        <w:rPr>
          <w:spacing w:val="-2"/>
        </w:rPr>
        <w:t xml:space="preserve">professionals </w:t>
      </w:r>
      <w:r>
        <w:rPr>
          <w:spacing w:val="-2"/>
        </w:rPr>
        <w:t xml:space="preserve">of all ages </w:t>
      </w:r>
      <w:r w:rsidRPr="000545B6">
        <w:rPr>
          <w:spacing w:val="-2"/>
        </w:rPr>
        <w:t xml:space="preserve">and the regular ORA </w:t>
      </w:r>
      <w:r>
        <w:rPr>
          <w:spacing w:val="-2"/>
        </w:rPr>
        <w:t xml:space="preserve">device </w:t>
      </w:r>
      <w:r w:rsidRPr="000545B6">
        <w:rPr>
          <w:spacing w:val="-2"/>
        </w:rPr>
        <w:t xml:space="preserve">for </w:t>
      </w:r>
      <w:r>
        <w:rPr>
          <w:spacing w:val="-2"/>
        </w:rPr>
        <w:t>older ailing adults who needed care</w:t>
      </w:r>
      <w:r w:rsidRPr="000545B6">
        <w:rPr>
          <w:spacing w:val="-2"/>
        </w:rPr>
        <w:t xml:space="preserve">. </w:t>
      </w:r>
      <w:r>
        <w:rPr>
          <w:spacing w:val="-2"/>
        </w:rPr>
        <w:t>However, consumers</w:t>
      </w:r>
      <w:r w:rsidRPr="000545B6">
        <w:rPr>
          <w:spacing w:val="-2"/>
        </w:rPr>
        <w:t xml:space="preserve"> were confused about </w:t>
      </w:r>
      <w:r>
        <w:rPr>
          <w:spacing w:val="-2"/>
        </w:rPr>
        <w:t>the intended user of each</w:t>
      </w:r>
      <w:r w:rsidRPr="000545B6">
        <w:rPr>
          <w:spacing w:val="-2"/>
        </w:rPr>
        <w:t xml:space="preserve"> </w:t>
      </w:r>
      <w:r>
        <w:rPr>
          <w:spacing w:val="-2"/>
        </w:rPr>
        <w:t>device</w:t>
      </w:r>
      <w:r w:rsidRPr="000545B6">
        <w:rPr>
          <w:spacing w:val="-2"/>
        </w:rPr>
        <w:t xml:space="preserve">. Selanders </w:t>
      </w:r>
      <w:r>
        <w:rPr>
          <w:spacing w:val="-2"/>
        </w:rPr>
        <w:t>found</w:t>
      </w:r>
      <w:r w:rsidRPr="000545B6">
        <w:rPr>
          <w:spacing w:val="-2"/>
        </w:rPr>
        <w:t xml:space="preserve"> that many professional users ended up purchasing the regular version of ORA to avoid the </w:t>
      </w:r>
      <w:r>
        <w:rPr>
          <w:spacing w:val="-2"/>
        </w:rPr>
        <w:t xml:space="preserve">monthly </w:t>
      </w:r>
      <w:r w:rsidRPr="000545B6">
        <w:rPr>
          <w:spacing w:val="-2"/>
        </w:rPr>
        <w:t xml:space="preserve">subscription fee. </w:t>
      </w:r>
      <w:r>
        <w:rPr>
          <w:spacing w:val="-2"/>
        </w:rPr>
        <w:t xml:space="preserve">Another issue she confronted was corporate image. Despite the device’s efficiency, </w:t>
      </w:r>
      <w:r>
        <w:rPr>
          <w:spacing w:val="-2"/>
        </w:rPr>
        <w:lastRenderedPageBreak/>
        <w:t>companies were</w:t>
      </w:r>
      <w:r w:rsidRPr="000545B6">
        <w:rPr>
          <w:spacing w:val="-2"/>
        </w:rPr>
        <w:t xml:space="preserve"> reluctant to </w:t>
      </w:r>
      <w:r>
        <w:rPr>
          <w:spacing w:val="-2"/>
        </w:rPr>
        <w:t xml:space="preserve">admit and </w:t>
      </w:r>
      <w:r w:rsidRPr="000545B6">
        <w:rPr>
          <w:spacing w:val="-2"/>
        </w:rPr>
        <w:t>publicize the</w:t>
      </w:r>
      <w:r>
        <w:rPr>
          <w:spacing w:val="-2"/>
        </w:rPr>
        <w:t>ir need for the safety that the device</w:t>
      </w:r>
      <w:r w:rsidRPr="000545B6">
        <w:rPr>
          <w:spacing w:val="-2"/>
        </w:rPr>
        <w:t xml:space="preserve"> </w:t>
      </w:r>
      <w:r>
        <w:rPr>
          <w:spacing w:val="-2"/>
        </w:rPr>
        <w:t xml:space="preserve">provided </w:t>
      </w:r>
      <w:r w:rsidRPr="000545B6">
        <w:rPr>
          <w:spacing w:val="-2"/>
        </w:rPr>
        <w:t>given the sensitive nature of the situations (e.g.</w:t>
      </w:r>
      <w:r>
        <w:rPr>
          <w:spacing w:val="-2"/>
        </w:rPr>
        <w:t>,</w:t>
      </w:r>
      <w:r w:rsidRPr="000545B6">
        <w:rPr>
          <w:spacing w:val="-2"/>
        </w:rPr>
        <w:t xml:space="preserve"> assaults</w:t>
      </w:r>
      <w:r>
        <w:rPr>
          <w:spacing w:val="-2"/>
        </w:rPr>
        <w:t xml:space="preserve"> and</w:t>
      </w:r>
      <w:r w:rsidRPr="000545B6">
        <w:rPr>
          <w:spacing w:val="-2"/>
        </w:rPr>
        <w:t xml:space="preserve"> injuries).</w:t>
      </w:r>
      <w:r w:rsidRPr="006F2094">
        <w:rPr>
          <w:rStyle w:val="EndnoteReference"/>
        </w:rPr>
        <w:endnoteReference w:id="40"/>
      </w:r>
    </w:p>
    <w:p w14:paraId="2C9AE799" w14:textId="77777777" w:rsidR="00647F37" w:rsidRDefault="00647F37" w:rsidP="00ED66BD">
      <w:pPr>
        <w:pStyle w:val="BodyTextMain"/>
        <w:rPr>
          <w:spacing w:val="-2"/>
        </w:rPr>
      </w:pPr>
    </w:p>
    <w:p w14:paraId="344B5869" w14:textId="55B6E5F2" w:rsidR="00ED66BD" w:rsidRPr="003F4C73" w:rsidRDefault="00647F37" w:rsidP="00ED66BD">
      <w:pPr>
        <w:pStyle w:val="BodyTextMain"/>
        <w:rPr>
          <w:spacing w:val="-6"/>
        </w:rPr>
      </w:pPr>
      <w:r w:rsidRPr="003F4C73">
        <w:rPr>
          <w:spacing w:val="-6"/>
        </w:rPr>
        <w:t>Eventually, as t</w:t>
      </w:r>
      <w:r w:rsidR="00ED66BD" w:rsidRPr="003F4C73">
        <w:rPr>
          <w:spacing w:val="-6"/>
        </w:rPr>
        <w:t>he company’s financial situation was becoming tenuous</w:t>
      </w:r>
      <w:r w:rsidRPr="003F4C73">
        <w:rPr>
          <w:spacing w:val="-6"/>
        </w:rPr>
        <w:t>,</w:t>
      </w:r>
      <w:r w:rsidR="00ED66BD" w:rsidRPr="003F4C73">
        <w:rPr>
          <w:spacing w:val="-6"/>
        </w:rPr>
        <w:t xml:space="preserve"> Selanders set herself a target date of September 2019 to make a </w:t>
      </w:r>
      <w:r w:rsidRPr="003F4C73">
        <w:rPr>
          <w:spacing w:val="-6"/>
        </w:rPr>
        <w:t xml:space="preserve">decisive </w:t>
      </w:r>
      <w:r w:rsidR="00ED66BD" w:rsidRPr="003F4C73">
        <w:rPr>
          <w:spacing w:val="-6"/>
        </w:rPr>
        <w:t xml:space="preserve">strategic </w:t>
      </w:r>
      <w:r w:rsidR="00432DD3" w:rsidRPr="003F4C73">
        <w:rPr>
          <w:spacing w:val="-6"/>
        </w:rPr>
        <w:t>decision</w:t>
      </w:r>
      <w:r w:rsidR="00ED66BD" w:rsidRPr="003F4C73">
        <w:rPr>
          <w:spacing w:val="-6"/>
        </w:rPr>
        <w:t xml:space="preserve"> </w:t>
      </w:r>
      <w:r w:rsidRPr="003F4C73">
        <w:rPr>
          <w:spacing w:val="-6"/>
        </w:rPr>
        <w:t>regarding the future of her company</w:t>
      </w:r>
      <w:r w:rsidR="00585786" w:rsidRPr="003F4C73">
        <w:rPr>
          <w:spacing w:val="-6"/>
        </w:rPr>
        <w:t xml:space="preserve"> </w:t>
      </w:r>
      <w:r w:rsidR="00ED66BD" w:rsidRPr="003F4C73">
        <w:rPr>
          <w:spacing w:val="-6"/>
        </w:rPr>
        <w:t xml:space="preserve">(see Exhibits </w:t>
      </w:r>
      <w:r w:rsidR="00384EBD" w:rsidRPr="003F4C73">
        <w:rPr>
          <w:spacing w:val="-6"/>
        </w:rPr>
        <w:t>5</w:t>
      </w:r>
      <w:r w:rsidR="00ED66BD" w:rsidRPr="003F4C73">
        <w:rPr>
          <w:spacing w:val="-6"/>
        </w:rPr>
        <w:t xml:space="preserve"> and </w:t>
      </w:r>
      <w:r w:rsidR="00384EBD" w:rsidRPr="003F4C73">
        <w:rPr>
          <w:spacing w:val="-6"/>
        </w:rPr>
        <w:t>6</w:t>
      </w:r>
      <w:r w:rsidR="00ED66BD" w:rsidRPr="003F4C73">
        <w:rPr>
          <w:spacing w:val="-6"/>
        </w:rPr>
        <w:t>).</w:t>
      </w:r>
    </w:p>
    <w:p w14:paraId="498B72A2" w14:textId="468504FF" w:rsidR="00ED66BD" w:rsidRPr="000545B6" w:rsidRDefault="00ED66BD" w:rsidP="00ED66BD">
      <w:pPr>
        <w:pStyle w:val="BodyTextMain"/>
      </w:pPr>
    </w:p>
    <w:p w14:paraId="7E857A8C" w14:textId="77777777" w:rsidR="00647F37" w:rsidRDefault="00647F37" w:rsidP="006F2094">
      <w:pPr>
        <w:pStyle w:val="BodyTextMain"/>
      </w:pPr>
    </w:p>
    <w:p w14:paraId="05B99D6D" w14:textId="1C90EA9E" w:rsidR="00ED66BD" w:rsidRPr="000545B6" w:rsidRDefault="00ED66BD" w:rsidP="00CB6E6F">
      <w:pPr>
        <w:pStyle w:val="Casehead1"/>
      </w:pPr>
      <w:r w:rsidRPr="000545B6">
        <w:t>the future</w:t>
      </w:r>
    </w:p>
    <w:p w14:paraId="73C7FD70" w14:textId="77777777" w:rsidR="00CB6E6F" w:rsidRPr="000545B6" w:rsidRDefault="00CB6E6F" w:rsidP="00ED66BD">
      <w:pPr>
        <w:pStyle w:val="BodyTextMain"/>
        <w:rPr>
          <w:sz w:val="24"/>
          <w:szCs w:val="24"/>
        </w:rPr>
      </w:pPr>
    </w:p>
    <w:p w14:paraId="37ACD7CF" w14:textId="64A05F16" w:rsidR="00647F37" w:rsidRDefault="00ED66BD" w:rsidP="00CB6E6F">
      <w:pPr>
        <w:pStyle w:val="BodyTextMain"/>
      </w:pPr>
      <w:r w:rsidRPr="000545B6">
        <w:t>Keeping seniors safe was Selanders</w:t>
      </w:r>
      <w:r w:rsidR="00647F37">
        <w:t>’s</w:t>
      </w:r>
      <w:r w:rsidRPr="000545B6">
        <w:t xml:space="preserve"> personal passion and the reason she </w:t>
      </w:r>
      <w:r w:rsidR="00647F37">
        <w:t>had left</w:t>
      </w:r>
      <w:r w:rsidRPr="000545B6">
        <w:t xml:space="preserve"> her executive position to pursue he</w:t>
      </w:r>
      <w:r w:rsidR="00D5279B">
        <w:t>r own</w:t>
      </w:r>
      <w:r w:rsidRPr="000545B6">
        <w:t xml:space="preserve"> venture in the first place. However, as much as </w:t>
      </w:r>
      <w:r w:rsidR="00647F37">
        <w:t>she wanted</w:t>
      </w:r>
      <w:r w:rsidRPr="000545B6">
        <w:t xml:space="preserve"> to keep </w:t>
      </w:r>
      <w:r w:rsidR="00647F37">
        <w:t xml:space="preserve">the </w:t>
      </w:r>
      <w:r w:rsidRPr="000545B6">
        <w:t xml:space="preserve">ORA </w:t>
      </w:r>
      <w:r w:rsidR="00647F37">
        <w:t xml:space="preserve">device </w:t>
      </w:r>
      <w:r w:rsidRPr="000545B6">
        <w:t xml:space="preserve">solely </w:t>
      </w:r>
      <w:r w:rsidR="00647F37">
        <w:t xml:space="preserve">as a product </w:t>
      </w:r>
      <w:r w:rsidRPr="000545B6">
        <w:t xml:space="preserve">for </w:t>
      </w:r>
      <w:r w:rsidR="00647F37">
        <w:t>older adults</w:t>
      </w:r>
      <w:r w:rsidRPr="000545B6">
        <w:t xml:space="preserve">, </w:t>
      </w:r>
      <w:r w:rsidR="00647F37">
        <w:t xml:space="preserve">she was finding that </w:t>
      </w:r>
      <w:r w:rsidRPr="000545B6">
        <w:t xml:space="preserve">slow sales, </w:t>
      </w:r>
      <w:r w:rsidR="00647F37">
        <w:t xml:space="preserve">high </w:t>
      </w:r>
      <w:r w:rsidRPr="000545B6">
        <w:t>competition</w:t>
      </w:r>
      <w:r w:rsidR="00647F37">
        <w:t>,</w:t>
      </w:r>
      <w:r w:rsidRPr="000545B6">
        <w:t xml:space="preserve"> and </w:t>
      </w:r>
      <w:r w:rsidR="00647F37">
        <w:t>market</w:t>
      </w:r>
      <w:r w:rsidRPr="000545B6">
        <w:t xml:space="preserve"> cannibalization with the </w:t>
      </w:r>
      <w:r w:rsidR="00647F37">
        <w:t xml:space="preserve">ORA </w:t>
      </w:r>
      <w:r w:rsidRPr="000545B6">
        <w:t>P</w:t>
      </w:r>
      <w:r w:rsidR="00432DD3">
        <w:t>RO</w:t>
      </w:r>
      <w:r w:rsidRPr="000545B6">
        <w:t xml:space="preserve"> version </w:t>
      </w:r>
      <w:r w:rsidR="00647F37">
        <w:t>was</w:t>
      </w:r>
      <w:r w:rsidRPr="000545B6">
        <w:t xml:space="preserve"> hurt</w:t>
      </w:r>
      <w:r w:rsidR="00647F37">
        <w:t>ing</w:t>
      </w:r>
      <w:r w:rsidRPr="000545B6">
        <w:t xml:space="preserve"> the company financially. </w:t>
      </w:r>
      <w:r w:rsidR="00647F37">
        <w:t xml:space="preserve">Selanders was also </w:t>
      </w:r>
      <w:r w:rsidR="00D5279B">
        <w:t xml:space="preserve">well </w:t>
      </w:r>
      <w:r w:rsidR="00647F37">
        <w:t xml:space="preserve">aware </w:t>
      </w:r>
      <w:r w:rsidR="00D5279B">
        <w:t>that</w:t>
      </w:r>
      <w:r w:rsidRPr="000545B6">
        <w:t xml:space="preserve"> technology start-ups </w:t>
      </w:r>
      <w:r w:rsidR="00CC51FF">
        <w:t>had</w:t>
      </w:r>
      <w:r w:rsidR="00CC51FF" w:rsidRPr="000545B6">
        <w:t xml:space="preserve"> </w:t>
      </w:r>
      <w:r w:rsidRPr="000545B6">
        <w:t>notoriously</w:t>
      </w:r>
      <w:r w:rsidR="00D5279B">
        <w:t xml:space="preserve"> </w:t>
      </w:r>
      <w:r w:rsidRPr="000545B6">
        <w:t>high failure rates</w:t>
      </w:r>
      <w:r w:rsidR="00647F37">
        <w:t>,</w:t>
      </w:r>
      <w:r w:rsidRPr="000545B6">
        <w:t xml:space="preserve"> so </w:t>
      </w:r>
      <w:r w:rsidR="00647F37">
        <w:t xml:space="preserve">she felt that </w:t>
      </w:r>
      <w:r w:rsidRPr="000545B6">
        <w:t xml:space="preserve">the odds were stacked against her. To give up on </w:t>
      </w:r>
      <w:r w:rsidR="00647F37">
        <w:t xml:space="preserve">the </w:t>
      </w:r>
      <w:r w:rsidRPr="000545B6">
        <w:t xml:space="preserve">ORA </w:t>
      </w:r>
      <w:r w:rsidR="00647F37">
        <w:t xml:space="preserve">product </w:t>
      </w:r>
      <w:r w:rsidR="00D5279B">
        <w:t xml:space="preserve">now </w:t>
      </w:r>
      <w:r w:rsidR="00647F37">
        <w:t>would mean</w:t>
      </w:r>
      <w:r w:rsidRPr="000545B6">
        <w:t xml:space="preserve"> giv</w:t>
      </w:r>
      <w:r w:rsidR="00647F37">
        <w:t>ing</w:t>
      </w:r>
      <w:r w:rsidRPr="000545B6">
        <w:t xml:space="preserve"> up on a dream</w:t>
      </w:r>
      <w:r w:rsidR="00647F37">
        <w:t>,</w:t>
      </w:r>
      <w:r w:rsidRPr="000545B6">
        <w:t xml:space="preserve"> but funds were running low.</w:t>
      </w:r>
    </w:p>
    <w:p w14:paraId="35D05718" w14:textId="77777777" w:rsidR="00647F37" w:rsidRDefault="00647F37" w:rsidP="00CB6E6F">
      <w:pPr>
        <w:pStyle w:val="BodyTextMain"/>
      </w:pPr>
    </w:p>
    <w:p w14:paraId="7C19DD55" w14:textId="1E390FB3" w:rsidR="00CB6E6F" w:rsidRPr="000545B6" w:rsidRDefault="00ED66BD" w:rsidP="00CB6E6F">
      <w:pPr>
        <w:pStyle w:val="BodyTextMain"/>
      </w:pPr>
      <w:r w:rsidRPr="000545B6">
        <w:t xml:space="preserve">Selanders </w:t>
      </w:r>
      <w:r w:rsidR="00647F37">
        <w:t>felt that she had reached</w:t>
      </w:r>
      <w:r w:rsidRPr="000545B6">
        <w:t xml:space="preserve"> the end of the line and had to make a decision about he</w:t>
      </w:r>
      <w:r w:rsidR="00D5279B">
        <w:t>r</w:t>
      </w:r>
      <w:r w:rsidRPr="000545B6">
        <w:t xml:space="preserve"> future </w:t>
      </w:r>
      <w:r w:rsidR="00D5279B">
        <w:t xml:space="preserve">and that </w:t>
      </w:r>
      <w:r w:rsidRPr="000545B6">
        <w:t xml:space="preserve">of her company. </w:t>
      </w:r>
      <w:r w:rsidR="00647F37">
        <w:t>She had to identify</w:t>
      </w:r>
      <w:r w:rsidRPr="000545B6">
        <w:t xml:space="preserve"> the </w:t>
      </w:r>
      <w:r w:rsidR="00647F37">
        <w:t xml:space="preserve">market </w:t>
      </w:r>
      <w:r w:rsidRPr="000545B6">
        <w:t>opportunities and threats</w:t>
      </w:r>
      <w:r w:rsidR="00647F37">
        <w:t>, as well as her</w:t>
      </w:r>
      <w:r w:rsidRPr="000545B6">
        <w:t xml:space="preserve"> company</w:t>
      </w:r>
      <w:r w:rsidR="00647F37">
        <w:t>’s</w:t>
      </w:r>
      <w:r w:rsidRPr="000545B6">
        <w:t xml:space="preserve"> sustainable competitive advantage</w:t>
      </w:r>
      <w:r w:rsidR="00647F37">
        <w:t>.</w:t>
      </w:r>
      <w:r w:rsidRPr="000545B6">
        <w:t xml:space="preserve"> Should </w:t>
      </w:r>
      <w:r w:rsidR="00647F37">
        <w:t xml:space="preserve">she </w:t>
      </w:r>
      <w:r w:rsidRPr="000545B6">
        <w:t>focus</w:t>
      </w:r>
      <w:r w:rsidR="00C31353">
        <w:t xml:space="preserve"> entirely</w:t>
      </w:r>
      <w:r w:rsidRPr="000545B6">
        <w:t xml:space="preserve"> on the</w:t>
      </w:r>
      <w:r w:rsidR="00C31353">
        <w:t xml:space="preserve"> new</w:t>
      </w:r>
      <w:r w:rsidRPr="000545B6">
        <w:t xml:space="preserve"> lone worker market</w:t>
      </w:r>
      <w:r w:rsidR="00647F37">
        <w:t xml:space="preserve"> segment </w:t>
      </w:r>
      <w:r w:rsidR="00CC51FF">
        <w:t xml:space="preserve">that </w:t>
      </w:r>
      <w:r w:rsidR="00C31353">
        <w:t xml:space="preserve">she </w:t>
      </w:r>
      <w:r w:rsidR="00CC51FF">
        <w:t xml:space="preserve">had </w:t>
      </w:r>
      <w:r w:rsidR="00C31353">
        <w:t>identified,</w:t>
      </w:r>
      <w:r w:rsidR="00647F37">
        <w:t xml:space="preserve"> m</w:t>
      </w:r>
      <w:r w:rsidRPr="000545B6">
        <w:t>ake another strategic move</w:t>
      </w:r>
      <w:r w:rsidR="00C31353">
        <w:t>, or</w:t>
      </w:r>
      <w:r w:rsidR="00647F37">
        <w:t xml:space="preserve"> r</w:t>
      </w:r>
      <w:r w:rsidRPr="000545B6">
        <w:t xml:space="preserve">aise </w:t>
      </w:r>
      <w:r w:rsidR="00647F37">
        <w:t>additional</w:t>
      </w:r>
      <w:r w:rsidRPr="000545B6">
        <w:t xml:space="preserve"> fund</w:t>
      </w:r>
      <w:r w:rsidR="00647F37">
        <w:t>ing</w:t>
      </w:r>
      <w:r w:rsidRPr="000545B6">
        <w:t xml:space="preserve"> to grow</w:t>
      </w:r>
      <w:r w:rsidR="00647F37">
        <w:t xml:space="preserve"> her company? Or should she instead s</w:t>
      </w:r>
      <w:r w:rsidRPr="000545B6">
        <w:t>ell the technology</w:t>
      </w:r>
      <w:r w:rsidR="00647F37">
        <w:t>,</w:t>
      </w:r>
      <w:r w:rsidRPr="000545B6">
        <w:t xml:space="preserve"> or the </w:t>
      </w:r>
      <w:r w:rsidR="00647F37">
        <w:t>entire business, and resume</w:t>
      </w:r>
      <w:r w:rsidRPr="000545B6">
        <w:t xml:space="preserve"> her executive position in the financial </w:t>
      </w:r>
      <w:r w:rsidR="00D104BE">
        <w:t>industry</w:t>
      </w:r>
      <w:r w:rsidRPr="000545B6">
        <w:t>? It was time to make a</w:t>
      </w:r>
      <w:r w:rsidR="00C31353">
        <w:t>n important</w:t>
      </w:r>
      <w:r w:rsidRPr="000545B6">
        <w:t xml:space="preserve"> decision.</w:t>
      </w:r>
    </w:p>
    <w:p w14:paraId="10D4FAC2" w14:textId="605CBC04" w:rsidR="00C861BD" w:rsidRDefault="00C861BD" w:rsidP="00C861BD">
      <w:pPr>
        <w:pStyle w:val="BodyTextMain"/>
      </w:pPr>
    </w:p>
    <w:p w14:paraId="2768F1AD" w14:textId="60A5D937" w:rsidR="00C861BD" w:rsidRDefault="00B2318D" w:rsidP="00C861BD">
      <w:pPr>
        <w:pStyle w:val="BodyTextMain"/>
      </w:pPr>
      <w:r>
        <w:rPr>
          <w:noProof/>
        </w:rPr>
        <mc:AlternateContent>
          <mc:Choice Requires="wps">
            <w:drawing>
              <wp:anchor distT="45720" distB="45720" distL="114300" distR="114300" simplePos="0" relativeHeight="251661312" behindDoc="0" locked="0" layoutInCell="1" allowOverlap="1" wp14:anchorId="3E60E8E9" wp14:editId="779DA650">
                <wp:simplePos x="0" y="0"/>
                <wp:positionH relativeFrom="column">
                  <wp:posOffset>1080770</wp:posOffset>
                </wp:positionH>
                <wp:positionV relativeFrom="paragraph">
                  <wp:posOffset>27305</wp:posOffset>
                </wp:positionV>
                <wp:extent cx="3649345" cy="1404620"/>
                <wp:effectExtent l="0" t="0" r="2730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345" cy="1404620"/>
                        </a:xfrm>
                        <a:prstGeom prst="rect">
                          <a:avLst/>
                        </a:prstGeom>
                        <a:solidFill>
                          <a:srgbClr val="FFFFFF"/>
                        </a:solidFill>
                        <a:ln w="9525">
                          <a:solidFill>
                            <a:srgbClr val="000000"/>
                          </a:solidFill>
                          <a:miter lim="800000"/>
                          <a:headEnd/>
                          <a:tailEnd/>
                        </a:ln>
                      </wps:spPr>
                      <wps:txbx>
                        <w:txbxContent>
                          <w:p w14:paraId="408F6F81" w14:textId="7F261C7E" w:rsidR="00C861BD" w:rsidRDefault="00B2318D" w:rsidP="00B2318D">
                            <w:pPr>
                              <w:pStyle w:val="Footnote"/>
                            </w:pPr>
                            <w:bookmarkStart w:id="0" w:name="_GoBack"/>
                            <w:r>
                              <w:t>For the development of this case, the authors gratefully acknowledge the support of the Bob &amp; Raye Briscoe Centre in Business Ownership Studies, John Molson School of Business, Concordia University.</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60E8E9" id="_x0000_t202" coordsize="21600,21600" o:spt="202" path="m,l,21600r21600,l21600,xe">
                <v:stroke joinstyle="miter"/>
                <v:path gradientshapeok="t" o:connecttype="rect"/>
              </v:shapetype>
              <v:shape id="Text Box 2" o:spid="_x0000_s1026" type="#_x0000_t202" style="position:absolute;left:0;text-align:left;margin-left:85.1pt;margin-top:2.15pt;width:287.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">
                <v:textbox style="mso-fit-shape-to-text:t">
                  <w:txbxContent>
                    <w:p w14:paraId="408F6F81" w14:textId="7F261C7E" w:rsidR="00C861BD" w:rsidRDefault="00B2318D" w:rsidP="00B2318D">
                      <w:pPr>
                        <w:pStyle w:val="Footnote"/>
                      </w:pPr>
                      <w:bookmarkStart w:id="1" w:name="_GoBack"/>
                      <w:r>
                        <w:t>For the development of this case, the authors gratefully acknowledge the support of the Bob &amp; Raye Briscoe Centre in Business Ownership Studies, John Molson School of Business, Concordia University.</w:t>
                      </w:r>
                      <w:bookmarkEnd w:id="1"/>
                    </w:p>
                  </w:txbxContent>
                </v:textbox>
                <w10:wrap type="square"/>
              </v:shape>
            </w:pict>
          </mc:Fallback>
        </mc:AlternateContent>
      </w:r>
    </w:p>
    <w:p w14:paraId="700B059D" w14:textId="6C63E8F3" w:rsidR="00C861BD" w:rsidRDefault="00C861BD" w:rsidP="00C861BD">
      <w:pPr>
        <w:pStyle w:val="BodyTextMain"/>
      </w:pPr>
    </w:p>
    <w:p w14:paraId="361F6530" w14:textId="77777777" w:rsidR="00C861BD" w:rsidRDefault="00C861BD" w:rsidP="00C861BD">
      <w:pPr>
        <w:pStyle w:val="BodyTextMain"/>
      </w:pPr>
    </w:p>
    <w:p w14:paraId="71304D5C" w14:textId="77777777" w:rsidR="00C861BD" w:rsidRDefault="00C861BD" w:rsidP="00C861BD">
      <w:pPr>
        <w:pStyle w:val="BodyTextMain"/>
      </w:pPr>
    </w:p>
    <w:p w14:paraId="67C34E26" w14:textId="77777777" w:rsidR="00C861BD" w:rsidRDefault="00C861BD" w:rsidP="00C861BD">
      <w:pPr>
        <w:pStyle w:val="BodyTextMain"/>
      </w:pPr>
    </w:p>
    <w:p w14:paraId="7B40625C" w14:textId="6514BDD4" w:rsidR="00CB6E6F" w:rsidRPr="000545B6" w:rsidRDefault="00CB6E6F">
      <w:pPr>
        <w:spacing w:after="200" w:line="276" w:lineRule="auto"/>
        <w:rPr>
          <w:sz w:val="22"/>
          <w:szCs w:val="22"/>
        </w:rPr>
      </w:pPr>
      <w:r w:rsidRPr="000545B6">
        <w:br w:type="page"/>
      </w:r>
    </w:p>
    <w:p w14:paraId="54380C79" w14:textId="77777777" w:rsidR="00DC1A14" w:rsidRPr="0044132E" w:rsidRDefault="00CB6E6F" w:rsidP="0044132E">
      <w:pPr>
        <w:pStyle w:val="ExhibitHeading"/>
      </w:pPr>
      <w:r w:rsidRPr="0044132E">
        <w:lastRenderedPageBreak/>
        <w:t>EXHIBIT 1: Existing P</w:t>
      </w:r>
      <w:r w:rsidR="002D329B" w:rsidRPr="0044132E">
        <w:t xml:space="preserve">ersonal </w:t>
      </w:r>
      <w:r w:rsidRPr="0044132E">
        <w:t>E</w:t>
      </w:r>
      <w:r w:rsidR="002D329B" w:rsidRPr="0044132E">
        <w:t xml:space="preserve">mergency </w:t>
      </w:r>
      <w:r w:rsidRPr="0044132E">
        <w:t>R</w:t>
      </w:r>
      <w:r w:rsidR="002D329B" w:rsidRPr="0044132E">
        <w:t xml:space="preserve">esponse </w:t>
      </w:r>
      <w:r w:rsidRPr="0044132E">
        <w:t>S</w:t>
      </w:r>
      <w:r w:rsidR="002D329B" w:rsidRPr="0044132E">
        <w:t>ystem</w:t>
      </w:r>
      <w:r w:rsidRPr="0044132E">
        <w:t xml:space="preserve"> Devices</w:t>
      </w:r>
    </w:p>
    <w:p w14:paraId="1B91B1FF" w14:textId="776CB797" w:rsidR="00CB6E6F" w:rsidRPr="0044132E" w:rsidRDefault="00726CA9" w:rsidP="0044132E">
      <w:pPr>
        <w:pStyle w:val="ExhibitHeading"/>
      </w:pPr>
      <w:r w:rsidRPr="0044132E">
        <w:t>with GSM Support</w:t>
      </w:r>
    </w:p>
    <w:p w14:paraId="3F66359D" w14:textId="38B3A623" w:rsidR="00CB6E6F" w:rsidRPr="00322C4F" w:rsidRDefault="00CB6E6F" w:rsidP="006F2094">
      <w:pPr>
        <w:pStyle w:val="ExhibitText"/>
        <w:rPr>
          <w:rFonts w:ascii="Times New Roman" w:hAnsi="Times New Roman" w:cs="Times New Roman"/>
        </w:rPr>
      </w:pPr>
    </w:p>
    <w:p w14:paraId="10BD0935" w14:textId="53D2869B" w:rsidR="0013605B" w:rsidRPr="00322C4F" w:rsidRDefault="00F84500" w:rsidP="006F2094">
      <w:pPr>
        <w:pStyle w:val="ExhibitText"/>
        <w:jc w:val="center"/>
        <w:rPr>
          <w:rFonts w:ascii="Times New Roman" w:hAnsi="Times New Roman" w:cs="Times New Roman"/>
        </w:rPr>
      </w:pPr>
      <w:r w:rsidRPr="00322C4F">
        <w:rPr>
          <w:rFonts w:ascii="Times New Roman" w:hAnsi="Times New Roman" w:cs="Times New Roman"/>
          <w:noProof/>
          <w:lang w:val="en-US"/>
        </w:rPr>
        <w:drawing>
          <wp:inline distT="0" distB="0" distL="0" distR="0" wp14:anchorId="763B1465" wp14:editId="38DA7F88">
            <wp:extent cx="2552700" cy="2374900"/>
            <wp:effectExtent l="0" t="0" r="0" b="0"/>
            <wp:docPr id="4" name="Picture 4" descr="In image of an emergency response system device with GSM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52700" cy="2374900"/>
                    </a:xfrm>
                    <a:prstGeom prst="rect">
                      <a:avLst/>
                    </a:prstGeom>
                  </pic:spPr>
                </pic:pic>
              </a:graphicData>
            </a:graphic>
          </wp:inline>
        </w:drawing>
      </w:r>
    </w:p>
    <w:p w14:paraId="4E82D2EE" w14:textId="77777777" w:rsidR="006F2094" w:rsidRPr="00322C4F" w:rsidRDefault="006F2094" w:rsidP="00744942">
      <w:pPr>
        <w:pStyle w:val="Footnote"/>
      </w:pPr>
    </w:p>
    <w:p w14:paraId="4978558D" w14:textId="44180FDA" w:rsidR="00DC1A14" w:rsidRPr="00322C4F" w:rsidRDefault="00DC1A14" w:rsidP="00744942">
      <w:pPr>
        <w:pStyle w:val="Footnote"/>
        <w:rPr>
          <w:rFonts w:eastAsiaTheme="majorEastAsia"/>
          <w:spacing w:val="-4"/>
        </w:rPr>
      </w:pPr>
      <w:r w:rsidRPr="00322C4F">
        <w:rPr>
          <w:rFonts w:eastAsiaTheme="majorEastAsia"/>
          <w:spacing w:val="-4"/>
        </w:rPr>
        <w:t>Note: GSM = Global System for Mobile Communications, a standard for digital cellular networks.</w:t>
      </w:r>
    </w:p>
    <w:p w14:paraId="36A881B2" w14:textId="4EE4D9A6" w:rsidR="00255709" w:rsidRPr="00322C4F" w:rsidRDefault="00CB6E6F" w:rsidP="00744942">
      <w:pPr>
        <w:pStyle w:val="Footnote"/>
        <w:rPr>
          <w:rFonts w:eastAsiaTheme="majorEastAsia"/>
          <w:spacing w:val="-4"/>
        </w:rPr>
      </w:pPr>
      <w:r w:rsidRPr="00322C4F">
        <w:rPr>
          <w:rFonts w:eastAsiaTheme="majorEastAsia"/>
          <w:spacing w:val="-4"/>
        </w:rPr>
        <w:t xml:space="preserve">Source: </w:t>
      </w:r>
      <w:r w:rsidR="00E53131" w:rsidRPr="00322C4F">
        <w:rPr>
          <w:rFonts w:eastAsiaTheme="majorEastAsia"/>
          <w:spacing w:val="-4"/>
        </w:rPr>
        <w:t xml:space="preserve">Reproduced under Creative Commons licence CC BY 3.0 from </w:t>
      </w:r>
      <w:r w:rsidR="00D756F6" w:rsidRPr="00322C4F">
        <w:rPr>
          <w:rFonts w:eastAsiaTheme="majorEastAsia"/>
          <w:spacing w:val="-4"/>
        </w:rPr>
        <w:t xml:space="preserve">Florian Fuchs, </w:t>
      </w:r>
      <w:r w:rsidR="006A78F0" w:rsidRPr="00322C4F">
        <w:rPr>
          <w:rFonts w:eastAsiaTheme="majorEastAsia"/>
          <w:spacing w:val="-4"/>
        </w:rPr>
        <w:t>“</w:t>
      </w:r>
      <w:r w:rsidR="00C7762E" w:rsidRPr="00322C4F">
        <w:rPr>
          <w:rFonts w:eastAsiaTheme="majorEastAsia"/>
          <w:spacing w:val="-4"/>
        </w:rPr>
        <w:t>Rufhilfegerät-vitaris S.A.M. 4 GSM</w:t>
      </w:r>
      <w:r w:rsidR="00D756F6" w:rsidRPr="00322C4F">
        <w:rPr>
          <w:rFonts w:eastAsiaTheme="majorEastAsia"/>
          <w:spacing w:val="-4"/>
        </w:rPr>
        <w:t>,</w:t>
      </w:r>
      <w:r w:rsidR="006A78F0" w:rsidRPr="00322C4F">
        <w:rPr>
          <w:rFonts w:eastAsiaTheme="majorEastAsia"/>
          <w:spacing w:val="-4"/>
        </w:rPr>
        <w:t>”</w:t>
      </w:r>
      <w:r w:rsidR="00D756F6" w:rsidRPr="00322C4F">
        <w:rPr>
          <w:rFonts w:eastAsiaTheme="majorEastAsia"/>
          <w:spacing w:val="-4"/>
        </w:rPr>
        <w:t xml:space="preserve"> </w:t>
      </w:r>
      <w:r w:rsidR="00DC1A14" w:rsidRPr="00322C4F">
        <w:rPr>
          <w:rFonts w:eastAsiaTheme="majorEastAsia"/>
          <w:spacing w:val="-4"/>
        </w:rPr>
        <w:t>June 7, 2012</w:t>
      </w:r>
      <w:r w:rsidR="00606687" w:rsidRPr="00322C4F">
        <w:rPr>
          <w:rFonts w:eastAsiaTheme="majorEastAsia"/>
          <w:spacing w:val="-4"/>
        </w:rPr>
        <w:t xml:space="preserve">, </w:t>
      </w:r>
      <w:r w:rsidR="00E53131" w:rsidRPr="00322C4F">
        <w:rPr>
          <w:rFonts w:eastAsiaTheme="majorEastAsia"/>
          <w:spacing w:val="-4"/>
        </w:rPr>
        <w:t xml:space="preserve">via Wikimedia Commons, </w:t>
      </w:r>
      <w:r w:rsidR="00606687" w:rsidRPr="00322C4F">
        <w:rPr>
          <w:rFonts w:eastAsiaTheme="majorEastAsia"/>
          <w:spacing w:val="-4"/>
        </w:rPr>
        <w:t>https://commons.wikimedia.org/wiki/File:Rufhilfegerät-vitaris_S.A.M._4_GSM.jpg..</w:t>
      </w:r>
    </w:p>
    <w:p w14:paraId="25E8F5D5" w14:textId="77777777" w:rsidR="00CB6E6F" w:rsidRPr="00322C4F" w:rsidRDefault="00CB6E6F" w:rsidP="006F2094">
      <w:pPr>
        <w:pStyle w:val="ExhibitText"/>
        <w:rPr>
          <w:rFonts w:ascii="Times New Roman" w:hAnsi="Times New Roman" w:cs="Times New Roman"/>
        </w:rPr>
      </w:pPr>
    </w:p>
    <w:p w14:paraId="752BB31C" w14:textId="77777777" w:rsidR="00CB6E6F" w:rsidRPr="00322C4F" w:rsidRDefault="00CB6E6F" w:rsidP="006F2094">
      <w:pPr>
        <w:pStyle w:val="ExhibitText"/>
        <w:rPr>
          <w:rFonts w:ascii="Times New Roman" w:hAnsi="Times New Roman" w:cs="Times New Roman"/>
        </w:rPr>
      </w:pPr>
    </w:p>
    <w:p w14:paraId="6328EBE5" w14:textId="031112D1" w:rsidR="00CB6E6F" w:rsidRPr="00322C4F" w:rsidRDefault="00CB6E6F" w:rsidP="00744942">
      <w:pPr>
        <w:pStyle w:val="ExhibitHeading"/>
      </w:pPr>
      <w:r w:rsidRPr="00322C4F">
        <w:t>EXHIBIT 2: development of THE ORA Device</w:t>
      </w:r>
    </w:p>
    <w:p w14:paraId="28CEEC72" w14:textId="77777777" w:rsidR="00CB6E6F" w:rsidRPr="00322C4F" w:rsidRDefault="00CB6E6F" w:rsidP="006F2094">
      <w:pPr>
        <w:pStyle w:val="ExhibitText"/>
        <w:rPr>
          <w:rFonts w:ascii="Times New Roman" w:hAnsi="Times New Roman" w:cs="Times New Roman"/>
        </w:rPr>
      </w:pPr>
    </w:p>
    <w:p w14:paraId="33EE9053" w14:textId="31F7BC52" w:rsidR="00CB6E6F" w:rsidRPr="00322C4F" w:rsidRDefault="00426C65" w:rsidP="006F2094">
      <w:pPr>
        <w:pStyle w:val="ExhibitText"/>
        <w:jc w:val="center"/>
        <w:rPr>
          <w:rFonts w:ascii="Times New Roman" w:hAnsi="Times New Roman" w:cs="Times New Roman"/>
        </w:rPr>
      </w:pPr>
      <w:r w:rsidRPr="00322C4F">
        <w:rPr>
          <w:rFonts w:ascii="Times New Roman" w:hAnsi="Times New Roman" w:cs="Times New Roman"/>
        </w:rPr>
        <w:t xml:space="preserve">(A) </w:t>
      </w:r>
      <w:r w:rsidR="00CB6E6F" w:rsidRPr="00322C4F">
        <w:rPr>
          <w:rFonts w:ascii="Times New Roman" w:hAnsi="Times New Roman" w:cs="Times New Roman"/>
          <w:noProof/>
          <w:lang w:val="en-US"/>
        </w:rPr>
        <w:drawing>
          <wp:inline distT="0" distB="0" distL="0" distR="0" wp14:anchorId="32A469E3" wp14:editId="6B655858">
            <wp:extent cx="1961097" cy="1463040"/>
            <wp:effectExtent l="0" t="0" r="0" b="0"/>
            <wp:docPr id="12" name="Picture 12" descr="An image of a circuit boar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ircuit board&#10;&#10;Description automatically generated"/>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20000"/>
                              </a14:imgEffect>
                            </a14:imgLayer>
                          </a14:imgProps>
                        </a:ext>
                      </a:extLst>
                    </a:blip>
                    <a:stretch>
                      <a:fillRect/>
                    </a:stretch>
                  </pic:blipFill>
                  <pic:spPr>
                    <a:xfrm>
                      <a:off x="0" y="0"/>
                      <a:ext cx="1961097" cy="1463040"/>
                    </a:xfrm>
                    <a:prstGeom prst="rect">
                      <a:avLst/>
                    </a:prstGeom>
                  </pic:spPr>
                </pic:pic>
              </a:graphicData>
            </a:graphic>
          </wp:inline>
        </w:drawing>
      </w:r>
      <w:r w:rsidRPr="00322C4F">
        <w:rPr>
          <w:rFonts w:ascii="Times New Roman" w:hAnsi="Times New Roman" w:cs="Times New Roman"/>
        </w:rPr>
        <w:tab/>
        <w:t xml:space="preserve">(B) </w:t>
      </w:r>
      <w:r w:rsidR="00CB6E6F" w:rsidRPr="00322C4F">
        <w:rPr>
          <w:rFonts w:ascii="Times New Roman" w:hAnsi="Times New Roman" w:cs="Times New Roman"/>
          <w:noProof/>
          <w:lang w:val="en-US"/>
        </w:rPr>
        <w:drawing>
          <wp:inline distT="0" distB="0" distL="0" distR="0" wp14:anchorId="69EB4D4F" wp14:editId="55B6BB0D">
            <wp:extent cx="1837055" cy="1456266"/>
            <wp:effectExtent l="0" t="0" r="4445" b="4445"/>
            <wp:docPr id="2" name="Picture 2" descr="An image of Ora's custom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3373" b="11785"/>
                    <a:stretch/>
                  </pic:blipFill>
                  <pic:spPr bwMode="auto">
                    <a:xfrm>
                      <a:off x="0" y="0"/>
                      <a:ext cx="1837266" cy="1456433"/>
                    </a:xfrm>
                    <a:prstGeom prst="rect">
                      <a:avLst/>
                    </a:prstGeom>
                    <a:ln>
                      <a:noFill/>
                    </a:ln>
                    <a:extLst>
                      <a:ext uri="{53640926-AAD7-44D8-BBD7-CCE9431645EC}">
                        <a14:shadowObscured xmlns:a14="http://schemas.microsoft.com/office/drawing/2010/main"/>
                      </a:ext>
                    </a:extLst>
                  </pic:spPr>
                </pic:pic>
              </a:graphicData>
            </a:graphic>
          </wp:inline>
        </w:drawing>
      </w:r>
    </w:p>
    <w:p w14:paraId="0B1993F9" w14:textId="77777777" w:rsidR="00CB6E6F" w:rsidRPr="00322C4F" w:rsidRDefault="00CB6E6F" w:rsidP="006F2094">
      <w:pPr>
        <w:pStyle w:val="ExhibitText"/>
        <w:rPr>
          <w:rFonts w:ascii="Times New Roman" w:hAnsi="Times New Roman" w:cs="Times New Roman"/>
        </w:rPr>
      </w:pPr>
    </w:p>
    <w:p w14:paraId="6F4E7EC9" w14:textId="5D23FD2C" w:rsidR="00CB6E6F" w:rsidRPr="00322C4F" w:rsidRDefault="00426C65" w:rsidP="006F2094">
      <w:pPr>
        <w:pStyle w:val="ExhibitText"/>
        <w:jc w:val="center"/>
        <w:rPr>
          <w:rFonts w:ascii="Times New Roman" w:hAnsi="Times New Roman" w:cs="Times New Roman"/>
        </w:rPr>
      </w:pPr>
      <w:r w:rsidRPr="00322C4F">
        <w:rPr>
          <w:rFonts w:ascii="Times New Roman" w:hAnsi="Times New Roman" w:cs="Times New Roman"/>
        </w:rPr>
        <w:t xml:space="preserve">(C) </w:t>
      </w:r>
      <w:r w:rsidR="00E6361F" w:rsidRPr="00322C4F">
        <w:rPr>
          <w:rFonts w:ascii="Times New Roman" w:hAnsi="Times New Roman" w:cs="Times New Roman"/>
          <w:noProof/>
          <w:lang w:val="en-US"/>
        </w:rPr>
        <w:drawing>
          <wp:inline distT="0" distB="0" distL="0" distR="0" wp14:anchorId="77B2E864" wp14:editId="1691D681">
            <wp:extent cx="1426236" cy="1828800"/>
            <wp:effectExtent l="0" t="0" r="0" b="0"/>
            <wp:docPr id="6" name="Picture 6" descr="An image of Ora's custom hardware in a neck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084" r="21498" b="6963"/>
                    <a:stretch/>
                  </pic:blipFill>
                  <pic:spPr bwMode="auto">
                    <a:xfrm>
                      <a:off x="0" y="0"/>
                      <a:ext cx="1426236" cy="1828800"/>
                    </a:xfrm>
                    <a:prstGeom prst="rect">
                      <a:avLst/>
                    </a:prstGeom>
                    <a:ln>
                      <a:noFill/>
                    </a:ln>
                    <a:extLst>
                      <a:ext uri="{53640926-AAD7-44D8-BBD7-CCE9431645EC}">
                        <a14:shadowObscured xmlns:a14="http://schemas.microsoft.com/office/drawing/2010/main"/>
                      </a:ext>
                    </a:extLst>
                  </pic:spPr>
                </pic:pic>
              </a:graphicData>
            </a:graphic>
          </wp:inline>
        </w:drawing>
      </w:r>
      <w:r w:rsidR="00E6361F" w:rsidRPr="00322C4F">
        <w:rPr>
          <w:rFonts w:ascii="Times New Roman" w:hAnsi="Times New Roman" w:cs="Times New Roman"/>
          <w:noProof/>
          <w:lang w:val="en-US"/>
        </w:rPr>
        <w:drawing>
          <wp:inline distT="0" distB="0" distL="0" distR="0" wp14:anchorId="3EEC8141" wp14:editId="337AE688">
            <wp:extent cx="849250" cy="1828800"/>
            <wp:effectExtent l="0" t="0" r="1905" b="0"/>
            <wp:docPr id="8" name="Picture 8" descr="An image of Ora's custom hardware in a neck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ccessory, locket&#10;&#10;Description automatically generated"/>
                    <pic:cNvPicPr/>
                  </pic:nvPicPr>
                  <pic:blipFill rotWithShape="1">
                    <a:blip r:embed="rId15">
                      <a:extLst>
                        <a:ext uri="{28A0092B-C50C-407E-A947-70E740481C1C}">
                          <a14:useLocalDpi xmlns:a14="http://schemas.microsoft.com/office/drawing/2010/main" val="0"/>
                        </a:ext>
                      </a:extLst>
                    </a:blip>
                    <a:srcRect l="34335" r="33903" b="8801"/>
                    <a:stretch/>
                  </pic:blipFill>
                  <pic:spPr bwMode="auto">
                    <a:xfrm>
                      <a:off x="0" y="0"/>
                      <a:ext cx="849250" cy="1828800"/>
                    </a:xfrm>
                    <a:prstGeom prst="rect">
                      <a:avLst/>
                    </a:prstGeom>
                    <a:ln>
                      <a:noFill/>
                    </a:ln>
                    <a:extLst>
                      <a:ext uri="{53640926-AAD7-44D8-BBD7-CCE9431645EC}">
                        <a14:shadowObscured xmlns:a14="http://schemas.microsoft.com/office/drawing/2010/main"/>
                      </a:ext>
                    </a:extLst>
                  </pic:spPr>
                </pic:pic>
              </a:graphicData>
            </a:graphic>
          </wp:inline>
        </w:drawing>
      </w:r>
    </w:p>
    <w:p w14:paraId="398D92A1" w14:textId="77777777" w:rsidR="00CB6E6F" w:rsidRPr="00322C4F" w:rsidRDefault="00CB6E6F" w:rsidP="006F2094">
      <w:pPr>
        <w:pStyle w:val="ExhibitText"/>
        <w:rPr>
          <w:rFonts w:ascii="Times New Roman" w:hAnsi="Times New Roman" w:cs="Times New Roman"/>
        </w:rPr>
      </w:pPr>
    </w:p>
    <w:p w14:paraId="32066393" w14:textId="7C01E6FE" w:rsidR="00CB6E6F" w:rsidRPr="0044132E" w:rsidRDefault="00CB6E6F" w:rsidP="0044132E">
      <w:pPr>
        <w:pStyle w:val="Footnote"/>
      </w:pPr>
      <w:r w:rsidRPr="0044132E">
        <w:t xml:space="preserve">Source: </w:t>
      </w:r>
      <w:r w:rsidR="002D329B" w:rsidRPr="0044132E">
        <w:t>Company files.</w:t>
      </w:r>
      <w:r w:rsidRPr="0044132E">
        <w:br w:type="page"/>
      </w:r>
    </w:p>
    <w:p w14:paraId="67CA5528" w14:textId="02951709" w:rsidR="00CB6E6F" w:rsidRPr="00744942" w:rsidRDefault="00CB6E6F" w:rsidP="00744942">
      <w:pPr>
        <w:pStyle w:val="ExhibitHeading"/>
      </w:pPr>
      <w:r w:rsidRPr="00744942">
        <w:lastRenderedPageBreak/>
        <w:t>EXHIBIT 3: Exisiting P</w:t>
      </w:r>
      <w:r w:rsidR="002D329B" w:rsidRPr="00744942">
        <w:t>ersonal Emergency Response System</w:t>
      </w:r>
      <w:r w:rsidRPr="00744942">
        <w:t xml:space="preserve"> Providers</w:t>
      </w:r>
    </w:p>
    <w:p w14:paraId="5831D53E" w14:textId="77777777" w:rsidR="00CB6E6F" w:rsidRPr="00322C4F" w:rsidRDefault="00CB6E6F" w:rsidP="00092DD6">
      <w:pPr>
        <w:pStyle w:val="ExhibitText"/>
        <w:rPr>
          <w:rFonts w:ascii="Times New Roman" w:hAnsi="Times New Roman" w:cs="Times New Roman"/>
        </w:rPr>
      </w:pPr>
    </w:p>
    <w:tbl>
      <w:tblPr>
        <w:tblW w:w="9346" w:type="dxa"/>
        <w:jc w:val="center"/>
        <w:tblBorders>
          <w:top w:val="single" w:sz="4" w:space="0" w:color="auto"/>
          <w:bottom w:val="single" w:sz="4" w:space="0" w:color="auto"/>
        </w:tblBorders>
        <w:tblLayout w:type="fixed"/>
        <w:tblCellMar>
          <w:top w:w="29" w:type="dxa"/>
          <w:left w:w="58" w:type="dxa"/>
          <w:bottom w:w="29" w:type="dxa"/>
          <w:right w:w="58" w:type="dxa"/>
        </w:tblCellMar>
        <w:tblLook w:val="04A0" w:firstRow="1" w:lastRow="0" w:firstColumn="1" w:lastColumn="0" w:noHBand="0" w:noVBand="1"/>
        <w:tblCaption w:val="EXHIBIT 3 "/>
        <w:tblDescription w:val="EXISITING PERSONAL EMERGENCY RESPONSE SYSTEM PROVIDERS"/>
      </w:tblPr>
      <w:tblGrid>
        <w:gridCol w:w="1509"/>
        <w:gridCol w:w="1591"/>
        <w:gridCol w:w="1592"/>
        <w:gridCol w:w="1592"/>
        <w:gridCol w:w="1262"/>
        <w:gridCol w:w="1800"/>
      </w:tblGrid>
      <w:tr w:rsidR="00CB6E6F" w:rsidRPr="00744942" w14:paraId="55C6647C" w14:textId="77777777" w:rsidTr="00BB7DBB">
        <w:trPr>
          <w:trHeight w:val="288"/>
          <w:tblHeader/>
          <w:jc w:val="center"/>
        </w:trPr>
        <w:tc>
          <w:tcPr>
            <w:tcW w:w="1513" w:type="dxa"/>
            <w:tcBorders>
              <w:top w:val="single" w:sz="4" w:space="0" w:color="auto"/>
              <w:bottom w:val="single" w:sz="4" w:space="0" w:color="auto"/>
            </w:tcBorders>
            <w:shd w:val="clear" w:color="auto" w:fill="auto"/>
            <w:vAlign w:val="center"/>
            <w:hideMark/>
          </w:tcPr>
          <w:p w14:paraId="0ACE9314" w14:textId="77777777" w:rsidR="00CB6E6F" w:rsidRPr="00744942" w:rsidRDefault="00CB6E6F" w:rsidP="00092DD6">
            <w:pPr>
              <w:pStyle w:val="ExhibitText"/>
              <w:jc w:val="left"/>
              <w:rPr>
                <w:b/>
                <w:bCs/>
                <w:sz w:val="18"/>
                <w:szCs w:val="18"/>
                <w:lang w:eastAsia="zh-CN"/>
              </w:rPr>
            </w:pPr>
            <w:r w:rsidRPr="00744942">
              <w:rPr>
                <w:b/>
                <w:bCs/>
                <w:sz w:val="18"/>
                <w:szCs w:val="18"/>
                <w:lang w:eastAsia="zh-CN"/>
              </w:rPr>
              <w:t>Provider</w:t>
            </w:r>
          </w:p>
        </w:tc>
        <w:tc>
          <w:tcPr>
            <w:tcW w:w="1595" w:type="dxa"/>
            <w:tcBorders>
              <w:top w:val="single" w:sz="4" w:space="0" w:color="auto"/>
              <w:bottom w:val="single" w:sz="4" w:space="0" w:color="auto"/>
            </w:tcBorders>
            <w:shd w:val="clear" w:color="auto" w:fill="auto"/>
            <w:vAlign w:val="center"/>
            <w:hideMark/>
          </w:tcPr>
          <w:p w14:paraId="31ED1ACB" w14:textId="77777777" w:rsidR="00CB6E6F" w:rsidRPr="00744942" w:rsidRDefault="00CB6E6F" w:rsidP="0021472C">
            <w:pPr>
              <w:pStyle w:val="ExhibitText"/>
              <w:jc w:val="center"/>
              <w:rPr>
                <w:b/>
                <w:bCs/>
                <w:sz w:val="18"/>
                <w:szCs w:val="18"/>
                <w:lang w:eastAsia="zh-CN"/>
              </w:rPr>
            </w:pPr>
            <w:r w:rsidRPr="00744942">
              <w:rPr>
                <w:b/>
                <w:bCs/>
                <w:sz w:val="18"/>
                <w:szCs w:val="18"/>
                <w:lang w:eastAsia="zh-CN"/>
              </w:rPr>
              <w:t>Product</w:t>
            </w:r>
          </w:p>
        </w:tc>
        <w:tc>
          <w:tcPr>
            <w:tcW w:w="1596" w:type="dxa"/>
            <w:tcBorders>
              <w:top w:val="single" w:sz="4" w:space="0" w:color="auto"/>
              <w:bottom w:val="single" w:sz="4" w:space="0" w:color="auto"/>
            </w:tcBorders>
            <w:shd w:val="clear" w:color="auto" w:fill="auto"/>
            <w:vAlign w:val="center"/>
            <w:hideMark/>
          </w:tcPr>
          <w:p w14:paraId="70299DE2" w14:textId="77777777" w:rsidR="00CB6E6F" w:rsidRPr="00744942" w:rsidRDefault="00CB6E6F" w:rsidP="0021472C">
            <w:pPr>
              <w:pStyle w:val="ExhibitText"/>
              <w:jc w:val="center"/>
              <w:rPr>
                <w:b/>
                <w:bCs/>
                <w:sz w:val="18"/>
                <w:szCs w:val="18"/>
                <w:lang w:eastAsia="zh-CN"/>
              </w:rPr>
            </w:pPr>
            <w:r w:rsidRPr="00744942">
              <w:rPr>
                <w:b/>
                <w:bCs/>
                <w:sz w:val="18"/>
                <w:szCs w:val="18"/>
                <w:lang w:eastAsia="zh-CN"/>
              </w:rPr>
              <w:t>Features</w:t>
            </w:r>
          </w:p>
        </w:tc>
        <w:tc>
          <w:tcPr>
            <w:tcW w:w="1596" w:type="dxa"/>
            <w:tcBorders>
              <w:top w:val="single" w:sz="4" w:space="0" w:color="auto"/>
              <w:bottom w:val="single" w:sz="4" w:space="0" w:color="auto"/>
            </w:tcBorders>
            <w:shd w:val="clear" w:color="auto" w:fill="auto"/>
            <w:vAlign w:val="center"/>
            <w:hideMark/>
          </w:tcPr>
          <w:p w14:paraId="079AD387" w14:textId="0DBDC5B9" w:rsidR="00CB6E6F" w:rsidRPr="00744942" w:rsidRDefault="00CB6E6F" w:rsidP="0021472C">
            <w:pPr>
              <w:pStyle w:val="ExhibitText"/>
              <w:jc w:val="center"/>
              <w:rPr>
                <w:b/>
                <w:bCs/>
                <w:sz w:val="18"/>
                <w:szCs w:val="18"/>
                <w:lang w:eastAsia="zh-CN"/>
              </w:rPr>
            </w:pPr>
            <w:r w:rsidRPr="00744942">
              <w:rPr>
                <w:b/>
                <w:bCs/>
                <w:sz w:val="18"/>
                <w:szCs w:val="18"/>
                <w:lang w:eastAsia="zh-CN"/>
              </w:rPr>
              <w:t>Pricing Model</w:t>
            </w:r>
            <w:r w:rsidR="00AD7018" w:rsidRPr="00744942">
              <w:rPr>
                <w:b/>
                <w:bCs/>
                <w:sz w:val="18"/>
                <w:szCs w:val="18"/>
                <w:lang w:eastAsia="zh-CN"/>
              </w:rPr>
              <w:t xml:space="preserve"> (in US$)</w:t>
            </w:r>
          </w:p>
        </w:tc>
        <w:tc>
          <w:tcPr>
            <w:tcW w:w="1265" w:type="dxa"/>
            <w:tcBorders>
              <w:top w:val="single" w:sz="4" w:space="0" w:color="auto"/>
              <w:bottom w:val="single" w:sz="4" w:space="0" w:color="auto"/>
            </w:tcBorders>
            <w:vAlign w:val="center"/>
          </w:tcPr>
          <w:p w14:paraId="59B18F39" w14:textId="77777777" w:rsidR="00CB6E6F" w:rsidRPr="00744942" w:rsidRDefault="00CB6E6F" w:rsidP="0021472C">
            <w:pPr>
              <w:pStyle w:val="ExhibitText"/>
              <w:jc w:val="center"/>
              <w:rPr>
                <w:b/>
                <w:bCs/>
                <w:sz w:val="18"/>
                <w:szCs w:val="18"/>
                <w:lang w:eastAsia="zh-CN"/>
              </w:rPr>
            </w:pPr>
            <w:r w:rsidRPr="00744942">
              <w:rPr>
                <w:b/>
                <w:bCs/>
                <w:sz w:val="18"/>
                <w:szCs w:val="18"/>
                <w:lang w:eastAsia="zh-CN"/>
              </w:rPr>
              <w:t>Fashionable</w:t>
            </w:r>
          </w:p>
        </w:tc>
        <w:tc>
          <w:tcPr>
            <w:tcW w:w="1805" w:type="dxa"/>
            <w:tcBorders>
              <w:top w:val="single" w:sz="4" w:space="0" w:color="auto"/>
              <w:bottom w:val="single" w:sz="4" w:space="0" w:color="auto"/>
            </w:tcBorders>
            <w:shd w:val="clear" w:color="auto" w:fill="auto"/>
            <w:vAlign w:val="center"/>
            <w:hideMark/>
          </w:tcPr>
          <w:p w14:paraId="0BD06BDB" w14:textId="77777777" w:rsidR="00CB6E6F" w:rsidRPr="00744942" w:rsidRDefault="00CB6E6F" w:rsidP="00092DD6">
            <w:pPr>
              <w:pStyle w:val="ExhibitText"/>
              <w:jc w:val="left"/>
              <w:rPr>
                <w:b/>
                <w:bCs/>
                <w:sz w:val="18"/>
                <w:szCs w:val="18"/>
                <w:lang w:eastAsia="zh-CN"/>
              </w:rPr>
            </w:pPr>
            <w:r w:rsidRPr="00744942">
              <w:rPr>
                <w:b/>
                <w:bCs/>
                <w:sz w:val="18"/>
                <w:szCs w:val="18"/>
                <w:lang w:eastAsia="zh-CN"/>
              </w:rPr>
              <w:t>Website</w:t>
            </w:r>
          </w:p>
        </w:tc>
      </w:tr>
      <w:tr w:rsidR="00CB6E6F" w:rsidRPr="00744942" w14:paraId="423C8085" w14:textId="77777777" w:rsidTr="00BB7DBB">
        <w:trPr>
          <w:trHeight w:val="288"/>
          <w:tblHeader/>
          <w:jc w:val="center"/>
        </w:trPr>
        <w:tc>
          <w:tcPr>
            <w:tcW w:w="1513" w:type="dxa"/>
            <w:tcBorders>
              <w:top w:val="single" w:sz="4" w:space="0" w:color="auto"/>
              <w:bottom w:val="dotted" w:sz="4" w:space="0" w:color="auto"/>
            </w:tcBorders>
            <w:shd w:val="clear" w:color="auto" w:fill="auto"/>
            <w:vAlign w:val="center"/>
          </w:tcPr>
          <w:p w14:paraId="3709BE2B" w14:textId="77777777" w:rsidR="00CB6E6F" w:rsidRPr="00744942" w:rsidRDefault="00CB6E6F" w:rsidP="00092DD6">
            <w:pPr>
              <w:pStyle w:val="ExhibitText"/>
              <w:jc w:val="left"/>
              <w:rPr>
                <w:sz w:val="18"/>
                <w:szCs w:val="18"/>
                <w:lang w:eastAsia="zh-CN"/>
              </w:rPr>
            </w:pPr>
            <w:r w:rsidRPr="00744942">
              <w:rPr>
                <w:sz w:val="18"/>
                <w:szCs w:val="18"/>
                <w:lang w:eastAsia="zh-CN"/>
              </w:rPr>
              <w:t>ADT Security Services</w:t>
            </w:r>
          </w:p>
        </w:tc>
        <w:tc>
          <w:tcPr>
            <w:tcW w:w="1595" w:type="dxa"/>
            <w:tcBorders>
              <w:top w:val="single" w:sz="4" w:space="0" w:color="auto"/>
              <w:bottom w:val="dotted" w:sz="4" w:space="0" w:color="auto"/>
            </w:tcBorders>
            <w:shd w:val="clear" w:color="auto" w:fill="auto"/>
            <w:vAlign w:val="center"/>
          </w:tcPr>
          <w:p w14:paraId="0BD1384A" w14:textId="3F212B48" w:rsidR="00CB6E6F" w:rsidRPr="00744942" w:rsidRDefault="00CB6E6F" w:rsidP="0021472C">
            <w:pPr>
              <w:pStyle w:val="ExhibitText"/>
              <w:jc w:val="left"/>
              <w:rPr>
                <w:sz w:val="18"/>
                <w:szCs w:val="18"/>
                <w:lang w:eastAsia="zh-CN"/>
              </w:rPr>
            </w:pPr>
            <w:r w:rsidRPr="00744942">
              <w:rPr>
                <w:sz w:val="18"/>
                <w:szCs w:val="18"/>
                <w:lang w:eastAsia="zh-CN"/>
              </w:rPr>
              <w:t>Pendent, wristband</w:t>
            </w:r>
            <w:r w:rsidR="00E53131" w:rsidRPr="00744942">
              <w:rPr>
                <w:sz w:val="18"/>
                <w:szCs w:val="18"/>
                <w:lang w:eastAsia="zh-CN"/>
              </w:rPr>
              <w:t>,</w:t>
            </w:r>
            <w:r w:rsidRPr="00744942">
              <w:rPr>
                <w:sz w:val="18"/>
                <w:szCs w:val="18"/>
                <w:lang w:eastAsia="zh-CN"/>
              </w:rPr>
              <w:t xml:space="preserve"> or button</w:t>
            </w:r>
          </w:p>
        </w:tc>
        <w:tc>
          <w:tcPr>
            <w:tcW w:w="1596" w:type="dxa"/>
            <w:tcBorders>
              <w:top w:val="single" w:sz="4" w:space="0" w:color="auto"/>
              <w:bottom w:val="dotted" w:sz="4" w:space="0" w:color="auto"/>
            </w:tcBorders>
            <w:shd w:val="clear" w:color="auto" w:fill="auto"/>
            <w:vAlign w:val="center"/>
          </w:tcPr>
          <w:p w14:paraId="746918FD" w14:textId="77777777" w:rsidR="00CB6E6F" w:rsidRPr="00744942" w:rsidRDefault="00CB6E6F" w:rsidP="0021472C">
            <w:pPr>
              <w:pStyle w:val="ExhibitText"/>
              <w:jc w:val="left"/>
              <w:rPr>
                <w:sz w:val="18"/>
                <w:szCs w:val="18"/>
                <w:lang w:eastAsia="zh-CN"/>
              </w:rPr>
            </w:pPr>
            <w:r w:rsidRPr="00744942">
              <w:rPr>
                <w:sz w:val="18"/>
                <w:szCs w:val="18"/>
                <w:lang w:eastAsia="zh-CN"/>
              </w:rPr>
              <w:t>Fall detection, GPS</w:t>
            </w:r>
          </w:p>
        </w:tc>
        <w:tc>
          <w:tcPr>
            <w:tcW w:w="1596" w:type="dxa"/>
            <w:tcBorders>
              <w:top w:val="single" w:sz="4" w:space="0" w:color="auto"/>
              <w:bottom w:val="dotted" w:sz="4" w:space="0" w:color="auto"/>
            </w:tcBorders>
            <w:shd w:val="clear" w:color="auto" w:fill="auto"/>
            <w:vAlign w:val="center"/>
          </w:tcPr>
          <w:p w14:paraId="7EF0A542" w14:textId="2CA1608E"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($30</w:t>
            </w:r>
            <w:r w:rsidR="00F27BA2" w:rsidRPr="00744942">
              <w:rPr>
                <w:sz w:val="18"/>
                <w:szCs w:val="18"/>
                <w:lang w:eastAsia="zh-CN"/>
              </w:rPr>
              <w:t>–</w:t>
            </w:r>
            <w:r w:rsidRPr="00744942">
              <w:rPr>
                <w:sz w:val="18"/>
                <w:szCs w:val="18"/>
                <w:lang w:eastAsia="zh-CN"/>
              </w:rPr>
              <w:t>40/month)</w:t>
            </w:r>
          </w:p>
        </w:tc>
        <w:tc>
          <w:tcPr>
            <w:tcW w:w="1265" w:type="dxa"/>
            <w:tcBorders>
              <w:top w:val="single" w:sz="4" w:space="0" w:color="auto"/>
              <w:bottom w:val="dotted" w:sz="4" w:space="0" w:color="auto"/>
            </w:tcBorders>
            <w:vAlign w:val="center"/>
          </w:tcPr>
          <w:p w14:paraId="7100BED9"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single" w:sz="4" w:space="0" w:color="auto"/>
              <w:bottom w:val="dotted" w:sz="4" w:space="0" w:color="auto"/>
            </w:tcBorders>
            <w:shd w:val="clear" w:color="auto" w:fill="auto"/>
            <w:vAlign w:val="center"/>
          </w:tcPr>
          <w:p w14:paraId="44A67DFF" w14:textId="4601E87A" w:rsidR="00CB6E6F" w:rsidRPr="00744942" w:rsidRDefault="00CB6E6F" w:rsidP="00092DD6">
            <w:pPr>
              <w:pStyle w:val="ExhibitText"/>
              <w:jc w:val="left"/>
              <w:rPr>
                <w:sz w:val="18"/>
                <w:szCs w:val="18"/>
              </w:rPr>
            </w:pPr>
            <w:r w:rsidRPr="00744942">
              <w:rPr>
                <w:sz w:val="18"/>
                <w:szCs w:val="18"/>
              </w:rPr>
              <w:t>www.adt.com/senior-safety</w:t>
            </w:r>
          </w:p>
        </w:tc>
      </w:tr>
      <w:tr w:rsidR="00CB6E6F" w:rsidRPr="00744942" w14:paraId="20A67A17"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261B42D6" w14:textId="48B47AF8" w:rsidR="00CB6E6F" w:rsidRPr="00744942" w:rsidRDefault="00CB6E6F" w:rsidP="00092DD6">
            <w:pPr>
              <w:pStyle w:val="ExhibitText"/>
              <w:jc w:val="left"/>
              <w:rPr>
                <w:sz w:val="18"/>
                <w:szCs w:val="18"/>
                <w:lang w:eastAsia="zh-CN"/>
              </w:rPr>
            </w:pPr>
            <w:r w:rsidRPr="00744942">
              <w:rPr>
                <w:sz w:val="18"/>
                <w:szCs w:val="18"/>
                <w:lang w:eastAsia="zh-CN"/>
              </w:rPr>
              <w:t>Philips Lifeline</w:t>
            </w:r>
          </w:p>
        </w:tc>
        <w:tc>
          <w:tcPr>
            <w:tcW w:w="1595" w:type="dxa"/>
            <w:tcBorders>
              <w:top w:val="dotted" w:sz="4" w:space="0" w:color="auto"/>
              <w:bottom w:val="dotted" w:sz="4" w:space="0" w:color="auto"/>
            </w:tcBorders>
            <w:shd w:val="clear" w:color="auto" w:fill="auto"/>
            <w:vAlign w:val="center"/>
            <w:hideMark/>
          </w:tcPr>
          <w:p w14:paraId="7EDFE162" w14:textId="77777777" w:rsidR="00CB6E6F" w:rsidRPr="00744942" w:rsidRDefault="00CB6E6F" w:rsidP="0021472C">
            <w:pPr>
              <w:pStyle w:val="ExhibitText"/>
              <w:jc w:val="left"/>
              <w:rPr>
                <w:sz w:val="18"/>
                <w:szCs w:val="18"/>
                <w:lang w:eastAsia="zh-CN"/>
              </w:rPr>
            </w:pPr>
            <w:r w:rsidRPr="00744942">
              <w:rPr>
                <w:sz w:val="18"/>
                <w:szCs w:val="18"/>
                <w:lang w:eastAsia="zh-CN"/>
              </w:rPr>
              <w:t>Pendant or wristband</w:t>
            </w:r>
          </w:p>
        </w:tc>
        <w:tc>
          <w:tcPr>
            <w:tcW w:w="1596" w:type="dxa"/>
            <w:tcBorders>
              <w:top w:val="dotted" w:sz="4" w:space="0" w:color="auto"/>
              <w:bottom w:val="dotted" w:sz="4" w:space="0" w:color="auto"/>
            </w:tcBorders>
            <w:shd w:val="clear" w:color="auto" w:fill="auto"/>
            <w:vAlign w:val="center"/>
            <w:hideMark/>
          </w:tcPr>
          <w:p w14:paraId="6DD65E0A" w14:textId="77777777" w:rsidR="00CB6E6F" w:rsidRPr="00744942" w:rsidRDefault="00CB6E6F" w:rsidP="0021472C">
            <w:pPr>
              <w:pStyle w:val="ExhibitText"/>
              <w:jc w:val="left"/>
              <w:rPr>
                <w:sz w:val="18"/>
                <w:szCs w:val="18"/>
                <w:lang w:eastAsia="zh-CN"/>
              </w:rPr>
            </w:pPr>
            <w:r w:rsidRPr="00744942">
              <w:rPr>
                <w:sz w:val="18"/>
                <w:szCs w:val="18"/>
                <w:lang w:eastAsia="zh-CN"/>
              </w:rPr>
              <w:t>Fall detection, two-way voice</w:t>
            </w:r>
          </w:p>
        </w:tc>
        <w:tc>
          <w:tcPr>
            <w:tcW w:w="1596" w:type="dxa"/>
            <w:tcBorders>
              <w:top w:val="dotted" w:sz="4" w:space="0" w:color="auto"/>
              <w:bottom w:val="dotted" w:sz="4" w:space="0" w:color="auto"/>
            </w:tcBorders>
            <w:shd w:val="clear" w:color="auto" w:fill="auto"/>
            <w:vAlign w:val="center"/>
            <w:hideMark/>
          </w:tcPr>
          <w:p w14:paraId="2BF4A51C" w14:textId="4EDE4AD8" w:rsidR="008608C5" w:rsidRPr="00744942" w:rsidRDefault="00CB6E6F" w:rsidP="0021472C">
            <w:pPr>
              <w:pStyle w:val="ExhibitText"/>
              <w:jc w:val="left"/>
              <w:rPr>
                <w:sz w:val="18"/>
                <w:szCs w:val="18"/>
                <w:lang w:eastAsia="zh-CN"/>
              </w:rPr>
            </w:pPr>
            <w:r w:rsidRPr="00744942">
              <w:rPr>
                <w:sz w:val="18"/>
                <w:szCs w:val="18"/>
                <w:lang w:eastAsia="zh-CN"/>
              </w:rPr>
              <w:t>One-time device fee ($50</w:t>
            </w:r>
            <w:r w:rsidR="00F27BA2" w:rsidRPr="00744942">
              <w:rPr>
                <w:sz w:val="18"/>
                <w:szCs w:val="18"/>
                <w:lang w:eastAsia="zh-CN"/>
              </w:rPr>
              <w:t>–</w:t>
            </w:r>
            <w:r w:rsidRPr="00744942">
              <w:rPr>
                <w:sz w:val="18"/>
                <w:szCs w:val="18"/>
                <w:lang w:eastAsia="zh-CN"/>
              </w:rPr>
              <w:t>100)</w:t>
            </w:r>
            <w:r w:rsidR="008608C5" w:rsidRPr="00744942">
              <w:rPr>
                <w:sz w:val="18"/>
                <w:szCs w:val="18"/>
                <w:lang w:eastAsia="zh-CN"/>
              </w:rPr>
              <w:t>;</w:t>
            </w:r>
          </w:p>
          <w:p w14:paraId="390C53F9" w14:textId="0BA2DF2A"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($30</w:t>
            </w:r>
            <w:r w:rsidR="00F27BA2" w:rsidRPr="00744942">
              <w:rPr>
                <w:sz w:val="18"/>
                <w:szCs w:val="18"/>
                <w:lang w:eastAsia="zh-CN"/>
              </w:rPr>
              <w:t>–</w:t>
            </w:r>
            <w:r w:rsidRPr="00744942">
              <w:rPr>
                <w:sz w:val="18"/>
                <w:szCs w:val="18"/>
                <w:lang w:eastAsia="zh-CN"/>
              </w:rPr>
              <w:t>50/month)</w:t>
            </w:r>
          </w:p>
        </w:tc>
        <w:tc>
          <w:tcPr>
            <w:tcW w:w="1265" w:type="dxa"/>
            <w:tcBorders>
              <w:top w:val="dotted" w:sz="4" w:space="0" w:color="auto"/>
              <w:bottom w:val="dotted" w:sz="4" w:space="0" w:color="auto"/>
            </w:tcBorders>
            <w:vAlign w:val="center"/>
          </w:tcPr>
          <w:p w14:paraId="28FE4755"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hideMark/>
          </w:tcPr>
          <w:p w14:paraId="3E03537B" w14:textId="38EE62BC" w:rsidR="00CB6E6F" w:rsidRPr="00744942" w:rsidRDefault="00CB6E6F" w:rsidP="00092DD6">
            <w:pPr>
              <w:pStyle w:val="ExhibitText"/>
              <w:jc w:val="left"/>
              <w:rPr>
                <w:sz w:val="18"/>
                <w:szCs w:val="18"/>
                <w:lang w:eastAsia="zh-CN"/>
              </w:rPr>
            </w:pPr>
            <w:r w:rsidRPr="00744942">
              <w:rPr>
                <w:sz w:val="18"/>
                <w:szCs w:val="18"/>
                <w:lang w:eastAsia="zh-CN"/>
              </w:rPr>
              <w:t xml:space="preserve">www.lifelinesys.com </w:t>
            </w:r>
          </w:p>
        </w:tc>
      </w:tr>
      <w:tr w:rsidR="00CB6E6F" w:rsidRPr="00744942" w14:paraId="74A3EB8D"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2DA6871E" w14:textId="40EA16A3" w:rsidR="00CB6E6F" w:rsidRPr="00744942" w:rsidRDefault="00CB6E6F" w:rsidP="00092DD6">
            <w:pPr>
              <w:pStyle w:val="ExhibitText"/>
              <w:jc w:val="left"/>
              <w:rPr>
                <w:sz w:val="18"/>
                <w:szCs w:val="18"/>
                <w:lang w:eastAsia="zh-CN"/>
              </w:rPr>
            </w:pPr>
            <w:r w:rsidRPr="00744942">
              <w:rPr>
                <w:sz w:val="18"/>
                <w:szCs w:val="18"/>
                <w:lang w:eastAsia="zh-CN"/>
              </w:rPr>
              <w:t>AlertOne Services Inc.</w:t>
            </w:r>
          </w:p>
        </w:tc>
        <w:tc>
          <w:tcPr>
            <w:tcW w:w="1595" w:type="dxa"/>
            <w:tcBorders>
              <w:top w:val="dotted" w:sz="4" w:space="0" w:color="auto"/>
              <w:bottom w:val="dotted" w:sz="4" w:space="0" w:color="auto"/>
            </w:tcBorders>
            <w:shd w:val="clear" w:color="auto" w:fill="auto"/>
            <w:vAlign w:val="center"/>
            <w:hideMark/>
          </w:tcPr>
          <w:p w14:paraId="689A5DAB" w14:textId="2F43A47E" w:rsidR="00CB6E6F" w:rsidRPr="00744942" w:rsidRDefault="00CB6E6F" w:rsidP="0021472C">
            <w:pPr>
              <w:pStyle w:val="ExhibitText"/>
              <w:jc w:val="left"/>
              <w:rPr>
                <w:sz w:val="18"/>
                <w:szCs w:val="18"/>
                <w:lang w:eastAsia="zh-CN"/>
              </w:rPr>
            </w:pPr>
            <w:r w:rsidRPr="00744942">
              <w:rPr>
                <w:sz w:val="18"/>
                <w:szCs w:val="18"/>
                <w:lang w:eastAsia="zh-CN"/>
              </w:rPr>
              <w:t xml:space="preserve">Pendant, wristband, button, </w:t>
            </w:r>
            <w:r w:rsidR="00F130D6" w:rsidRPr="00744942">
              <w:rPr>
                <w:sz w:val="18"/>
                <w:szCs w:val="18"/>
                <w:lang w:eastAsia="zh-CN"/>
              </w:rPr>
              <w:br/>
            </w:r>
            <w:r w:rsidRPr="00744942">
              <w:rPr>
                <w:sz w:val="18"/>
                <w:szCs w:val="18"/>
                <w:lang w:eastAsia="zh-CN"/>
              </w:rPr>
              <w:t>or base unit</w:t>
            </w:r>
          </w:p>
        </w:tc>
        <w:tc>
          <w:tcPr>
            <w:tcW w:w="1596" w:type="dxa"/>
            <w:tcBorders>
              <w:top w:val="dotted" w:sz="4" w:space="0" w:color="auto"/>
              <w:bottom w:val="dotted" w:sz="4" w:space="0" w:color="auto"/>
            </w:tcBorders>
            <w:shd w:val="clear" w:color="auto" w:fill="auto"/>
            <w:vAlign w:val="center"/>
            <w:hideMark/>
          </w:tcPr>
          <w:p w14:paraId="050845D0" w14:textId="6F7340B5" w:rsidR="00CB6E6F" w:rsidRPr="00744942" w:rsidRDefault="00CB6E6F" w:rsidP="0021472C">
            <w:pPr>
              <w:pStyle w:val="ExhibitText"/>
              <w:jc w:val="left"/>
              <w:rPr>
                <w:sz w:val="18"/>
                <w:szCs w:val="18"/>
                <w:lang w:eastAsia="zh-CN"/>
              </w:rPr>
            </w:pPr>
            <w:r w:rsidRPr="00744942">
              <w:rPr>
                <w:sz w:val="18"/>
                <w:szCs w:val="18"/>
                <w:lang w:eastAsia="zh-CN"/>
              </w:rPr>
              <w:t xml:space="preserve">911, </w:t>
            </w:r>
            <w:r w:rsidR="008608C5" w:rsidRPr="00744942">
              <w:rPr>
                <w:sz w:val="18"/>
                <w:szCs w:val="18"/>
                <w:lang w:eastAsia="zh-CN"/>
              </w:rPr>
              <w:t>f</w:t>
            </w:r>
            <w:r w:rsidRPr="00744942">
              <w:rPr>
                <w:sz w:val="18"/>
                <w:szCs w:val="18"/>
                <w:lang w:eastAsia="zh-CN"/>
              </w:rPr>
              <w:t>all detection, speaker</w:t>
            </w:r>
          </w:p>
        </w:tc>
        <w:tc>
          <w:tcPr>
            <w:tcW w:w="1596" w:type="dxa"/>
            <w:tcBorders>
              <w:top w:val="dotted" w:sz="4" w:space="0" w:color="auto"/>
              <w:bottom w:val="dotted" w:sz="4" w:space="0" w:color="auto"/>
            </w:tcBorders>
            <w:shd w:val="clear" w:color="auto" w:fill="auto"/>
            <w:vAlign w:val="center"/>
            <w:hideMark/>
          </w:tcPr>
          <w:p w14:paraId="296AE420" w14:textId="025813A5"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($20</w:t>
            </w:r>
            <w:r w:rsidR="00F27BA2" w:rsidRPr="00744942">
              <w:rPr>
                <w:sz w:val="18"/>
                <w:szCs w:val="18"/>
                <w:lang w:eastAsia="zh-CN"/>
              </w:rPr>
              <w:t>–</w:t>
            </w:r>
            <w:r w:rsidRPr="00744942">
              <w:rPr>
                <w:sz w:val="18"/>
                <w:szCs w:val="18"/>
                <w:lang w:eastAsia="zh-CN"/>
              </w:rPr>
              <w:t>53/month)</w:t>
            </w:r>
          </w:p>
        </w:tc>
        <w:tc>
          <w:tcPr>
            <w:tcW w:w="1265" w:type="dxa"/>
            <w:tcBorders>
              <w:top w:val="dotted" w:sz="4" w:space="0" w:color="auto"/>
              <w:bottom w:val="dotted" w:sz="4" w:space="0" w:color="auto"/>
            </w:tcBorders>
            <w:vAlign w:val="center"/>
          </w:tcPr>
          <w:p w14:paraId="04BE75DF"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hideMark/>
          </w:tcPr>
          <w:p w14:paraId="19BCA21D" w14:textId="07F65C10" w:rsidR="00CB6E6F" w:rsidRPr="00744942" w:rsidRDefault="00CB6E6F" w:rsidP="00092DD6">
            <w:pPr>
              <w:pStyle w:val="ExhibitText"/>
              <w:jc w:val="left"/>
              <w:rPr>
                <w:sz w:val="18"/>
                <w:szCs w:val="18"/>
                <w:lang w:eastAsia="zh-CN"/>
              </w:rPr>
            </w:pPr>
            <w:r w:rsidRPr="00744942">
              <w:rPr>
                <w:sz w:val="18"/>
                <w:szCs w:val="18"/>
                <w:lang w:eastAsia="zh-CN"/>
              </w:rPr>
              <w:t>www.alert-1.com</w:t>
            </w:r>
          </w:p>
        </w:tc>
      </w:tr>
      <w:tr w:rsidR="00CB6E6F" w:rsidRPr="00744942" w14:paraId="34FD955E"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4F908931" w14:textId="77777777" w:rsidR="00CB6E6F" w:rsidRPr="00744942" w:rsidRDefault="00CB6E6F" w:rsidP="00092DD6">
            <w:pPr>
              <w:pStyle w:val="ExhibitText"/>
              <w:jc w:val="left"/>
              <w:rPr>
                <w:sz w:val="18"/>
                <w:szCs w:val="18"/>
                <w:lang w:eastAsia="zh-CN"/>
              </w:rPr>
            </w:pPr>
            <w:r w:rsidRPr="00744942">
              <w:rPr>
                <w:sz w:val="18"/>
                <w:szCs w:val="18"/>
                <w:lang w:eastAsia="zh-CN"/>
              </w:rPr>
              <w:t>Alertcast</w:t>
            </w:r>
          </w:p>
        </w:tc>
        <w:tc>
          <w:tcPr>
            <w:tcW w:w="1595" w:type="dxa"/>
            <w:tcBorders>
              <w:top w:val="dotted" w:sz="4" w:space="0" w:color="auto"/>
              <w:bottom w:val="dotted" w:sz="4" w:space="0" w:color="auto"/>
            </w:tcBorders>
            <w:shd w:val="clear" w:color="auto" w:fill="auto"/>
            <w:vAlign w:val="center"/>
            <w:hideMark/>
          </w:tcPr>
          <w:p w14:paraId="76EBF823" w14:textId="77777777" w:rsidR="00CB6E6F" w:rsidRPr="00744942" w:rsidRDefault="00CB6E6F" w:rsidP="0021472C">
            <w:pPr>
              <w:pStyle w:val="ExhibitText"/>
              <w:jc w:val="left"/>
              <w:rPr>
                <w:sz w:val="18"/>
                <w:szCs w:val="18"/>
                <w:lang w:eastAsia="zh-CN"/>
              </w:rPr>
            </w:pPr>
            <w:r w:rsidRPr="00744942">
              <w:rPr>
                <w:sz w:val="18"/>
                <w:szCs w:val="18"/>
                <w:lang w:eastAsia="zh-CN"/>
              </w:rPr>
              <w:t>Toll-free call</w:t>
            </w:r>
          </w:p>
        </w:tc>
        <w:tc>
          <w:tcPr>
            <w:tcW w:w="1596" w:type="dxa"/>
            <w:tcBorders>
              <w:top w:val="dotted" w:sz="4" w:space="0" w:color="auto"/>
              <w:bottom w:val="dotted" w:sz="4" w:space="0" w:color="auto"/>
            </w:tcBorders>
            <w:shd w:val="clear" w:color="auto" w:fill="auto"/>
            <w:vAlign w:val="center"/>
            <w:hideMark/>
          </w:tcPr>
          <w:p w14:paraId="559B40AA" w14:textId="77777777" w:rsidR="00CB6E6F" w:rsidRPr="00744942" w:rsidRDefault="00CB6E6F" w:rsidP="0021472C">
            <w:pPr>
              <w:pStyle w:val="ExhibitText"/>
              <w:jc w:val="left"/>
              <w:rPr>
                <w:sz w:val="18"/>
                <w:szCs w:val="18"/>
                <w:lang w:eastAsia="zh-CN"/>
              </w:rPr>
            </w:pPr>
            <w:r w:rsidRPr="00744942">
              <w:rPr>
                <w:sz w:val="18"/>
                <w:szCs w:val="18"/>
                <w:lang w:eastAsia="zh-CN"/>
              </w:rPr>
              <w:t>Broadcast message</w:t>
            </w:r>
          </w:p>
        </w:tc>
        <w:tc>
          <w:tcPr>
            <w:tcW w:w="1596" w:type="dxa"/>
            <w:tcBorders>
              <w:top w:val="dotted" w:sz="4" w:space="0" w:color="auto"/>
              <w:bottom w:val="dotted" w:sz="4" w:space="0" w:color="auto"/>
            </w:tcBorders>
            <w:shd w:val="clear" w:color="auto" w:fill="auto"/>
            <w:vAlign w:val="center"/>
            <w:hideMark/>
          </w:tcPr>
          <w:p w14:paraId="400C8D9A" w14:textId="77777777" w:rsidR="00CB6E6F" w:rsidRPr="00744942" w:rsidRDefault="00CB6E6F" w:rsidP="0021472C">
            <w:pPr>
              <w:pStyle w:val="ExhibitText"/>
              <w:jc w:val="left"/>
              <w:rPr>
                <w:sz w:val="18"/>
                <w:szCs w:val="18"/>
                <w:lang w:eastAsia="zh-CN"/>
              </w:rPr>
            </w:pPr>
            <w:r w:rsidRPr="00744942">
              <w:rPr>
                <w:sz w:val="18"/>
                <w:szCs w:val="18"/>
                <w:lang w:eastAsia="zh-CN"/>
              </w:rPr>
              <w:t>Subscription fee</w:t>
            </w:r>
          </w:p>
        </w:tc>
        <w:tc>
          <w:tcPr>
            <w:tcW w:w="1265" w:type="dxa"/>
            <w:tcBorders>
              <w:top w:val="dotted" w:sz="4" w:space="0" w:color="auto"/>
              <w:bottom w:val="dotted" w:sz="4" w:space="0" w:color="auto"/>
            </w:tcBorders>
            <w:vAlign w:val="center"/>
          </w:tcPr>
          <w:p w14:paraId="3CA1309A" w14:textId="77777777" w:rsidR="00CB6E6F" w:rsidRPr="00744942" w:rsidRDefault="00CB6E6F" w:rsidP="0021472C">
            <w:pPr>
              <w:pStyle w:val="ExhibitText"/>
              <w:jc w:val="center"/>
              <w:rPr>
                <w:sz w:val="18"/>
                <w:szCs w:val="18"/>
              </w:rPr>
            </w:pPr>
            <w:r w:rsidRPr="00744942">
              <w:rPr>
                <w:sz w:val="18"/>
                <w:szCs w:val="18"/>
              </w:rPr>
              <w:t>N/A</w:t>
            </w:r>
          </w:p>
        </w:tc>
        <w:tc>
          <w:tcPr>
            <w:tcW w:w="1805" w:type="dxa"/>
            <w:tcBorders>
              <w:top w:val="dotted" w:sz="4" w:space="0" w:color="auto"/>
              <w:bottom w:val="dotted" w:sz="4" w:space="0" w:color="auto"/>
            </w:tcBorders>
            <w:shd w:val="clear" w:color="auto" w:fill="auto"/>
            <w:vAlign w:val="center"/>
            <w:hideMark/>
          </w:tcPr>
          <w:p w14:paraId="0ED24DC1" w14:textId="75731BB9" w:rsidR="00CB6E6F" w:rsidRPr="00744942" w:rsidRDefault="00CB6E6F" w:rsidP="00092DD6">
            <w:pPr>
              <w:pStyle w:val="ExhibitText"/>
              <w:jc w:val="left"/>
              <w:rPr>
                <w:sz w:val="18"/>
                <w:szCs w:val="18"/>
                <w:lang w:eastAsia="zh-CN"/>
              </w:rPr>
            </w:pPr>
            <w:r w:rsidRPr="00744942">
              <w:rPr>
                <w:sz w:val="18"/>
                <w:szCs w:val="18"/>
                <w:lang w:eastAsia="zh-CN"/>
              </w:rPr>
              <w:t>www.alertcast.com</w:t>
            </w:r>
          </w:p>
        </w:tc>
      </w:tr>
      <w:tr w:rsidR="00CB6E6F" w:rsidRPr="00744942" w14:paraId="64403E0A"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tcPr>
          <w:p w14:paraId="7F581016" w14:textId="77777777" w:rsidR="00CB6E6F" w:rsidRPr="00744942" w:rsidRDefault="00CB6E6F" w:rsidP="00092DD6">
            <w:pPr>
              <w:pStyle w:val="ExhibitText"/>
              <w:jc w:val="left"/>
              <w:rPr>
                <w:sz w:val="18"/>
                <w:szCs w:val="18"/>
                <w:lang w:eastAsia="zh-CN"/>
              </w:rPr>
            </w:pPr>
            <w:r w:rsidRPr="00744942">
              <w:rPr>
                <w:sz w:val="18"/>
                <w:szCs w:val="18"/>
                <w:lang w:eastAsia="zh-CN"/>
              </w:rPr>
              <w:t xml:space="preserve">Bay Alarm Medical </w:t>
            </w:r>
          </w:p>
        </w:tc>
        <w:tc>
          <w:tcPr>
            <w:tcW w:w="1595" w:type="dxa"/>
            <w:tcBorders>
              <w:top w:val="dotted" w:sz="4" w:space="0" w:color="auto"/>
              <w:bottom w:val="dotted" w:sz="4" w:space="0" w:color="auto"/>
            </w:tcBorders>
            <w:shd w:val="clear" w:color="auto" w:fill="auto"/>
            <w:vAlign w:val="center"/>
          </w:tcPr>
          <w:p w14:paraId="706E0D22" w14:textId="77777777" w:rsidR="00CB6E6F" w:rsidRPr="00744942" w:rsidRDefault="00CB6E6F" w:rsidP="0021472C">
            <w:pPr>
              <w:pStyle w:val="ExhibitText"/>
              <w:jc w:val="left"/>
              <w:rPr>
                <w:sz w:val="18"/>
                <w:szCs w:val="18"/>
                <w:lang w:eastAsia="zh-CN"/>
              </w:rPr>
            </w:pPr>
            <w:r w:rsidRPr="00744942">
              <w:rPr>
                <w:sz w:val="18"/>
                <w:szCs w:val="18"/>
                <w:lang w:eastAsia="zh-CN"/>
              </w:rPr>
              <w:t>Pendent, bracelet, button, in car</w:t>
            </w:r>
          </w:p>
        </w:tc>
        <w:tc>
          <w:tcPr>
            <w:tcW w:w="1596" w:type="dxa"/>
            <w:tcBorders>
              <w:top w:val="dotted" w:sz="4" w:space="0" w:color="auto"/>
              <w:bottom w:val="dotted" w:sz="4" w:space="0" w:color="auto"/>
            </w:tcBorders>
            <w:shd w:val="clear" w:color="auto" w:fill="auto"/>
            <w:vAlign w:val="center"/>
          </w:tcPr>
          <w:p w14:paraId="48FAB5FB" w14:textId="77777777" w:rsidR="00CB6E6F" w:rsidRPr="00744942" w:rsidRDefault="00CB6E6F" w:rsidP="0021472C">
            <w:pPr>
              <w:pStyle w:val="ExhibitText"/>
              <w:jc w:val="left"/>
              <w:rPr>
                <w:sz w:val="18"/>
                <w:szCs w:val="18"/>
                <w:lang w:eastAsia="zh-CN"/>
              </w:rPr>
            </w:pPr>
            <w:r w:rsidRPr="00744942">
              <w:rPr>
                <w:sz w:val="18"/>
                <w:szCs w:val="18"/>
                <w:lang w:eastAsia="zh-CN"/>
              </w:rPr>
              <w:t>Smartwatch, in car</w:t>
            </w:r>
          </w:p>
        </w:tc>
        <w:tc>
          <w:tcPr>
            <w:tcW w:w="1596" w:type="dxa"/>
            <w:tcBorders>
              <w:top w:val="dotted" w:sz="4" w:space="0" w:color="auto"/>
              <w:bottom w:val="dotted" w:sz="4" w:space="0" w:color="auto"/>
            </w:tcBorders>
            <w:shd w:val="clear" w:color="auto" w:fill="auto"/>
            <w:vAlign w:val="center"/>
          </w:tcPr>
          <w:p w14:paraId="552435EC" w14:textId="5BFB8AB1"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($20</w:t>
            </w:r>
            <w:r w:rsidR="00F27BA2" w:rsidRPr="00744942">
              <w:rPr>
                <w:sz w:val="18"/>
                <w:szCs w:val="18"/>
                <w:lang w:eastAsia="zh-CN"/>
              </w:rPr>
              <w:t>–</w:t>
            </w:r>
            <w:r w:rsidRPr="00744942">
              <w:rPr>
                <w:sz w:val="18"/>
                <w:szCs w:val="18"/>
                <w:lang w:eastAsia="zh-CN"/>
              </w:rPr>
              <w:t>30/month)</w:t>
            </w:r>
          </w:p>
        </w:tc>
        <w:tc>
          <w:tcPr>
            <w:tcW w:w="1265" w:type="dxa"/>
            <w:tcBorders>
              <w:top w:val="dotted" w:sz="4" w:space="0" w:color="auto"/>
              <w:bottom w:val="dotted" w:sz="4" w:space="0" w:color="auto"/>
            </w:tcBorders>
            <w:vAlign w:val="center"/>
          </w:tcPr>
          <w:p w14:paraId="69359378" w14:textId="77777777" w:rsidR="00CB6E6F" w:rsidRPr="00744942" w:rsidRDefault="00CB6E6F" w:rsidP="0021472C">
            <w:pPr>
              <w:pStyle w:val="ExhibitText"/>
              <w:jc w:val="center"/>
              <w:rPr>
                <w:sz w:val="18"/>
                <w:szCs w:val="18"/>
              </w:rPr>
            </w:pPr>
            <w:r w:rsidRPr="00744942">
              <w:rPr>
                <w:sz w:val="18"/>
                <w:szCs w:val="18"/>
              </w:rPr>
              <w:t>Yes</w:t>
            </w:r>
          </w:p>
        </w:tc>
        <w:tc>
          <w:tcPr>
            <w:tcW w:w="1805" w:type="dxa"/>
            <w:tcBorders>
              <w:top w:val="dotted" w:sz="4" w:space="0" w:color="auto"/>
              <w:bottom w:val="dotted" w:sz="4" w:space="0" w:color="auto"/>
            </w:tcBorders>
            <w:shd w:val="clear" w:color="auto" w:fill="auto"/>
            <w:vAlign w:val="center"/>
          </w:tcPr>
          <w:p w14:paraId="476762A5" w14:textId="38C439EB" w:rsidR="00CB6E6F" w:rsidRPr="00744942" w:rsidRDefault="00CB6E6F" w:rsidP="00092DD6">
            <w:pPr>
              <w:pStyle w:val="ExhibitText"/>
              <w:jc w:val="left"/>
              <w:rPr>
                <w:sz w:val="18"/>
                <w:szCs w:val="18"/>
              </w:rPr>
            </w:pPr>
            <w:r w:rsidRPr="00744942">
              <w:rPr>
                <w:sz w:val="18"/>
                <w:szCs w:val="18"/>
              </w:rPr>
              <w:t>www.bayalarmmedical.com</w:t>
            </w:r>
          </w:p>
        </w:tc>
      </w:tr>
      <w:tr w:rsidR="00CB6E6F" w:rsidRPr="00744942" w14:paraId="70EFF0B3"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0F98E745" w14:textId="33864342" w:rsidR="00CB6E6F" w:rsidRPr="00744942" w:rsidRDefault="00CB6E6F" w:rsidP="00092DD6">
            <w:pPr>
              <w:pStyle w:val="ExhibitText"/>
              <w:jc w:val="left"/>
              <w:rPr>
                <w:sz w:val="18"/>
                <w:szCs w:val="18"/>
                <w:lang w:eastAsia="zh-CN"/>
              </w:rPr>
            </w:pPr>
            <w:r w:rsidRPr="00744942">
              <w:rPr>
                <w:sz w:val="18"/>
                <w:szCs w:val="18"/>
                <w:lang w:eastAsia="zh-CN"/>
              </w:rPr>
              <w:t>Medi-Alert Systems Inc</w:t>
            </w:r>
            <w:r w:rsidR="00E53131" w:rsidRPr="00744942">
              <w:rPr>
                <w:sz w:val="18"/>
                <w:szCs w:val="18"/>
                <w:lang w:eastAsia="zh-CN"/>
              </w:rPr>
              <w:t>.</w:t>
            </w:r>
          </w:p>
        </w:tc>
        <w:tc>
          <w:tcPr>
            <w:tcW w:w="1595" w:type="dxa"/>
            <w:tcBorders>
              <w:top w:val="dotted" w:sz="4" w:space="0" w:color="auto"/>
              <w:bottom w:val="dotted" w:sz="4" w:space="0" w:color="auto"/>
            </w:tcBorders>
            <w:shd w:val="clear" w:color="auto" w:fill="auto"/>
            <w:vAlign w:val="center"/>
            <w:hideMark/>
          </w:tcPr>
          <w:p w14:paraId="77ECE92D" w14:textId="1951B077" w:rsidR="00CB6E6F" w:rsidRPr="00744942" w:rsidRDefault="00CB6E6F" w:rsidP="0021472C">
            <w:pPr>
              <w:pStyle w:val="ExhibitText"/>
              <w:jc w:val="left"/>
              <w:rPr>
                <w:sz w:val="18"/>
                <w:szCs w:val="18"/>
                <w:lang w:eastAsia="zh-CN"/>
              </w:rPr>
            </w:pPr>
            <w:r w:rsidRPr="00744942">
              <w:rPr>
                <w:sz w:val="18"/>
                <w:szCs w:val="18"/>
                <w:lang w:eastAsia="zh-CN"/>
              </w:rPr>
              <w:t>Pendant</w:t>
            </w:r>
            <w:r w:rsidR="00E53131" w:rsidRPr="00744942">
              <w:rPr>
                <w:sz w:val="18"/>
                <w:szCs w:val="18"/>
                <w:lang w:eastAsia="zh-CN"/>
              </w:rPr>
              <w:t>,</w:t>
            </w:r>
            <w:r w:rsidRPr="00744942">
              <w:rPr>
                <w:sz w:val="18"/>
                <w:szCs w:val="18"/>
                <w:lang w:eastAsia="zh-CN"/>
              </w:rPr>
              <w:t xml:space="preserve"> wristband</w:t>
            </w:r>
            <w:r w:rsidR="00E53131" w:rsidRPr="00744942">
              <w:rPr>
                <w:sz w:val="18"/>
                <w:szCs w:val="18"/>
                <w:lang w:eastAsia="zh-CN"/>
              </w:rPr>
              <w:t>,</w:t>
            </w:r>
            <w:r w:rsidRPr="00744942">
              <w:rPr>
                <w:sz w:val="18"/>
                <w:szCs w:val="18"/>
                <w:lang w:eastAsia="zh-CN"/>
              </w:rPr>
              <w:t xml:space="preserve"> or watch</w:t>
            </w:r>
          </w:p>
        </w:tc>
        <w:tc>
          <w:tcPr>
            <w:tcW w:w="1596" w:type="dxa"/>
            <w:tcBorders>
              <w:top w:val="dotted" w:sz="4" w:space="0" w:color="auto"/>
              <w:bottom w:val="dotted" w:sz="4" w:space="0" w:color="auto"/>
            </w:tcBorders>
            <w:shd w:val="clear" w:color="auto" w:fill="auto"/>
            <w:vAlign w:val="center"/>
            <w:hideMark/>
          </w:tcPr>
          <w:p w14:paraId="56BA5C81" w14:textId="77777777" w:rsidR="00CB6E6F" w:rsidRPr="00744942" w:rsidRDefault="00CB6E6F" w:rsidP="0021472C">
            <w:pPr>
              <w:pStyle w:val="ExhibitText"/>
              <w:jc w:val="left"/>
              <w:rPr>
                <w:sz w:val="18"/>
                <w:szCs w:val="18"/>
                <w:lang w:eastAsia="zh-CN"/>
              </w:rPr>
            </w:pPr>
            <w:r w:rsidRPr="00744942">
              <w:rPr>
                <w:sz w:val="18"/>
                <w:szCs w:val="18"/>
                <w:lang w:eastAsia="zh-CN"/>
              </w:rPr>
              <w:t>Two-way speaker, GPS, two-way voice, 24/7 monitoring</w:t>
            </w:r>
          </w:p>
        </w:tc>
        <w:tc>
          <w:tcPr>
            <w:tcW w:w="1596" w:type="dxa"/>
            <w:tcBorders>
              <w:top w:val="dotted" w:sz="4" w:space="0" w:color="auto"/>
              <w:bottom w:val="dotted" w:sz="4" w:space="0" w:color="auto"/>
            </w:tcBorders>
            <w:shd w:val="clear" w:color="auto" w:fill="auto"/>
            <w:vAlign w:val="center"/>
            <w:hideMark/>
          </w:tcPr>
          <w:p w14:paraId="467BB620" w14:textId="40CF1D35" w:rsidR="00CB6E6F" w:rsidRPr="00744942" w:rsidRDefault="00CB6E6F" w:rsidP="0021472C">
            <w:pPr>
              <w:pStyle w:val="ExhibitText"/>
              <w:jc w:val="left"/>
              <w:rPr>
                <w:sz w:val="18"/>
                <w:szCs w:val="18"/>
                <w:lang w:eastAsia="zh-CN"/>
              </w:rPr>
            </w:pPr>
            <w:r w:rsidRPr="00744942">
              <w:rPr>
                <w:sz w:val="18"/>
                <w:szCs w:val="18"/>
                <w:lang w:eastAsia="zh-CN"/>
              </w:rPr>
              <w:t>One-time device purchase ($200)</w:t>
            </w:r>
            <w:r w:rsidR="008608C5" w:rsidRPr="00744942">
              <w:rPr>
                <w:sz w:val="18"/>
                <w:szCs w:val="18"/>
                <w:lang w:eastAsia="zh-CN"/>
              </w:rPr>
              <w:t>;</w:t>
            </w:r>
          </w:p>
          <w:p w14:paraId="1306CDBB" w14:textId="5AEEB0C8"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($30</w:t>
            </w:r>
            <w:r w:rsidR="00F27BA2" w:rsidRPr="00744942">
              <w:rPr>
                <w:sz w:val="18"/>
                <w:szCs w:val="18"/>
                <w:lang w:eastAsia="zh-CN"/>
              </w:rPr>
              <w:t>–</w:t>
            </w:r>
            <w:r w:rsidRPr="00744942">
              <w:rPr>
                <w:sz w:val="18"/>
                <w:szCs w:val="18"/>
                <w:lang w:eastAsia="zh-CN"/>
              </w:rPr>
              <w:t>35/month)</w:t>
            </w:r>
          </w:p>
        </w:tc>
        <w:tc>
          <w:tcPr>
            <w:tcW w:w="1265" w:type="dxa"/>
            <w:tcBorders>
              <w:top w:val="dotted" w:sz="4" w:space="0" w:color="auto"/>
              <w:bottom w:val="dotted" w:sz="4" w:space="0" w:color="auto"/>
            </w:tcBorders>
            <w:vAlign w:val="center"/>
          </w:tcPr>
          <w:p w14:paraId="070F4C30"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hideMark/>
          </w:tcPr>
          <w:p w14:paraId="70EA8B53" w14:textId="4143BE8B" w:rsidR="00CB6E6F" w:rsidRPr="00744942" w:rsidRDefault="00CB6E6F" w:rsidP="00092DD6">
            <w:pPr>
              <w:pStyle w:val="ExhibitText"/>
              <w:jc w:val="left"/>
              <w:rPr>
                <w:sz w:val="18"/>
                <w:szCs w:val="18"/>
                <w:lang w:eastAsia="zh-CN"/>
              </w:rPr>
            </w:pPr>
            <w:r w:rsidRPr="00744942">
              <w:rPr>
                <w:sz w:val="18"/>
                <w:szCs w:val="18"/>
                <w:lang w:eastAsia="zh-CN"/>
              </w:rPr>
              <w:t>www.medi-alert.com</w:t>
            </w:r>
          </w:p>
        </w:tc>
      </w:tr>
      <w:tr w:rsidR="00CB6E6F" w:rsidRPr="00744942" w14:paraId="7391108B"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3FF2057A" w14:textId="77777777" w:rsidR="00CB6E6F" w:rsidRPr="00744942" w:rsidRDefault="00CB6E6F" w:rsidP="00092DD6">
            <w:pPr>
              <w:pStyle w:val="ExhibitText"/>
              <w:jc w:val="left"/>
              <w:rPr>
                <w:sz w:val="18"/>
                <w:szCs w:val="18"/>
                <w:lang w:eastAsia="zh-CN"/>
              </w:rPr>
            </w:pPr>
            <w:r w:rsidRPr="00744942">
              <w:rPr>
                <w:sz w:val="18"/>
                <w:szCs w:val="18"/>
                <w:lang w:eastAsia="zh-CN"/>
              </w:rPr>
              <w:t>Senior Medical Alert Systems</w:t>
            </w:r>
          </w:p>
        </w:tc>
        <w:tc>
          <w:tcPr>
            <w:tcW w:w="1595" w:type="dxa"/>
            <w:tcBorders>
              <w:top w:val="dotted" w:sz="4" w:space="0" w:color="auto"/>
              <w:bottom w:val="dotted" w:sz="4" w:space="0" w:color="auto"/>
            </w:tcBorders>
            <w:shd w:val="clear" w:color="auto" w:fill="auto"/>
            <w:vAlign w:val="center"/>
            <w:hideMark/>
          </w:tcPr>
          <w:p w14:paraId="42C8FC4D" w14:textId="77777777" w:rsidR="00CB6E6F" w:rsidRPr="00744942" w:rsidRDefault="00CB6E6F" w:rsidP="0021472C">
            <w:pPr>
              <w:pStyle w:val="ExhibitText"/>
              <w:jc w:val="left"/>
              <w:rPr>
                <w:sz w:val="18"/>
                <w:szCs w:val="18"/>
                <w:lang w:eastAsia="zh-CN"/>
              </w:rPr>
            </w:pPr>
            <w:r w:rsidRPr="00744942">
              <w:rPr>
                <w:sz w:val="18"/>
                <w:szCs w:val="18"/>
                <w:lang w:eastAsia="zh-CN"/>
              </w:rPr>
              <w:t>Pendant or wristband</w:t>
            </w:r>
          </w:p>
        </w:tc>
        <w:tc>
          <w:tcPr>
            <w:tcW w:w="1596" w:type="dxa"/>
            <w:tcBorders>
              <w:top w:val="dotted" w:sz="4" w:space="0" w:color="auto"/>
              <w:bottom w:val="dotted" w:sz="4" w:space="0" w:color="auto"/>
            </w:tcBorders>
            <w:shd w:val="clear" w:color="auto" w:fill="auto"/>
            <w:vAlign w:val="center"/>
            <w:hideMark/>
          </w:tcPr>
          <w:p w14:paraId="3383EDCA" w14:textId="77777777" w:rsidR="00CB6E6F" w:rsidRPr="00744942" w:rsidRDefault="00CB6E6F" w:rsidP="0021472C">
            <w:pPr>
              <w:pStyle w:val="ExhibitText"/>
              <w:jc w:val="left"/>
              <w:rPr>
                <w:sz w:val="18"/>
                <w:szCs w:val="18"/>
                <w:lang w:eastAsia="zh-CN"/>
              </w:rPr>
            </w:pPr>
            <w:r w:rsidRPr="00744942">
              <w:rPr>
                <w:sz w:val="18"/>
                <w:szCs w:val="18"/>
                <w:lang w:eastAsia="zh-CN"/>
              </w:rPr>
              <w:t>Two-way speaker</w:t>
            </w:r>
          </w:p>
        </w:tc>
        <w:tc>
          <w:tcPr>
            <w:tcW w:w="1596" w:type="dxa"/>
            <w:tcBorders>
              <w:top w:val="dotted" w:sz="4" w:space="0" w:color="auto"/>
              <w:bottom w:val="dotted" w:sz="4" w:space="0" w:color="auto"/>
            </w:tcBorders>
            <w:shd w:val="clear" w:color="auto" w:fill="auto"/>
            <w:vAlign w:val="center"/>
            <w:hideMark/>
          </w:tcPr>
          <w:p w14:paraId="674633B9" w14:textId="5EF1B0A9"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($20</w:t>
            </w:r>
            <w:r w:rsidR="00F27BA2" w:rsidRPr="00744942">
              <w:rPr>
                <w:sz w:val="18"/>
                <w:szCs w:val="18"/>
                <w:lang w:eastAsia="zh-CN"/>
              </w:rPr>
              <w:t>–</w:t>
            </w:r>
            <w:r w:rsidRPr="00744942">
              <w:rPr>
                <w:sz w:val="18"/>
                <w:szCs w:val="18"/>
                <w:lang w:eastAsia="zh-CN"/>
              </w:rPr>
              <w:t>35/month)</w:t>
            </w:r>
          </w:p>
        </w:tc>
        <w:tc>
          <w:tcPr>
            <w:tcW w:w="1265" w:type="dxa"/>
            <w:tcBorders>
              <w:top w:val="dotted" w:sz="4" w:space="0" w:color="auto"/>
              <w:bottom w:val="dotted" w:sz="4" w:space="0" w:color="auto"/>
            </w:tcBorders>
            <w:vAlign w:val="center"/>
          </w:tcPr>
          <w:p w14:paraId="0B3B3C24"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hideMark/>
          </w:tcPr>
          <w:p w14:paraId="198FBB68" w14:textId="79133F3F" w:rsidR="00AD7018" w:rsidRPr="00744942" w:rsidRDefault="00CB6E6F" w:rsidP="00092DD6">
            <w:pPr>
              <w:pStyle w:val="ExhibitText"/>
              <w:jc w:val="left"/>
              <w:rPr>
                <w:sz w:val="18"/>
                <w:szCs w:val="18"/>
                <w:lang w:eastAsia="zh-CN"/>
              </w:rPr>
            </w:pPr>
            <w:r w:rsidRPr="00744942">
              <w:rPr>
                <w:sz w:val="18"/>
                <w:szCs w:val="18"/>
                <w:lang w:eastAsia="zh-CN"/>
              </w:rPr>
              <w:t>www.seniorsafety.</w:t>
            </w:r>
          </w:p>
          <w:p w14:paraId="7A7EF52F" w14:textId="726E5DC1" w:rsidR="00CB6E6F" w:rsidRPr="00744942" w:rsidRDefault="00CB6E6F" w:rsidP="00092DD6">
            <w:pPr>
              <w:pStyle w:val="ExhibitText"/>
              <w:jc w:val="left"/>
              <w:rPr>
                <w:sz w:val="18"/>
                <w:szCs w:val="18"/>
                <w:lang w:eastAsia="zh-CN"/>
              </w:rPr>
            </w:pPr>
            <w:r w:rsidRPr="00744942">
              <w:rPr>
                <w:sz w:val="18"/>
                <w:szCs w:val="18"/>
                <w:lang w:eastAsia="zh-CN"/>
              </w:rPr>
              <w:t>com</w:t>
            </w:r>
          </w:p>
        </w:tc>
      </w:tr>
      <w:tr w:rsidR="00CB6E6F" w:rsidRPr="00744942" w14:paraId="1903DBC2"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1F34AA18" w14:textId="77777777" w:rsidR="00CB6E6F" w:rsidRPr="00744942" w:rsidRDefault="00CB6E6F" w:rsidP="00092DD6">
            <w:pPr>
              <w:pStyle w:val="ExhibitText"/>
              <w:jc w:val="left"/>
              <w:rPr>
                <w:sz w:val="18"/>
                <w:szCs w:val="18"/>
                <w:lang w:eastAsia="zh-CN"/>
              </w:rPr>
            </w:pPr>
            <w:r w:rsidRPr="00744942">
              <w:rPr>
                <w:sz w:val="18"/>
                <w:szCs w:val="18"/>
                <w:lang w:eastAsia="zh-CN"/>
              </w:rPr>
              <w:t>Medical Alert</w:t>
            </w:r>
          </w:p>
        </w:tc>
        <w:tc>
          <w:tcPr>
            <w:tcW w:w="1595" w:type="dxa"/>
            <w:tcBorders>
              <w:top w:val="dotted" w:sz="4" w:space="0" w:color="auto"/>
              <w:bottom w:val="dotted" w:sz="4" w:space="0" w:color="auto"/>
            </w:tcBorders>
            <w:shd w:val="clear" w:color="auto" w:fill="auto"/>
            <w:vAlign w:val="center"/>
            <w:hideMark/>
          </w:tcPr>
          <w:p w14:paraId="426E2F76" w14:textId="3D6DA443" w:rsidR="00CB6E6F" w:rsidRPr="00744942" w:rsidRDefault="00CB6E6F" w:rsidP="0021472C">
            <w:pPr>
              <w:pStyle w:val="ExhibitText"/>
              <w:jc w:val="left"/>
              <w:rPr>
                <w:sz w:val="18"/>
                <w:szCs w:val="18"/>
                <w:lang w:eastAsia="zh-CN"/>
              </w:rPr>
            </w:pPr>
            <w:r w:rsidRPr="00744942">
              <w:rPr>
                <w:sz w:val="18"/>
                <w:szCs w:val="18"/>
                <w:lang w:eastAsia="zh-CN"/>
              </w:rPr>
              <w:t>Pendent, wristband, button</w:t>
            </w:r>
            <w:r w:rsidR="00B1231D" w:rsidRPr="00744942">
              <w:rPr>
                <w:sz w:val="18"/>
                <w:szCs w:val="18"/>
                <w:lang w:eastAsia="zh-CN"/>
              </w:rPr>
              <w:t>,</w:t>
            </w:r>
            <w:r w:rsidRPr="00744942">
              <w:rPr>
                <w:sz w:val="18"/>
                <w:szCs w:val="18"/>
                <w:lang w:eastAsia="zh-CN"/>
              </w:rPr>
              <w:t xml:space="preserve"> or home system</w:t>
            </w:r>
          </w:p>
        </w:tc>
        <w:tc>
          <w:tcPr>
            <w:tcW w:w="1596" w:type="dxa"/>
            <w:tcBorders>
              <w:top w:val="dotted" w:sz="4" w:space="0" w:color="auto"/>
              <w:bottom w:val="dotted" w:sz="4" w:space="0" w:color="auto"/>
            </w:tcBorders>
            <w:shd w:val="clear" w:color="auto" w:fill="auto"/>
            <w:vAlign w:val="center"/>
            <w:hideMark/>
          </w:tcPr>
          <w:p w14:paraId="181FAC6B" w14:textId="77777777" w:rsidR="00CB6E6F" w:rsidRPr="00744942" w:rsidRDefault="00CB6E6F" w:rsidP="0021472C">
            <w:pPr>
              <w:pStyle w:val="ExhibitText"/>
              <w:jc w:val="left"/>
              <w:rPr>
                <w:sz w:val="18"/>
                <w:szCs w:val="18"/>
                <w:lang w:eastAsia="zh-CN"/>
              </w:rPr>
            </w:pPr>
            <w:r w:rsidRPr="00744942">
              <w:rPr>
                <w:sz w:val="18"/>
                <w:szCs w:val="18"/>
                <w:lang w:eastAsia="zh-CN"/>
              </w:rPr>
              <w:t>Two-way speaker, monitoring, app</w:t>
            </w:r>
          </w:p>
        </w:tc>
        <w:tc>
          <w:tcPr>
            <w:tcW w:w="1596" w:type="dxa"/>
            <w:tcBorders>
              <w:top w:val="dotted" w:sz="4" w:space="0" w:color="auto"/>
              <w:bottom w:val="dotted" w:sz="4" w:space="0" w:color="auto"/>
            </w:tcBorders>
            <w:shd w:val="clear" w:color="auto" w:fill="auto"/>
            <w:vAlign w:val="center"/>
            <w:hideMark/>
          </w:tcPr>
          <w:p w14:paraId="12264397" w14:textId="0F0F9759"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($20</w:t>
            </w:r>
            <w:r w:rsidR="00F27BA2" w:rsidRPr="00744942">
              <w:rPr>
                <w:sz w:val="18"/>
                <w:szCs w:val="18"/>
                <w:lang w:eastAsia="zh-CN"/>
              </w:rPr>
              <w:t>–</w:t>
            </w:r>
            <w:r w:rsidRPr="00744942">
              <w:rPr>
                <w:sz w:val="18"/>
                <w:szCs w:val="18"/>
                <w:lang w:eastAsia="zh-CN"/>
              </w:rPr>
              <w:t>41/month)</w:t>
            </w:r>
          </w:p>
        </w:tc>
        <w:tc>
          <w:tcPr>
            <w:tcW w:w="1265" w:type="dxa"/>
            <w:tcBorders>
              <w:top w:val="dotted" w:sz="4" w:space="0" w:color="auto"/>
              <w:bottom w:val="dotted" w:sz="4" w:space="0" w:color="auto"/>
            </w:tcBorders>
            <w:vAlign w:val="center"/>
          </w:tcPr>
          <w:p w14:paraId="60FBAC9A"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hideMark/>
          </w:tcPr>
          <w:p w14:paraId="5FBC585D" w14:textId="642DE9E7" w:rsidR="00AD7018" w:rsidRPr="00744942" w:rsidRDefault="00CB6E6F" w:rsidP="00092DD6">
            <w:pPr>
              <w:pStyle w:val="ExhibitText"/>
              <w:jc w:val="left"/>
              <w:rPr>
                <w:sz w:val="18"/>
                <w:szCs w:val="18"/>
                <w:lang w:eastAsia="zh-CN"/>
              </w:rPr>
            </w:pPr>
            <w:r w:rsidRPr="00744942">
              <w:rPr>
                <w:sz w:val="18"/>
                <w:szCs w:val="18"/>
                <w:lang w:eastAsia="zh-CN"/>
              </w:rPr>
              <w:t>www.medicalalarm.</w:t>
            </w:r>
          </w:p>
          <w:p w14:paraId="32198B5A" w14:textId="50732214" w:rsidR="00CB6E6F" w:rsidRPr="00744942" w:rsidRDefault="00CB6E6F" w:rsidP="00092DD6">
            <w:pPr>
              <w:pStyle w:val="ExhibitText"/>
              <w:jc w:val="left"/>
              <w:rPr>
                <w:sz w:val="18"/>
                <w:szCs w:val="18"/>
                <w:lang w:eastAsia="zh-CN"/>
              </w:rPr>
            </w:pPr>
            <w:r w:rsidRPr="00744942">
              <w:rPr>
                <w:sz w:val="18"/>
                <w:szCs w:val="18"/>
                <w:lang w:eastAsia="zh-CN"/>
              </w:rPr>
              <w:t>com</w:t>
            </w:r>
          </w:p>
        </w:tc>
      </w:tr>
      <w:tr w:rsidR="00CB6E6F" w:rsidRPr="00744942" w14:paraId="21BB0944"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tcPr>
          <w:p w14:paraId="44124FB5" w14:textId="77777777" w:rsidR="00CB6E6F" w:rsidRPr="00744942" w:rsidRDefault="00CB6E6F" w:rsidP="00092DD6">
            <w:pPr>
              <w:pStyle w:val="ExhibitText"/>
              <w:jc w:val="left"/>
              <w:rPr>
                <w:sz w:val="18"/>
                <w:szCs w:val="18"/>
                <w:lang w:eastAsia="zh-CN"/>
              </w:rPr>
            </w:pPr>
            <w:r w:rsidRPr="00744942">
              <w:rPr>
                <w:sz w:val="18"/>
                <w:szCs w:val="18"/>
                <w:lang w:eastAsia="zh-CN"/>
              </w:rPr>
              <w:t>Nortek Security &amp; Control</w:t>
            </w:r>
          </w:p>
        </w:tc>
        <w:tc>
          <w:tcPr>
            <w:tcW w:w="1595" w:type="dxa"/>
            <w:tcBorders>
              <w:top w:val="dotted" w:sz="4" w:space="0" w:color="auto"/>
              <w:bottom w:val="dotted" w:sz="4" w:space="0" w:color="auto"/>
            </w:tcBorders>
            <w:shd w:val="clear" w:color="auto" w:fill="auto"/>
            <w:vAlign w:val="center"/>
          </w:tcPr>
          <w:p w14:paraId="0D88AF5E" w14:textId="1776802D" w:rsidR="00CB6E6F" w:rsidRPr="00744942" w:rsidRDefault="00CB6E6F" w:rsidP="0021472C">
            <w:pPr>
              <w:pStyle w:val="ExhibitText"/>
              <w:jc w:val="left"/>
              <w:rPr>
                <w:sz w:val="18"/>
                <w:szCs w:val="18"/>
                <w:lang w:eastAsia="zh-CN"/>
              </w:rPr>
            </w:pPr>
            <w:r w:rsidRPr="00744942">
              <w:rPr>
                <w:sz w:val="18"/>
                <w:szCs w:val="18"/>
                <w:lang w:eastAsia="zh-CN"/>
              </w:rPr>
              <w:t>Pendant, wristband, watch</w:t>
            </w:r>
            <w:r w:rsidR="00B1231D" w:rsidRPr="00744942">
              <w:rPr>
                <w:sz w:val="18"/>
                <w:szCs w:val="18"/>
                <w:lang w:eastAsia="zh-CN"/>
              </w:rPr>
              <w:t>,</w:t>
            </w:r>
            <w:r w:rsidRPr="00744942">
              <w:rPr>
                <w:sz w:val="18"/>
                <w:szCs w:val="18"/>
                <w:lang w:eastAsia="zh-CN"/>
              </w:rPr>
              <w:t xml:space="preserve"> or button</w:t>
            </w:r>
          </w:p>
        </w:tc>
        <w:tc>
          <w:tcPr>
            <w:tcW w:w="1596" w:type="dxa"/>
            <w:tcBorders>
              <w:top w:val="dotted" w:sz="4" w:space="0" w:color="auto"/>
              <w:bottom w:val="dotted" w:sz="4" w:space="0" w:color="auto"/>
            </w:tcBorders>
            <w:shd w:val="clear" w:color="auto" w:fill="auto"/>
            <w:vAlign w:val="center"/>
          </w:tcPr>
          <w:p w14:paraId="4FBC701B" w14:textId="77777777" w:rsidR="00CB6E6F" w:rsidRPr="00744942" w:rsidRDefault="00CB6E6F" w:rsidP="0021472C">
            <w:pPr>
              <w:pStyle w:val="ExhibitText"/>
              <w:jc w:val="left"/>
              <w:rPr>
                <w:sz w:val="18"/>
                <w:szCs w:val="18"/>
                <w:lang w:eastAsia="zh-CN"/>
              </w:rPr>
            </w:pPr>
            <w:r w:rsidRPr="00744942">
              <w:rPr>
                <w:sz w:val="18"/>
                <w:szCs w:val="18"/>
                <w:lang w:eastAsia="zh-CN"/>
              </w:rPr>
              <w:t>Fall detection, monitoring</w:t>
            </w:r>
          </w:p>
        </w:tc>
        <w:tc>
          <w:tcPr>
            <w:tcW w:w="1596" w:type="dxa"/>
            <w:tcBorders>
              <w:top w:val="dotted" w:sz="4" w:space="0" w:color="auto"/>
              <w:bottom w:val="dotted" w:sz="4" w:space="0" w:color="auto"/>
            </w:tcBorders>
            <w:shd w:val="clear" w:color="auto" w:fill="auto"/>
            <w:vAlign w:val="center"/>
          </w:tcPr>
          <w:p w14:paraId="0B25962D" w14:textId="77777777" w:rsidR="00CB6E6F" w:rsidRPr="00744942" w:rsidRDefault="00CB6E6F" w:rsidP="0021472C">
            <w:pPr>
              <w:pStyle w:val="ExhibitText"/>
              <w:jc w:val="left"/>
              <w:rPr>
                <w:sz w:val="18"/>
                <w:szCs w:val="18"/>
                <w:lang w:eastAsia="zh-CN"/>
              </w:rPr>
            </w:pPr>
            <w:r w:rsidRPr="00744942">
              <w:rPr>
                <w:sz w:val="18"/>
                <w:szCs w:val="18"/>
                <w:lang w:eastAsia="zh-CN"/>
              </w:rPr>
              <w:t>Not available</w:t>
            </w:r>
          </w:p>
        </w:tc>
        <w:tc>
          <w:tcPr>
            <w:tcW w:w="1265" w:type="dxa"/>
            <w:tcBorders>
              <w:top w:val="dotted" w:sz="4" w:space="0" w:color="auto"/>
              <w:bottom w:val="dotted" w:sz="4" w:space="0" w:color="auto"/>
            </w:tcBorders>
            <w:vAlign w:val="center"/>
          </w:tcPr>
          <w:p w14:paraId="3BFEF212"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tcPr>
          <w:p w14:paraId="51C1F86E" w14:textId="6BEF26F7" w:rsidR="00AD7018" w:rsidRPr="00744942" w:rsidRDefault="00CB6E6F" w:rsidP="00092DD6">
            <w:pPr>
              <w:pStyle w:val="ExhibitText"/>
              <w:jc w:val="left"/>
              <w:rPr>
                <w:sz w:val="18"/>
                <w:szCs w:val="18"/>
              </w:rPr>
            </w:pPr>
            <w:r w:rsidRPr="00744942">
              <w:rPr>
                <w:sz w:val="18"/>
                <w:szCs w:val="18"/>
              </w:rPr>
              <w:t>www.nortekcontrol.</w:t>
            </w:r>
          </w:p>
          <w:p w14:paraId="3E997F72" w14:textId="50B6B96E" w:rsidR="00CB6E6F" w:rsidRPr="00744942" w:rsidRDefault="00CB6E6F" w:rsidP="00092DD6">
            <w:pPr>
              <w:pStyle w:val="ExhibitText"/>
              <w:jc w:val="left"/>
              <w:rPr>
                <w:sz w:val="18"/>
                <w:szCs w:val="18"/>
              </w:rPr>
            </w:pPr>
            <w:r w:rsidRPr="00744942">
              <w:rPr>
                <w:sz w:val="18"/>
                <w:szCs w:val="18"/>
              </w:rPr>
              <w:t xml:space="preserve">com/products/personal-emergency-systems </w:t>
            </w:r>
          </w:p>
        </w:tc>
      </w:tr>
      <w:tr w:rsidR="00CB6E6F" w:rsidRPr="00744942" w14:paraId="3311AD0B"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1F5F28CE" w14:textId="77777777" w:rsidR="00CB6E6F" w:rsidRPr="00744942" w:rsidRDefault="00CB6E6F" w:rsidP="00092DD6">
            <w:pPr>
              <w:pStyle w:val="ExhibitText"/>
              <w:jc w:val="left"/>
              <w:rPr>
                <w:sz w:val="18"/>
                <w:szCs w:val="18"/>
                <w:lang w:eastAsia="zh-CN"/>
              </w:rPr>
            </w:pPr>
            <w:r w:rsidRPr="00744942">
              <w:rPr>
                <w:sz w:val="18"/>
                <w:szCs w:val="18"/>
                <w:lang w:eastAsia="zh-CN"/>
              </w:rPr>
              <w:t>Life Alert</w:t>
            </w:r>
          </w:p>
        </w:tc>
        <w:tc>
          <w:tcPr>
            <w:tcW w:w="1595" w:type="dxa"/>
            <w:tcBorders>
              <w:top w:val="dotted" w:sz="4" w:space="0" w:color="auto"/>
              <w:bottom w:val="dotted" w:sz="4" w:space="0" w:color="auto"/>
            </w:tcBorders>
            <w:shd w:val="clear" w:color="auto" w:fill="auto"/>
            <w:vAlign w:val="center"/>
            <w:hideMark/>
          </w:tcPr>
          <w:p w14:paraId="20AD3C08" w14:textId="6DEB7EFF" w:rsidR="00CB6E6F" w:rsidRPr="00744942" w:rsidRDefault="00CB6E6F" w:rsidP="0021472C">
            <w:pPr>
              <w:pStyle w:val="ExhibitText"/>
              <w:jc w:val="left"/>
              <w:rPr>
                <w:sz w:val="18"/>
                <w:szCs w:val="18"/>
                <w:lang w:eastAsia="zh-CN"/>
              </w:rPr>
            </w:pPr>
            <w:r w:rsidRPr="00744942">
              <w:rPr>
                <w:sz w:val="18"/>
                <w:szCs w:val="18"/>
                <w:lang w:eastAsia="zh-CN"/>
              </w:rPr>
              <w:t>Button, pendent</w:t>
            </w:r>
            <w:r w:rsidR="00E53131" w:rsidRPr="00744942">
              <w:rPr>
                <w:sz w:val="18"/>
                <w:szCs w:val="18"/>
                <w:lang w:eastAsia="zh-CN"/>
              </w:rPr>
              <w:t>,</w:t>
            </w:r>
            <w:r w:rsidRPr="00744942">
              <w:rPr>
                <w:sz w:val="18"/>
                <w:szCs w:val="18"/>
                <w:lang w:eastAsia="zh-CN"/>
              </w:rPr>
              <w:t xml:space="preserve"> or wristband</w:t>
            </w:r>
          </w:p>
        </w:tc>
        <w:tc>
          <w:tcPr>
            <w:tcW w:w="1596" w:type="dxa"/>
            <w:tcBorders>
              <w:top w:val="dotted" w:sz="4" w:space="0" w:color="auto"/>
              <w:bottom w:val="dotted" w:sz="4" w:space="0" w:color="auto"/>
            </w:tcBorders>
            <w:shd w:val="clear" w:color="auto" w:fill="auto"/>
            <w:vAlign w:val="center"/>
            <w:hideMark/>
          </w:tcPr>
          <w:p w14:paraId="30E4C68A" w14:textId="77777777" w:rsidR="00CB6E6F" w:rsidRPr="00744942" w:rsidRDefault="00CB6E6F" w:rsidP="0021472C">
            <w:pPr>
              <w:pStyle w:val="ExhibitText"/>
              <w:jc w:val="left"/>
              <w:rPr>
                <w:sz w:val="18"/>
                <w:szCs w:val="18"/>
                <w:lang w:eastAsia="zh-CN"/>
              </w:rPr>
            </w:pPr>
            <w:r w:rsidRPr="00744942">
              <w:rPr>
                <w:sz w:val="18"/>
                <w:szCs w:val="18"/>
                <w:lang w:eastAsia="zh-CN"/>
              </w:rPr>
              <w:t>GPS, monitoring</w:t>
            </w:r>
          </w:p>
        </w:tc>
        <w:tc>
          <w:tcPr>
            <w:tcW w:w="1596" w:type="dxa"/>
            <w:tcBorders>
              <w:top w:val="dotted" w:sz="4" w:space="0" w:color="auto"/>
              <w:bottom w:val="dotted" w:sz="4" w:space="0" w:color="auto"/>
            </w:tcBorders>
            <w:shd w:val="clear" w:color="auto" w:fill="auto"/>
            <w:vAlign w:val="center"/>
            <w:hideMark/>
          </w:tcPr>
          <w:p w14:paraId="53A1687C" w14:textId="0CF499CA"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($50</w:t>
            </w:r>
            <w:r w:rsidR="00F27BA2" w:rsidRPr="00744942">
              <w:rPr>
                <w:sz w:val="18"/>
                <w:szCs w:val="18"/>
                <w:lang w:eastAsia="zh-CN"/>
              </w:rPr>
              <w:t>–</w:t>
            </w:r>
            <w:r w:rsidRPr="00744942">
              <w:rPr>
                <w:sz w:val="18"/>
                <w:szCs w:val="18"/>
                <w:lang w:eastAsia="zh-CN"/>
              </w:rPr>
              <w:t>95/month)</w:t>
            </w:r>
          </w:p>
        </w:tc>
        <w:tc>
          <w:tcPr>
            <w:tcW w:w="1265" w:type="dxa"/>
            <w:tcBorders>
              <w:top w:val="dotted" w:sz="4" w:space="0" w:color="auto"/>
              <w:bottom w:val="dotted" w:sz="4" w:space="0" w:color="auto"/>
            </w:tcBorders>
            <w:vAlign w:val="center"/>
          </w:tcPr>
          <w:p w14:paraId="72323A68"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hideMark/>
          </w:tcPr>
          <w:p w14:paraId="0BF78E10" w14:textId="43449AF7" w:rsidR="00CB6E6F" w:rsidRPr="00744942" w:rsidRDefault="00CB6E6F" w:rsidP="00092DD6">
            <w:pPr>
              <w:pStyle w:val="ExhibitText"/>
              <w:jc w:val="left"/>
              <w:rPr>
                <w:sz w:val="18"/>
                <w:szCs w:val="18"/>
                <w:lang w:eastAsia="zh-CN"/>
              </w:rPr>
            </w:pPr>
            <w:r w:rsidRPr="00744942">
              <w:rPr>
                <w:sz w:val="18"/>
                <w:szCs w:val="18"/>
                <w:lang w:eastAsia="zh-CN"/>
              </w:rPr>
              <w:t>www.lifealert.com</w:t>
            </w:r>
          </w:p>
        </w:tc>
      </w:tr>
      <w:tr w:rsidR="00CB6E6F" w:rsidRPr="00744942" w14:paraId="32A520C9" w14:textId="77777777" w:rsidTr="00BB7DBB">
        <w:trPr>
          <w:trHeight w:val="288"/>
          <w:tblHeader/>
          <w:jc w:val="center"/>
        </w:trPr>
        <w:tc>
          <w:tcPr>
            <w:tcW w:w="1513" w:type="dxa"/>
            <w:tcBorders>
              <w:top w:val="dotted" w:sz="4" w:space="0" w:color="auto"/>
              <w:bottom w:val="dotted" w:sz="4" w:space="0" w:color="auto"/>
            </w:tcBorders>
            <w:shd w:val="clear" w:color="auto" w:fill="auto"/>
            <w:vAlign w:val="center"/>
            <w:hideMark/>
          </w:tcPr>
          <w:p w14:paraId="48283F6F" w14:textId="77777777" w:rsidR="00CB6E6F" w:rsidRPr="00744942" w:rsidRDefault="00CB6E6F" w:rsidP="00092DD6">
            <w:pPr>
              <w:pStyle w:val="ExhibitText"/>
              <w:jc w:val="left"/>
              <w:rPr>
                <w:sz w:val="18"/>
                <w:szCs w:val="18"/>
                <w:lang w:eastAsia="zh-CN"/>
              </w:rPr>
            </w:pPr>
            <w:r w:rsidRPr="00744942">
              <w:rPr>
                <w:sz w:val="18"/>
                <w:szCs w:val="18"/>
                <w:lang w:eastAsia="zh-CN"/>
              </w:rPr>
              <w:t>Life Fone</w:t>
            </w:r>
          </w:p>
        </w:tc>
        <w:tc>
          <w:tcPr>
            <w:tcW w:w="1595" w:type="dxa"/>
            <w:tcBorders>
              <w:top w:val="dotted" w:sz="4" w:space="0" w:color="auto"/>
              <w:bottom w:val="dotted" w:sz="4" w:space="0" w:color="auto"/>
            </w:tcBorders>
            <w:shd w:val="clear" w:color="auto" w:fill="auto"/>
            <w:vAlign w:val="center"/>
            <w:hideMark/>
          </w:tcPr>
          <w:p w14:paraId="4B166741" w14:textId="382002C2" w:rsidR="00CB6E6F" w:rsidRPr="00744942" w:rsidRDefault="00CB6E6F" w:rsidP="0021472C">
            <w:pPr>
              <w:pStyle w:val="ExhibitText"/>
              <w:jc w:val="left"/>
              <w:rPr>
                <w:sz w:val="18"/>
                <w:szCs w:val="18"/>
                <w:lang w:eastAsia="zh-CN"/>
              </w:rPr>
            </w:pPr>
            <w:r w:rsidRPr="00744942">
              <w:rPr>
                <w:sz w:val="18"/>
                <w:szCs w:val="18"/>
                <w:lang w:eastAsia="zh-CN"/>
              </w:rPr>
              <w:t>Pendant, wristband</w:t>
            </w:r>
            <w:r w:rsidR="00B1231D" w:rsidRPr="00744942">
              <w:rPr>
                <w:sz w:val="18"/>
                <w:szCs w:val="18"/>
                <w:lang w:eastAsia="zh-CN"/>
              </w:rPr>
              <w:t>,</w:t>
            </w:r>
            <w:r w:rsidRPr="00744942">
              <w:rPr>
                <w:sz w:val="18"/>
                <w:szCs w:val="18"/>
                <w:lang w:eastAsia="zh-CN"/>
              </w:rPr>
              <w:t xml:space="preserve"> or home system</w:t>
            </w:r>
          </w:p>
        </w:tc>
        <w:tc>
          <w:tcPr>
            <w:tcW w:w="1596" w:type="dxa"/>
            <w:tcBorders>
              <w:top w:val="dotted" w:sz="4" w:space="0" w:color="auto"/>
              <w:bottom w:val="dotted" w:sz="4" w:space="0" w:color="auto"/>
            </w:tcBorders>
            <w:shd w:val="clear" w:color="auto" w:fill="auto"/>
            <w:vAlign w:val="center"/>
            <w:hideMark/>
          </w:tcPr>
          <w:p w14:paraId="358411F7" w14:textId="77777777" w:rsidR="00CB6E6F" w:rsidRPr="00744942" w:rsidRDefault="00CB6E6F" w:rsidP="0021472C">
            <w:pPr>
              <w:pStyle w:val="ExhibitText"/>
              <w:jc w:val="left"/>
              <w:rPr>
                <w:sz w:val="18"/>
                <w:szCs w:val="18"/>
                <w:lang w:eastAsia="zh-CN"/>
              </w:rPr>
            </w:pPr>
            <w:r w:rsidRPr="00744942">
              <w:rPr>
                <w:sz w:val="18"/>
                <w:szCs w:val="18"/>
                <w:lang w:eastAsia="zh-CN"/>
              </w:rPr>
              <w:t>Waterproof, fall detection</w:t>
            </w:r>
          </w:p>
        </w:tc>
        <w:tc>
          <w:tcPr>
            <w:tcW w:w="1596" w:type="dxa"/>
            <w:tcBorders>
              <w:top w:val="dotted" w:sz="4" w:space="0" w:color="auto"/>
              <w:bottom w:val="dotted" w:sz="4" w:space="0" w:color="auto"/>
            </w:tcBorders>
            <w:shd w:val="clear" w:color="auto" w:fill="auto"/>
            <w:vAlign w:val="center"/>
            <w:hideMark/>
          </w:tcPr>
          <w:p w14:paraId="26B1F30B" w14:textId="39F9C228" w:rsidR="00CB6E6F" w:rsidRPr="00744942" w:rsidRDefault="00CB6E6F" w:rsidP="0021472C">
            <w:pPr>
              <w:pStyle w:val="ExhibitText"/>
              <w:jc w:val="left"/>
              <w:rPr>
                <w:sz w:val="18"/>
                <w:szCs w:val="18"/>
                <w:lang w:eastAsia="zh-CN"/>
              </w:rPr>
            </w:pPr>
            <w:r w:rsidRPr="00744942">
              <w:rPr>
                <w:sz w:val="18"/>
                <w:szCs w:val="18"/>
                <w:lang w:eastAsia="zh-CN"/>
              </w:rPr>
              <w:t xml:space="preserve">Subscription fee </w:t>
            </w:r>
            <w:r w:rsidR="00AD7018" w:rsidRPr="00744942">
              <w:rPr>
                <w:sz w:val="18"/>
                <w:szCs w:val="18"/>
                <w:lang w:eastAsia="zh-CN"/>
              </w:rPr>
              <w:br/>
            </w:r>
            <w:r w:rsidRPr="00744942">
              <w:rPr>
                <w:sz w:val="18"/>
                <w:szCs w:val="18"/>
                <w:lang w:eastAsia="zh-CN"/>
              </w:rPr>
              <w:t>($25</w:t>
            </w:r>
            <w:r w:rsidR="00F27BA2" w:rsidRPr="00744942">
              <w:rPr>
                <w:sz w:val="18"/>
                <w:szCs w:val="18"/>
                <w:lang w:eastAsia="zh-CN"/>
              </w:rPr>
              <w:t>–</w:t>
            </w:r>
            <w:r w:rsidRPr="00744942">
              <w:rPr>
                <w:sz w:val="18"/>
                <w:szCs w:val="18"/>
                <w:lang w:eastAsia="zh-CN"/>
              </w:rPr>
              <w:t>43/month)</w:t>
            </w:r>
          </w:p>
        </w:tc>
        <w:tc>
          <w:tcPr>
            <w:tcW w:w="1265" w:type="dxa"/>
            <w:tcBorders>
              <w:top w:val="dotted" w:sz="4" w:space="0" w:color="auto"/>
              <w:bottom w:val="dotted" w:sz="4" w:space="0" w:color="auto"/>
            </w:tcBorders>
            <w:vAlign w:val="center"/>
          </w:tcPr>
          <w:p w14:paraId="13C5BD52"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dotted" w:sz="4" w:space="0" w:color="auto"/>
            </w:tcBorders>
            <w:shd w:val="clear" w:color="auto" w:fill="auto"/>
            <w:vAlign w:val="center"/>
            <w:hideMark/>
          </w:tcPr>
          <w:p w14:paraId="23FCC1D7" w14:textId="65E94613" w:rsidR="00CB6E6F" w:rsidRPr="00744942" w:rsidRDefault="00CB6E6F" w:rsidP="00092DD6">
            <w:pPr>
              <w:pStyle w:val="ExhibitText"/>
              <w:jc w:val="left"/>
              <w:rPr>
                <w:sz w:val="18"/>
                <w:szCs w:val="18"/>
                <w:lang w:eastAsia="zh-CN"/>
              </w:rPr>
            </w:pPr>
            <w:r w:rsidRPr="00744942">
              <w:rPr>
                <w:sz w:val="18"/>
                <w:szCs w:val="18"/>
                <w:lang w:eastAsia="zh-CN"/>
              </w:rPr>
              <w:t>www.lifefone.com</w:t>
            </w:r>
          </w:p>
        </w:tc>
      </w:tr>
      <w:tr w:rsidR="00CB6E6F" w:rsidRPr="00744942" w14:paraId="27F3DEB9" w14:textId="77777777" w:rsidTr="00BB7DBB">
        <w:trPr>
          <w:trHeight w:val="288"/>
          <w:tblHeader/>
          <w:jc w:val="center"/>
        </w:trPr>
        <w:tc>
          <w:tcPr>
            <w:tcW w:w="1513" w:type="dxa"/>
            <w:tcBorders>
              <w:top w:val="dotted" w:sz="4" w:space="0" w:color="auto"/>
              <w:bottom w:val="single" w:sz="4" w:space="0" w:color="auto"/>
            </w:tcBorders>
            <w:shd w:val="clear" w:color="auto" w:fill="auto"/>
            <w:vAlign w:val="center"/>
            <w:hideMark/>
          </w:tcPr>
          <w:p w14:paraId="03E78408" w14:textId="4093EBD8" w:rsidR="00CB6E6F" w:rsidRPr="00744942" w:rsidRDefault="00CB6E6F" w:rsidP="00092DD6">
            <w:pPr>
              <w:pStyle w:val="ExhibitText"/>
              <w:jc w:val="left"/>
              <w:rPr>
                <w:sz w:val="18"/>
                <w:szCs w:val="18"/>
                <w:lang w:eastAsia="zh-CN"/>
              </w:rPr>
            </w:pPr>
            <w:r w:rsidRPr="00744942">
              <w:rPr>
                <w:sz w:val="18"/>
                <w:szCs w:val="18"/>
                <w:lang w:eastAsia="zh-CN"/>
              </w:rPr>
              <w:t>Medi-Call Canada</w:t>
            </w:r>
          </w:p>
        </w:tc>
        <w:tc>
          <w:tcPr>
            <w:tcW w:w="1595" w:type="dxa"/>
            <w:tcBorders>
              <w:top w:val="dotted" w:sz="4" w:space="0" w:color="auto"/>
              <w:bottom w:val="single" w:sz="4" w:space="0" w:color="auto"/>
            </w:tcBorders>
            <w:shd w:val="clear" w:color="auto" w:fill="auto"/>
            <w:vAlign w:val="center"/>
            <w:hideMark/>
          </w:tcPr>
          <w:p w14:paraId="63C0E58B" w14:textId="77777777" w:rsidR="00CB6E6F" w:rsidRPr="00744942" w:rsidRDefault="00CB6E6F" w:rsidP="0021472C">
            <w:pPr>
              <w:pStyle w:val="ExhibitText"/>
              <w:jc w:val="left"/>
              <w:rPr>
                <w:sz w:val="18"/>
                <w:szCs w:val="18"/>
                <w:lang w:eastAsia="zh-CN"/>
              </w:rPr>
            </w:pPr>
            <w:r w:rsidRPr="00744942">
              <w:rPr>
                <w:sz w:val="18"/>
                <w:szCs w:val="18"/>
                <w:lang w:eastAsia="zh-CN"/>
              </w:rPr>
              <w:t>Home button or pendant</w:t>
            </w:r>
          </w:p>
        </w:tc>
        <w:tc>
          <w:tcPr>
            <w:tcW w:w="1596" w:type="dxa"/>
            <w:tcBorders>
              <w:top w:val="dotted" w:sz="4" w:space="0" w:color="auto"/>
              <w:bottom w:val="single" w:sz="4" w:space="0" w:color="auto"/>
            </w:tcBorders>
            <w:shd w:val="clear" w:color="auto" w:fill="auto"/>
            <w:vAlign w:val="center"/>
            <w:hideMark/>
          </w:tcPr>
          <w:p w14:paraId="7A330000" w14:textId="77777777" w:rsidR="00CB6E6F" w:rsidRPr="00744942" w:rsidRDefault="00CB6E6F" w:rsidP="0021472C">
            <w:pPr>
              <w:pStyle w:val="ExhibitText"/>
              <w:jc w:val="left"/>
              <w:rPr>
                <w:sz w:val="18"/>
                <w:szCs w:val="18"/>
                <w:lang w:eastAsia="zh-CN"/>
              </w:rPr>
            </w:pPr>
            <w:r w:rsidRPr="00744942">
              <w:rPr>
                <w:sz w:val="18"/>
                <w:szCs w:val="18"/>
                <w:lang w:eastAsia="zh-CN"/>
              </w:rPr>
              <w:t>Indoor or outdoor</w:t>
            </w:r>
          </w:p>
        </w:tc>
        <w:tc>
          <w:tcPr>
            <w:tcW w:w="1596" w:type="dxa"/>
            <w:tcBorders>
              <w:top w:val="dotted" w:sz="4" w:space="0" w:color="auto"/>
              <w:bottom w:val="single" w:sz="4" w:space="0" w:color="auto"/>
            </w:tcBorders>
            <w:shd w:val="clear" w:color="auto" w:fill="auto"/>
            <w:vAlign w:val="center"/>
            <w:hideMark/>
          </w:tcPr>
          <w:p w14:paraId="1193FF88" w14:textId="1BA26595" w:rsidR="00CB6E6F" w:rsidRPr="00744942" w:rsidRDefault="00CB6E6F" w:rsidP="0021472C">
            <w:pPr>
              <w:pStyle w:val="ExhibitText"/>
              <w:jc w:val="left"/>
              <w:rPr>
                <w:sz w:val="18"/>
                <w:szCs w:val="18"/>
                <w:lang w:eastAsia="zh-CN"/>
              </w:rPr>
            </w:pPr>
            <w:r w:rsidRPr="00744942">
              <w:rPr>
                <w:sz w:val="18"/>
                <w:szCs w:val="18"/>
                <w:lang w:eastAsia="zh-CN"/>
              </w:rPr>
              <w:t>Not available</w:t>
            </w:r>
          </w:p>
        </w:tc>
        <w:tc>
          <w:tcPr>
            <w:tcW w:w="1265" w:type="dxa"/>
            <w:tcBorders>
              <w:top w:val="dotted" w:sz="4" w:space="0" w:color="auto"/>
              <w:bottom w:val="single" w:sz="4" w:space="0" w:color="auto"/>
            </w:tcBorders>
            <w:vAlign w:val="center"/>
          </w:tcPr>
          <w:p w14:paraId="75BEBDE0" w14:textId="77777777" w:rsidR="00CB6E6F" w:rsidRPr="00744942" w:rsidRDefault="00CB6E6F" w:rsidP="0021472C">
            <w:pPr>
              <w:pStyle w:val="ExhibitText"/>
              <w:jc w:val="center"/>
              <w:rPr>
                <w:sz w:val="18"/>
                <w:szCs w:val="18"/>
              </w:rPr>
            </w:pPr>
            <w:r w:rsidRPr="00744942">
              <w:rPr>
                <w:sz w:val="18"/>
                <w:szCs w:val="18"/>
              </w:rPr>
              <w:t>No</w:t>
            </w:r>
          </w:p>
        </w:tc>
        <w:tc>
          <w:tcPr>
            <w:tcW w:w="1805" w:type="dxa"/>
            <w:tcBorders>
              <w:top w:val="dotted" w:sz="4" w:space="0" w:color="auto"/>
              <w:bottom w:val="single" w:sz="4" w:space="0" w:color="auto"/>
            </w:tcBorders>
            <w:shd w:val="clear" w:color="auto" w:fill="auto"/>
            <w:vAlign w:val="center"/>
            <w:hideMark/>
          </w:tcPr>
          <w:p w14:paraId="3187206E" w14:textId="6D3691DA" w:rsidR="00CB6E6F" w:rsidRPr="00744942" w:rsidRDefault="00CB6E6F" w:rsidP="00092DD6">
            <w:pPr>
              <w:pStyle w:val="ExhibitText"/>
              <w:jc w:val="left"/>
              <w:rPr>
                <w:sz w:val="18"/>
                <w:szCs w:val="18"/>
                <w:lang w:eastAsia="zh-CN"/>
              </w:rPr>
            </w:pPr>
            <w:r w:rsidRPr="00744942">
              <w:rPr>
                <w:sz w:val="18"/>
                <w:szCs w:val="18"/>
                <w:lang w:eastAsia="zh-CN"/>
              </w:rPr>
              <w:t>www.medi-call.ca</w:t>
            </w:r>
          </w:p>
        </w:tc>
      </w:tr>
    </w:tbl>
    <w:p w14:paraId="51B432FA" w14:textId="77777777" w:rsidR="00CB6E6F" w:rsidRPr="00322C4F" w:rsidRDefault="00CB6E6F" w:rsidP="00CB6E6F">
      <w:pPr>
        <w:rPr>
          <w:b/>
          <w:caps/>
        </w:rPr>
      </w:pPr>
    </w:p>
    <w:p w14:paraId="4BF841A2" w14:textId="768785B9" w:rsidR="00B1231D" w:rsidRPr="0044132E" w:rsidRDefault="00B1231D" w:rsidP="0044132E">
      <w:pPr>
        <w:pStyle w:val="Footnote"/>
        <w:jc w:val="both"/>
      </w:pPr>
      <w:r w:rsidRPr="0044132E">
        <w:t xml:space="preserve">Note: </w:t>
      </w:r>
      <w:r w:rsidR="00E53131" w:rsidRPr="0044132E">
        <w:t xml:space="preserve">app = mobile application; </w:t>
      </w:r>
      <w:r w:rsidRPr="0044132E">
        <w:t>GPS = global positioning system</w:t>
      </w:r>
      <w:r w:rsidR="00E53131" w:rsidRPr="0044132E">
        <w:t>.</w:t>
      </w:r>
    </w:p>
    <w:p w14:paraId="09147D83" w14:textId="448A5727" w:rsidR="00CB6E6F" w:rsidRPr="0044132E" w:rsidRDefault="00CB6E6F" w:rsidP="0044132E">
      <w:pPr>
        <w:pStyle w:val="Footnote"/>
        <w:jc w:val="both"/>
      </w:pPr>
      <w:r w:rsidRPr="0044132E">
        <w:t xml:space="preserve">Source: Created by the </w:t>
      </w:r>
      <w:r w:rsidR="008608C5" w:rsidRPr="0044132E">
        <w:t xml:space="preserve">case </w:t>
      </w:r>
      <w:r w:rsidRPr="0044132E">
        <w:t xml:space="preserve">authors </w:t>
      </w:r>
      <w:r w:rsidR="00AD7018" w:rsidRPr="0044132E">
        <w:t>with</w:t>
      </w:r>
      <w:r w:rsidRPr="0044132E">
        <w:t xml:space="preserve"> information from company websites </w:t>
      </w:r>
      <w:r w:rsidR="00AD7018" w:rsidRPr="0044132E">
        <w:t>(see above</w:t>
      </w:r>
      <w:r w:rsidR="00342B28" w:rsidRPr="0044132E">
        <w:t xml:space="preserve">, accessed </w:t>
      </w:r>
      <w:r w:rsidR="004702DE" w:rsidRPr="0044132E">
        <w:t>October 10, 2020</w:t>
      </w:r>
      <w:r w:rsidR="00AD7018" w:rsidRPr="0044132E">
        <w:t xml:space="preserve">) </w:t>
      </w:r>
      <w:r w:rsidRPr="0044132E">
        <w:t>and Sandi Hirst, Personal Emergency Response Systems: Disaster Management</w:t>
      </w:r>
      <w:r w:rsidR="008608C5" w:rsidRPr="0044132E">
        <w:t xml:space="preserve"> (Public Health Agency of Canada</w:t>
      </w:r>
      <w:r w:rsidRPr="0044132E">
        <w:t>, 2010</w:t>
      </w:r>
      <w:r w:rsidR="008608C5" w:rsidRPr="0044132E">
        <w:t>)</w:t>
      </w:r>
      <w:r w:rsidRPr="0044132E">
        <w:t>, https://ccsmh.ca/wp-content/uploads/2016/03/Personal-Emergency-Response-Systems.pdf</w:t>
      </w:r>
      <w:r w:rsidR="00AD7018" w:rsidRPr="0044132E">
        <w:t>;</w:t>
      </w:r>
      <w:r w:rsidRPr="0044132E">
        <w:t xml:space="preserve"> </w:t>
      </w:r>
      <w:r w:rsidR="008608C5" w:rsidRPr="0044132E">
        <w:t xml:space="preserve">ReportLinker, </w:t>
      </w:r>
      <w:r w:rsidRPr="0044132E">
        <w:t>“Global Personal Emergency Response Systems (PERS) Industry</w:t>
      </w:r>
      <w:r w:rsidR="00AD7018" w:rsidRPr="0044132E">
        <w:t>,</w:t>
      </w:r>
      <w:r w:rsidRPr="0044132E">
        <w:t xml:space="preserve">” </w:t>
      </w:r>
      <w:r w:rsidR="008608C5" w:rsidRPr="0044132E">
        <w:t>press release</w:t>
      </w:r>
      <w:r w:rsidRPr="0044132E">
        <w:t xml:space="preserve">, </w:t>
      </w:r>
      <w:r w:rsidR="008608C5" w:rsidRPr="0044132E">
        <w:t xml:space="preserve">Global Newswire, </w:t>
      </w:r>
      <w:r w:rsidRPr="0044132E">
        <w:t xml:space="preserve">March 11, 2020, </w:t>
      </w:r>
      <w:r w:rsidR="008608C5" w:rsidRPr="0044132E">
        <w:t>http://www.globenewswire.com/news-release/2020/03/11/1998522/0/en/Global-Personal-Emergency-Response-Systems-PERS-Industry.html</w:t>
      </w:r>
      <w:r w:rsidR="00AD7018" w:rsidRPr="0044132E">
        <w:t>;</w:t>
      </w:r>
      <w:r w:rsidRPr="0044132E">
        <w:t xml:space="preserve"> </w:t>
      </w:r>
      <w:r w:rsidR="00342B28" w:rsidRPr="0044132E">
        <w:t xml:space="preserve">K. Sambit, </w:t>
      </w:r>
      <w:r w:rsidRPr="0044132E">
        <w:t>“Global Personal Emergency Response Systems (PERS) Market Size in 2020</w:t>
      </w:r>
      <w:r w:rsidR="00AD7018" w:rsidRPr="0044132E">
        <w:t>,</w:t>
      </w:r>
      <w:r w:rsidRPr="0044132E">
        <w:t>” Daily Chronicle, August 26, 2020, https://thedailychronicle.in/news/439421/global-personal-emergency-response-systems-pers-market-size-in-2020-new-report-top-countries-analysis-and-manufacturers-with-impact-of-domestic-and-global-market-manufacturers-data</w:t>
      </w:r>
      <w:r w:rsidR="00342B28" w:rsidRPr="0044132E">
        <w:t xml:space="preserve">: and </w:t>
      </w:r>
      <w:r w:rsidRPr="0044132E">
        <w:t>“Global Personal Emergency Response System Market 2016</w:t>
      </w:r>
      <w:r w:rsidR="00342B28" w:rsidRPr="0044132E">
        <w:t>–</w:t>
      </w:r>
      <w:r w:rsidRPr="0044132E">
        <w:t>2020</w:t>
      </w:r>
      <w:r w:rsidR="00AD7018" w:rsidRPr="0044132E">
        <w:t>,</w:t>
      </w:r>
      <w:r w:rsidRPr="0044132E">
        <w:t xml:space="preserve">” </w:t>
      </w:r>
      <w:r w:rsidR="00AD7018" w:rsidRPr="0044132E">
        <w:t xml:space="preserve">TechNavio, </w:t>
      </w:r>
      <w:r w:rsidRPr="0044132E">
        <w:t xml:space="preserve">April 2016, </w:t>
      </w:r>
      <w:r w:rsidR="00342B28" w:rsidRPr="0044132E">
        <w:t>https://www.technavio.com/report/personal-emergency-response-system-market-industry-analysis</w:t>
      </w:r>
      <w:r w:rsidRPr="0044132E">
        <w:t>.</w:t>
      </w:r>
    </w:p>
    <w:p w14:paraId="2A216011" w14:textId="5D6F450A" w:rsidR="0021472C" w:rsidRPr="00322C4F" w:rsidRDefault="0021472C">
      <w:pPr>
        <w:spacing w:after="200" w:line="276" w:lineRule="auto"/>
        <w:rPr>
          <w:highlight w:val="yellow"/>
        </w:rPr>
      </w:pPr>
      <w:r w:rsidRPr="00322C4F">
        <w:rPr>
          <w:highlight w:val="yellow"/>
        </w:rPr>
        <w:br w:type="page"/>
      </w:r>
    </w:p>
    <w:p w14:paraId="6CD10DB0" w14:textId="677E8232" w:rsidR="00CB6E6F" w:rsidRPr="00744942" w:rsidRDefault="00CB6E6F" w:rsidP="00744942">
      <w:pPr>
        <w:pStyle w:val="ExhibitHeading"/>
      </w:pPr>
      <w:r w:rsidRPr="00744942">
        <w:lastRenderedPageBreak/>
        <w:t xml:space="preserve">EXHIBIT </w:t>
      </w:r>
      <w:r w:rsidR="005D67A2" w:rsidRPr="00744942">
        <w:t>4</w:t>
      </w:r>
      <w:r w:rsidRPr="00744942">
        <w:t>: HOW ORA Pro WORKs</w:t>
      </w:r>
    </w:p>
    <w:p w14:paraId="48CC96F4" w14:textId="6BC7D765" w:rsidR="00CB6E6F" w:rsidRPr="00322C4F" w:rsidRDefault="00CB6E6F" w:rsidP="0021472C">
      <w:pPr>
        <w:pStyle w:val="ExhibitText"/>
        <w:rPr>
          <w:rFonts w:ascii="Times New Roman" w:hAnsi="Times New Roman" w:cs="Times New Roman"/>
        </w:rPr>
      </w:pPr>
    </w:p>
    <w:p w14:paraId="6C9F25D7" w14:textId="3F6D5727" w:rsidR="00CB6E6F" w:rsidRPr="00322C4F" w:rsidRDefault="00342B28" w:rsidP="0021472C">
      <w:pPr>
        <w:pStyle w:val="ExhibitText"/>
        <w:jc w:val="center"/>
        <w:rPr>
          <w:rFonts w:ascii="Times New Roman" w:hAnsi="Times New Roman" w:cs="Times New Roman"/>
        </w:rPr>
      </w:pPr>
      <w:r w:rsidRPr="00322C4F">
        <w:rPr>
          <w:rFonts w:ascii="Times New Roman" w:hAnsi="Times New Roman" w:cs="Times New Roman"/>
          <w:noProof/>
          <w:lang w:val="en-US"/>
        </w:rPr>
        <w:drawing>
          <wp:inline distT="0" distB="0" distL="0" distR="0" wp14:anchorId="485AB950" wp14:editId="1CE74C19">
            <wp:extent cx="5029200" cy="6506800"/>
            <wp:effectExtent l="0" t="0" r="0" b="0"/>
            <wp:docPr id="1" name="Picture 1" descr="An image of a construction worker and a description of how Ora Pro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6506800"/>
                    </a:xfrm>
                    <a:prstGeom prst="rect">
                      <a:avLst/>
                    </a:prstGeom>
                  </pic:spPr>
                </pic:pic>
              </a:graphicData>
            </a:graphic>
          </wp:inline>
        </w:drawing>
      </w:r>
    </w:p>
    <w:p w14:paraId="10242F97" w14:textId="57427BA3" w:rsidR="00CB6E6F" w:rsidRPr="00322C4F" w:rsidRDefault="00CB6E6F" w:rsidP="0021472C">
      <w:pPr>
        <w:pStyle w:val="ExhibitText"/>
        <w:rPr>
          <w:rFonts w:ascii="Times New Roman" w:hAnsi="Times New Roman" w:cs="Times New Roman"/>
        </w:rPr>
      </w:pPr>
    </w:p>
    <w:p w14:paraId="2B070523" w14:textId="60B53E65" w:rsidR="00CB6E6F" w:rsidRPr="00744942" w:rsidRDefault="00CB6E6F" w:rsidP="00744942">
      <w:pPr>
        <w:pStyle w:val="Footnote"/>
        <w:rPr>
          <w:rFonts w:eastAsiaTheme="majorEastAsia"/>
        </w:rPr>
      </w:pPr>
      <w:r w:rsidRPr="00744942">
        <w:rPr>
          <w:rFonts w:eastAsiaTheme="majorEastAsia"/>
        </w:rPr>
        <w:t>Source: “How ORA PRO Works</w:t>
      </w:r>
      <w:r w:rsidR="002D329B" w:rsidRPr="00744942">
        <w:rPr>
          <w:rFonts w:eastAsiaTheme="majorEastAsia"/>
        </w:rPr>
        <w:t>,</w:t>
      </w:r>
      <w:r w:rsidRPr="00744942">
        <w:rPr>
          <w:rFonts w:eastAsiaTheme="majorEastAsia"/>
        </w:rPr>
        <w:t>” O</w:t>
      </w:r>
      <w:r w:rsidR="002D329B" w:rsidRPr="00744942">
        <w:rPr>
          <w:rFonts w:eastAsiaTheme="majorEastAsia"/>
        </w:rPr>
        <w:t>RA</w:t>
      </w:r>
      <w:r w:rsidRPr="00744942">
        <w:rPr>
          <w:rFonts w:eastAsiaTheme="majorEastAsia"/>
        </w:rPr>
        <w:t xml:space="preserve">, </w:t>
      </w:r>
      <w:r w:rsidR="002D329B" w:rsidRPr="00744942">
        <w:rPr>
          <w:rFonts w:eastAsiaTheme="majorEastAsia"/>
        </w:rPr>
        <w:t xml:space="preserve">accessed December 1, 2020, </w:t>
      </w:r>
      <w:r w:rsidRPr="00744942">
        <w:rPr>
          <w:rFonts w:eastAsiaTheme="majorEastAsia"/>
        </w:rPr>
        <w:t>www.oraforyou.com/pages/workplace-safety.</w:t>
      </w:r>
    </w:p>
    <w:p w14:paraId="42395232" w14:textId="77777777" w:rsidR="00CB6E6F" w:rsidRPr="00322C4F" w:rsidRDefault="00CB6E6F">
      <w:pPr>
        <w:spacing w:after="200" w:line="276" w:lineRule="auto"/>
        <w:rPr>
          <w:b/>
          <w:caps/>
        </w:rPr>
      </w:pPr>
      <w:r w:rsidRPr="00322C4F">
        <w:rPr>
          <w:b/>
          <w:caps/>
        </w:rPr>
        <w:br w:type="page"/>
      </w:r>
    </w:p>
    <w:p w14:paraId="48FCB191" w14:textId="0849208C" w:rsidR="00CB6E6F" w:rsidRPr="00744942" w:rsidRDefault="00CB6E6F" w:rsidP="00744942">
      <w:pPr>
        <w:pStyle w:val="ExhibitHeading"/>
      </w:pPr>
      <w:r w:rsidRPr="00744942">
        <w:lastRenderedPageBreak/>
        <w:t xml:space="preserve">Exhibit </w:t>
      </w:r>
      <w:r w:rsidR="005D67A2" w:rsidRPr="00744942">
        <w:t>5</w:t>
      </w:r>
      <w:r w:rsidRPr="00744942">
        <w:t>: ORA income statement, 2016</w:t>
      </w:r>
      <w:r w:rsidR="002D329B" w:rsidRPr="00744942">
        <w:t>–</w:t>
      </w:r>
      <w:r w:rsidRPr="00744942">
        <w:t>2018 (</w:t>
      </w:r>
      <w:r w:rsidR="002D329B" w:rsidRPr="00744942">
        <w:t xml:space="preserve">in </w:t>
      </w:r>
      <w:r w:rsidRPr="00744942">
        <w:t>CA$)</w:t>
      </w:r>
    </w:p>
    <w:p w14:paraId="2134E351" w14:textId="77777777" w:rsidR="00CB6E6F" w:rsidRPr="00322C4F" w:rsidRDefault="00CB6E6F" w:rsidP="0021472C">
      <w:pPr>
        <w:pStyle w:val="ExhibitText"/>
        <w:rPr>
          <w:rFonts w:ascii="Times New Roman" w:hAnsi="Times New Roman" w:cs="Times New Roman"/>
        </w:rPr>
      </w:pPr>
    </w:p>
    <w:tbl>
      <w:tblPr>
        <w:tblW w:w="3118" w:type="pct"/>
        <w:jc w:val="center"/>
        <w:tblLook w:val="04A0" w:firstRow="1" w:lastRow="0" w:firstColumn="1" w:lastColumn="0" w:noHBand="0" w:noVBand="1"/>
        <w:tblCaption w:val="EXHIBIT 5"/>
        <w:tblDescription w:val="ORA INCOME STATEMENT, 2016–2018 (IN CA$)"/>
      </w:tblPr>
      <w:tblGrid>
        <w:gridCol w:w="3051"/>
        <w:gridCol w:w="999"/>
        <w:gridCol w:w="900"/>
        <w:gridCol w:w="887"/>
      </w:tblGrid>
      <w:tr w:rsidR="00CB6E6F" w:rsidRPr="00744942" w14:paraId="063BF1F7" w14:textId="77777777" w:rsidTr="00BB7DBB">
        <w:trPr>
          <w:trHeight w:val="259"/>
          <w:tblHeader/>
          <w:jc w:val="center"/>
        </w:trPr>
        <w:tc>
          <w:tcPr>
            <w:tcW w:w="3051" w:type="dxa"/>
            <w:tcBorders>
              <w:top w:val="single" w:sz="8" w:space="0" w:color="auto"/>
              <w:left w:val="nil"/>
              <w:bottom w:val="single" w:sz="12" w:space="0" w:color="auto"/>
              <w:right w:val="nil"/>
            </w:tcBorders>
            <w:shd w:val="clear" w:color="auto" w:fill="auto"/>
            <w:noWrap/>
            <w:vAlign w:val="center"/>
            <w:hideMark/>
          </w:tcPr>
          <w:p w14:paraId="05015386"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rPr>
              <w:t>Revenue</w:t>
            </w:r>
          </w:p>
        </w:tc>
        <w:tc>
          <w:tcPr>
            <w:tcW w:w="999" w:type="dxa"/>
            <w:tcBorders>
              <w:top w:val="single" w:sz="8" w:space="0" w:color="auto"/>
              <w:left w:val="nil"/>
              <w:bottom w:val="single" w:sz="12" w:space="0" w:color="auto"/>
              <w:right w:val="nil"/>
            </w:tcBorders>
            <w:shd w:val="clear" w:color="auto" w:fill="auto"/>
            <w:vAlign w:val="center"/>
            <w:hideMark/>
          </w:tcPr>
          <w:p w14:paraId="1EEDFEE5" w14:textId="77777777" w:rsidR="00CB6E6F" w:rsidRPr="00744942" w:rsidRDefault="00CB6E6F" w:rsidP="00A73E96">
            <w:pPr>
              <w:jc w:val="center"/>
              <w:rPr>
                <w:rFonts w:ascii="Arial" w:hAnsi="Arial" w:cs="Arial"/>
                <w:b/>
                <w:bCs/>
                <w:color w:val="000000"/>
                <w:sz w:val="18"/>
                <w:szCs w:val="18"/>
              </w:rPr>
            </w:pPr>
            <w:r w:rsidRPr="00744942">
              <w:rPr>
                <w:rFonts w:ascii="Arial" w:hAnsi="Arial" w:cs="Arial"/>
                <w:b/>
                <w:bCs/>
                <w:color w:val="000000"/>
                <w:sz w:val="18"/>
                <w:szCs w:val="18"/>
              </w:rPr>
              <w:t>2018</w:t>
            </w:r>
          </w:p>
        </w:tc>
        <w:tc>
          <w:tcPr>
            <w:tcW w:w="900" w:type="dxa"/>
            <w:tcBorders>
              <w:top w:val="single" w:sz="8" w:space="0" w:color="auto"/>
              <w:left w:val="nil"/>
              <w:bottom w:val="single" w:sz="12" w:space="0" w:color="auto"/>
              <w:right w:val="nil"/>
            </w:tcBorders>
            <w:shd w:val="clear" w:color="auto" w:fill="auto"/>
            <w:vAlign w:val="center"/>
            <w:hideMark/>
          </w:tcPr>
          <w:p w14:paraId="2B58480C" w14:textId="77777777" w:rsidR="00CB6E6F" w:rsidRPr="00744942" w:rsidRDefault="00CB6E6F" w:rsidP="00A73E96">
            <w:pPr>
              <w:jc w:val="center"/>
              <w:rPr>
                <w:rFonts w:ascii="Arial" w:hAnsi="Arial" w:cs="Arial"/>
                <w:b/>
                <w:bCs/>
                <w:color w:val="000000"/>
                <w:sz w:val="18"/>
                <w:szCs w:val="18"/>
              </w:rPr>
            </w:pPr>
            <w:r w:rsidRPr="00744942">
              <w:rPr>
                <w:rFonts w:ascii="Arial" w:hAnsi="Arial" w:cs="Arial"/>
                <w:b/>
                <w:bCs/>
                <w:color w:val="000000"/>
                <w:sz w:val="18"/>
                <w:szCs w:val="18"/>
              </w:rPr>
              <w:t>2017</w:t>
            </w:r>
          </w:p>
        </w:tc>
        <w:tc>
          <w:tcPr>
            <w:tcW w:w="887" w:type="dxa"/>
            <w:tcBorders>
              <w:top w:val="single" w:sz="8" w:space="0" w:color="auto"/>
              <w:left w:val="nil"/>
              <w:bottom w:val="single" w:sz="12" w:space="0" w:color="auto"/>
              <w:right w:val="nil"/>
            </w:tcBorders>
            <w:shd w:val="clear" w:color="auto" w:fill="auto"/>
            <w:noWrap/>
            <w:vAlign w:val="center"/>
            <w:hideMark/>
          </w:tcPr>
          <w:p w14:paraId="74D0B851" w14:textId="77777777" w:rsidR="00CB6E6F" w:rsidRPr="00744942" w:rsidRDefault="00CB6E6F" w:rsidP="00A73E96">
            <w:pPr>
              <w:jc w:val="center"/>
              <w:rPr>
                <w:rFonts w:ascii="Arial" w:hAnsi="Arial" w:cs="Arial"/>
                <w:b/>
                <w:bCs/>
                <w:color w:val="000000"/>
                <w:sz w:val="18"/>
                <w:szCs w:val="18"/>
              </w:rPr>
            </w:pPr>
            <w:r w:rsidRPr="00744942">
              <w:rPr>
                <w:rFonts w:ascii="Arial" w:hAnsi="Arial" w:cs="Arial"/>
                <w:b/>
                <w:bCs/>
                <w:color w:val="000000"/>
                <w:sz w:val="18"/>
                <w:szCs w:val="18"/>
              </w:rPr>
              <w:t>2016</w:t>
            </w:r>
          </w:p>
        </w:tc>
      </w:tr>
      <w:tr w:rsidR="00CB6E6F" w:rsidRPr="00744942" w14:paraId="29D61CDD"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44BE51FE"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Total revenue</w:t>
            </w:r>
          </w:p>
        </w:tc>
        <w:tc>
          <w:tcPr>
            <w:tcW w:w="999" w:type="dxa"/>
            <w:tcBorders>
              <w:top w:val="nil"/>
              <w:left w:val="nil"/>
              <w:bottom w:val="nil"/>
              <w:right w:val="nil"/>
            </w:tcBorders>
            <w:shd w:val="clear" w:color="auto" w:fill="auto"/>
            <w:noWrap/>
            <w:vAlign w:val="center"/>
            <w:hideMark/>
          </w:tcPr>
          <w:p w14:paraId="545C5F21"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219,886</w:t>
            </w:r>
          </w:p>
        </w:tc>
        <w:tc>
          <w:tcPr>
            <w:tcW w:w="900" w:type="dxa"/>
            <w:tcBorders>
              <w:top w:val="nil"/>
              <w:left w:val="nil"/>
              <w:bottom w:val="nil"/>
              <w:right w:val="nil"/>
            </w:tcBorders>
            <w:shd w:val="clear" w:color="auto" w:fill="auto"/>
            <w:noWrap/>
            <w:vAlign w:val="center"/>
            <w:hideMark/>
          </w:tcPr>
          <w:p w14:paraId="76BA575E"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130,241</w:t>
            </w:r>
          </w:p>
        </w:tc>
        <w:tc>
          <w:tcPr>
            <w:tcW w:w="887" w:type="dxa"/>
            <w:tcBorders>
              <w:top w:val="nil"/>
              <w:left w:val="nil"/>
              <w:bottom w:val="nil"/>
              <w:right w:val="nil"/>
            </w:tcBorders>
            <w:shd w:val="clear" w:color="auto" w:fill="auto"/>
            <w:noWrap/>
            <w:vAlign w:val="center"/>
            <w:hideMark/>
          </w:tcPr>
          <w:p w14:paraId="65B69DF1"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57,094</w:t>
            </w:r>
          </w:p>
        </w:tc>
      </w:tr>
      <w:tr w:rsidR="00CB6E6F" w:rsidRPr="00744942" w14:paraId="60871207"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161E1CDC"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Total sales</w:t>
            </w:r>
          </w:p>
        </w:tc>
        <w:tc>
          <w:tcPr>
            <w:tcW w:w="999" w:type="dxa"/>
            <w:tcBorders>
              <w:top w:val="nil"/>
              <w:left w:val="nil"/>
              <w:bottom w:val="nil"/>
              <w:right w:val="nil"/>
            </w:tcBorders>
            <w:shd w:val="clear" w:color="auto" w:fill="auto"/>
            <w:noWrap/>
            <w:vAlign w:val="center"/>
            <w:hideMark/>
          </w:tcPr>
          <w:p w14:paraId="1C45DDD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74,886</w:t>
            </w:r>
          </w:p>
        </w:tc>
        <w:tc>
          <w:tcPr>
            <w:tcW w:w="900" w:type="dxa"/>
            <w:tcBorders>
              <w:top w:val="nil"/>
              <w:left w:val="nil"/>
              <w:bottom w:val="nil"/>
              <w:right w:val="nil"/>
            </w:tcBorders>
            <w:shd w:val="clear" w:color="auto" w:fill="auto"/>
            <w:noWrap/>
            <w:vAlign w:val="center"/>
            <w:hideMark/>
          </w:tcPr>
          <w:p w14:paraId="3F5C6A9B"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33,241</w:t>
            </w:r>
          </w:p>
        </w:tc>
        <w:tc>
          <w:tcPr>
            <w:tcW w:w="887" w:type="dxa"/>
            <w:tcBorders>
              <w:top w:val="nil"/>
              <w:left w:val="nil"/>
              <w:bottom w:val="nil"/>
              <w:right w:val="nil"/>
            </w:tcBorders>
            <w:shd w:val="clear" w:color="auto" w:fill="auto"/>
            <w:noWrap/>
            <w:vAlign w:val="center"/>
            <w:hideMark/>
          </w:tcPr>
          <w:p w14:paraId="57728C8E" w14:textId="20C481B2"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22,0</w:t>
            </w:r>
            <w:r w:rsidR="003103EC" w:rsidRPr="00744942">
              <w:rPr>
                <w:rFonts w:ascii="Arial" w:hAnsi="Arial" w:cs="Arial"/>
                <w:color w:val="000000"/>
                <w:sz w:val="18"/>
                <w:szCs w:val="18"/>
              </w:rPr>
              <w:t>94</w:t>
            </w:r>
          </w:p>
        </w:tc>
      </w:tr>
      <w:tr w:rsidR="00CB6E6F" w:rsidRPr="00744942" w14:paraId="0F635E0F"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38CB8CB5" w14:textId="77777777" w:rsidR="00CB6E6F" w:rsidRPr="00744942" w:rsidRDefault="00CB6E6F" w:rsidP="00CB6E6F">
            <w:pPr>
              <w:ind w:firstLineChars="200" w:firstLine="360"/>
              <w:rPr>
                <w:rFonts w:ascii="Arial" w:hAnsi="Arial" w:cs="Arial"/>
                <w:color w:val="000000"/>
                <w:sz w:val="18"/>
                <w:szCs w:val="18"/>
              </w:rPr>
            </w:pPr>
            <w:r w:rsidRPr="00744942">
              <w:rPr>
                <w:rFonts w:ascii="Arial" w:hAnsi="Arial" w:cs="Arial"/>
                <w:color w:val="000000"/>
                <w:sz w:val="18"/>
                <w:szCs w:val="18"/>
              </w:rPr>
              <w:t>ORA</w:t>
            </w:r>
          </w:p>
        </w:tc>
        <w:tc>
          <w:tcPr>
            <w:tcW w:w="999" w:type="dxa"/>
            <w:tcBorders>
              <w:top w:val="nil"/>
              <w:left w:val="nil"/>
              <w:bottom w:val="nil"/>
              <w:right w:val="nil"/>
            </w:tcBorders>
            <w:shd w:val="clear" w:color="auto" w:fill="auto"/>
            <w:vAlign w:val="center"/>
            <w:hideMark/>
          </w:tcPr>
          <w:p w14:paraId="73E1C063"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27,112</w:t>
            </w:r>
          </w:p>
        </w:tc>
        <w:tc>
          <w:tcPr>
            <w:tcW w:w="900" w:type="dxa"/>
            <w:tcBorders>
              <w:top w:val="nil"/>
              <w:left w:val="nil"/>
              <w:bottom w:val="nil"/>
              <w:right w:val="nil"/>
            </w:tcBorders>
            <w:shd w:val="clear" w:color="auto" w:fill="auto"/>
            <w:vAlign w:val="center"/>
            <w:hideMark/>
          </w:tcPr>
          <w:p w14:paraId="369E7E7E"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24,362</w:t>
            </w:r>
          </w:p>
        </w:tc>
        <w:tc>
          <w:tcPr>
            <w:tcW w:w="887" w:type="dxa"/>
            <w:tcBorders>
              <w:top w:val="nil"/>
              <w:left w:val="nil"/>
              <w:bottom w:val="nil"/>
              <w:right w:val="nil"/>
            </w:tcBorders>
            <w:shd w:val="clear" w:color="auto" w:fill="auto"/>
            <w:noWrap/>
            <w:vAlign w:val="center"/>
            <w:hideMark/>
          </w:tcPr>
          <w:p w14:paraId="79676A3B" w14:textId="5FEC5FCE"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22,</w:t>
            </w:r>
            <w:r w:rsidR="00F043E2" w:rsidRPr="00744942">
              <w:rPr>
                <w:rFonts w:ascii="Arial" w:hAnsi="Arial" w:cs="Arial"/>
                <w:color w:val="000000"/>
                <w:sz w:val="18"/>
                <w:szCs w:val="18"/>
              </w:rPr>
              <w:t>0</w:t>
            </w:r>
            <w:r w:rsidR="003103EC" w:rsidRPr="00744942">
              <w:rPr>
                <w:rFonts w:ascii="Arial" w:hAnsi="Arial" w:cs="Arial"/>
                <w:color w:val="000000"/>
                <w:sz w:val="18"/>
                <w:szCs w:val="18"/>
              </w:rPr>
              <w:t>94</w:t>
            </w:r>
          </w:p>
        </w:tc>
      </w:tr>
      <w:tr w:rsidR="00CB6E6F" w:rsidRPr="00744942" w14:paraId="7B5392E7"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721C2C67" w14:textId="77777777" w:rsidR="00CB6E6F" w:rsidRPr="00744942" w:rsidRDefault="00CB6E6F" w:rsidP="00CB6E6F">
            <w:pPr>
              <w:ind w:firstLineChars="200" w:firstLine="360"/>
              <w:rPr>
                <w:rFonts w:ascii="Arial" w:hAnsi="Arial" w:cs="Arial"/>
                <w:color w:val="000000"/>
                <w:sz w:val="18"/>
                <w:szCs w:val="18"/>
              </w:rPr>
            </w:pPr>
            <w:r w:rsidRPr="00744942">
              <w:rPr>
                <w:rFonts w:ascii="Arial" w:hAnsi="Arial" w:cs="Arial"/>
                <w:color w:val="000000"/>
                <w:sz w:val="18"/>
                <w:szCs w:val="18"/>
              </w:rPr>
              <w:t>ORA PRO</w:t>
            </w:r>
          </w:p>
        </w:tc>
        <w:tc>
          <w:tcPr>
            <w:tcW w:w="999" w:type="dxa"/>
            <w:tcBorders>
              <w:top w:val="nil"/>
              <w:left w:val="nil"/>
              <w:bottom w:val="nil"/>
              <w:right w:val="nil"/>
            </w:tcBorders>
            <w:shd w:val="clear" w:color="auto" w:fill="auto"/>
            <w:vAlign w:val="center"/>
            <w:hideMark/>
          </w:tcPr>
          <w:p w14:paraId="3DE06C25"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47,774</w:t>
            </w:r>
          </w:p>
        </w:tc>
        <w:tc>
          <w:tcPr>
            <w:tcW w:w="900" w:type="dxa"/>
            <w:tcBorders>
              <w:top w:val="nil"/>
              <w:left w:val="nil"/>
              <w:bottom w:val="nil"/>
              <w:right w:val="nil"/>
            </w:tcBorders>
            <w:shd w:val="clear" w:color="auto" w:fill="auto"/>
            <w:vAlign w:val="center"/>
            <w:hideMark/>
          </w:tcPr>
          <w:p w14:paraId="65A1A3AD"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8,879</w:t>
            </w:r>
          </w:p>
        </w:tc>
        <w:tc>
          <w:tcPr>
            <w:tcW w:w="887" w:type="dxa"/>
            <w:tcBorders>
              <w:top w:val="nil"/>
              <w:left w:val="nil"/>
              <w:bottom w:val="nil"/>
              <w:right w:val="nil"/>
            </w:tcBorders>
            <w:shd w:val="clear" w:color="auto" w:fill="auto"/>
            <w:noWrap/>
            <w:vAlign w:val="center"/>
            <w:hideMark/>
          </w:tcPr>
          <w:p w14:paraId="051114B2"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0</w:t>
            </w:r>
          </w:p>
        </w:tc>
      </w:tr>
      <w:tr w:rsidR="00CB6E6F" w:rsidRPr="00744942" w14:paraId="1EED54DB"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5037A87F"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Grant revenue</w:t>
            </w:r>
          </w:p>
        </w:tc>
        <w:tc>
          <w:tcPr>
            <w:tcW w:w="999" w:type="dxa"/>
            <w:tcBorders>
              <w:top w:val="nil"/>
              <w:left w:val="nil"/>
              <w:bottom w:val="nil"/>
              <w:right w:val="nil"/>
            </w:tcBorders>
            <w:shd w:val="clear" w:color="auto" w:fill="auto"/>
            <w:vAlign w:val="center"/>
            <w:hideMark/>
          </w:tcPr>
          <w:p w14:paraId="0247DE4B"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145,000</w:t>
            </w:r>
          </w:p>
        </w:tc>
        <w:tc>
          <w:tcPr>
            <w:tcW w:w="900" w:type="dxa"/>
            <w:tcBorders>
              <w:top w:val="nil"/>
              <w:left w:val="nil"/>
              <w:bottom w:val="nil"/>
              <w:right w:val="nil"/>
            </w:tcBorders>
            <w:shd w:val="clear" w:color="auto" w:fill="auto"/>
            <w:vAlign w:val="center"/>
            <w:hideMark/>
          </w:tcPr>
          <w:p w14:paraId="1A2781AB"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97,000</w:t>
            </w:r>
          </w:p>
        </w:tc>
        <w:tc>
          <w:tcPr>
            <w:tcW w:w="887" w:type="dxa"/>
            <w:tcBorders>
              <w:top w:val="nil"/>
              <w:left w:val="nil"/>
              <w:bottom w:val="nil"/>
              <w:right w:val="nil"/>
            </w:tcBorders>
            <w:shd w:val="clear" w:color="auto" w:fill="auto"/>
            <w:noWrap/>
            <w:vAlign w:val="center"/>
            <w:hideMark/>
          </w:tcPr>
          <w:p w14:paraId="78A64D3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35,000</w:t>
            </w:r>
          </w:p>
        </w:tc>
      </w:tr>
      <w:tr w:rsidR="00CB6E6F" w:rsidRPr="00744942" w14:paraId="2943C5C8"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11DD249C"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rPr>
              <w:t>Cost of sales</w:t>
            </w:r>
          </w:p>
        </w:tc>
        <w:tc>
          <w:tcPr>
            <w:tcW w:w="999" w:type="dxa"/>
            <w:tcBorders>
              <w:top w:val="nil"/>
              <w:left w:val="nil"/>
              <w:bottom w:val="nil"/>
              <w:right w:val="nil"/>
            </w:tcBorders>
            <w:shd w:val="clear" w:color="auto" w:fill="auto"/>
            <w:vAlign w:val="center"/>
            <w:hideMark/>
          </w:tcPr>
          <w:p w14:paraId="6BD24059"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 xml:space="preserve"> </w:t>
            </w:r>
          </w:p>
        </w:tc>
        <w:tc>
          <w:tcPr>
            <w:tcW w:w="900" w:type="dxa"/>
            <w:tcBorders>
              <w:top w:val="nil"/>
              <w:left w:val="nil"/>
              <w:bottom w:val="nil"/>
              <w:right w:val="nil"/>
            </w:tcBorders>
            <w:shd w:val="clear" w:color="auto" w:fill="auto"/>
            <w:vAlign w:val="center"/>
            <w:hideMark/>
          </w:tcPr>
          <w:p w14:paraId="7BFB81B3" w14:textId="77777777" w:rsidR="00CB6E6F" w:rsidRPr="00744942" w:rsidRDefault="00CB6E6F" w:rsidP="00CB6E6F">
            <w:pPr>
              <w:jc w:val="right"/>
              <w:rPr>
                <w:rFonts w:ascii="Arial" w:hAnsi="Arial" w:cs="Arial"/>
                <w:b/>
                <w:bCs/>
                <w:color w:val="000000"/>
                <w:sz w:val="18"/>
                <w:szCs w:val="18"/>
              </w:rPr>
            </w:pPr>
          </w:p>
        </w:tc>
        <w:tc>
          <w:tcPr>
            <w:tcW w:w="887" w:type="dxa"/>
            <w:tcBorders>
              <w:top w:val="nil"/>
              <w:left w:val="nil"/>
              <w:bottom w:val="nil"/>
              <w:right w:val="nil"/>
            </w:tcBorders>
            <w:shd w:val="clear" w:color="auto" w:fill="auto"/>
            <w:noWrap/>
            <w:vAlign w:val="center"/>
            <w:hideMark/>
          </w:tcPr>
          <w:p w14:paraId="7AABBB77" w14:textId="77777777" w:rsidR="00CB6E6F" w:rsidRPr="00744942" w:rsidRDefault="00CB6E6F" w:rsidP="00CB6E6F">
            <w:pPr>
              <w:jc w:val="right"/>
              <w:rPr>
                <w:rFonts w:ascii="Arial" w:hAnsi="Arial" w:cs="Arial"/>
                <w:sz w:val="18"/>
                <w:szCs w:val="18"/>
              </w:rPr>
            </w:pPr>
          </w:p>
        </w:tc>
      </w:tr>
      <w:tr w:rsidR="00CB6E6F" w:rsidRPr="00744942" w14:paraId="259DDF74"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280765BF"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Opening inventory</w:t>
            </w:r>
          </w:p>
        </w:tc>
        <w:tc>
          <w:tcPr>
            <w:tcW w:w="999" w:type="dxa"/>
            <w:tcBorders>
              <w:top w:val="nil"/>
              <w:left w:val="nil"/>
              <w:bottom w:val="nil"/>
              <w:right w:val="nil"/>
            </w:tcBorders>
            <w:shd w:val="clear" w:color="auto" w:fill="auto"/>
            <w:vAlign w:val="center"/>
            <w:hideMark/>
          </w:tcPr>
          <w:p w14:paraId="3ED70CEE"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12,006</w:t>
            </w:r>
          </w:p>
        </w:tc>
        <w:tc>
          <w:tcPr>
            <w:tcW w:w="900" w:type="dxa"/>
            <w:tcBorders>
              <w:top w:val="nil"/>
              <w:left w:val="nil"/>
              <w:bottom w:val="nil"/>
              <w:right w:val="nil"/>
            </w:tcBorders>
            <w:shd w:val="clear" w:color="auto" w:fill="auto"/>
            <w:vAlign w:val="center"/>
            <w:hideMark/>
          </w:tcPr>
          <w:p w14:paraId="5B17D74F"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11,865</w:t>
            </w:r>
          </w:p>
        </w:tc>
        <w:tc>
          <w:tcPr>
            <w:tcW w:w="887" w:type="dxa"/>
            <w:tcBorders>
              <w:top w:val="nil"/>
              <w:left w:val="nil"/>
              <w:bottom w:val="nil"/>
              <w:right w:val="nil"/>
            </w:tcBorders>
            <w:shd w:val="clear" w:color="auto" w:fill="auto"/>
            <w:noWrap/>
            <w:vAlign w:val="center"/>
            <w:hideMark/>
          </w:tcPr>
          <w:p w14:paraId="3CABCB2A"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11,618</w:t>
            </w:r>
          </w:p>
        </w:tc>
      </w:tr>
      <w:tr w:rsidR="00CB6E6F" w:rsidRPr="00744942" w14:paraId="7D4447F2"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34922CC6"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 xml:space="preserve">Purchases </w:t>
            </w:r>
          </w:p>
        </w:tc>
        <w:tc>
          <w:tcPr>
            <w:tcW w:w="999" w:type="dxa"/>
            <w:tcBorders>
              <w:top w:val="nil"/>
              <w:left w:val="nil"/>
              <w:bottom w:val="nil"/>
              <w:right w:val="nil"/>
            </w:tcBorders>
            <w:shd w:val="clear" w:color="auto" w:fill="auto"/>
            <w:vAlign w:val="center"/>
            <w:hideMark/>
          </w:tcPr>
          <w:p w14:paraId="66CC744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14,249</w:t>
            </w:r>
          </w:p>
        </w:tc>
        <w:tc>
          <w:tcPr>
            <w:tcW w:w="900" w:type="dxa"/>
            <w:tcBorders>
              <w:top w:val="nil"/>
              <w:left w:val="nil"/>
              <w:bottom w:val="nil"/>
              <w:right w:val="nil"/>
            </w:tcBorders>
            <w:shd w:val="clear" w:color="auto" w:fill="auto"/>
            <w:vAlign w:val="center"/>
            <w:hideMark/>
          </w:tcPr>
          <w:p w14:paraId="4C95CB84"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12,276</w:t>
            </w:r>
          </w:p>
        </w:tc>
        <w:tc>
          <w:tcPr>
            <w:tcW w:w="887" w:type="dxa"/>
            <w:tcBorders>
              <w:top w:val="nil"/>
              <w:left w:val="nil"/>
              <w:bottom w:val="nil"/>
              <w:right w:val="nil"/>
            </w:tcBorders>
            <w:shd w:val="clear" w:color="auto" w:fill="auto"/>
            <w:noWrap/>
            <w:vAlign w:val="center"/>
            <w:hideMark/>
          </w:tcPr>
          <w:p w14:paraId="29AD6D3B"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11,915</w:t>
            </w:r>
          </w:p>
        </w:tc>
      </w:tr>
      <w:tr w:rsidR="00CB6E6F" w:rsidRPr="00744942" w14:paraId="7C9E55E9"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3F89151C"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Freight</w:t>
            </w:r>
          </w:p>
        </w:tc>
        <w:tc>
          <w:tcPr>
            <w:tcW w:w="999" w:type="dxa"/>
            <w:tcBorders>
              <w:top w:val="nil"/>
              <w:left w:val="nil"/>
              <w:bottom w:val="single" w:sz="8" w:space="0" w:color="auto"/>
              <w:right w:val="nil"/>
            </w:tcBorders>
            <w:shd w:val="clear" w:color="auto" w:fill="auto"/>
            <w:vAlign w:val="center"/>
            <w:hideMark/>
          </w:tcPr>
          <w:p w14:paraId="08FBB94E"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11,989</w:t>
            </w:r>
          </w:p>
        </w:tc>
        <w:tc>
          <w:tcPr>
            <w:tcW w:w="900" w:type="dxa"/>
            <w:tcBorders>
              <w:top w:val="nil"/>
              <w:left w:val="nil"/>
              <w:bottom w:val="single" w:sz="8" w:space="0" w:color="auto"/>
              <w:right w:val="nil"/>
            </w:tcBorders>
            <w:shd w:val="clear" w:color="auto" w:fill="auto"/>
            <w:vAlign w:val="center"/>
            <w:hideMark/>
          </w:tcPr>
          <w:p w14:paraId="3C00888E"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11,243</w:t>
            </w:r>
          </w:p>
        </w:tc>
        <w:tc>
          <w:tcPr>
            <w:tcW w:w="887" w:type="dxa"/>
            <w:tcBorders>
              <w:top w:val="nil"/>
              <w:left w:val="nil"/>
              <w:bottom w:val="single" w:sz="8" w:space="0" w:color="auto"/>
              <w:right w:val="nil"/>
            </w:tcBorders>
            <w:shd w:val="clear" w:color="auto" w:fill="auto"/>
            <w:noWrap/>
            <w:vAlign w:val="center"/>
            <w:hideMark/>
          </w:tcPr>
          <w:p w14:paraId="7B83714B"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9,860</w:t>
            </w:r>
          </w:p>
        </w:tc>
      </w:tr>
      <w:tr w:rsidR="00CB6E6F" w:rsidRPr="00744942" w14:paraId="1027A25C"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6152BBA9" w14:textId="77777777" w:rsidR="00CB6E6F" w:rsidRPr="00744942" w:rsidRDefault="00CB6E6F" w:rsidP="00CB6E6F">
            <w:pPr>
              <w:jc w:val="right"/>
              <w:rPr>
                <w:rFonts w:ascii="Arial" w:hAnsi="Arial" w:cs="Arial"/>
                <w:color w:val="000000"/>
                <w:sz w:val="18"/>
                <w:szCs w:val="18"/>
              </w:rPr>
            </w:pPr>
          </w:p>
        </w:tc>
        <w:tc>
          <w:tcPr>
            <w:tcW w:w="999" w:type="dxa"/>
            <w:tcBorders>
              <w:top w:val="nil"/>
              <w:left w:val="nil"/>
              <w:bottom w:val="nil"/>
              <w:right w:val="nil"/>
            </w:tcBorders>
            <w:shd w:val="clear" w:color="auto" w:fill="auto"/>
            <w:vAlign w:val="center"/>
            <w:hideMark/>
          </w:tcPr>
          <w:p w14:paraId="3DF63183"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38,244</w:t>
            </w:r>
          </w:p>
        </w:tc>
        <w:tc>
          <w:tcPr>
            <w:tcW w:w="900" w:type="dxa"/>
            <w:tcBorders>
              <w:top w:val="nil"/>
              <w:left w:val="nil"/>
              <w:bottom w:val="nil"/>
              <w:right w:val="nil"/>
            </w:tcBorders>
            <w:shd w:val="clear" w:color="auto" w:fill="auto"/>
            <w:vAlign w:val="center"/>
            <w:hideMark/>
          </w:tcPr>
          <w:p w14:paraId="28D656BE"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35,384</w:t>
            </w:r>
          </w:p>
        </w:tc>
        <w:tc>
          <w:tcPr>
            <w:tcW w:w="887" w:type="dxa"/>
            <w:tcBorders>
              <w:top w:val="nil"/>
              <w:left w:val="nil"/>
              <w:bottom w:val="nil"/>
              <w:right w:val="nil"/>
            </w:tcBorders>
            <w:shd w:val="clear" w:color="auto" w:fill="auto"/>
            <w:vAlign w:val="center"/>
            <w:hideMark/>
          </w:tcPr>
          <w:p w14:paraId="41CA7CEF"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33,393</w:t>
            </w:r>
          </w:p>
        </w:tc>
      </w:tr>
      <w:tr w:rsidR="00CB6E6F" w:rsidRPr="00744942" w14:paraId="299014BE"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5B8C6C7A"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Closing inventory</w:t>
            </w:r>
          </w:p>
        </w:tc>
        <w:tc>
          <w:tcPr>
            <w:tcW w:w="999" w:type="dxa"/>
            <w:tcBorders>
              <w:top w:val="nil"/>
              <w:left w:val="nil"/>
              <w:bottom w:val="nil"/>
              <w:right w:val="nil"/>
            </w:tcBorders>
            <w:shd w:val="clear" w:color="auto" w:fill="auto"/>
            <w:vAlign w:val="center"/>
            <w:hideMark/>
          </w:tcPr>
          <w:p w14:paraId="352A61FB"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(12,983)</w:t>
            </w:r>
          </w:p>
        </w:tc>
        <w:tc>
          <w:tcPr>
            <w:tcW w:w="900" w:type="dxa"/>
            <w:tcBorders>
              <w:top w:val="nil"/>
              <w:left w:val="nil"/>
              <w:bottom w:val="nil"/>
              <w:right w:val="nil"/>
            </w:tcBorders>
            <w:shd w:val="clear" w:color="auto" w:fill="auto"/>
            <w:vAlign w:val="center"/>
            <w:hideMark/>
          </w:tcPr>
          <w:p w14:paraId="35FDB5F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(12,006)</w:t>
            </w:r>
          </w:p>
        </w:tc>
        <w:tc>
          <w:tcPr>
            <w:tcW w:w="887" w:type="dxa"/>
            <w:tcBorders>
              <w:top w:val="nil"/>
              <w:left w:val="nil"/>
              <w:bottom w:val="nil"/>
              <w:right w:val="nil"/>
            </w:tcBorders>
            <w:shd w:val="clear" w:color="auto" w:fill="auto"/>
            <w:noWrap/>
            <w:vAlign w:val="center"/>
            <w:hideMark/>
          </w:tcPr>
          <w:p w14:paraId="613AD87D"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(11,865)</w:t>
            </w:r>
          </w:p>
        </w:tc>
      </w:tr>
      <w:tr w:rsidR="00CB6E6F" w:rsidRPr="00744942" w14:paraId="2AE55BE6"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177894FE"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Total cost of sales</w:t>
            </w:r>
          </w:p>
        </w:tc>
        <w:tc>
          <w:tcPr>
            <w:tcW w:w="999" w:type="dxa"/>
            <w:tcBorders>
              <w:top w:val="nil"/>
              <w:left w:val="nil"/>
              <w:bottom w:val="nil"/>
              <w:right w:val="nil"/>
            </w:tcBorders>
            <w:shd w:val="clear" w:color="auto" w:fill="auto"/>
            <w:vAlign w:val="center"/>
            <w:hideMark/>
          </w:tcPr>
          <w:p w14:paraId="07F89132"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25,261</w:t>
            </w:r>
          </w:p>
        </w:tc>
        <w:tc>
          <w:tcPr>
            <w:tcW w:w="900" w:type="dxa"/>
            <w:tcBorders>
              <w:top w:val="nil"/>
              <w:left w:val="nil"/>
              <w:bottom w:val="nil"/>
              <w:right w:val="nil"/>
            </w:tcBorders>
            <w:shd w:val="clear" w:color="auto" w:fill="auto"/>
            <w:vAlign w:val="center"/>
            <w:hideMark/>
          </w:tcPr>
          <w:p w14:paraId="65E6D220"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23,378</w:t>
            </w:r>
          </w:p>
        </w:tc>
        <w:tc>
          <w:tcPr>
            <w:tcW w:w="887" w:type="dxa"/>
            <w:tcBorders>
              <w:top w:val="nil"/>
              <w:left w:val="nil"/>
              <w:bottom w:val="nil"/>
              <w:right w:val="nil"/>
            </w:tcBorders>
            <w:shd w:val="clear" w:color="auto" w:fill="auto"/>
            <w:vAlign w:val="center"/>
            <w:hideMark/>
          </w:tcPr>
          <w:p w14:paraId="631800D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21,528</w:t>
            </w:r>
          </w:p>
        </w:tc>
      </w:tr>
      <w:tr w:rsidR="00CB6E6F" w:rsidRPr="00744942" w14:paraId="135B3EDB" w14:textId="77777777" w:rsidTr="00BB7DBB">
        <w:trPr>
          <w:trHeight w:val="259"/>
          <w:tblHeader/>
          <w:jc w:val="center"/>
        </w:trPr>
        <w:tc>
          <w:tcPr>
            <w:tcW w:w="3051" w:type="dxa"/>
            <w:tcBorders>
              <w:top w:val="nil"/>
              <w:left w:val="nil"/>
              <w:bottom w:val="single" w:sz="8" w:space="0" w:color="auto"/>
              <w:right w:val="nil"/>
            </w:tcBorders>
            <w:shd w:val="clear" w:color="auto" w:fill="auto"/>
            <w:noWrap/>
            <w:vAlign w:val="center"/>
            <w:hideMark/>
          </w:tcPr>
          <w:p w14:paraId="3C0362F1"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Gross profit</w:t>
            </w:r>
          </w:p>
        </w:tc>
        <w:tc>
          <w:tcPr>
            <w:tcW w:w="999" w:type="dxa"/>
            <w:tcBorders>
              <w:top w:val="nil"/>
              <w:left w:val="nil"/>
              <w:bottom w:val="single" w:sz="8" w:space="0" w:color="auto"/>
              <w:right w:val="nil"/>
            </w:tcBorders>
            <w:shd w:val="clear" w:color="auto" w:fill="auto"/>
            <w:vAlign w:val="center"/>
            <w:hideMark/>
          </w:tcPr>
          <w:p w14:paraId="68F78FF7"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194,625</w:t>
            </w:r>
          </w:p>
        </w:tc>
        <w:tc>
          <w:tcPr>
            <w:tcW w:w="900" w:type="dxa"/>
            <w:tcBorders>
              <w:top w:val="nil"/>
              <w:left w:val="nil"/>
              <w:bottom w:val="single" w:sz="8" w:space="0" w:color="auto"/>
              <w:right w:val="nil"/>
            </w:tcBorders>
            <w:shd w:val="clear" w:color="auto" w:fill="auto"/>
            <w:vAlign w:val="center"/>
            <w:hideMark/>
          </w:tcPr>
          <w:p w14:paraId="7C5ADD74"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106,863</w:t>
            </w:r>
          </w:p>
        </w:tc>
        <w:tc>
          <w:tcPr>
            <w:tcW w:w="887" w:type="dxa"/>
            <w:tcBorders>
              <w:top w:val="nil"/>
              <w:left w:val="nil"/>
              <w:bottom w:val="single" w:sz="8" w:space="0" w:color="auto"/>
              <w:right w:val="nil"/>
            </w:tcBorders>
            <w:shd w:val="clear" w:color="auto" w:fill="auto"/>
            <w:vAlign w:val="center"/>
            <w:hideMark/>
          </w:tcPr>
          <w:p w14:paraId="44EEAC7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35,566</w:t>
            </w:r>
          </w:p>
        </w:tc>
      </w:tr>
      <w:tr w:rsidR="00CB6E6F" w:rsidRPr="00744942" w14:paraId="3E150BF8"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2E870112"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rPr>
              <w:t>Expenses</w:t>
            </w:r>
          </w:p>
        </w:tc>
        <w:tc>
          <w:tcPr>
            <w:tcW w:w="999" w:type="dxa"/>
            <w:tcBorders>
              <w:top w:val="nil"/>
              <w:left w:val="nil"/>
              <w:bottom w:val="nil"/>
              <w:right w:val="nil"/>
            </w:tcBorders>
            <w:shd w:val="clear" w:color="auto" w:fill="auto"/>
            <w:vAlign w:val="center"/>
            <w:hideMark/>
          </w:tcPr>
          <w:p w14:paraId="0C40DB25"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 xml:space="preserve"> </w:t>
            </w:r>
          </w:p>
        </w:tc>
        <w:tc>
          <w:tcPr>
            <w:tcW w:w="900" w:type="dxa"/>
            <w:tcBorders>
              <w:top w:val="nil"/>
              <w:left w:val="nil"/>
              <w:bottom w:val="nil"/>
              <w:right w:val="nil"/>
            </w:tcBorders>
            <w:shd w:val="clear" w:color="auto" w:fill="auto"/>
            <w:vAlign w:val="center"/>
            <w:hideMark/>
          </w:tcPr>
          <w:p w14:paraId="2F23D87C" w14:textId="77777777" w:rsidR="00CB6E6F" w:rsidRPr="00744942" w:rsidRDefault="00CB6E6F" w:rsidP="00CB6E6F">
            <w:pPr>
              <w:jc w:val="right"/>
              <w:rPr>
                <w:rFonts w:ascii="Arial" w:hAnsi="Arial" w:cs="Arial"/>
                <w:b/>
                <w:bCs/>
                <w:color w:val="000000"/>
                <w:sz w:val="18"/>
                <w:szCs w:val="18"/>
              </w:rPr>
            </w:pPr>
          </w:p>
        </w:tc>
        <w:tc>
          <w:tcPr>
            <w:tcW w:w="887" w:type="dxa"/>
            <w:tcBorders>
              <w:top w:val="nil"/>
              <w:left w:val="nil"/>
              <w:bottom w:val="nil"/>
              <w:right w:val="nil"/>
            </w:tcBorders>
            <w:shd w:val="clear" w:color="auto" w:fill="auto"/>
            <w:noWrap/>
            <w:vAlign w:val="center"/>
            <w:hideMark/>
          </w:tcPr>
          <w:p w14:paraId="0D34CFD0" w14:textId="77777777" w:rsidR="00CB6E6F" w:rsidRPr="00744942" w:rsidRDefault="00CB6E6F" w:rsidP="00CB6E6F">
            <w:pPr>
              <w:jc w:val="right"/>
              <w:rPr>
                <w:rFonts w:ascii="Arial" w:hAnsi="Arial" w:cs="Arial"/>
                <w:sz w:val="18"/>
                <w:szCs w:val="18"/>
              </w:rPr>
            </w:pPr>
          </w:p>
        </w:tc>
      </w:tr>
      <w:tr w:rsidR="00CB6E6F" w:rsidRPr="00744942" w14:paraId="348DD4D7"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487905C8"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Credit card charges</w:t>
            </w:r>
          </w:p>
        </w:tc>
        <w:tc>
          <w:tcPr>
            <w:tcW w:w="999" w:type="dxa"/>
            <w:tcBorders>
              <w:top w:val="nil"/>
              <w:left w:val="nil"/>
              <w:bottom w:val="nil"/>
              <w:right w:val="nil"/>
            </w:tcBorders>
            <w:shd w:val="clear" w:color="auto" w:fill="auto"/>
            <w:vAlign w:val="center"/>
            <w:hideMark/>
          </w:tcPr>
          <w:p w14:paraId="65DF9794"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1,997</w:t>
            </w:r>
          </w:p>
        </w:tc>
        <w:tc>
          <w:tcPr>
            <w:tcW w:w="900" w:type="dxa"/>
            <w:tcBorders>
              <w:top w:val="nil"/>
              <w:left w:val="nil"/>
              <w:bottom w:val="nil"/>
              <w:right w:val="nil"/>
            </w:tcBorders>
            <w:shd w:val="clear" w:color="auto" w:fill="auto"/>
            <w:vAlign w:val="center"/>
            <w:hideMark/>
          </w:tcPr>
          <w:p w14:paraId="4DC7055F"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2,776</w:t>
            </w:r>
          </w:p>
        </w:tc>
        <w:tc>
          <w:tcPr>
            <w:tcW w:w="887" w:type="dxa"/>
            <w:tcBorders>
              <w:top w:val="nil"/>
              <w:left w:val="nil"/>
              <w:bottom w:val="nil"/>
              <w:right w:val="nil"/>
            </w:tcBorders>
            <w:shd w:val="clear" w:color="auto" w:fill="auto"/>
            <w:noWrap/>
            <w:vAlign w:val="center"/>
            <w:hideMark/>
          </w:tcPr>
          <w:p w14:paraId="6725E9F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1,288</w:t>
            </w:r>
          </w:p>
        </w:tc>
      </w:tr>
      <w:tr w:rsidR="00CB6E6F" w:rsidRPr="00744942" w14:paraId="48180571"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402B1EB6"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Salaries, wages, and benefits</w:t>
            </w:r>
          </w:p>
        </w:tc>
        <w:tc>
          <w:tcPr>
            <w:tcW w:w="999" w:type="dxa"/>
            <w:tcBorders>
              <w:top w:val="nil"/>
              <w:left w:val="nil"/>
              <w:bottom w:val="nil"/>
              <w:right w:val="nil"/>
            </w:tcBorders>
            <w:shd w:val="clear" w:color="auto" w:fill="auto"/>
            <w:vAlign w:val="center"/>
            <w:hideMark/>
          </w:tcPr>
          <w:p w14:paraId="51460774"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107,651</w:t>
            </w:r>
          </w:p>
        </w:tc>
        <w:tc>
          <w:tcPr>
            <w:tcW w:w="900" w:type="dxa"/>
            <w:tcBorders>
              <w:top w:val="nil"/>
              <w:left w:val="nil"/>
              <w:bottom w:val="nil"/>
              <w:right w:val="nil"/>
            </w:tcBorders>
            <w:shd w:val="clear" w:color="auto" w:fill="auto"/>
            <w:vAlign w:val="center"/>
            <w:hideMark/>
          </w:tcPr>
          <w:p w14:paraId="0698D71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52,112</w:t>
            </w:r>
          </w:p>
        </w:tc>
        <w:tc>
          <w:tcPr>
            <w:tcW w:w="887" w:type="dxa"/>
            <w:tcBorders>
              <w:top w:val="nil"/>
              <w:left w:val="nil"/>
              <w:bottom w:val="nil"/>
              <w:right w:val="nil"/>
            </w:tcBorders>
            <w:shd w:val="clear" w:color="auto" w:fill="auto"/>
            <w:noWrap/>
            <w:vAlign w:val="center"/>
            <w:hideMark/>
          </w:tcPr>
          <w:p w14:paraId="3080610D"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14,680</w:t>
            </w:r>
          </w:p>
        </w:tc>
      </w:tr>
      <w:tr w:rsidR="00CB6E6F" w:rsidRPr="00744942" w14:paraId="448D0F69"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5C959219" w14:textId="2427909E"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Insurance, licen</w:t>
            </w:r>
            <w:r w:rsidR="00004B97" w:rsidRPr="00744942">
              <w:rPr>
                <w:rFonts w:ascii="Arial" w:hAnsi="Arial" w:cs="Arial"/>
                <w:color w:val="000000"/>
                <w:sz w:val="18"/>
                <w:szCs w:val="18"/>
              </w:rPr>
              <w:t>c</w:t>
            </w:r>
            <w:r w:rsidRPr="00744942">
              <w:rPr>
                <w:rFonts w:ascii="Arial" w:hAnsi="Arial" w:cs="Arial"/>
                <w:color w:val="000000"/>
                <w:sz w:val="18"/>
                <w:szCs w:val="18"/>
              </w:rPr>
              <w:t>es, and rentals</w:t>
            </w:r>
          </w:p>
        </w:tc>
        <w:tc>
          <w:tcPr>
            <w:tcW w:w="999" w:type="dxa"/>
            <w:tcBorders>
              <w:top w:val="nil"/>
              <w:left w:val="nil"/>
              <w:bottom w:val="nil"/>
              <w:right w:val="nil"/>
            </w:tcBorders>
            <w:shd w:val="clear" w:color="auto" w:fill="auto"/>
            <w:vAlign w:val="center"/>
            <w:hideMark/>
          </w:tcPr>
          <w:p w14:paraId="71129EF2"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3,327</w:t>
            </w:r>
          </w:p>
        </w:tc>
        <w:tc>
          <w:tcPr>
            <w:tcW w:w="900" w:type="dxa"/>
            <w:tcBorders>
              <w:top w:val="nil"/>
              <w:left w:val="nil"/>
              <w:bottom w:val="nil"/>
              <w:right w:val="nil"/>
            </w:tcBorders>
            <w:shd w:val="clear" w:color="auto" w:fill="auto"/>
            <w:vAlign w:val="center"/>
            <w:hideMark/>
          </w:tcPr>
          <w:p w14:paraId="7268B042"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3,495</w:t>
            </w:r>
          </w:p>
        </w:tc>
        <w:tc>
          <w:tcPr>
            <w:tcW w:w="887" w:type="dxa"/>
            <w:tcBorders>
              <w:top w:val="nil"/>
              <w:left w:val="nil"/>
              <w:bottom w:val="nil"/>
              <w:right w:val="nil"/>
            </w:tcBorders>
            <w:shd w:val="clear" w:color="auto" w:fill="auto"/>
            <w:noWrap/>
            <w:vAlign w:val="center"/>
            <w:hideMark/>
          </w:tcPr>
          <w:p w14:paraId="353EC80B"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2,178</w:t>
            </w:r>
          </w:p>
        </w:tc>
      </w:tr>
      <w:tr w:rsidR="00CB6E6F" w:rsidRPr="00744942" w14:paraId="22CC3484"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7294F892"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Amortization</w:t>
            </w:r>
          </w:p>
        </w:tc>
        <w:tc>
          <w:tcPr>
            <w:tcW w:w="999" w:type="dxa"/>
            <w:tcBorders>
              <w:top w:val="nil"/>
              <w:left w:val="nil"/>
              <w:bottom w:val="nil"/>
              <w:right w:val="nil"/>
            </w:tcBorders>
            <w:shd w:val="clear" w:color="auto" w:fill="auto"/>
            <w:vAlign w:val="center"/>
            <w:hideMark/>
          </w:tcPr>
          <w:p w14:paraId="5810F98A"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1,543</w:t>
            </w:r>
          </w:p>
        </w:tc>
        <w:tc>
          <w:tcPr>
            <w:tcW w:w="900" w:type="dxa"/>
            <w:tcBorders>
              <w:top w:val="nil"/>
              <w:left w:val="nil"/>
              <w:bottom w:val="nil"/>
              <w:right w:val="nil"/>
            </w:tcBorders>
            <w:shd w:val="clear" w:color="auto" w:fill="auto"/>
            <w:vAlign w:val="center"/>
            <w:hideMark/>
          </w:tcPr>
          <w:p w14:paraId="1E4210C1"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1,238</w:t>
            </w:r>
          </w:p>
        </w:tc>
        <w:tc>
          <w:tcPr>
            <w:tcW w:w="887" w:type="dxa"/>
            <w:tcBorders>
              <w:top w:val="nil"/>
              <w:left w:val="nil"/>
              <w:bottom w:val="nil"/>
              <w:right w:val="nil"/>
            </w:tcBorders>
            <w:shd w:val="clear" w:color="auto" w:fill="auto"/>
            <w:noWrap/>
            <w:vAlign w:val="center"/>
            <w:hideMark/>
          </w:tcPr>
          <w:p w14:paraId="67898BFC"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1,889</w:t>
            </w:r>
          </w:p>
        </w:tc>
      </w:tr>
      <w:tr w:rsidR="00CB6E6F" w:rsidRPr="00744942" w14:paraId="78151887"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0F0769FF"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Interest</w:t>
            </w:r>
          </w:p>
        </w:tc>
        <w:tc>
          <w:tcPr>
            <w:tcW w:w="999" w:type="dxa"/>
            <w:tcBorders>
              <w:top w:val="nil"/>
              <w:left w:val="nil"/>
              <w:bottom w:val="nil"/>
              <w:right w:val="nil"/>
            </w:tcBorders>
            <w:shd w:val="clear" w:color="auto" w:fill="auto"/>
            <w:vAlign w:val="center"/>
            <w:hideMark/>
          </w:tcPr>
          <w:p w14:paraId="2A7A1E66"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2,678</w:t>
            </w:r>
          </w:p>
        </w:tc>
        <w:tc>
          <w:tcPr>
            <w:tcW w:w="900" w:type="dxa"/>
            <w:tcBorders>
              <w:top w:val="nil"/>
              <w:left w:val="nil"/>
              <w:bottom w:val="nil"/>
              <w:right w:val="nil"/>
            </w:tcBorders>
            <w:shd w:val="clear" w:color="auto" w:fill="auto"/>
            <w:vAlign w:val="center"/>
            <w:hideMark/>
          </w:tcPr>
          <w:p w14:paraId="29ED02D4"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1,619</w:t>
            </w:r>
          </w:p>
        </w:tc>
        <w:tc>
          <w:tcPr>
            <w:tcW w:w="887" w:type="dxa"/>
            <w:tcBorders>
              <w:top w:val="nil"/>
              <w:left w:val="nil"/>
              <w:bottom w:val="nil"/>
              <w:right w:val="nil"/>
            </w:tcBorders>
            <w:shd w:val="clear" w:color="auto" w:fill="auto"/>
            <w:noWrap/>
            <w:vAlign w:val="center"/>
            <w:hideMark/>
          </w:tcPr>
          <w:p w14:paraId="0492355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2,174</w:t>
            </w:r>
          </w:p>
        </w:tc>
      </w:tr>
      <w:tr w:rsidR="00CB6E6F" w:rsidRPr="00744942" w14:paraId="52F72C9F"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5C5AEFA6" w14:textId="1078BD16"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Supplies, office, utilities</w:t>
            </w:r>
            <w:r w:rsidR="00004B97" w:rsidRPr="00744942">
              <w:rPr>
                <w:rFonts w:ascii="Arial" w:hAnsi="Arial" w:cs="Arial"/>
                <w:color w:val="000000"/>
                <w:sz w:val="18"/>
                <w:szCs w:val="18"/>
              </w:rPr>
              <w:t>,</w:t>
            </w:r>
            <w:r w:rsidRPr="00744942">
              <w:rPr>
                <w:rFonts w:ascii="Arial" w:hAnsi="Arial" w:cs="Arial"/>
                <w:color w:val="000000"/>
                <w:sz w:val="18"/>
                <w:szCs w:val="18"/>
              </w:rPr>
              <w:t xml:space="preserve"> and other</w:t>
            </w:r>
          </w:p>
        </w:tc>
        <w:tc>
          <w:tcPr>
            <w:tcW w:w="999" w:type="dxa"/>
            <w:tcBorders>
              <w:top w:val="nil"/>
              <w:left w:val="nil"/>
              <w:bottom w:val="nil"/>
              <w:right w:val="nil"/>
            </w:tcBorders>
            <w:shd w:val="clear" w:color="auto" w:fill="auto"/>
            <w:vAlign w:val="center"/>
            <w:hideMark/>
          </w:tcPr>
          <w:p w14:paraId="27A88FD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9,161</w:t>
            </w:r>
          </w:p>
        </w:tc>
        <w:tc>
          <w:tcPr>
            <w:tcW w:w="900" w:type="dxa"/>
            <w:tcBorders>
              <w:top w:val="nil"/>
              <w:left w:val="nil"/>
              <w:bottom w:val="nil"/>
              <w:right w:val="nil"/>
            </w:tcBorders>
            <w:shd w:val="clear" w:color="auto" w:fill="auto"/>
            <w:vAlign w:val="center"/>
            <w:hideMark/>
          </w:tcPr>
          <w:p w14:paraId="08A31176"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4,622</w:t>
            </w:r>
          </w:p>
        </w:tc>
        <w:tc>
          <w:tcPr>
            <w:tcW w:w="887" w:type="dxa"/>
            <w:tcBorders>
              <w:top w:val="nil"/>
              <w:left w:val="nil"/>
              <w:bottom w:val="nil"/>
              <w:right w:val="nil"/>
            </w:tcBorders>
            <w:shd w:val="clear" w:color="auto" w:fill="auto"/>
            <w:noWrap/>
            <w:vAlign w:val="center"/>
            <w:hideMark/>
          </w:tcPr>
          <w:p w14:paraId="72E193FC"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3,291</w:t>
            </w:r>
          </w:p>
        </w:tc>
      </w:tr>
      <w:tr w:rsidR="00CB6E6F" w:rsidRPr="00744942" w14:paraId="6C9CE532"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6F77B630"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Advertising </w:t>
            </w:r>
          </w:p>
        </w:tc>
        <w:tc>
          <w:tcPr>
            <w:tcW w:w="999" w:type="dxa"/>
            <w:tcBorders>
              <w:top w:val="nil"/>
              <w:left w:val="nil"/>
              <w:bottom w:val="nil"/>
              <w:right w:val="nil"/>
            </w:tcBorders>
            <w:shd w:val="clear" w:color="auto" w:fill="auto"/>
            <w:vAlign w:val="center"/>
            <w:hideMark/>
          </w:tcPr>
          <w:p w14:paraId="5E9534E4"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17,608</w:t>
            </w:r>
          </w:p>
        </w:tc>
        <w:tc>
          <w:tcPr>
            <w:tcW w:w="900" w:type="dxa"/>
            <w:tcBorders>
              <w:top w:val="nil"/>
              <w:left w:val="nil"/>
              <w:bottom w:val="nil"/>
              <w:right w:val="nil"/>
            </w:tcBorders>
            <w:shd w:val="clear" w:color="auto" w:fill="auto"/>
            <w:vAlign w:val="center"/>
            <w:hideMark/>
          </w:tcPr>
          <w:p w14:paraId="1D1AE692"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10,307</w:t>
            </w:r>
          </w:p>
        </w:tc>
        <w:tc>
          <w:tcPr>
            <w:tcW w:w="887" w:type="dxa"/>
            <w:tcBorders>
              <w:top w:val="nil"/>
              <w:left w:val="nil"/>
              <w:bottom w:val="nil"/>
              <w:right w:val="nil"/>
            </w:tcBorders>
            <w:shd w:val="clear" w:color="auto" w:fill="auto"/>
            <w:noWrap/>
            <w:vAlign w:val="center"/>
            <w:hideMark/>
          </w:tcPr>
          <w:p w14:paraId="2C0C3D6A"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7,187</w:t>
            </w:r>
          </w:p>
        </w:tc>
      </w:tr>
      <w:tr w:rsidR="00CB6E6F" w:rsidRPr="00744942" w14:paraId="0DC0DE55"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5A119943"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Rent and repairs</w:t>
            </w:r>
          </w:p>
        </w:tc>
        <w:tc>
          <w:tcPr>
            <w:tcW w:w="999" w:type="dxa"/>
            <w:tcBorders>
              <w:top w:val="nil"/>
              <w:left w:val="nil"/>
              <w:right w:val="nil"/>
            </w:tcBorders>
            <w:shd w:val="clear" w:color="auto" w:fill="auto"/>
            <w:vAlign w:val="center"/>
            <w:hideMark/>
          </w:tcPr>
          <w:p w14:paraId="703180F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33,177</w:t>
            </w:r>
          </w:p>
        </w:tc>
        <w:tc>
          <w:tcPr>
            <w:tcW w:w="900" w:type="dxa"/>
            <w:tcBorders>
              <w:top w:val="nil"/>
              <w:left w:val="nil"/>
              <w:right w:val="nil"/>
            </w:tcBorders>
            <w:shd w:val="clear" w:color="auto" w:fill="auto"/>
            <w:vAlign w:val="center"/>
            <w:hideMark/>
          </w:tcPr>
          <w:p w14:paraId="362D9DEF"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30,623</w:t>
            </w:r>
          </w:p>
        </w:tc>
        <w:tc>
          <w:tcPr>
            <w:tcW w:w="887" w:type="dxa"/>
            <w:tcBorders>
              <w:top w:val="nil"/>
              <w:left w:val="nil"/>
              <w:right w:val="nil"/>
            </w:tcBorders>
            <w:shd w:val="clear" w:color="auto" w:fill="auto"/>
            <w:noWrap/>
            <w:vAlign w:val="center"/>
            <w:hideMark/>
          </w:tcPr>
          <w:p w14:paraId="0F10ACC6"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22,684</w:t>
            </w:r>
          </w:p>
        </w:tc>
      </w:tr>
      <w:tr w:rsidR="00CB6E6F" w:rsidRPr="00744942" w14:paraId="4A4BA5C9"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3B1E1169"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rPr>
              <w:t>Total expenses</w:t>
            </w:r>
          </w:p>
        </w:tc>
        <w:tc>
          <w:tcPr>
            <w:tcW w:w="999" w:type="dxa"/>
            <w:tcBorders>
              <w:top w:val="nil"/>
              <w:left w:val="nil"/>
              <w:bottom w:val="single" w:sz="4" w:space="0" w:color="auto"/>
              <w:right w:val="nil"/>
            </w:tcBorders>
            <w:shd w:val="clear" w:color="auto" w:fill="auto"/>
            <w:vAlign w:val="center"/>
            <w:hideMark/>
          </w:tcPr>
          <w:p w14:paraId="0B8EBB45"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177,142</w:t>
            </w:r>
          </w:p>
        </w:tc>
        <w:tc>
          <w:tcPr>
            <w:tcW w:w="900" w:type="dxa"/>
            <w:tcBorders>
              <w:top w:val="nil"/>
              <w:left w:val="nil"/>
              <w:bottom w:val="single" w:sz="4" w:space="0" w:color="auto"/>
              <w:right w:val="nil"/>
            </w:tcBorders>
            <w:shd w:val="clear" w:color="auto" w:fill="auto"/>
            <w:vAlign w:val="center"/>
            <w:hideMark/>
          </w:tcPr>
          <w:p w14:paraId="7DB2FC8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106,792</w:t>
            </w:r>
          </w:p>
        </w:tc>
        <w:tc>
          <w:tcPr>
            <w:tcW w:w="887" w:type="dxa"/>
            <w:tcBorders>
              <w:top w:val="nil"/>
              <w:left w:val="nil"/>
              <w:bottom w:val="single" w:sz="4" w:space="0" w:color="auto"/>
              <w:right w:val="nil"/>
            </w:tcBorders>
            <w:shd w:val="clear" w:color="auto" w:fill="auto"/>
            <w:vAlign w:val="center"/>
            <w:hideMark/>
          </w:tcPr>
          <w:p w14:paraId="568F15FE"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55,371</w:t>
            </w:r>
          </w:p>
        </w:tc>
      </w:tr>
      <w:tr w:rsidR="00CB6E6F" w:rsidRPr="00744942" w14:paraId="3860158C"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5323FB2B"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rPr>
              <w:t>Income from operations</w:t>
            </w:r>
          </w:p>
        </w:tc>
        <w:tc>
          <w:tcPr>
            <w:tcW w:w="999" w:type="dxa"/>
            <w:tcBorders>
              <w:top w:val="single" w:sz="4" w:space="0" w:color="auto"/>
              <w:left w:val="nil"/>
              <w:bottom w:val="nil"/>
              <w:right w:val="nil"/>
            </w:tcBorders>
            <w:shd w:val="clear" w:color="auto" w:fill="auto"/>
            <w:vAlign w:val="center"/>
            <w:hideMark/>
          </w:tcPr>
          <w:p w14:paraId="266770B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17,483</w:t>
            </w:r>
          </w:p>
        </w:tc>
        <w:tc>
          <w:tcPr>
            <w:tcW w:w="900" w:type="dxa"/>
            <w:tcBorders>
              <w:top w:val="single" w:sz="4" w:space="0" w:color="auto"/>
              <w:left w:val="nil"/>
              <w:bottom w:val="nil"/>
              <w:right w:val="nil"/>
            </w:tcBorders>
            <w:shd w:val="clear" w:color="auto" w:fill="auto"/>
            <w:vAlign w:val="center"/>
            <w:hideMark/>
          </w:tcPr>
          <w:p w14:paraId="695C235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71</w:t>
            </w:r>
          </w:p>
        </w:tc>
        <w:tc>
          <w:tcPr>
            <w:tcW w:w="887" w:type="dxa"/>
            <w:tcBorders>
              <w:top w:val="single" w:sz="4" w:space="0" w:color="auto"/>
              <w:left w:val="nil"/>
              <w:bottom w:val="nil"/>
              <w:right w:val="nil"/>
            </w:tcBorders>
            <w:shd w:val="clear" w:color="auto" w:fill="auto"/>
            <w:vAlign w:val="center"/>
            <w:hideMark/>
          </w:tcPr>
          <w:p w14:paraId="0EC50BBD"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(19,805)</w:t>
            </w:r>
          </w:p>
        </w:tc>
      </w:tr>
      <w:tr w:rsidR="00CB6E6F" w:rsidRPr="00744942" w14:paraId="624BA6EA" w14:textId="77777777" w:rsidTr="00BB7DBB">
        <w:trPr>
          <w:trHeight w:val="259"/>
          <w:tblHeader/>
          <w:jc w:val="center"/>
        </w:trPr>
        <w:tc>
          <w:tcPr>
            <w:tcW w:w="3051" w:type="dxa"/>
            <w:tcBorders>
              <w:top w:val="nil"/>
              <w:left w:val="nil"/>
              <w:bottom w:val="nil"/>
              <w:right w:val="nil"/>
            </w:tcBorders>
            <w:shd w:val="clear" w:color="auto" w:fill="auto"/>
            <w:noWrap/>
            <w:vAlign w:val="center"/>
            <w:hideMark/>
          </w:tcPr>
          <w:p w14:paraId="59276510"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rPr>
              <w:t>Loss carry forward</w:t>
            </w:r>
          </w:p>
        </w:tc>
        <w:tc>
          <w:tcPr>
            <w:tcW w:w="999" w:type="dxa"/>
            <w:tcBorders>
              <w:top w:val="nil"/>
              <w:left w:val="nil"/>
              <w:bottom w:val="nil"/>
              <w:right w:val="nil"/>
            </w:tcBorders>
            <w:shd w:val="clear" w:color="auto" w:fill="auto"/>
            <w:vAlign w:val="center"/>
            <w:hideMark/>
          </w:tcPr>
          <w:p w14:paraId="575D026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(32,346)</w:t>
            </w:r>
          </w:p>
        </w:tc>
        <w:tc>
          <w:tcPr>
            <w:tcW w:w="900" w:type="dxa"/>
            <w:tcBorders>
              <w:top w:val="nil"/>
              <w:left w:val="nil"/>
              <w:bottom w:val="nil"/>
              <w:right w:val="nil"/>
            </w:tcBorders>
            <w:shd w:val="clear" w:color="auto" w:fill="auto"/>
            <w:vAlign w:val="center"/>
            <w:hideMark/>
          </w:tcPr>
          <w:p w14:paraId="263249B1"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(32,417)</w:t>
            </w:r>
          </w:p>
        </w:tc>
        <w:tc>
          <w:tcPr>
            <w:tcW w:w="887" w:type="dxa"/>
            <w:tcBorders>
              <w:top w:val="nil"/>
              <w:left w:val="nil"/>
              <w:bottom w:val="nil"/>
              <w:right w:val="nil"/>
            </w:tcBorders>
            <w:shd w:val="clear" w:color="auto" w:fill="auto"/>
            <w:vAlign w:val="center"/>
            <w:hideMark/>
          </w:tcPr>
          <w:p w14:paraId="7241D314"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rPr>
              <w:t>(12,612)</w:t>
            </w:r>
          </w:p>
        </w:tc>
      </w:tr>
      <w:tr w:rsidR="00CB6E6F" w:rsidRPr="00744942" w14:paraId="423E7AC7" w14:textId="77777777" w:rsidTr="00BB7DBB">
        <w:trPr>
          <w:trHeight w:val="259"/>
          <w:tblHeader/>
          <w:jc w:val="center"/>
        </w:trPr>
        <w:tc>
          <w:tcPr>
            <w:tcW w:w="3051" w:type="dxa"/>
            <w:tcBorders>
              <w:top w:val="single" w:sz="8" w:space="0" w:color="auto"/>
              <w:left w:val="nil"/>
              <w:bottom w:val="single" w:sz="8" w:space="0" w:color="auto"/>
              <w:right w:val="nil"/>
            </w:tcBorders>
            <w:shd w:val="clear" w:color="auto" w:fill="auto"/>
            <w:noWrap/>
            <w:vAlign w:val="center"/>
            <w:hideMark/>
          </w:tcPr>
          <w:p w14:paraId="0B4F5A91"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rPr>
              <w:t>Net income (loss)</w:t>
            </w:r>
          </w:p>
        </w:tc>
        <w:tc>
          <w:tcPr>
            <w:tcW w:w="999" w:type="dxa"/>
            <w:tcBorders>
              <w:top w:val="single" w:sz="8" w:space="0" w:color="auto"/>
              <w:left w:val="nil"/>
              <w:bottom w:val="single" w:sz="8" w:space="0" w:color="auto"/>
              <w:right w:val="nil"/>
            </w:tcBorders>
            <w:shd w:val="clear" w:color="auto" w:fill="auto"/>
            <w:vAlign w:val="center"/>
            <w:hideMark/>
          </w:tcPr>
          <w:p w14:paraId="7E52344E"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(14,863)</w:t>
            </w:r>
          </w:p>
        </w:tc>
        <w:tc>
          <w:tcPr>
            <w:tcW w:w="900" w:type="dxa"/>
            <w:tcBorders>
              <w:top w:val="single" w:sz="8" w:space="0" w:color="auto"/>
              <w:left w:val="nil"/>
              <w:bottom w:val="single" w:sz="8" w:space="0" w:color="auto"/>
              <w:right w:val="nil"/>
            </w:tcBorders>
            <w:shd w:val="clear" w:color="auto" w:fill="auto"/>
            <w:vAlign w:val="center"/>
            <w:hideMark/>
          </w:tcPr>
          <w:p w14:paraId="32AD870D"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(32,346)</w:t>
            </w:r>
          </w:p>
        </w:tc>
        <w:tc>
          <w:tcPr>
            <w:tcW w:w="887" w:type="dxa"/>
            <w:tcBorders>
              <w:top w:val="single" w:sz="8" w:space="0" w:color="auto"/>
              <w:left w:val="nil"/>
              <w:bottom w:val="single" w:sz="8" w:space="0" w:color="auto"/>
              <w:right w:val="nil"/>
            </w:tcBorders>
            <w:shd w:val="clear" w:color="auto" w:fill="auto"/>
            <w:vAlign w:val="center"/>
            <w:hideMark/>
          </w:tcPr>
          <w:p w14:paraId="4622DB28"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rPr>
              <w:t>(24,543)</w:t>
            </w:r>
          </w:p>
        </w:tc>
      </w:tr>
    </w:tbl>
    <w:p w14:paraId="71F8F7AF" w14:textId="77777777" w:rsidR="00CB6E6F" w:rsidRPr="00322C4F" w:rsidRDefault="00CB6E6F" w:rsidP="0021472C">
      <w:pPr>
        <w:pStyle w:val="ExhibitText"/>
        <w:rPr>
          <w:rFonts w:ascii="Times New Roman" w:hAnsi="Times New Roman" w:cs="Times New Roman"/>
        </w:rPr>
      </w:pPr>
    </w:p>
    <w:p w14:paraId="7742FB24" w14:textId="1CE3D4C4" w:rsidR="00CB6E6F" w:rsidRPr="00744942" w:rsidRDefault="002D329B" w:rsidP="00744942">
      <w:pPr>
        <w:pStyle w:val="Footnote"/>
      </w:pPr>
      <w:r w:rsidRPr="00744942">
        <w:t>Note: Financial i</w:t>
      </w:r>
      <w:r w:rsidR="00CB6E6F" w:rsidRPr="00744942">
        <w:t>nformation altered for confidentiality</w:t>
      </w:r>
      <w:r w:rsidR="00004B97" w:rsidRPr="00744942">
        <w:t>.</w:t>
      </w:r>
    </w:p>
    <w:p w14:paraId="5FA99CF8" w14:textId="6B663519" w:rsidR="00CB6E6F" w:rsidRPr="00744942" w:rsidRDefault="00AD7018" w:rsidP="00744942">
      <w:pPr>
        <w:pStyle w:val="Footnote"/>
      </w:pPr>
      <w:r w:rsidRPr="00744942">
        <w:t xml:space="preserve">Source: </w:t>
      </w:r>
      <w:r w:rsidR="00CB6E6F" w:rsidRPr="00744942">
        <w:t xml:space="preserve">Created by the </w:t>
      </w:r>
      <w:r w:rsidR="00004B97" w:rsidRPr="00744942">
        <w:t xml:space="preserve">case </w:t>
      </w:r>
      <w:r w:rsidR="00CB6E6F" w:rsidRPr="00744942">
        <w:t xml:space="preserve">authors </w:t>
      </w:r>
      <w:r w:rsidRPr="00744942">
        <w:t>with</w:t>
      </w:r>
      <w:r w:rsidR="00CB6E6F" w:rsidRPr="00744942">
        <w:t xml:space="preserve"> information </w:t>
      </w:r>
      <w:r w:rsidRPr="00744942">
        <w:t>from company files</w:t>
      </w:r>
      <w:r w:rsidR="00CB6E6F" w:rsidRPr="00744942">
        <w:t>.</w:t>
      </w:r>
    </w:p>
    <w:p w14:paraId="08F7D0E8" w14:textId="4C43173B" w:rsidR="00CB6E6F" w:rsidRPr="00322C4F" w:rsidRDefault="00CB6E6F" w:rsidP="0021472C">
      <w:pPr>
        <w:pStyle w:val="ExhibitText"/>
        <w:rPr>
          <w:rFonts w:ascii="Times New Roman" w:hAnsi="Times New Roman" w:cs="Times New Roman"/>
        </w:rPr>
      </w:pPr>
    </w:p>
    <w:p w14:paraId="44DEFF63" w14:textId="77777777" w:rsidR="00176C0D" w:rsidRPr="00322C4F" w:rsidRDefault="00176C0D" w:rsidP="0021472C">
      <w:pPr>
        <w:pStyle w:val="ExhibitText"/>
        <w:rPr>
          <w:rFonts w:ascii="Times New Roman" w:hAnsi="Times New Roman" w:cs="Times New Roman"/>
        </w:rPr>
      </w:pPr>
    </w:p>
    <w:p w14:paraId="31CAAA8C" w14:textId="33734D17" w:rsidR="00CB6E6F" w:rsidRPr="00744942" w:rsidRDefault="00CB6E6F" w:rsidP="00744942">
      <w:pPr>
        <w:pStyle w:val="ExhibitHeading"/>
      </w:pPr>
      <w:r w:rsidRPr="00744942">
        <w:t xml:space="preserve">Exhibit </w:t>
      </w:r>
      <w:r w:rsidR="00384EBD" w:rsidRPr="00744942">
        <w:t>6</w:t>
      </w:r>
      <w:r w:rsidRPr="00744942">
        <w:t>: ORA balance sheet, 2016</w:t>
      </w:r>
      <w:r w:rsidR="00AD7018" w:rsidRPr="00744942">
        <w:t>–</w:t>
      </w:r>
      <w:r w:rsidRPr="00744942">
        <w:t>2018 (</w:t>
      </w:r>
      <w:r w:rsidR="00AD7018" w:rsidRPr="00744942">
        <w:t xml:space="preserve">in </w:t>
      </w:r>
      <w:r w:rsidRPr="00744942">
        <w:t>CA$)</w:t>
      </w:r>
    </w:p>
    <w:p w14:paraId="46FD932D" w14:textId="77777777" w:rsidR="00CB6E6F" w:rsidRPr="00322C4F" w:rsidRDefault="00CB6E6F" w:rsidP="0021472C">
      <w:pPr>
        <w:pStyle w:val="ExhibitText"/>
        <w:rPr>
          <w:rFonts w:ascii="Times New Roman" w:hAnsi="Times New Roman" w:cs="Times New Roman"/>
        </w:rPr>
      </w:pPr>
    </w:p>
    <w:tbl>
      <w:tblPr>
        <w:tblW w:w="2548" w:type="pct"/>
        <w:jc w:val="center"/>
        <w:tblLook w:val="04A0" w:firstRow="1" w:lastRow="0" w:firstColumn="1" w:lastColumn="0" w:noHBand="0" w:noVBand="1"/>
        <w:tblCaption w:val="EXHIBIT 6"/>
        <w:tblDescription w:val="ORA BALANCE SHEET, 2016–2018 (IN CA$)"/>
      </w:tblPr>
      <w:tblGrid>
        <w:gridCol w:w="2060"/>
        <w:gridCol w:w="910"/>
        <w:gridCol w:w="900"/>
        <w:gridCol w:w="900"/>
      </w:tblGrid>
      <w:tr w:rsidR="00CB6E6F" w:rsidRPr="00744942" w14:paraId="66B283FC" w14:textId="77777777" w:rsidTr="00A73E96">
        <w:trPr>
          <w:trHeight w:val="259"/>
          <w:jc w:val="center"/>
        </w:trPr>
        <w:tc>
          <w:tcPr>
            <w:tcW w:w="2060" w:type="dxa"/>
            <w:tcBorders>
              <w:top w:val="single" w:sz="8" w:space="0" w:color="auto"/>
              <w:left w:val="nil"/>
              <w:bottom w:val="single" w:sz="12" w:space="0" w:color="auto"/>
              <w:right w:val="nil"/>
            </w:tcBorders>
            <w:shd w:val="clear" w:color="auto" w:fill="auto"/>
            <w:vAlign w:val="center"/>
            <w:hideMark/>
          </w:tcPr>
          <w:p w14:paraId="090408C8"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lang w:eastAsia="zh-CN"/>
              </w:rPr>
              <w:t> </w:t>
            </w:r>
          </w:p>
        </w:tc>
        <w:tc>
          <w:tcPr>
            <w:tcW w:w="910" w:type="dxa"/>
            <w:tcBorders>
              <w:top w:val="single" w:sz="8" w:space="0" w:color="auto"/>
              <w:left w:val="nil"/>
              <w:bottom w:val="single" w:sz="12" w:space="0" w:color="auto"/>
              <w:right w:val="nil"/>
            </w:tcBorders>
            <w:shd w:val="clear" w:color="auto" w:fill="auto"/>
            <w:vAlign w:val="center"/>
            <w:hideMark/>
          </w:tcPr>
          <w:p w14:paraId="7AD1958D"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lang w:eastAsia="zh-CN"/>
              </w:rPr>
              <w:t>2018</w:t>
            </w:r>
          </w:p>
        </w:tc>
        <w:tc>
          <w:tcPr>
            <w:tcW w:w="900" w:type="dxa"/>
            <w:tcBorders>
              <w:top w:val="single" w:sz="8" w:space="0" w:color="auto"/>
              <w:left w:val="nil"/>
              <w:bottom w:val="single" w:sz="12" w:space="0" w:color="auto"/>
              <w:right w:val="nil"/>
            </w:tcBorders>
            <w:shd w:val="clear" w:color="auto" w:fill="auto"/>
            <w:vAlign w:val="center"/>
            <w:hideMark/>
          </w:tcPr>
          <w:p w14:paraId="55634B91"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lang w:eastAsia="zh-CN"/>
              </w:rPr>
              <w:t>2017</w:t>
            </w:r>
          </w:p>
        </w:tc>
        <w:tc>
          <w:tcPr>
            <w:tcW w:w="900" w:type="dxa"/>
            <w:tcBorders>
              <w:top w:val="single" w:sz="8" w:space="0" w:color="auto"/>
              <w:left w:val="nil"/>
              <w:bottom w:val="single" w:sz="12" w:space="0" w:color="auto"/>
              <w:right w:val="nil"/>
            </w:tcBorders>
            <w:shd w:val="clear" w:color="auto" w:fill="auto"/>
            <w:vAlign w:val="center"/>
            <w:hideMark/>
          </w:tcPr>
          <w:p w14:paraId="5D56D191" w14:textId="77777777" w:rsidR="00CB6E6F" w:rsidRPr="00744942" w:rsidRDefault="00CB6E6F" w:rsidP="00CB6E6F">
            <w:pPr>
              <w:jc w:val="right"/>
              <w:rPr>
                <w:rFonts w:ascii="Arial" w:hAnsi="Arial" w:cs="Arial"/>
                <w:b/>
                <w:bCs/>
                <w:color w:val="000000"/>
                <w:sz w:val="18"/>
                <w:szCs w:val="18"/>
              </w:rPr>
            </w:pPr>
            <w:r w:rsidRPr="00744942">
              <w:rPr>
                <w:rFonts w:ascii="Arial" w:hAnsi="Arial" w:cs="Arial"/>
                <w:b/>
                <w:bCs/>
                <w:color w:val="000000"/>
                <w:sz w:val="18"/>
                <w:szCs w:val="18"/>
                <w:lang w:eastAsia="zh-CN"/>
              </w:rPr>
              <w:t>2016</w:t>
            </w:r>
          </w:p>
        </w:tc>
      </w:tr>
      <w:tr w:rsidR="00CB6E6F" w:rsidRPr="00744942" w14:paraId="68A16C1E" w14:textId="77777777" w:rsidTr="00A73E96">
        <w:trPr>
          <w:trHeight w:val="259"/>
          <w:jc w:val="center"/>
        </w:trPr>
        <w:tc>
          <w:tcPr>
            <w:tcW w:w="2060" w:type="dxa"/>
            <w:tcBorders>
              <w:top w:val="nil"/>
              <w:left w:val="nil"/>
              <w:bottom w:val="nil"/>
              <w:right w:val="nil"/>
            </w:tcBorders>
            <w:shd w:val="clear" w:color="auto" w:fill="auto"/>
            <w:vAlign w:val="center"/>
            <w:hideMark/>
          </w:tcPr>
          <w:p w14:paraId="697E525B"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lang w:eastAsia="zh-CN"/>
              </w:rPr>
              <w:t>Assets</w:t>
            </w:r>
          </w:p>
        </w:tc>
        <w:tc>
          <w:tcPr>
            <w:tcW w:w="910" w:type="dxa"/>
            <w:tcBorders>
              <w:top w:val="nil"/>
              <w:left w:val="nil"/>
              <w:bottom w:val="nil"/>
              <w:right w:val="nil"/>
            </w:tcBorders>
            <w:shd w:val="clear" w:color="auto" w:fill="auto"/>
            <w:vAlign w:val="center"/>
            <w:hideMark/>
          </w:tcPr>
          <w:p w14:paraId="2E2A57E8" w14:textId="77777777" w:rsidR="00CB6E6F" w:rsidRPr="00744942" w:rsidRDefault="00CB6E6F" w:rsidP="00CB6E6F">
            <w:pPr>
              <w:rPr>
                <w:rFonts w:ascii="Arial" w:hAnsi="Arial" w:cs="Arial"/>
                <w:b/>
                <w:bCs/>
                <w:color w:val="000000"/>
                <w:sz w:val="18"/>
                <w:szCs w:val="18"/>
              </w:rPr>
            </w:pPr>
          </w:p>
        </w:tc>
        <w:tc>
          <w:tcPr>
            <w:tcW w:w="900" w:type="dxa"/>
            <w:tcBorders>
              <w:top w:val="nil"/>
              <w:left w:val="nil"/>
              <w:bottom w:val="nil"/>
              <w:right w:val="nil"/>
            </w:tcBorders>
            <w:shd w:val="clear" w:color="auto" w:fill="auto"/>
            <w:vAlign w:val="center"/>
            <w:hideMark/>
          </w:tcPr>
          <w:p w14:paraId="297B39DF" w14:textId="77777777" w:rsidR="00CB6E6F" w:rsidRPr="00744942" w:rsidRDefault="00CB6E6F" w:rsidP="00CB6E6F">
            <w:pPr>
              <w:jc w:val="right"/>
              <w:rPr>
                <w:rFonts w:ascii="Arial" w:hAnsi="Arial" w:cs="Arial"/>
              </w:rPr>
            </w:pPr>
          </w:p>
        </w:tc>
        <w:tc>
          <w:tcPr>
            <w:tcW w:w="900" w:type="dxa"/>
            <w:tcBorders>
              <w:top w:val="nil"/>
              <w:left w:val="nil"/>
              <w:bottom w:val="nil"/>
              <w:right w:val="nil"/>
            </w:tcBorders>
            <w:shd w:val="clear" w:color="auto" w:fill="auto"/>
            <w:vAlign w:val="center"/>
            <w:hideMark/>
          </w:tcPr>
          <w:p w14:paraId="7767EAA3" w14:textId="77777777" w:rsidR="00CB6E6F" w:rsidRPr="00744942" w:rsidRDefault="00CB6E6F" w:rsidP="00CB6E6F">
            <w:pPr>
              <w:jc w:val="right"/>
              <w:rPr>
                <w:rFonts w:ascii="Arial" w:hAnsi="Arial" w:cs="Arial"/>
              </w:rPr>
            </w:pPr>
          </w:p>
        </w:tc>
      </w:tr>
      <w:tr w:rsidR="00CB6E6F" w:rsidRPr="00744942" w14:paraId="436CE66B" w14:textId="77777777" w:rsidTr="00A73E96">
        <w:trPr>
          <w:trHeight w:val="259"/>
          <w:jc w:val="center"/>
        </w:trPr>
        <w:tc>
          <w:tcPr>
            <w:tcW w:w="2060" w:type="dxa"/>
            <w:tcBorders>
              <w:top w:val="nil"/>
              <w:left w:val="nil"/>
              <w:bottom w:val="nil"/>
              <w:right w:val="nil"/>
            </w:tcBorders>
            <w:shd w:val="clear" w:color="auto" w:fill="auto"/>
            <w:vAlign w:val="center"/>
            <w:hideMark/>
          </w:tcPr>
          <w:p w14:paraId="13BDB350"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lang w:eastAsia="zh-CN"/>
              </w:rPr>
              <w:t>Total current assets</w:t>
            </w:r>
          </w:p>
        </w:tc>
        <w:tc>
          <w:tcPr>
            <w:tcW w:w="910" w:type="dxa"/>
            <w:tcBorders>
              <w:top w:val="nil"/>
              <w:left w:val="nil"/>
              <w:bottom w:val="nil"/>
              <w:right w:val="nil"/>
            </w:tcBorders>
            <w:shd w:val="clear" w:color="auto" w:fill="auto"/>
            <w:vAlign w:val="center"/>
            <w:hideMark/>
          </w:tcPr>
          <w:p w14:paraId="6F94B391"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14,656</w:t>
            </w:r>
          </w:p>
        </w:tc>
        <w:tc>
          <w:tcPr>
            <w:tcW w:w="900" w:type="dxa"/>
            <w:tcBorders>
              <w:top w:val="nil"/>
              <w:left w:val="nil"/>
              <w:bottom w:val="nil"/>
              <w:right w:val="nil"/>
            </w:tcBorders>
            <w:shd w:val="clear" w:color="auto" w:fill="auto"/>
            <w:vAlign w:val="center"/>
            <w:hideMark/>
          </w:tcPr>
          <w:p w14:paraId="36B9A1A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12,298</w:t>
            </w:r>
          </w:p>
        </w:tc>
        <w:tc>
          <w:tcPr>
            <w:tcW w:w="900" w:type="dxa"/>
            <w:tcBorders>
              <w:top w:val="nil"/>
              <w:left w:val="nil"/>
              <w:bottom w:val="nil"/>
              <w:right w:val="nil"/>
            </w:tcBorders>
            <w:shd w:val="clear" w:color="auto" w:fill="auto"/>
            <w:vAlign w:val="center"/>
            <w:hideMark/>
          </w:tcPr>
          <w:p w14:paraId="0A7B9E1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11,416</w:t>
            </w:r>
          </w:p>
        </w:tc>
      </w:tr>
      <w:tr w:rsidR="00CB6E6F" w:rsidRPr="00744942" w14:paraId="0A41CF16" w14:textId="77777777" w:rsidTr="00A73E96">
        <w:trPr>
          <w:trHeight w:val="259"/>
          <w:jc w:val="center"/>
        </w:trPr>
        <w:tc>
          <w:tcPr>
            <w:tcW w:w="2060" w:type="dxa"/>
            <w:tcBorders>
              <w:top w:val="nil"/>
              <w:left w:val="nil"/>
              <w:bottom w:val="single" w:sz="8" w:space="0" w:color="auto"/>
              <w:right w:val="nil"/>
            </w:tcBorders>
            <w:shd w:val="clear" w:color="auto" w:fill="auto"/>
            <w:vAlign w:val="center"/>
            <w:hideMark/>
          </w:tcPr>
          <w:p w14:paraId="43D07FB2"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lang w:eastAsia="zh-CN"/>
              </w:rPr>
              <w:t>Total assets</w:t>
            </w:r>
          </w:p>
        </w:tc>
        <w:tc>
          <w:tcPr>
            <w:tcW w:w="910" w:type="dxa"/>
            <w:tcBorders>
              <w:top w:val="nil"/>
              <w:left w:val="nil"/>
              <w:bottom w:val="single" w:sz="8" w:space="0" w:color="auto"/>
              <w:right w:val="nil"/>
            </w:tcBorders>
            <w:shd w:val="clear" w:color="auto" w:fill="auto"/>
            <w:vAlign w:val="center"/>
            <w:hideMark/>
          </w:tcPr>
          <w:p w14:paraId="30BFADED"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140,591</w:t>
            </w:r>
          </w:p>
        </w:tc>
        <w:tc>
          <w:tcPr>
            <w:tcW w:w="900" w:type="dxa"/>
            <w:tcBorders>
              <w:top w:val="nil"/>
              <w:left w:val="nil"/>
              <w:bottom w:val="single" w:sz="8" w:space="0" w:color="auto"/>
              <w:right w:val="nil"/>
            </w:tcBorders>
            <w:shd w:val="clear" w:color="auto" w:fill="auto"/>
            <w:vAlign w:val="center"/>
            <w:hideMark/>
          </w:tcPr>
          <w:p w14:paraId="448023E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109,059</w:t>
            </w:r>
          </w:p>
        </w:tc>
        <w:tc>
          <w:tcPr>
            <w:tcW w:w="900" w:type="dxa"/>
            <w:tcBorders>
              <w:top w:val="nil"/>
              <w:left w:val="nil"/>
              <w:bottom w:val="single" w:sz="8" w:space="0" w:color="auto"/>
              <w:right w:val="nil"/>
            </w:tcBorders>
            <w:shd w:val="clear" w:color="auto" w:fill="auto"/>
            <w:vAlign w:val="center"/>
            <w:hideMark/>
          </w:tcPr>
          <w:p w14:paraId="02EE47B6"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88,715</w:t>
            </w:r>
          </w:p>
        </w:tc>
      </w:tr>
      <w:tr w:rsidR="00CB6E6F" w:rsidRPr="00744942" w14:paraId="29BD2E27" w14:textId="77777777" w:rsidTr="00A73E96">
        <w:trPr>
          <w:trHeight w:val="259"/>
          <w:jc w:val="center"/>
        </w:trPr>
        <w:tc>
          <w:tcPr>
            <w:tcW w:w="2060" w:type="dxa"/>
            <w:tcBorders>
              <w:top w:val="nil"/>
              <w:left w:val="nil"/>
              <w:bottom w:val="nil"/>
              <w:right w:val="nil"/>
            </w:tcBorders>
            <w:shd w:val="clear" w:color="auto" w:fill="auto"/>
            <w:vAlign w:val="center"/>
            <w:hideMark/>
          </w:tcPr>
          <w:p w14:paraId="19B23ACA" w14:textId="77777777" w:rsidR="00CB6E6F" w:rsidRPr="00744942" w:rsidRDefault="00CB6E6F" w:rsidP="00CB6E6F">
            <w:pPr>
              <w:rPr>
                <w:rFonts w:ascii="Arial" w:hAnsi="Arial" w:cs="Arial"/>
                <w:b/>
                <w:bCs/>
                <w:color w:val="000000"/>
                <w:sz w:val="18"/>
                <w:szCs w:val="18"/>
              </w:rPr>
            </w:pPr>
            <w:r w:rsidRPr="00744942">
              <w:rPr>
                <w:rFonts w:ascii="Arial" w:hAnsi="Arial" w:cs="Arial"/>
                <w:b/>
                <w:bCs/>
                <w:color w:val="000000"/>
                <w:sz w:val="18"/>
                <w:szCs w:val="18"/>
                <w:lang w:eastAsia="zh-CN"/>
              </w:rPr>
              <w:t>Liabilities and Equity</w:t>
            </w:r>
          </w:p>
        </w:tc>
        <w:tc>
          <w:tcPr>
            <w:tcW w:w="910" w:type="dxa"/>
            <w:tcBorders>
              <w:top w:val="nil"/>
              <w:left w:val="nil"/>
              <w:bottom w:val="nil"/>
              <w:right w:val="nil"/>
            </w:tcBorders>
            <w:shd w:val="clear" w:color="auto" w:fill="auto"/>
            <w:vAlign w:val="center"/>
            <w:hideMark/>
          </w:tcPr>
          <w:p w14:paraId="65861FE7" w14:textId="77777777" w:rsidR="00CB6E6F" w:rsidRPr="00744942" w:rsidRDefault="00CB6E6F" w:rsidP="00CB6E6F">
            <w:pPr>
              <w:rPr>
                <w:rFonts w:ascii="Arial" w:hAnsi="Arial" w:cs="Arial"/>
                <w:b/>
                <w:bCs/>
                <w:color w:val="000000"/>
                <w:sz w:val="18"/>
                <w:szCs w:val="18"/>
              </w:rPr>
            </w:pPr>
          </w:p>
        </w:tc>
        <w:tc>
          <w:tcPr>
            <w:tcW w:w="900" w:type="dxa"/>
            <w:tcBorders>
              <w:top w:val="nil"/>
              <w:left w:val="nil"/>
              <w:bottom w:val="nil"/>
              <w:right w:val="nil"/>
            </w:tcBorders>
            <w:shd w:val="clear" w:color="auto" w:fill="auto"/>
            <w:vAlign w:val="center"/>
            <w:hideMark/>
          </w:tcPr>
          <w:p w14:paraId="6582CB47" w14:textId="77777777" w:rsidR="00CB6E6F" w:rsidRPr="00744942" w:rsidRDefault="00CB6E6F" w:rsidP="00CB6E6F">
            <w:pPr>
              <w:jc w:val="right"/>
              <w:rPr>
                <w:rFonts w:ascii="Arial" w:hAnsi="Arial" w:cs="Arial"/>
              </w:rPr>
            </w:pPr>
          </w:p>
        </w:tc>
        <w:tc>
          <w:tcPr>
            <w:tcW w:w="900" w:type="dxa"/>
            <w:tcBorders>
              <w:top w:val="nil"/>
              <w:left w:val="nil"/>
              <w:bottom w:val="nil"/>
              <w:right w:val="nil"/>
            </w:tcBorders>
            <w:shd w:val="clear" w:color="auto" w:fill="auto"/>
            <w:vAlign w:val="center"/>
            <w:hideMark/>
          </w:tcPr>
          <w:p w14:paraId="65BD4998" w14:textId="77777777" w:rsidR="00CB6E6F" w:rsidRPr="00744942" w:rsidRDefault="00CB6E6F" w:rsidP="00CB6E6F">
            <w:pPr>
              <w:jc w:val="right"/>
              <w:rPr>
                <w:rFonts w:ascii="Arial" w:hAnsi="Arial" w:cs="Arial"/>
              </w:rPr>
            </w:pPr>
          </w:p>
        </w:tc>
      </w:tr>
      <w:tr w:rsidR="00CB6E6F" w:rsidRPr="00744942" w14:paraId="21C16ECA" w14:textId="77777777" w:rsidTr="00A73E96">
        <w:trPr>
          <w:trHeight w:val="259"/>
          <w:jc w:val="center"/>
        </w:trPr>
        <w:tc>
          <w:tcPr>
            <w:tcW w:w="2060" w:type="dxa"/>
            <w:tcBorders>
              <w:top w:val="nil"/>
              <w:left w:val="nil"/>
              <w:bottom w:val="nil"/>
              <w:right w:val="nil"/>
            </w:tcBorders>
            <w:shd w:val="clear" w:color="auto" w:fill="auto"/>
            <w:vAlign w:val="center"/>
            <w:hideMark/>
          </w:tcPr>
          <w:p w14:paraId="59A05127"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lang w:eastAsia="zh-CN"/>
              </w:rPr>
              <w:t>Total current liabilities</w:t>
            </w:r>
          </w:p>
        </w:tc>
        <w:tc>
          <w:tcPr>
            <w:tcW w:w="910" w:type="dxa"/>
            <w:tcBorders>
              <w:top w:val="nil"/>
              <w:left w:val="nil"/>
              <w:bottom w:val="nil"/>
              <w:right w:val="nil"/>
            </w:tcBorders>
            <w:shd w:val="clear" w:color="auto" w:fill="auto"/>
            <w:vAlign w:val="center"/>
            <w:hideMark/>
          </w:tcPr>
          <w:p w14:paraId="76562DD7"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13,354</w:t>
            </w:r>
          </w:p>
        </w:tc>
        <w:tc>
          <w:tcPr>
            <w:tcW w:w="900" w:type="dxa"/>
            <w:tcBorders>
              <w:top w:val="nil"/>
              <w:left w:val="nil"/>
              <w:bottom w:val="nil"/>
              <w:right w:val="nil"/>
            </w:tcBorders>
            <w:shd w:val="clear" w:color="auto" w:fill="auto"/>
            <w:vAlign w:val="center"/>
            <w:hideMark/>
          </w:tcPr>
          <w:p w14:paraId="632987CA"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11,085</w:t>
            </w:r>
          </w:p>
        </w:tc>
        <w:tc>
          <w:tcPr>
            <w:tcW w:w="900" w:type="dxa"/>
            <w:tcBorders>
              <w:top w:val="nil"/>
              <w:left w:val="nil"/>
              <w:bottom w:val="nil"/>
              <w:right w:val="nil"/>
            </w:tcBorders>
            <w:shd w:val="clear" w:color="auto" w:fill="auto"/>
            <w:vAlign w:val="center"/>
            <w:hideMark/>
          </w:tcPr>
          <w:p w14:paraId="4B4B45CC"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3,227</w:t>
            </w:r>
          </w:p>
        </w:tc>
      </w:tr>
      <w:tr w:rsidR="00CB6E6F" w:rsidRPr="00744942" w14:paraId="61E9B0A7" w14:textId="77777777" w:rsidTr="00A73E96">
        <w:trPr>
          <w:trHeight w:val="259"/>
          <w:jc w:val="center"/>
        </w:trPr>
        <w:tc>
          <w:tcPr>
            <w:tcW w:w="2060" w:type="dxa"/>
            <w:tcBorders>
              <w:top w:val="nil"/>
              <w:left w:val="nil"/>
              <w:bottom w:val="nil"/>
              <w:right w:val="nil"/>
            </w:tcBorders>
            <w:shd w:val="clear" w:color="auto" w:fill="auto"/>
            <w:vAlign w:val="center"/>
            <w:hideMark/>
          </w:tcPr>
          <w:p w14:paraId="14C40065"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lang w:eastAsia="zh-CN"/>
              </w:rPr>
              <w:t>Total long-term debt</w:t>
            </w:r>
          </w:p>
        </w:tc>
        <w:tc>
          <w:tcPr>
            <w:tcW w:w="910" w:type="dxa"/>
            <w:tcBorders>
              <w:top w:val="nil"/>
              <w:left w:val="nil"/>
              <w:bottom w:val="nil"/>
              <w:right w:val="nil"/>
            </w:tcBorders>
            <w:shd w:val="clear" w:color="auto" w:fill="auto"/>
            <w:vAlign w:val="center"/>
            <w:hideMark/>
          </w:tcPr>
          <w:p w14:paraId="3E4FE155"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43,403</w:t>
            </w:r>
          </w:p>
        </w:tc>
        <w:tc>
          <w:tcPr>
            <w:tcW w:w="900" w:type="dxa"/>
            <w:tcBorders>
              <w:top w:val="nil"/>
              <w:left w:val="nil"/>
              <w:bottom w:val="nil"/>
              <w:right w:val="nil"/>
            </w:tcBorders>
            <w:shd w:val="clear" w:color="auto" w:fill="auto"/>
            <w:vAlign w:val="center"/>
            <w:hideMark/>
          </w:tcPr>
          <w:p w14:paraId="19844E07"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29,228</w:t>
            </w:r>
          </w:p>
        </w:tc>
        <w:tc>
          <w:tcPr>
            <w:tcW w:w="900" w:type="dxa"/>
            <w:tcBorders>
              <w:top w:val="nil"/>
              <w:left w:val="nil"/>
              <w:bottom w:val="nil"/>
              <w:right w:val="nil"/>
            </w:tcBorders>
            <w:shd w:val="clear" w:color="auto" w:fill="auto"/>
            <w:vAlign w:val="center"/>
            <w:hideMark/>
          </w:tcPr>
          <w:p w14:paraId="03B2155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22,340</w:t>
            </w:r>
          </w:p>
        </w:tc>
      </w:tr>
      <w:tr w:rsidR="00CB6E6F" w:rsidRPr="00744942" w14:paraId="52F97D58" w14:textId="77777777" w:rsidTr="00A73E96">
        <w:trPr>
          <w:trHeight w:val="259"/>
          <w:jc w:val="center"/>
        </w:trPr>
        <w:tc>
          <w:tcPr>
            <w:tcW w:w="2060" w:type="dxa"/>
            <w:tcBorders>
              <w:top w:val="nil"/>
              <w:left w:val="nil"/>
              <w:bottom w:val="nil"/>
              <w:right w:val="nil"/>
            </w:tcBorders>
            <w:shd w:val="clear" w:color="auto" w:fill="auto"/>
            <w:vAlign w:val="center"/>
            <w:hideMark/>
          </w:tcPr>
          <w:p w14:paraId="5D2ACEC8"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lang w:eastAsia="zh-CN"/>
              </w:rPr>
              <w:t>Total liabilities</w:t>
            </w:r>
          </w:p>
        </w:tc>
        <w:tc>
          <w:tcPr>
            <w:tcW w:w="910" w:type="dxa"/>
            <w:tcBorders>
              <w:top w:val="nil"/>
              <w:left w:val="nil"/>
              <w:bottom w:val="nil"/>
              <w:right w:val="nil"/>
            </w:tcBorders>
            <w:shd w:val="clear" w:color="auto" w:fill="auto"/>
            <w:vAlign w:val="center"/>
            <w:hideMark/>
          </w:tcPr>
          <w:p w14:paraId="4E4BBFDF"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56,757</w:t>
            </w:r>
          </w:p>
        </w:tc>
        <w:tc>
          <w:tcPr>
            <w:tcW w:w="900" w:type="dxa"/>
            <w:tcBorders>
              <w:top w:val="nil"/>
              <w:left w:val="nil"/>
              <w:bottom w:val="nil"/>
              <w:right w:val="nil"/>
            </w:tcBorders>
            <w:shd w:val="clear" w:color="auto" w:fill="auto"/>
            <w:vAlign w:val="center"/>
            <w:hideMark/>
          </w:tcPr>
          <w:p w14:paraId="4B0CB975"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40,313</w:t>
            </w:r>
          </w:p>
        </w:tc>
        <w:tc>
          <w:tcPr>
            <w:tcW w:w="900" w:type="dxa"/>
            <w:tcBorders>
              <w:top w:val="nil"/>
              <w:left w:val="nil"/>
              <w:bottom w:val="nil"/>
              <w:right w:val="nil"/>
            </w:tcBorders>
            <w:shd w:val="clear" w:color="auto" w:fill="auto"/>
            <w:vAlign w:val="center"/>
            <w:hideMark/>
          </w:tcPr>
          <w:p w14:paraId="4233A97A"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25,567</w:t>
            </w:r>
          </w:p>
        </w:tc>
      </w:tr>
      <w:tr w:rsidR="00CB6E6F" w:rsidRPr="00744942" w14:paraId="282CD517" w14:textId="77777777" w:rsidTr="00A73E96">
        <w:trPr>
          <w:trHeight w:val="259"/>
          <w:jc w:val="center"/>
        </w:trPr>
        <w:tc>
          <w:tcPr>
            <w:tcW w:w="2060" w:type="dxa"/>
            <w:tcBorders>
              <w:top w:val="nil"/>
              <w:left w:val="nil"/>
              <w:bottom w:val="single" w:sz="8" w:space="0" w:color="auto"/>
              <w:right w:val="nil"/>
            </w:tcBorders>
            <w:shd w:val="clear" w:color="auto" w:fill="auto"/>
            <w:vAlign w:val="center"/>
            <w:hideMark/>
          </w:tcPr>
          <w:p w14:paraId="484A7282" w14:textId="77777777" w:rsidR="00CB6E6F" w:rsidRPr="00744942" w:rsidRDefault="00CB6E6F" w:rsidP="00CB6E6F">
            <w:pPr>
              <w:rPr>
                <w:rFonts w:ascii="Arial" w:hAnsi="Arial" w:cs="Arial"/>
                <w:color w:val="000000"/>
                <w:sz w:val="18"/>
                <w:szCs w:val="18"/>
              </w:rPr>
            </w:pPr>
            <w:r w:rsidRPr="00744942">
              <w:rPr>
                <w:rFonts w:ascii="Arial" w:hAnsi="Arial" w:cs="Arial"/>
                <w:color w:val="000000"/>
                <w:sz w:val="18"/>
                <w:szCs w:val="18"/>
                <w:lang w:eastAsia="zh-CN"/>
              </w:rPr>
              <w:t>Total equity</w:t>
            </w:r>
          </w:p>
        </w:tc>
        <w:tc>
          <w:tcPr>
            <w:tcW w:w="910" w:type="dxa"/>
            <w:tcBorders>
              <w:top w:val="nil"/>
              <w:left w:val="nil"/>
              <w:bottom w:val="single" w:sz="8" w:space="0" w:color="auto"/>
              <w:right w:val="nil"/>
            </w:tcBorders>
            <w:shd w:val="clear" w:color="auto" w:fill="auto"/>
            <w:vAlign w:val="center"/>
            <w:hideMark/>
          </w:tcPr>
          <w:p w14:paraId="6B17C163"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83,834</w:t>
            </w:r>
          </w:p>
        </w:tc>
        <w:tc>
          <w:tcPr>
            <w:tcW w:w="900" w:type="dxa"/>
            <w:tcBorders>
              <w:top w:val="nil"/>
              <w:left w:val="nil"/>
              <w:bottom w:val="single" w:sz="8" w:space="0" w:color="auto"/>
              <w:right w:val="nil"/>
            </w:tcBorders>
            <w:shd w:val="clear" w:color="auto" w:fill="auto"/>
            <w:vAlign w:val="center"/>
            <w:hideMark/>
          </w:tcPr>
          <w:p w14:paraId="0962DCD8"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68,746</w:t>
            </w:r>
          </w:p>
        </w:tc>
        <w:tc>
          <w:tcPr>
            <w:tcW w:w="900" w:type="dxa"/>
            <w:tcBorders>
              <w:top w:val="nil"/>
              <w:left w:val="nil"/>
              <w:bottom w:val="single" w:sz="8" w:space="0" w:color="auto"/>
              <w:right w:val="nil"/>
            </w:tcBorders>
            <w:shd w:val="clear" w:color="auto" w:fill="auto"/>
            <w:vAlign w:val="center"/>
            <w:hideMark/>
          </w:tcPr>
          <w:p w14:paraId="30BEF0E9" w14:textId="77777777" w:rsidR="00CB6E6F" w:rsidRPr="00744942" w:rsidRDefault="00CB6E6F" w:rsidP="00CB6E6F">
            <w:pPr>
              <w:jc w:val="right"/>
              <w:rPr>
                <w:rFonts w:ascii="Arial" w:hAnsi="Arial" w:cs="Arial"/>
                <w:color w:val="000000"/>
                <w:sz w:val="18"/>
                <w:szCs w:val="18"/>
              </w:rPr>
            </w:pPr>
            <w:r w:rsidRPr="00744942">
              <w:rPr>
                <w:rFonts w:ascii="Arial" w:hAnsi="Arial" w:cs="Arial"/>
                <w:color w:val="000000"/>
                <w:sz w:val="18"/>
                <w:szCs w:val="18"/>
                <w:lang w:eastAsia="zh-CN"/>
              </w:rPr>
              <w:t>63,148</w:t>
            </w:r>
          </w:p>
        </w:tc>
      </w:tr>
    </w:tbl>
    <w:p w14:paraId="5AF7A0E8" w14:textId="77777777" w:rsidR="00CB6E6F" w:rsidRPr="00322C4F" w:rsidRDefault="00CB6E6F" w:rsidP="0021472C">
      <w:pPr>
        <w:pStyle w:val="ExhibitText"/>
        <w:rPr>
          <w:rFonts w:ascii="Times New Roman" w:hAnsi="Times New Roman" w:cs="Times New Roman"/>
          <w:highlight w:val="yellow"/>
        </w:rPr>
      </w:pPr>
    </w:p>
    <w:p w14:paraId="68E4BE0B" w14:textId="4B0FEE60" w:rsidR="00CB6E6F" w:rsidRPr="00744942" w:rsidRDefault="00AD7018" w:rsidP="00744942">
      <w:pPr>
        <w:pStyle w:val="Footnote"/>
      </w:pPr>
      <w:r w:rsidRPr="00744942">
        <w:t>Note: Financial i</w:t>
      </w:r>
      <w:r w:rsidR="00CB6E6F" w:rsidRPr="00744942">
        <w:t>nformation</w:t>
      </w:r>
      <w:r w:rsidRPr="00744942">
        <w:t xml:space="preserve"> </w:t>
      </w:r>
      <w:r w:rsidR="00CB6E6F" w:rsidRPr="00744942">
        <w:t>altered for confidentiality</w:t>
      </w:r>
      <w:r w:rsidR="00004B97" w:rsidRPr="00744942">
        <w:t>.</w:t>
      </w:r>
    </w:p>
    <w:p w14:paraId="101DB439" w14:textId="4554CF52" w:rsidR="00436C77" w:rsidRPr="00744942" w:rsidRDefault="00AD7018" w:rsidP="00744942">
      <w:pPr>
        <w:pStyle w:val="Footnote"/>
      </w:pPr>
      <w:r w:rsidRPr="00744942">
        <w:t xml:space="preserve">Source: </w:t>
      </w:r>
      <w:r w:rsidR="00CB6E6F" w:rsidRPr="00744942">
        <w:t xml:space="preserve">Created by the </w:t>
      </w:r>
      <w:r w:rsidR="00004B97" w:rsidRPr="00744942">
        <w:t xml:space="preserve">case </w:t>
      </w:r>
      <w:r w:rsidR="00CB6E6F" w:rsidRPr="00744942">
        <w:t xml:space="preserve">authors </w:t>
      </w:r>
      <w:r w:rsidRPr="00744942">
        <w:t>with</w:t>
      </w:r>
      <w:r w:rsidR="00CB6E6F" w:rsidRPr="00744942">
        <w:t xml:space="preserve"> information </w:t>
      </w:r>
      <w:r w:rsidRPr="00744942">
        <w:t>from company files</w:t>
      </w:r>
      <w:r w:rsidR="00CB6E6F" w:rsidRPr="00744942">
        <w:t>.</w:t>
      </w:r>
      <w:r w:rsidR="00436C77" w:rsidRPr="00744942">
        <w:br w:type="page"/>
      </w:r>
    </w:p>
    <w:p w14:paraId="3BCAA28A" w14:textId="6DB5D049" w:rsidR="00ED66BD" w:rsidRPr="005E5EEC" w:rsidRDefault="00436C77" w:rsidP="005E5EEC">
      <w:pPr>
        <w:pStyle w:val="Casehead1"/>
      </w:pPr>
      <w:r w:rsidRPr="005E5EEC">
        <w:lastRenderedPageBreak/>
        <w:t>endnote</w:t>
      </w:r>
      <w:r w:rsidR="008D33F1" w:rsidRPr="005E5EEC">
        <w:t>s</w:t>
      </w:r>
    </w:p>
    <w:sectPr w:rsidR="00ED66BD" w:rsidRPr="005E5EEC"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F88" w16cex:dateUtc="2021-02-23T20:36:00Z"/>
  <w16cex:commentExtensible w16cex:durableId="23DF9FA0" w16cex:dateUtc="2021-02-23T20:37:00Z"/>
  <w16cex:commentExtensible w16cex:durableId="23DF9FB4" w16cex:dateUtc="2021-02-23T20:37:00Z"/>
  <w16cex:commentExtensible w16cex:durableId="2408F37C" w16cex:dateUtc="2021-03-27T05:57:00Z"/>
  <w16cex:commentExtensible w16cex:durableId="2408F3A9" w16cex:dateUtc="2021-03-27T05:58:00Z"/>
  <w16cex:commentExtensible w16cex:durableId="23DF9FE9" w16cex:dateUtc="2021-02-23T20:38:00Z"/>
  <w16cex:commentExtensible w16cex:durableId="23DF9FF1" w16cex:dateUtc="2021-02-23T20:38:00Z"/>
  <w16cex:commentExtensible w16cex:durableId="23DF9EB0" w16cex:dateUtc="2021-02-23T20:33:00Z"/>
  <w16cex:commentExtensible w16cex:durableId="23DFA7A0" w16cex:dateUtc="2021-02-23T21: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16BBC" w14:textId="77777777" w:rsidR="004702DE" w:rsidRDefault="004702DE" w:rsidP="00D75295">
      <w:r>
        <w:separator/>
      </w:r>
    </w:p>
  </w:endnote>
  <w:endnote w:type="continuationSeparator" w:id="0">
    <w:p w14:paraId="16BC5D53" w14:textId="77777777" w:rsidR="004702DE" w:rsidRDefault="004702DE" w:rsidP="00D75295">
      <w:r>
        <w:continuationSeparator/>
      </w:r>
    </w:p>
  </w:endnote>
  <w:endnote w:id="1">
    <w:p w14:paraId="0BFD3E8E" w14:textId="2DF8D81B" w:rsidR="005E5EEC" w:rsidRPr="005E5EEC" w:rsidRDefault="005E5EEC" w:rsidP="007D65DE">
      <w:pPr>
        <w:pStyle w:val="Footnote"/>
        <w:jc w:val="both"/>
        <w:rPr>
          <w:lang w:val="en-CA"/>
        </w:rPr>
      </w:pPr>
      <w:r w:rsidRPr="008C6C21">
        <w:rPr>
          <w:rStyle w:val="EndnoteReference"/>
        </w:rPr>
        <w:endnoteRef/>
      </w:r>
      <w:r w:rsidRPr="008C6C21">
        <w:t xml:space="preserve"> </w:t>
      </w:r>
      <w:r w:rsidRPr="005E5EEC">
        <w:rPr>
          <w:lang w:val="en-CA"/>
        </w:rPr>
        <w:t xml:space="preserve">Patrick Henry, “Why Some Startups Succeed (and Why Most Fail),” </w:t>
      </w:r>
      <w:r w:rsidRPr="005E5EEC">
        <w:rPr>
          <w:i/>
          <w:lang w:val="en-CA"/>
        </w:rPr>
        <w:t>Entrepreneur</w:t>
      </w:r>
      <w:r w:rsidRPr="005E5EEC">
        <w:rPr>
          <w:lang w:val="en-CA"/>
        </w:rPr>
        <w:t>, February 18, 2017, www.entrepreneur.com/article/288769.</w:t>
      </w:r>
    </w:p>
  </w:endnote>
  <w:endnote w:id="2">
    <w:p w14:paraId="3B908BC0" w14:textId="3E875DF3" w:rsidR="005E5EEC" w:rsidRPr="005E5EEC" w:rsidRDefault="005E5EEC" w:rsidP="007D65DE">
      <w:pPr>
        <w:pStyle w:val="Footnote"/>
        <w:jc w:val="both"/>
        <w:rPr>
          <w:lang w:val="en-CA"/>
        </w:rPr>
      </w:pPr>
      <w:r w:rsidRPr="005E5EEC">
        <w:rPr>
          <w:rStyle w:val="EndnoteReference"/>
        </w:rPr>
        <w:endnoteRef/>
      </w:r>
      <w:r w:rsidRPr="005E5EEC">
        <w:t xml:space="preserve"> </w:t>
      </w:r>
      <w:r w:rsidRPr="005E5EEC">
        <w:rPr>
          <w:lang w:val="en-CA"/>
        </w:rPr>
        <w:t>Nina Livelo, “Aging in Place—The Trend among Baby Boomers,” Top 5 Medical Alert Systems, July 25, 2019, https://top5-medicalalertsystems.com/articles/aging-in-place-the-trend-among-baby-boomers.</w:t>
      </w:r>
    </w:p>
  </w:endnote>
  <w:endnote w:id="3">
    <w:p w14:paraId="334E129A" w14:textId="6A2BFA75" w:rsidR="005E5EEC" w:rsidRPr="005E5EEC" w:rsidRDefault="005E5EEC" w:rsidP="007D65DE">
      <w:pPr>
        <w:pStyle w:val="Footnote"/>
        <w:jc w:val="both"/>
        <w:rPr>
          <w:lang w:val="en-CA"/>
        </w:rPr>
      </w:pPr>
      <w:r w:rsidRPr="005E5EEC">
        <w:rPr>
          <w:rStyle w:val="EndnoteReference"/>
        </w:rPr>
        <w:endnoteRef/>
      </w:r>
      <w:r w:rsidRPr="005E5EEC">
        <w:t xml:space="preserve"> </w:t>
      </w:r>
      <w:r w:rsidRPr="005E5EEC">
        <w:rPr>
          <w:lang w:val="en-CA"/>
        </w:rPr>
        <w:t xml:space="preserve">Joanne Paulson, “Affinity Makes the Move to New Broadway Branch,” </w:t>
      </w:r>
      <w:r w:rsidRPr="005E5EEC">
        <w:rPr>
          <w:i/>
          <w:lang w:val="en-CA"/>
        </w:rPr>
        <w:t>Saskatoon Star Phoenix</w:t>
      </w:r>
      <w:r w:rsidRPr="005E5EEC">
        <w:rPr>
          <w:lang w:val="en-CA"/>
        </w:rPr>
        <w:t>, July 22, 2009, www.pressreader.com/canada/saskatoon-starphoenix/20090722/281951718817720.</w:t>
      </w:r>
    </w:p>
  </w:endnote>
  <w:endnote w:id="4">
    <w:p w14:paraId="552C6D38" w14:textId="54FF00A7" w:rsidR="005E5EEC" w:rsidRPr="005E5EEC" w:rsidRDefault="005E5EEC" w:rsidP="007D65DE">
      <w:pPr>
        <w:pStyle w:val="Footnote"/>
        <w:jc w:val="both"/>
        <w:rPr>
          <w:lang w:val="en-CA"/>
        </w:rPr>
      </w:pPr>
      <w:r w:rsidRPr="005E5EEC">
        <w:rPr>
          <w:rStyle w:val="EndnoteReference"/>
        </w:rPr>
        <w:endnoteRef/>
      </w:r>
      <w:r w:rsidRPr="005E5EEC">
        <w:rPr>
          <w:color w:val="000000" w:themeColor="text1"/>
        </w:rPr>
        <w:t xml:space="preserve"> Jenny Basran, “Kasiel Solutions: A Fully Mobile Medical Alert Device that Looks Like Jewelry Called ‘Ora,”’ Saskatchewan Chamber of Commerce, October 19, 2016, www.healthops.ca/event/details/test_event4.html. </w:t>
      </w:r>
    </w:p>
  </w:endnote>
  <w:endnote w:id="5">
    <w:p w14:paraId="2466DDEE" w14:textId="1ECC32FC" w:rsidR="005E5EEC" w:rsidRPr="005E5EEC" w:rsidRDefault="005E5EEC" w:rsidP="007D65DE">
      <w:pPr>
        <w:pStyle w:val="Footnote"/>
        <w:jc w:val="both"/>
        <w:rPr>
          <w:lang w:val="en-CA"/>
        </w:rPr>
      </w:pPr>
      <w:r w:rsidRPr="005E5EEC">
        <w:rPr>
          <w:rStyle w:val="EndnoteReference"/>
        </w:rPr>
        <w:endnoteRef/>
      </w:r>
      <w:r w:rsidRPr="005E5EEC">
        <w:t xml:space="preserve"> Sandi Hirst, </w:t>
      </w:r>
      <w:r w:rsidRPr="005E5EEC">
        <w:rPr>
          <w:i/>
          <w:iCs/>
        </w:rPr>
        <w:t>Personal Emergency Response Systems: Disaster Management</w:t>
      </w:r>
      <w:r w:rsidRPr="005E5EEC">
        <w:t xml:space="preserve"> (Public Health Agency of Canada, 2010), https://ccsmh.ca/wp-content/uploads/2016/03/Personal-Emergency-Response-Systems.pdf; </w:t>
      </w:r>
      <w:r w:rsidRPr="005E5EEC">
        <w:rPr>
          <w:lang w:val="en-CA"/>
        </w:rPr>
        <w:t>Doug Lett, “Saskatoon Company Launches ORA, a Personal Safety Alert Device,” Global News, October 5, 2016, https://globalnews.ca/news/2985007/saskatoon-company-launches-ora-a-personal-safety-alert-device.</w:t>
      </w:r>
    </w:p>
  </w:endnote>
  <w:endnote w:id="6">
    <w:p w14:paraId="13436DF0" w14:textId="24FAB9A3" w:rsidR="005E5EEC" w:rsidRPr="005E5EEC" w:rsidRDefault="005E5EEC" w:rsidP="007D65DE">
      <w:pPr>
        <w:pStyle w:val="Footnote"/>
        <w:jc w:val="both"/>
        <w:rPr>
          <w:lang w:val="en-CA"/>
        </w:rPr>
      </w:pPr>
      <w:r w:rsidRPr="005E5EEC">
        <w:rPr>
          <w:rStyle w:val="EndnoteReference"/>
        </w:rPr>
        <w:endnoteRef/>
      </w:r>
      <w:r w:rsidRPr="005E5EEC">
        <w:t xml:space="preserve"> </w:t>
      </w:r>
      <w:r w:rsidRPr="005E5EEC">
        <w:rPr>
          <w:color w:val="000000" w:themeColor="text1"/>
        </w:rPr>
        <w:t>Basran, “Kasiel Solutions.”</w:t>
      </w:r>
    </w:p>
  </w:endnote>
  <w:endnote w:id="7">
    <w:p w14:paraId="1CDD59C5" w14:textId="41B059A9" w:rsidR="005E5EEC" w:rsidRPr="005E5EEC" w:rsidRDefault="005E5EEC" w:rsidP="007D65DE">
      <w:pPr>
        <w:pStyle w:val="Footnote"/>
        <w:jc w:val="both"/>
      </w:pPr>
      <w:r w:rsidRPr="005E5EEC">
        <w:rPr>
          <w:rStyle w:val="EndnoteReference"/>
        </w:rPr>
        <w:endnoteRef/>
      </w:r>
      <w:r w:rsidRPr="005E5EEC">
        <w:t xml:space="preserve"> Bart-Jan van Putten, “Recommendations for the Development of Mobile Personal Emergency Response Systems,” SeniorWise, January 10, 2016, www.seniorwise.eu/en/mobile-personal-emergency-response.</w:t>
      </w:r>
    </w:p>
  </w:endnote>
  <w:endnote w:id="8">
    <w:p w14:paraId="72C99C47" w14:textId="512E6E0D" w:rsidR="005E5EEC" w:rsidRPr="005E5EEC" w:rsidRDefault="005E5EEC" w:rsidP="007D65DE">
      <w:pPr>
        <w:pStyle w:val="Footnote"/>
        <w:jc w:val="both"/>
        <w:rPr>
          <w:lang w:val="en-CA"/>
        </w:rPr>
      </w:pPr>
      <w:r w:rsidRPr="005E5EEC">
        <w:rPr>
          <w:rStyle w:val="EndnoteReference"/>
        </w:rPr>
        <w:endnoteRef/>
      </w:r>
      <w:r w:rsidRPr="005E5EEC">
        <w:t xml:space="preserve"> “Canada’s Leader in Personal Safety,” Innovation Saskatchewan, November 27, 2017, https://innovationsask.ca/success-stories/ora.</w:t>
      </w:r>
    </w:p>
  </w:endnote>
  <w:endnote w:id="9">
    <w:p w14:paraId="3B7D3519" w14:textId="39B111C2" w:rsidR="005E5EEC" w:rsidRPr="005E5EEC" w:rsidRDefault="005E5EEC" w:rsidP="007D65DE">
      <w:pPr>
        <w:pStyle w:val="Footnote"/>
        <w:jc w:val="both"/>
        <w:rPr>
          <w:lang w:val="en-CA"/>
        </w:rPr>
      </w:pPr>
      <w:r w:rsidRPr="005E5EEC">
        <w:rPr>
          <w:rStyle w:val="EndnoteReference"/>
        </w:rPr>
        <w:endnoteRef/>
      </w:r>
      <w:r w:rsidRPr="005E5EEC">
        <w:t xml:space="preserve"> Alex MacPherson, “‘Everything Went into Action: Senior Citizen Credits New Medical Alert Device with Saving Her Life,” </w:t>
      </w:r>
      <w:r w:rsidRPr="005E5EEC">
        <w:rPr>
          <w:i/>
          <w:iCs/>
        </w:rPr>
        <w:t>Saskatoon</w:t>
      </w:r>
      <w:r w:rsidRPr="005E5EEC">
        <w:t xml:space="preserve"> </w:t>
      </w:r>
      <w:r w:rsidRPr="005E5EEC">
        <w:rPr>
          <w:i/>
        </w:rPr>
        <w:t>Star Phoenix</w:t>
      </w:r>
      <w:r w:rsidRPr="005E5EEC">
        <w:t>, October 5, 2016, https://thestarphoenix.com/business/local-business/everything-went-into-action-senior-citizen-credits-new-medical-alert-device-with-saving-her-life.</w:t>
      </w:r>
    </w:p>
  </w:endnote>
  <w:endnote w:id="10">
    <w:p w14:paraId="4D6AC9BC" w14:textId="67EBFEB7" w:rsidR="005E5EEC" w:rsidRPr="005E5EEC" w:rsidRDefault="005E5EEC" w:rsidP="007D65DE">
      <w:pPr>
        <w:pStyle w:val="Footnote"/>
        <w:jc w:val="both"/>
        <w:rPr>
          <w:lang w:val="en-CA"/>
        </w:rPr>
      </w:pPr>
      <w:r w:rsidRPr="005E5EEC">
        <w:rPr>
          <w:rStyle w:val="EndnoteReference"/>
        </w:rPr>
        <w:endnoteRef/>
      </w:r>
      <w:r w:rsidRPr="005E5EEC">
        <w:t xml:space="preserve"> Kasiel Solutions, “International Launch of ORA Innovative Personal Alter at CES,” press release, Intrado Global Newswire, January 6, 2017, www.globenewswire.com/news-release/2017/01/06/1113351/0/en/International-Launch-of-ORA-Innovative-Personal-Alert-at-CES.html.</w:t>
      </w:r>
    </w:p>
  </w:endnote>
  <w:endnote w:id="11">
    <w:p w14:paraId="14CA2058" w14:textId="6B73130F" w:rsidR="005E5EEC" w:rsidRPr="005E5EEC" w:rsidRDefault="005E5EEC" w:rsidP="007D65DE">
      <w:pPr>
        <w:pStyle w:val="Footnote"/>
        <w:jc w:val="both"/>
        <w:rPr>
          <w:lang w:val="en-CA"/>
        </w:rPr>
      </w:pPr>
      <w:r w:rsidRPr="005E5EEC">
        <w:rPr>
          <w:rStyle w:val="EndnoteReference"/>
        </w:rPr>
        <w:endnoteRef/>
      </w:r>
      <w:r w:rsidRPr="005E5EEC">
        <w:t xml:space="preserve"> </w:t>
      </w:r>
      <w:r w:rsidRPr="005E5EEC">
        <w:rPr>
          <w:lang w:val="en-CA"/>
        </w:rPr>
        <w:t>Hirst</w:t>
      </w:r>
      <w:r w:rsidRPr="005E5EEC">
        <w:rPr>
          <w:color w:val="000000" w:themeColor="text1"/>
        </w:rPr>
        <w:t xml:space="preserve">, </w:t>
      </w:r>
      <w:r w:rsidRPr="005E5EEC">
        <w:rPr>
          <w:i/>
          <w:iCs/>
          <w:lang w:val="en-CA"/>
        </w:rPr>
        <w:t>Personal Emergency Response Systems</w:t>
      </w:r>
      <w:r w:rsidRPr="005E5EEC">
        <w:rPr>
          <w:lang w:val="en-CA"/>
        </w:rPr>
        <w:t>.</w:t>
      </w:r>
    </w:p>
  </w:endnote>
  <w:endnote w:id="12">
    <w:p w14:paraId="2491BCE3" w14:textId="38AF289A" w:rsidR="005E5EEC" w:rsidRPr="005E5EEC" w:rsidRDefault="005E5EEC" w:rsidP="007D65DE">
      <w:pPr>
        <w:pStyle w:val="Footnote"/>
        <w:jc w:val="both"/>
        <w:rPr>
          <w:lang w:val="en-CA"/>
        </w:rPr>
      </w:pPr>
      <w:r w:rsidRPr="005E5EEC">
        <w:rPr>
          <w:rStyle w:val="EndnoteReference"/>
        </w:rPr>
        <w:endnoteRef/>
      </w:r>
      <w:r w:rsidRPr="005E5EEC">
        <w:t xml:space="preserve"> </w:t>
      </w:r>
      <w:r w:rsidRPr="005E5EEC">
        <w:rPr>
          <w:lang w:val="en-CA"/>
        </w:rPr>
        <w:t>All dollar amounts are in US$ unless otherwise specified.</w:t>
      </w:r>
    </w:p>
  </w:endnote>
  <w:endnote w:id="13">
    <w:p w14:paraId="29478ACA" w14:textId="32B579FB" w:rsidR="005E5EEC" w:rsidRPr="005E5EEC" w:rsidRDefault="005E5EEC" w:rsidP="007D65DE">
      <w:pPr>
        <w:pStyle w:val="Footnote"/>
        <w:jc w:val="both"/>
      </w:pPr>
      <w:r w:rsidRPr="005E5EEC">
        <w:rPr>
          <w:rStyle w:val="EndnoteReference"/>
        </w:rPr>
        <w:endnoteRef/>
      </w:r>
      <w:r w:rsidRPr="005E5EEC">
        <w:t xml:space="preserve"> “</w:t>
      </w:r>
      <w:r w:rsidRPr="005E5EEC">
        <w:rPr>
          <w:iCs/>
        </w:rPr>
        <w:t>Medical Alert Systems Market Analysis by Type (Landline, Mobile, Standalone), by End-Use (Home-Based Users, Nursing Homes, Assisted Living Facilities, Hospices), and Segment Forecasts, 2018–2025,</w:t>
      </w:r>
      <w:r w:rsidRPr="005E5EEC">
        <w:t>” Grand View Research, October 2017, www.grandviewresearch.com/industry-analysis/medical-alert-personal-emergency-response-system-pers-market.</w:t>
      </w:r>
    </w:p>
  </w:endnote>
  <w:endnote w:id="14">
    <w:p w14:paraId="38A4316A" w14:textId="5C8231CD" w:rsidR="005E5EEC" w:rsidRPr="005E5EEC" w:rsidRDefault="005E5EEC" w:rsidP="007D65DE">
      <w:pPr>
        <w:pStyle w:val="Footnote"/>
        <w:jc w:val="both"/>
        <w:rPr>
          <w:spacing w:val="-2"/>
        </w:rPr>
      </w:pPr>
      <w:r w:rsidRPr="005E5EEC">
        <w:rPr>
          <w:rStyle w:val="EndnoteReference"/>
          <w:spacing w:val="-2"/>
        </w:rPr>
        <w:endnoteRef/>
      </w:r>
      <w:r w:rsidRPr="005E5EEC">
        <w:rPr>
          <w:spacing w:val="-2"/>
        </w:rPr>
        <w:t xml:space="preserve"> Kim Boudiny, “‘Active Ageing:’ From Empty Rhetoric to Effective Policy Tool,” </w:t>
      </w:r>
      <w:r w:rsidRPr="005E5EEC">
        <w:rPr>
          <w:i/>
          <w:spacing w:val="-2"/>
        </w:rPr>
        <w:t>Ageing and Society</w:t>
      </w:r>
      <w:r w:rsidRPr="005E5EEC">
        <w:rPr>
          <w:spacing w:val="-2"/>
        </w:rPr>
        <w:t xml:space="preserve"> 33. no. 6 (2016): 1077–1098.</w:t>
      </w:r>
    </w:p>
  </w:endnote>
  <w:endnote w:id="15">
    <w:p w14:paraId="757090B2" w14:textId="09BD68E8" w:rsidR="005E5EEC" w:rsidRPr="000907A6" w:rsidRDefault="005E5EEC" w:rsidP="007D65DE">
      <w:pPr>
        <w:pStyle w:val="Footnote"/>
        <w:jc w:val="both"/>
        <w:rPr>
          <w:spacing w:val="-8"/>
        </w:rPr>
      </w:pPr>
      <w:r w:rsidRPr="000907A6">
        <w:rPr>
          <w:rStyle w:val="EndnoteReference"/>
          <w:spacing w:val="-8"/>
        </w:rPr>
        <w:endnoteRef/>
      </w:r>
      <w:r w:rsidRPr="000907A6">
        <w:rPr>
          <w:spacing w:val="-8"/>
        </w:rPr>
        <w:t xml:space="preserve"> Sara Bersche Golas, Niles Fischer, Stephen Agboola, Kamal Jethwani, Mariana Simons-Nikolova, Jorn op den Buijs, and Linda Schertzer, </w:t>
      </w:r>
      <w:r w:rsidRPr="000907A6">
        <w:rPr>
          <w:i/>
          <w:iCs/>
          <w:spacing w:val="-8"/>
        </w:rPr>
        <w:t>Reasons Patients Are Using Personal Emergency Response Services . . . and It’s Not Just Falls</w:t>
      </w:r>
      <w:r w:rsidRPr="000907A6">
        <w:rPr>
          <w:spacing w:val="-8"/>
        </w:rPr>
        <w:t>, white paper by Partners Connected Health and Philips Lifeline, August 2017, http://incenter.medical.philips.com/doclib/enc/16015470/PL_WP_PERS_0217_Sprds__7-7-17.pdf%3ffunc%3ddoc.Fetch %26nodeid%3d16015470.</w:t>
      </w:r>
    </w:p>
  </w:endnote>
  <w:endnote w:id="16">
    <w:p w14:paraId="7A6BEEED" w14:textId="43AAC197" w:rsidR="005E5EEC" w:rsidRPr="005E5EEC" w:rsidRDefault="005E5EEC" w:rsidP="007D65DE">
      <w:pPr>
        <w:pStyle w:val="Footnote"/>
        <w:jc w:val="both"/>
        <w:rPr>
          <w:lang w:val="en-CA"/>
        </w:rPr>
      </w:pPr>
      <w:r w:rsidRPr="005E5EEC">
        <w:rPr>
          <w:rStyle w:val="EndnoteReference"/>
        </w:rPr>
        <w:endnoteRef/>
      </w:r>
      <w:r w:rsidRPr="005E5EEC">
        <w:t xml:space="preserve"> “Medical Alert Systems Market Analysis by Type.”</w:t>
      </w:r>
    </w:p>
  </w:endnote>
  <w:endnote w:id="17">
    <w:p w14:paraId="19B9FA74" w14:textId="6A4D966D" w:rsidR="005E5EEC" w:rsidRPr="005E5EEC" w:rsidRDefault="005E5EEC" w:rsidP="007D65DE">
      <w:pPr>
        <w:pStyle w:val="Footnote"/>
        <w:jc w:val="both"/>
        <w:rPr>
          <w:lang w:val="en-CA"/>
        </w:rPr>
      </w:pPr>
      <w:r w:rsidRPr="005E5EEC">
        <w:rPr>
          <w:rStyle w:val="EndnoteReference"/>
        </w:rPr>
        <w:endnoteRef/>
      </w:r>
      <w:r w:rsidRPr="005E5EEC">
        <w:t xml:space="preserve"> </w:t>
      </w:r>
      <w:r w:rsidRPr="005E5EEC">
        <w:rPr>
          <w:lang w:val="en-CA"/>
        </w:rPr>
        <w:t xml:space="preserve">Randi Stokke, “The Personal Emergency Response System as a Technology Innovation in Primary Health Care Services: An Integrative Review,” </w:t>
      </w:r>
      <w:r w:rsidRPr="005E5EEC">
        <w:rPr>
          <w:i/>
          <w:iCs/>
          <w:lang w:val="en-CA"/>
        </w:rPr>
        <w:t>Journal of Medical Internet Research</w:t>
      </w:r>
      <w:r w:rsidRPr="005E5EEC">
        <w:rPr>
          <w:lang w:val="en-CA"/>
        </w:rPr>
        <w:t xml:space="preserve"> 18, no. 7 (July 2016): e187.</w:t>
      </w:r>
    </w:p>
  </w:endnote>
  <w:endnote w:id="18">
    <w:p w14:paraId="0EC9ED77" w14:textId="7600A953" w:rsidR="005E5EEC" w:rsidRPr="005E5EEC" w:rsidRDefault="005E5EEC" w:rsidP="007D65DE">
      <w:pPr>
        <w:pStyle w:val="Footnote"/>
        <w:jc w:val="both"/>
      </w:pPr>
      <w:r w:rsidRPr="005E5EEC">
        <w:rPr>
          <w:rStyle w:val="EndnoteReference"/>
        </w:rPr>
        <w:endnoteRef/>
      </w:r>
      <w:r w:rsidRPr="005E5EEC">
        <w:t xml:space="preserve"> Catherine Roberts, “How to Choose a Medical Alert System,” </w:t>
      </w:r>
      <w:r w:rsidRPr="005E5EEC">
        <w:rPr>
          <w:i/>
          <w:iCs/>
        </w:rPr>
        <w:t>Consumer Reports</w:t>
      </w:r>
      <w:r w:rsidRPr="005E5EEC">
        <w:t>, February 7, 2019, www.consumerreports.org/medical-alert-systems/how-to-choose-a-medical-alert-system.</w:t>
      </w:r>
    </w:p>
  </w:endnote>
  <w:endnote w:id="19">
    <w:p w14:paraId="73A79FFB" w14:textId="697121CC" w:rsidR="005E5EEC" w:rsidRPr="005E5EEC" w:rsidRDefault="005E5EEC" w:rsidP="007D65DE">
      <w:pPr>
        <w:pStyle w:val="Footnote"/>
        <w:jc w:val="both"/>
      </w:pPr>
      <w:r w:rsidRPr="005E5EEC">
        <w:rPr>
          <w:rStyle w:val="EndnoteReference"/>
        </w:rPr>
        <w:endnoteRef/>
      </w:r>
      <w:r w:rsidRPr="005E5EEC">
        <w:t xml:space="preserve"> “Global Personal Emergency Response System Market 2016–2020,” TechNavio, April 2016, www.technavio.com/report/global-health-and-wellness-personal-emergency-response-system-market.</w:t>
      </w:r>
    </w:p>
  </w:endnote>
  <w:endnote w:id="20">
    <w:p w14:paraId="05835F69" w14:textId="33B6581C" w:rsidR="005E5EEC" w:rsidRPr="000907A6" w:rsidRDefault="005E5EEC" w:rsidP="005E5EEC">
      <w:pPr>
        <w:pStyle w:val="Footnote"/>
        <w:rPr>
          <w:lang w:val="en-US"/>
        </w:rPr>
      </w:pPr>
      <w:r w:rsidRPr="000907A6">
        <w:rPr>
          <w:rStyle w:val="EndnoteReference"/>
        </w:rPr>
        <w:endnoteRef/>
      </w:r>
      <w:r w:rsidRPr="000907A6">
        <w:t xml:space="preserve"> </w:t>
      </w:r>
      <w:r w:rsidR="00744942" w:rsidRPr="000907A6">
        <w:rPr>
          <w:lang w:val="en-US"/>
        </w:rPr>
        <w:t xml:space="preserve">Lifeline Personal Response and Support Services, </w:t>
      </w:r>
      <w:r w:rsidRPr="000907A6">
        <w:rPr>
          <w:lang w:val="en-US"/>
        </w:rPr>
        <w:t>“Lifeline Systems to be Acquired by Royal Philips Electronics</w:t>
      </w:r>
      <w:r w:rsidR="00744942" w:rsidRPr="000907A6">
        <w:rPr>
          <w:lang w:val="en-US"/>
        </w:rPr>
        <w:t>,</w:t>
      </w:r>
      <w:r w:rsidRPr="000907A6">
        <w:rPr>
          <w:lang w:val="en-US"/>
        </w:rPr>
        <w:t>”</w:t>
      </w:r>
      <w:r w:rsidR="00744942" w:rsidRPr="000907A6">
        <w:rPr>
          <w:lang w:val="en-US"/>
        </w:rPr>
        <w:t xml:space="preserve"> press release,</w:t>
      </w:r>
      <w:r w:rsidRPr="000907A6">
        <w:rPr>
          <w:lang w:val="en-US"/>
        </w:rPr>
        <w:t xml:space="preserve"> accessed March 26, 2021, https://www.sec.gov/Archives/edgar/data/1302676/000119312506008556/dex991.htm</w:t>
      </w:r>
      <w:r w:rsidR="00744942" w:rsidRPr="000907A6">
        <w:rPr>
          <w:lang w:val="en-US"/>
        </w:rPr>
        <w:t>.</w:t>
      </w:r>
    </w:p>
  </w:endnote>
  <w:endnote w:id="21">
    <w:p w14:paraId="6C6CE74D" w14:textId="6816DE2C" w:rsidR="005E5EEC" w:rsidRPr="000907A6" w:rsidRDefault="005E5EEC" w:rsidP="005E5EEC">
      <w:pPr>
        <w:pStyle w:val="Footnote"/>
      </w:pPr>
      <w:r w:rsidRPr="000907A6">
        <w:rPr>
          <w:rStyle w:val="EndnoteReference"/>
        </w:rPr>
        <w:endnoteRef/>
      </w:r>
      <w:r w:rsidRPr="000907A6">
        <w:t xml:space="preserve"> </w:t>
      </w:r>
      <w:r w:rsidR="00744942" w:rsidRPr="000907A6">
        <w:t xml:space="preserve">Wendy M. </w:t>
      </w:r>
      <w:r w:rsidRPr="000907A6">
        <w:t xml:space="preserve">Fallis, </w:t>
      </w:r>
      <w:r w:rsidR="008E16B3" w:rsidRPr="000907A6">
        <w:t>Diane</w:t>
      </w:r>
      <w:r w:rsidRPr="000907A6">
        <w:t xml:space="preserve"> Silverthorne, </w:t>
      </w:r>
      <w:r w:rsidR="008E16B3" w:rsidRPr="000907A6">
        <w:t xml:space="preserve">Jonathon </w:t>
      </w:r>
      <w:r w:rsidRPr="000907A6">
        <w:t xml:space="preserve">Franklin, </w:t>
      </w:r>
      <w:r w:rsidR="008E16B3" w:rsidRPr="000907A6">
        <w:t>and Susan</w:t>
      </w:r>
      <w:r w:rsidRPr="000907A6">
        <w:t xml:space="preserve"> McClement</w:t>
      </w:r>
      <w:r w:rsidR="008E16B3" w:rsidRPr="000907A6">
        <w:t>,</w:t>
      </w:r>
      <w:r w:rsidRPr="000907A6">
        <w:t xml:space="preserve"> </w:t>
      </w:r>
      <w:r w:rsidR="008E16B3" w:rsidRPr="000907A6">
        <w:t>“</w:t>
      </w:r>
      <w:r w:rsidRPr="000907A6">
        <w:t>Client and Responder Perceptions of a Personal Emergency Response System: Lifeline</w:t>
      </w:r>
      <w:r w:rsidR="008E16B3" w:rsidRPr="000907A6">
        <w:t>,”</w:t>
      </w:r>
      <w:r w:rsidRPr="000907A6">
        <w:t xml:space="preserve"> </w:t>
      </w:r>
      <w:r w:rsidRPr="000907A6">
        <w:rPr>
          <w:i/>
        </w:rPr>
        <w:t>Home Health Care Services Quarterly</w:t>
      </w:r>
      <w:r w:rsidRPr="000907A6">
        <w:t xml:space="preserve"> 26</w:t>
      </w:r>
      <w:r w:rsidR="008E16B3" w:rsidRPr="000907A6">
        <w:t xml:space="preserve"> no. </w:t>
      </w:r>
      <w:r w:rsidRPr="000907A6">
        <w:t>3</w:t>
      </w:r>
      <w:r w:rsidR="008E16B3" w:rsidRPr="000907A6">
        <w:t xml:space="preserve"> (2008):</w:t>
      </w:r>
      <w:r w:rsidRPr="000907A6">
        <w:t xml:space="preserve"> 1–21. </w:t>
      </w:r>
    </w:p>
  </w:endnote>
  <w:endnote w:id="22">
    <w:p w14:paraId="30C6ABD5" w14:textId="1FFC1E03" w:rsidR="005E5EEC" w:rsidRPr="000907A6" w:rsidRDefault="005E5EEC" w:rsidP="005E5EEC">
      <w:pPr>
        <w:pStyle w:val="Footnote"/>
      </w:pPr>
      <w:r w:rsidRPr="000907A6">
        <w:rPr>
          <w:rStyle w:val="EndnoteReference"/>
        </w:rPr>
        <w:endnoteRef/>
      </w:r>
      <w:r w:rsidRPr="000907A6">
        <w:t xml:space="preserve"> </w:t>
      </w:r>
      <w:r w:rsidR="000907A6" w:rsidRPr="000907A6">
        <w:t xml:space="preserve">Joe, </w:t>
      </w:r>
      <w:r w:rsidRPr="000907A6">
        <w:rPr>
          <w:lang w:val="en-US"/>
        </w:rPr>
        <w:t>“Review Philips LifeLine</w:t>
      </w:r>
      <w:r w:rsidR="000907A6" w:rsidRPr="000907A6">
        <w:rPr>
          <w:lang w:val="en-US"/>
        </w:rPr>
        <w:t>,</w:t>
      </w:r>
      <w:r w:rsidRPr="000907A6">
        <w:rPr>
          <w:lang w:val="en-US"/>
        </w:rPr>
        <w:t xml:space="preserve">” Find the Right Alert, accessed March 27, 202, </w:t>
      </w:r>
      <w:r w:rsidRPr="000907A6">
        <w:t>https://findtherightalert.com/review-philips-lifeline/#:~:text=Philips%20LifeLine%20is%20one%20of,have%2060%25%20of%20the%20market.</w:t>
      </w:r>
    </w:p>
  </w:endnote>
  <w:endnote w:id="23">
    <w:p w14:paraId="13000ACE" w14:textId="448229B3" w:rsidR="00837AF5" w:rsidRPr="00837AF5" w:rsidRDefault="005E5EEC" w:rsidP="005E5EEC">
      <w:pPr>
        <w:pStyle w:val="Footnote"/>
        <w:rPr>
          <w:spacing w:val="-4"/>
          <w:lang w:val="en-US"/>
        </w:rPr>
      </w:pPr>
      <w:r w:rsidRPr="00837AF5">
        <w:rPr>
          <w:rStyle w:val="EndnoteReference"/>
          <w:spacing w:val="-4"/>
        </w:rPr>
        <w:endnoteRef/>
      </w:r>
      <w:r w:rsidRPr="00837AF5">
        <w:rPr>
          <w:spacing w:val="-4"/>
        </w:rPr>
        <w:t xml:space="preserve"> </w:t>
      </w:r>
      <w:r w:rsidRPr="00837AF5">
        <w:rPr>
          <w:spacing w:val="-4"/>
          <w:lang w:val="en-US"/>
        </w:rPr>
        <w:t xml:space="preserve">Philips Cares Caregiver Digital Brochure, 2020, accessed March 27, 2021, </w:t>
      </w:r>
      <w:r w:rsidR="00837AF5" w:rsidRPr="00837AF5">
        <w:rPr>
          <w:spacing w:val="-4"/>
          <w:lang w:val="en-US"/>
        </w:rPr>
        <w:t>https://www.lifeline.philips.com/content/dam/PLL/</w:t>
      </w:r>
    </w:p>
    <w:p w14:paraId="015299E6" w14:textId="6695919C" w:rsidR="005E5EEC" w:rsidRPr="00837AF5" w:rsidRDefault="005E5EEC" w:rsidP="005E5EEC">
      <w:pPr>
        <w:pStyle w:val="Footnote"/>
        <w:rPr>
          <w:spacing w:val="-4"/>
          <w:lang w:val="en-US"/>
        </w:rPr>
      </w:pPr>
      <w:r w:rsidRPr="00837AF5">
        <w:rPr>
          <w:spacing w:val="-4"/>
          <w:lang w:val="en-US"/>
        </w:rPr>
        <w:t>PLL-B2C/PDFs/Philips-Cares-Caregivers-Digital-Brochure-2020.pdf</w:t>
      </w:r>
      <w:r w:rsidR="00837AF5" w:rsidRPr="00837AF5">
        <w:rPr>
          <w:spacing w:val="-4"/>
          <w:lang w:val="en-US"/>
        </w:rPr>
        <w:t>.</w:t>
      </w:r>
    </w:p>
  </w:endnote>
  <w:endnote w:id="24">
    <w:p w14:paraId="19F531BC" w14:textId="0D77F7B2" w:rsidR="00837AF5" w:rsidRPr="00837AF5" w:rsidRDefault="005E5EEC" w:rsidP="005E5EEC">
      <w:pPr>
        <w:pStyle w:val="Footnote"/>
        <w:rPr>
          <w:lang w:val="en-US"/>
        </w:rPr>
      </w:pPr>
      <w:r w:rsidRPr="00837AF5">
        <w:rPr>
          <w:rStyle w:val="EndnoteReference"/>
        </w:rPr>
        <w:endnoteRef/>
      </w:r>
      <w:r w:rsidRPr="00837AF5">
        <w:t xml:space="preserve"> Philips Lifeline Reviews</w:t>
      </w:r>
      <w:r w:rsidRPr="00837AF5">
        <w:rPr>
          <w:lang w:val="en-US"/>
        </w:rPr>
        <w:t xml:space="preserve"> 2016, Best Rev</w:t>
      </w:r>
      <w:r w:rsidR="00837AF5" w:rsidRPr="00837AF5">
        <w:rPr>
          <w:lang w:val="en-US"/>
        </w:rPr>
        <w:t>i</w:t>
      </w:r>
      <w:r w:rsidRPr="00837AF5">
        <w:rPr>
          <w:lang w:val="en-US"/>
        </w:rPr>
        <w:t xml:space="preserve">ew, accessed March 27, 2021, </w:t>
      </w:r>
      <w:r w:rsidR="00837AF5" w:rsidRPr="00837AF5">
        <w:rPr>
          <w:lang w:val="en-US"/>
        </w:rPr>
        <w:t>https://medical-alert-systems.bestreviews.net/</w:t>
      </w:r>
    </w:p>
    <w:p w14:paraId="781E279B" w14:textId="518BB2A7" w:rsidR="005E5EEC" w:rsidRPr="005E5EEC" w:rsidRDefault="005E5EEC" w:rsidP="005E5EEC">
      <w:pPr>
        <w:pStyle w:val="Footnote"/>
        <w:rPr>
          <w:lang w:val="en-US"/>
        </w:rPr>
      </w:pPr>
      <w:r w:rsidRPr="00837AF5">
        <w:rPr>
          <w:lang w:val="en-US"/>
        </w:rPr>
        <w:t>philips-lifeline-reviews/</w:t>
      </w:r>
      <w:r w:rsidR="00837AF5" w:rsidRPr="00837AF5">
        <w:rPr>
          <w:lang w:val="en-US"/>
        </w:rPr>
        <w:t>.</w:t>
      </w:r>
    </w:p>
  </w:endnote>
  <w:endnote w:id="25">
    <w:p w14:paraId="2D8CA194" w14:textId="342A8A38" w:rsidR="005E5EEC" w:rsidRPr="005E5EEC" w:rsidRDefault="005E5EEC" w:rsidP="007D65DE">
      <w:pPr>
        <w:pStyle w:val="Footnote"/>
        <w:jc w:val="both"/>
      </w:pPr>
      <w:r w:rsidRPr="005E5EEC">
        <w:rPr>
          <w:rStyle w:val="EndnoteReference"/>
        </w:rPr>
        <w:endnoteRef/>
      </w:r>
      <w:r w:rsidRPr="005E5EEC">
        <w:t xml:space="preserve"> Jonathan Knoder, “PERS Market Growth Means Huge Opportunity for Dealers,” AvantGuard Monitoring, May 27, 2020, www.agmonitoring.com/blog/industry-news/pers-market-growth-means-huge-opportunity-for-dealers.</w:t>
      </w:r>
    </w:p>
  </w:endnote>
  <w:endnote w:id="26">
    <w:p w14:paraId="071F7759" w14:textId="66F37105" w:rsidR="005E5EEC" w:rsidRPr="005E5EEC" w:rsidRDefault="005E5EEC" w:rsidP="007D65DE">
      <w:pPr>
        <w:pStyle w:val="Footnote"/>
        <w:jc w:val="both"/>
      </w:pPr>
      <w:r w:rsidRPr="005E5EEC">
        <w:rPr>
          <w:rStyle w:val="EndnoteReference"/>
        </w:rPr>
        <w:endnoteRef/>
      </w:r>
      <w:r w:rsidRPr="005E5EEC">
        <w:t xml:space="preserve"> “From Panic Button to Advanced PERS Solutions: Providing an Extra Layer of Care,” Essence Group, accessed December 1, 2020, www.essence-grp.com/blog/1833.</w:t>
      </w:r>
    </w:p>
  </w:endnote>
  <w:endnote w:id="27">
    <w:p w14:paraId="6C291F12" w14:textId="19A33A61" w:rsidR="005E5EEC" w:rsidRPr="005E5EEC" w:rsidRDefault="005E5EEC" w:rsidP="007D65DE">
      <w:pPr>
        <w:pStyle w:val="Footnote"/>
        <w:jc w:val="both"/>
      </w:pPr>
      <w:r w:rsidRPr="005E5EEC">
        <w:rPr>
          <w:rStyle w:val="EndnoteReference"/>
        </w:rPr>
        <w:endnoteRef/>
      </w:r>
      <w:r w:rsidRPr="005E5EEC">
        <w:t xml:space="preserve"> Jane Fleming and Carol Brayne, “Inability to Get Up after Falling, Subsequent Time on Floor, and Summoning Help: Prospective Cohort Study in People over 90,” </w:t>
      </w:r>
      <w:r w:rsidRPr="005E5EEC">
        <w:rPr>
          <w:i/>
        </w:rPr>
        <w:t>BMJ</w:t>
      </w:r>
      <w:r w:rsidRPr="005E5EEC">
        <w:t xml:space="preserve"> 337 (2008): a2227.</w:t>
      </w:r>
    </w:p>
  </w:endnote>
  <w:endnote w:id="28">
    <w:p w14:paraId="2AC63896" w14:textId="260349EC" w:rsidR="005E5EEC" w:rsidRPr="005E5EEC" w:rsidRDefault="005E5EEC" w:rsidP="007D65DE">
      <w:pPr>
        <w:pStyle w:val="Footnote"/>
        <w:jc w:val="both"/>
      </w:pPr>
      <w:r w:rsidRPr="005E5EEC">
        <w:rPr>
          <w:rStyle w:val="EndnoteReference"/>
        </w:rPr>
        <w:endnoteRef/>
      </w:r>
      <w:r w:rsidRPr="005E5EEC">
        <w:t xml:space="preserve"> Mandee Thomas, “Professional vs. Self-Monitored PERS Systems,” AvantGuard Monitoring, January 29, 2019, www.agmonitoring.com/blog/industry-news/professional-vs.-self-monitored-pers-systems.</w:t>
      </w:r>
    </w:p>
  </w:endnote>
  <w:endnote w:id="29">
    <w:p w14:paraId="0099F4EC" w14:textId="61389E67" w:rsidR="005E5EEC" w:rsidRPr="005E5EEC" w:rsidRDefault="005E5EEC" w:rsidP="007D65DE">
      <w:pPr>
        <w:pStyle w:val="Footnote"/>
        <w:jc w:val="both"/>
      </w:pPr>
      <w:r w:rsidRPr="005E5EEC">
        <w:rPr>
          <w:rStyle w:val="EndnoteReference"/>
        </w:rPr>
        <w:endnoteRef/>
      </w:r>
      <w:r w:rsidRPr="005E5EEC">
        <w:t xml:space="preserve"> “ORA—Smart Jewelry that Keeps People Safe,” Indiegogo, accessed December 1, 2020, www.indiegogo.com/projects/ora-smart-jewelry-that-keeps-people-safe#.</w:t>
      </w:r>
    </w:p>
  </w:endnote>
  <w:endnote w:id="30">
    <w:p w14:paraId="2D55AD1F" w14:textId="5B78FC8E" w:rsidR="005E5EEC" w:rsidRPr="005E5EEC" w:rsidRDefault="005E5EEC" w:rsidP="007D65DE">
      <w:pPr>
        <w:pStyle w:val="Footnote"/>
        <w:jc w:val="both"/>
        <w:rPr>
          <w:lang w:val="en-CA"/>
        </w:rPr>
      </w:pPr>
      <w:r w:rsidRPr="005E5EEC">
        <w:rPr>
          <w:rStyle w:val="EndnoteReference"/>
        </w:rPr>
        <w:endnoteRef/>
      </w:r>
      <w:r w:rsidRPr="005E5EEC">
        <w:t xml:space="preserve"> “Event Night Winners,” Seeds for Dreams, January 15, 2019, http://seedsfordreams.ca/event-night-winners.</w:t>
      </w:r>
    </w:p>
  </w:endnote>
  <w:endnote w:id="31">
    <w:p w14:paraId="4ADF3842" w14:textId="4B7DB032" w:rsidR="005E5EEC" w:rsidRPr="0082456E" w:rsidRDefault="005E5EEC" w:rsidP="007D65DE">
      <w:pPr>
        <w:pStyle w:val="Footnote"/>
        <w:jc w:val="both"/>
        <w:rPr>
          <w:lang w:val="en-CA"/>
        </w:rPr>
      </w:pPr>
      <w:r w:rsidRPr="005E5EEC">
        <w:rPr>
          <w:rStyle w:val="EndnoteReference"/>
        </w:rPr>
        <w:endnoteRef/>
      </w:r>
      <w:r w:rsidRPr="005E5EEC">
        <w:t xml:space="preserve"> </w:t>
      </w:r>
      <w:r w:rsidRPr="005E5EEC">
        <w:rPr>
          <w:lang w:val="en-CA"/>
        </w:rPr>
        <w:t xml:space="preserve">Brook Thalgott, “Innovation Saskatchewan Introduces the Made in Saskatchewan Technology (MIST) Program,” Innovation Saskatchewan, January 28, 2019, </w:t>
      </w:r>
      <w:r w:rsidRPr="005E5EEC">
        <w:t>www.saskatchewan.ca/government/news-and-media/2019/january/28/mist-program</w:t>
      </w:r>
      <w:r w:rsidRPr="0082456E">
        <w:rPr>
          <w:lang w:val="en-CA"/>
        </w:rPr>
        <w:t xml:space="preserve">. </w:t>
      </w:r>
    </w:p>
  </w:endnote>
  <w:endnote w:id="32">
    <w:p w14:paraId="707E1194" w14:textId="2FDD5B7C" w:rsidR="005E5EEC" w:rsidRPr="008C6C21" w:rsidRDefault="005E5EEC" w:rsidP="007D65DE">
      <w:pPr>
        <w:pStyle w:val="Footnote"/>
        <w:jc w:val="both"/>
        <w:rPr>
          <w:lang w:val="en-CA"/>
        </w:rPr>
      </w:pPr>
      <w:r w:rsidRPr="0082456E">
        <w:rPr>
          <w:rStyle w:val="EndnoteReference"/>
        </w:rPr>
        <w:endnoteRef/>
      </w:r>
      <w:r w:rsidRPr="0082456E">
        <w:t xml:space="preserve"> Paul Burch, “Wearing More t</w:t>
      </w:r>
      <w:r w:rsidRPr="008C6C21">
        <w:t xml:space="preserve">han Just Your Heart on Your Sleeve,” </w:t>
      </w:r>
      <w:r w:rsidRPr="008C6C21">
        <w:rPr>
          <w:i/>
          <w:iCs/>
        </w:rPr>
        <w:t>Industry West Magazine</w:t>
      </w:r>
      <w:r w:rsidRPr="008C6C21">
        <w:t>, Winter 2019, 51–53, https://industrywestmagazine.com/wp-content/uploads/2019/02/iw_winter2019-proof.pdf.</w:t>
      </w:r>
    </w:p>
  </w:endnote>
  <w:endnote w:id="33">
    <w:p w14:paraId="2F755BF1" w14:textId="6414E056" w:rsidR="005E5EEC" w:rsidRPr="008C6C21" w:rsidRDefault="005E5EEC" w:rsidP="007D65DE">
      <w:pPr>
        <w:pStyle w:val="Footnote"/>
        <w:jc w:val="both"/>
        <w:rPr>
          <w:lang w:val="en-CA"/>
        </w:rPr>
      </w:pPr>
      <w:r w:rsidRPr="0082456E">
        <w:rPr>
          <w:rStyle w:val="EndnoteReference"/>
        </w:rPr>
        <w:endnoteRef/>
      </w:r>
      <w:r w:rsidRPr="0082456E">
        <w:t xml:space="preserve"> Courtney Markewich, “Saskatoon W</w:t>
      </w:r>
      <w:r w:rsidRPr="008C6C21">
        <w:t xml:space="preserve">oman Creates Fashionable Medical Alert Option,” CBC News, October 15, 2016, www.cbc.ca/news/canada/saskatoon/saskatoon-woman-ora-medical-alert-1.3804272; “ORA/SolusGuard CEO Profiled as Woman Leader in STEM,” Innovation Place, October 1, 2019, http://innovationplace.com/thescene/features/2019/10-ora.php; and Denise Deveau, “Saskatoon Women, Take Collective Approach to Entrepreneurship,” </w:t>
      </w:r>
      <w:r w:rsidRPr="008C6C21">
        <w:rPr>
          <w:i/>
          <w:iCs/>
        </w:rPr>
        <w:t>Financial Post</w:t>
      </w:r>
      <w:r w:rsidRPr="008C6C21">
        <w:t>, September 24, 2018, https://business.financialpost.com/entrepreneur/saskatoon-women-take-collective-approach-to-entrepreneurship.</w:t>
      </w:r>
    </w:p>
  </w:endnote>
  <w:endnote w:id="34">
    <w:p w14:paraId="37D1D515" w14:textId="58880880" w:rsidR="005E5EEC" w:rsidRPr="008C6C21" w:rsidRDefault="005E5EEC" w:rsidP="007D65DE">
      <w:pPr>
        <w:pStyle w:val="Footnote"/>
        <w:jc w:val="both"/>
        <w:rPr>
          <w:lang w:val="en-CA"/>
        </w:rPr>
      </w:pPr>
      <w:r w:rsidRPr="0082456E">
        <w:rPr>
          <w:rStyle w:val="EndnoteReference"/>
        </w:rPr>
        <w:endnoteRef/>
      </w:r>
      <w:r w:rsidRPr="0082456E">
        <w:t xml:space="preserve"> “Comprehensive Guide t</w:t>
      </w:r>
      <w:r w:rsidRPr="008C6C21">
        <w:t>o Personal Emergency Response Systems,” Aging in Place, May 2020, www.aginginplace.org/comprehensive-guide-to-personal-emergency-response-systems.</w:t>
      </w:r>
    </w:p>
  </w:endnote>
  <w:endnote w:id="35">
    <w:p w14:paraId="07E84AF8" w14:textId="75BB047E" w:rsidR="005E5EEC" w:rsidRPr="008C6C21" w:rsidRDefault="005E5EEC" w:rsidP="007D65DE">
      <w:pPr>
        <w:pStyle w:val="Footnote"/>
        <w:jc w:val="both"/>
        <w:rPr>
          <w:lang w:val="en-CA"/>
        </w:rPr>
      </w:pPr>
      <w:r w:rsidRPr="0082456E">
        <w:rPr>
          <w:rStyle w:val="EndnoteReference"/>
        </w:rPr>
        <w:endnoteRef/>
      </w:r>
      <w:r w:rsidRPr="0082456E">
        <w:t xml:space="preserve"> </w:t>
      </w:r>
      <w:r w:rsidRPr="0082456E">
        <w:rPr>
          <w:lang w:val="en-CA"/>
        </w:rPr>
        <w:t>“5 Trends</w:t>
      </w:r>
      <w:r w:rsidRPr="008C6C21">
        <w:rPr>
          <w:lang w:val="en-CA"/>
        </w:rPr>
        <w:t xml:space="preserve"> Impacting Your Aging Baby Boomer Patients,” Philips Lifeline, July 10, 2015, www.lifeline.philips.com/resources/blog/2015/07/5-trends-impacting-your-aging-baby-boomer-patients.html.</w:t>
      </w:r>
    </w:p>
  </w:endnote>
  <w:endnote w:id="36">
    <w:p w14:paraId="7590B261" w14:textId="2CF1C0D9" w:rsidR="005E5EEC" w:rsidRPr="008C6C21" w:rsidRDefault="005E5EEC" w:rsidP="007D65DE">
      <w:pPr>
        <w:pStyle w:val="Footnote"/>
        <w:jc w:val="both"/>
        <w:rPr>
          <w:lang w:val="en-CA"/>
        </w:rPr>
      </w:pPr>
      <w:r w:rsidRPr="0082456E">
        <w:rPr>
          <w:rStyle w:val="EndnoteReference"/>
        </w:rPr>
        <w:endnoteRef/>
      </w:r>
      <w:r w:rsidRPr="0082456E">
        <w:t xml:space="preserve"> </w:t>
      </w:r>
      <w:r w:rsidRPr="0082456E">
        <w:rPr>
          <w:lang w:val="en-CA"/>
        </w:rPr>
        <w:t xml:space="preserve">Amy Hoak, “Never </w:t>
      </w:r>
      <w:r w:rsidRPr="008C6C21">
        <w:rPr>
          <w:lang w:val="en-CA"/>
        </w:rPr>
        <w:t xml:space="preserve">Call a Baby Boomer ‘Old,’” </w:t>
      </w:r>
      <w:r w:rsidRPr="008C6C21">
        <w:rPr>
          <w:i/>
          <w:lang w:val="en-CA"/>
        </w:rPr>
        <w:t>MarketWatch</w:t>
      </w:r>
      <w:r w:rsidRPr="008C6C21">
        <w:rPr>
          <w:lang w:val="en-CA"/>
        </w:rPr>
        <w:t>, June 17, 2013, www.marketwatch.com/story/never-call-a-baby-boomer-old-2013-06-17.</w:t>
      </w:r>
    </w:p>
  </w:endnote>
  <w:endnote w:id="37">
    <w:p w14:paraId="4B182C79" w14:textId="0B68B6AC" w:rsidR="005E5EEC" w:rsidRPr="008C6C21" w:rsidRDefault="005E5EEC" w:rsidP="007D65DE">
      <w:pPr>
        <w:pStyle w:val="Footnote"/>
        <w:jc w:val="both"/>
        <w:rPr>
          <w:i/>
        </w:rPr>
      </w:pPr>
      <w:r w:rsidRPr="0082456E">
        <w:rPr>
          <w:rStyle w:val="EndnoteReference"/>
        </w:rPr>
        <w:endnoteRef/>
      </w:r>
      <w:r w:rsidRPr="0082456E">
        <w:t xml:space="preserve"> </w:t>
      </w:r>
      <w:r w:rsidRPr="0082456E">
        <w:rPr>
          <w:color w:val="000000" w:themeColor="text1"/>
        </w:rPr>
        <w:t xml:space="preserve">Paul </w:t>
      </w:r>
      <w:r w:rsidRPr="008C6C21">
        <w:rPr>
          <w:rStyle w:val="Emphasis"/>
          <w:i w:val="0"/>
          <w:iCs w:val="0"/>
          <w:color w:val="000000" w:themeColor="text1"/>
          <w:shd w:val="clear" w:color="auto" w:fill="FFFFFF"/>
        </w:rPr>
        <w:t>Turner,</w:t>
      </w:r>
      <w:r w:rsidRPr="008C6C21">
        <w:rPr>
          <w:color w:val="000000" w:themeColor="text1"/>
        </w:rPr>
        <w:t xml:space="preserve"> “What Is a Lone Worker? Four Questions to Ask,” </w:t>
      </w:r>
      <w:r w:rsidRPr="008C6C21">
        <w:rPr>
          <w:rStyle w:val="Emphasis"/>
          <w:i w:val="0"/>
          <w:color w:val="000000" w:themeColor="text1"/>
          <w:shd w:val="clear" w:color="auto" w:fill="FFFFFF"/>
        </w:rPr>
        <w:t>Aware360, accessed December 1, 2020, https://aware360.com/lone-worker-four-questions-ask.</w:t>
      </w:r>
    </w:p>
  </w:endnote>
  <w:endnote w:id="38">
    <w:p w14:paraId="796EF3E6" w14:textId="44F09EF6" w:rsidR="005E5EEC" w:rsidRPr="008C6C21" w:rsidRDefault="005E5EEC" w:rsidP="007D65DE">
      <w:pPr>
        <w:pStyle w:val="Footnote"/>
        <w:jc w:val="both"/>
      </w:pPr>
      <w:r w:rsidRPr="0082456E">
        <w:rPr>
          <w:rStyle w:val="EndnoteReference"/>
        </w:rPr>
        <w:endnoteRef/>
      </w:r>
      <w:r w:rsidRPr="0082456E">
        <w:t xml:space="preserve"> Mathew Colley, “7 T</w:t>
      </w:r>
      <w:r w:rsidRPr="008C6C21">
        <w:t>ypes of Lone Workers You Should Be Identifying in Your Company,” LoneAlert, accessed December 1, 2020, www.lonealert.co.uk/lone-working/blog/7-types-of-lone-workers-you-should-be-identifying-in-your-company.</w:t>
      </w:r>
    </w:p>
  </w:endnote>
  <w:endnote w:id="39">
    <w:p w14:paraId="308FA582" w14:textId="29164231" w:rsidR="005E5EEC" w:rsidRPr="008C6C21" w:rsidRDefault="005E5EEC" w:rsidP="007D65DE">
      <w:pPr>
        <w:pStyle w:val="Footnote"/>
        <w:jc w:val="both"/>
        <w:rPr>
          <w:color w:val="FFFFFF"/>
        </w:rPr>
      </w:pPr>
      <w:r w:rsidRPr="0082456E">
        <w:rPr>
          <w:rStyle w:val="EndnoteReference"/>
        </w:rPr>
        <w:endnoteRef/>
      </w:r>
      <w:r w:rsidRPr="0082456E">
        <w:rPr>
          <w:color w:val="000000" w:themeColor="text1"/>
        </w:rPr>
        <w:t xml:space="preserve"> </w:t>
      </w:r>
      <w:r w:rsidRPr="0082456E">
        <w:rPr>
          <w:rStyle w:val="Emphasis"/>
          <w:i w:val="0"/>
          <w:color w:val="000000" w:themeColor="text1"/>
          <w:shd w:val="clear" w:color="auto" w:fill="FFFFFF"/>
        </w:rPr>
        <w:t>Turner</w:t>
      </w:r>
      <w:r w:rsidRPr="008C6C21">
        <w:rPr>
          <w:rStyle w:val="Emphasis"/>
          <w:color w:val="000000" w:themeColor="text1"/>
          <w:shd w:val="clear" w:color="auto" w:fill="FFFFFF"/>
        </w:rPr>
        <w:t>,</w:t>
      </w:r>
      <w:r w:rsidRPr="008C6C21">
        <w:rPr>
          <w:color w:val="000000" w:themeColor="text1"/>
        </w:rPr>
        <w:t xml:space="preserve"> “What Is a Lone Worker?”</w:t>
      </w:r>
    </w:p>
  </w:endnote>
  <w:endnote w:id="40">
    <w:p w14:paraId="11CD35E2" w14:textId="55F625CB" w:rsidR="005E5EEC" w:rsidRPr="0076062C" w:rsidRDefault="005E5EEC" w:rsidP="007D65DE">
      <w:pPr>
        <w:pStyle w:val="Footnote"/>
        <w:jc w:val="both"/>
        <w:rPr>
          <w:lang w:val="en-CA"/>
        </w:rPr>
      </w:pPr>
      <w:r w:rsidRPr="0082456E">
        <w:rPr>
          <w:rStyle w:val="EndnoteReference"/>
        </w:rPr>
        <w:endnoteRef/>
      </w:r>
      <w:r w:rsidRPr="0082456E">
        <w:t xml:space="preserve"> </w:t>
      </w:r>
      <w:r w:rsidRPr="0082456E">
        <w:rPr>
          <w:lang w:val="en-CA"/>
        </w:rPr>
        <w:t xml:space="preserve">“Canada’s Regulatory </w:t>
      </w:r>
      <w:r w:rsidRPr="008C6C21">
        <w:rPr>
          <w:lang w:val="en-CA"/>
        </w:rPr>
        <w:t xml:space="preserve">Requirements on Lone Worker Safety: How to Stay Compliant,” SolusGuard, </w:t>
      </w:r>
      <w:r w:rsidRPr="008C6C21">
        <w:rPr>
          <w:rStyle w:val="Emphasis"/>
          <w:i w:val="0"/>
          <w:color w:val="000000" w:themeColor="text1"/>
          <w:shd w:val="clear" w:color="auto" w:fill="FFFFFF"/>
        </w:rPr>
        <w:t xml:space="preserve">accessed December 1, 2020, </w:t>
      </w:r>
      <w:r w:rsidRPr="008C6C21">
        <w:rPr>
          <w:lang w:val="en-CA"/>
        </w:rPr>
        <w:t>https://solusguard.com/canadas-regulatory-requirements-lone-worker-safety.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DB44E" w14:textId="77777777" w:rsidR="004702DE" w:rsidRDefault="004702DE" w:rsidP="00D75295">
      <w:r>
        <w:separator/>
      </w:r>
    </w:p>
  </w:footnote>
  <w:footnote w:type="continuationSeparator" w:id="0">
    <w:p w14:paraId="537770CF" w14:textId="77777777" w:rsidR="004702DE" w:rsidRDefault="004702D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4DFF1C4" w:rsidR="004702DE" w:rsidRPr="00C92CC4" w:rsidRDefault="004702D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456E">
      <w:rPr>
        <w:rFonts w:ascii="Arial" w:hAnsi="Arial"/>
        <w:b/>
        <w:noProof/>
      </w:rPr>
      <w:t>5</w:t>
    </w:r>
    <w:r>
      <w:rPr>
        <w:rFonts w:ascii="Arial" w:hAnsi="Arial"/>
        <w:b/>
      </w:rPr>
      <w:fldChar w:fldCharType="end"/>
    </w:r>
    <w:r>
      <w:rPr>
        <w:rFonts w:ascii="Arial" w:hAnsi="Arial"/>
        <w:b/>
      </w:rPr>
      <w:tab/>
    </w:r>
    <w:r w:rsidR="003F4C73">
      <w:rPr>
        <w:rFonts w:ascii="Arial" w:hAnsi="Arial"/>
        <w:b/>
      </w:rPr>
      <w:t>9B21M034</w:t>
    </w:r>
  </w:p>
  <w:p w14:paraId="2B53C0A0" w14:textId="77777777" w:rsidR="004702DE" w:rsidRDefault="004702DE" w:rsidP="00D13667">
    <w:pPr>
      <w:pStyle w:val="Header"/>
      <w:tabs>
        <w:tab w:val="clear" w:pos="4680"/>
      </w:tabs>
      <w:rPr>
        <w:sz w:val="18"/>
        <w:szCs w:val="18"/>
      </w:rPr>
    </w:pPr>
  </w:p>
  <w:p w14:paraId="47119730" w14:textId="77777777" w:rsidR="004702DE" w:rsidRPr="00C92CC4" w:rsidRDefault="004702D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389E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CABA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3E4B0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3219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F62A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3EC5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809F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42E0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4C57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EE1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TAxMDY3NjYzNDRU0lEKTi0uzszPAykwqwUAUFfjHCwAAAA="/>
  </w:docVars>
  <w:rsids>
    <w:rsidRoot w:val="008A4DC4"/>
    <w:rsid w:val="0000085A"/>
    <w:rsid w:val="00004B97"/>
    <w:rsid w:val="000073D2"/>
    <w:rsid w:val="00013360"/>
    <w:rsid w:val="00016759"/>
    <w:rsid w:val="000216CE"/>
    <w:rsid w:val="00024ED4"/>
    <w:rsid w:val="00025DC7"/>
    <w:rsid w:val="00034988"/>
    <w:rsid w:val="00035F09"/>
    <w:rsid w:val="000440F1"/>
    <w:rsid w:val="00044ECC"/>
    <w:rsid w:val="00045EA1"/>
    <w:rsid w:val="000477BE"/>
    <w:rsid w:val="000531D3"/>
    <w:rsid w:val="000545B6"/>
    <w:rsid w:val="0005646B"/>
    <w:rsid w:val="000615D1"/>
    <w:rsid w:val="00064674"/>
    <w:rsid w:val="00066FC0"/>
    <w:rsid w:val="0008102D"/>
    <w:rsid w:val="000849FD"/>
    <w:rsid w:val="00086B26"/>
    <w:rsid w:val="000907A6"/>
    <w:rsid w:val="00092DD6"/>
    <w:rsid w:val="00094C0E"/>
    <w:rsid w:val="000A146D"/>
    <w:rsid w:val="000B64DE"/>
    <w:rsid w:val="000D2A2F"/>
    <w:rsid w:val="000D3544"/>
    <w:rsid w:val="000D7091"/>
    <w:rsid w:val="000E07A1"/>
    <w:rsid w:val="000E693A"/>
    <w:rsid w:val="000F0C22"/>
    <w:rsid w:val="000F6B09"/>
    <w:rsid w:val="000F6FDC"/>
    <w:rsid w:val="00101C52"/>
    <w:rsid w:val="00101E86"/>
    <w:rsid w:val="00104567"/>
    <w:rsid w:val="00104916"/>
    <w:rsid w:val="00104AA7"/>
    <w:rsid w:val="00122F75"/>
    <w:rsid w:val="0012533B"/>
    <w:rsid w:val="00126654"/>
    <w:rsid w:val="0012732D"/>
    <w:rsid w:val="001329EE"/>
    <w:rsid w:val="00135AE9"/>
    <w:rsid w:val="0013605B"/>
    <w:rsid w:val="00143F25"/>
    <w:rsid w:val="00151151"/>
    <w:rsid w:val="0015253A"/>
    <w:rsid w:val="00152682"/>
    <w:rsid w:val="00154FC9"/>
    <w:rsid w:val="00176C0D"/>
    <w:rsid w:val="001901C0"/>
    <w:rsid w:val="00191A83"/>
    <w:rsid w:val="0019241A"/>
    <w:rsid w:val="00192A18"/>
    <w:rsid w:val="001A186A"/>
    <w:rsid w:val="001A22D1"/>
    <w:rsid w:val="001A5666"/>
    <w:rsid w:val="001A752D"/>
    <w:rsid w:val="001A757E"/>
    <w:rsid w:val="001B3381"/>
    <w:rsid w:val="001B5032"/>
    <w:rsid w:val="001B7770"/>
    <w:rsid w:val="001C7777"/>
    <w:rsid w:val="001D344B"/>
    <w:rsid w:val="001D4B41"/>
    <w:rsid w:val="001E364F"/>
    <w:rsid w:val="001F4222"/>
    <w:rsid w:val="00203AA1"/>
    <w:rsid w:val="002133C8"/>
    <w:rsid w:val="00213E98"/>
    <w:rsid w:val="0021472C"/>
    <w:rsid w:val="00230150"/>
    <w:rsid w:val="0023081A"/>
    <w:rsid w:val="00233111"/>
    <w:rsid w:val="00242D18"/>
    <w:rsid w:val="00255709"/>
    <w:rsid w:val="00265FA8"/>
    <w:rsid w:val="002825C4"/>
    <w:rsid w:val="002B40FF"/>
    <w:rsid w:val="002B4FFD"/>
    <w:rsid w:val="002C4E29"/>
    <w:rsid w:val="002D329B"/>
    <w:rsid w:val="002E02A1"/>
    <w:rsid w:val="002E1944"/>
    <w:rsid w:val="002E53B5"/>
    <w:rsid w:val="002F460C"/>
    <w:rsid w:val="002F48D6"/>
    <w:rsid w:val="00302CF5"/>
    <w:rsid w:val="003103EC"/>
    <w:rsid w:val="00314D22"/>
    <w:rsid w:val="00317039"/>
    <w:rsid w:val="00317391"/>
    <w:rsid w:val="00322C4F"/>
    <w:rsid w:val="00326216"/>
    <w:rsid w:val="00326A2C"/>
    <w:rsid w:val="00336580"/>
    <w:rsid w:val="00342B28"/>
    <w:rsid w:val="00353CEB"/>
    <w:rsid w:val="00354899"/>
    <w:rsid w:val="003552A6"/>
    <w:rsid w:val="00355FD6"/>
    <w:rsid w:val="003626D0"/>
    <w:rsid w:val="00364A5C"/>
    <w:rsid w:val="00365268"/>
    <w:rsid w:val="00373475"/>
    <w:rsid w:val="00373FB1"/>
    <w:rsid w:val="0037676B"/>
    <w:rsid w:val="00381AA5"/>
    <w:rsid w:val="00384EBD"/>
    <w:rsid w:val="00396ACD"/>
    <w:rsid w:val="00396C76"/>
    <w:rsid w:val="003A542A"/>
    <w:rsid w:val="003B03FC"/>
    <w:rsid w:val="003B30D8"/>
    <w:rsid w:val="003B7EF2"/>
    <w:rsid w:val="003C2BBE"/>
    <w:rsid w:val="003C3FA4"/>
    <w:rsid w:val="003C7DBB"/>
    <w:rsid w:val="003D0BA1"/>
    <w:rsid w:val="003E6EE0"/>
    <w:rsid w:val="003F2B0C"/>
    <w:rsid w:val="003F4C73"/>
    <w:rsid w:val="003F7774"/>
    <w:rsid w:val="004105B2"/>
    <w:rsid w:val="00410B4C"/>
    <w:rsid w:val="0041145A"/>
    <w:rsid w:val="00412900"/>
    <w:rsid w:val="00415110"/>
    <w:rsid w:val="004221E4"/>
    <w:rsid w:val="00426C65"/>
    <w:rsid w:val="004273F8"/>
    <w:rsid w:val="00432490"/>
    <w:rsid w:val="00432DD3"/>
    <w:rsid w:val="00434503"/>
    <w:rsid w:val="004355A3"/>
    <w:rsid w:val="00436C77"/>
    <w:rsid w:val="0044132E"/>
    <w:rsid w:val="00446546"/>
    <w:rsid w:val="00452769"/>
    <w:rsid w:val="00454FA7"/>
    <w:rsid w:val="004553D3"/>
    <w:rsid w:val="00465348"/>
    <w:rsid w:val="00467CF8"/>
    <w:rsid w:val="004702DE"/>
    <w:rsid w:val="00477D45"/>
    <w:rsid w:val="00477E5D"/>
    <w:rsid w:val="00481F73"/>
    <w:rsid w:val="00495AFA"/>
    <w:rsid w:val="004979A5"/>
    <w:rsid w:val="004A0D7D"/>
    <w:rsid w:val="004A25E0"/>
    <w:rsid w:val="004B1CCB"/>
    <w:rsid w:val="004B632F"/>
    <w:rsid w:val="004D3FB1"/>
    <w:rsid w:val="004D6F21"/>
    <w:rsid w:val="004D73A5"/>
    <w:rsid w:val="004F5342"/>
    <w:rsid w:val="004F78DB"/>
    <w:rsid w:val="005160F1"/>
    <w:rsid w:val="005247F0"/>
    <w:rsid w:val="00524F2F"/>
    <w:rsid w:val="00527E5C"/>
    <w:rsid w:val="005300F1"/>
    <w:rsid w:val="00532CF5"/>
    <w:rsid w:val="005476B4"/>
    <w:rsid w:val="005528CB"/>
    <w:rsid w:val="00553DAB"/>
    <w:rsid w:val="0056335C"/>
    <w:rsid w:val="00566771"/>
    <w:rsid w:val="005740F8"/>
    <w:rsid w:val="00581E2E"/>
    <w:rsid w:val="00584A61"/>
    <w:rsid w:val="00584F15"/>
    <w:rsid w:val="00585786"/>
    <w:rsid w:val="0059514B"/>
    <w:rsid w:val="005A1B0F"/>
    <w:rsid w:val="005B4CE6"/>
    <w:rsid w:val="005B5EFE"/>
    <w:rsid w:val="005C538E"/>
    <w:rsid w:val="005D2BF2"/>
    <w:rsid w:val="005D67A2"/>
    <w:rsid w:val="005E02C0"/>
    <w:rsid w:val="005E5EEC"/>
    <w:rsid w:val="005F0B38"/>
    <w:rsid w:val="005F11DB"/>
    <w:rsid w:val="005F27A8"/>
    <w:rsid w:val="005F37BE"/>
    <w:rsid w:val="00606687"/>
    <w:rsid w:val="006163F7"/>
    <w:rsid w:val="00627C63"/>
    <w:rsid w:val="0063350B"/>
    <w:rsid w:val="006363A1"/>
    <w:rsid w:val="00647F37"/>
    <w:rsid w:val="00651262"/>
    <w:rsid w:val="006520E5"/>
    <w:rsid w:val="00652606"/>
    <w:rsid w:val="00671D66"/>
    <w:rsid w:val="006946EE"/>
    <w:rsid w:val="006A58A9"/>
    <w:rsid w:val="006A606D"/>
    <w:rsid w:val="006A78AF"/>
    <w:rsid w:val="006A78F0"/>
    <w:rsid w:val="006C0371"/>
    <w:rsid w:val="006C08B6"/>
    <w:rsid w:val="006C0B1A"/>
    <w:rsid w:val="006C6065"/>
    <w:rsid w:val="006C7F9F"/>
    <w:rsid w:val="006D0970"/>
    <w:rsid w:val="006E2F6D"/>
    <w:rsid w:val="006E58F6"/>
    <w:rsid w:val="006E77E1"/>
    <w:rsid w:val="006F131D"/>
    <w:rsid w:val="006F2094"/>
    <w:rsid w:val="006F5518"/>
    <w:rsid w:val="00702F62"/>
    <w:rsid w:val="00711642"/>
    <w:rsid w:val="0072326A"/>
    <w:rsid w:val="00726CA9"/>
    <w:rsid w:val="00744942"/>
    <w:rsid w:val="007507C6"/>
    <w:rsid w:val="00751E0B"/>
    <w:rsid w:val="00752BCD"/>
    <w:rsid w:val="0076062C"/>
    <w:rsid w:val="007617EA"/>
    <w:rsid w:val="0076576C"/>
    <w:rsid w:val="00766DA1"/>
    <w:rsid w:val="00780D94"/>
    <w:rsid w:val="007866A6"/>
    <w:rsid w:val="007A130D"/>
    <w:rsid w:val="007C1D69"/>
    <w:rsid w:val="007D1A2D"/>
    <w:rsid w:val="007D32E6"/>
    <w:rsid w:val="007D4102"/>
    <w:rsid w:val="007D65DE"/>
    <w:rsid w:val="007E54A7"/>
    <w:rsid w:val="007F3603"/>
    <w:rsid w:val="007F43B7"/>
    <w:rsid w:val="007F51AA"/>
    <w:rsid w:val="007F675B"/>
    <w:rsid w:val="00814A64"/>
    <w:rsid w:val="00821753"/>
    <w:rsid w:val="00821FFC"/>
    <w:rsid w:val="0082456E"/>
    <w:rsid w:val="00826060"/>
    <w:rsid w:val="008271CA"/>
    <w:rsid w:val="00837AF5"/>
    <w:rsid w:val="008467D5"/>
    <w:rsid w:val="008608C5"/>
    <w:rsid w:val="0087403D"/>
    <w:rsid w:val="008A4DC4"/>
    <w:rsid w:val="008A4E00"/>
    <w:rsid w:val="008A62C9"/>
    <w:rsid w:val="008A797A"/>
    <w:rsid w:val="008B046F"/>
    <w:rsid w:val="008B438C"/>
    <w:rsid w:val="008C6C21"/>
    <w:rsid w:val="008C7571"/>
    <w:rsid w:val="008D06CA"/>
    <w:rsid w:val="008D33F1"/>
    <w:rsid w:val="008D3A46"/>
    <w:rsid w:val="008D3CB1"/>
    <w:rsid w:val="008E16B3"/>
    <w:rsid w:val="008E48D8"/>
    <w:rsid w:val="008F2385"/>
    <w:rsid w:val="008F2C03"/>
    <w:rsid w:val="008F647F"/>
    <w:rsid w:val="009067A4"/>
    <w:rsid w:val="0091114F"/>
    <w:rsid w:val="00922AE8"/>
    <w:rsid w:val="00930885"/>
    <w:rsid w:val="00933D68"/>
    <w:rsid w:val="009340DB"/>
    <w:rsid w:val="0094618C"/>
    <w:rsid w:val="0095684B"/>
    <w:rsid w:val="009718CC"/>
    <w:rsid w:val="00971F3F"/>
    <w:rsid w:val="00972498"/>
    <w:rsid w:val="0097481F"/>
    <w:rsid w:val="00974CC6"/>
    <w:rsid w:val="00976AD4"/>
    <w:rsid w:val="00977251"/>
    <w:rsid w:val="00980F3B"/>
    <w:rsid w:val="00995547"/>
    <w:rsid w:val="009A1D51"/>
    <w:rsid w:val="009A3109"/>
    <w:rsid w:val="009A312F"/>
    <w:rsid w:val="009A5348"/>
    <w:rsid w:val="009B0AB7"/>
    <w:rsid w:val="009C37DA"/>
    <w:rsid w:val="009C76D5"/>
    <w:rsid w:val="009D42D5"/>
    <w:rsid w:val="009D46EB"/>
    <w:rsid w:val="009D559E"/>
    <w:rsid w:val="009F77C8"/>
    <w:rsid w:val="009F7AA4"/>
    <w:rsid w:val="009F7B0D"/>
    <w:rsid w:val="00A10AD7"/>
    <w:rsid w:val="00A17934"/>
    <w:rsid w:val="00A226BB"/>
    <w:rsid w:val="00A30A6C"/>
    <w:rsid w:val="00A30B1D"/>
    <w:rsid w:val="00A30C2E"/>
    <w:rsid w:val="00A323B0"/>
    <w:rsid w:val="00A37B09"/>
    <w:rsid w:val="00A37F3C"/>
    <w:rsid w:val="00A40540"/>
    <w:rsid w:val="00A44752"/>
    <w:rsid w:val="00A559DB"/>
    <w:rsid w:val="00A569EA"/>
    <w:rsid w:val="00A6561A"/>
    <w:rsid w:val="00A676A0"/>
    <w:rsid w:val="00A70B87"/>
    <w:rsid w:val="00A73E96"/>
    <w:rsid w:val="00A92AFE"/>
    <w:rsid w:val="00A959FC"/>
    <w:rsid w:val="00AA4A78"/>
    <w:rsid w:val="00AA7964"/>
    <w:rsid w:val="00AC1D03"/>
    <w:rsid w:val="00AD7018"/>
    <w:rsid w:val="00AD7C85"/>
    <w:rsid w:val="00AE6EC9"/>
    <w:rsid w:val="00AF35B9"/>
    <w:rsid w:val="00AF35FC"/>
    <w:rsid w:val="00AF5556"/>
    <w:rsid w:val="00B03639"/>
    <w:rsid w:val="00B0652A"/>
    <w:rsid w:val="00B1231D"/>
    <w:rsid w:val="00B2318D"/>
    <w:rsid w:val="00B308A2"/>
    <w:rsid w:val="00B40937"/>
    <w:rsid w:val="00B423EF"/>
    <w:rsid w:val="00B4502C"/>
    <w:rsid w:val="00B453DE"/>
    <w:rsid w:val="00B536C2"/>
    <w:rsid w:val="00B62497"/>
    <w:rsid w:val="00B72597"/>
    <w:rsid w:val="00B87DC0"/>
    <w:rsid w:val="00B901F9"/>
    <w:rsid w:val="00BB7DBB"/>
    <w:rsid w:val="00BC4D98"/>
    <w:rsid w:val="00BD2F55"/>
    <w:rsid w:val="00BD6EFB"/>
    <w:rsid w:val="00BE3DF5"/>
    <w:rsid w:val="00BF0CA3"/>
    <w:rsid w:val="00BF1173"/>
    <w:rsid w:val="00BF5EAB"/>
    <w:rsid w:val="00C02410"/>
    <w:rsid w:val="00C130D5"/>
    <w:rsid w:val="00C1584D"/>
    <w:rsid w:val="00C15BE2"/>
    <w:rsid w:val="00C178E1"/>
    <w:rsid w:val="00C17F79"/>
    <w:rsid w:val="00C31353"/>
    <w:rsid w:val="00C3447F"/>
    <w:rsid w:val="00C44714"/>
    <w:rsid w:val="00C67102"/>
    <w:rsid w:val="00C757F2"/>
    <w:rsid w:val="00C7762E"/>
    <w:rsid w:val="00C776A3"/>
    <w:rsid w:val="00C77F8E"/>
    <w:rsid w:val="00C81491"/>
    <w:rsid w:val="00C81676"/>
    <w:rsid w:val="00C85C5D"/>
    <w:rsid w:val="00C861BD"/>
    <w:rsid w:val="00C92CC4"/>
    <w:rsid w:val="00C93D81"/>
    <w:rsid w:val="00C95DDB"/>
    <w:rsid w:val="00CA0AFB"/>
    <w:rsid w:val="00CA2701"/>
    <w:rsid w:val="00CA2CE1"/>
    <w:rsid w:val="00CA3976"/>
    <w:rsid w:val="00CA50E3"/>
    <w:rsid w:val="00CA6DF4"/>
    <w:rsid w:val="00CA757B"/>
    <w:rsid w:val="00CB6E6F"/>
    <w:rsid w:val="00CC1787"/>
    <w:rsid w:val="00CC182C"/>
    <w:rsid w:val="00CC51FF"/>
    <w:rsid w:val="00CD0824"/>
    <w:rsid w:val="00CD2908"/>
    <w:rsid w:val="00CD45CA"/>
    <w:rsid w:val="00CE0410"/>
    <w:rsid w:val="00D03A82"/>
    <w:rsid w:val="00D04CAE"/>
    <w:rsid w:val="00D104BE"/>
    <w:rsid w:val="00D13667"/>
    <w:rsid w:val="00D15344"/>
    <w:rsid w:val="00D23F57"/>
    <w:rsid w:val="00D31BEC"/>
    <w:rsid w:val="00D35734"/>
    <w:rsid w:val="00D5279B"/>
    <w:rsid w:val="00D57243"/>
    <w:rsid w:val="00D63150"/>
    <w:rsid w:val="00D636BA"/>
    <w:rsid w:val="00D64A32"/>
    <w:rsid w:val="00D64EFC"/>
    <w:rsid w:val="00D73B8F"/>
    <w:rsid w:val="00D75295"/>
    <w:rsid w:val="00D756F6"/>
    <w:rsid w:val="00D76CE9"/>
    <w:rsid w:val="00D8041C"/>
    <w:rsid w:val="00D9687F"/>
    <w:rsid w:val="00D97F12"/>
    <w:rsid w:val="00DA6095"/>
    <w:rsid w:val="00DA627E"/>
    <w:rsid w:val="00DA67C7"/>
    <w:rsid w:val="00DB09D4"/>
    <w:rsid w:val="00DB232E"/>
    <w:rsid w:val="00DB42E7"/>
    <w:rsid w:val="00DC09D8"/>
    <w:rsid w:val="00DC1A14"/>
    <w:rsid w:val="00DD2B1B"/>
    <w:rsid w:val="00DE01A6"/>
    <w:rsid w:val="00DE7A98"/>
    <w:rsid w:val="00DF0F3D"/>
    <w:rsid w:val="00DF1DD8"/>
    <w:rsid w:val="00DF32C2"/>
    <w:rsid w:val="00DF6755"/>
    <w:rsid w:val="00E1064A"/>
    <w:rsid w:val="00E128D3"/>
    <w:rsid w:val="00E1352B"/>
    <w:rsid w:val="00E45553"/>
    <w:rsid w:val="00E471A7"/>
    <w:rsid w:val="00E53131"/>
    <w:rsid w:val="00E54A95"/>
    <w:rsid w:val="00E635CF"/>
    <w:rsid w:val="00E6361F"/>
    <w:rsid w:val="00E839C9"/>
    <w:rsid w:val="00EB0A2A"/>
    <w:rsid w:val="00EB1E3B"/>
    <w:rsid w:val="00EB2AF8"/>
    <w:rsid w:val="00EB68CD"/>
    <w:rsid w:val="00EC6E0A"/>
    <w:rsid w:val="00ED3B52"/>
    <w:rsid w:val="00ED4E18"/>
    <w:rsid w:val="00ED66BD"/>
    <w:rsid w:val="00ED7922"/>
    <w:rsid w:val="00EE02C4"/>
    <w:rsid w:val="00EE1F37"/>
    <w:rsid w:val="00EE2CDC"/>
    <w:rsid w:val="00EF64F7"/>
    <w:rsid w:val="00F0159C"/>
    <w:rsid w:val="00F043E2"/>
    <w:rsid w:val="00F04764"/>
    <w:rsid w:val="00F059F1"/>
    <w:rsid w:val="00F105B7"/>
    <w:rsid w:val="00F130D6"/>
    <w:rsid w:val="00F13220"/>
    <w:rsid w:val="00F17A21"/>
    <w:rsid w:val="00F27BA2"/>
    <w:rsid w:val="00F31BF8"/>
    <w:rsid w:val="00F36FC2"/>
    <w:rsid w:val="00F37B27"/>
    <w:rsid w:val="00F455C8"/>
    <w:rsid w:val="00F46556"/>
    <w:rsid w:val="00F50E91"/>
    <w:rsid w:val="00F56799"/>
    <w:rsid w:val="00F57D29"/>
    <w:rsid w:val="00F60786"/>
    <w:rsid w:val="00F701DA"/>
    <w:rsid w:val="00F84500"/>
    <w:rsid w:val="00F91BC7"/>
    <w:rsid w:val="00F96201"/>
    <w:rsid w:val="00F96A3B"/>
    <w:rsid w:val="00F97DFE"/>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F209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F2094"/>
    <w:pPr>
      <w:keepNext/>
    </w:pPr>
    <w:rPr>
      <w:rFonts w:ascii="Arial" w:hAnsi="Arial" w:cs="Arial"/>
      <w:b/>
      <w:caps/>
      <w:sz w:val="20"/>
      <w:szCs w:val="20"/>
    </w:rPr>
  </w:style>
  <w:style w:type="character" w:customStyle="1" w:styleId="Casehead1Char">
    <w:name w:val="Casehead 1 Char"/>
    <w:basedOn w:val="BodyTextMainChar"/>
    <w:link w:val="Casehead1"/>
    <w:rsid w:val="006F2094"/>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3626D0"/>
    <w:rPr>
      <w:b w:val="0"/>
      <w:color w:val="auto"/>
      <w:vertAlign w:val="superscript"/>
    </w:rPr>
  </w:style>
  <w:style w:type="paragraph" w:customStyle="1" w:styleId="Footnote">
    <w:name w:val="Footnote"/>
    <w:basedOn w:val="FootnoteText"/>
    <w:link w:val="FootnoteChar"/>
    <w:qFormat/>
    <w:rsid w:val="00C17F79"/>
    <w:rPr>
      <w:rFonts w:ascii="Arial" w:hAnsi="Arial" w:cs="Arial"/>
      <w:sz w:val="17"/>
      <w:szCs w:val="17"/>
    </w:rPr>
  </w:style>
  <w:style w:type="character" w:customStyle="1" w:styleId="FootnoteChar">
    <w:name w:val="Footnote Char"/>
    <w:basedOn w:val="FootnoteTextChar"/>
    <w:link w:val="Footnote"/>
    <w:rsid w:val="00C17F79"/>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6F2094"/>
    <w:pPr>
      <w:spacing w:line="360" w:lineRule="auto"/>
    </w:pPr>
    <w:rPr>
      <w:rFonts w:ascii="Calibri" w:eastAsia="Calibri" w:hAnsi="Calibri"/>
      <w:lang w:val="x-none" w:eastAsia="x-none"/>
    </w:rPr>
  </w:style>
  <w:style w:type="character" w:customStyle="1" w:styleId="EndnoteTextChar">
    <w:name w:val="Endnote Text Char"/>
    <w:basedOn w:val="DefaultParagraphFont"/>
    <w:link w:val="EndnoteText"/>
    <w:rsid w:val="006F2094"/>
    <w:rPr>
      <w:rFonts w:ascii="Calibri" w:eastAsia="Calibri" w:hAnsi="Calibri" w:cs="Times New Roman"/>
      <w:sz w:val="20"/>
      <w:szCs w:val="20"/>
      <w:lang w:val="x-none" w:eastAsia="x-none"/>
    </w:rPr>
  </w:style>
  <w:style w:type="character" w:styleId="EndnoteReference">
    <w:name w:val="endnote reference"/>
    <w:uiPriority w:val="99"/>
    <w:unhideWhenUsed/>
    <w:qFormat/>
    <w:rsid w:val="00C17F79"/>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8F647F"/>
    <w:rPr>
      <w:color w:val="605E5C"/>
      <w:shd w:val="clear" w:color="auto" w:fill="E1DFDD"/>
    </w:rPr>
  </w:style>
  <w:style w:type="character" w:customStyle="1" w:styleId="UnresolvedMention2">
    <w:name w:val="Unresolved Mention2"/>
    <w:basedOn w:val="DefaultParagraphFont"/>
    <w:uiPriority w:val="99"/>
    <w:semiHidden/>
    <w:unhideWhenUsed/>
    <w:rsid w:val="00606687"/>
    <w:rPr>
      <w:color w:val="605E5C"/>
      <w:shd w:val="clear" w:color="auto" w:fill="E1DFDD"/>
    </w:rPr>
  </w:style>
  <w:style w:type="character" w:customStyle="1" w:styleId="Hyperlink5">
    <w:name w:val="Hyperlink.5"/>
    <w:rsid w:val="00744942"/>
    <w:rPr>
      <w:color w:val="0000FF"/>
      <w:u w:val="single"/>
    </w:rPr>
  </w:style>
  <w:style w:type="character" w:customStyle="1" w:styleId="Hyperlink6">
    <w:name w:val="Hyperlink.6"/>
    <w:rsid w:val="00744942"/>
    <w:rPr>
      <w:color w:val="0000FF"/>
      <w:u w:val="single"/>
    </w:rPr>
  </w:style>
  <w:style w:type="character" w:styleId="UnresolvedMention">
    <w:name w:val="Unresolved Mention"/>
    <w:basedOn w:val="DefaultParagraphFont"/>
    <w:uiPriority w:val="99"/>
    <w:semiHidden/>
    <w:unhideWhenUsed/>
    <w:rsid w:val="00837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63081710">
      <w:bodyDiv w:val="1"/>
      <w:marLeft w:val="0"/>
      <w:marRight w:val="0"/>
      <w:marTop w:val="0"/>
      <w:marBottom w:val="0"/>
      <w:divBdr>
        <w:top w:val="none" w:sz="0" w:space="0" w:color="auto"/>
        <w:left w:val="none" w:sz="0" w:space="0" w:color="auto"/>
        <w:bottom w:val="none" w:sz="0" w:space="0" w:color="auto"/>
        <w:right w:val="none" w:sz="0" w:space="0" w:color="auto"/>
      </w:divBdr>
    </w:div>
    <w:div w:id="204775521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AFA1B0-90DE-3344-996A-F9ECB4B5B832}">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856BD-2E9C-4734-AA36-8BCB7C61F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5</cp:revision>
  <cp:lastPrinted>2021-04-08T16:50:00Z</cp:lastPrinted>
  <dcterms:created xsi:type="dcterms:W3CDTF">2021-04-08T15:19:00Z</dcterms:created>
  <dcterms:modified xsi:type="dcterms:W3CDTF">2021-04-08T20:04:00Z</dcterms:modified>
</cp:coreProperties>
</file>