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78D82B" w14:textId="77777777" w:rsidR="00136C61" w:rsidRDefault="00136C61" w:rsidP="00136C61">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CA" w:eastAsia="en-CA"/>
        </w:rPr>
        <w:drawing>
          <wp:inline distT="0" distB="0" distL="0" distR="0" wp14:anchorId="499F62EB" wp14:editId="02A2BC26">
            <wp:extent cx="2613804" cy="551245"/>
            <wp:effectExtent l="0" t="0" r="0" b="1270"/>
            <wp:docPr id="2" name="Picture 2" descr="Ivey Publish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0D09BCDF" w14:textId="32918730" w:rsidR="00136C61" w:rsidRDefault="00136C61" w:rsidP="00136C61">
      <w:pPr>
        <w:pStyle w:val="ProductNumber"/>
      </w:pPr>
      <w:r>
        <w:t>9B21M035</w:t>
      </w:r>
    </w:p>
    <w:p w14:paraId="4E057522" w14:textId="7A113CB1" w:rsidR="00D75295" w:rsidRPr="00FA29FA" w:rsidRDefault="00D75295" w:rsidP="00D75295">
      <w:pPr>
        <w:jc w:val="right"/>
        <w:rPr>
          <w:rFonts w:ascii="Arial" w:hAnsi="Arial"/>
          <w:b/>
          <w:lang w:val="en-GB"/>
        </w:rPr>
      </w:pPr>
    </w:p>
    <w:p w14:paraId="02524312" w14:textId="77777777" w:rsidR="001901C0" w:rsidRPr="00FA29FA" w:rsidRDefault="001901C0" w:rsidP="00D75295">
      <w:pPr>
        <w:jc w:val="right"/>
        <w:rPr>
          <w:rFonts w:ascii="Arial" w:hAnsi="Arial"/>
          <w:b/>
          <w:lang w:val="en-GB"/>
        </w:rPr>
      </w:pPr>
    </w:p>
    <w:p w14:paraId="2F03D26A" w14:textId="6BCD3D16" w:rsidR="00013360" w:rsidRPr="00FA29FA" w:rsidRDefault="00637477" w:rsidP="00013360">
      <w:pPr>
        <w:pStyle w:val="CaseTitle"/>
        <w:spacing w:after="0" w:line="240" w:lineRule="auto"/>
        <w:rPr>
          <w:sz w:val="20"/>
          <w:szCs w:val="20"/>
          <w:lang w:val="en-GB"/>
        </w:rPr>
      </w:pPr>
      <w:r w:rsidRPr="00FA29FA">
        <w:rPr>
          <w:lang w:val="en-GB"/>
        </w:rPr>
        <w:t>Ecobank Ghana: Change Management in an Acquisition</w:t>
      </w:r>
    </w:p>
    <w:p w14:paraId="40ABF6FD" w14:textId="77777777" w:rsidR="00CA3976" w:rsidRPr="00FA29FA" w:rsidRDefault="00CA3976" w:rsidP="00013360">
      <w:pPr>
        <w:pStyle w:val="CaseTitle"/>
        <w:spacing w:after="0" w:line="240" w:lineRule="auto"/>
        <w:rPr>
          <w:sz w:val="20"/>
          <w:szCs w:val="20"/>
          <w:lang w:val="en-GB"/>
        </w:rPr>
      </w:pPr>
    </w:p>
    <w:p w14:paraId="202F1085" w14:textId="77777777" w:rsidR="00013360" w:rsidRPr="00FA29FA" w:rsidRDefault="00013360" w:rsidP="00013360">
      <w:pPr>
        <w:pStyle w:val="CaseTitle"/>
        <w:spacing w:after="0" w:line="240" w:lineRule="auto"/>
        <w:rPr>
          <w:sz w:val="20"/>
          <w:szCs w:val="20"/>
          <w:lang w:val="en-GB"/>
        </w:rPr>
      </w:pPr>
    </w:p>
    <w:p w14:paraId="58B0C73F" w14:textId="390E7540" w:rsidR="00086B26" w:rsidRPr="00FA29FA" w:rsidRDefault="00637477" w:rsidP="00086B26">
      <w:pPr>
        <w:pStyle w:val="StyleCopyrightStatementAfter0ptBottomSinglesolidline1"/>
        <w:rPr>
          <w:lang w:val="en-GB"/>
        </w:rPr>
      </w:pPr>
      <w:r w:rsidRPr="00FA29FA">
        <w:rPr>
          <w:lang w:val="en-GB"/>
        </w:rPr>
        <w:t>Helena M. Addae and Kwesi Amponsah-Tawiah</w:t>
      </w:r>
      <w:r w:rsidR="00ED7922" w:rsidRPr="00FA29FA">
        <w:rPr>
          <w:rFonts w:cs="Arial"/>
          <w:szCs w:val="16"/>
          <w:lang w:val="en-GB"/>
        </w:rPr>
        <w:t xml:space="preserve"> </w:t>
      </w:r>
      <w:r w:rsidR="00086B26" w:rsidRPr="00FA29FA">
        <w:rPr>
          <w:lang w:val="en-GB"/>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Pr="00FA29FA" w:rsidRDefault="00086B26" w:rsidP="00086B26">
      <w:pPr>
        <w:pStyle w:val="StyleCopyrightStatementAfter0ptBottomSinglesolidline1"/>
        <w:rPr>
          <w:lang w:val="en-GB"/>
        </w:rPr>
      </w:pPr>
    </w:p>
    <w:p w14:paraId="3BD6D1BE" w14:textId="77777777" w:rsidR="00136C61" w:rsidRPr="00A323B0" w:rsidRDefault="00136C61" w:rsidP="00136C61">
      <w:pPr>
        <w:pStyle w:val="StyleStyleCopyrightStatementAfter0ptBottomSinglesolid"/>
        <w:rPr>
          <w:rFonts w:cs="Arial"/>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3B392779" w14:textId="77777777" w:rsidR="00136C61" w:rsidRPr="00A323B0" w:rsidRDefault="00136C61" w:rsidP="00136C61">
      <w:pPr>
        <w:pStyle w:val="StyleStyleCopyrightStatementAfter0ptBottomSinglesolid"/>
        <w:rPr>
          <w:rFonts w:cs="Arial"/>
          <w:szCs w:val="16"/>
        </w:rPr>
      </w:pPr>
    </w:p>
    <w:p w14:paraId="3922E14F" w14:textId="225AA457" w:rsidR="00751E0B" w:rsidRPr="00FA29FA" w:rsidRDefault="00136C61" w:rsidP="00136C61">
      <w:pPr>
        <w:pStyle w:val="StyleStyleCopyrightStatementAfter0ptBottomSinglesolid"/>
        <w:rPr>
          <w:rFonts w:cs="Arial"/>
          <w:szCs w:val="16"/>
          <w:lang w:val="en-GB"/>
        </w:rPr>
      </w:pPr>
      <w:r w:rsidRPr="00A323B0">
        <w:rPr>
          <w:rFonts w:cs="Arial"/>
          <w:iCs w:val="0"/>
          <w:color w:val="auto"/>
          <w:szCs w:val="16"/>
        </w:rPr>
        <w:t>Copyright © 20</w:t>
      </w:r>
      <w:r>
        <w:rPr>
          <w:rFonts w:cs="Arial"/>
          <w:iCs w:val="0"/>
          <w:color w:val="auto"/>
          <w:szCs w:val="16"/>
        </w:rPr>
        <w:t>21</w:t>
      </w:r>
      <w:r w:rsidRPr="00A323B0">
        <w:rPr>
          <w:rFonts w:cs="Arial"/>
          <w:iCs w:val="0"/>
          <w:color w:val="auto"/>
          <w:szCs w:val="16"/>
        </w:rPr>
        <w:t xml:space="preserve">, </w:t>
      </w:r>
      <w:r w:rsidRPr="00A323B0">
        <w:rPr>
          <w:rFonts w:cs="Arial"/>
          <w:iCs w:val="0"/>
          <w:color w:val="auto"/>
          <w:szCs w:val="16"/>
          <w:lang w:val="en-CA"/>
        </w:rPr>
        <w:t>Ivey Business School Foundation</w:t>
      </w:r>
      <w:r w:rsidRPr="00A323B0">
        <w:rPr>
          <w:rFonts w:cs="Arial"/>
          <w:iCs w:val="0"/>
          <w:color w:val="auto"/>
          <w:szCs w:val="16"/>
          <w:lang w:val="en-CA"/>
        </w:rPr>
        <w:tab/>
      </w:r>
      <w:r w:rsidRPr="00A323B0">
        <w:rPr>
          <w:rFonts w:cs="Arial"/>
          <w:iCs w:val="0"/>
          <w:color w:val="auto"/>
          <w:szCs w:val="16"/>
        </w:rPr>
        <w:t xml:space="preserve">Version: </w:t>
      </w:r>
      <w:r>
        <w:rPr>
          <w:rFonts w:cs="Arial"/>
          <w:iCs w:val="0"/>
          <w:color w:val="auto"/>
          <w:szCs w:val="16"/>
        </w:rPr>
        <w:t>2021-04-19</w:t>
      </w:r>
    </w:p>
    <w:p w14:paraId="0A2A54E4" w14:textId="77777777" w:rsidR="00751E0B" w:rsidRPr="00FA29FA" w:rsidRDefault="00751E0B" w:rsidP="00751E0B">
      <w:pPr>
        <w:pStyle w:val="StyleCopyrightStatementAfter0ptBottomSinglesolidline1"/>
        <w:rPr>
          <w:rFonts w:ascii="Times New Roman" w:hAnsi="Times New Roman"/>
          <w:sz w:val="20"/>
          <w:lang w:val="en-GB"/>
        </w:rPr>
      </w:pPr>
    </w:p>
    <w:p w14:paraId="2C183161" w14:textId="55F5310F" w:rsidR="00B87DC0" w:rsidRPr="00FA29FA" w:rsidRDefault="00B87DC0" w:rsidP="002B40FF">
      <w:pPr>
        <w:pStyle w:val="Casehead1"/>
        <w:rPr>
          <w:lang w:val="en-GB"/>
        </w:rPr>
      </w:pPr>
    </w:p>
    <w:p w14:paraId="2EC99FCD" w14:textId="77777777" w:rsidR="00637477" w:rsidRPr="00FA29FA" w:rsidRDefault="00637477" w:rsidP="00637477">
      <w:pPr>
        <w:pStyle w:val="Casehead1"/>
        <w:rPr>
          <w:lang w:val="en-GB"/>
        </w:rPr>
      </w:pPr>
      <w:r w:rsidRPr="00FA29FA">
        <w:rPr>
          <w:lang w:val="en-GB"/>
        </w:rPr>
        <w:t>Introduction</w:t>
      </w:r>
    </w:p>
    <w:p w14:paraId="08044D39" w14:textId="77777777" w:rsidR="00637477" w:rsidRPr="00FA29FA" w:rsidRDefault="00637477" w:rsidP="00637477">
      <w:pPr>
        <w:pStyle w:val="BodyTextMain"/>
        <w:rPr>
          <w:lang w:val="en-GB"/>
        </w:rPr>
      </w:pPr>
    </w:p>
    <w:p w14:paraId="28133DB4" w14:textId="2110977B" w:rsidR="00637477" w:rsidRPr="00136C61" w:rsidRDefault="00637477" w:rsidP="00637477">
      <w:pPr>
        <w:pStyle w:val="BodyTextMain"/>
        <w:rPr>
          <w:spacing w:val="-4"/>
          <w:lang w:val="en-GB"/>
        </w:rPr>
      </w:pPr>
      <w:r w:rsidRPr="00136C61">
        <w:rPr>
          <w:spacing w:val="-4"/>
          <w:lang w:val="en-GB"/>
        </w:rPr>
        <w:t xml:space="preserve">Ecobank Transnational Incorporated (ETI), a broad-service financial institution, was the largest employer in the financial sector in </w:t>
      </w:r>
      <w:r w:rsidR="003061D8" w:rsidRPr="00136C61">
        <w:rPr>
          <w:spacing w:val="-4"/>
          <w:lang w:val="en-GB"/>
        </w:rPr>
        <w:t xml:space="preserve">central </w:t>
      </w:r>
      <w:r w:rsidRPr="00136C61">
        <w:rPr>
          <w:spacing w:val="-4"/>
          <w:lang w:val="en-GB"/>
        </w:rPr>
        <w:t xml:space="preserve">Africa. The bank had achieved its size through several acquisitions in various locations </w:t>
      </w:r>
      <w:r w:rsidR="00CB27E1" w:rsidRPr="00136C61">
        <w:rPr>
          <w:spacing w:val="-4"/>
          <w:lang w:val="en-GB"/>
        </w:rPr>
        <w:t>across</w:t>
      </w:r>
      <w:r w:rsidRPr="00136C61">
        <w:rPr>
          <w:spacing w:val="-4"/>
          <w:lang w:val="en-GB"/>
        </w:rPr>
        <w:t xml:space="preserve"> Africa. </w:t>
      </w:r>
      <w:r w:rsidR="00141550" w:rsidRPr="00136C61">
        <w:rPr>
          <w:spacing w:val="-4"/>
        </w:rPr>
        <w:t xml:space="preserve">In 2011, ETI acquired the Trust Bank Ghana Limited (TTB) as part of </w:t>
      </w:r>
      <w:r w:rsidR="00CB27E1" w:rsidRPr="00136C61">
        <w:rPr>
          <w:spacing w:val="-4"/>
        </w:rPr>
        <w:t>its</w:t>
      </w:r>
      <w:r w:rsidR="00141550" w:rsidRPr="00136C61">
        <w:rPr>
          <w:spacing w:val="-4"/>
        </w:rPr>
        <w:t xml:space="preserve"> growth strategy</w:t>
      </w:r>
      <w:r w:rsidR="00085D91" w:rsidRPr="00136C61">
        <w:rPr>
          <w:spacing w:val="-4"/>
        </w:rPr>
        <w:t>, and</w:t>
      </w:r>
      <w:r w:rsidR="00141550" w:rsidRPr="00136C61">
        <w:rPr>
          <w:spacing w:val="-4"/>
        </w:rPr>
        <w:t xml:space="preserve"> planned to merge </w:t>
      </w:r>
      <w:r w:rsidR="00CB27E1" w:rsidRPr="00136C61">
        <w:rPr>
          <w:spacing w:val="-4"/>
        </w:rPr>
        <w:t>it</w:t>
      </w:r>
      <w:r w:rsidR="00141550" w:rsidRPr="00136C61">
        <w:rPr>
          <w:spacing w:val="-4"/>
        </w:rPr>
        <w:t xml:space="preserve"> with Ecobank Ghana Limited (Ecobank), an affiliate of ETI</w:t>
      </w:r>
      <w:r w:rsidR="00CB27E1" w:rsidRPr="00136C61">
        <w:rPr>
          <w:spacing w:val="-4"/>
        </w:rPr>
        <w:t>, over the next year</w:t>
      </w:r>
      <w:r w:rsidR="00085D91" w:rsidRPr="00136C61">
        <w:rPr>
          <w:spacing w:val="-4"/>
        </w:rPr>
        <w:t>.</w:t>
      </w:r>
    </w:p>
    <w:p w14:paraId="0532EC80" w14:textId="77777777" w:rsidR="00637477" w:rsidRPr="00FA29FA" w:rsidRDefault="00637477" w:rsidP="00637477">
      <w:pPr>
        <w:pStyle w:val="BodyTextMain"/>
        <w:rPr>
          <w:lang w:val="en-GB"/>
        </w:rPr>
      </w:pPr>
    </w:p>
    <w:p w14:paraId="0DA79044" w14:textId="7454FD2B" w:rsidR="00637477" w:rsidRPr="00FA29FA" w:rsidRDefault="00637477" w:rsidP="00637477">
      <w:pPr>
        <w:pStyle w:val="BodyTextMain"/>
        <w:rPr>
          <w:lang w:val="en-GB"/>
        </w:rPr>
      </w:pPr>
      <w:r w:rsidRPr="00FA29FA">
        <w:rPr>
          <w:lang w:val="en-GB"/>
        </w:rPr>
        <w:t>The acquisition br</w:t>
      </w:r>
      <w:r w:rsidR="00415ABD" w:rsidRPr="00FA29FA">
        <w:rPr>
          <w:lang w:val="en-GB"/>
        </w:rPr>
        <w:t>ought</w:t>
      </w:r>
      <w:r w:rsidRPr="00FA29FA">
        <w:rPr>
          <w:lang w:val="en-GB"/>
        </w:rPr>
        <w:t xml:space="preserve"> together two banks with different organizational cultures, customer bases, operational technologies, and regulatory reporting requirements. Ecobank was part of a multinational bank with branches around the African continent</w:t>
      </w:r>
      <w:r w:rsidR="00415ABD" w:rsidRPr="00FA29FA">
        <w:rPr>
          <w:lang w:val="en-GB"/>
        </w:rPr>
        <w:t>; d</w:t>
      </w:r>
      <w:r w:rsidRPr="00FA29FA">
        <w:rPr>
          <w:lang w:val="en-GB"/>
        </w:rPr>
        <w:t xml:space="preserve">ecisions were made centrally by ETI for consistency and standardization in all branches. Also, while </w:t>
      </w:r>
      <w:r w:rsidR="00415ABD" w:rsidRPr="00FA29FA">
        <w:rPr>
          <w:lang w:val="en-GB"/>
        </w:rPr>
        <w:t xml:space="preserve">Ecobank </w:t>
      </w:r>
      <w:r w:rsidRPr="00FA29FA">
        <w:rPr>
          <w:lang w:val="en-GB"/>
        </w:rPr>
        <w:t xml:space="preserve">was a full-service bank, </w:t>
      </w:r>
      <w:r w:rsidR="00415ABD" w:rsidRPr="00FA29FA">
        <w:rPr>
          <w:lang w:val="en-GB"/>
        </w:rPr>
        <w:t xml:space="preserve">it </w:t>
      </w:r>
      <w:r w:rsidRPr="00FA29FA">
        <w:rPr>
          <w:lang w:val="en-GB"/>
        </w:rPr>
        <w:t>was perceived primarily as a corporate bank. TTB, on the other hand, was a medium-sized financial service provider that focused on small</w:t>
      </w:r>
      <w:r w:rsidR="00415ABD" w:rsidRPr="00FA29FA">
        <w:rPr>
          <w:lang w:val="en-GB"/>
        </w:rPr>
        <w:t>-</w:t>
      </w:r>
      <w:r w:rsidRPr="00FA29FA">
        <w:rPr>
          <w:lang w:val="en-GB"/>
        </w:rPr>
        <w:t xml:space="preserve"> and medium-sized enterprises</w:t>
      </w:r>
      <w:r w:rsidR="00415ABD" w:rsidRPr="00FA29FA">
        <w:rPr>
          <w:lang w:val="en-GB"/>
        </w:rPr>
        <w:t xml:space="preserve"> (SMEs)</w:t>
      </w:r>
      <w:r w:rsidRPr="00FA29FA">
        <w:rPr>
          <w:lang w:val="en-GB"/>
        </w:rPr>
        <w:t>. It operated typically as a local bank</w:t>
      </w:r>
      <w:r w:rsidR="00415ABD" w:rsidRPr="00FA29FA">
        <w:rPr>
          <w:lang w:val="en-GB"/>
        </w:rPr>
        <w:t>,</w:t>
      </w:r>
      <w:r w:rsidRPr="00FA29FA">
        <w:rPr>
          <w:lang w:val="en-GB"/>
        </w:rPr>
        <w:t xml:space="preserve"> with each branch making decisions to reflect its locality.</w:t>
      </w:r>
    </w:p>
    <w:p w14:paraId="70564928" w14:textId="77777777" w:rsidR="00637477" w:rsidRPr="00FA29FA" w:rsidRDefault="00637477" w:rsidP="00637477">
      <w:pPr>
        <w:pStyle w:val="BodyTextMain"/>
        <w:rPr>
          <w:lang w:val="en-GB"/>
        </w:rPr>
      </w:pPr>
    </w:p>
    <w:p w14:paraId="3941762C" w14:textId="7B34FB0B" w:rsidR="00637477" w:rsidRPr="00FA29FA" w:rsidRDefault="00141550" w:rsidP="00637477">
      <w:pPr>
        <w:pStyle w:val="BodyTextMain"/>
        <w:rPr>
          <w:lang w:val="en-GB"/>
        </w:rPr>
      </w:pPr>
      <w:r w:rsidRPr="00180524">
        <w:t>Raymond Fordwuo, an employee with ETI, was selected as the integration manager to oversee the merger. He anticipated that the differences were going to lead to challenges with integrating the two banks under the umbrella of Ecobank</w:t>
      </w:r>
      <w:r w:rsidR="00637477" w:rsidRPr="00FA29FA">
        <w:rPr>
          <w:lang w:val="en-GB"/>
        </w:rPr>
        <w:t xml:space="preserve">. </w:t>
      </w:r>
      <w:r w:rsidRPr="00180524">
        <w:rPr>
          <w:lang w:val="en-GB"/>
        </w:rPr>
        <w:t>He needed a plan to manage the merger of the two banks—a plan that would successfully bring together two different</w:t>
      </w:r>
      <w:r w:rsidRPr="00180524">
        <w:rPr>
          <w:rStyle w:val="CommentReference"/>
          <w:lang w:val="en-GB"/>
        </w:rPr>
        <w:annotationRef/>
      </w:r>
      <w:r w:rsidRPr="00180524">
        <w:rPr>
          <w:rStyle w:val="CommentReference"/>
        </w:rPr>
        <w:annotationRef/>
      </w:r>
      <w:r w:rsidRPr="00180524">
        <w:rPr>
          <w:rStyle w:val="CommentReference"/>
        </w:rPr>
        <w:annotationRef/>
      </w:r>
      <w:r w:rsidRPr="00180524">
        <w:rPr>
          <w:lang w:val="en-GB"/>
        </w:rPr>
        <w:t xml:space="preserve"> types of clientele, two operational systems, two brands and organizational cultures, and two staff groups who had been promised that no jobs would be lost.</w:t>
      </w:r>
      <w:r>
        <w:rPr>
          <w:lang w:val="en-GB"/>
        </w:rPr>
        <w:t xml:space="preserve"> </w:t>
      </w:r>
      <w:r w:rsidR="00637477" w:rsidRPr="00FA29FA">
        <w:rPr>
          <w:lang w:val="en-GB"/>
        </w:rPr>
        <w:t xml:space="preserve">How should </w:t>
      </w:r>
      <w:r w:rsidR="00085D91" w:rsidRPr="00180524">
        <w:t>Fordwuo</w:t>
      </w:r>
      <w:r w:rsidR="00637477" w:rsidRPr="00FA29FA">
        <w:rPr>
          <w:lang w:val="en-GB"/>
        </w:rPr>
        <w:t xml:space="preserve"> manage the merger between the two banks to manage costs and information flow? What changes would Fordwuo need to prioritize</w:t>
      </w:r>
      <w:r w:rsidR="00991CA9" w:rsidRPr="00FA29FA">
        <w:rPr>
          <w:lang w:val="en-GB"/>
        </w:rPr>
        <w:t>,</w:t>
      </w:r>
      <w:r w:rsidR="00637477" w:rsidRPr="00FA29FA">
        <w:rPr>
          <w:lang w:val="en-GB"/>
        </w:rPr>
        <w:t xml:space="preserve"> and what challenges should he anticipate in the merger?</w:t>
      </w:r>
    </w:p>
    <w:p w14:paraId="1F5F4C87" w14:textId="77777777" w:rsidR="00637477" w:rsidRPr="00FA29FA" w:rsidRDefault="00637477" w:rsidP="00637477">
      <w:pPr>
        <w:pStyle w:val="BodyTextMain"/>
        <w:rPr>
          <w:lang w:val="en-GB"/>
        </w:rPr>
      </w:pPr>
    </w:p>
    <w:p w14:paraId="2607A904" w14:textId="77777777" w:rsidR="00637477" w:rsidRPr="00FA29FA" w:rsidRDefault="00637477" w:rsidP="00637477">
      <w:pPr>
        <w:pStyle w:val="BodyTextMain"/>
        <w:rPr>
          <w:lang w:val="en-GB"/>
        </w:rPr>
      </w:pPr>
    </w:p>
    <w:p w14:paraId="0EEBCD5B" w14:textId="77777777" w:rsidR="00637477" w:rsidRPr="00FA29FA" w:rsidRDefault="00637477" w:rsidP="00637477">
      <w:pPr>
        <w:pStyle w:val="Casehead1"/>
        <w:rPr>
          <w:lang w:val="en-GB"/>
        </w:rPr>
      </w:pPr>
      <w:r w:rsidRPr="00FA29FA">
        <w:rPr>
          <w:lang w:val="en-GB"/>
        </w:rPr>
        <w:t>Banking in Ghana</w:t>
      </w:r>
    </w:p>
    <w:p w14:paraId="0731D9CE" w14:textId="77777777" w:rsidR="00637477" w:rsidRPr="00FA29FA" w:rsidRDefault="00637477" w:rsidP="00637477">
      <w:pPr>
        <w:pStyle w:val="BodyTextMain"/>
        <w:rPr>
          <w:lang w:val="en-GB"/>
        </w:rPr>
      </w:pPr>
    </w:p>
    <w:p w14:paraId="1E7D5ABA" w14:textId="642A2051" w:rsidR="00DC63B0" w:rsidRPr="00FA29FA" w:rsidRDefault="00637477" w:rsidP="00637477">
      <w:pPr>
        <w:pStyle w:val="BodyTextMain"/>
        <w:rPr>
          <w:lang w:val="en-GB"/>
        </w:rPr>
      </w:pPr>
      <w:r w:rsidRPr="00FA29FA">
        <w:rPr>
          <w:lang w:val="en-GB"/>
        </w:rPr>
        <w:t xml:space="preserve">Historically, the banks in Ghana </w:t>
      </w:r>
      <w:r w:rsidR="00991CA9" w:rsidRPr="00FA29FA">
        <w:rPr>
          <w:lang w:val="en-GB"/>
        </w:rPr>
        <w:t xml:space="preserve">had </w:t>
      </w:r>
      <w:r w:rsidRPr="00FA29FA">
        <w:rPr>
          <w:lang w:val="en-GB"/>
        </w:rPr>
        <w:t xml:space="preserve">all </w:t>
      </w:r>
      <w:r w:rsidR="00991CA9" w:rsidRPr="00FA29FA">
        <w:rPr>
          <w:lang w:val="en-GB"/>
        </w:rPr>
        <w:t xml:space="preserve">been </w:t>
      </w:r>
      <w:r w:rsidRPr="00FA29FA">
        <w:rPr>
          <w:lang w:val="en-GB"/>
        </w:rPr>
        <w:t>foreign owned until 1953</w:t>
      </w:r>
      <w:r w:rsidR="00991CA9" w:rsidRPr="00FA29FA">
        <w:rPr>
          <w:lang w:val="en-GB"/>
        </w:rPr>
        <w:t>,</w:t>
      </w:r>
      <w:r w:rsidRPr="00FA29FA">
        <w:rPr>
          <w:lang w:val="en-GB"/>
        </w:rPr>
        <w:t xml:space="preserve"> when the Ghana Commercial Bank was established. With independence in 1957, Ghana established the Bank of Ghana as the central bank </w:t>
      </w:r>
      <w:r w:rsidR="00991CA9" w:rsidRPr="00FA29FA">
        <w:rPr>
          <w:lang w:val="en-GB"/>
        </w:rPr>
        <w:t xml:space="preserve">that would </w:t>
      </w:r>
      <w:r w:rsidRPr="00FA29FA">
        <w:rPr>
          <w:lang w:val="en-GB"/>
        </w:rPr>
        <w:t xml:space="preserve">regulate the financial institutions and banks in Ghana, oversee the country’s monetary policies, and </w:t>
      </w:r>
      <w:r w:rsidRPr="00FA29FA">
        <w:rPr>
          <w:lang w:val="en-GB"/>
        </w:rPr>
        <w:lastRenderedPageBreak/>
        <w:t xml:space="preserve">advise the government on </w:t>
      </w:r>
      <w:r w:rsidR="00991CA9" w:rsidRPr="00FA29FA">
        <w:rPr>
          <w:lang w:val="en-GB"/>
        </w:rPr>
        <w:t xml:space="preserve">implementing those </w:t>
      </w:r>
      <w:r w:rsidRPr="00FA29FA">
        <w:rPr>
          <w:lang w:val="en-GB"/>
        </w:rPr>
        <w:t>policies. To supplement the largely commercial focus of the expatriate banks, the government established state-owned banks and development financial institutions.</w:t>
      </w:r>
      <w:r w:rsidR="00DC63B0" w:rsidRPr="00FA29FA">
        <w:rPr>
          <w:rStyle w:val="FootnoteReference"/>
          <w:lang w:val="en-GB"/>
        </w:rPr>
        <w:footnoteReference w:id="1"/>
      </w:r>
      <w:r w:rsidR="00DC63B0" w:rsidRPr="00FA29FA">
        <w:rPr>
          <w:lang w:val="en-GB"/>
        </w:rPr>
        <w:t xml:space="preserve"> </w:t>
      </w:r>
    </w:p>
    <w:p w14:paraId="4A0E4F76" w14:textId="77777777" w:rsidR="00DC63B0" w:rsidRPr="00FA29FA" w:rsidRDefault="00DC63B0" w:rsidP="00637477">
      <w:pPr>
        <w:pStyle w:val="BodyTextMain"/>
        <w:rPr>
          <w:lang w:val="en-GB"/>
        </w:rPr>
      </w:pPr>
    </w:p>
    <w:p w14:paraId="220B3D0F" w14:textId="55EF5F09" w:rsidR="00DC63B0" w:rsidRPr="00FA29FA" w:rsidRDefault="00DC63B0" w:rsidP="00637477">
      <w:pPr>
        <w:pStyle w:val="BodyTextMain"/>
        <w:rPr>
          <w:lang w:val="en-GB"/>
        </w:rPr>
      </w:pPr>
      <w:r w:rsidRPr="00FA29FA">
        <w:rPr>
          <w:lang w:val="en-GB"/>
        </w:rPr>
        <w:t>Banks in independent Ghana were largely state-owned until 1992, when the government introduced a law that allowed state banks to privatize. The law also increased the number of foreign and domestic banks that could be established in Ghana. With increased competition, banking services improved.</w:t>
      </w:r>
      <w:r w:rsidRPr="00FA29FA">
        <w:rPr>
          <w:rStyle w:val="FootnoteReference"/>
          <w:lang w:val="en-GB"/>
        </w:rPr>
        <w:footnoteReference w:id="2"/>
      </w:r>
      <w:r w:rsidRPr="00FA29FA">
        <w:rPr>
          <w:lang w:val="en-GB"/>
        </w:rPr>
        <w:t xml:space="preserve"> </w:t>
      </w:r>
    </w:p>
    <w:p w14:paraId="24321E1A" w14:textId="77777777" w:rsidR="00DC63B0" w:rsidRPr="00FA29FA" w:rsidRDefault="00DC63B0" w:rsidP="00637477">
      <w:pPr>
        <w:pStyle w:val="BodyTextMain"/>
        <w:rPr>
          <w:lang w:val="en-GB"/>
        </w:rPr>
      </w:pPr>
    </w:p>
    <w:p w14:paraId="31B98105" w14:textId="3ECA31B3" w:rsidR="00DC63B0" w:rsidRPr="00FA29FA" w:rsidRDefault="00DC63B0" w:rsidP="00637477">
      <w:pPr>
        <w:pStyle w:val="BodyTextMain"/>
        <w:rPr>
          <w:lang w:val="en-GB"/>
        </w:rPr>
      </w:pPr>
      <w:r w:rsidRPr="00FA29FA">
        <w:rPr>
          <w:lang w:val="en-GB"/>
        </w:rPr>
        <w:t>Ghanaian banks fell into four main categories: commercial banks, development banks, merchant banks, and rural unit banks.</w:t>
      </w:r>
      <w:r w:rsidRPr="00FA29FA">
        <w:rPr>
          <w:rStyle w:val="FootnoteReference"/>
          <w:lang w:val="en-GB"/>
        </w:rPr>
        <w:footnoteReference w:id="3"/>
      </w:r>
      <w:r w:rsidRPr="00FA29FA">
        <w:rPr>
          <w:lang w:val="en-GB"/>
        </w:rPr>
        <w:t xml:space="preserve"> In 2004, the government increased the minimum capital requirement for banks and introduced a universal banking licence, which allowed qualified banks to expand the range of services they offered to include both commercial and investment services.</w:t>
      </w:r>
      <w:r w:rsidRPr="00FA29FA">
        <w:rPr>
          <w:rStyle w:val="FootnoteReference"/>
          <w:lang w:val="en-GB"/>
        </w:rPr>
        <w:footnoteReference w:id="4"/>
      </w:r>
    </w:p>
    <w:p w14:paraId="349771C9" w14:textId="77777777" w:rsidR="00DC63B0" w:rsidRPr="00FA29FA" w:rsidRDefault="00DC63B0" w:rsidP="00637477">
      <w:pPr>
        <w:pStyle w:val="BodyTextMain"/>
        <w:rPr>
          <w:lang w:val="en-GB"/>
        </w:rPr>
      </w:pPr>
    </w:p>
    <w:p w14:paraId="30F5051C" w14:textId="72D8E099" w:rsidR="00DC63B0" w:rsidRPr="00FA29FA" w:rsidRDefault="00DC63B0" w:rsidP="00637477">
      <w:pPr>
        <w:pStyle w:val="BodyTextMain"/>
        <w:rPr>
          <w:lang w:val="en-GB"/>
        </w:rPr>
      </w:pPr>
      <w:r w:rsidRPr="00FA29FA">
        <w:rPr>
          <w:lang w:val="en-GB"/>
        </w:rPr>
        <w:t>Ghana’s banking sector was well developed but fragmented. The increased minimum capital requirement forced a number of mergers, but even with those, there were 26 universal banks operating in the country in 2011.</w:t>
      </w:r>
      <w:r w:rsidRPr="00FA29FA">
        <w:rPr>
          <w:rStyle w:val="FootnoteReference"/>
          <w:lang w:val="en-GB"/>
        </w:rPr>
        <w:footnoteReference w:id="5"/>
      </w:r>
      <w:r w:rsidRPr="00FA29FA">
        <w:rPr>
          <w:lang w:val="en-GB"/>
        </w:rPr>
        <w:t xml:space="preserve"> Yet despite the number of banks, only a small percentage of the population—about 10 per cent—had banking accounts. </w:t>
      </w:r>
      <w:r w:rsidR="00A559BB">
        <w:rPr>
          <w:lang w:val="en-GB"/>
        </w:rPr>
        <w:t>And d</w:t>
      </w:r>
      <w:r w:rsidRPr="00FA29FA">
        <w:rPr>
          <w:lang w:val="en-GB"/>
        </w:rPr>
        <w:t>espite an improving economy, with record high gross domestic product and decreasing inflation,</w:t>
      </w:r>
      <w:r w:rsidRPr="00FA29FA">
        <w:rPr>
          <w:rStyle w:val="FootnoteReference"/>
          <w:lang w:val="en-GB"/>
        </w:rPr>
        <w:footnoteReference w:id="6"/>
      </w:r>
      <w:r w:rsidRPr="00FA29FA">
        <w:rPr>
          <w:lang w:val="en-GB"/>
        </w:rPr>
        <w:t xml:space="preserve"> borrowing interest rates remained high: the Bank of Ghana set the prime rate at 13.0 per cent—</w:t>
      </w:r>
      <w:r w:rsidR="00CE6FED">
        <w:rPr>
          <w:lang w:val="en-GB"/>
        </w:rPr>
        <w:t>however, this was</w:t>
      </w:r>
      <w:r w:rsidRPr="00FA29FA">
        <w:rPr>
          <w:lang w:val="en-GB"/>
        </w:rPr>
        <w:t xml:space="preserve"> a significant decrease from the 18.0 per cent established in November 2009 and a further decrease from the 13.5 per cent established in 2010.</w:t>
      </w:r>
      <w:r w:rsidRPr="00FA29FA">
        <w:rPr>
          <w:rStyle w:val="FootnoteReference"/>
          <w:lang w:val="en-GB"/>
        </w:rPr>
        <w:footnoteReference w:id="7"/>
      </w:r>
      <w:r w:rsidRPr="00FA29FA">
        <w:rPr>
          <w:lang w:val="en-GB"/>
        </w:rPr>
        <w:t xml:space="preserve"> </w:t>
      </w:r>
    </w:p>
    <w:p w14:paraId="42D1DBE3" w14:textId="77777777" w:rsidR="00DC63B0" w:rsidRPr="00FA29FA" w:rsidRDefault="00DC63B0" w:rsidP="00637477">
      <w:pPr>
        <w:pStyle w:val="BodyTextMain"/>
        <w:rPr>
          <w:lang w:val="en-GB"/>
        </w:rPr>
      </w:pPr>
    </w:p>
    <w:p w14:paraId="07ED6FB5" w14:textId="77777777" w:rsidR="00DC63B0" w:rsidRPr="00FA29FA" w:rsidRDefault="00DC63B0" w:rsidP="00637477">
      <w:pPr>
        <w:pStyle w:val="BodyTextMain"/>
        <w:rPr>
          <w:lang w:val="en-GB"/>
        </w:rPr>
      </w:pPr>
    </w:p>
    <w:p w14:paraId="3AE316DF" w14:textId="77777777" w:rsidR="00DC63B0" w:rsidRPr="00FA29FA" w:rsidRDefault="00DC63B0" w:rsidP="00637477">
      <w:pPr>
        <w:pStyle w:val="Casehead1"/>
        <w:rPr>
          <w:lang w:val="en-GB"/>
        </w:rPr>
      </w:pPr>
      <w:bookmarkStart w:id="0" w:name="_Hlk45950667"/>
      <w:r w:rsidRPr="00FA29FA">
        <w:rPr>
          <w:lang w:val="en-GB"/>
        </w:rPr>
        <w:t>Ecobank Transnational Incorporated</w:t>
      </w:r>
    </w:p>
    <w:bookmarkEnd w:id="0"/>
    <w:p w14:paraId="34F1319E" w14:textId="77777777" w:rsidR="00DC63B0" w:rsidRPr="00FA29FA" w:rsidRDefault="00DC63B0" w:rsidP="00637477">
      <w:pPr>
        <w:pStyle w:val="BodyTextMain"/>
        <w:rPr>
          <w:lang w:val="en-GB"/>
        </w:rPr>
      </w:pPr>
    </w:p>
    <w:p w14:paraId="2409549D" w14:textId="352DB3DB" w:rsidR="00DC63B0" w:rsidRPr="00FA29FA" w:rsidRDefault="00DC63B0" w:rsidP="00637477">
      <w:pPr>
        <w:pStyle w:val="BodyTextMain"/>
        <w:rPr>
          <w:lang w:val="en-GB"/>
        </w:rPr>
      </w:pPr>
      <w:r w:rsidRPr="00FA29FA">
        <w:rPr>
          <w:lang w:val="en-GB"/>
        </w:rPr>
        <w:t xml:space="preserve">ETI, usually referred to as Ecobank Group, was incorporated in 1985 in Lomé, Togo, and had locations in more countries in Africa than any other bank in the world (see Exhibit 1). In 2011, ETI operated in 32 countries across </w:t>
      </w:r>
      <w:r w:rsidRPr="00FA29FA">
        <w:rPr>
          <w:color w:val="000000"/>
          <w:shd w:val="clear" w:color="auto" w:fill="FFFFFF"/>
          <w:lang w:val="en-GB"/>
        </w:rPr>
        <w:t xml:space="preserve">western, central, eastern, and southern Africa. The bank also had a licensed operation in Paris and representative offices in Dubai and London. </w:t>
      </w:r>
      <w:r w:rsidRPr="00FA29FA">
        <w:rPr>
          <w:lang w:val="en-GB"/>
        </w:rPr>
        <w:t xml:space="preserve">ETI was listed on the Nigerian Stock Exchange, the Ghana Stock Exchange, and the Bourse Régionale des Valeurs Mobilières—the regional stock market for the eight member states of the West African Economic and Monetary Union. </w:t>
      </w:r>
    </w:p>
    <w:p w14:paraId="14FFD930" w14:textId="77777777" w:rsidR="00DC63B0" w:rsidRPr="00FA29FA" w:rsidRDefault="00DC63B0" w:rsidP="00637477">
      <w:pPr>
        <w:pStyle w:val="BodyTextMain"/>
        <w:rPr>
          <w:lang w:val="en-GB"/>
        </w:rPr>
      </w:pPr>
    </w:p>
    <w:p w14:paraId="363BCB39" w14:textId="658BFEF3" w:rsidR="00DC63B0" w:rsidRPr="00FA29FA" w:rsidRDefault="00DC63B0" w:rsidP="00637477">
      <w:pPr>
        <w:pStyle w:val="BodyTextMain"/>
        <w:rPr>
          <w:lang w:val="en-GB"/>
        </w:rPr>
      </w:pPr>
      <w:r w:rsidRPr="00FA29FA">
        <w:rPr>
          <w:lang w:val="en-GB"/>
        </w:rPr>
        <w:t>ETI had a dual focus: “to build a world-class pan-African bank and to contribute to the economic and financial integration and the development of the African continent.”</w:t>
      </w:r>
      <w:r w:rsidRPr="00FA29FA">
        <w:rPr>
          <w:rStyle w:val="FootnoteReference"/>
          <w:lang w:val="en-GB"/>
        </w:rPr>
        <w:footnoteReference w:id="8"/>
      </w:r>
      <w:r w:rsidRPr="00FA29FA">
        <w:rPr>
          <w:lang w:val="en-GB"/>
        </w:rPr>
        <w:t xml:space="preserve"> With more than 23,000 employees, </w:t>
      </w:r>
      <w:r w:rsidRPr="00FA29FA">
        <w:rPr>
          <w:color w:val="000000"/>
          <w:shd w:val="clear" w:color="auto" w:fill="FFFFFF"/>
          <w:lang w:val="en-GB"/>
        </w:rPr>
        <w:t xml:space="preserve">ETI was the largest employer in the financial sector in </w:t>
      </w:r>
      <w:r w:rsidR="00FA29FA" w:rsidRPr="00FA29FA">
        <w:rPr>
          <w:color w:val="000000"/>
          <w:shd w:val="clear" w:color="auto" w:fill="FFFFFF"/>
          <w:lang w:val="en-GB"/>
        </w:rPr>
        <w:t xml:space="preserve">central </w:t>
      </w:r>
      <w:r w:rsidRPr="00FA29FA">
        <w:rPr>
          <w:color w:val="000000"/>
          <w:shd w:val="clear" w:color="auto" w:fill="FFFFFF"/>
          <w:lang w:val="en-GB"/>
        </w:rPr>
        <w:t>Africa.</w:t>
      </w:r>
      <w:r w:rsidRPr="00FA29FA">
        <w:rPr>
          <w:rStyle w:val="FootnoteReference"/>
          <w:shd w:val="clear" w:color="auto" w:fill="FFFFFF"/>
          <w:lang w:val="en-GB"/>
        </w:rPr>
        <w:footnoteReference w:id="9"/>
      </w:r>
      <w:r w:rsidRPr="00FA29FA">
        <w:rPr>
          <w:color w:val="000000"/>
          <w:shd w:val="clear" w:color="auto" w:fill="FFFFFF"/>
          <w:lang w:val="en-GB"/>
        </w:rPr>
        <w:t xml:space="preserve"> The bank offered </w:t>
      </w:r>
      <w:r w:rsidRPr="00FA29FA">
        <w:rPr>
          <w:lang w:val="en-GB"/>
        </w:rPr>
        <w:t xml:space="preserve">full-service banking, providing wholesale, retail, investment, and transactional banking services to governments, </w:t>
      </w:r>
      <w:r w:rsidRPr="00FA29FA">
        <w:rPr>
          <w:lang w:val="en-GB"/>
        </w:rPr>
        <w:lastRenderedPageBreak/>
        <w:t>financial institutions, multinational organizations, local companies, SMEs, and individuals. At the end of 2011, ETI was in third place in the Ghanaian financial market.</w:t>
      </w:r>
      <w:r w:rsidRPr="00FA29FA">
        <w:rPr>
          <w:rStyle w:val="FootnoteReference"/>
          <w:lang w:val="en-GB"/>
        </w:rPr>
        <w:footnoteReference w:id="10"/>
      </w:r>
    </w:p>
    <w:p w14:paraId="2EF019CF" w14:textId="77777777" w:rsidR="00DC63B0" w:rsidRPr="00FA29FA" w:rsidRDefault="00DC63B0" w:rsidP="00637477">
      <w:pPr>
        <w:pStyle w:val="BodyTextMain"/>
        <w:rPr>
          <w:lang w:val="en-GB"/>
        </w:rPr>
      </w:pPr>
    </w:p>
    <w:p w14:paraId="4C1AD458" w14:textId="77777777" w:rsidR="00DC63B0" w:rsidRPr="00FA29FA" w:rsidRDefault="00DC63B0" w:rsidP="00637477">
      <w:pPr>
        <w:pStyle w:val="BodyTextMain"/>
        <w:rPr>
          <w:lang w:val="en-GB"/>
        </w:rPr>
      </w:pPr>
    </w:p>
    <w:p w14:paraId="3C510C03" w14:textId="77777777" w:rsidR="00DC63B0" w:rsidRPr="00FA29FA" w:rsidRDefault="00DC63B0" w:rsidP="00637477">
      <w:pPr>
        <w:pStyle w:val="Casehead1"/>
        <w:rPr>
          <w:lang w:val="en-GB"/>
        </w:rPr>
      </w:pPr>
      <w:r w:rsidRPr="00FA29FA">
        <w:rPr>
          <w:lang w:val="en-GB"/>
        </w:rPr>
        <w:t>Ecobank Ghana Limited</w:t>
      </w:r>
    </w:p>
    <w:p w14:paraId="0C4692FA" w14:textId="77777777" w:rsidR="00DC63B0" w:rsidRPr="00FA29FA" w:rsidRDefault="00DC63B0" w:rsidP="00637477">
      <w:pPr>
        <w:pStyle w:val="BodyTextMain"/>
        <w:rPr>
          <w:lang w:val="en-GB"/>
        </w:rPr>
      </w:pPr>
    </w:p>
    <w:p w14:paraId="0A814A07" w14:textId="5DB47F0F" w:rsidR="00DC63B0" w:rsidRPr="00FA29FA" w:rsidRDefault="00DC63B0" w:rsidP="00637477">
      <w:pPr>
        <w:pStyle w:val="BodyTextMain"/>
        <w:rPr>
          <w:lang w:val="en-GB"/>
        </w:rPr>
      </w:pPr>
      <w:r w:rsidRPr="00FA29FA">
        <w:rPr>
          <w:lang w:val="en-GB"/>
        </w:rPr>
        <w:t>Ecobank was licensed as a corporate bank in 1989, began business in 1990, and quickly established four additional branches in Ghana. The bank provided a wide range of wholesale financial products and customized solutions to multinationals, regional corporate organizations, government parastatals,</w:t>
      </w:r>
      <w:r w:rsidRPr="00FA29FA">
        <w:rPr>
          <w:rStyle w:val="FootnoteReference"/>
          <w:lang w:val="en-GB"/>
        </w:rPr>
        <w:footnoteReference w:id="11"/>
      </w:r>
      <w:r w:rsidRPr="00FA29FA">
        <w:rPr>
          <w:lang w:val="en-GB"/>
        </w:rPr>
        <w:t xml:space="preserve"> international organizations, and financial institutions; these </w:t>
      </w:r>
      <w:r w:rsidR="00503107">
        <w:rPr>
          <w:lang w:val="en-GB"/>
        </w:rPr>
        <w:t xml:space="preserve">products and solutions </w:t>
      </w:r>
      <w:r w:rsidRPr="00FA29FA">
        <w:rPr>
          <w:lang w:val="en-GB"/>
        </w:rPr>
        <w:t xml:space="preserve">included pan-African credit, trade and commodity financing, cash management, and payment solutions. </w:t>
      </w:r>
    </w:p>
    <w:p w14:paraId="1D01B3C7" w14:textId="77777777" w:rsidR="00DC63B0" w:rsidRPr="00FA29FA" w:rsidRDefault="00DC63B0" w:rsidP="00637477">
      <w:pPr>
        <w:pStyle w:val="BodyTextMain"/>
        <w:rPr>
          <w:lang w:val="en-GB"/>
        </w:rPr>
      </w:pPr>
    </w:p>
    <w:p w14:paraId="655AACD6" w14:textId="2199766D" w:rsidR="00DC63B0" w:rsidRPr="0067372A" w:rsidRDefault="00DC63B0" w:rsidP="00637477">
      <w:pPr>
        <w:pStyle w:val="BodyTextMain"/>
        <w:rPr>
          <w:spacing w:val="-2"/>
          <w:lang w:val="en-GB"/>
        </w:rPr>
      </w:pPr>
      <w:r w:rsidRPr="0067372A">
        <w:rPr>
          <w:spacing w:val="-2"/>
          <w:lang w:val="en-GB"/>
        </w:rPr>
        <w:t>In 2003, the bank obtained a licence from the Bank of Ghana to move from being predominantly a wholesale bank to become a universal bank. The move into universal banking permitted the bank to provide convenient, accessible financial products and services to individuals, corporate bodies, and public sector and SME customers by leveraging the bank’s extensive network of branches and automated teller machines (ATMs)</w:t>
      </w:r>
      <w:r w:rsidR="006345C5" w:rsidRPr="0067372A">
        <w:rPr>
          <w:spacing w:val="-2"/>
          <w:lang w:val="en-GB"/>
        </w:rPr>
        <w:t>, as</w:t>
      </w:r>
      <w:r w:rsidRPr="0067372A">
        <w:rPr>
          <w:spacing w:val="-2"/>
          <w:lang w:val="en-GB"/>
        </w:rPr>
        <w:t xml:space="preserve"> well as Internet and remittance banking platforms. The bank was listed on the Ghana Stock Exchange in July 2006, and within five years of its shift to universal banking, it had become a key competitor in the industry, experiencing tremendous growth and reporting a 50 per cent increase in profit after taxes. </w:t>
      </w:r>
    </w:p>
    <w:p w14:paraId="62A57BE3" w14:textId="77777777" w:rsidR="00DC63B0" w:rsidRPr="00FA29FA" w:rsidRDefault="00DC63B0" w:rsidP="00637477">
      <w:pPr>
        <w:pStyle w:val="BodyTextMain"/>
        <w:rPr>
          <w:lang w:val="en-GB"/>
        </w:rPr>
      </w:pPr>
    </w:p>
    <w:p w14:paraId="018E8DC2" w14:textId="3559A117" w:rsidR="00DC63B0" w:rsidRPr="0067372A" w:rsidRDefault="00DC63B0" w:rsidP="00637477">
      <w:pPr>
        <w:pStyle w:val="BodyTextMain"/>
        <w:rPr>
          <w:spacing w:val="-2"/>
          <w:lang w:val="en-GB"/>
        </w:rPr>
      </w:pPr>
      <w:r w:rsidRPr="0067372A">
        <w:rPr>
          <w:spacing w:val="-2"/>
          <w:lang w:val="en-GB"/>
        </w:rPr>
        <w:t>The bank’s major corporate competitors were First Atlantic Bank, CalBank, Ghana Commercial Bank, Standard Chartered Bank Ghana Ltd. (Standard Chartered), the Universal Merchant Bank (formerly Merchant Bank Ghana Limited), and Barclays Bank of Ghana Ltd. (Barclays), a subsidiary of Barclays plc. Ecobank’s competitive edge over the local banks was its affiliation with ETI, the first pan-African bank. Local banks dealt only with customers who traded within Ghana, but ETI’s regional trading gave Ecobank network advantages. As a result, ETI’s major corporate clients were able to do business in Ghana and other African countries within the ETI network. Even though Barclays and Standard Chartered were international banks with affiliates in other countries, they were not present in many African countries. Additionally, ETI’s rules, credit policies, and general policies were tailored to African customers, whereas those at Barclays and Standard Chartered were mainly foreign. As Fordwuo put it, “We act globally but think locally.”</w:t>
      </w:r>
    </w:p>
    <w:p w14:paraId="54E0FA3B" w14:textId="77777777" w:rsidR="00DC63B0" w:rsidRPr="00FA29FA" w:rsidRDefault="00DC63B0" w:rsidP="00637477">
      <w:pPr>
        <w:pStyle w:val="BodyTextMain"/>
        <w:rPr>
          <w:lang w:val="en-GB"/>
        </w:rPr>
      </w:pPr>
    </w:p>
    <w:p w14:paraId="55EC9076" w14:textId="45D29161" w:rsidR="00DC63B0" w:rsidRPr="00FA29FA" w:rsidRDefault="00DC63B0" w:rsidP="00637477">
      <w:pPr>
        <w:pStyle w:val="BodyTextMain"/>
        <w:rPr>
          <w:lang w:val="en-GB"/>
        </w:rPr>
      </w:pPr>
      <w:r w:rsidRPr="00FA29FA">
        <w:rPr>
          <w:lang w:val="en-GB"/>
        </w:rPr>
        <w:t xml:space="preserve">Ecobank had steadily increased its number of branches from five branches in 2001 to nine branches and five agencies in 2006, </w:t>
      </w:r>
      <w:r w:rsidR="00F54CB5">
        <w:rPr>
          <w:lang w:val="en-GB"/>
        </w:rPr>
        <w:t xml:space="preserve">then </w:t>
      </w:r>
      <w:r w:rsidRPr="00FA29FA">
        <w:rPr>
          <w:lang w:val="en-GB"/>
        </w:rPr>
        <w:t xml:space="preserve">44 branches in 2008; by 2011, it had 53 branches spanning every region in Ghana. The bank had a strong performance record, and ETI was keen to further enhance shareholder value. The path to further growth was acquisition. </w:t>
      </w:r>
    </w:p>
    <w:p w14:paraId="6F6EDACD" w14:textId="77777777" w:rsidR="00DC63B0" w:rsidRPr="00FA29FA" w:rsidRDefault="00DC63B0" w:rsidP="00637477">
      <w:pPr>
        <w:pStyle w:val="BodyTextMain"/>
        <w:rPr>
          <w:lang w:val="en-GB"/>
        </w:rPr>
      </w:pPr>
    </w:p>
    <w:p w14:paraId="0ACCE5CF" w14:textId="77777777" w:rsidR="00DC63B0" w:rsidRPr="00FA29FA" w:rsidRDefault="00DC63B0" w:rsidP="00637477">
      <w:pPr>
        <w:pStyle w:val="BodyTextMain"/>
        <w:rPr>
          <w:lang w:val="en-GB"/>
        </w:rPr>
      </w:pPr>
    </w:p>
    <w:p w14:paraId="7198E913" w14:textId="77777777" w:rsidR="00DC63B0" w:rsidRPr="00FA29FA" w:rsidRDefault="00DC63B0" w:rsidP="00A35569">
      <w:pPr>
        <w:pStyle w:val="Casehead1"/>
        <w:keepNext/>
        <w:keepLines/>
        <w:rPr>
          <w:lang w:val="en-GB"/>
        </w:rPr>
      </w:pPr>
      <w:r w:rsidRPr="00FA29FA">
        <w:rPr>
          <w:lang w:val="en-GB"/>
        </w:rPr>
        <w:lastRenderedPageBreak/>
        <w:t>The Acquisition</w:t>
      </w:r>
    </w:p>
    <w:p w14:paraId="1232648F" w14:textId="77777777" w:rsidR="00DC63B0" w:rsidRPr="00FA29FA" w:rsidRDefault="00DC63B0" w:rsidP="00A35569">
      <w:pPr>
        <w:pStyle w:val="BodyTextMain"/>
        <w:keepNext/>
        <w:keepLines/>
        <w:rPr>
          <w:lang w:val="en-GB"/>
        </w:rPr>
      </w:pPr>
    </w:p>
    <w:p w14:paraId="32486FBB" w14:textId="08876038" w:rsidR="00DC63B0" w:rsidRPr="00FA29FA" w:rsidRDefault="00DC63B0" w:rsidP="00A35569">
      <w:pPr>
        <w:pStyle w:val="BodyTextMain"/>
        <w:keepNext/>
        <w:keepLines/>
        <w:rPr>
          <w:lang w:val="en-GB"/>
        </w:rPr>
      </w:pPr>
      <w:r w:rsidRPr="00FA29FA">
        <w:rPr>
          <w:lang w:val="en-GB"/>
        </w:rPr>
        <w:t>ETI announced its acquisition of TTB in January 2012.</w:t>
      </w:r>
      <w:r w:rsidRPr="00FA29FA">
        <w:rPr>
          <w:rStyle w:val="FootnoteReference"/>
          <w:lang w:val="en-GB"/>
        </w:rPr>
        <w:footnoteReference w:id="12"/>
      </w:r>
      <w:r w:rsidRPr="00FA29FA">
        <w:rPr>
          <w:lang w:val="en-GB"/>
        </w:rPr>
        <w:t xml:space="preserve"> In a presentation to the shareholders of Ecobank (see Exhibit 2), ETI identified growth as the primary reason for pursuing the acquisition: the enlarged Ecobank was expected to become first in terms of both assets and profitability out of the 26 banks that were operating in Ghana as of June 30, 2011. The </w:t>
      </w:r>
      <w:r w:rsidR="006345C5">
        <w:rPr>
          <w:lang w:val="en-GB"/>
        </w:rPr>
        <w:t>merged companies</w:t>
      </w:r>
      <w:r w:rsidRPr="00FA29FA">
        <w:rPr>
          <w:lang w:val="en-GB"/>
        </w:rPr>
        <w:t xml:space="preserve"> would be able to finance large transactions (particularly in oil and gas), and would be able to lend larger amounts to individual borrowers: from approximately GH¢62 million</w:t>
      </w:r>
      <w:r w:rsidRPr="00FA29FA">
        <w:rPr>
          <w:rStyle w:val="FootnoteReference"/>
          <w:lang w:val="en-GB"/>
        </w:rPr>
        <w:footnoteReference w:id="13"/>
      </w:r>
      <w:r w:rsidRPr="00FA29FA">
        <w:rPr>
          <w:lang w:val="en-GB"/>
        </w:rPr>
        <w:t xml:space="preserve"> to over GH¢90 million.</w:t>
      </w:r>
    </w:p>
    <w:p w14:paraId="1FF3321A" w14:textId="77777777" w:rsidR="00DC63B0" w:rsidRPr="00FA29FA" w:rsidRDefault="00DC63B0" w:rsidP="00637477">
      <w:pPr>
        <w:pStyle w:val="BodyTextMain"/>
        <w:rPr>
          <w:lang w:val="en-GB"/>
        </w:rPr>
      </w:pPr>
    </w:p>
    <w:p w14:paraId="4FD5C8C4" w14:textId="4C8308C1" w:rsidR="00DC63B0" w:rsidRPr="00FA29FA" w:rsidRDefault="00DC63B0" w:rsidP="00637477">
      <w:pPr>
        <w:pStyle w:val="BodyTextMain"/>
        <w:rPr>
          <w:lang w:val="en-GB"/>
        </w:rPr>
      </w:pPr>
      <w:r w:rsidRPr="00FA29FA">
        <w:rPr>
          <w:lang w:val="en-GB"/>
        </w:rPr>
        <w:t>With a wider geographical presence and a stronger branch network, the new Ecobank would also be able to offer a harmonized service combining strong corporate, retail, SME, and local corporate banking—an advantage for customers. Cost and revenue synergies and the ability to realize value from redundant property, plant, and equipment would improve the bank’s financial position, allowing it to use an increased capital base to trade in foreign exchange, fixed incomes, and high-volume transactions. The improved financial performance would enhance value to shareholders, maximizing their earnings potential in</w:t>
      </w:r>
      <w:r w:rsidR="005173B9">
        <w:rPr>
          <w:lang w:val="en-GB"/>
        </w:rPr>
        <w:t xml:space="preserve"> one of the countries that accounted for the large banking revenue pools in Africa</w:t>
      </w:r>
      <w:r w:rsidRPr="00FA29FA">
        <w:rPr>
          <w:lang w:val="en-GB"/>
        </w:rPr>
        <w:t>.</w:t>
      </w:r>
    </w:p>
    <w:p w14:paraId="5783DF51" w14:textId="77777777" w:rsidR="00DC63B0" w:rsidRPr="00FA29FA" w:rsidRDefault="00DC63B0" w:rsidP="00637477">
      <w:pPr>
        <w:pStyle w:val="BodyTextMain"/>
        <w:rPr>
          <w:lang w:val="en-GB"/>
        </w:rPr>
      </w:pPr>
    </w:p>
    <w:p w14:paraId="791B17A4" w14:textId="59F3A7BB" w:rsidR="00DC63B0" w:rsidRPr="00FA29FA" w:rsidRDefault="00DC63B0" w:rsidP="00637477">
      <w:pPr>
        <w:pStyle w:val="BodyTextMain"/>
        <w:rPr>
          <w:lang w:val="en-GB"/>
        </w:rPr>
      </w:pPr>
      <w:r w:rsidRPr="00FA29FA">
        <w:rPr>
          <w:lang w:val="en-GB"/>
        </w:rPr>
        <w:t>TTB’s motivations for merging were more pragmatic: the bank needed to survive in an increasingly competitive banking environment. TTB was founded in 1996, and while it was licensed as a universal bank, it</w:t>
      </w:r>
      <w:r w:rsidRPr="00FA29FA">
        <w:rPr>
          <w:szCs w:val="20"/>
          <w:lang w:val="en-GB"/>
        </w:rPr>
        <w:t xml:space="preserve"> had </w:t>
      </w:r>
      <w:r w:rsidRPr="00FA29FA">
        <w:rPr>
          <w:lang w:val="en-GB"/>
        </w:rPr>
        <w:t>carved a niche for itself by meeting the banking needs of SMEs</w:t>
      </w:r>
      <w:r w:rsidR="00503107">
        <w:rPr>
          <w:lang w:val="en-GB"/>
        </w:rPr>
        <w:t>,</w:t>
      </w:r>
      <w:r w:rsidRPr="00FA29FA">
        <w:rPr>
          <w:lang w:val="en-GB"/>
        </w:rPr>
        <w:t xml:space="preserve"> and its presence was limited to Ghana. In 2008, when the Bank of Ghana changed regulations to increase banks’ minimal capital requirement, the smallest banks in the country </w:t>
      </w:r>
      <w:r w:rsidR="005E01C4">
        <w:rPr>
          <w:lang w:val="en-GB"/>
        </w:rPr>
        <w:t>were</w:t>
      </w:r>
      <w:r w:rsidRPr="00FA29FA">
        <w:rPr>
          <w:lang w:val="en-GB"/>
        </w:rPr>
        <w:t xml:space="preserve"> acquired by larger banks. Banks that were unable to meet the central bank’s requirement had merged with other banks, increasing the size of the banks and the strength of competition. Another increase, which would double the minimal capital requirement, was expected in 2013; this would make it </w:t>
      </w:r>
      <w:r w:rsidR="0016007C">
        <w:rPr>
          <w:lang w:val="en-GB"/>
        </w:rPr>
        <w:t>even more</w:t>
      </w:r>
      <w:r w:rsidRPr="00FA29FA">
        <w:rPr>
          <w:lang w:val="en-GB"/>
        </w:rPr>
        <w:t xml:space="preserve"> difficult for smaller banks like TTB to survive.</w:t>
      </w:r>
      <w:r w:rsidRPr="00FA29FA">
        <w:rPr>
          <w:rStyle w:val="FootnoteReference"/>
          <w:lang w:val="en-GB"/>
        </w:rPr>
        <w:footnoteReference w:id="14"/>
      </w:r>
    </w:p>
    <w:p w14:paraId="1F66DA07" w14:textId="77777777" w:rsidR="00DC63B0" w:rsidRPr="00FA29FA" w:rsidRDefault="00DC63B0" w:rsidP="00637477">
      <w:pPr>
        <w:pStyle w:val="BodyTextMain"/>
        <w:rPr>
          <w:lang w:val="en-GB"/>
        </w:rPr>
      </w:pPr>
    </w:p>
    <w:p w14:paraId="47C7044D" w14:textId="7376A60B" w:rsidR="00DC63B0" w:rsidRPr="0067372A" w:rsidRDefault="00DC63B0" w:rsidP="00637477">
      <w:pPr>
        <w:pStyle w:val="BodyTextMain"/>
        <w:rPr>
          <w:spacing w:val="-2"/>
          <w:lang w:val="en-GB"/>
        </w:rPr>
      </w:pPr>
      <w:r w:rsidRPr="0067372A">
        <w:rPr>
          <w:spacing w:val="-2"/>
          <w:lang w:val="en-GB"/>
        </w:rPr>
        <w:t xml:space="preserve">TTB’s majority shareholder was the Ghana Social Security and National Insurance Trust (SSNIT), a government trust that also had shares in Ecobank, </w:t>
      </w:r>
      <w:r w:rsidR="008337CB" w:rsidRPr="0067372A">
        <w:rPr>
          <w:spacing w:val="-2"/>
          <w:lang w:val="en-GB"/>
        </w:rPr>
        <w:t xml:space="preserve">Universal </w:t>
      </w:r>
      <w:r w:rsidRPr="0067372A">
        <w:rPr>
          <w:spacing w:val="-2"/>
          <w:lang w:val="en-GB"/>
        </w:rPr>
        <w:t>Merchant Bank, and several other banks and companies in Ghana.</w:t>
      </w:r>
      <w:r w:rsidRPr="0067372A">
        <w:rPr>
          <w:rStyle w:val="FootnoteReference"/>
          <w:spacing w:val="-2"/>
          <w:lang w:val="en-GB"/>
        </w:rPr>
        <w:footnoteReference w:id="15"/>
      </w:r>
      <w:r w:rsidRPr="0067372A">
        <w:rPr>
          <w:spacing w:val="-2"/>
          <w:lang w:val="en-GB"/>
        </w:rPr>
        <w:t xml:space="preserve"> Wanting to realign its portfolio of investments and improve returns for its shareholders, SSNIT decided to sell its majority interest in TTB to ETI in exchange for a stake in Ecobank. The deal was strategically advantageous for SSNIT for several reasons: Ecobank was part of ETI, it paid good dividends, and its future strategic direction was sustainable. Moreover, the deal would consolidate SSNIT’s investment in Ghana’s banking sector, increasing SSNIT’s interest in Ecobank from a small minority to 16 per cent.</w:t>
      </w:r>
      <w:r w:rsidRPr="0067372A">
        <w:rPr>
          <w:rStyle w:val="FootnoteReference"/>
          <w:spacing w:val="-2"/>
          <w:lang w:val="en-GB"/>
        </w:rPr>
        <w:footnoteReference w:id="16"/>
      </w:r>
      <w:r w:rsidRPr="0067372A">
        <w:rPr>
          <w:spacing w:val="-2"/>
          <w:lang w:val="en-GB"/>
        </w:rPr>
        <w:t xml:space="preserve"> Ecobank would gain all of TTB’s branches, which were located in places where Ecobank did not have a presence. Th</w:t>
      </w:r>
      <w:r w:rsidR="0016007C" w:rsidRPr="0067372A">
        <w:rPr>
          <w:spacing w:val="-2"/>
          <w:lang w:val="en-GB"/>
        </w:rPr>
        <w:t>erefore</w:t>
      </w:r>
      <w:r w:rsidRPr="0067372A">
        <w:rPr>
          <w:spacing w:val="-2"/>
          <w:lang w:val="en-GB"/>
        </w:rPr>
        <w:t>, both TTB’s majority shareholder and Ecobank were motivated to merge.</w:t>
      </w:r>
    </w:p>
    <w:p w14:paraId="38FCDBEF" w14:textId="7565D49A" w:rsidR="00DC63B0" w:rsidRPr="00FA29FA" w:rsidRDefault="00DC63B0" w:rsidP="00637477">
      <w:pPr>
        <w:pStyle w:val="BodyTextMain"/>
        <w:rPr>
          <w:lang w:val="en-GB"/>
        </w:rPr>
      </w:pPr>
    </w:p>
    <w:p w14:paraId="578E311F" w14:textId="609798A8" w:rsidR="00DC63B0" w:rsidRPr="00FA29FA" w:rsidRDefault="00DC63B0" w:rsidP="00637477">
      <w:pPr>
        <w:pStyle w:val="BodyTextMain"/>
        <w:rPr>
          <w:lang w:val="en-GB"/>
        </w:rPr>
      </w:pPr>
      <w:r w:rsidRPr="00FA29FA">
        <w:rPr>
          <w:lang w:val="en-GB"/>
        </w:rPr>
        <w:t>The acquisition involved a share swap that would transfer ETI’s newly acquired 100 per cent stake in TTB to Ecobank in exchange for additional shares in Ecobank.</w:t>
      </w:r>
      <w:r w:rsidRPr="00FA29FA">
        <w:rPr>
          <w:rStyle w:val="FootnoteReference"/>
          <w:lang w:val="en-GB"/>
        </w:rPr>
        <w:footnoteReference w:id="17"/>
      </w:r>
      <w:r w:rsidRPr="00FA29FA">
        <w:rPr>
          <w:lang w:val="en-GB"/>
        </w:rPr>
        <w:t xml:space="preserve"> TTB would be merged with Ecobank, making </w:t>
      </w:r>
      <w:r w:rsidRPr="00FA29FA">
        <w:rPr>
          <w:lang w:val="en-GB"/>
        </w:rPr>
        <w:lastRenderedPageBreak/>
        <w:t xml:space="preserve">the new, combined </w:t>
      </w:r>
      <w:r w:rsidR="0016007C">
        <w:rPr>
          <w:lang w:val="en-GB"/>
        </w:rPr>
        <w:t>company</w:t>
      </w:r>
      <w:r w:rsidRPr="00FA29FA">
        <w:rPr>
          <w:lang w:val="en-GB"/>
        </w:rPr>
        <w:t xml:space="preserve"> the largest bank in Ghana in terms assets, with the largest ATM network and over 70 branches.</w:t>
      </w:r>
      <w:r w:rsidRPr="00FA29FA">
        <w:rPr>
          <w:rStyle w:val="FootnoteReference"/>
          <w:lang w:val="en-GB"/>
        </w:rPr>
        <w:footnoteReference w:id="18"/>
      </w:r>
      <w:r w:rsidRPr="00FA29FA">
        <w:rPr>
          <w:lang w:val="en-GB"/>
        </w:rPr>
        <w:t xml:space="preserve"> The </w:t>
      </w:r>
      <w:r w:rsidR="002E6601">
        <w:rPr>
          <w:lang w:val="en-GB"/>
        </w:rPr>
        <w:t>merged entity</w:t>
      </w:r>
      <w:r w:rsidRPr="00FA29FA">
        <w:rPr>
          <w:lang w:val="en-GB"/>
        </w:rPr>
        <w:t xml:space="preserve"> would be able to harmonize corporate and retail businesses and finance large ventures, especially in the oil and gas sector, and it would benefit from </w:t>
      </w:r>
      <w:r w:rsidR="00503107">
        <w:rPr>
          <w:lang w:val="en-GB"/>
        </w:rPr>
        <w:t xml:space="preserve">a </w:t>
      </w:r>
      <w:r w:rsidRPr="00FA29FA">
        <w:rPr>
          <w:lang w:val="en-GB"/>
        </w:rPr>
        <w:t>stronger position when bargaining for rates. Economies of scale, synergies, and improved financial performance were expected to enhance shareholder value.</w:t>
      </w:r>
    </w:p>
    <w:p w14:paraId="04FF4F2D" w14:textId="77777777" w:rsidR="00DC63B0" w:rsidRPr="00FA29FA" w:rsidRDefault="00DC63B0" w:rsidP="00637477">
      <w:pPr>
        <w:pStyle w:val="BodyTextMain"/>
        <w:rPr>
          <w:lang w:val="en-GB"/>
        </w:rPr>
      </w:pPr>
    </w:p>
    <w:p w14:paraId="518D2DD0" w14:textId="4B930F78" w:rsidR="00DC63B0" w:rsidRPr="00FA29FA" w:rsidRDefault="00DC63B0" w:rsidP="00637477">
      <w:pPr>
        <w:pStyle w:val="BodyTextMain"/>
        <w:rPr>
          <w:lang w:val="en-GB"/>
        </w:rPr>
      </w:pPr>
      <w:r w:rsidRPr="00FA29FA">
        <w:rPr>
          <w:lang w:val="en-GB"/>
        </w:rPr>
        <w:t>At the time of the acquisition, Ecobank held assets worth GH¢2.2 billion and a market share of 9.7 per cent—the second</w:t>
      </w:r>
      <w:r w:rsidR="002E6601">
        <w:rPr>
          <w:lang w:val="en-GB"/>
        </w:rPr>
        <w:t>-</w:t>
      </w:r>
      <w:r w:rsidRPr="00FA29FA">
        <w:rPr>
          <w:lang w:val="en-GB"/>
        </w:rPr>
        <w:t>largest in Ghana. TTB held assets worth GH¢533 million and a market share of 2.7 per cent—the 15th</w:t>
      </w:r>
      <w:r w:rsidR="002E6601">
        <w:rPr>
          <w:lang w:val="en-GB"/>
        </w:rPr>
        <w:t>-</w:t>
      </w:r>
      <w:r w:rsidRPr="00FA29FA">
        <w:rPr>
          <w:lang w:val="en-GB"/>
        </w:rPr>
        <w:t>largest</w:t>
      </w:r>
      <w:r w:rsidR="002E6601">
        <w:rPr>
          <w:lang w:val="en-GB"/>
        </w:rPr>
        <w:t xml:space="preserve"> in Ghana</w:t>
      </w:r>
      <w:r w:rsidRPr="00FA29FA">
        <w:rPr>
          <w:lang w:val="en-GB"/>
        </w:rPr>
        <w:t>.</w:t>
      </w:r>
      <w:r w:rsidRPr="00FA29FA">
        <w:rPr>
          <w:rStyle w:val="FootnoteReference"/>
          <w:lang w:val="en-GB"/>
        </w:rPr>
        <w:footnoteReference w:id="19"/>
      </w:r>
      <w:r w:rsidRPr="00FA29FA">
        <w:rPr>
          <w:lang w:val="en-GB"/>
        </w:rPr>
        <w:t xml:space="preserve"> The total asset valuation of TTB for acquisition was GH¢220 million.</w:t>
      </w:r>
      <w:r w:rsidRPr="00FA29FA">
        <w:rPr>
          <w:rStyle w:val="FootnoteReference"/>
          <w:lang w:val="en-GB"/>
        </w:rPr>
        <w:footnoteReference w:id="20"/>
      </w:r>
      <w:r w:rsidRPr="00FA29FA">
        <w:rPr>
          <w:lang w:val="en-GB"/>
        </w:rPr>
        <w:t xml:space="preserve"> </w:t>
      </w:r>
    </w:p>
    <w:p w14:paraId="302374CE" w14:textId="77777777" w:rsidR="00DC63B0" w:rsidRPr="00FA29FA" w:rsidRDefault="00DC63B0" w:rsidP="00637477">
      <w:pPr>
        <w:pStyle w:val="BodyTextMain"/>
        <w:rPr>
          <w:lang w:val="en-GB"/>
        </w:rPr>
      </w:pPr>
    </w:p>
    <w:p w14:paraId="5B44E06C" w14:textId="4B305A7A" w:rsidR="00DC63B0" w:rsidRPr="00FA29FA" w:rsidRDefault="00DC63B0" w:rsidP="00637477">
      <w:pPr>
        <w:pStyle w:val="BodyTextMain"/>
        <w:rPr>
          <w:lang w:val="en-GB"/>
        </w:rPr>
      </w:pPr>
      <w:r w:rsidRPr="00FA29FA">
        <w:rPr>
          <w:lang w:val="en-GB"/>
        </w:rPr>
        <w:t xml:space="preserve">Ecobank and TTB were particularly mindful of financial and legal consequences and therefore put in place the necessary structures to ensure legal compliance and value for money. </w:t>
      </w:r>
      <w:r w:rsidR="00D448B1" w:rsidRPr="006826ED">
        <w:t>Ecobank Development Corporation</w:t>
      </w:r>
      <w:r w:rsidR="00D448B1">
        <w:t>, the investment banking and securities trading subsidiary of ETI,</w:t>
      </w:r>
      <w:r w:rsidR="00D448B1" w:rsidRPr="006826ED">
        <w:t xml:space="preserve"> performed the financial diligence for </w:t>
      </w:r>
      <w:r w:rsidR="00D448B1">
        <w:t>Ecobank;</w:t>
      </w:r>
      <w:r w:rsidR="00D448B1" w:rsidRPr="006826ED">
        <w:t xml:space="preserve"> PricewaterhouseCoopers </w:t>
      </w:r>
      <w:r w:rsidR="00D448B1">
        <w:t xml:space="preserve">performed the due diligence </w:t>
      </w:r>
      <w:r w:rsidR="00D448B1" w:rsidRPr="006826ED">
        <w:t>for TTB</w:t>
      </w:r>
      <w:r w:rsidRPr="00FA29FA">
        <w:rPr>
          <w:lang w:val="en-GB"/>
        </w:rPr>
        <w:t>. The law firm of Bentsi-Enchill, Letsa, and Ankomah undertook the legal due diligence. PricewaterhouseCoopers was also retained to do a post-merger review. The process of obtaining approval from the Bank of Ghana, which came after the certificate of acquisition was issued, was a prominent part of the whole procedure.</w:t>
      </w:r>
    </w:p>
    <w:p w14:paraId="7C62640D" w14:textId="77777777" w:rsidR="00DC63B0" w:rsidRPr="00FA29FA" w:rsidRDefault="00DC63B0" w:rsidP="00637477">
      <w:pPr>
        <w:pStyle w:val="BodyTextMain"/>
        <w:rPr>
          <w:lang w:val="en-GB"/>
        </w:rPr>
      </w:pPr>
    </w:p>
    <w:p w14:paraId="65A5383D" w14:textId="77777777" w:rsidR="00DC63B0" w:rsidRPr="00FA29FA" w:rsidRDefault="00DC63B0" w:rsidP="00637477">
      <w:pPr>
        <w:pStyle w:val="BodyTextMain"/>
        <w:rPr>
          <w:lang w:val="en-GB"/>
        </w:rPr>
      </w:pPr>
    </w:p>
    <w:p w14:paraId="0E6B5D32" w14:textId="77777777" w:rsidR="00DC63B0" w:rsidRPr="00FA29FA" w:rsidRDefault="00DC63B0" w:rsidP="00714AF2">
      <w:pPr>
        <w:pStyle w:val="Casehead1"/>
        <w:rPr>
          <w:lang w:val="en-GB"/>
        </w:rPr>
      </w:pPr>
      <w:r w:rsidRPr="00FA29FA">
        <w:rPr>
          <w:lang w:val="en-GB"/>
        </w:rPr>
        <w:t>Before integration</w:t>
      </w:r>
    </w:p>
    <w:p w14:paraId="47E30342" w14:textId="77777777" w:rsidR="00DC63B0" w:rsidRPr="00FA29FA" w:rsidRDefault="00DC63B0" w:rsidP="00637477">
      <w:pPr>
        <w:pStyle w:val="BodyTextMain"/>
        <w:rPr>
          <w:lang w:val="en-GB"/>
        </w:rPr>
      </w:pPr>
    </w:p>
    <w:p w14:paraId="6B00C860" w14:textId="706B4626" w:rsidR="00DC63B0" w:rsidRPr="00FA29FA" w:rsidRDefault="00DC63B0" w:rsidP="00637477">
      <w:pPr>
        <w:pStyle w:val="BodyTextMain"/>
        <w:rPr>
          <w:lang w:val="en-GB"/>
        </w:rPr>
      </w:pPr>
      <w:bookmarkStart w:id="2" w:name="_Hlk45431643"/>
      <w:bookmarkStart w:id="3" w:name="_Hlk42333946"/>
      <w:r w:rsidRPr="00FA29FA">
        <w:rPr>
          <w:lang w:val="en-GB"/>
        </w:rPr>
        <w:t>Acquisitions always carried uncertainties, so it was not a surprise to Ecobank that concerns emerged even before the integration process began. In this case, TTB’s shareholders asked questions about the future of the new business venture. This caused delays in obtaining approval from TTB’s board to commence the acquisition process.</w:t>
      </w:r>
    </w:p>
    <w:p w14:paraId="1813FD12" w14:textId="77777777" w:rsidR="00DC63B0" w:rsidRPr="00FA29FA" w:rsidRDefault="00DC63B0" w:rsidP="00637477">
      <w:pPr>
        <w:pStyle w:val="BodyTextMain"/>
        <w:rPr>
          <w:lang w:val="en-GB"/>
        </w:rPr>
      </w:pPr>
    </w:p>
    <w:p w14:paraId="51E0481F" w14:textId="77777777" w:rsidR="00DC63B0" w:rsidRPr="00FA29FA" w:rsidRDefault="00DC63B0" w:rsidP="00637477">
      <w:pPr>
        <w:pStyle w:val="BodyTextMain"/>
        <w:rPr>
          <w:lang w:val="en-GB"/>
        </w:rPr>
      </w:pPr>
    </w:p>
    <w:p w14:paraId="243BAA06" w14:textId="77777777" w:rsidR="00DC63B0" w:rsidRPr="00FA29FA" w:rsidRDefault="00DC63B0" w:rsidP="00714AF2">
      <w:pPr>
        <w:pStyle w:val="Casehead2"/>
        <w:rPr>
          <w:lang w:val="en-GB"/>
        </w:rPr>
      </w:pPr>
      <w:r w:rsidRPr="00FA29FA">
        <w:rPr>
          <w:lang w:val="en-GB"/>
        </w:rPr>
        <w:t>Employees</w:t>
      </w:r>
    </w:p>
    <w:p w14:paraId="1FF67D13" w14:textId="77777777" w:rsidR="00DC63B0" w:rsidRPr="00FA29FA" w:rsidRDefault="00DC63B0" w:rsidP="00637477">
      <w:pPr>
        <w:pStyle w:val="BodyTextMain"/>
        <w:rPr>
          <w:lang w:val="en-GB"/>
        </w:rPr>
      </w:pPr>
    </w:p>
    <w:p w14:paraId="4E291406" w14:textId="1C773300" w:rsidR="00DC63B0" w:rsidRPr="00FA29FA" w:rsidRDefault="00DC63B0" w:rsidP="00637477">
      <w:pPr>
        <w:pStyle w:val="BodyTextMain"/>
        <w:rPr>
          <w:lang w:val="en-GB"/>
        </w:rPr>
      </w:pPr>
      <w:r w:rsidRPr="00FA29FA">
        <w:rPr>
          <w:lang w:val="en-GB"/>
        </w:rPr>
        <w:t>To minimize discontent</w:t>
      </w:r>
      <w:r w:rsidR="00D448B1">
        <w:rPr>
          <w:lang w:val="en-GB"/>
        </w:rPr>
        <w:t xml:space="preserve"> </w:t>
      </w:r>
      <w:r w:rsidR="00185123">
        <w:rPr>
          <w:lang w:val="en-GB"/>
        </w:rPr>
        <w:t xml:space="preserve">among </w:t>
      </w:r>
      <w:r w:rsidRPr="00FA29FA">
        <w:rPr>
          <w:lang w:val="en-GB"/>
        </w:rPr>
        <w:t xml:space="preserve">employees at Ecobank and TTB, employees at both banks were assured that the merger would not lead to job losses. Unemployment would tarnish Ecobank’s image and, without buy-in from employees from both banks, the integration would not be successful. Using long-term rather than short-term thinking, Ecobank reasoned that an emphasis on profits at the early stage would not be prudent; instead, it could assess the staff complement and adjust later. </w:t>
      </w:r>
    </w:p>
    <w:p w14:paraId="18F20705" w14:textId="77777777" w:rsidR="00DC63B0" w:rsidRPr="00FA29FA" w:rsidRDefault="00DC63B0" w:rsidP="00637477">
      <w:pPr>
        <w:pStyle w:val="BodyTextMain"/>
        <w:rPr>
          <w:lang w:val="en-GB"/>
        </w:rPr>
      </w:pPr>
    </w:p>
    <w:p w14:paraId="18040051" w14:textId="07E2C8A0" w:rsidR="00DC63B0" w:rsidRPr="0067372A" w:rsidRDefault="00DC63B0" w:rsidP="00637477">
      <w:pPr>
        <w:pStyle w:val="BodyTextMain"/>
        <w:rPr>
          <w:spacing w:val="-4"/>
          <w:lang w:val="en-GB"/>
        </w:rPr>
      </w:pPr>
      <w:r w:rsidRPr="0067372A">
        <w:rPr>
          <w:spacing w:val="-4"/>
          <w:lang w:val="en-GB"/>
        </w:rPr>
        <w:t xml:space="preserve">Despite assurances from Ecobank that no one would lose their jobs, employees at both TTB and Ecobank were generally concerned about how the new, merged working environment would affect them. While the human resource structures in the two banks were similar in function, TTB’s staff complement was smaller than Ecobank’s and had fewer hierarchical levels. </w:t>
      </w:r>
      <w:r w:rsidR="005060DB" w:rsidRPr="0067372A">
        <w:rPr>
          <w:spacing w:val="-4"/>
          <w:lang w:val="en-GB"/>
        </w:rPr>
        <w:t xml:space="preserve">Also, </w:t>
      </w:r>
      <w:r w:rsidRPr="0067372A">
        <w:rPr>
          <w:spacing w:val="-4"/>
          <w:lang w:val="en-GB"/>
        </w:rPr>
        <w:t xml:space="preserve">Ecobank’s employees were better compensated—an issue that would have to be addressed in the merger and that was expected to be advantageous for TTB’s employees. </w:t>
      </w:r>
    </w:p>
    <w:p w14:paraId="6C8CF16C" w14:textId="77777777" w:rsidR="00DC63B0" w:rsidRPr="00FA29FA" w:rsidRDefault="00DC63B0" w:rsidP="00637477">
      <w:pPr>
        <w:pStyle w:val="BodyTextMain"/>
        <w:rPr>
          <w:lang w:val="en-GB"/>
        </w:rPr>
      </w:pPr>
    </w:p>
    <w:p w14:paraId="7616BFCE" w14:textId="22376171" w:rsidR="00DC63B0" w:rsidRPr="00FA29FA" w:rsidRDefault="00DC63B0" w:rsidP="00637477">
      <w:pPr>
        <w:pStyle w:val="BodyTextMain"/>
        <w:rPr>
          <w:lang w:val="en-GB"/>
        </w:rPr>
      </w:pPr>
      <w:bookmarkStart w:id="4" w:name="_Hlk45362413"/>
      <w:r w:rsidRPr="00FA29FA">
        <w:rPr>
          <w:lang w:val="en-GB"/>
        </w:rPr>
        <w:lastRenderedPageBreak/>
        <w:t xml:space="preserve">Ecobank, as the larger company, would continue as Ecobank through and after the merger. TTB, however, would be subsumed and would no longer exist. All heads of departments at TTB had to be absorbed by Ecobank and work under Ecobank’s heads. The exception was the head of the TTB human resources department, who was more experienced and due to retire in about two years. TTB’s human resources manager would be responsible for the human resources of the newly merged bank, and Ecobank’s head of human resources would take over after the TTB manager retired. </w:t>
      </w:r>
    </w:p>
    <w:p w14:paraId="61C9408A" w14:textId="77777777" w:rsidR="00DC63B0" w:rsidRPr="00FA29FA" w:rsidRDefault="00DC63B0" w:rsidP="00637477">
      <w:pPr>
        <w:pStyle w:val="BodyTextMain"/>
        <w:rPr>
          <w:lang w:val="en-GB"/>
        </w:rPr>
      </w:pPr>
    </w:p>
    <w:p w14:paraId="00BDCDF8" w14:textId="3719BEE6" w:rsidR="00DC63B0" w:rsidRPr="00FA29FA" w:rsidRDefault="00DC63B0" w:rsidP="00637477">
      <w:pPr>
        <w:pStyle w:val="BodyTextMain"/>
        <w:rPr>
          <w:lang w:val="en-GB"/>
        </w:rPr>
      </w:pPr>
      <w:r w:rsidRPr="00FA29FA">
        <w:rPr>
          <w:lang w:val="en-GB"/>
        </w:rPr>
        <w:t>Still, some of TTB’s key management staff were skeptical, and some chose to not be part of the merger. The managing director at TTB and all but one general manager negotiated severance packages and left due to uncertainty regarding their new positions, dissatisfaction with the new management grading system at Ecobank, or a desire not to work under Ecobank’s management. However, most of TTB’s heads of departments stayed</w:t>
      </w:r>
      <w:r w:rsidR="002E6601">
        <w:rPr>
          <w:lang w:val="en-GB"/>
        </w:rPr>
        <w:t xml:space="preserve"> on</w:t>
      </w:r>
      <w:r w:rsidRPr="00FA29FA">
        <w:rPr>
          <w:lang w:val="en-GB"/>
        </w:rPr>
        <w:t xml:space="preserve"> even though they were not happy to report to Ecobank’s department heads. </w:t>
      </w:r>
    </w:p>
    <w:p w14:paraId="0C9362C9" w14:textId="77777777" w:rsidR="00DC63B0" w:rsidRPr="00FA29FA" w:rsidRDefault="00DC63B0" w:rsidP="00637477">
      <w:pPr>
        <w:pStyle w:val="BodyTextMain"/>
        <w:rPr>
          <w:lang w:val="en-GB"/>
        </w:rPr>
      </w:pPr>
    </w:p>
    <w:bookmarkEnd w:id="4"/>
    <w:p w14:paraId="0D417BA3" w14:textId="77777777" w:rsidR="00DC63B0" w:rsidRPr="00FA29FA" w:rsidRDefault="00DC63B0" w:rsidP="00637477">
      <w:pPr>
        <w:pStyle w:val="BodyTextMain"/>
        <w:rPr>
          <w:lang w:val="en-GB"/>
        </w:rPr>
      </w:pPr>
    </w:p>
    <w:p w14:paraId="2430C730" w14:textId="77777777" w:rsidR="00DC63B0" w:rsidRPr="00FA29FA" w:rsidRDefault="00DC63B0" w:rsidP="00714AF2">
      <w:pPr>
        <w:pStyle w:val="Casehead2"/>
        <w:rPr>
          <w:lang w:val="en-GB"/>
        </w:rPr>
      </w:pPr>
      <w:r w:rsidRPr="00FA29FA">
        <w:rPr>
          <w:lang w:val="en-GB"/>
        </w:rPr>
        <w:t>Customers and Organizational Culture</w:t>
      </w:r>
    </w:p>
    <w:p w14:paraId="7E5649A6" w14:textId="77777777" w:rsidR="00DC63B0" w:rsidRPr="00FA29FA" w:rsidRDefault="00DC63B0" w:rsidP="00637477">
      <w:pPr>
        <w:pStyle w:val="BodyTextMain"/>
        <w:rPr>
          <w:lang w:val="en-GB"/>
        </w:rPr>
      </w:pPr>
    </w:p>
    <w:p w14:paraId="4F545941" w14:textId="0B29B7A6" w:rsidR="00DC63B0" w:rsidRPr="00FA29FA" w:rsidRDefault="00DC63B0" w:rsidP="00637477">
      <w:pPr>
        <w:pStyle w:val="BodyTextMain"/>
        <w:rPr>
          <w:lang w:val="en-GB"/>
        </w:rPr>
      </w:pPr>
      <w:r w:rsidRPr="00FA29FA">
        <w:rPr>
          <w:lang w:val="en-GB"/>
        </w:rPr>
        <w:t xml:space="preserve">Ecobank was a large organization with a pan-African presence and international affiliations. The bank’s primary target was the global market; therefore, its employees had developed a global mindset. Employees were held to high levels of accountability that would meet the expectations of global competitors and customers. The bank had high brand recognition and prestige. Ecobank was a preferred place of employment for those working in Ghana’s banking sector, and its employees enjoyed a sense of superiority because they were part of ETI’s vast structure. </w:t>
      </w:r>
    </w:p>
    <w:p w14:paraId="71F10314" w14:textId="77777777" w:rsidR="00DC63B0" w:rsidRPr="00FA29FA" w:rsidRDefault="00DC63B0" w:rsidP="00637477">
      <w:pPr>
        <w:pStyle w:val="BodyTextMain"/>
        <w:rPr>
          <w:lang w:val="en-GB"/>
        </w:rPr>
      </w:pPr>
    </w:p>
    <w:p w14:paraId="461008C2" w14:textId="1283A440" w:rsidR="00DC63B0" w:rsidRPr="00FA29FA" w:rsidRDefault="00DC63B0" w:rsidP="00637477">
      <w:pPr>
        <w:pStyle w:val="BodyTextMain"/>
        <w:rPr>
          <w:lang w:val="en-GB"/>
        </w:rPr>
      </w:pPr>
      <w:r w:rsidRPr="00FA29FA">
        <w:rPr>
          <w:lang w:val="en-GB"/>
        </w:rPr>
        <w:t xml:space="preserve">In comparison, TTB was focused solely on local clientele. Its visibility was lower than Ecobank’s, and its presence was limited to Ghana and a largely local competitive landscape. Employment at TTB was indistinguishable from employment with any of the other local banks. TTB’s customers were small, local clients who enjoyed banking with an organization that understood their needs. Smaller, local businesses often did not separate their business </w:t>
      </w:r>
      <w:r w:rsidR="006B073B">
        <w:rPr>
          <w:lang w:val="en-GB"/>
        </w:rPr>
        <w:t>from</w:t>
      </w:r>
      <w:r w:rsidRPr="00FA29FA">
        <w:rPr>
          <w:lang w:val="en-GB"/>
        </w:rPr>
        <w:t xml:space="preserve"> personal financial affairs</w:t>
      </w:r>
      <w:r w:rsidR="002E6601">
        <w:rPr>
          <w:lang w:val="en-GB"/>
        </w:rPr>
        <w:t>.</w:t>
      </w:r>
      <w:r w:rsidRPr="00FA29FA">
        <w:rPr>
          <w:lang w:val="en-GB"/>
        </w:rPr>
        <w:t xml:space="preserve"> TTB </w:t>
      </w:r>
      <w:r w:rsidR="002E6601">
        <w:rPr>
          <w:lang w:val="en-GB"/>
        </w:rPr>
        <w:t>was familiar with</w:t>
      </w:r>
      <w:r w:rsidRPr="00FA29FA">
        <w:rPr>
          <w:lang w:val="en-GB"/>
        </w:rPr>
        <w:t xml:space="preserve"> those </w:t>
      </w:r>
      <w:r w:rsidR="002E6601">
        <w:rPr>
          <w:lang w:val="en-GB"/>
        </w:rPr>
        <w:t>practices</w:t>
      </w:r>
      <w:r w:rsidRPr="00FA29FA">
        <w:rPr>
          <w:lang w:val="en-GB"/>
        </w:rPr>
        <w:t xml:space="preserve"> and was often informal </w:t>
      </w:r>
      <w:r w:rsidR="002E6601">
        <w:rPr>
          <w:lang w:val="en-GB"/>
        </w:rPr>
        <w:t>in</w:t>
      </w:r>
      <w:r w:rsidRPr="00FA29FA">
        <w:rPr>
          <w:lang w:val="en-GB"/>
        </w:rPr>
        <w:t xml:space="preserve"> adhering to business standards. The bank’s relationships with its customers depended on its flexibility and willingness to sometimes compromise. Thus, the merger was going to be a significant challenge for TTB’s customers, who were accustomed to locally managed arrangements that were more flexible than those the larger Ecobank could, or would, accommodate. </w:t>
      </w:r>
    </w:p>
    <w:p w14:paraId="702CC2EE" w14:textId="77777777" w:rsidR="00DC63B0" w:rsidRPr="00FA29FA" w:rsidRDefault="00DC63B0" w:rsidP="00637477">
      <w:pPr>
        <w:pStyle w:val="BodyTextMain"/>
        <w:rPr>
          <w:lang w:val="en-GB"/>
        </w:rPr>
      </w:pPr>
    </w:p>
    <w:p w14:paraId="003F171B" w14:textId="72558A8F" w:rsidR="00DC63B0" w:rsidRPr="00FA29FA" w:rsidRDefault="00DC63B0" w:rsidP="00637477">
      <w:pPr>
        <w:pStyle w:val="BodyTextMain"/>
        <w:rPr>
          <w:lang w:val="en-GB"/>
        </w:rPr>
      </w:pPr>
      <w:r w:rsidRPr="00FA29FA">
        <w:rPr>
          <w:lang w:val="en-GB"/>
        </w:rPr>
        <w:t>A customer service challenge surfaced before the merger and trickled through the integration process</w:t>
      </w:r>
      <w:r w:rsidR="00F264D2">
        <w:rPr>
          <w:lang w:val="en-GB"/>
        </w:rPr>
        <w:t>:</w:t>
      </w:r>
      <w:r w:rsidRPr="00FA29FA">
        <w:rPr>
          <w:lang w:val="en-GB"/>
        </w:rPr>
        <w:t xml:space="preserve"> </w:t>
      </w:r>
      <w:r w:rsidR="00F264D2">
        <w:rPr>
          <w:lang w:val="en-GB"/>
        </w:rPr>
        <w:t>s</w:t>
      </w:r>
      <w:r w:rsidRPr="00FA29FA">
        <w:rPr>
          <w:lang w:val="en-GB"/>
        </w:rPr>
        <w:t xml:space="preserve">ome senior TTB staff attempted to use customers as tools in their resistance to change by implying to TTB’s customers that Ecobank was a typical corporate bank that would not have time for its new customers. Compounding this smear campaign, some TTB customers who were not accustomed to the greater accountability and scrutiny that came with a pan-African bank began to complain to the newspapers. Because SSNIT, a government trust, was a significant shareholder in Ecobank, the issue made its way to the Bank of Ghana and resulted in a series of meetings with the central bank to assure the regulator that </w:t>
      </w:r>
      <w:r w:rsidR="00117DB5">
        <w:t>c</w:t>
      </w:r>
      <w:r w:rsidR="00117DB5" w:rsidRPr="00117DB5">
        <w:t xml:space="preserve">ustomers </w:t>
      </w:r>
      <w:r w:rsidR="00136C61">
        <w:t xml:space="preserve">would </w:t>
      </w:r>
      <w:r w:rsidR="00117DB5" w:rsidRPr="00117DB5">
        <w:t>not be adversely affected by the merger</w:t>
      </w:r>
      <w:r w:rsidR="00432D0B">
        <w:t>.</w:t>
      </w:r>
    </w:p>
    <w:p w14:paraId="0F6616FE" w14:textId="77777777" w:rsidR="00DC63B0" w:rsidRPr="00FA29FA" w:rsidRDefault="00DC63B0" w:rsidP="00637477">
      <w:pPr>
        <w:pStyle w:val="BodyTextMain"/>
        <w:rPr>
          <w:lang w:val="en-GB"/>
        </w:rPr>
      </w:pPr>
    </w:p>
    <w:p w14:paraId="5A8CB9E2" w14:textId="77777777" w:rsidR="00DC63B0" w:rsidRPr="00FA29FA" w:rsidRDefault="00DC63B0" w:rsidP="00637477">
      <w:pPr>
        <w:pStyle w:val="BodyTextMain"/>
        <w:rPr>
          <w:lang w:val="en-GB"/>
        </w:rPr>
      </w:pPr>
    </w:p>
    <w:p w14:paraId="63C3F05E" w14:textId="77777777" w:rsidR="00DC63B0" w:rsidRPr="00FA29FA" w:rsidRDefault="00DC63B0" w:rsidP="00714AF2">
      <w:pPr>
        <w:pStyle w:val="Casehead2"/>
        <w:rPr>
          <w:lang w:val="en-GB"/>
        </w:rPr>
      </w:pPr>
      <w:r w:rsidRPr="00FA29FA">
        <w:rPr>
          <w:lang w:val="en-GB"/>
        </w:rPr>
        <w:t>Operations</w:t>
      </w:r>
    </w:p>
    <w:p w14:paraId="6EE92D52" w14:textId="77777777" w:rsidR="00DC63B0" w:rsidRPr="00FA29FA" w:rsidRDefault="00DC63B0" w:rsidP="00141550">
      <w:pPr>
        <w:pStyle w:val="BodyTextMain"/>
        <w:keepNext/>
        <w:rPr>
          <w:lang w:val="en-GB"/>
        </w:rPr>
      </w:pPr>
    </w:p>
    <w:p w14:paraId="027CA791" w14:textId="300B64FA" w:rsidR="00DC63B0" w:rsidRPr="00FA29FA" w:rsidRDefault="00DC63B0" w:rsidP="00637477">
      <w:pPr>
        <w:pStyle w:val="BodyTextMain"/>
        <w:rPr>
          <w:lang w:val="en-GB"/>
        </w:rPr>
      </w:pPr>
      <w:r w:rsidRPr="00FA29FA">
        <w:rPr>
          <w:lang w:val="en-GB"/>
        </w:rPr>
        <w:t>Both banks had online services and ATMs: Ecobank had 53 branches throughout the country, while TTB had 25 branches, most</w:t>
      </w:r>
      <w:r w:rsidR="00900EF2">
        <w:rPr>
          <w:lang w:val="en-GB"/>
        </w:rPr>
        <w:t>ly</w:t>
      </w:r>
      <w:r w:rsidRPr="00FA29FA">
        <w:rPr>
          <w:lang w:val="en-GB"/>
        </w:rPr>
        <w:t xml:space="preserve"> located in Accra and the surrounding area. In cases where both banks had branches in the same area, the TTB branches would eventually be closed.</w:t>
      </w:r>
      <w:bookmarkStart w:id="5" w:name="_Hlk50794376"/>
      <w:r w:rsidRPr="00FA29FA">
        <w:rPr>
          <w:lang w:val="en-GB"/>
        </w:rPr>
        <w:t xml:space="preserve"> The long-term plan was to consolidate all physical buildings and, for efficiency, to divest the TTB office locations that were in close proximity to Ecobank locations.</w:t>
      </w:r>
    </w:p>
    <w:bookmarkEnd w:id="5"/>
    <w:p w14:paraId="264F47A3" w14:textId="7CE10447" w:rsidR="00DC63B0" w:rsidRPr="00FA29FA" w:rsidRDefault="00DC63B0" w:rsidP="00637477">
      <w:pPr>
        <w:pStyle w:val="BodyTextMain"/>
        <w:rPr>
          <w:lang w:val="en-GB"/>
        </w:rPr>
      </w:pPr>
      <w:r w:rsidRPr="00FA29FA">
        <w:rPr>
          <w:lang w:val="en-GB"/>
        </w:rPr>
        <w:lastRenderedPageBreak/>
        <w:t xml:space="preserve">Although each bank had its own board of directors, their different perspectives (i.e., international versus local) also determined the regulatory requirements each bank adhered to. Both were required to adhere to the standards of the Central Bank of Ghana, the regulations of the Ghana Stock Exchange, and the laws of Ghana. ETI and its affiliate banks, however, had a global presence, which meant that they also had to follow international regulations and the laws of the various countries in which the affiliate banks operated. The banks were also subject to the regulations of three stock exchanges. With the merger, TTB would become subject to these extended obligations as well. </w:t>
      </w:r>
    </w:p>
    <w:p w14:paraId="4A7C0DEE" w14:textId="77777777" w:rsidR="00DC63B0" w:rsidRPr="00FA29FA" w:rsidRDefault="00DC63B0" w:rsidP="00637477">
      <w:pPr>
        <w:pStyle w:val="BodyTextMain"/>
        <w:rPr>
          <w:lang w:val="en-GB"/>
        </w:rPr>
      </w:pPr>
    </w:p>
    <w:p w14:paraId="142F2DDE" w14:textId="4DDABCE2" w:rsidR="00DC63B0" w:rsidRPr="00FA29FA" w:rsidRDefault="00DC63B0" w:rsidP="00637477">
      <w:pPr>
        <w:pStyle w:val="BodyTextMain"/>
        <w:rPr>
          <w:lang w:val="en-GB"/>
        </w:rPr>
      </w:pPr>
      <w:r w:rsidRPr="00FA29FA">
        <w:rPr>
          <w:lang w:val="en-GB"/>
        </w:rPr>
        <w:t>Each bank used a different operational technology. Ecobank used the Oracle FLEXCUBE interface, a real-time, online, comprehensive banking system used around the world. The system was meant to be universal, embracing all of a bank’s transactions, including its ATMs. TTB ran on a system designed by InfoPro, the eICBA platform. While eICBA was also capable of being a universal interface for a bank, the system’s strength was its modularity. Banks could adopt some or all of the systems as needed; further, the modules were designed to be adaptable within local banking customs—a feature that made the eICBA platform a favourite for Islamic banking systems.</w:t>
      </w:r>
      <w:r w:rsidRPr="00FA29FA">
        <w:rPr>
          <w:rStyle w:val="FootnoteReference"/>
          <w:lang w:val="en-GB"/>
        </w:rPr>
        <w:footnoteReference w:id="21"/>
      </w:r>
    </w:p>
    <w:p w14:paraId="70FF5F48" w14:textId="77777777" w:rsidR="00DC63B0" w:rsidRPr="00FA29FA" w:rsidRDefault="00DC63B0" w:rsidP="00637477">
      <w:pPr>
        <w:pStyle w:val="BodyTextMain"/>
        <w:rPr>
          <w:lang w:val="en-GB"/>
        </w:rPr>
      </w:pPr>
    </w:p>
    <w:p w14:paraId="0FF751DC" w14:textId="78E40C4E" w:rsidR="00DC63B0" w:rsidRPr="00FA29FA" w:rsidRDefault="00DC63B0" w:rsidP="00637477">
      <w:pPr>
        <w:pStyle w:val="BodyTextMain"/>
        <w:rPr>
          <w:lang w:val="en-GB"/>
        </w:rPr>
      </w:pPr>
      <w:r w:rsidRPr="00FA29FA">
        <w:rPr>
          <w:lang w:val="en-GB"/>
        </w:rPr>
        <w:t>Branding was yet another consideration for the merger. All bank employees wore bank uniforms, but each bank had distinctive branding and design for its uniforms. Similarly, all employees had official bank email addresses; however, each bank used a different domain and structure for its email system.</w:t>
      </w:r>
    </w:p>
    <w:p w14:paraId="1E0C0C69" w14:textId="77777777" w:rsidR="00DC63B0" w:rsidRPr="00FA29FA" w:rsidRDefault="00DC63B0" w:rsidP="00637477">
      <w:pPr>
        <w:pStyle w:val="BodyTextMain"/>
        <w:rPr>
          <w:lang w:val="en-GB"/>
        </w:rPr>
      </w:pPr>
    </w:p>
    <w:bookmarkEnd w:id="2"/>
    <w:p w14:paraId="4F44E76B" w14:textId="77777777" w:rsidR="00DC63B0" w:rsidRPr="00FA29FA" w:rsidRDefault="00DC63B0" w:rsidP="00637477">
      <w:pPr>
        <w:pStyle w:val="BodyTextMain"/>
        <w:rPr>
          <w:lang w:val="en-GB"/>
        </w:rPr>
      </w:pPr>
    </w:p>
    <w:bookmarkEnd w:id="3"/>
    <w:p w14:paraId="216ED475" w14:textId="77777777" w:rsidR="00DC63B0" w:rsidRPr="00FA29FA" w:rsidRDefault="00DC63B0" w:rsidP="00714AF2">
      <w:pPr>
        <w:pStyle w:val="Casehead1"/>
        <w:rPr>
          <w:lang w:val="en-GB"/>
        </w:rPr>
      </w:pPr>
      <w:r w:rsidRPr="00FA29FA">
        <w:rPr>
          <w:lang w:val="en-GB"/>
        </w:rPr>
        <w:t>Appointment of Raymond Fordwuo</w:t>
      </w:r>
    </w:p>
    <w:p w14:paraId="33D94527" w14:textId="77777777" w:rsidR="00DC63B0" w:rsidRPr="00FA29FA" w:rsidRDefault="00DC63B0" w:rsidP="00637477">
      <w:pPr>
        <w:pStyle w:val="BodyTextMain"/>
        <w:rPr>
          <w:lang w:val="en-GB"/>
        </w:rPr>
      </w:pPr>
    </w:p>
    <w:p w14:paraId="313EA8EF" w14:textId="76A4B175" w:rsidR="00DC63B0" w:rsidRPr="00FA29FA" w:rsidRDefault="00DC63B0" w:rsidP="00637477">
      <w:pPr>
        <w:pStyle w:val="BodyTextMain"/>
        <w:rPr>
          <w:lang w:val="en-GB"/>
        </w:rPr>
      </w:pPr>
      <w:r w:rsidRPr="00FA29FA">
        <w:rPr>
          <w:lang w:val="en-GB"/>
        </w:rPr>
        <w:t>With vast experience in the acquisition of several companies in the African sub-region, ETI was confident that its latest acquisition could be smoothly integrated. It appointed Fordwuo as integration manager to oversee the project and ensure that the transition went well. Fordwuo had joined ETI in 2008 as the head of retail banking. In 2010, when ETI began expanding into eastern and southern Africa, it put together a team from all specialized banking areas to set up the new affiliates. Fordwuo joined the team in Kenya as the retail banking expert, responsible for recruiting and training all retail banking employees. Once all the affiliates had been established, Fordwuo returned to Ghana.</w:t>
      </w:r>
    </w:p>
    <w:p w14:paraId="4BE3A267" w14:textId="77777777" w:rsidR="00DC63B0" w:rsidRPr="00FA29FA" w:rsidRDefault="00DC63B0" w:rsidP="00637477">
      <w:pPr>
        <w:pStyle w:val="BodyTextMain"/>
        <w:rPr>
          <w:lang w:val="en-GB"/>
        </w:rPr>
      </w:pPr>
    </w:p>
    <w:p w14:paraId="76DA317E" w14:textId="27436471" w:rsidR="00DC63B0" w:rsidRPr="00FA29FA" w:rsidRDefault="00DC63B0" w:rsidP="00637477">
      <w:pPr>
        <w:pStyle w:val="BodyTextMain"/>
        <w:rPr>
          <w:lang w:val="en-GB"/>
        </w:rPr>
      </w:pPr>
      <w:r w:rsidRPr="00FA29FA">
        <w:rPr>
          <w:lang w:val="en-GB"/>
        </w:rPr>
        <w:t xml:space="preserve">When ETI decided on the merger between Ecobank and TTB, ETI was convinced that Fordwuo was the right person to spearhead the integration. Fordwuo was initially uncertain about taking on the task. However, with his employer’s support, he completed an executive training program in mergers and acquisitions strategy at London Business School, </w:t>
      </w:r>
      <w:r w:rsidR="00D84C15">
        <w:rPr>
          <w:lang w:val="en-GB"/>
        </w:rPr>
        <w:t>which</w:t>
      </w:r>
      <w:r w:rsidRPr="00FA29FA">
        <w:rPr>
          <w:lang w:val="en-GB"/>
        </w:rPr>
        <w:t xml:space="preserve"> was insightful and proved to him that he had the required skills. Fordwuo also consulted with colleagues who were experienced with mergers to solicit their suggestions for leading change in the upcoming merger. He was buoyed by a comment from a human resources colleague, who pointed out that one of Fordwuo’s strengths was his people skills—exactly what he would need to lead the organizational change at Ecobank and TTB. </w:t>
      </w:r>
    </w:p>
    <w:p w14:paraId="2BA99414" w14:textId="77777777" w:rsidR="00DC63B0" w:rsidRPr="00A35569" w:rsidRDefault="00DC63B0" w:rsidP="00637477">
      <w:pPr>
        <w:pStyle w:val="BodyTextMain"/>
        <w:rPr>
          <w:lang w:val="en-GB"/>
        </w:rPr>
      </w:pPr>
    </w:p>
    <w:p w14:paraId="23A28CEC" w14:textId="31D76559" w:rsidR="00637477" w:rsidRPr="00FA29FA" w:rsidRDefault="00DC63B0" w:rsidP="00637477">
      <w:pPr>
        <w:pStyle w:val="BodyTextMain"/>
        <w:rPr>
          <w:lang w:val="en-GB"/>
        </w:rPr>
      </w:pPr>
      <w:r w:rsidRPr="00FA29FA">
        <w:rPr>
          <w:lang w:val="en-GB"/>
        </w:rPr>
        <w:t xml:space="preserve">To ensure successful acquisition processes and outcomes, </w:t>
      </w:r>
      <w:r w:rsidR="00900EF2" w:rsidRPr="00FA29FA">
        <w:rPr>
          <w:lang w:val="en-GB"/>
        </w:rPr>
        <w:t xml:space="preserve">Fordwuo </w:t>
      </w:r>
      <w:r w:rsidRPr="00FA29FA">
        <w:rPr>
          <w:lang w:val="en-GB"/>
        </w:rPr>
        <w:t>went to Lagos, Nigeria, for a week in December 2011 to learn from the experiences of integration manager Dele Osgushola and Ronaldo Alfonso, a consultant from McKinsey &amp; Company, who had together managed the major integration of Oceanic Bank International plc with Ecobank Nigeria after ETI acquired Oceanic in October 2011.</w:t>
      </w:r>
      <w:r w:rsidRPr="00FA29FA">
        <w:rPr>
          <w:rStyle w:val="FootnoteReference"/>
          <w:lang w:val="en-GB"/>
        </w:rPr>
        <w:footnoteReference w:id="22"/>
      </w:r>
      <w:r w:rsidRPr="00FA29FA">
        <w:rPr>
          <w:lang w:val="en-GB"/>
        </w:rPr>
        <w:t xml:space="preserve"> </w:t>
      </w:r>
      <w:r w:rsidR="00637477" w:rsidRPr="00FA29FA">
        <w:rPr>
          <w:lang w:val="en-GB"/>
        </w:rPr>
        <w:t xml:space="preserve">ETI had not secured the services of a consultant to oversee the merger in Ghana, so Fordwuo was keen to interact with the team in Nigeria to assess the viability of his plans for the Ecobank integration. With the information he </w:t>
      </w:r>
      <w:r w:rsidR="00637477" w:rsidRPr="00FA29FA">
        <w:rPr>
          <w:lang w:val="en-GB"/>
        </w:rPr>
        <w:lastRenderedPageBreak/>
        <w:t xml:space="preserve">had gleaned, Fordwuo returned to Accra and began </w:t>
      </w:r>
      <w:r w:rsidR="003061D8" w:rsidRPr="00FA29FA">
        <w:rPr>
          <w:lang w:val="en-GB"/>
        </w:rPr>
        <w:t xml:space="preserve">to </w:t>
      </w:r>
      <w:r w:rsidR="00637477" w:rsidRPr="00FA29FA">
        <w:rPr>
          <w:lang w:val="en-GB"/>
        </w:rPr>
        <w:t xml:space="preserve">work on integrating TTB with Ecobank. The bank </w:t>
      </w:r>
      <w:r w:rsidR="003061D8" w:rsidRPr="00FA29FA">
        <w:rPr>
          <w:lang w:val="en-GB"/>
        </w:rPr>
        <w:t xml:space="preserve">wanted </w:t>
      </w:r>
      <w:r w:rsidR="00637477" w:rsidRPr="00FA29FA">
        <w:rPr>
          <w:lang w:val="en-GB"/>
        </w:rPr>
        <w:t xml:space="preserve">the integration </w:t>
      </w:r>
      <w:r w:rsidR="003061D8" w:rsidRPr="00FA29FA">
        <w:rPr>
          <w:lang w:val="en-GB"/>
        </w:rPr>
        <w:t xml:space="preserve">to happen </w:t>
      </w:r>
      <w:r w:rsidR="00637477" w:rsidRPr="00FA29FA">
        <w:rPr>
          <w:lang w:val="en-GB"/>
        </w:rPr>
        <w:t xml:space="preserve">as quickly and comprehensively as possible, and </w:t>
      </w:r>
      <w:r w:rsidR="00900EF2" w:rsidRPr="00FA29FA">
        <w:rPr>
          <w:lang w:val="en-GB"/>
        </w:rPr>
        <w:t xml:space="preserve">Fordwuo </w:t>
      </w:r>
      <w:r w:rsidR="00637477" w:rsidRPr="00FA29FA">
        <w:rPr>
          <w:lang w:val="en-GB"/>
        </w:rPr>
        <w:t>needed a plan to manage that process.</w:t>
      </w:r>
    </w:p>
    <w:p w14:paraId="3B0B517D" w14:textId="77777777" w:rsidR="00810B0B" w:rsidRPr="00FA29FA" w:rsidRDefault="00810B0B" w:rsidP="00637477">
      <w:pPr>
        <w:pStyle w:val="BodyTextMain"/>
        <w:rPr>
          <w:lang w:val="en-GB"/>
        </w:rPr>
      </w:pPr>
    </w:p>
    <w:p w14:paraId="3C41ECBF" w14:textId="77777777" w:rsidR="00810B0B" w:rsidRPr="00FA29FA" w:rsidRDefault="00810B0B" w:rsidP="00637477">
      <w:pPr>
        <w:pStyle w:val="BodyTextMain"/>
        <w:rPr>
          <w:lang w:val="en-GB"/>
        </w:rPr>
      </w:pPr>
    </w:p>
    <w:p w14:paraId="0BF4B955" w14:textId="77777777" w:rsidR="00637477" w:rsidRPr="00FA29FA" w:rsidRDefault="00637477" w:rsidP="00714AF2">
      <w:pPr>
        <w:pStyle w:val="Casehead1"/>
        <w:keepNext/>
        <w:rPr>
          <w:lang w:val="en-GB"/>
        </w:rPr>
      </w:pPr>
      <w:r w:rsidRPr="00FA29FA">
        <w:rPr>
          <w:lang w:val="en-GB"/>
        </w:rPr>
        <w:t>Process of INTEGRATion</w:t>
      </w:r>
    </w:p>
    <w:p w14:paraId="4676B70A" w14:textId="77777777" w:rsidR="00637477" w:rsidRPr="00FA29FA" w:rsidRDefault="00637477" w:rsidP="00714AF2">
      <w:pPr>
        <w:pStyle w:val="BodyTextMain"/>
        <w:keepNext/>
        <w:rPr>
          <w:lang w:val="en-GB"/>
        </w:rPr>
      </w:pPr>
    </w:p>
    <w:p w14:paraId="5358C735" w14:textId="7D3459F7" w:rsidR="00637477" w:rsidRPr="00FA29FA" w:rsidRDefault="00637477" w:rsidP="00714AF2">
      <w:pPr>
        <w:pStyle w:val="BodyTextMain"/>
        <w:keepNext/>
        <w:rPr>
          <w:lang w:val="en-GB"/>
        </w:rPr>
      </w:pPr>
      <w:r w:rsidRPr="00FA29FA">
        <w:rPr>
          <w:lang w:val="en-GB"/>
        </w:rPr>
        <w:t>Fordwuo had much to accomplish in the next six months. The operational changes were significant, ranging from the larger problem of integrating two different computerized banking programs to smaller considerations such as standardizing the branding across the new</w:t>
      </w:r>
      <w:r w:rsidR="00D84C15">
        <w:rPr>
          <w:lang w:val="en-GB"/>
        </w:rPr>
        <w:t>,</w:t>
      </w:r>
      <w:r w:rsidRPr="00FA29FA">
        <w:rPr>
          <w:lang w:val="en-GB"/>
        </w:rPr>
        <w:t xml:space="preserve"> merged organization. The changes with</w:t>
      </w:r>
      <w:r w:rsidR="00656F3C" w:rsidRPr="00FA29FA">
        <w:rPr>
          <w:lang w:val="en-GB"/>
        </w:rPr>
        <w:t>in</w:t>
      </w:r>
      <w:r w:rsidRPr="00FA29FA">
        <w:rPr>
          <w:lang w:val="en-GB"/>
        </w:rPr>
        <w:t xml:space="preserve"> human resources were equally daunting</w:t>
      </w:r>
      <w:r w:rsidR="00656F3C" w:rsidRPr="00FA29FA">
        <w:rPr>
          <w:lang w:val="en-GB"/>
        </w:rPr>
        <w:t>;</w:t>
      </w:r>
      <w:r w:rsidRPr="00FA29FA">
        <w:rPr>
          <w:lang w:val="en-GB"/>
        </w:rPr>
        <w:t xml:space="preserve"> two organizational systems </w:t>
      </w:r>
      <w:r w:rsidR="00656F3C" w:rsidRPr="00FA29FA">
        <w:rPr>
          <w:lang w:val="en-GB"/>
        </w:rPr>
        <w:t xml:space="preserve">needed to merge </w:t>
      </w:r>
      <w:r w:rsidRPr="00FA29FA">
        <w:rPr>
          <w:lang w:val="en-GB"/>
        </w:rPr>
        <w:t xml:space="preserve">and assimilate a full complement of staff without eliminating any jobs. </w:t>
      </w:r>
      <w:r w:rsidR="00656F3C" w:rsidRPr="00FA29FA">
        <w:rPr>
          <w:lang w:val="en-GB"/>
        </w:rPr>
        <w:t>Managing the expectations of customers and helping them navigate a new way of banking would also be k</w:t>
      </w:r>
      <w:r w:rsidRPr="00FA29FA">
        <w:rPr>
          <w:lang w:val="en-GB"/>
        </w:rPr>
        <w:t xml:space="preserve">ey to a successful integration. </w:t>
      </w:r>
    </w:p>
    <w:p w14:paraId="0FDF2E86" w14:textId="77777777" w:rsidR="00637477" w:rsidRPr="00FA29FA" w:rsidRDefault="00637477" w:rsidP="00637477">
      <w:pPr>
        <w:pStyle w:val="BodyTextMain"/>
        <w:rPr>
          <w:lang w:val="en-GB"/>
        </w:rPr>
      </w:pPr>
    </w:p>
    <w:p w14:paraId="00087E3C" w14:textId="40840A16" w:rsidR="00637477" w:rsidRPr="00FA29FA" w:rsidRDefault="00637477" w:rsidP="00637477">
      <w:pPr>
        <w:pStyle w:val="BodyTextMain"/>
        <w:rPr>
          <w:lang w:val="en-GB"/>
        </w:rPr>
      </w:pPr>
      <w:r w:rsidRPr="00FA29FA">
        <w:rPr>
          <w:lang w:val="en-GB"/>
        </w:rPr>
        <w:t>Fordwuo was scheduled to make a presentation to the transitional board of directors.</w:t>
      </w:r>
      <w:r w:rsidRPr="00A35569">
        <w:rPr>
          <w:lang w:val="en-GB"/>
        </w:rPr>
        <w:t xml:space="preserve"> </w:t>
      </w:r>
      <w:r w:rsidRPr="00FA29FA">
        <w:rPr>
          <w:lang w:val="en-GB"/>
        </w:rPr>
        <w:t xml:space="preserve">He had a governance structure he </w:t>
      </w:r>
      <w:r w:rsidR="00656F3C" w:rsidRPr="00FA29FA">
        <w:rPr>
          <w:lang w:val="en-GB"/>
        </w:rPr>
        <w:t>wanted</w:t>
      </w:r>
      <w:r w:rsidRPr="00FA29FA">
        <w:rPr>
          <w:lang w:val="en-GB"/>
        </w:rPr>
        <w:t xml:space="preserve"> to use to oversee the integration of the two banks (see Exhibit 3). The structure would include a steering committee made up of senior executives from both banks, </w:t>
      </w:r>
      <w:r w:rsidR="00D84C15" w:rsidRPr="00FA29FA">
        <w:rPr>
          <w:lang w:val="en-GB"/>
        </w:rPr>
        <w:t>wh</w:t>
      </w:r>
      <w:r w:rsidR="00D84C15">
        <w:rPr>
          <w:lang w:val="en-GB"/>
        </w:rPr>
        <w:t>o</w:t>
      </w:r>
      <w:r w:rsidR="00D84C15" w:rsidRPr="00FA29FA">
        <w:rPr>
          <w:lang w:val="en-GB"/>
        </w:rPr>
        <w:t xml:space="preserve"> </w:t>
      </w:r>
      <w:r w:rsidRPr="00FA29FA">
        <w:rPr>
          <w:lang w:val="en-GB"/>
        </w:rPr>
        <w:t>would oversee the integration process. The steering committee would be responsible for determining the strategy and the end state or goal for every business of the bank.</w:t>
      </w:r>
    </w:p>
    <w:p w14:paraId="60DF7612" w14:textId="77777777" w:rsidR="00637477" w:rsidRPr="00FA29FA" w:rsidRDefault="00637477" w:rsidP="00637477">
      <w:pPr>
        <w:pStyle w:val="BodyTextMain"/>
        <w:rPr>
          <w:lang w:val="en-GB"/>
        </w:rPr>
      </w:pPr>
    </w:p>
    <w:p w14:paraId="77C18C2B" w14:textId="20E91D75" w:rsidR="00637477" w:rsidRPr="00FA29FA" w:rsidRDefault="00637477" w:rsidP="00637477">
      <w:pPr>
        <w:pStyle w:val="BodyTextMain"/>
        <w:rPr>
          <w:lang w:val="en-GB"/>
        </w:rPr>
      </w:pPr>
      <w:r w:rsidRPr="00FA29FA">
        <w:rPr>
          <w:lang w:val="en-GB"/>
        </w:rPr>
        <w:t>Fordwuo thought he would manage the integration with the support of an administrative assistant and two project managers</w:t>
      </w:r>
      <w:r w:rsidR="00656F3C" w:rsidRPr="00FA29FA">
        <w:rPr>
          <w:lang w:val="en-GB"/>
        </w:rPr>
        <w:t>—</w:t>
      </w:r>
      <w:r w:rsidRPr="00FA29FA">
        <w:rPr>
          <w:lang w:val="en-GB"/>
        </w:rPr>
        <w:t xml:space="preserve">one from each bank. In his proposal, four implementation teams or working committees would implement key initiatives, manage costs, manage information flow, and identify the risks to achieving expected goals. </w:t>
      </w:r>
      <w:r w:rsidR="00656F3C" w:rsidRPr="00FA29FA">
        <w:rPr>
          <w:lang w:val="en-GB"/>
        </w:rPr>
        <w:t xml:space="preserve">There would be </w:t>
      </w:r>
      <w:r w:rsidRPr="00FA29FA">
        <w:rPr>
          <w:lang w:val="en-GB"/>
        </w:rPr>
        <w:t>one team for each major area of change—business, operations and technology, human resources, and brand and communications—</w:t>
      </w:r>
      <w:r w:rsidR="00656F3C" w:rsidRPr="00FA29FA">
        <w:rPr>
          <w:lang w:val="en-GB"/>
        </w:rPr>
        <w:t xml:space="preserve">and </w:t>
      </w:r>
      <w:r w:rsidRPr="00FA29FA">
        <w:rPr>
          <w:lang w:val="en-GB"/>
        </w:rPr>
        <w:t>the</w:t>
      </w:r>
      <w:r w:rsidR="00656F3C" w:rsidRPr="00FA29FA">
        <w:rPr>
          <w:lang w:val="en-GB"/>
        </w:rPr>
        <w:t>se</w:t>
      </w:r>
      <w:r w:rsidRPr="00FA29FA">
        <w:rPr>
          <w:lang w:val="en-GB"/>
        </w:rPr>
        <w:t xml:space="preserve"> teams would be responsible for driving the deliverables and troubleshooting during the change. </w:t>
      </w:r>
    </w:p>
    <w:p w14:paraId="572B5038" w14:textId="77777777" w:rsidR="00637477" w:rsidRPr="00FA29FA" w:rsidRDefault="00637477" w:rsidP="00637477">
      <w:pPr>
        <w:pStyle w:val="BodyTextMain"/>
        <w:rPr>
          <w:lang w:val="en-GB"/>
        </w:rPr>
      </w:pPr>
    </w:p>
    <w:p w14:paraId="33B16543" w14:textId="5F40EE9C" w:rsidR="00637477" w:rsidRPr="00FA29FA" w:rsidRDefault="00637477" w:rsidP="00637477">
      <w:pPr>
        <w:pStyle w:val="BodyTextMain"/>
        <w:rPr>
          <w:lang w:val="en-GB"/>
        </w:rPr>
      </w:pPr>
      <w:r w:rsidRPr="00FA29FA">
        <w:rPr>
          <w:lang w:val="en-GB"/>
        </w:rPr>
        <w:t>Fordwuo needed to prioritize the changes he foresaw, explain his rationale for his plan, and identify the challenges he should anticipate as he established the priorities for the mergers and considered how the changes might be made.</w:t>
      </w:r>
    </w:p>
    <w:p w14:paraId="3A67F9EC" w14:textId="5D0F5BE4" w:rsidR="00714AF2" w:rsidRPr="00FA29FA" w:rsidRDefault="00714AF2">
      <w:pPr>
        <w:spacing w:after="200" w:line="276" w:lineRule="auto"/>
        <w:rPr>
          <w:rFonts w:ascii="Arial" w:hAnsi="Arial" w:cs="Arial"/>
          <w:b/>
          <w:caps/>
          <w:lang w:val="en-GB"/>
        </w:rPr>
      </w:pPr>
      <w:r w:rsidRPr="00FA29FA">
        <w:rPr>
          <w:lang w:val="en-GB"/>
        </w:rPr>
        <w:br w:type="page"/>
      </w:r>
    </w:p>
    <w:p w14:paraId="4A68F5C6" w14:textId="49BA85A4" w:rsidR="00714AF2" w:rsidRPr="00FA29FA" w:rsidRDefault="00714AF2" w:rsidP="00714AF2">
      <w:pPr>
        <w:pStyle w:val="ExhibitHeading"/>
        <w:rPr>
          <w:lang w:val="en-GB"/>
        </w:rPr>
      </w:pPr>
      <w:r w:rsidRPr="00FA29FA">
        <w:rPr>
          <w:lang w:val="en-GB"/>
        </w:rPr>
        <w:lastRenderedPageBreak/>
        <w:t>Exhibit 1: Ecobank Transnational Inc. Presence in Africa, 2011</w:t>
      </w:r>
    </w:p>
    <w:p w14:paraId="37A9929C" w14:textId="77777777" w:rsidR="00714AF2" w:rsidRPr="00FA29FA" w:rsidRDefault="00714AF2" w:rsidP="00714AF2">
      <w:pPr>
        <w:pStyle w:val="ExhibitText"/>
        <w:rPr>
          <w:lang w:val="en-GB"/>
        </w:rPr>
      </w:pPr>
    </w:p>
    <w:p w14:paraId="7F6A30CD" w14:textId="77777777" w:rsidR="00714AF2" w:rsidRPr="00FA29FA" w:rsidRDefault="00714AF2" w:rsidP="00714AF2">
      <w:pPr>
        <w:pStyle w:val="ExhibitText"/>
        <w:jc w:val="center"/>
        <w:rPr>
          <w:lang w:val="en-GB"/>
        </w:rPr>
      </w:pPr>
      <w:r w:rsidRPr="00FA29FA">
        <w:rPr>
          <w:noProof/>
          <w:lang w:val="en-CA" w:eastAsia="en-CA"/>
        </w:rPr>
        <w:drawing>
          <wp:inline distT="0" distB="0" distL="0" distR="0" wp14:anchorId="38B22B26" wp14:editId="071CF7C0">
            <wp:extent cx="5943600" cy="5180139"/>
            <wp:effectExtent l="0" t="0" r="0" b="0"/>
            <wp:docPr id="1" name="Picture 1" descr="Map of Africa showing countries where Ecobank Transnational Inc. has a presence as of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I Presence-Annual Report 2011, 7.pdf"/>
                    <pic:cNvPicPr/>
                  </pic:nvPicPr>
                  <pic:blipFill rotWithShape="1">
                    <a:blip r:embed="rId9">
                      <a:lum contrast="20000"/>
                      <a:extLst>
                        <a:ext uri="{28A0092B-C50C-407E-A947-70E740481C1C}">
                          <a14:useLocalDpi xmlns:a14="http://schemas.microsoft.com/office/drawing/2010/main" val="0"/>
                        </a:ext>
                      </a:extLst>
                    </a:blip>
                    <a:srcRect l="2364" t="13003" r="4660" b="5964"/>
                    <a:stretch/>
                  </pic:blipFill>
                  <pic:spPr bwMode="auto">
                    <a:xfrm>
                      <a:off x="0" y="0"/>
                      <a:ext cx="5943600" cy="5180139"/>
                    </a:xfrm>
                    <a:prstGeom prst="rect">
                      <a:avLst/>
                    </a:prstGeom>
                    <a:ln>
                      <a:noFill/>
                    </a:ln>
                    <a:extLst>
                      <a:ext uri="{53640926-AAD7-44D8-BBD7-CCE9431645EC}">
                        <a14:shadowObscured xmlns:a14="http://schemas.microsoft.com/office/drawing/2010/main"/>
                      </a:ext>
                    </a:extLst>
                  </pic:spPr>
                </pic:pic>
              </a:graphicData>
            </a:graphic>
          </wp:inline>
        </w:drawing>
      </w:r>
    </w:p>
    <w:p w14:paraId="27DF2947" w14:textId="77777777" w:rsidR="00714AF2" w:rsidRPr="00FA29FA" w:rsidRDefault="00714AF2" w:rsidP="00714AF2">
      <w:pPr>
        <w:pStyle w:val="ExhibitText"/>
        <w:rPr>
          <w:lang w:val="en-GB"/>
        </w:rPr>
      </w:pPr>
    </w:p>
    <w:p w14:paraId="373F4590" w14:textId="77777777" w:rsidR="00714AF2" w:rsidRPr="00FA29FA" w:rsidRDefault="00714AF2" w:rsidP="00714AF2">
      <w:pPr>
        <w:pStyle w:val="Footnote"/>
        <w:rPr>
          <w:lang w:val="en-GB"/>
        </w:rPr>
      </w:pPr>
      <w:r w:rsidRPr="00FA29FA">
        <w:rPr>
          <w:lang w:val="en-GB"/>
        </w:rPr>
        <w:t>Source: Company documents.</w:t>
      </w:r>
    </w:p>
    <w:p w14:paraId="115C64B4" w14:textId="77777777" w:rsidR="00714AF2" w:rsidRPr="00FA29FA" w:rsidRDefault="00714AF2" w:rsidP="00714AF2">
      <w:pPr>
        <w:spacing w:after="160" w:line="259" w:lineRule="auto"/>
        <w:rPr>
          <w:lang w:val="en-GB"/>
        </w:rPr>
      </w:pPr>
      <w:r w:rsidRPr="00FA29FA">
        <w:rPr>
          <w:lang w:val="en-GB"/>
        </w:rPr>
        <w:br w:type="page"/>
      </w:r>
    </w:p>
    <w:p w14:paraId="20901A7E" w14:textId="5CA8CD61" w:rsidR="00714AF2" w:rsidRPr="00FA29FA" w:rsidRDefault="00714AF2" w:rsidP="00714AF2">
      <w:pPr>
        <w:pStyle w:val="ExhibitHeading"/>
        <w:rPr>
          <w:lang w:val="en-GB"/>
        </w:rPr>
      </w:pPr>
      <w:r w:rsidRPr="00FA29FA">
        <w:rPr>
          <w:lang w:val="en-GB"/>
        </w:rPr>
        <w:lastRenderedPageBreak/>
        <w:t>Exhibit 2: Transaction Overview, Ecobank Ghana Limited</w:t>
      </w:r>
      <w:r w:rsidR="00CC7A48">
        <w:rPr>
          <w:lang w:val="en-GB"/>
        </w:rPr>
        <w:t xml:space="preserve"> (Ecobank)</w:t>
      </w:r>
    </w:p>
    <w:p w14:paraId="53552A17" w14:textId="77777777" w:rsidR="00714AF2" w:rsidRPr="00FA29FA" w:rsidRDefault="00714AF2" w:rsidP="00714AF2">
      <w:pPr>
        <w:pStyle w:val="ExhibitText"/>
        <w:rPr>
          <w:lang w:val="en-GB"/>
        </w:rPr>
      </w:pPr>
    </w:p>
    <w:p w14:paraId="053C97CA" w14:textId="2B4961C2" w:rsidR="00714AF2" w:rsidRPr="00FA29FA" w:rsidRDefault="00714AF2" w:rsidP="00714AF2">
      <w:pPr>
        <w:pStyle w:val="Casehead2"/>
        <w:rPr>
          <w:lang w:val="en-GB"/>
        </w:rPr>
      </w:pPr>
      <w:r w:rsidRPr="00FA29FA">
        <w:rPr>
          <w:lang w:val="en-GB"/>
        </w:rPr>
        <w:t>Objective</w:t>
      </w:r>
    </w:p>
    <w:p w14:paraId="0097D549" w14:textId="3A13B96F" w:rsidR="00714AF2" w:rsidRPr="00FA29FA" w:rsidRDefault="00202AE9" w:rsidP="00714AF2">
      <w:pPr>
        <w:pStyle w:val="ExhibitText"/>
        <w:rPr>
          <w:lang w:val="en-GB"/>
        </w:rPr>
      </w:pPr>
      <w:r>
        <w:rPr>
          <w:lang w:val="en-GB"/>
        </w:rPr>
        <w:t>T</w:t>
      </w:r>
      <w:r w:rsidR="00D84C15" w:rsidRPr="00FA29FA">
        <w:rPr>
          <w:lang w:val="en-GB"/>
        </w:rPr>
        <w:t xml:space="preserve">o </w:t>
      </w:r>
      <w:r w:rsidR="00714AF2" w:rsidRPr="00FA29FA">
        <w:rPr>
          <w:lang w:val="en-GB"/>
        </w:rPr>
        <w:t xml:space="preserve">enhance shareholder value (1) </w:t>
      </w:r>
      <w:r w:rsidR="00FA29FA" w:rsidRPr="00FA29FA">
        <w:rPr>
          <w:lang w:val="en-GB"/>
        </w:rPr>
        <w:t xml:space="preserve">through </w:t>
      </w:r>
      <w:r w:rsidR="00714AF2" w:rsidRPr="00FA29FA">
        <w:rPr>
          <w:lang w:val="en-GB"/>
        </w:rPr>
        <w:t xml:space="preserve">economies of scale and (2) </w:t>
      </w:r>
      <w:r w:rsidR="00FA29FA" w:rsidRPr="00FA29FA">
        <w:rPr>
          <w:lang w:val="en-GB"/>
        </w:rPr>
        <w:t xml:space="preserve">by </w:t>
      </w:r>
      <w:r w:rsidR="00714AF2" w:rsidRPr="00FA29FA">
        <w:rPr>
          <w:lang w:val="en-GB"/>
        </w:rPr>
        <w:t>unleashing synergistic value</w:t>
      </w:r>
    </w:p>
    <w:p w14:paraId="5BDE0E23" w14:textId="77777777" w:rsidR="00714AF2" w:rsidRPr="00FA29FA" w:rsidRDefault="00714AF2" w:rsidP="00714AF2">
      <w:pPr>
        <w:pStyle w:val="ExhibitText"/>
        <w:rPr>
          <w:lang w:val="en-GB"/>
        </w:rPr>
      </w:pPr>
    </w:p>
    <w:p w14:paraId="70D12C88" w14:textId="77777777" w:rsidR="00714AF2" w:rsidRPr="00FA29FA" w:rsidRDefault="00714AF2" w:rsidP="00714AF2">
      <w:pPr>
        <w:pStyle w:val="Casehead2"/>
        <w:rPr>
          <w:lang w:val="en-GB"/>
        </w:rPr>
      </w:pPr>
      <w:r w:rsidRPr="00FA29FA">
        <w:rPr>
          <w:lang w:val="en-GB"/>
        </w:rPr>
        <w:t>Approach</w:t>
      </w:r>
    </w:p>
    <w:p w14:paraId="23A63E37" w14:textId="21BDAB65" w:rsidR="00714AF2" w:rsidRPr="00FA29FA" w:rsidRDefault="00202AE9" w:rsidP="00714AF2">
      <w:pPr>
        <w:pStyle w:val="ExhibitText"/>
        <w:numPr>
          <w:ilvl w:val="0"/>
          <w:numId w:val="13"/>
        </w:numPr>
        <w:jc w:val="left"/>
        <w:rPr>
          <w:lang w:val="en-GB"/>
        </w:rPr>
      </w:pPr>
      <w:r>
        <w:rPr>
          <w:lang w:val="en-GB"/>
        </w:rPr>
        <w:t>S</w:t>
      </w:r>
      <w:r w:rsidR="00D84C15" w:rsidRPr="00FA29FA">
        <w:rPr>
          <w:lang w:val="en-GB"/>
        </w:rPr>
        <w:t xml:space="preserve">hare </w:t>
      </w:r>
      <w:r w:rsidR="00714AF2" w:rsidRPr="00FA29FA">
        <w:rPr>
          <w:lang w:val="en-GB"/>
        </w:rPr>
        <w:t>swap between ETI and shareholders of TTB (completed)</w:t>
      </w:r>
    </w:p>
    <w:p w14:paraId="3BAD9188" w14:textId="34B8CF45" w:rsidR="00714AF2" w:rsidRPr="00FA29FA" w:rsidRDefault="00202AE9" w:rsidP="00714AF2">
      <w:pPr>
        <w:pStyle w:val="ExhibitText"/>
        <w:numPr>
          <w:ilvl w:val="0"/>
          <w:numId w:val="13"/>
        </w:numPr>
        <w:jc w:val="left"/>
        <w:rPr>
          <w:lang w:val="en-GB"/>
        </w:rPr>
      </w:pPr>
      <w:r>
        <w:rPr>
          <w:lang w:val="en-GB"/>
        </w:rPr>
        <w:t>T</w:t>
      </w:r>
      <w:r w:rsidR="00D84C15" w:rsidRPr="00FA29FA">
        <w:rPr>
          <w:lang w:val="en-GB"/>
        </w:rPr>
        <w:t xml:space="preserve">ransfer </w:t>
      </w:r>
      <w:r w:rsidR="00714AF2" w:rsidRPr="00FA29FA">
        <w:rPr>
          <w:lang w:val="en-GB"/>
        </w:rPr>
        <w:t xml:space="preserve">of TTB to </w:t>
      </w:r>
      <w:r w:rsidR="00CC7A48">
        <w:rPr>
          <w:lang w:val="en-GB"/>
        </w:rPr>
        <w:t>Ecobank</w:t>
      </w:r>
      <w:r w:rsidR="00CC7A48" w:rsidRPr="00FA29FA">
        <w:rPr>
          <w:lang w:val="en-GB"/>
        </w:rPr>
        <w:t xml:space="preserve"> </w:t>
      </w:r>
      <w:r w:rsidR="00714AF2" w:rsidRPr="00FA29FA">
        <w:rPr>
          <w:lang w:val="en-GB"/>
        </w:rPr>
        <w:t>by ETI (subject to approval)</w:t>
      </w:r>
    </w:p>
    <w:p w14:paraId="0CB4E82C" w14:textId="2A591093" w:rsidR="00714AF2" w:rsidRPr="00FA29FA" w:rsidRDefault="00202AE9" w:rsidP="00714AF2">
      <w:pPr>
        <w:pStyle w:val="ExhibitText"/>
        <w:numPr>
          <w:ilvl w:val="0"/>
          <w:numId w:val="13"/>
        </w:numPr>
        <w:jc w:val="left"/>
        <w:rPr>
          <w:lang w:val="en-GB"/>
        </w:rPr>
      </w:pPr>
      <w:r>
        <w:rPr>
          <w:lang w:val="en-GB"/>
        </w:rPr>
        <w:t>M</w:t>
      </w:r>
      <w:r w:rsidR="00D84C15" w:rsidRPr="00FA29FA">
        <w:rPr>
          <w:lang w:val="en-GB"/>
        </w:rPr>
        <w:t xml:space="preserve">erger </w:t>
      </w:r>
      <w:r w:rsidR="00714AF2" w:rsidRPr="00FA29FA">
        <w:rPr>
          <w:lang w:val="en-GB"/>
        </w:rPr>
        <w:t xml:space="preserve">of </w:t>
      </w:r>
      <w:r w:rsidR="00CC7A48">
        <w:rPr>
          <w:lang w:val="en-GB"/>
        </w:rPr>
        <w:t>Ecobank</w:t>
      </w:r>
      <w:r w:rsidR="00CC7A48" w:rsidRPr="00FA29FA">
        <w:rPr>
          <w:lang w:val="en-GB"/>
        </w:rPr>
        <w:t xml:space="preserve"> </w:t>
      </w:r>
      <w:r w:rsidR="00714AF2" w:rsidRPr="00FA29FA">
        <w:rPr>
          <w:lang w:val="en-GB"/>
        </w:rPr>
        <w:t>and TTB (subject to approval)</w:t>
      </w:r>
    </w:p>
    <w:p w14:paraId="133BAAB1" w14:textId="77777777" w:rsidR="00714AF2" w:rsidRPr="00FA29FA" w:rsidRDefault="00714AF2" w:rsidP="00714AF2">
      <w:pPr>
        <w:pStyle w:val="ExhibitText"/>
        <w:rPr>
          <w:lang w:val="en-GB"/>
        </w:rPr>
      </w:pPr>
    </w:p>
    <w:p w14:paraId="730FFF72" w14:textId="77777777" w:rsidR="00714AF2" w:rsidRPr="00FA29FA" w:rsidRDefault="00714AF2" w:rsidP="00714AF2">
      <w:pPr>
        <w:pStyle w:val="Casehead2"/>
        <w:rPr>
          <w:lang w:val="en-GB"/>
        </w:rPr>
      </w:pPr>
      <w:r w:rsidRPr="00FA29FA">
        <w:rPr>
          <w:lang w:val="en-GB"/>
        </w:rPr>
        <w:t>Process</w:t>
      </w:r>
    </w:p>
    <w:p w14:paraId="47C7ACA1" w14:textId="35DDB118" w:rsidR="00714AF2" w:rsidRPr="00FA29FA" w:rsidRDefault="00CC7A48" w:rsidP="00714AF2">
      <w:pPr>
        <w:pStyle w:val="ExhibitText"/>
        <w:numPr>
          <w:ilvl w:val="0"/>
          <w:numId w:val="14"/>
        </w:numPr>
        <w:jc w:val="left"/>
        <w:rPr>
          <w:lang w:val="en-GB"/>
        </w:rPr>
      </w:pPr>
      <w:r>
        <w:rPr>
          <w:lang w:val="en-GB"/>
        </w:rPr>
        <w:t>T</w:t>
      </w:r>
      <w:r w:rsidR="00D84C15" w:rsidRPr="00FA29FA">
        <w:rPr>
          <w:lang w:val="en-GB"/>
        </w:rPr>
        <w:t xml:space="preserve">ransaction </w:t>
      </w:r>
      <w:r w:rsidR="00714AF2" w:rsidRPr="00FA29FA">
        <w:rPr>
          <w:lang w:val="en-GB"/>
        </w:rPr>
        <w:t>initiation discussions and preliminary approvals from boards of all parties</w:t>
      </w:r>
    </w:p>
    <w:p w14:paraId="52366BD6" w14:textId="14DFA975" w:rsidR="00714AF2" w:rsidRPr="00FA29FA" w:rsidRDefault="00CC7A48" w:rsidP="00714AF2">
      <w:pPr>
        <w:pStyle w:val="ExhibitText"/>
        <w:numPr>
          <w:ilvl w:val="0"/>
          <w:numId w:val="14"/>
        </w:numPr>
        <w:jc w:val="left"/>
        <w:rPr>
          <w:lang w:val="en-GB"/>
        </w:rPr>
      </w:pPr>
      <w:r>
        <w:rPr>
          <w:lang w:val="en-GB"/>
        </w:rPr>
        <w:t>A</w:t>
      </w:r>
      <w:r w:rsidR="00D84C15" w:rsidRPr="00FA29FA">
        <w:rPr>
          <w:lang w:val="en-GB"/>
        </w:rPr>
        <w:t xml:space="preserve">ppointment </w:t>
      </w:r>
      <w:r w:rsidR="00714AF2" w:rsidRPr="00FA29FA">
        <w:rPr>
          <w:lang w:val="en-GB"/>
        </w:rPr>
        <w:t>of transaction advisors and due diligence reviews</w:t>
      </w:r>
    </w:p>
    <w:p w14:paraId="0CD3D84C" w14:textId="6374A8C5" w:rsidR="00714AF2" w:rsidRPr="00FA29FA" w:rsidRDefault="00CC7A48" w:rsidP="00714AF2">
      <w:pPr>
        <w:pStyle w:val="ExhibitText"/>
        <w:numPr>
          <w:ilvl w:val="0"/>
          <w:numId w:val="14"/>
        </w:numPr>
        <w:jc w:val="left"/>
        <w:rPr>
          <w:lang w:val="en-GB"/>
        </w:rPr>
      </w:pPr>
      <w:r>
        <w:rPr>
          <w:lang w:val="en-GB"/>
        </w:rPr>
        <w:t>V</w:t>
      </w:r>
      <w:r w:rsidR="00B658A2" w:rsidRPr="00FA29FA">
        <w:rPr>
          <w:lang w:val="en-GB"/>
        </w:rPr>
        <w:t xml:space="preserve">aluation </w:t>
      </w:r>
      <w:r w:rsidR="00714AF2" w:rsidRPr="00FA29FA">
        <w:rPr>
          <w:lang w:val="en-GB"/>
        </w:rPr>
        <w:t>and negotiations</w:t>
      </w:r>
    </w:p>
    <w:p w14:paraId="361D9023" w14:textId="0D7B8169" w:rsidR="00714AF2" w:rsidRPr="00FA29FA" w:rsidRDefault="00CC7A48" w:rsidP="00714AF2">
      <w:pPr>
        <w:pStyle w:val="ExhibitText"/>
        <w:numPr>
          <w:ilvl w:val="0"/>
          <w:numId w:val="14"/>
        </w:numPr>
        <w:jc w:val="left"/>
        <w:rPr>
          <w:lang w:val="en-GB"/>
        </w:rPr>
      </w:pPr>
      <w:r>
        <w:rPr>
          <w:lang w:val="en-GB"/>
        </w:rPr>
        <w:t>R</w:t>
      </w:r>
      <w:r w:rsidR="00D84C15" w:rsidRPr="00FA29FA">
        <w:rPr>
          <w:lang w:val="en-GB"/>
        </w:rPr>
        <w:t xml:space="preserve">egulatory </w:t>
      </w:r>
      <w:r w:rsidR="00714AF2" w:rsidRPr="00FA29FA">
        <w:rPr>
          <w:lang w:val="en-GB"/>
        </w:rPr>
        <w:t>approvals and accounts: SEC, GSE, and BoG</w:t>
      </w:r>
    </w:p>
    <w:p w14:paraId="272F4EDB" w14:textId="56204593" w:rsidR="00714AF2" w:rsidRPr="00FA29FA" w:rsidRDefault="00CC7A48" w:rsidP="00714AF2">
      <w:pPr>
        <w:pStyle w:val="ExhibitText"/>
        <w:numPr>
          <w:ilvl w:val="0"/>
          <w:numId w:val="14"/>
        </w:numPr>
        <w:jc w:val="left"/>
        <w:rPr>
          <w:lang w:val="en-GB"/>
        </w:rPr>
      </w:pPr>
      <w:r>
        <w:rPr>
          <w:lang w:val="en-GB"/>
        </w:rPr>
        <w:t>S</w:t>
      </w:r>
      <w:r w:rsidR="00D84C15" w:rsidRPr="00FA29FA">
        <w:rPr>
          <w:lang w:val="en-GB"/>
        </w:rPr>
        <w:t xml:space="preserve">igning </w:t>
      </w:r>
      <w:r w:rsidR="00714AF2" w:rsidRPr="00FA29FA">
        <w:rPr>
          <w:lang w:val="en-GB"/>
        </w:rPr>
        <w:t>of agreements and share exchange between ETI and shareholders of TTB</w:t>
      </w:r>
    </w:p>
    <w:p w14:paraId="5CF0ED9D" w14:textId="158836FF" w:rsidR="00714AF2" w:rsidRPr="00FA29FA" w:rsidRDefault="00CC7A48" w:rsidP="00714AF2">
      <w:pPr>
        <w:pStyle w:val="ExhibitText"/>
        <w:numPr>
          <w:ilvl w:val="0"/>
          <w:numId w:val="14"/>
        </w:numPr>
        <w:jc w:val="left"/>
        <w:rPr>
          <w:lang w:val="en-GB"/>
        </w:rPr>
      </w:pPr>
      <w:r>
        <w:rPr>
          <w:lang w:val="en-GB"/>
        </w:rPr>
        <w:t>F</w:t>
      </w:r>
      <w:r w:rsidR="00D84C15" w:rsidRPr="00FA29FA">
        <w:rPr>
          <w:lang w:val="en-GB"/>
        </w:rPr>
        <w:t xml:space="preserve">inal </w:t>
      </w:r>
      <w:r w:rsidR="00714AF2" w:rsidRPr="00FA29FA">
        <w:rPr>
          <w:lang w:val="en-GB"/>
        </w:rPr>
        <w:t xml:space="preserve">shareholder approvals for merger of </w:t>
      </w:r>
      <w:r>
        <w:rPr>
          <w:lang w:val="en-GB"/>
        </w:rPr>
        <w:t>Ecobank</w:t>
      </w:r>
      <w:r w:rsidRPr="00FA29FA">
        <w:rPr>
          <w:lang w:val="en-GB"/>
        </w:rPr>
        <w:t xml:space="preserve"> </w:t>
      </w:r>
      <w:r w:rsidR="00714AF2" w:rsidRPr="00FA29FA">
        <w:rPr>
          <w:lang w:val="en-GB"/>
        </w:rPr>
        <w:t>and TTB</w:t>
      </w:r>
    </w:p>
    <w:p w14:paraId="21D899DF" w14:textId="77777777" w:rsidR="00714AF2" w:rsidRPr="00FA29FA" w:rsidRDefault="00714AF2" w:rsidP="00714AF2">
      <w:pPr>
        <w:pStyle w:val="ExhibitText"/>
        <w:rPr>
          <w:lang w:val="en-GB"/>
        </w:rPr>
      </w:pPr>
    </w:p>
    <w:p w14:paraId="0D93C0D4" w14:textId="77777777" w:rsidR="00714AF2" w:rsidRPr="00FA29FA" w:rsidRDefault="00714AF2" w:rsidP="00714AF2">
      <w:pPr>
        <w:pStyle w:val="Casehead2"/>
        <w:rPr>
          <w:lang w:val="en-GB"/>
        </w:rPr>
      </w:pPr>
      <w:r w:rsidRPr="00FA29FA">
        <w:rPr>
          <w:lang w:val="en-GB"/>
        </w:rPr>
        <w:t>Pricing Mechanism</w:t>
      </w:r>
    </w:p>
    <w:p w14:paraId="78593D0F" w14:textId="4BD7C0D2" w:rsidR="00714AF2" w:rsidRPr="00FA29FA" w:rsidRDefault="00714AF2" w:rsidP="00714AF2">
      <w:pPr>
        <w:pStyle w:val="ExhibitText"/>
        <w:numPr>
          <w:ilvl w:val="0"/>
          <w:numId w:val="15"/>
        </w:numPr>
        <w:jc w:val="left"/>
        <w:rPr>
          <w:lang w:val="en-GB"/>
        </w:rPr>
      </w:pPr>
      <w:r w:rsidRPr="00FA29FA">
        <w:rPr>
          <w:lang w:val="en-GB"/>
        </w:rPr>
        <w:t xml:space="preserve">Ecobank Transaction Price: </w:t>
      </w:r>
      <w:r w:rsidR="00CC7A48">
        <w:rPr>
          <w:lang w:val="en-GB"/>
        </w:rPr>
        <w:t>GH¢</w:t>
      </w:r>
      <w:r w:rsidR="00CC7A48" w:rsidRPr="00FA29FA">
        <w:rPr>
          <w:lang w:val="en-GB"/>
        </w:rPr>
        <w:t>3</w:t>
      </w:r>
      <w:r w:rsidRPr="00FA29FA">
        <w:rPr>
          <w:lang w:val="en-GB"/>
        </w:rPr>
        <w:t>.50 per share; P/B Multiple 3.68</w:t>
      </w:r>
    </w:p>
    <w:p w14:paraId="1288638F" w14:textId="24382542" w:rsidR="00714AF2" w:rsidRPr="00FA29FA" w:rsidRDefault="00714AF2" w:rsidP="00714AF2">
      <w:pPr>
        <w:pStyle w:val="ExhibitText"/>
        <w:numPr>
          <w:ilvl w:val="0"/>
          <w:numId w:val="15"/>
        </w:numPr>
        <w:jc w:val="left"/>
        <w:rPr>
          <w:lang w:val="en-GB"/>
        </w:rPr>
      </w:pPr>
      <w:r w:rsidRPr="00FA29FA">
        <w:rPr>
          <w:lang w:val="en-GB"/>
        </w:rPr>
        <w:t xml:space="preserve">TTB Transaction Price: </w:t>
      </w:r>
      <w:r w:rsidR="00CC7A48">
        <w:rPr>
          <w:lang w:val="en-GB"/>
        </w:rPr>
        <w:t>GH¢</w:t>
      </w:r>
      <w:r w:rsidR="00CC7A48" w:rsidRPr="00FA29FA">
        <w:rPr>
          <w:lang w:val="en-GB"/>
        </w:rPr>
        <w:t>12</w:t>
      </w:r>
      <w:r w:rsidRPr="00FA29FA">
        <w:rPr>
          <w:lang w:val="en-GB"/>
        </w:rPr>
        <w:t>.62 per share; P/B Multiple 1.78</w:t>
      </w:r>
    </w:p>
    <w:p w14:paraId="15602936" w14:textId="77777777" w:rsidR="00714AF2" w:rsidRPr="00FA29FA" w:rsidRDefault="00714AF2" w:rsidP="00714AF2">
      <w:pPr>
        <w:pStyle w:val="ExhibitText"/>
        <w:rPr>
          <w:lang w:val="en-GB"/>
        </w:rPr>
      </w:pPr>
    </w:p>
    <w:p w14:paraId="2519C24D" w14:textId="77777777" w:rsidR="00714AF2" w:rsidRPr="00FA29FA" w:rsidRDefault="00714AF2" w:rsidP="00714AF2">
      <w:pPr>
        <w:pStyle w:val="Casehead2"/>
        <w:rPr>
          <w:lang w:val="en-GB"/>
        </w:rPr>
      </w:pPr>
      <w:r w:rsidRPr="00FA29FA">
        <w:rPr>
          <w:lang w:val="en-GB"/>
        </w:rPr>
        <w:t>Benefits of the Merger</w:t>
      </w:r>
    </w:p>
    <w:p w14:paraId="683FDAF6" w14:textId="4B2BBB6D" w:rsidR="00714AF2" w:rsidRPr="00FA29FA" w:rsidRDefault="00714AF2" w:rsidP="00714AF2">
      <w:pPr>
        <w:pStyle w:val="ExhibitText"/>
        <w:numPr>
          <w:ilvl w:val="0"/>
          <w:numId w:val="16"/>
        </w:numPr>
        <w:jc w:val="left"/>
        <w:rPr>
          <w:lang w:val="en-GB"/>
        </w:rPr>
      </w:pPr>
      <w:r w:rsidRPr="00FA29FA">
        <w:rPr>
          <w:lang w:val="en-GB"/>
        </w:rPr>
        <w:t xml:space="preserve">The enlarged Ecobank </w:t>
      </w:r>
      <w:r w:rsidR="00B658A2" w:rsidRPr="00FA29FA">
        <w:rPr>
          <w:lang w:val="en-GB"/>
        </w:rPr>
        <w:t xml:space="preserve">would </w:t>
      </w:r>
      <w:r w:rsidRPr="00FA29FA">
        <w:rPr>
          <w:lang w:val="en-GB"/>
        </w:rPr>
        <w:t xml:space="preserve">become </w:t>
      </w:r>
      <w:r w:rsidR="00B658A2" w:rsidRPr="00FA29FA">
        <w:rPr>
          <w:lang w:val="en-GB"/>
        </w:rPr>
        <w:t>number one</w:t>
      </w:r>
      <w:r w:rsidRPr="00FA29FA">
        <w:rPr>
          <w:lang w:val="en-GB"/>
        </w:rPr>
        <w:t xml:space="preserve"> in terms of assets and </w:t>
      </w:r>
      <w:r w:rsidR="00B658A2" w:rsidRPr="00FA29FA">
        <w:rPr>
          <w:lang w:val="en-GB"/>
        </w:rPr>
        <w:t>number one</w:t>
      </w:r>
      <w:r w:rsidRPr="00FA29FA">
        <w:rPr>
          <w:lang w:val="en-GB"/>
        </w:rPr>
        <w:t xml:space="preserve"> in terms of profitability out of 26 banks operating in Ghana as </w:t>
      </w:r>
      <w:r w:rsidR="00CC7A48">
        <w:rPr>
          <w:lang w:val="en-GB"/>
        </w:rPr>
        <w:t>of</w:t>
      </w:r>
      <w:r w:rsidR="00CC7A48" w:rsidRPr="00FA29FA">
        <w:rPr>
          <w:lang w:val="en-GB"/>
        </w:rPr>
        <w:t xml:space="preserve"> </w:t>
      </w:r>
      <w:r w:rsidRPr="00FA29FA">
        <w:rPr>
          <w:lang w:val="en-GB"/>
        </w:rPr>
        <w:t>June 30, 2011.</w:t>
      </w:r>
    </w:p>
    <w:p w14:paraId="74C00B25" w14:textId="5A3E6782" w:rsidR="00714AF2" w:rsidRPr="00FA29FA" w:rsidRDefault="00714AF2" w:rsidP="00714AF2">
      <w:pPr>
        <w:pStyle w:val="ExhibitText"/>
        <w:numPr>
          <w:ilvl w:val="0"/>
          <w:numId w:val="16"/>
        </w:numPr>
        <w:jc w:val="left"/>
        <w:rPr>
          <w:lang w:val="en-GB"/>
        </w:rPr>
      </w:pPr>
      <w:r w:rsidRPr="00FA29FA">
        <w:rPr>
          <w:lang w:val="en-GB"/>
        </w:rPr>
        <w:t xml:space="preserve">Shareholders would have maximized their earnings potential in </w:t>
      </w:r>
      <w:r w:rsidR="00CC7A48">
        <w:rPr>
          <w:lang w:val="en-GB"/>
        </w:rPr>
        <w:t xml:space="preserve">one of the </w:t>
      </w:r>
      <w:r w:rsidR="00F264D2" w:rsidRPr="00F264D2">
        <w:rPr>
          <w:lang w:val="en-GB"/>
        </w:rPr>
        <w:t>countr</w:t>
      </w:r>
      <w:r w:rsidR="00CC7A48">
        <w:rPr>
          <w:lang w:val="en-GB"/>
        </w:rPr>
        <w:t>ies</w:t>
      </w:r>
      <w:r w:rsidR="00F264D2" w:rsidRPr="00F264D2">
        <w:rPr>
          <w:lang w:val="en-GB"/>
        </w:rPr>
        <w:t xml:space="preserve"> that </w:t>
      </w:r>
      <w:r w:rsidR="00CC7A48">
        <w:rPr>
          <w:lang w:val="en-GB"/>
        </w:rPr>
        <w:t>accounted</w:t>
      </w:r>
      <w:r w:rsidR="00F264D2" w:rsidRPr="00F264D2">
        <w:rPr>
          <w:lang w:val="en-GB"/>
        </w:rPr>
        <w:t xml:space="preserve"> </w:t>
      </w:r>
      <w:r w:rsidR="00CC7A48">
        <w:rPr>
          <w:lang w:val="en-GB"/>
        </w:rPr>
        <w:t>for</w:t>
      </w:r>
      <w:r w:rsidR="00F264D2" w:rsidRPr="00F264D2">
        <w:rPr>
          <w:lang w:val="en-GB"/>
        </w:rPr>
        <w:t xml:space="preserve"> the large banking revenue pools </w:t>
      </w:r>
      <w:r w:rsidR="00202AE9">
        <w:rPr>
          <w:lang w:val="en-GB"/>
        </w:rPr>
        <w:t xml:space="preserve">in </w:t>
      </w:r>
      <w:r w:rsidRPr="00FA29FA">
        <w:rPr>
          <w:lang w:val="en-GB"/>
        </w:rPr>
        <w:t>Africa.</w:t>
      </w:r>
    </w:p>
    <w:p w14:paraId="06788D58" w14:textId="3E3DB1B1" w:rsidR="00714AF2" w:rsidRPr="00FA29FA" w:rsidRDefault="00714AF2" w:rsidP="00714AF2">
      <w:pPr>
        <w:pStyle w:val="ExhibitText"/>
        <w:numPr>
          <w:ilvl w:val="0"/>
          <w:numId w:val="16"/>
        </w:numPr>
        <w:jc w:val="left"/>
        <w:rPr>
          <w:lang w:val="en-GB"/>
        </w:rPr>
      </w:pPr>
      <w:r w:rsidRPr="00FA29FA">
        <w:rPr>
          <w:lang w:val="en-GB"/>
        </w:rPr>
        <w:t xml:space="preserve">The enlarged entity </w:t>
      </w:r>
      <w:r w:rsidR="00B658A2" w:rsidRPr="00FA29FA">
        <w:rPr>
          <w:lang w:val="en-GB"/>
        </w:rPr>
        <w:t xml:space="preserve">would </w:t>
      </w:r>
      <w:r w:rsidRPr="00FA29FA">
        <w:rPr>
          <w:lang w:val="en-GB"/>
        </w:rPr>
        <w:t xml:space="preserve">have the ability to finance </w:t>
      </w:r>
      <w:r w:rsidR="004E3666" w:rsidRPr="00FA29FA">
        <w:rPr>
          <w:lang w:val="en-GB"/>
        </w:rPr>
        <w:t>big-</w:t>
      </w:r>
      <w:r w:rsidRPr="00FA29FA">
        <w:rPr>
          <w:lang w:val="en-GB"/>
        </w:rPr>
        <w:t xml:space="preserve">ticket transactions (particularly </w:t>
      </w:r>
      <w:r w:rsidR="004E3666" w:rsidRPr="00FA29FA">
        <w:rPr>
          <w:lang w:val="en-GB"/>
        </w:rPr>
        <w:t xml:space="preserve">in the </w:t>
      </w:r>
      <w:r w:rsidRPr="00FA29FA">
        <w:rPr>
          <w:lang w:val="en-GB"/>
        </w:rPr>
        <w:t>oil and gas</w:t>
      </w:r>
      <w:r w:rsidR="004E3666" w:rsidRPr="00FA29FA">
        <w:rPr>
          <w:lang w:val="en-GB"/>
        </w:rPr>
        <w:t xml:space="preserve"> sector</w:t>
      </w:r>
      <w:r w:rsidRPr="00FA29FA">
        <w:rPr>
          <w:lang w:val="en-GB"/>
        </w:rPr>
        <w:t xml:space="preserve">). The enlarged entity </w:t>
      </w:r>
      <w:r w:rsidR="004E3666" w:rsidRPr="00FA29FA">
        <w:rPr>
          <w:lang w:val="en-GB"/>
        </w:rPr>
        <w:t xml:space="preserve">would </w:t>
      </w:r>
      <w:r w:rsidRPr="00FA29FA">
        <w:rPr>
          <w:lang w:val="en-GB"/>
        </w:rPr>
        <w:t xml:space="preserve">increase the bank’s </w:t>
      </w:r>
      <w:r w:rsidR="00426FFF" w:rsidRPr="00FA29FA">
        <w:rPr>
          <w:lang w:val="en-GB"/>
        </w:rPr>
        <w:t xml:space="preserve">single obligor limit </w:t>
      </w:r>
      <w:r w:rsidRPr="00FA29FA">
        <w:rPr>
          <w:lang w:val="en-GB"/>
        </w:rPr>
        <w:t>(SOL) from approx</w:t>
      </w:r>
      <w:r w:rsidR="00426FFF" w:rsidRPr="00FA29FA">
        <w:rPr>
          <w:lang w:val="en-GB"/>
        </w:rPr>
        <w:t xml:space="preserve">imately </w:t>
      </w:r>
      <w:r w:rsidR="00CC7A48">
        <w:rPr>
          <w:lang w:val="en-GB"/>
        </w:rPr>
        <w:t>GH¢</w:t>
      </w:r>
      <w:r w:rsidR="00CC7A48" w:rsidRPr="00FA29FA">
        <w:rPr>
          <w:lang w:val="en-GB"/>
        </w:rPr>
        <w:t xml:space="preserve">62 </w:t>
      </w:r>
      <w:r w:rsidRPr="00FA29FA">
        <w:rPr>
          <w:lang w:val="en-GB"/>
        </w:rPr>
        <w:t xml:space="preserve">million to over </w:t>
      </w:r>
      <w:r w:rsidR="00CC7A48">
        <w:rPr>
          <w:lang w:val="en-GB"/>
        </w:rPr>
        <w:t>GH¢</w:t>
      </w:r>
      <w:r w:rsidR="00CC7A48" w:rsidRPr="00FA29FA">
        <w:rPr>
          <w:lang w:val="en-GB"/>
        </w:rPr>
        <w:t xml:space="preserve">90 </w:t>
      </w:r>
      <w:r w:rsidRPr="00FA29FA">
        <w:rPr>
          <w:lang w:val="en-GB"/>
        </w:rPr>
        <w:t>million.</w:t>
      </w:r>
    </w:p>
    <w:p w14:paraId="59D32908" w14:textId="3FBFA556" w:rsidR="00714AF2" w:rsidRPr="00FA29FA" w:rsidRDefault="00714AF2" w:rsidP="00714AF2">
      <w:pPr>
        <w:pStyle w:val="ExhibitText"/>
        <w:numPr>
          <w:ilvl w:val="0"/>
          <w:numId w:val="16"/>
        </w:numPr>
        <w:jc w:val="left"/>
        <w:rPr>
          <w:lang w:val="en-GB"/>
        </w:rPr>
      </w:pPr>
      <w:r w:rsidRPr="00FA29FA">
        <w:rPr>
          <w:lang w:val="en-GB"/>
        </w:rPr>
        <w:t xml:space="preserve">The enlarged bank </w:t>
      </w:r>
      <w:r w:rsidR="004E3666" w:rsidRPr="00FA29FA">
        <w:rPr>
          <w:lang w:val="en-GB"/>
        </w:rPr>
        <w:t xml:space="preserve">would </w:t>
      </w:r>
      <w:r w:rsidRPr="00FA29FA">
        <w:rPr>
          <w:lang w:val="en-GB"/>
        </w:rPr>
        <w:t>have a wider geographical presence, with a stronger branch network.</w:t>
      </w:r>
    </w:p>
    <w:p w14:paraId="14D9FD5D" w14:textId="5FD6A6C5" w:rsidR="00714AF2" w:rsidRPr="00FA29FA" w:rsidRDefault="00714AF2" w:rsidP="00714AF2">
      <w:pPr>
        <w:pStyle w:val="ExhibitText"/>
        <w:numPr>
          <w:ilvl w:val="0"/>
          <w:numId w:val="16"/>
        </w:numPr>
        <w:jc w:val="left"/>
        <w:rPr>
          <w:lang w:val="en-GB"/>
        </w:rPr>
      </w:pPr>
      <w:r w:rsidRPr="00FA29FA">
        <w:rPr>
          <w:lang w:val="en-GB"/>
        </w:rPr>
        <w:t xml:space="preserve">The new Ecobank Ghana </w:t>
      </w:r>
      <w:r w:rsidR="004E3666" w:rsidRPr="00FA29FA">
        <w:rPr>
          <w:lang w:val="en-GB"/>
        </w:rPr>
        <w:t xml:space="preserve">would </w:t>
      </w:r>
      <w:r w:rsidRPr="00FA29FA">
        <w:rPr>
          <w:lang w:val="en-GB"/>
        </w:rPr>
        <w:t>have a harmonized</w:t>
      </w:r>
      <w:r w:rsidR="004E3666" w:rsidRPr="00FA29FA">
        <w:rPr>
          <w:lang w:val="en-GB"/>
        </w:rPr>
        <w:t>,</w:t>
      </w:r>
      <w:r w:rsidRPr="00FA29FA">
        <w:rPr>
          <w:lang w:val="en-GB"/>
        </w:rPr>
        <w:t xml:space="preserve"> strong corporate/retail </w:t>
      </w:r>
      <w:r w:rsidR="004E3666" w:rsidRPr="00FA29FA">
        <w:rPr>
          <w:lang w:val="en-GB"/>
        </w:rPr>
        <w:t xml:space="preserve">business </w:t>
      </w:r>
      <w:r w:rsidRPr="00FA29FA">
        <w:rPr>
          <w:lang w:val="en-GB"/>
        </w:rPr>
        <w:t>(</w:t>
      </w:r>
      <w:r w:rsidR="00B8694C">
        <w:rPr>
          <w:lang w:val="en-GB"/>
        </w:rPr>
        <w:t>Ecobank</w:t>
      </w:r>
      <w:r w:rsidRPr="00FA29FA">
        <w:rPr>
          <w:lang w:val="en-GB"/>
        </w:rPr>
        <w:t xml:space="preserve">) and </w:t>
      </w:r>
      <w:r w:rsidR="004E3666" w:rsidRPr="00FA29FA">
        <w:rPr>
          <w:lang w:val="en-GB"/>
        </w:rPr>
        <w:t xml:space="preserve">a </w:t>
      </w:r>
      <w:r w:rsidRPr="00FA29FA">
        <w:rPr>
          <w:lang w:val="en-GB"/>
        </w:rPr>
        <w:t xml:space="preserve">strong SME/local corporate </w:t>
      </w:r>
      <w:r w:rsidR="004E3666" w:rsidRPr="00FA29FA">
        <w:rPr>
          <w:lang w:val="en-GB"/>
        </w:rPr>
        <w:t xml:space="preserve">banking business </w:t>
      </w:r>
      <w:r w:rsidRPr="00FA29FA">
        <w:rPr>
          <w:lang w:val="en-GB"/>
        </w:rPr>
        <w:t xml:space="preserve">(TTB), which </w:t>
      </w:r>
      <w:r w:rsidR="004E3666" w:rsidRPr="00FA29FA">
        <w:rPr>
          <w:lang w:val="en-GB"/>
        </w:rPr>
        <w:t xml:space="preserve">would </w:t>
      </w:r>
      <w:r w:rsidRPr="00FA29FA">
        <w:rPr>
          <w:lang w:val="en-GB"/>
        </w:rPr>
        <w:t>offer customers better operating systems and improved services.</w:t>
      </w:r>
    </w:p>
    <w:p w14:paraId="09D98A04" w14:textId="590EBBD3" w:rsidR="00714AF2" w:rsidRPr="00FA29FA" w:rsidRDefault="004E3666" w:rsidP="00714AF2">
      <w:pPr>
        <w:pStyle w:val="ExhibitText"/>
        <w:numPr>
          <w:ilvl w:val="0"/>
          <w:numId w:val="16"/>
        </w:numPr>
        <w:jc w:val="left"/>
        <w:rPr>
          <w:lang w:val="en-GB"/>
        </w:rPr>
      </w:pPr>
      <w:r w:rsidRPr="00FA29FA">
        <w:rPr>
          <w:lang w:val="en-GB"/>
        </w:rPr>
        <w:t xml:space="preserve">Shareholder </w:t>
      </w:r>
      <w:r w:rsidR="00714AF2" w:rsidRPr="00FA29FA">
        <w:rPr>
          <w:lang w:val="en-GB"/>
        </w:rPr>
        <w:t xml:space="preserve">value </w:t>
      </w:r>
      <w:r w:rsidRPr="00FA29FA">
        <w:rPr>
          <w:lang w:val="en-GB"/>
        </w:rPr>
        <w:t xml:space="preserve">would be enhanced </w:t>
      </w:r>
      <w:r w:rsidR="00714AF2" w:rsidRPr="00FA29FA">
        <w:rPr>
          <w:lang w:val="en-GB"/>
        </w:rPr>
        <w:t>through improved financial performance.</w:t>
      </w:r>
    </w:p>
    <w:p w14:paraId="79907BE3" w14:textId="77777777" w:rsidR="00714AF2" w:rsidRPr="00FA29FA" w:rsidRDefault="00714AF2" w:rsidP="00714AF2">
      <w:pPr>
        <w:pStyle w:val="ExhibitText"/>
        <w:rPr>
          <w:lang w:val="en-GB"/>
        </w:rPr>
      </w:pPr>
    </w:p>
    <w:p w14:paraId="36EDBBC3" w14:textId="77777777" w:rsidR="00714AF2" w:rsidRPr="00FA29FA" w:rsidRDefault="00714AF2" w:rsidP="00714AF2">
      <w:pPr>
        <w:pStyle w:val="Casehead2"/>
        <w:rPr>
          <w:lang w:val="en-GB"/>
        </w:rPr>
      </w:pPr>
      <w:r w:rsidRPr="00FA29FA">
        <w:rPr>
          <w:lang w:val="en-GB"/>
        </w:rPr>
        <w:t>Transaction Dynamics</w:t>
      </w:r>
    </w:p>
    <w:p w14:paraId="5948EAE6" w14:textId="77777777" w:rsidR="00714AF2" w:rsidRPr="00FA29FA" w:rsidRDefault="00714AF2" w:rsidP="00714AF2">
      <w:pPr>
        <w:pStyle w:val="BodyTextMain"/>
        <w:rPr>
          <w:lang w:val="en-GB"/>
        </w:rPr>
      </w:pPr>
    </w:p>
    <w:tbl>
      <w:tblPr>
        <w:tblW w:w="5000" w:type="pct"/>
        <w:tblBorders>
          <w:top w:val="single" w:sz="4" w:space="0" w:color="auto"/>
          <w:bottom w:val="single" w:sz="4" w:space="0" w:color="auto"/>
        </w:tblBorders>
        <w:tblCellMar>
          <w:left w:w="0" w:type="dxa"/>
          <w:right w:w="0" w:type="dxa"/>
        </w:tblCellMar>
        <w:tblLook w:val="0600" w:firstRow="0" w:lastRow="0" w:firstColumn="0" w:lastColumn="0" w:noHBand="1" w:noVBand="1"/>
        <w:tblCaption w:val="Transaction Dynamics"/>
        <w:tblDescription w:val="Pre-transaction and post-transaction number of shares and percent of shares."/>
      </w:tblPr>
      <w:tblGrid>
        <w:gridCol w:w="2970"/>
        <w:gridCol w:w="1926"/>
        <w:gridCol w:w="1134"/>
        <w:gridCol w:w="1842"/>
        <w:gridCol w:w="1488"/>
      </w:tblGrid>
      <w:tr w:rsidR="00714AF2" w:rsidRPr="00FA29FA" w14:paraId="625BEF93" w14:textId="77777777" w:rsidTr="0091456A">
        <w:trPr>
          <w:trHeight w:val="288"/>
          <w:tblHeader/>
        </w:trPr>
        <w:tc>
          <w:tcPr>
            <w:tcW w:w="2970" w:type="dxa"/>
            <w:tcBorders>
              <w:bottom w:val="nil"/>
            </w:tcBorders>
            <w:shd w:val="clear" w:color="auto" w:fill="auto"/>
            <w:tcMar>
              <w:top w:w="15" w:type="dxa"/>
              <w:left w:w="15" w:type="dxa"/>
              <w:bottom w:w="0" w:type="dxa"/>
              <w:right w:w="15" w:type="dxa"/>
            </w:tcMar>
            <w:vAlign w:val="center"/>
            <w:hideMark/>
          </w:tcPr>
          <w:p w14:paraId="5D686932" w14:textId="77777777" w:rsidR="00714AF2" w:rsidRPr="00FA29FA" w:rsidRDefault="00714AF2" w:rsidP="00991CA9">
            <w:pPr>
              <w:pStyle w:val="ExhibitText"/>
              <w:rPr>
                <w:sz w:val="18"/>
                <w:szCs w:val="18"/>
                <w:lang w:val="en-GB"/>
              </w:rPr>
            </w:pPr>
          </w:p>
        </w:tc>
        <w:tc>
          <w:tcPr>
            <w:tcW w:w="3060" w:type="dxa"/>
            <w:gridSpan w:val="2"/>
            <w:tcBorders>
              <w:bottom w:val="nil"/>
            </w:tcBorders>
            <w:shd w:val="clear" w:color="auto" w:fill="auto"/>
            <w:tcMar>
              <w:top w:w="15" w:type="dxa"/>
              <w:left w:w="15" w:type="dxa"/>
              <w:bottom w:w="0" w:type="dxa"/>
              <w:right w:w="15" w:type="dxa"/>
            </w:tcMar>
            <w:vAlign w:val="center"/>
            <w:hideMark/>
          </w:tcPr>
          <w:p w14:paraId="099895BC" w14:textId="77777777" w:rsidR="00714AF2" w:rsidRPr="00FA29FA" w:rsidRDefault="00714AF2" w:rsidP="00991CA9">
            <w:pPr>
              <w:pStyle w:val="ExhibitText"/>
              <w:jc w:val="center"/>
              <w:rPr>
                <w:sz w:val="18"/>
                <w:szCs w:val="18"/>
                <w:lang w:val="en-GB"/>
              </w:rPr>
            </w:pPr>
            <w:r w:rsidRPr="00FA29FA">
              <w:rPr>
                <w:b/>
                <w:bCs/>
                <w:sz w:val="18"/>
                <w:szCs w:val="18"/>
                <w:lang w:val="en-GB"/>
              </w:rPr>
              <w:t>Pre-Transaction</w:t>
            </w:r>
          </w:p>
        </w:tc>
        <w:tc>
          <w:tcPr>
            <w:tcW w:w="3330" w:type="dxa"/>
            <w:gridSpan w:val="2"/>
            <w:tcBorders>
              <w:bottom w:val="nil"/>
            </w:tcBorders>
            <w:shd w:val="clear" w:color="auto" w:fill="F2F2F2" w:themeFill="background1" w:themeFillShade="F2"/>
            <w:tcMar>
              <w:top w:w="15" w:type="dxa"/>
              <w:left w:w="15" w:type="dxa"/>
              <w:bottom w:w="0" w:type="dxa"/>
              <w:right w:w="15" w:type="dxa"/>
            </w:tcMar>
            <w:vAlign w:val="center"/>
            <w:hideMark/>
          </w:tcPr>
          <w:p w14:paraId="3DB4F65C" w14:textId="77777777" w:rsidR="00714AF2" w:rsidRPr="00FA29FA" w:rsidRDefault="00714AF2" w:rsidP="00991CA9">
            <w:pPr>
              <w:pStyle w:val="ExhibitText"/>
              <w:jc w:val="center"/>
              <w:rPr>
                <w:sz w:val="18"/>
                <w:szCs w:val="18"/>
                <w:lang w:val="en-GB"/>
              </w:rPr>
            </w:pPr>
            <w:r w:rsidRPr="00FA29FA">
              <w:rPr>
                <w:b/>
                <w:bCs/>
                <w:sz w:val="18"/>
                <w:szCs w:val="18"/>
                <w:lang w:val="en-GB"/>
              </w:rPr>
              <w:t>Post-Transaction</w:t>
            </w:r>
          </w:p>
        </w:tc>
      </w:tr>
      <w:tr w:rsidR="00714AF2" w:rsidRPr="00FA29FA" w14:paraId="1FCFC38B" w14:textId="77777777" w:rsidTr="0091456A">
        <w:trPr>
          <w:trHeight w:val="288"/>
          <w:tblHeader/>
        </w:trPr>
        <w:tc>
          <w:tcPr>
            <w:tcW w:w="2970" w:type="dxa"/>
            <w:tcBorders>
              <w:top w:val="nil"/>
              <w:bottom w:val="single" w:sz="12" w:space="0" w:color="auto"/>
            </w:tcBorders>
            <w:shd w:val="clear" w:color="auto" w:fill="auto"/>
            <w:tcMar>
              <w:top w:w="15" w:type="dxa"/>
              <w:left w:w="15" w:type="dxa"/>
              <w:bottom w:w="0" w:type="dxa"/>
              <w:right w:w="15" w:type="dxa"/>
            </w:tcMar>
            <w:vAlign w:val="center"/>
            <w:hideMark/>
          </w:tcPr>
          <w:p w14:paraId="7C02D787" w14:textId="77777777" w:rsidR="00714AF2" w:rsidRPr="00FA29FA" w:rsidRDefault="00714AF2" w:rsidP="00991CA9">
            <w:pPr>
              <w:pStyle w:val="ExhibitText"/>
              <w:rPr>
                <w:sz w:val="18"/>
                <w:szCs w:val="18"/>
                <w:lang w:val="en-GB"/>
              </w:rPr>
            </w:pPr>
            <w:r w:rsidRPr="00FA29FA">
              <w:rPr>
                <w:sz w:val="18"/>
                <w:szCs w:val="18"/>
                <w:lang w:val="en-GB"/>
              </w:rPr>
              <w:t> </w:t>
            </w:r>
          </w:p>
        </w:tc>
        <w:tc>
          <w:tcPr>
            <w:tcW w:w="1926" w:type="dxa"/>
            <w:tcBorders>
              <w:top w:val="nil"/>
              <w:bottom w:val="single" w:sz="12" w:space="0" w:color="auto"/>
            </w:tcBorders>
            <w:shd w:val="clear" w:color="auto" w:fill="auto"/>
            <w:tcMar>
              <w:top w:w="15" w:type="dxa"/>
              <w:left w:w="15" w:type="dxa"/>
              <w:bottom w:w="0" w:type="dxa"/>
              <w:right w:w="15" w:type="dxa"/>
            </w:tcMar>
            <w:vAlign w:val="center"/>
            <w:hideMark/>
          </w:tcPr>
          <w:p w14:paraId="14136349" w14:textId="25486FBC" w:rsidR="00714AF2" w:rsidRPr="00FA29FA" w:rsidRDefault="00714AF2" w:rsidP="004E3666">
            <w:pPr>
              <w:pStyle w:val="ExhibitText"/>
              <w:jc w:val="right"/>
              <w:rPr>
                <w:sz w:val="18"/>
                <w:szCs w:val="18"/>
                <w:lang w:val="en-GB"/>
              </w:rPr>
            </w:pPr>
            <w:r w:rsidRPr="00FA29FA">
              <w:rPr>
                <w:sz w:val="18"/>
                <w:szCs w:val="18"/>
                <w:lang w:val="en-GB"/>
              </w:rPr>
              <w:t>N</w:t>
            </w:r>
            <w:r w:rsidR="00DE43B8">
              <w:rPr>
                <w:sz w:val="18"/>
                <w:szCs w:val="18"/>
                <w:lang w:val="en-GB"/>
              </w:rPr>
              <w:t xml:space="preserve">umber </w:t>
            </w:r>
            <w:r w:rsidRPr="00FA29FA">
              <w:rPr>
                <w:sz w:val="18"/>
                <w:szCs w:val="18"/>
                <w:lang w:val="en-GB"/>
              </w:rPr>
              <w:t xml:space="preserve">of </w:t>
            </w:r>
            <w:r w:rsidR="004E3666" w:rsidRPr="00FA29FA">
              <w:rPr>
                <w:sz w:val="18"/>
                <w:szCs w:val="18"/>
                <w:lang w:val="en-GB"/>
              </w:rPr>
              <w:t>Shares</w:t>
            </w:r>
          </w:p>
        </w:tc>
        <w:tc>
          <w:tcPr>
            <w:tcW w:w="1134" w:type="dxa"/>
            <w:tcBorders>
              <w:top w:val="nil"/>
              <w:bottom w:val="single" w:sz="12" w:space="0" w:color="auto"/>
            </w:tcBorders>
            <w:shd w:val="clear" w:color="auto" w:fill="auto"/>
            <w:tcMar>
              <w:top w:w="15" w:type="dxa"/>
              <w:left w:w="15" w:type="dxa"/>
              <w:bottom w:w="0" w:type="dxa"/>
              <w:right w:w="15" w:type="dxa"/>
            </w:tcMar>
            <w:vAlign w:val="center"/>
            <w:hideMark/>
          </w:tcPr>
          <w:p w14:paraId="46D4AA21" w14:textId="77777777" w:rsidR="00714AF2" w:rsidRPr="00FA29FA" w:rsidRDefault="00714AF2" w:rsidP="00991CA9">
            <w:pPr>
              <w:pStyle w:val="ExhibitText"/>
              <w:ind w:right="288"/>
              <w:jc w:val="right"/>
              <w:rPr>
                <w:sz w:val="18"/>
                <w:szCs w:val="18"/>
                <w:lang w:val="en-GB"/>
              </w:rPr>
            </w:pPr>
            <w:r w:rsidRPr="00FA29FA">
              <w:rPr>
                <w:sz w:val="18"/>
                <w:szCs w:val="18"/>
                <w:lang w:val="en-GB"/>
              </w:rPr>
              <w:t>%</w:t>
            </w:r>
          </w:p>
        </w:tc>
        <w:tc>
          <w:tcPr>
            <w:tcW w:w="1842" w:type="dxa"/>
            <w:tcBorders>
              <w:top w:val="nil"/>
              <w:bottom w:val="single" w:sz="12" w:space="0" w:color="auto"/>
            </w:tcBorders>
            <w:shd w:val="clear" w:color="auto" w:fill="F2F2F2" w:themeFill="background1" w:themeFillShade="F2"/>
            <w:tcMar>
              <w:top w:w="15" w:type="dxa"/>
              <w:left w:w="15" w:type="dxa"/>
              <w:bottom w:w="0" w:type="dxa"/>
              <w:right w:w="15" w:type="dxa"/>
            </w:tcMar>
            <w:vAlign w:val="center"/>
            <w:hideMark/>
          </w:tcPr>
          <w:p w14:paraId="678FA02F" w14:textId="66F35038" w:rsidR="00714AF2" w:rsidRPr="00FA29FA" w:rsidRDefault="00714AF2" w:rsidP="004E3666">
            <w:pPr>
              <w:pStyle w:val="ExhibitText"/>
              <w:jc w:val="right"/>
              <w:rPr>
                <w:sz w:val="18"/>
                <w:szCs w:val="18"/>
                <w:lang w:val="en-GB"/>
              </w:rPr>
            </w:pPr>
            <w:r w:rsidRPr="00FA29FA">
              <w:rPr>
                <w:sz w:val="18"/>
                <w:szCs w:val="18"/>
                <w:lang w:val="en-GB"/>
              </w:rPr>
              <w:t>N</w:t>
            </w:r>
            <w:r w:rsidR="00DE43B8">
              <w:rPr>
                <w:sz w:val="18"/>
                <w:szCs w:val="18"/>
                <w:lang w:val="en-GB"/>
              </w:rPr>
              <w:t>umber</w:t>
            </w:r>
            <w:r w:rsidRPr="00FA29FA">
              <w:rPr>
                <w:sz w:val="18"/>
                <w:szCs w:val="18"/>
                <w:lang w:val="en-GB"/>
              </w:rPr>
              <w:t xml:space="preserve"> of </w:t>
            </w:r>
            <w:r w:rsidR="004E3666" w:rsidRPr="00FA29FA">
              <w:rPr>
                <w:sz w:val="18"/>
                <w:szCs w:val="18"/>
                <w:lang w:val="en-GB"/>
              </w:rPr>
              <w:t>Shares</w:t>
            </w:r>
          </w:p>
        </w:tc>
        <w:tc>
          <w:tcPr>
            <w:tcW w:w="1488" w:type="dxa"/>
            <w:tcBorders>
              <w:top w:val="nil"/>
              <w:bottom w:val="single" w:sz="12" w:space="0" w:color="auto"/>
            </w:tcBorders>
            <w:shd w:val="clear" w:color="auto" w:fill="F2F2F2" w:themeFill="background1" w:themeFillShade="F2"/>
            <w:tcMar>
              <w:top w:w="15" w:type="dxa"/>
              <w:left w:w="15" w:type="dxa"/>
              <w:bottom w:w="0" w:type="dxa"/>
              <w:right w:w="15" w:type="dxa"/>
            </w:tcMar>
            <w:vAlign w:val="center"/>
            <w:hideMark/>
          </w:tcPr>
          <w:p w14:paraId="0C011002" w14:textId="77777777" w:rsidR="00714AF2" w:rsidRPr="00FA29FA" w:rsidRDefault="00714AF2" w:rsidP="00991CA9">
            <w:pPr>
              <w:pStyle w:val="ExhibitText"/>
              <w:ind w:right="288"/>
              <w:jc w:val="right"/>
              <w:rPr>
                <w:sz w:val="18"/>
                <w:szCs w:val="18"/>
                <w:lang w:val="en-GB"/>
              </w:rPr>
            </w:pPr>
            <w:r w:rsidRPr="00FA29FA">
              <w:rPr>
                <w:sz w:val="18"/>
                <w:szCs w:val="18"/>
                <w:lang w:val="en-GB"/>
              </w:rPr>
              <w:t>%</w:t>
            </w:r>
          </w:p>
        </w:tc>
      </w:tr>
      <w:tr w:rsidR="00714AF2" w:rsidRPr="00FA29FA" w14:paraId="62AF0C7D" w14:textId="77777777" w:rsidTr="0091456A">
        <w:trPr>
          <w:trHeight w:val="288"/>
          <w:tblHeader/>
        </w:trPr>
        <w:tc>
          <w:tcPr>
            <w:tcW w:w="2970" w:type="dxa"/>
            <w:tcBorders>
              <w:top w:val="single" w:sz="12" w:space="0" w:color="auto"/>
            </w:tcBorders>
            <w:shd w:val="clear" w:color="auto" w:fill="auto"/>
            <w:tcMar>
              <w:top w:w="15" w:type="dxa"/>
              <w:left w:w="15" w:type="dxa"/>
              <w:bottom w:w="0" w:type="dxa"/>
              <w:right w:w="15" w:type="dxa"/>
            </w:tcMar>
            <w:vAlign w:val="center"/>
            <w:hideMark/>
          </w:tcPr>
          <w:p w14:paraId="008D626C" w14:textId="77777777" w:rsidR="00714AF2" w:rsidRPr="00FA29FA" w:rsidRDefault="00714AF2" w:rsidP="00991CA9">
            <w:pPr>
              <w:pStyle w:val="ExhibitText"/>
              <w:rPr>
                <w:sz w:val="18"/>
                <w:szCs w:val="18"/>
                <w:lang w:val="en-GB"/>
              </w:rPr>
            </w:pPr>
            <w:r w:rsidRPr="00FA29FA">
              <w:rPr>
                <w:sz w:val="18"/>
                <w:szCs w:val="18"/>
                <w:lang w:val="en-GB"/>
              </w:rPr>
              <w:t>Ecobank Transnational Incorporated</w:t>
            </w:r>
          </w:p>
        </w:tc>
        <w:tc>
          <w:tcPr>
            <w:tcW w:w="1926" w:type="dxa"/>
            <w:tcBorders>
              <w:top w:val="single" w:sz="12" w:space="0" w:color="auto"/>
            </w:tcBorders>
            <w:shd w:val="clear" w:color="auto" w:fill="auto"/>
            <w:tcMar>
              <w:top w:w="15" w:type="dxa"/>
              <w:left w:w="15" w:type="dxa"/>
              <w:bottom w:w="0" w:type="dxa"/>
              <w:right w:w="15" w:type="dxa"/>
            </w:tcMar>
            <w:vAlign w:val="center"/>
            <w:hideMark/>
          </w:tcPr>
          <w:p w14:paraId="4B05822E" w14:textId="77777777" w:rsidR="00714AF2" w:rsidRPr="00FA29FA" w:rsidRDefault="00714AF2" w:rsidP="00991CA9">
            <w:pPr>
              <w:pStyle w:val="ExhibitText"/>
              <w:jc w:val="right"/>
              <w:rPr>
                <w:sz w:val="18"/>
                <w:szCs w:val="18"/>
                <w:lang w:val="en-GB"/>
              </w:rPr>
            </w:pPr>
            <w:r w:rsidRPr="00FA29FA">
              <w:rPr>
                <w:sz w:val="18"/>
                <w:szCs w:val="18"/>
                <w:lang w:val="en-GB"/>
              </w:rPr>
              <w:t xml:space="preserve">      202,129,934 </w:t>
            </w:r>
          </w:p>
        </w:tc>
        <w:tc>
          <w:tcPr>
            <w:tcW w:w="1134" w:type="dxa"/>
            <w:tcBorders>
              <w:top w:val="single" w:sz="12" w:space="0" w:color="auto"/>
            </w:tcBorders>
            <w:shd w:val="clear" w:color="auto" w:fill="auto"/>
            <w:tcMar>
              <w:top w:w="15" w:type="dxa"/>
              <w:left w:w="15" w:type="dxa"/>
              <w:bottom w:w="0" w:type="dxa"/>
              <w:right w:w="15" w:type="dxa"/>
            </w:tcMar>
            <w:vAlign w:val="center"/>
            <w:hideMark/>
          </w:tcPr>
          <w:p w14:paraId="2D5FFA5A" w14:textId="77777777" w:rsidR="00714AF2" w:rsidRPr="00FA29FA" w:rsidRDefault="00714AF2" w:rsidP="00991CA9">
            <w:pPr>
              <w:pStyle w:val="ExhibitText"/>
              <w:ind w:right="288"/>
              <w:jc w:val="right"/>
              <w:rPr>
                <w:sz w:val="18"/>
                <w:szCs w:val="18"/>
                <w:lang w:val="en-GB"/>
              </w:rPr>
            </w:pPr>
            <w:r w:rsidRPr="00FA29FA">
              <w:rPr>
                <w:sz w:val="18"/>
                <w:szCs w:val="18"/>
                <w:lang w:val="en-GB"/>
              </w:rPr>
              <w:t>87.83%</w:t>
            </w:r>
          </w:p>
        </w:tc>
        <w:tc>
          <w:tcPr>
            <w:tcW w:w="1842" w:type="dxa"/>
            <w:tcBorders>
              <w:top w:val="single" w:sz="12" w:space="0" w:color="auto"/>
            </w:tcBorders>
            <w:shd w:val="clear" w:color="auto" w:fill="F2F2F2" w:themeFill="background1" w:themeFillShade="F2"/>
            <w:tcMar>
              <w:top w:w="15" w:type="dxa"/>
              <w:left w:w="15" w:type="dxa"/>
              <w:bottom w:w="0" w:type="dxa"/>
              <w:right w:w="15" w:type="dxa"/>
            </w:tcMar>
            <w:vAlign w:val="center"/>
            <w:hideMark/>
          </w:tcPr>
          <w:p w14:paraId="56141341" w14:textId="77777777" w:rsidR="00714AF2" w:rsidRPr="00FA29FA" w:rsidRDefault="00714AF2" w:rsidP="00991CA9">
            <w:pPr>
              <w:pStyle w:val="ExhibitText"/>
              <w:jc w:val="right"/>
              <w:rPr>
                <w:sz w:val="18"/>
                <w:szCs w:val="18"/>
                <w:lang w:val="en-GB"/>
              </w:rPr>
            </w:pPr>
            <w:r w:rsidRPr="00FA29FA">
              <w:rPr>
                <w:sz w:val="18"/>
                <w:szCs w:val="18"/>
                <w:lang w:val="en-GB"/>
              </w:rPr>
              <w:t xml:space="preserve">      202,129,934 </w:t>
            </w:r>
          </w:p>
        </w:tc>
        <w:tc>
          <w:tcPr>
            <w:tcW w:w="1488" w:type="dxa"/>
            <w:tcBorders>
              <w:top w:val="single" w:sz="12" w:space="0" w:color="auto"/>
            </w:tcBorders>
            <w:shd w:val="clear" w:color="auto" w:fill="F2F2F2" w:themeFill="background1" w:themeFillShade="F2"/>
            <w:tcMar>
              <w:top w:w="15" w:type="dxa"/>
              <w:left w:w="15" w:type="dxa"/>
              <w:bottom w:w="0" w:type="dxa"/>
              <w:right w:w="15" w:type="dxa"/>
            </w:tcMar>
            <w:vAlign w:val="center"/>
            <w:hideMark/>
          </w:tcPr>
          <w:p w14:paraId="5B33862B" w14:textId="77777777" w:rsidR="00714AF2" w:rsidRPr="00FA29FA" w:rsidRDefault="00714AF2" w:rsidP="00991CA9">
            <w:pPr>
              <w:pStyle w:val="ExhibitText"/>
              <w:ind w:right="288"/>
              <w:jc w:val="right"/>
              <w:rPr>
                <w:sz w:val="18"/>
                <w:szCs w:val="18"/>
                <w:lang w:val="en-GB"/>
              </w:rPr>
            </w:pPr>
            <w:r w:rsidRPr="00FA29FA">
              <w:rPr>
                <w:sz w:val="18"/>
                <w:szCs w:val="18"/>
                <w:lang w:val="en-GB"/>
              </w:rPr>
              <w:t>68.93%</w:t>
            </w:r>
          </w:p>
        </w:tc>
      </w:tr>
      <w:tr w:rsidR="00714AF2" w:rsidRPr="00FA29FA" w14:paraId="3DCA3C34" w14:textId="77777777" w:rsidTr="0091456A">
        <w:trPr>
          <w:trHeight w:val="288"/>
          <w:tblHeader/>
        </w:trPr>
        <w:tc>
          <w:tcPr>
            <w:tcW w:w="2970" w:type="dxa"/>
            <w:shd w:val="clear" w:color="auto" w:fill="auto"/>
            <w:tcMar>
              <w:top w:w="15" w:type="dxa"/>
              <w:left w:w="15" w:type="dxa"/>
              <w:bottom w:w="0" w:type="dxa"/>
              <w:right w:w="15" w:type="dxa"/>
            </w:tcMar>
            <w:vAlign w:val="center"/>
            <w:hideMark/>
          </w:tcPr>
          <w:p w14:paraId="707F14B0" w14:textId="77777777" w:rsidR="00714AF2" w:rsidRPr="00FA29FA" w:rsidRDefault="00714AF2" w:rsidP="00991CA9">
            <w:pPr>
              <w:pStyle w:val="ExhibitText"/>
              <w:rPr>
                <w:sz w:val="18"/>
                <w:szCs w:val="18"/>
                <w:lang w:val="en-GB"/>
              </w:rPr>
            </w:pPr>
            <w:r w:rsidRPr="00FA29FA">
              <w:rPr>
                <w:sz w:val="18"/>
                <w:szCs w:val="18"/>
                <w:lang w:val="en-GB"/>
              </w:rPr>
              <w:t>SSNIT</w:t>
            </w:r>
          </w:p>
        </w:tc>
        <w:tc>
          <w:tcPr>
            <w:tcW w:w="1926" w:type="dxa"/>
            <w:shd w:val="clear" w:color="auto" w:fill="auto"/>
            <w:tcMar>
              <w:top w:w="15" w:type="dxa"/>
              <w:left w:w="15" w:type="dxa"/>
              <w:bottom w:w="0" w:type="dxa"/>
              <w:right w:w="15" w:type="dxa"/>
            </w:tcMar>
            <w:vAlign w:val="center"/>
            <w:hideMark/>
          </w:tcPr>
          <w:p w14:paraId="564998C0" w14:textId="77777777" w:rsidR="00714AF2" w:rsidRPr="00FA29FA" w:rsidRDefault="00714AF2" w:rsidP="00991CA9">
            <w:pPr>
              <w:pStyle w:val="ExhibitText"/>
              <w:jc w:val="right"/>
              <w:rPr>
                <w:sz w:val="18"/>
                <w:szCs w:val="18"/>
                <w:lang w:val="en-GB"/>
              </w:rPr>
            </w:pPr>
            <w:r w:rsidRPr="00FA29FA">
              <w:rPr>
                <w:sz w:val="18"/>
                <w:szCs w:val="18"/>
                <w:lang w:val="en-GB"/>
              </w:rPr>
              <w:t xml:space="preserve">          2,168,814 </w:t>
            </w:r>
          </w:p>
        </w:tc>
        <w:tc>
          <w:tcPr>
            <w:tcW w:w="1134" w:type="dxa"/>
            <w:shd w:val="clear" w:color="auto" w:fill="auto"/>
            <w:tcMar>
              <w:top w:w="15" w:type="dxa"/>
              <w:left w:w="15" w:type="dxa"/>
              <w:bottom w:w="0" w:type="dxa"/>
              <w:right w:w="15" w:type="dxa"/>
            </w:tcMar>
            <w:vAlign w:val="center"/>
            <w:hideMark/>
          </w:tcPr>
          <w:p w14:paraId="6075DE7B" w14:textId="77777777" w:rsidR="00714AF2" w:rsidRPr="00FA29FA" w:rsidRDefault="00714AF2" w:rsidP="00991CA9">
            <w:pPr>
              <w:pStyle w:val="ExhibitText"/>
              <w:ind w:right="288"/>
              <w:jc w:val="right"/>
              <w:rPr>
                <w:sz w:val="18"/>
                <w:szCs w:val="18"/>
                <w:lang w:val="en-GB"/>
              </w:rPr>
            </w:pPr>
            <w:r w:rsidRPr="00FA29FA">
              <w:rPr>
                <w:sz w:val="18"/>
                <w:szCs w:val="18"/>
                <w:lang w:val="en-GB"/>
              </w:rPr>
              <w:t>0.94%</w:t>
            </w:r>
          </w:p>
        </w:tc>
        <w:tc>
          <w:tcPr>
            <w:tcW w:w="1842" w:type="dxa"/>
            <w:shd w:val="clear" w:color="auto" w:fill="F2F2F2" w:themeFill="background1" w:themeFillShade="F2"/>
            <w:tcMar>
              <w:top w:w="15" w:type="dxa"/>
              <w:left w:w="15" w:type="dxa"/>
              <w:bottom w:w="0" w:type="dxa"/>
              <w:right w:w="15" w:type="dxa"/>
            </w:tcMar>
            <w:vAlign w:val="center"/>
            <w:hideMark/>
          </w:tcPr>
          <w:p w14:paraId="24E501A2" w14:textId="77777777" w:rsidR="00714AF2" w:rsidRPr="00FA29FA" w:rsidRDefault="00714AF2" w:rsidP="00991CA9">
            <w:pPr>
              <w:pStyle w:val="ExhibitText"/>
              <w:jc w:val="right"/>
              <w:rPr>
                <w:sz w:val="18"/>
                <w:szCs w:val="18"/>
                <w:lang w:val="en-GB"/>
              </w:rPr>
            </w:pPr>
            <w:r w:rsidRPr="00FA29FA">
              <w:rPr>
                <w:sz w:val="18"/>
                <w:szCs w:val="18"/>
                <w:lang w:val="en-GB"/>
              </w:rPr>
              <w:t xml:space="preserve">        40,748,154 </w:t>
            </w:r>
          </w:p>
        </w:tc>
        <w:tc>
          <w:tcPr>
            <w:tcW w:w="1488" w:type="dxa"/>
            <w:shd w:val="clear" w:color="auto" w:fill="F2F2F2" w:themeFill="background1" w:themeFillShade="F2"/>
            <w:tcMar>
              <w:top w:w="15" w:type="dxa"/>
              <w:left w:w="15" w:type="dxa"/>
              <w:bottom w:w="0" w:type="dxa"/>
              <w:right w:w="15" w:type="dxa"/>
            </w:tcMar>
            <w:vAlign w:val="center"/>
            <w:hideMark/>
          </w:tcPr>
          <w:p w14:paraId="007C5B61" w14:textId="77777777" w:rsidR="00714AF2" w:rsidRPr="00FA29FA" w:rsidRDefault="00714AF2" w:rsidP="00991CA9">
            <w:pPr>
              <w:pStyle w:val="ExhibitText"/>
              <w:ind w:right="288"/>
              <w:jc w:val="right"/>
              <w:rPr>
                <w:sz w:val="18"/>
                <w:szCs w:val="18"/>
                <w:lang w:val="en-GB"/>
              </w:rPr>
            </w:pPr>
            <w:r w:rsidRPr="00FA29FA">
              <w:rPr>
                <w:sz w:val="18"/>
                <w:szCs w:val="18"/>
                <w:lang w:val="en-GB"/>
              </w:rPr>
              <w:t>13.90%</w:t>
            </w:r>
          </w:p>
        </w:tc>
      </w:tr>
      <w:tr w:rsidR="00714AF2" w:rsidRPr="00FA29FA" w14:paraId="2C85749A" w14:textId="77777777" w:rsidTr="0091456A">
        <w:trPr>
          <w:trHeight w:val="288"/>
          <w:tblHeader/>
        </w:trPr>
        <w:tc>
          <w:tcPr>
            <w:tcW w:w="2970" w:type="dxa"/>
            <w:shd w:val="clear" w:color="auto" w:fill="auto"/>
            <w:tcMar>
              <w:top w:w="15" w:type="dxa"/>
              <w:left w:w="15" w:type="dxa"/>
              <w:bottom w:w="0" w:type="dxa"/>
              <w:right w:w="15" w:type="dxa"/>
            </w:tcMar>
            <w:vAlign w:val="center"/>
            <w:hideMark/>
          </w:tcPr>
          <w:p w14:paraId="127477ED" w14:textId="77777777" w:rsidR="00714AF2" w:rsidRPr="00FA29FA" w:rsidRDefault="00714AF2" w:rsidP="00991CA9">
            <w:pPr>
              <w:pStyle w:val="ExhibitText"/>
              <w:rPr>
                <w:sz w:val="18"/>
                <w:szCs w:val="18"/>
                <w:lang w:val="en-GB"/>
              </w:rPr>
            </w:pPr>
            <w:r w:rsidRPr="00FA29FA">
              <w:rPr>
                <w:sz w:val="18"/>
                <w:szCs w:val="18"/>
                <w:lang w:val="en-GB"/>
              </w:rPr>
              <w:t>Ghana Reinsurance Company Ltd.</w:t>
            </w:r>
          </w:p>
        </w:tc>
        <w:tc>
          <w:tcPr>
            <w:tcW w:w="1926" w:type="dxa"/>
            <w:shd w:val="clear" w:color="auto" w:fill="auto"/>
            <w:tcMar>
              <w:top w:w="15" w:type="dxa"/>
              <w:left w:w="15" w:type="dxa"/>
              <w:bottom w:w="0" w:type="dxa"/>
              <w:right w:w="15" w:type="dxa"/>
            </w:tcMar>
            <w:vAlign w:val="center"/>
            <w:hideMark/>
          </w:tcPr>
          <w:p w14:paraId="192986A8" w14:textId="77777777" w:rsidR="00714AF2" w:rsidRPr="00FA29FA" w:rsidRDefault="00714AF2" w:rsidP="00991CA9">
            <w:pPr>
              <w:pStyle w:val="ExhibitText"/>
              <w:jc w:val="right"/>
              <w:rPr>
                <w:sz w:val="18"/>
                <w:szCs w:val="18"/>
                <w:lang w:val="en-GB"/>
              </w:rPr>
            </w:pPr>
            <w:r w:rsidRPr="00FA29FA">
              <w:rPr>
                <w:sz w:val="18"/>
                <w:szCs w:val="18"/>
                <w:lang w:val="en-GB"/>
              </w:rPr>
              <w:t xml:space="preserve">          3,895,030 </w:t>
            </w:r>
          </w:p>
        </w:tc>
        <w:tc>
          <w:tcPr>
            <w:tcW w:w="1134" w:type="dxa"/>
            <w:shd w:val="clear" w:color="auto" w:fill="auto"/>
            <w:tcMar>
              <w:top w:w="15" w:type="dxa"/>
              <w:left w:w="15" w:type="dxa"/>
              <w:bottom w:w="0" w:type="dxa"/>
              <w:right w:w="15" w:type="dxa"/>
            </w:tcMar>
            <w:vAlign w:val="center"/>
            <w:hideMark/>
          </w:tcPr>
          <w:p w14:paraId="691FA06A" w14:textId="77777777" w:rsidR="00714AF2" w:rsidRPr="00FA29FA" w:rsidRDefault="00714AF2" w:rsidP="00991CA9">
            <w:pPr>
              <w:pStyle w:val="ExhibitText"/>
              <w:ind w:right="288"/>
              <w:jc w:val="right"/>
              <w:rPr>
                <w:sz w:val="18"/>
                <w:szCs w:val="18"/>
                <w:lang w:val="en-GB"/>
              </w:rPr>
            </w:pPr>
            <w:r w:rsidRPr="00FA29FA">
              <w:rPr>
                <w:sz w:val="18"/>
                <w:szCs w:val="18"/>
                <w:lang w:val="en-GB"/>
              </w:rPr>
              <w:t>1.69%</w:t>
            </w:r>
          </w:p>
        </w:tc>
        <w:tc>
          <w:tcPr>
            <w:tcW w:w="1842" w:type="dxa"/>
            <w:shd w:val="clear" w:color="auto" w:fill="F2F2F2" w:themeFill="background1" w:themeFillShade="F2"/>
            <w:tcMar>
              <w:top w:w="15" w:type="dxa"/>
              <w:left w:w="15" w:type="dxa"/>
              <w:bottom w:w="0" w:type="dxa"/>
              <w:right w:w="15" w:type="dxa"/>
            </w:tcMar>
            <w:vAlign w:val="center"/>
            <w:hideMark/>
          </w:tcPr>
          <w:p w14:paraId="7D59E3FC" w14:textId="77777777" w:rsidR="00714AF2" w:rsidRPr="00FA29FA" w:rsidRDefault="00714AF2" w:rsidP="00991CA9">
            <w:pPr>
              <w:pStyle w:val="ExhibitText"/>
              <w:jc w:val="right"/>
              <w:rPr>
                <w:sz w:val="18"/>
                <w:szCs w:val="18"/>
                <w:lang w:val="en-GB"/>
              </w:rPr>
            </w:pPr>
            <w:r w:rsidRPr="00FA29FA">
              <w:rPr>
                <w:sz w:val="18"/>
                <w:szCs w:val="18"/>
                <w:lang w:val="en-GB"/>
              </w:rPr>
              <w:t xml:space="preserve">          9,801,190 </w:t>
            </w:r>
          </w:p>
        </w:tc>
        <w:tc>
          <w:tcPr>
            <w:tcW w:w="1488" w:type="dxa"/>
            <w:shd w:val="clear" w:color="auto" w:fill="F2F2F2" w:themeFill="background1" w:themeFillShade="F2"/>
            <w:tcMar>
              <w:top w:w="15" w:type="dxa"/>
              <w:left w:w="15" w:type="dxa"/>
              <w:bottom w:w="0" w:type="dxa"/>
              <w:right w:w="15" w:type="dxa"/>
            </w:tcMar>
            <w:vAlign w:val="center"/>
            <w:hideMark/>
          </w:tcPr>
          <w:p w14:paraId="7C8C46CF" w14:textId="77777777" w:rsidR="00714AF2" w:rsidRPr="00FA29FA" w:rsidRDefault="00714AF2" w:rsidP="00991CA9">
            <w:pPr>
              <w:pStyle w:val="ExhibitText"/>
              <w:ind w:right="288"/>
              <w:jc w:val="right"/>
              <w:rPr>
                <w:sz w:val="18"/>
                <w:szCs w:val="18"/>
                <w:lang w:val="en-GB"/>
              </w:rPr>
            </w:pPr>
            <w:r w:rsidRPr="00FA29FA">
              <w:rPr>
                <w:sz w:val="18"/>
                <w:szCs w:val="18"/>
                <w:lang w:val="en-GB"/>
              </w:rPr>
              <w:t>3.34%</w:t>
            </w:r>
          </w:p>
        </w:tc>
      </w:tr>
      <w:tr w:rsidR="00714AF2" w:rsidRPr="00FA29FA" w14:paraId="74D442AE" w14:textId="77777777" w:rsidTr="0091456A">
        <w:trPr>
          <w:trHeight w:val="288"/>
          <w:tblHeader/>
        </w:trPr>
        <w:tc>
          <w:tcPr>
            <w:tcW w:w="2970" w:type="dxa"/>
            <w:shd w:val="clear" w:color="auto" w:fill="auto"/>
            <w:tcMar>
              <w:top w:w="15" w:type="dxa"/>
              <w:left w:w="15" w:type="dxa"/>
              <w:bottom w:w="0" w:type="dxa"/>
              <w:right w:w="15" w:type="dxa"/>
            </w:tcMar>
            <w:vAlign w:val="center"/>
            <w:hideMark/>
          </w:tcPr>
          <w:p w14:paraId="16D70619" w14:textId="77777777" w:rsidR="00714AF2" w:rsidRPr="00FA29FA" w:rsidRDefault="00714AF2" w:rsidP="00991CA9">
            <w:pPr>
              <w:pStyle w:val="ExhibitText"/>
              <w:rPr>
                <w:sz w:val="18"/>
                <w:szCs w:val="18"/>
                <w:lang w:val="en-GB"/>
              </w:rPr>
            </w:pPr>
            <w:r w:rsidRPr="00FA29FA">
              <w:rPr>
                <w:sz w:val="18"/>
                <w:szCs w:val="18"/>
                <w:lang w:val="en-GB"/>
              </w:rPr>
              <w:t>Nominee Account</w:t>
            </w:r>
          </w:p>
        </w:tc>
        <w:tc>
          <w:tcPr>
            <w:tcW w:w="1926" w:type="dxa"/>
            <w:shd w:val="clear" w:color="auto" w:fill="auto"/>
            <w:tcMar>
              <w:top w:w="15" w:type="dxa"/>
              <w:left w:w="15" w:type="dxa"/>
              <w:bottom w:w="0" w:type="dxa"/>
              <w:right w:w="15" w:type="dxa"/>
            </w:tcMar>
            <w:vAlign w:val="center"/>
            <w:hideMark/>
          </w:tcPr>
          <w:p w14:paraId="5211B1DE" w14:textId="77777777" w:rsidR="00714AF2" w:rsidRPr="00FA29FA" w:rsidRDefault="00714AF2" w:rsidP="00991CA9">
            <w:pPr>
              <w:pStyle w:val="ExhibitText"/>
              <w:jc w:val="right"/>
              <w:rPr>
                <w:sz w:val="18"/>
                <w:szCs w:val="18"/>
                <w:lang w:val="en-GB"/>
              </w:rPr>
            </w:pPr>
            <w:r w:rsidRPr="00FA29FA">
              <w:rPr>
                <w:sz w:val="18"/>
                <w:szCs w:val="18"/>
                <w:lang w:val="en-GB"/>
              </w:rPr>
              <w:t xml:space="preserve">          1,969,296 </w:t>
            </w:r>
          </w:p>
        </w:tc>
        <w:tc>
          <w:tcPr>
            <w:tcW w:w="1134" w:type="dxa"/>
            <w:shd w:val="clear" w:color="auto" w:fill="auto"/>
            <w:tcMar>
              <w:top w:w="15" w:type="dxa"/>
              <w:left w:w="15" w:type="dxa"/>
              <w:bottom w:w="0" w:type="dxa"/>
              <w:right w:w="15" w:type="dxa"/>
            </w:tcMar>
            <w:vAlign w:val="center"/>
            <w:hideMark/>
          </w:tcPr>
          <w:p w14:paraId="0BE161C0" w14:textId="77777777" w:rsidR="00714AF2" w:rsidRPr="00FA29FA" w:rsidRDefault="00714AF2" w:rsidP="00991CA9">
            <w:pPr>
              <w:pStyle w:val="ExhibitText"/>
              <w:ind w:right="288"/>
              <w:jc w:val="right"/>
              <w:rPr>
                <w:sz w:val="18"/>
                <w:szCs w:val="18"/>
                <w:lang w:val="en-GB"/>
              </w:rPr>
            </w:pPr>
            <w:r w:rsidRPr="00FA29FA">
              <w:rPr>
                <w:sz w:val="18"/>
                <w:szCs w:val="18"/>
                <w:lang w:val="en-GB"/>
              </w:rPr>
              <w:t>0.86%</w:t>
            </w:r>
          </w:p>
        </w:tc>
        <w:tc>
          <w:tcPr>
            <w:tcW w:w="1842" w:type="dxa"/>
            <w:shd w:val="clear" w:color="auto" w:fill="F2F2F2" w:themeFill="background1" w:themeFillShade="F2"/>
            <w:tcMar>
              <w:top w:w="15" w:type="dxa"/>
              <w:left w:w="15" w:type="dxa"/>
              <w:bottom w:w="0" w:type="dxa"/>
              <w:right w:w="15" w:type="dxa"/>
            </w:tcMar>
            <w:vAlign w:val="center"/>
            <w:hideMark/>
          </w:tcPr>
          <w:p w14:paraId="606FBCE5" w14:textId="77777777" w:rsidR="00714AF2" w:rsidRPr="00FA29FA" w:rsidRDefault="00714AF2" w:rsidP="00991CA9">
            <w:pPr>
              <w:pStyle w:val="ExhibitText"/>
              <w:jc w:val="right"/>
              <w:rPr>
                <w:sz w:val="18"/>
                <w:szCs w:val="18"/>
                <w:lang w:val="en-GB"/>
              </w:rPr>
            </w:pPr>
            <w:r w:rsidRPr="00FA29FA">
              <w:rPr>
                <w:sz w:val="18"/>
                <w:szCs w:val="18"/>
                <w:lang w:val="en-GB"/>
              </w:rPr>
              <w:t xml:space="preserve">          1,969,296 </w:t>
            </w:r>
          </w:p>
        </w:tc>
        <w:tc>
          <w:tcPr>
            <w:tcW w:w="1488" w:type="dxa"/>
            <w:shd w:val="clear" w:color="auto" w:fill="F2F2F2" w:themeFill="background1" w:themeFillShade="F2"/>
            <w:tcMar>
              <w:top w:w="15" w:type="dxa"/>
              <w:left w:w="15" w:type="dxa"/>
              <w:bottom w:w="0" w:type="dxa"/>
              <w:right w:w="15" w:type="dxa"/>
            </w:tcMar>
            <w:vAlign w:val="center"/>
            <w:hideMark/>
          </w:tcPr>
          <w:p w14:paraId="39AE753C" w14:textId="77777777" w:rsidR="00714AF2" w:rsidRPr="00FA29FA" w:rsidRDefault="00714AF2" w:rsidP="00991CA9">
            <w:pPr>
              <w:pStyle w:val="ExhibitText"/>
              <w:ind w:right="288"/>
              <w:jc w:val="right"/>
              <w:rPr>
                <w:sz w:val="18"/>
                <w:szCs w:val="18"/>
                <w:lang w:val="en-GB"/>
              </w:rPr>
            </w:pPr>
            <w:r w:rsidRPr="00FA29FA">
              <w:rPr>
                <w:sz w:val="18"/>
                <w:szCs w:val="18"/>
                <w:lang w:val="en-GB"/>
              </w:rPr>
              <w:t>0.67%</w:t>
            </w:r>
          </w:p>
        </w:tc>
      </w:tr>
      <w:tr w:rsidR="00714AF2" w:rsidRPr="00FA29FA" w14:paraId="3526EA39" w14:textId="77777777" w:rsidTr="0091456A">
        <w:trPr>
          <w:trHeight w:val="288"/>
          <w:tblHeader/>
        </w:trPr>
        <w:tc>
          <w:tcPr>
            <w:tcW w:w="2970" w:type="dxa"/>
            <w:shd w:val="clear" w:color="auto" w:fill="auto"/>
            <w:tcMar>
              <w:top w:w="15" w:type="dxa"/>
              <w:left w:w="15" w:type="dxa"/>
              <w:bottom w:w="0" w:type="dxa"/>
              <w:right w:w="15" w:type="dxa"/>
            </w:tcMar>
            <w:vAlign w:val="center"/>
            <w:hideMark/>
          </w:tcPr>
          <w:p w14:paraId="0E0EFCC8" w14:textId="77777777" w:rsidR="00714AF2" w:rsidRPr="00FA29FA" w:rsidRDefault="00714AF2" w:rsidP="00991CA9">
            <w:pPr>
              <w:pStyle w:val="ExhibitText"/>
              <w:rPr>
                <w:sz w:val="18"/>
                <w:szCs w:val="18"/>
                <w:lang w:val="en-GB"/>
              </w:rPr>
            </w:pPr>
            <w:r w:rsidRPr="00FA29FA">
              <w:rPr>
                <w:sz w:val="18"/>
                <w:szCs w:val="18"/>
                <w:lang w:val="en-GB"/>
              </w:rPr>
              <w:t>Others</w:t>
            </w:r>
          </w:p>
        </w:tc>
        <w:tc>
          <w:tcPr>
            <w:tcW w:w="1926" w:type="dxa"/>
            <w:shd w:val="clear" w:color="auto" w:fill="auto"/>
            <w:tcMar>
              <w:top w:w="15" w:type="dxa"/>
              <w:left w:w="15" w:type="dxa"/>
              <w:bottom w:w="0" w:type="dxa"/>
              <w:right w:w="15" w:type="dxa"/>
            </w:tcMar>
            <w:vAlign w:val="center"/>
            <w:hideMark/>
          </w:tcPr>
          <w:p w14:paraId="700449F6" w14:textId="77777777" w:rsidR="00714AF2" w:rsidRPr="00FA29FA" w:rsidRDefault="00714AF2" w:rsidP="00991CA9">
            <w:pPr>
              <w:pStyle w:val="ExhibitText"/>
              <w:jc w:val="right"/>
              <w:rPr>
                <w:sz w:val="18"/>
                <w:szCs w:val="18"/>
                <w:lang w:val="en-GB"/>
              </w:rPr>
            </w:pPr>
            <w:r w:rsidRPr="00FA29FA">
              <w:rPr>
                <w:sz w:val="18"/>
                <w:szCs w:val="18"/>
                <w:lang w:val="en-GB"/>
              </w:rPr>
              <w:t xml:space="preserve">        19,965,298 </w:t>
            </w:r>
          </w:p>
        </w:tc>
        <w:tc>
          <w:tcPr>
            <w:tcW w:w="1134" w:type="dxa"/>
            <w:shd w:val="clear" w:color="auto" w:fill="auto"/>
            <w:tcMar>
              <w:top w:w="15" w:type="dxa"/>
              <w:left w:w="15" w:type="dxa"/>
              <w:bottom w:w="0" w:type="dxa"/>
              <w:right w:w="15" w:type="dxa"/>
            </w:tcMar>
            <w:vAlign w:val="center"/>
            <w:hideMark/>
          </w:tcPr>
          <w:p w14:paraId="6F96633E" w14:textId="77777777" w:rsidR="00714AF2" w:rsidRPr="00FA29FA" w:rsidRDefault="00714AF2" w:rsidP="00991CA9">
            <w:pPr>
              <w:pStyle w:val="ExhibitText"/>
              <w:ind w:right="288"/>
              <w:jc w:val="right"/>
              <w:rPr>
                <w:sz w:val="18"/>
                <w:szCs w:val="18"/>
                <w:lang w:val="en-GB"/>
              </w:rPr>
            </w:pPr>
            <w:r w:rsidRPr="00FA29FA">
              <w:rPr>
                <w:sz w:val="18"/>
                <w:szCs w:val="18"/>
                <w:lang w:val="en-GB"/>
              </w:rPr>
              <w:t>8.68%</w:t>
            </w:r>
          </w:p>
        </w:tc>
        <w:tc>
          <w:tcPr>
            <w:tcW w:w="1842" w:type="dxa"/>
            <w:shd w:val="clear" w:color="auto" w:fill="F2F2F2" w:themeFill="background1" w:themeFillShade="F2"/>
            <w:tcMar>
              <w:top w:w="15" w:type="dxa"/>
              <w:left w:w="15" w:type="dxa"/>
              <w:bottom w:w="0" w:type="dxa"/>
              <w:right w:w="15" w:type="dxa"/>
            </w:tcMar>
            <w:vAlign w:val="center"/>
            <w:hideMark/>
          </w:tcPr>
          <w:p w14:paraId="776A2B8B" w14:textId="77777777" w:rsidR="00714AF2" w:rsidRPr="00FA29FA" w:rsidRDefault="00714AF2" w:rsidP="00991CA9">
            <w:pPr>
              <w:pStyle w:val="ExhibitText"/>
              <w:jc w:val="right"/>
              <w:rPr>
                <w:sz w:val="18"/>
                <w:szCs w:val="18"/>
                <w:lang w:val="en-GB"/>
              </w:rPr>
            </w:pPr>
            <w:r w:rsidRPr="00FA29FA">
              <w:rPr>
                <w:sz w:val="18"/>
                <w:szCs w:val="18"/>
                <w:lang w:val="en-GB"/>
              </w:rPr>
              <w:t xml:space="preserve">        19,965,298 </w:t>
            </w:r>
          </w:p>
        </w:tc>
        <w:tc>
          <w:tcPr>
            <w:tcW w:w="1488" w:type="dxa"/>
            <w:shd w:val="clear" w:color="auto" w:fill="F2F2F2" w:themeFill="background1" w:themeFillShade="F2"/>
            <w:tcMar>
              <w:top w:w="15" w:type="dxa"/>
              <w:left w:w="15" w:type="dxa"/>
              <w:bottom w:w="0" w:type="dxa"/>
              <w:right w:w="15" w:type="dxa"/>
            </w:tcMar>
            <w:vAlign w:val="center"/>
            <w:hideMark/>
          </w:tcPr>
          <w:p w14:paraId="3F157499" w14:textId="77777777" w:rsidR="00714AF2" w:rsidRPr="00FA29FA" w:rsidRDefault="00714AF2" w:rsidP="00991CA9">
            <w:pPr>
              <w:pStyle w:val="ExhibitText"/>
              <w:ind w:right="288"/>
              <w:jc w:val="right"/>
              <w:rPr>
                <w:sz w:val="18"/>
                <w:szCs w:val="18"/>
                <w:lang w:val="en-GB"/>
              </w:rPr>
            </w:pPr>
            <w:r w:rsidRPr="00FA29FA">
              <w:rPr>
                <w:sz w:val="18"/>
                <w:szCs w:val="18"/>
                <w:lang w:val="en-GB"/>
              </w:rPr>
              <w:t>6.81%</w:t>
            </w:r>
          </w:p>
        </w:tc>
      </w:tr>
      <w:tr w:rsidR="00714AF2" w:rsidRPr="00FA29FA" w14:paraId="29B7C353" w14:textId="77777777" w:rsidTr="0091456A">
        <w:trPr>
          <w:trHeight w:val="288"/>
          <w:tblHeader/>
        </w:trPr>
        <w:tc>
          <w:tcPr>
            <w:tcW w:w="2970" w:type="dxa"/>
            <w:shd w:val="clear" w:color="auto" w:fill="auto"/>
            <w:tcMar>
              <w:top w:w="15" w:type="dxa"/>
              <w:left w:w="15" w:type="dxa"/>
              <w:bottom w:w="0" w:type="dxa"/>
              <w:right w:w="15" w:type="dxa"/>
            </w:tcMar>
            <w:vAlign w:val="center"/>
            <w:hideMark/>
          </w:tcPr>
          <w:p w14:paraId="30F461FA" w14:textId="77777777" w:rsidR="00714AF2" w:rsidRPr="00FA29FA" w:rsidRDefault="00714AF2" w:rsidP="00991CA9">
            <w:pPr>
              <w:pStyle w:val="ExhibitText"/>
              <w:rPr>
                <w:sz w:val="18"/>
                <w:szCs w:val="18"/>
                <w:lang w:val="en-GB"/>
              </w:rPr>
            </w:pPr>
            <w:r w:rsidRPr="00FA29FA">
              <w:rPr>
                <w:sz w:val="18"/>
                <w:szCs w:val="18"/>
                <w:lang w:val="en-GB"/>
              </w:rPr>
              <w:t>FMO</w:t>
            </w:r>
          </w:p>
        </w:tc>
        <w:tc>
          <w:tcPr>
            <w:tcW w:w="1926" w:type="dxa"/>
            <w:shd w:val="clear" w:color="auto" w:fill="auto"/>
            <w:tcMar>
              <w:top w:w="15" w:type="dxa"/>
              <w:left w:w="15" w:type="dxa"/>
              <w:bottom w:w="0" w:type="dxa"/>
              <w:right w:w="15" w:type="dxa"/>
            </w:tcMar>
            <w:vAlign w:val="center"/>
            <w:hideMark/>
          </w:tcPr>
          <w:p w14:paraId="2A5F826C" w14:textId="77777777" w:rsidR="00714AF2" w:rsidRPr="00FA29FA" w:rsidRDefault="00714AF2" w:rsidP="00991CA9">
            <w:pPr>
              <w:pStyle w:val="ExhibitText"/>
              <w:jc w:val="right"/>
              <w:rPr>
                <w:sz w:val="18"/>
                <w:szCs w:val="18"/>
                <w:lang w:val="en-GB"/>
              </w:rPr>
            </w:pPr>
            <w:r w:rsidRPr="00FA29FA">
              <w:rPr>
                <w:sz w:val="18"/>
                <w:szCs w:val="18"/>
                <w:lang w:val="en-GB"/>
              </w:rPr>
              <w:t xml:space="preserve">                       -   </w:t>
            </w:r>
          </w:p>
        </w:tc>
        <w:tc>
          <w:tcPr>
            <w:tcW w:w="1134" w:type="dxa"/>
            <w:shd w:val="clear" w:color="auto" w:fill="auto"/>
            <w:tcMar>
              <w:top w:w="15" w:type="dxa"/>
              <w:left w:w="15" w:type="dxa"/>
              <w:bottom w:w="0" w:type="dxa"/>
              <w:right w:w="15" w:type="dxa"/>
            </w:tcMar>
            <w:vAlign w:val="center"/>
            <w:hideMark/>
          </w:tcPr>
          <w:p w14:paraId="2D1B3177" w14:textId="77777777" w:rsidR="00714AF2" w:rsidRPr="00FA29FA" w:rsidRDefault="00714AF2" w:rsidP="00991CA9">
            <w:pPr>
              <w:pStyle w:val="ExhibitText"/>
              <w:ind w:right="288"/>
              <w:jc w:val="right"/>
              <w:rPr>
                <w:sz w:val="18"/>
                <w:szCs w:val="18"/>
                <w:lang w:val="en-GB"/>
              </w:rPr>
            </w:pPr>
            <w:r w:rsidRPr="00FA29FA">
              <w:rPr>
                <w:sz w:val="18"/>
                <w:szCs w:val="18"/>
                <w:lang w:val="en-GB"/>
              </w:rPr>
              <w:t>0.00%</w:t>
            </w:r>
          </w:p>
        </w:tc>
        <w:tc>
          <w:tcPr>
            <w:tcW w:w="1842" w:type="dxa"/>
            <w:shd w:val="clear" w:color="auto" w:fill="F2F2F2" w:themeFill="background1" w:themeFillShade="F2"/>
            <w:tcMar>
              <w:top w:w="15" w:type="dxa"/>
              <w:left w:w="15" w:type="dxa"/>
              <w:bottom w:w="0" w:type="dxa"/>
              <w:right w:w="15" w:type="dxa"/>
            </w:tcMar>
            <w:vAlign w:val="center"/>
            <w:hideMark/>
          </w:tcPr>
          <w:p w14:paraId="07457FF8" w14:textId="77777777" w:rsidR="00714AF2" w:rsidRPr="00FA29FA" w:rsidRDefault="00714AF2" w:rsidP="00991CA9">
            <w:pPr>
              <w:pStyle w:val="ExhibitText"/>
              <w:jc w:val="right"/>
              <w:rPr>
                <w:sz w:val="18"/>
                <w:szCs w:val="18"/>
                <w:lang w:val="en-GB"/>
              </w:rPr>
            </w:pPr>
            <w:r w:rsidRPr="00FA29FA">
              <w:rPr>
                <w:sz w:val="18"/>
                <w:szCs w:val="18"/>
                <w:lang w:val="en-GB"/>
              </w:rPr>
              <w:t xml:space="preserve">          6,310,000 </w:t>
            </w:r>
          </w:p>
        </w:tc>
        <w:tc>
          <w:tcPr>
            <w:tcW w:w="1488" w:type="dxa"/>
            <w:shd w:val="clear" w:color="auto" w:fill="F2F2F2" w:themeFill="background1" w:themeFillShade="F2"/>
            <w:tcMar>
              <w:top w:w="15" w:type="dxa"/>
              <w:left w:w="15" w:type="dxa"/>
              <w:bottom w:w="0" w:type="dxa"/>
              <w:right w:w="15" w:type="dxa"/>
            </w:tcMar>
            <w:vAlign w:val="center"/>
            <w:hideMark/>
          </w:tcPr>
          <w:p w14:paraId="104B097D" w14:textId="77777777" w:rsidR="00714AF2" w:rsidRPr="00FA29FA" w:rsidRDefault="00714AF2" w:rsidP="00991CA9">
            <w:pPr>
              <w:pStyle w:val="ExhibitText"/>
              <w:ind w:right="288"/>
              <w:jc w:val="right"/>
              <w:rPr>
                <w:sz w:val="18"/>
                <w:szCs w:val="18"/>
                <w:lang w:val="en-GB"/>
              </w:rPr>
            </w:pPr>
            <w:r w:rsidRPr="00FA29FA">
              <w:rPr>
                <w:sz w:val="18"/>
                <w:szCs w:val="18"/>
                <w:lang w:val="en-GB"/>
              </w:rPr>
              <w:t>2.15%</w:t>
            </w:r>
          </w:p>
        </w:tc>
      </w:tr>
      <w:tr w:rsidR="00714AF2" w:rsidRPr="00FA29FA" w14:paraId="648DA93B" w14:textId="77777777" w:rsidTr="0091456A">
        <w:trPr>
          <w:trHeight w:val="288"/>
          <w:tblHeader/>
        </w:trPr>
        <w:tc>
          <w:tcPr>
            <w:tcW w:w="2970" w:type="dxa"/>
            <w:tcBorders>
              <w:bottom w:val="nil"/>
            </w:tcBorders>
            <w:shd w:val="clear" w:color="auto" w:fill="auto"/>
            <w:tcMar>
              <w:top w:w="15" w:type="dxa"/>
              <w:left w:w="15" w:type="dxa"/>
              <w:bottom w:w="0" w:type="dxa"/>
              <w:right w:w="15" w:type="dxa"/>
            </w:tcMar>
            <w:vAlign w:val="center"/>
            <w:hideMark/>
          </w:tcPr>
          <w:p w14:paraId="09CD0280" w14:textId="77777777" w:rsidR="00714AF2" w:rsidRPr="00FA29FA" w:rsidRDefault="00714AF2" w:rsidP="00991CA9">
            <w:pPr>
              <w:pStyle w:val="ExhibitText"/>
              <w:rPr>
                <w:sz w:val="18"/>
                <w:szCs w:val="18"/>
                <w:lang w:val="en-GB"/>
              </w:rPr>
            </w:pPr>
            <w:r w:rsidRPr="00FA29FA">
              <w:rPr>
                <w:sz w:val="18"/>
                <w:szCs w:val="18"/>
                <w:lang w:val="en-GB"/>
              </w:rPr>
              <w:t>COFIPA</w:t>
            </w:r>
          </w:p>
        </w:tc>
        <w:tc>
          <w:tcPr>
            <w:tcW w:w="1926" w:type="dxa"/>
            <w:tcBorders>
              <w:bottom w:val="nil"/>
            </w:tcBorders>
            <w:shd w:val="clear" w:color="auto" w:fill="auto"/>
            <w:tcMar>
              <w:top w:w="15" w:type="dxa"/>
              <w:left w:w="15" w:type="dxa"/>
              <w:bottom w:w="0" w:type="dxa"/>
              <w:right w:w="15" w:type="dxa"/>
            </w:tcMar>
            <w:vAlign w:val="center"/>
            <w:hideMark/>
          </w:tcPr>
          <w:p w14:paraId="18E59695" w14:textId="77777777" w:rsidR="00714AF2" w:rsidRPr="00FA29FA" w:rsidRDefault="00714AF2" w:rsidP="00991CA9">
            <w:pPr>
              <w:pStyle w:val="ExhibitText"/>
              <w:jc w:val="right"/>
              <w:rPr>
                <w:sz w:val="18"/>
                <w:szCs w:val="18"/>
                <w:lang w:val="en-GB"/>
              </w:rPr>
            </w:pPr>
            <w:r w:rsidRPr="00FA29FA">
              <w:rPr>
                <w:sz w:val="18"/>
                <w:szCs w:val="18"/>
                <w:lang w:val="en-GB"/>
              </w:rPr>
              <w:t xml:space="preserve">                       -   </w:t>
            </w:r>
          </w:p>
        </w:tc>
        <w:tc>
          <w:tcPr>
            <w:tcW w:w="1134" w:type="dxa"/>
            <w:tcBorders>
              <w:bottom w:val="nil"/>
            </w:tcBorders>
            <w:shd w:val="clear" w:color="auto" w:fill="auto"/>
            <w:tcMar>
              <w:top w:w="15" w:type="dxa"/>
              <w:left w:w="15" w:type="dxa"/>
              <w:bottom w:w="0" w:type="dxa"/>
              <w:right w:w="15" w:type="dxa"/>
            </w:tcMar>
            <w:vAlign w:val="center"/>
            <w:hideMark/>
          </w:tcPr>
          <w:p w14:paraId="3ACEA0CE" w14:textId="77777777" w:rsidR="00714AF2" w:rsidRPr="00FA29FA" w:rsidRDefault="00714AF2" w:rsidP="00991CA9">
            <w:pPr>
              <w:pStyle w:val="ExhibitText"/>
              <w:ind w:right="288"/>
              <w:jc w:val="right"/>
              <w:rPr>
                <w:sz w:val="18"/>
                <w:szCs w:val="18"/>
                <w:lang w:val="en-GB"/>
              </w:rPr>
            </w:pPr>
            <w:r w:rsidRPr="00FA29FA">
              <w:rPr>
                <w:sz w:val="18"/>
                <w:szCs w:val="18"/>
                <w:lang w:val="en-GB"/>
              </w:rPr>
              <w:t>0.00%</w:t>
            </w:r>
          </w:p>
        </w:tc>
        <w:tc>
          <w:tcPr>
            <w:tcW w:w="1842" w:type="dxa"/>
            <w:tcBorders>
              <w:bottom w:val="nil"/>
            </w:tcBorders>
            <w:shd w:val="clear" w:color="auto" w:fill="F2F2F2" w:themeFill="background1" w:themeFillShade="F2"/>
            <w:tcMar>
              <w:top w:w="15" w:type="dxa"/>
              <w:left w:w="15" w:type="dxa"/>
              <w:bottom w:w="0" w:type="dxa"/>
              <w:right w:w="15" w:type="dxa"/>
            </w:tcMar>
            <w:vAlign w:val="center"/>
            <w:hideMark/>
          </w:tcPr>
          <w:p w14:paraId="23FBCE0A" w14:textId="77777777" w:rsidR="00714AF2" w:rsidRPr="00FA29FA" w:rsidRDefault="00714AF2" w:rsidP="00991CA9">
            <w:pPr>
              <w:pStyle w:val="ExhibitText"/>
              <w:jc w:val="right"/>
              <w:rPr>
                <w:sz w:val="18"/>
                <w:szCs w:val="18"/>
                <w:lang w:val="en-GB"/>
              </w:rPr>
            </w:pPr>
            <w:r w:rsidRPr="00FA29FA">
              <w:rPr>
                <w:sz w:val="18"/>
                <w:szCs w:val="18"/>
                <w:lang w:val="en-GB"/>
              </w:rPr>
              <w:t xml:space="preserve">          8,518,500 </w:t>
            </w:r>
          </w:p>
        </w:tc>
        <w:tc>
          <w:tcPr>
            <w:tcW w:w="1488" w:type="dxa"/>
            <w:tcBorders>
              <w:bottom w:val="nil"/>
            </w:tcBorders>
            <w:shd w:val="clear" w:color="auto" w:fill="F2F2F2" w:themeFill="background1" w:themeFillShade="F2"/>
            <w:tcMar>
              <w:top w:w="15" w:type="dxa"/>
              <w:left w:w="15" w:type="dxa"/>
              <w:bottom w:w="0" w:type="dxa"/>
              <w:right w:w="15" w:type="dxa"/>
            </w:tcMar>
            <w:vAlign w:val="center"/>
            <w:hideMark/>
          </w:tcPr>
          <w:p w14:paraId="0E1C08E3" w14:textId="77777777" w:rsidR="00714AF2" w:rsidRPr="00FA29FA" w:rsidRDefault="00714AF2" w:rsidP="00991CA9">
            <w:pPr>
              <w:pStyle w:val="ExhibitText"/>
              <w:ind w:right="288"/>
              <w:jc w:val="right"/>
              <w:rPr>
                <w:sz w:val="18"/>
                <w:szCs w:val="18"/>
                <w:lang w:val="en-GB"/>
              </w:rPr>
            </w:pPr>
            <w:r w:rsidRPr="00FA29FA">
              <w:rPr>
                <w:sz w:val="18"/>
                <w:szCs w:val="18"/>
                <w:lang w:val="en-GB"/>
              </w:rPr>
              <w:t>2.91%</w:t>
            </w:r>
          </w:p>
        </w:tc>
      </w:tr>
      <w:tr w:rsidR="00714AF2" w:rsidRPr="00FA29FA" w14:paraId="51DD8A15" w14:textId="77777777" w:rsidTr="0091456A">
        <w:trPr>
          <w:trHeight w:val="288"/>
          <w:tblHeader/>
        </w:trPr>
        <w:tc>
          <w:tcPr>
            <w:tcW w:w="2970" w:type="dxa"/>
            <w:tcBorders>
              <w:top w:val="nil"/>
              <w:bottom w:val="single" w:sz="4" w:space="0" w:color="auto"/>
            </w:tcBorders>
            <w:shd w:val="clear" w:color="auto" w:fill="auto"/>
            <w:tcMar>
              <w:top w:w="15" w:type="dxa"/>
              <w:left w:w="15" w:type="dxa"/>
              <w:bottom w:w="0" w:type="dxa"/>
              <w:right w:w="15" w:type="dxa"/>
            </w:tcMar>
            <w:vAlign w:val="center"/>
            <w:hideMark/>
          </w:tcPr>
          <w:p w14:paraId="29A22230" w14:textId="77777777" w:rsidR="00714AF2" w:rsidRPr="00FA29FA" w:rsidRDefault="00714AF2" w:rsidP="00991CA9">
            <w:pPr>
              <w:pStyle w:val="ExhibitText"/>
              <w:rPr>
                <w:sz w:val="18"/>
                <w:szCs w:val="18"/>
                <w:lang w:val="en-GB"/>
              </w:rPr>
            </w:pPr>
            <w:r w:rsidRPr="00FA29FA">
              <w:rPr>
                <w:sz w:val="18"/>
                <w:szCs w:val="18"/>
                <w:lang w:val="en-GB"/>
              </w:rPr>
              <w:t>African Tiger Mutual Fund</w:t>
            </w:r>
          </w:p>
        </w:tc>
        <w:tc>
          <w:tcPr>
            <w:tcW w:w="1926" w:type="dxa"/>
            <w:tcBorders>
              <w:top w:val="nil"/>
              <w:bottom w:val="single" w:sz="4" w:space="0" w:color="auto"/>
            </w:tcBorders>
            <w:shd w:val="clear" w:color="auto" w:fill="auto"/>
            <w:tcMar>
              <w:top w:w="15" w:type="dxa"/>
              <w:left w:w="15" w:type="dxa"/>
              <w:bottom w:w="0" w:type="dxa"/>
              <w:right w:w="15" w:type="dxa"/>
            </w:tcMar>
            <w:vAlign w:val="center"/>
            <w:hideMark/>
          </w:tcPr>
          <w:p w14:paraId="4C06588A" w14:textId="77777777" w:rsidR="00714AF2" w:rsidRPr="00FA29FA" w:rsidRDefault="00714AF2" w:rsidP="00991CA9">
            <w:pPr>
              <w:pStyle w:val="ExhibitText"/>
              <w:jc w:val="right"/>
              <w:rPr>
                <w:sz w:val="18"/>
                <w:szCs w:val="18"/>
                <w:lang w:val="en-GB"/>
              </w:rPr>
            </w:pPr>
            <w:r w:rsidRPr="00FA29FA">
              <w:rPr>
                <w:sz w:val="18"/>
                <w:szCs w:val="18"/>
                <w:lang w:val="en-GB"/>
              </w:rPr>
              <w:t xml:space="preserve">                       -   </w:t>
            </w:r>
          </w:p>
        </w:tc>
        <w:tc>
          <w:tcPr>
            <w:tcW w:w="1134" w:type="dxa"/>
            <w:tcBorders>
              <w:top w:val="nil"/>
              <w:bottom w:val="single" w:sz="4" w:space="0" w:color="auto"/>
            </w:tcBorders>
            <w:shd w:val="clear" w:color="auto" w:fill="auto"/>
            <w:tcMar>
              <w:top w:w="15" w:type="dxa"/>
              <w:left w:w="15" w:type="dxa"/>
              <w:bottom w:w="0" w:type="dxa"/>
              <w:right w:w="15" w:type="dxa"/>
            </w:tcMar>
            <w:vAlign w:val="center"/>
            <w:hideMark/>
          </w:tcPr>
          <w:p w14:paraId="2A7F7C74" w14:textId="77777777" w:rsidR="00714AF2" w:rsidRPr="00FA29FA" w:rsidRDefault="00714AF2" w:rsidP="00991CA9">
            <w:pPr>
              <w:pStyle w:val="ExhibitText"/>
              <w:ind w:right="288"/>
              <w:jc w:val="right"/>
              <w:rPr>
                <w:sz w:val="18"/>
                <w:szCs w:val="18"/>
                <w:lang w:val="en-GB"/>
              </w:rPr>
            </w:pPr>
            <w:r w:rsidRPr="00FA29FA">
              <w:rPr>
                <w:sz w:val="18"/>
                <w:szCs w:val="18"/>
                <w:lang w:val="en-GB"/>
              </w:rPr>
              <w:t>0.00%</w:t>
            </w:r>
          </w:p>
        </w:tc>
        <w:tc>
          <w:tcPr>
            <w:tcW w:w="1842" w:type="dxa"/>
            <w:tcBorders>
              <w:top w:val="nil"/>
              <w:bottom w:val="single" w:sz="4" w:space="0" w:color="auto"/>
            </w:tcBorders>
            <w:shd w:val="clear" w:color="auto" w:fill="F2F2F2" w:themeFill="background1" w:themeFillShade="F2"/>
            <w:tcMar>
              <w:top w:w="15" w:type="dxa"/>
              <w:left w:w="15" w:type="dxa"/>
              <w:bottom w:w="0" w:type="dxa"/>
              <w:right w:w="15" w:type="dxa"/>
            </w:tcMar>
            <w:vAlign w:val="center"/>
            <w:hideMark/>
          </w:tcPr>
          <w:p w14:paraId="77D62B34" w14:textId="77777777" w:rsidR="00714AF2" w:rsidRPr="00FA29FA" w:rsidRDefault="00714AF2" w:rsidP="00991CA9">
            <w:pPr>
              <w:pStyle w:val="ExhibitText"/>
              <w:jc w:val="right"/>
              <w:rPr>
                <w:sz w:val="18"/>
                <w:szCs w:val="18"/>
                <w:lang w:val="en-GB"/>
              </w:rPr>
            </w:pPr>
            <w:r w:rsidRPr="00FA29FA">
              <w:rPr>
                <w:sz w:val="18"/>
                <w:szCs w:val="18"/>
                <w:lang w:val="en-GB"/>
              </w:rPr>
              <w:t xml:space="preserve">          3,786,000 </w:t>
            </w:r>
          </w:p>
        </w:tc>
        <w:tc>
          <w:tcPr>
            <w:tcW w:w="1488" w:type="dxa"/>
            <w:tcBorders>
              <w:top w:val="nil"/>
              <w:bottom w:val="single" w:sz="4" w:space="0" w:color="auto"/>
            </w:tcBorders>
            <w:shd w:val="clear" w:color="auto" w:fill="F2F2F2" w:themeFill="background1" w:themeFillShade="F2"/>
            <w:tcMar>
              <w:top w:w="15" w:type="dxa"/>
              <w:left w:w="15" w:type="dxa"/>
              <w:bottom w:w="0" w:type="dxa"/>
              <w:right w:w="15" w:type="dxa"/>
            </w:tcMar>
            <w:vAlign w:val="center"/>
            <w:hideMark/>
          </w:tcPr>
          <w:p w14:paraId="6E446B84" w14:textId="77777777" w:rsidR="00714AF2" w:rsidRPr="00FA29FA" w:rsidRDefault="00714AF2" w:rsidP="00991CA9">
            <w:pPr>
              <w:pStyle w:val="ExhibitText"/>
              <w:ind w:right="288"/>
              <w:jc w:val="right"/>
              <w:rPr>
                <w:sz w:val="18"/>
                <w:szCs w:val="18"/>
                <w:lang w:val="en-GB"/>
              </w:rPr>
            </w:pPr>
            <w:r w:rsidRPr="00FA29FA">
              <w:rPr>
                <w:sz w:val="18"/>
                <w:szCs w:val="18"/>
                <w:lang w:val="en-GB"/>
              </w:rPr>
              <w:t>1.29%</w:t>
            </w:r>
          </w:p>
        </w:tc>
      </w:tr>
      <w:tr w:rsidR="00714AF2" w:rsidRPr="00FA29FA" w14:paraId="3703E221" w14:textId="77777777" w:rsidTr="0091456A">
        <w:trPr>
          <w:trHeight w:val="288"/>
          <w:tblHeader/>
        </w:trPr>
        <w:tc>
          <w:tcPr>
            <w:tcW w:w="2970" w:type="dxa"/>
            <w:tcBorders>
              <w:top w:val="single" w:sz="4" w:space="0" w:color="auto"/>
            </w:tcBorders>
            <w:shd w:val="clear" w:color="auto" w:fill="auto"/>
            <w:tcMar>
              <w:top w:w="15" w:type="dxa"/>
              <w:left w:w="15" w:type="dxa"/>
              <w:bottom w:w="0" w:type="dxa"/>
              <w:right w:w="15" w:type="dxa"/>
            </w:tcMar>
            <w:vAlign w:val="center"/>
            <w:hideMark/>
          </w:tcPr>
          <w:p w14:paraId="3B072D75" w14:textId="77777777" w:rsidR="00714AF2" w:rsidRPr="00FA29FA" w:rsidRDefault="00714AF2" w:rsidP="00991CA9">
            <w:pPr>
              <w:pStyle w:val="ExhibitText"/>
              <w:rPr>
                <w:sz w:val="18"/>
                <w:szCs w:val="18"/>
                <w:lang w:val="en-GB"/>
              </w:rPr>
            </w:pPr>
            <w:r w:rsidRPr="00FA29FA">
              <w:rPr>
                <w:sz w:val="18"/>
                <w:szCs w:val="18"/>
                <w:lang w:val="en-GB"/>
              </w:rPr>
              <w:t>TOTAL</w:t>
            </w:r>
          </w:p>
        </w:tc>
        <w:tc>
          <w:tcPr>
            <w:tcW w:w="1926" w:type="dxa"/>
            <w:tcBorders>
              <w:top w:val="single" w:sz="4" w:space="0" w:color="auto"/>
            </w:tcBorders>
            <w:shd w:val="clear" w:color="auto" w:fill="auto"/>
            <w:tcMar>
              <w:top w:w="15" w:type="dxa"/>
              <w:left w:w="15" w:type="dxa"/>
              <w:bottom w:w="0" w:type="dxa"/>
              <w:right w:w="15" w:type="dxa"/>
            </w:tcMar>
            <w:vAlign w:val="center"/>
            <w:hideMark/>
          </w:tcPr>
          <w:p w14:paraId="1D67B593" w14:textId="77777777" w:rsidR="00714AF2" w:rsidRPr="00FA29FA" w:rsidRDefault="00714AF2" w:rsidP="00991CA9">
            <w:pPr>
              <w:pStyle w:val="ExhibitText"/>
              <w:jc w:val="right"/>
              <w:rPr>
                <w:sz w:val="18"/>
                <w:szCs w:val="18"/>
                <w:lang w:val="en-GB"/>
              </w:rPr>
            </w:pPr>
            <w:r w:rsidRPr="00FA29FA">
              <w:rPr>
                <w:sz w:val="18"/>
                <w:szCs w:val="18"/>
                <w:lang w:val="en-GB"/>
              </w:rPr>
              <w:t xml:space="preserve">   230,128,372 </w:t>
            </w:r>
          </w:p>
        </w:tc>
        <w:tc>
          <w:tcPr>
            <w:tcW w:w="1134" w:type="dxa"/>
            <w:tcBorders>
              <w:top w:val="single" w:sz="4" w:space="0" w:color="auto"/>
            </w:tcBorders>
            <w:shd w:val="clear" w:color="auto" w:fill="auto"/>
            <w:tcMar>
              <w:top w:w="15" w:type="dxa"/>
              <w:left w:w="15" w:type="dxa"/>
              <w:bottom w:w="0" w:type="dxa"/>
              <w:right w:w="15" w:type="dxa"/>
            </w:tcMar>
            <w:vAlign w:val="center"/>
            <w:hideMark/>
          </w:tcPr>
          <w:p w14:paraId="2EAD9A9A" w14:textId="77777777" w:rsidR="00714AF2" w:rsidRPr="00FA29FA" w:rsidRDefault="00714AF2" w:rsidP="00991CA9">
            <w:pPr>
              <w:pStyle w:val="ExhibitText"/>
              <w:ind w:right="288"/>
              <w:jc w:val="right"/>
              <w:rPr>
                <w:sz w:val="18"/>
                <w:szCs w:val="18"/>
                <w:lang w:val="en-GB"/>
              </w:rPr>
            </w:pPr>
            <w:r w:rsidRPr="00FA29FA">
              <w:rPr>
                <w:sz w:val="18"/>
                <w:szCs w:val="18"/>
                <w:lang w:val="en-GB"/>
              </w:rPr>
              <w:t>100.00%</w:t>
            </w:r>
          </w:p>
        </w:tc>
        <w:tc>
          <w:tcPr>
            <w:tcW w:w="1842" w:type="dxa"/>
            <w:tcBorders>
              <w:top w:val="single" w:sz="4" w:space="0" w:color="auto"/>
            </w:tcBorders>
            <w:shd w:val="clear" w:color="auto" w:fill="F2F2F2" w:themeFill="background1" w:themeFillShade="F2"/>
            <w:tcMar>
              <w:top w:w="15" w:type="dxa"/>
              <w:left w:w="15" w:type="dxa"/>
              <w:bottom w:w="0" w:type="dxa"/>
              <w:right w:w="15" w:type="dxa"/>
            </w:tcMar>
            <w:vAlign w:val="center"/>
            <w:hideMark/>
          </w:tcPr>
          <w:p w14:paraId="5510C363" w14:textId="77777777" w:rsidR="00714AF2" w:rsidRPr="00FA29FA" w:rsidRDefault="00714AF2" w:rsidP="00991CA9">
            <w:pPr>
              <w:pStyle w:val="ExhibitText"/>
              <w:jc w:val="right"/>
              <w:rPr>
                <w:sz w:val="18"/>
                <w:szCs w:val="18"/>
                <w:lang w:val="en-GB"/>
              </w:rPr>
            </w:pPr>
            <w:r w:rsidRPr="00FA29FA">
              <w:rPr>
                <w:sz w:val="18"/>
                <w:szCs w:val="18"/>
                <w:lang w:val="en-GB"/>
              </w:rPr>
              <w:t xml:space="preserve">   293,228,372 </w:t>
            </w:r>
          </w:p>
        </w:tc>
        <w:tc>
          <w:tcPr>
            <w:tcW w:w="1488" w:type="dxa"/>
            <w:tcBorders>
              <w:top w:val="single" w:sz="4" w:space="0" w:color="auto"/>
            </w:tcBorders>
            <w:shd w:val="clear" w:color="auto" w:fill="F2F2F2" w:themeFill="background1" w:themeFillShade="F2"/>
            <w:tcMar>
              <w:top w:w="15" w:type="dxa"/>
              <w:left w:w="15" w:type="dxa"/>
              <w:bottom w:w="0" w:type="dxa"/>
              <w:right w:w="15" w:type="dxa"/>
            </w:tcMar>
            <w:vAlign w:val="center"/>
            <w:hideMark/>
          </w:tcPr>
          <w:p w14:paraId="7F2484B4" w14:textId="77777777" w:rsidR="00714AF2" w:rsidRPr="00FA29FA" w:rsidRDefault="00714AF2" w:rsidP="00991CA9">
            <w:pPr>
              <w:pStyle w:val="ExhibitText"/>
              <w:ind w:right="288"/>
              <w:jc w:val="right"/>
              <w:rPr>
                <w:sz w:val="18"/>
                <w:szCs w:val="18"/>
                <w:lang w:val="en-GB"/>
              </w:rPr>
            </w:pPr>
            <w:r w:rsidRPr="00FA29FA">
              <w:rPr>
                <w:sz w:val="18"/>
                <w:szCs w:val="18"/>
                <w:lang w:val="en-GB"/>
              </w:rPr>
              <w:t>100.00%</w:t>
            </w:r>
          </w:p>
        </w:tc>
      </w:tr>
    </w:tbl>
    <w:p w14:paraId="2AEFDCD7" w14:textId="77777777" w:rsidR="00767017" w:rsidRDefault="00767017">
      <w:pPr>
        <w:spacing w:after="200" w:line="276" w:lineRule="auto"/>
        <w:rPr>
          <w:lang w:val="en-GB"/>
        </w:rPr>
      </w:pPr>
      <w:r>
        <w:rPr>
          <w:lang w:val="en-GB"/>
        </w:rPr>
        <w:br w:type="page"/>
      </w:r>
    </w:p>
    <w:p w14:paraId="42ABC7B0" w14:textId="236CC64E" w:rsidR="00714AF2" w:rsidRPr="00FA29FA" w:rsidRDefault="00714AF2" w:rsidP="00A35569">
      <w:pPr>
        <w:pStyle w:val="ExhibitHeading"/>
        <w:keepNext/>
        <w:keepLines/>
        <w:rPr>
          <w:lang w:val="en-GB"/>
        </w:rPr>
      </w:pPr>
      <w:r w:rsidRPr="00FA29FA">
        <w:rPr>
          <w:lang w:val="en-GB"/>
        </w:rPr>
        <w:lastRenderedPageBreak/>
        <w:t>Exhibit 2 (continued)</w:t>
      </w:r>
    </w:p>
    <w:p w14:paraId="53188453" w14:textId="77777777" w:rsidR="00714AF2" w:rsidRPr="00FA29FA" w:rsidRDefault="00714AF2" w:rsidP="00ED73C4">
      <w:pPr>
        <w:pStyle w:val="ExhibitText"/>
        <w:rPr>
          <w:lang w:val="en-GB"/>
        </w:rPr>
      </w:pPr>
    </w:p>
    <w:p w14:paraId="6E9958BD" w14:textId="48C8BABE" w:rsidR="00714AF2" w:rsidRDefault="00714AF2" w:rsidP="00A35569">
      <w:pPr>
        <w:pStyle w:val="Casehead2"/>
        <w:keepLines/>
        <w:rPr>
          <w:lang w:val="en-GB"/>
        </w:rPr>
      </w:pPr>
      <w:r w:rsidRPr="00FA29FA">
        <w:rPr>
          <w:lang w:val="en-GB"/>
        </w:rPr>
        <w:t xml:space="preserve">The New </w:t>
      </w:r>
      <w:r w:rsidR="00B8694C">
        <w:rPr>
          <w:lang w:val="en-GB"/>
        </w:rPr>
        <w:t>Ecobank</w:t>
      </w:r>
      <w:r w:rsidRPr="00FA29FA">
        <w:rPr>
          <w:lang w:val="en-GB"/>
        </w:rPr>
        <w:t>: Snapshot (as of June 30, 2011</w:t>
      </w:r>
      <w:r w:rsidR="00783C05">
        <w:rPr>
          <w:lang w:val="en-GB"/>
        </w:rPr>
        <w:t>, in GH¢</w:t>
      </w:r>
      <w:r w:rsidRPr="00FA29FA">
        <w:rPr>
          <w:lang w:val="en-GB"/>
        </w:rPr>
        <w:t>)</w:t>
      </w:r>
    </w:p>
    <w:p w14:paraId="0915EFF6" w14:textId="77777777" w:rsidR="00767017" w:rsidRPr="00767017" w:rsidRDefault="00767017" w:rsidP="00ED73C4">
      <w:pPr>
        <w:pStyle w:val="BodyTextMain"/>
        <w:rPr>
          <w:lang w:val="en-GB"/>
        </w:rPr>
      </w:pPr>
    </w:p>
    <w:tbl>
      <w:tblPr>
        <w:tblW w:w="5000" w:type="pct"/>
        <w:tblBorders>
          <w:top w:val="single" w:sz="4" w:space="0" w:color="auto"/>
          <w:bottom w:val="single" w:sz="4" w:space="0" w:color="auto"/>
        </w:tblBorders>
        <w:tblLayout w:type="fixed"/>
        <w:tblCellMar>
          <w:left w:w="0" w:type="dxa"/>
          <w:right w:w="0" w:type="dxa"/>
        </w:tblCellMar>
        <w:tblLook w:val="0600" w:firstRow="0" w:lastRow="0" w:firstColumn="0" w:lastColumn="0" w:noHBand="1" w:noVBand="1"/>
        <w:tblCaption w:val="The New Ecobank: Snapshot (as of June 30, 2011, in GH¢)"/>
        <w:tblDescription w:val="Total assets, market share, rank, deposits, market share percent, number of branches, profit before tax."/>
      </w:tblPr>
      <w:tblGrid>
        <w:gridCol w:w="1350"/>
        <w:gridCol w:w="990"/>
        <w:gridCol w:w="990"/>
        <w:gridCol w:w="540"/>
        <w:gridCol w:w="945"/>
        <w:gridCol w:w="1125"/>
        <w:gridCol w:w="540"/>
        <w:gridCol w:w="900"/>
        <w:gridCol w:w="540"/>
        <w:gridCol w:w="900"/>
        <w:gridCol w:w="540"/>
      </w:tblGrid>
      <w:tr w:rsidR="00ED73C4" w:rsidRPr="00FA29FA" w14:paraId="672E23E3" w14:textId="77777777" w:rsidTr="0091456A">
        <w:trPr>
          <w:trHeight w:val="288"/>
          <w:tblHeader/>
        </w:trPr>
        <w:tc>
          <w:tcPr>
            <w:tcW w:w="1350" w:type="dxa"/>
            <w:tcBorders>
              <w:top w:val="single" w:sz="4" w:space="0" w:color="auto"/>
              <w:bottom w:val="single" w:sz="12" w:space="0" w:color="auto"/>
            </w:tcBorders>
            <w:shd w:val="clear" w:color="auto" w:fill="auto"/>
            <w:tcMar>
              <w:top w:w="15" w:type="dxa"/>
              <w:left w:w="15" w:type="dxa"/>
              <w:bottom w:w="0" w:type="dxa"/>
              <w:right w:w="15" w:type="dxa"/>
            </w:tcMar>
            <w:vAlign w:val="center"/>
            <w:hideMark/>
          </w:tcPr>
          <w:p w14:paraId="4D9E6A58" w14:textId="77777777" w:rsidR="00714AF2" w:rsidRPr="00FA29FA" w:rsidRDefault="00714AF2" w:rsidP="00A35569">
            <w:pPr>
              <w:pStyle w:val="ExhibitText"/>
              <w:keepNext/>
              <w:keepLines/>
              <w:jc w:val="center"/>
              <w:rPr>
                <w:b/>
                <w:bCs/>
                <w:sz w:val="18"/>
                <w:szCs w:val="18"/>
                <w:lang w:val="en-GB"/>
              </w:rPr>
            </w:pPr>
          </w:p>
        </w:tc>
        <w:tc>
          <w:tcPr>
            <w:tcW w:w="990" w:type="dxa"/>
            <w:tcBorders>
              <w:top w:val="single" w:sz="4" w:space="0" w:color="auto"/>
              <w:bottom w:val="single" w:sz="12" w:space="0" w:color="auto"/>
            </w:tcBorders>
            <w:shd w:val="clear" w:color="auto" w:fill="auto"/>
            <w:tcMar>
              <w:top w:w="15" w:type="dxa"/>
              <w:left w:w="15" w:type="dxa"/>
              <w:bottom w:w="0" w:type="dxa"/>
              <w:right w:w="15" w:type="dxa"/>
            </w:tcMar>
            <w:vAlign w:val="center"/>
            <w:hideMark/>
          </w:tcPr>
          <w:p w14:paraId="516299D2" w14:textId="77777777" w:rsidR="00714AF2" w:rsidRPr="00FA29FA" w:rsidRDefault="00714AF2" w:rsidP="00A35569">
            <w:pPr>
              <w:pStyle w:val="ExhibitText"/>
              <w:keepNext/>
              <w:keepLines/>
              <w:jc w:val="center"/>
              <w:rPr>
                <w:b/>
                <w:bCs/>
                <w:sz w:val="18"/>
                <w:szCs w:val="18"/>
                <w:lang w:val="en-GB"/>
              </w:rPr>
            </w:pPr>
            <w:r w:rsidRPr="00FA29FA">
              <w:rPr>
                <w:b/>
                <w:bCs/>
                <w:sz w:val="18"/>
                <w:szCs w:val="18"/>
                <w:lang w:val="en-GB"/>
              </w:rPr>
              <w:t>Total Assets</w:t>
            </w:r>
          </w:p>
        </w:tc>
        <w:tc>
          <w:tcPr>
            <w:tcW w:w="990" w:type="dxa"/>
            <w:tcBorders>
              <w:top w:val="single" w:sz="4" w:space="0" w:color="auto"/>
              <w:bottom w:val="single" w:sz="12" w:space="0" w:color="auto"/>
            </w:tcBorders>
            <w:shd w:val="clear" w:color="auto" w:fill="auto"/>
            <w:tcMar>
              <w:top w:w="15" w:type="dxa"/>
              <w:left w:w="15" w:type="dxa"/>
              <w:bottom w:w="0" w:type="dxa"/>
              <w:right w:w="15" w:type="dxa"/>
            </w:tcMar>
            <w:vAlign w:val="center"/>
            <w:hideMark/>
          </w:tcPr>
          <w:p w14:paraId="4EB3DDB0" w14:textId="77777777" w:rsidR="00714AF2" w:rsidRPr="00FA29FA" w:rsidRDefault="00714AF2" w:rsidP="00A35569">
            <w:pPr>
              <w:pStyle w:val="ExhibitText"/>
              <w:keepNext/>
              <w:keepLines/>
              <w:jc w:val="center"/>
              <w:rPr>
                <w:b/>
                <w:bCs/>
                <w:sz w:val="18"/>
                <w:szCs w:val="18"/>
                <w:lang w:val="en-GB"/>
              </w:rPr>
            </w:pPr>
            <w:r w:rsidRPr="00FA29FA">
              <w:rPr>
                <w:b/>
                <w:bCs/>
                <w:sz w:val="18"/>
                <w:szCs w:val="18"/>
                <w:lang w:val="en-GB"/>
              </w:rPr>
              <w:t>Market Share</w:t>
            </w:r>
          </w:p>
        </w:tc>
        <w:tc>
          <w:tcPr>
            <w:tcW w:w="540" w:type="dxa"/>
            <w:tcBorders>
              <w:top w:val="single" w:sz="4" w:space="0" w:color="auto"/>
              <w:bottom w:val="single" w:sz="12" w:space="0" w:color="auto"/>
            </w:tcBorders>
            <w:shd w:val="clear" w:color="auto" w:fill="D9D9D9" w:themeFill="background1" w:themeFillShade="D9"/>
            <w:tcMar>
              <w:top w:w="15" w:type="dxa"/>
              <w:left w:w="15" w:type="dxa"/>
              <w:bottom w:w="0" w:type="dxa"/>
              <w:right w:w="15" w:type="dxa"/>
            </w:tcMar>
            <w:vAlign w:val="center"/>
            <w:hideMark/>
          </w:tcPr>
          <w:p w14:paraId="654C7EF4" w14:textId="77777777" w:rsidR="00714AF2" w:rsidRPr="00FA29FA" w:rsidRDefault="00714AF2" w:rsidP="00A35569">
            <w:pPr>
              <w:pStyle w:val="ExhibitText"/>
              <w:keepNext/>
              <w:keepLines/>
              <w:jc w:val="center"/>
              <w:rPr>
                <w:b/>
                <w:bCs/>
                <w:sz w:val="18"/>
                <w:szCs w:val="18"/>
                <w:lang w:val="en-GB"/>
              </w:rPr>
            </w:pPr>
            <w:r w:rsidRPr="00FA29FA">
              <w:rPr>
                <w:b/>
                <w:bCs/>
                <w:sz w:val="18"/>
                <w:szCs w:val="18"/>
                <w:lang w:val="en-GB"/>
              </w:rPr>
              <w:t>Rank</w:t>
            </w:r>
          </w:p>
        </w:tc>
        <w:tc>
          <w:tcPr>
            <w:tcW w:w="945" w:type="dxa"/>
            <w:tcBorders>
              <w:top w:val="single" w:sz="4" w:space="0" w:color="auto"/>
              <w:bottom w:val="single" w:sz="12" w:space="0" w:color="auto"/>
            </w:tcBorders>
            <w:shd w:val="clear" w:color="auto" w:fill="auto"/>
            <w:tcMar>
              <w:top w:w="15" w:type="dxa"/>
              <w:left w:w="15" w:type="dxa"/>
              <w:bottom w:w="0" w:type="dxa"/>
              <w:right w:w="15" w:type="dxa"/>
            </w:tcMar>
            <w:vAlign w:val="center"/>
            <w:hideMark/>
          </w:tcPr>
          <w:p w14:paraId="42AF4490" w14:textId="77777777" w:rsidR="00714AF2" w:rsidRPr="00FA29FA" w:rsidRDefault="00714AF2" w:rsidP="00A35569">
            <w:pPr>
              <w:pStyle w:val="ExhibitText"/>
              <w:keepNext/>
              <w:keepLines/>
              <w:jc w:val="center"/>
              <w:rPr>
                <w:b/>
                <w:bCs/>
                <w:sz w:val="18"/>
                <w:szCs w:val="18"/>
                <w:lang w:val="en-GB"/>
              </w:rPr>
            </w:pPr>
            <w:r w:rsidRPr="00FA29FA">
              <w:rPr>
                <w:b/>
                <w:bCs/>
                <w:sz w:val="18"/>
                <w:szCs w:val="18"/>
                <w:lang w:val="en-GB"/>
              </w:rPr>
              <w:t>Deposits</w:t>
            </w:r>
          </w:p>
        </w:tc>
        <w:tc>
          <w:tcPr>
            <w:tcW w:w="1125" w:type="dxa"/>
            <w:tcBorders>
              <w:top w:val="single" w:sz="4" w:space="0" w:color="auto"/>
              <w:bottom w:val="single" w:sz="12" w:space="0" w:color="auto"/>
            </w:tcBorders>
            <w:shd w:val="clear" w:color="auto" w:fill="auto"/>
            <w:tcMar>
              <w:top w:w="15" w:type="dxa"/>
              <w:left w:w="15" w:type="dxa"/>
              <w:bottom w:w="0" w:type="dxa"/>
              <w:right w:w="15" w:type="dxa"/>
            </w:tcMar>
            <w:vAlign w:val="center"/>
            <w:hideMark/>
          </w:tcPr>
          <w:p w14:paraId="58E60DB2" w14:textId="77777777" w:rsidR="00714AF2" w:rsidRPr="00FA29FA" w:rsidRDefault="00714AF2" w:rsidP="00A35569">
            <w:pPr>
              <w:pStyle w:val="ExhibitText"/>
              <w:keepNext/>
              <w:keepLines/>
              <w:jc w:val="center"/>
              <w:rPr>
                <w:b/>
                <w:bCs/>
                <w:sz w:val="18"/>
                <w:szCs w:val="18"/>
                <w:lang w:val="en-GB"/>
              </w:rPr>
            </w:pPr>
            <w:r w:rsidRPr="00FA29FA">
              <w:rPr>
                <w:b/>
                <w:bCs/>
                <w:sz w:val="18"/>
                <w:szCs w:val="18"/>
                <w:lang w:val="en-GB"/>
              </w:rPr>
              <w:t>Market Share</w:t>
            </w:r>
          </w:p>
        </w:tc>
        <w:tc>
          <w:tcPr>
            <w:tcW w:w="540" w:type="dxa"/>
            <w:tcBorders>
              <w:top w:val="single" w:sz="4" w:space="0" w:color="auto"/>
              <w:bottom w:val="single" w:sz="12" w:space="0" w:color="auto"/>
            </w:tcBorders>
            <w:shd w:val="clear" w:color="auto" w:fill="D9D9D9" w:themeFill="background1" w:themeFillShade="D9"/>
            <w:tcMar>
              <w:top w:w="15" w:type="dxa"/>
              <w:left w:w="15" w:type="dxa"/>
              <w:bottom w:w="0" w:type="dxa"/>
              <w:right w:w="15" w:type="dxa"/>
            </w:tcMar>
            <w:vAlign w:val="center"/>
            <w:hideMark/>
          </w:tcPr>
          <w:p w14:paraId="0CA84726" w14:textId="77777777" w:rsidR="00714AF2" w:rsidRPr="00FA29FA" w:rsidRDefault="00714AF2" w:rsidP="00A35569">
            <w:pPr>
              <w:pStyle w:val="ExhibitText"/>
              <w:keepNext/>
              <w:keepLines/>
              <w:jc w:val="center"/>
              <w:rPr>
                <w:b/>
                <w:bCs/>
                <w:sz w:val="18"/>
                <w:szCs w:val="18"/>
                <w:lang w:val="en-GB"/>
              </w:rPr>
            </w:pPr>
            <w:r w:rsidRPr="00FA29FA">
              <w:rPr>
                <w:b/>
                <w:bCs/>
                <w:sz w:val="18"/>
                <w:szCs w:val="18"/>
                <w:lang w:val="en-GB"/>
              </w:rPr>
              <w:t>Rank</w:t>
            </w:r>
          </w:p>
        </w:tc>
        <w:tc>
          <w:tcPr>
            <w:tcW w:w="900" w:type="dxa"/>
            <w:tcBorders>
              <w:top w:val="single" w:sz="4" w:space="0" w:color="auto"/>
              <w:bottom w:val="single" w:sz="12" w:space="0" w:color="auto"/>
            </w:tcBorders>
            <w:shd w:val="clear" w:color="auto" w:fill="auto"/>
            <w:tcMar>
              <w:top w:w="15" w:type="dxa"/>
              <w:left w:w="15" w:type="dxa"/>
              <w:bottom w:w="0" w:type="dxa"/>
              <w:right w:w="15" w:type="dxa"/>
            </w:tcMar>
            <w:vAlign w:val="center"/>
            <w:hideMark/>
          </w:tcPr>
          <w:p w14:paraId="2EBE3C58" w14:textId="77777777" w:rsidR="00714AF2" w:rsidRPr="00FA29FA" w:rsidRDefault="00714AF2" w:rsidP="00A35569">
            <w:pPr>
              <w:pStyle w:val="ExhibitText"/>
              <w:keepNext/>
              <w:keepLines/>
              <w:jc w:val="center"/>
              <w:rPr>
                <w:b/>
                <w:bCs/>
                <w:sz w:val="18"/>
                <w:szCs w:val="18"/>
                <w:lang w:val="en-GB"/>
              </w:rPr>
            </w:pPr>
            <w:r w:rsidRPr="00FA29FA">
              <w:rPr>
                <w:b/>
                <w:bCs/>
                <w:sz w:val="18"/>
                <w:szCs w:val="18"/>
                <w:lang w:val="en-GB"/>
              </w:rPr>
              <w:t>No. of Branches</w:t>
            </w:r>
          </w:p>
        </w:tc>
        <w:tc>
          <w:tcPr>
            <w:tcW w:w="540" w:type="dxa"/>
            <w:tcBorders>
              <w:top w:val="single" w:sz="4" w:space="0" w:color="auto"/>
              <w:bottom w:val="single" w:sz="12" w:space="0" w:color="auto"/>
            </w:tcBorders>
            <w:shd w:val="clear" w:color="auto" w:fill="D9D9D9" w:themeFill="background1" w:themeFillShade="D9"/>
            <w:tcMar>
              <w:top w:w="15" w:type="dxa"/>
              <w:left w:w="15" w:type="dxa"/>
              <w:bottom w:w="0" w:type="dxa"/>
              <w:right w:w="15" w:type="dxa"/>
            </w:tcMar>
            <w:vAlign w:val="center"/>
            <w:hideMark/>
          </w:tcPr>
          <w:p w14:paraId="531DD701" w14:textId="77777777" w:rsidR="00714AF2" w:rsidRPr="00FA29FA" w:rsidRDefault="00714AF2" w:rsidP="00A35569">
            <w:pPr>
              <w:pStyle w:val="ExhibitText"/>
              <w:keepNext/>
              <w:keepLines/>
              <w:jc w:val="center"/>
              <w:rPr>
                <w:b/>
                <w:bCs/>
                <w:sz w:val="18"/>
                <w:szCs w:val="18"/>
                <w:lang w:val="en-GB"/>
              </w:rPr>
            </w:pPr>
            <w:r w:rsidRPr="00FA29FA">
              <w:rPr>
                <w:b/>
                <w:bCs/>
                <w:sz w:val="18"/>
                <w:szCs w:val="18"/>
                <w:lang w:val="en-GB"/>
              </w:rPr>
              <w:t>Rank</w:t>
            </w:r>
          </w:p>
        </w:tc>
        <w:tc>
          <w:tcPr>
            <w:tcW w:w="900" w:type="dxa"/>
            <w:tcBorders>
              <w:top w:val="single" w:sz="4" w:space="0" w:color="auto"/>
              <w:bottom w:val="single" w:sz="12" w:space="0" w:color="auto"/>
            </w:tcBorders>
            <w:shd w:val="clear" w:color="auto" w:fill="auto"/>
            <w:tcMar>
              <w:top w:w="15" w:type="dxa"/>
              <w:left w:w="15" w:type="dxa"/>
              <w:bottom w:w="0" w:type="dxa"/>
              <w:right w:w="15" w:type="dxa"/>
            </w:tcMar>
            <w:vAlign w:val="center"/>
            <w:hideMark/>
          </w:tcPr>
          <w:p w14:paraId="3ACE35CD" w14:textId="77777777" w:rsidR="00714AF2" w:rsidRPr="00FA29FA" w:rsidRDefault="00714AF2" w:rsidP="00A35569">
            <w:pPr>
              <w:pStyle w:val="ExhibitText"/>
              <w:keepNext/>
              <w:keepLines/>
              <w:jc w:val="center"/>
              <w:rPr>
                <w:b/>
                <w:bCs/>
                <w:sz w:val="18"/>
                <w:szCs w:val="18"/>
                <w:lang w:val="en-GB"/>
              </w:rPr>
            </w:pPr>
            <w:r w:rsidRPr="00FA29FA">
              <w:rPr>
                <w:b/>
                <w:bCs/>
                <w:sz w:val="18"/>
                <w:szCs w:val="18"/>
                <w:lang w:val="en-GB"/>
              </w:rPr>
              <w:t>PBT</w:t>
            </w:r>
          </w:p>
        </w:tc>
        <w:tc>
          <w:tcPr>
            <w:tcW w:w="540" w:type="dxa"/>
            <w:tcBorders>
              <w:top w:val="single" w:sz="4" w:space="0" w:color="auto"/>
              <w:bottom w:val="single" w:sz="12" w:space="0" w:color="auto"/>
            </w:tcBorders>
            <w:shd w:val="clear" w:color="auto" w:fill="D9D9D9" w:themeFill="background1" w:themeFillShade="D9"/>
            <w:tcMar>
              <w:top w:w="15" w:type="dxa"/>
              <w:left w:w="15" w:type="dxa"/>
              <w:bottom w:w="0" w:type="dxa"/>
              <w:right w:w="15" w:type="dxa"/>
            </w:tcMar>
            <w:vAlign w:val="center"/>
            <w:hideMark/>
          </w:tcPr>
          <w:p w14:paraId="13F2DDA8" w14:textId="77777777" w:rsidR="00714AF2" w:rsidRPr="00FA29FA" w:rsidRDefault="00714AF2" w:rsidP="00A35569">
            <w:pPr>
              <w:pStyle w:val="ExhibitText"/>
              <w:keepNext/>
              <w:keepLines/>
              <w:jc w:val="center"/>
              <w:rPr>
                <w:b/>
                <w:bCs/>
                <w:sz w:val="18"/>
                <w:szCs w:val="18"/>
                <w:lang w:val="en-GB"/>
              </w:rPr>
            </w:pPr>
            <w:r w:rsidRPr="00FA29FA">
              <w:rPr>
                <w:b/>
                <w:bCs/>
                <w:sz w:val="18"/>
                <w:szCs w:val="18"/>
                <w:lang w:val="en-GB"/>
              </w:rPr>
              <w:t>Rank</w:t>
            </w:r>
          </w:p>
        </w:tc>
      </w:tr>
      <w:tr w:rsidR="00714AF2" w:rsidRPr="00FA29FA" w14:paraId="4406993A" w14:textId="77777777" w:rsidTr="0091456A">
        <w:trPr>
          <w:trHeight w:val="288"/>
          <w:tblHeader/>
        </w:trPr>
        <w:tc>
          <w:tcPr>
            <w:tcW w:w="1350" w:type="dxa"/>
            <w:tcBorders>
              <w:top w:val="single" w:sz="12" w:space="0" w:color="auto"/>
            </w:tcBorders>
            <w:shd w:val="clear" w:color="auto" w:fill="auto"/>
            <w:tcMar>
              <w:top w:w="15" w:type="dxa"/>
              <w:left w:w="15" w:type="dxa"/>
              <w:bottom w:w="0" w:type="dxa"/>
              <w:right w:w="15" w:type="dxa"/>
            </w:tcMar>
            <w:vAlign w:val="center"/>
            <w:hideMark/>
          </w:tcPr>
          <w:p w14:paraId="70239B98" w14:textId="77777777" w:rsidR="00714AF2" w:rsidRPr="00FA29FA" w:rsidRDefault="00714AF2" w:rsidP="00A35569">
            <w:pPr>
              <w:pStyle w:val="ExhibitText"/>
              <w:keepNext/>
              <w:keepLines/>
              <w:rPr>
                <w:sz w:val="18"/>
                <w:szCs w:val="18"/>
                <w:lang w:val="en-GB"/>
              </w:rPr>
            </w:pPr>
            <w:r w:rsidRPr="00FA29FA">
              <w:rPr>
                <w:sz w:val="18"/>
                <w:szCs w:val="18"/>
                <w:lang w:val="en-GB"/>
              </w:rPr>
              <w:t xml:space="preserve">GCB </w:t>
            </w:r>
          </w:p>
        </w:tc>
        <w:tc>
          <w:tcPr>
            <w:tcW w:w="990" w:type="dxa"/>
            <w:tcBorders>
              <w:top w:val="single" w:sz="12" w:space="0" w:color="auto"/>
            </w:tcBorders>
            <w:shd w:val="clear" w:color="auto" w:fill="auto"/>
            <w:tcMar>
              <w:top w:w="15" w:type="dxa"/>
              <w:left w:w="15" w:type="dxa"/>
              <w:bottom w:w="0" w:type="dxa"/>
              <w:right w:w="15" w:type="dxa"/>
            </w:tcMar>
            <w:vAlign w:val="center"/>
            <w:hideMark/>
          </w:tcPr>
          <w:p w14:paraId="21151826" w14:textId="77777777" w:rsidR="00714AF2" w:rsidRPr="00FA29FA" w:rsidRDefault="00714AF2" w:rsidP="00A35569">
            <w:pPr>
              <w:pStyle w:val="ExhibitText"/>
              <w:keepNext/>
              <w:keepLines/>
              <w:jc w:val="right"/>
              <w:rPr>
                <w:sz w:val="18"/>
                <w:szCs w:val="18"/>
                <w:lang w:val="en-GB"/>
              </w:rPr>
            </w:pPr>
            <w:r w:rsidRPr="00FA29FA">
              <w:rPr>
                <w:sz w:val="18"/>
                <w:szCs w:val="18"/>
                <w:lang w:val="en-GB"/>
              </w:rPr>
              <w:t>2,240,478</w:t>
            </w:r>
          </w:p>
        </w:tc>
        <w:tc>
          <w:tcPr>
            <w:tcW w:w="990" w:type="dxa"/>
            <w:tcBorders>
              <w:top w:val="single" w:sz="12" w:space="0" w:color="auto"/>
            </w:tcBorders>
            <w:shd w:val="clear" w:color="auto" w:fill="auto"/>
            <w:tcMar>
              <w:top w:w="15" w:type="dxa"/>
              <w:left w:w="15" w:type="dxa"/>
              <w:bottom w:w="0" w:type="dxa"/>
              <w:right w:w="15" w:type="dxa"/>
            </w:tcMar>
            <w:vAlign w:val="center"/>
            <w:hideMark/>
          </w:tcPr>
          <w:p w14:paraId="414C1C15" w14:textId="77777777" w:rsidR="00714AF2" w:rsidRPr="00FA29FA" w:rsidRDefault="00714AF2" w:rsidP="00A35569">
            <w:pPr>
              <w:pStyle w:val="ExhibitText"/>
              <w:keepNext/>
              <w:keepLines/>
              <w:jc w:val="right"/>
              <w:rPr>
                <w:sz w:val="18"/>
                <w:szCs w:val="18"/>
                <w:lang w:val="en-GB"/>
              </w:rPr>
            </w:pPr>
            <w:r w:rsidRPr="00FA29FA">
              <w:rPr>
                <w:sz w:val="18"/>
                <w:szCs w:val="18"/>
                <w:lang w:val="en-GB"/>
              </w:rPr>
              <w:t>11.30%</w:t>
            </w:r>
          </w:p>
        </w:tc>
        <w:tc>
          <w:tcPr>
            <w:tcW w:w="540" w:type="dxa"/>
            <w:tcBorders>
              <w:top w:val="single" w:sz="12" w:space="0" w:color="auto"/>
            </w:tcBorders>
            <w:shd w:val="clear" w:color="auto" w:fill="D9D9D9" w:themeFill="background1" w:themeFillShade="D9"/>
            <w:tcMar>
              <w:top w:w="15" w:type="dxa"/>
              <w:left w:w="15" w:type="dxa"/>
              <w:bottom w:w="0" w:type="dxa"/>
              <w:right w:w="15" w:type="dxa"/>
            </w:tcMar>
            <w:vAlign w:val="center"/>
            <w:hideMark/>
          </w:tcPr>
          <w:p w14:paraId="1FDE26E6"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1</w:t>
            </w:r>
          </w:p>
        </w:tc>
        <w:tc>
          <w:tcPr>
            <w:tcW w:w="945" w:type="dxa"/>
            <w:tcBorders>
              <w:top w:val="single" w:sz="12" w:space="0" w:color="auto"/>
            </w:tcBorders>
            <w:shd w:val="clear" w:color="auto" w:fill="auto"/>
            <w:tcMar>
              <w:top w:w="15" w:type="dxa"/>
              <w:left w:w="15" w:type="dxa"/>
              <w:bottom w:w="0" w:type="dxa"/>
              <w:right w:w="15" w:type="dxa"/>
            </w:tcMar>
            <w:vAlign w:val="center"/>
            <w:hideMark/>
          </w:tcPr>
          <w:p w14:paraId="28871428" w14:textId="77777777" w:rsidR="00714AF2" w:rsidRPr="00FA29FA" w:rsidRDefault="00714AF2" w:rsidP="00A35569">
            <w:pPr>
              <w:pStyle w:val="ExhibitText"/>
              <w:keepNext/>
              <w:keepLines/>
              <w:jc w:val="right"/>
              <w:rPr>
                <w:sz w:val="18"/>
                <w:szCs w:val="18"/>
                <w:lang w:val="en-GB"/>
              </w:rPr>
            </w:pPr>
            <w:r w:rsidRPr="00FA29FA">
              <w:rPr>
                <w:sz w:val="18"/>
                <w:szCs w:val="18"/>
                <w:lang w:val="en-GB"/>
              </w:rPr>
              <w:t xml:space="preserve">1 750,430 </w:t>
            </w:r>
          </w:p>
        </w:tc>
        <w:tc>
          <w:tcPr>
            <w:tcW w:w="1125" w:type="dxa"/>
            <w:tcBorders>
              <w:top w:val="single" w:sz="12" w:space="0" w:color="auto"/>
            </w:tcBorders>
            <w:shd w:val="clear" w:color="auto" w:fill="auto"/>
            <w:tcMar>
              <w:top w:w="15" w:type="dxa"/>
              <w:left w:w="15" w:type="dxa"/>
              <w:bottom w:w="0" w:type="dxa"/>
              <w:right w:w="15" w:type="dxa"/>
            </w:tcMar>
            <w:vAlign w:val="center"/>
            <w:hideMark/>
          </w:tcPr>
          <w:p w14:paraId="611D0AC3" w14:textId="77777777" w:rsidR="00714AF2" w:rsidRPr="00FA29FA" w:rsidRDefault="00714AF2" w:rsidP="00A35569">
            <w:pPr>
              <w:pStyle w:val="ExhibitText"/>
              <w:keepNext/>
              <w:keepLines/>
              <w:jc w:val="right"/>
              <w:rPr>
                <w:sz w:val="18"/>
                <w:szCs w:val="18"/>
                <w:lang w:val="en-GB"/>
              </w:rPr>
            </w:pPr>
            <w:r w:rsidRPr="00FA29FA">
              <w:rPr>
                <w:sz w:val="18"/>
                <w:szCs w:val="18"/>
                <w:lang w:val="en-GB"/>
              </w:rPr>
              <w:t>12.60%</w:t>
            </w:r>
          </w:p>
        </w:tc>
        <w:tc>
          <w:tcPr>
            <w:tcW w:w="540" w:type="dxa"/>
            <w:tcBorders>
              <w:top w:val="single" w:sz="12" w:space="0" w:color="auto"/>
            </w:tcBorders>
            <w:shd w:val="clear" w:color="auto" w:fill="D9D9D9" w:themeFill="background1" w:themeFillShade="D9"/>
            <w:tcMar>
              <w:top w:w="15" w:type="dxa"/>
              <w:left w:w="15" w:type="dxa"/>
              <w:bottom w:w="0" w:type="dxa"/>
              <w:right w:w="15" w:type="dxa"/>
            </w:tcMar>
            <w:vAlign w:val="center"/>
            <w:hideMark/>
          </w:tcPr>
          <w:p w14:paraId="3232B894"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1</w:t>
            </w:r>
          </w:p>
        </w:tc>
        <w:tc>
          <w:tcPr>
            <w:tcW w:w="900" w:type="dxa"/>
            <w:tcBorders>
              <w:top w:val="single" w:sz="12" w:space="0" w:color="auto"/>
            </w:tcBorders>
            <w:shd w:val="clear" w:color="auto" w:fill="auto"/>
            <w:tcMar>
              <w:top w:w="15" w:type="dxa"/>
              <w:left w:w="15" w:type="dxa"/>
              <w:bottom w:w="0" w:type="dxa"/>
              <w:right w:w="15" w:type="dxa"/>
            </w:tcMar>
            <w:vAlign w:val="center"/>
            <w:hideMark/>
          </w:tcPr>
          <w:p w14:paraId="5EDFC228" w14:textId="77777777" w:rsidR="00714AF2" w:rsidRPr="00FA29FA" w:rsidRDefault="00714AF2" w:rsidP="00A35569">
            <w:pPr>
              <w:pStyle w:val="ExhibitText"/>
              <w:keepNext/>
              <w:keepLines/>
              <w:ind w:right="144"/>
              <w:jc w:val="right"/>
              <w:rPr>
                <w:sz w:val="18"/>
                <w:szCs w:val="18"/>
                <w:lang w:val="en-GB"/>
              </w:rPr>
            </w:pPr>
            <w:r w:rsidRPr="00FA29FA">
              <w:rPr>
                <w:sz w:val="18"/>
                <w:szCs w:val="18"/>
                <w:lang w:val="en-GB"/>
              </w:rPr>
              <w:t>157</w:t>
            </w:r>
          </w:p>
        </w:tc>
        <w:tc>
          <w:tcPr>
            <w:tcW w:w="540" w:type="dxa"/>
            <w:tcBorders>
              <w:top w:val="single" w:sz="12" w:space="0" w:color="auto"/>
            </w:tcBorders>
            <w:shd w:val="clear" w:color="auto" w:fill="D9D9D9" w:themeFill="background1" w:themeFillShade="D9"/>
            <w:tcMar>
              <w:top w:w="15" w:type="dxa"/>
              <w:left w:w="15" w:type="dxa"/>
              <w:bottom w:w="0" w:type="dxa"/>
              <w:right w:w="15" w:type="dxa"/>
            </w:tcMar>
            <w:vAlign w:val="center"/>
            <w:hideMark/>
          </w:tcPr>
          <w:p w14:paraId="492861CE"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1</w:t>
            </w:r>
          </w:p>
        </w:tc>
        <w:tc>
          <w:tcPr>
            <w:tcW w:w="900" w:type="dxa"/>
            <w:tcBorders>
              <w:top w:val="single" w:sz="12" w:space="0" w:color="auto"/>
            </w:tcBorders>
            <w:shd w:val="clear" w:color="auto" w:fill="auto"/>
            <w:tcMar>
              <w:top w:w="15" w:type="dxa"/>
              <w:left w:w="15" w:type="dxa"/>
              <w:bottom w:w="0" w:type="dxa"/>
              <w:right w:w="15" w:type="dxa"/>
            </w:tcMar>
            <w:vAlign w:val="center"/>
            <w:hideMark/>
          </w:tcPr>
          <w:p w14:paraId="2D3CFD8B" w14:textId="77777777" w:rsidR="00714AF2" w:rsidRPr="00FA29FA" w:rsidRDefault="00714AF2" w:rsidP="00A35569">
            <w:pPr>
              <w:pStyle w:val="ExhibitText"/>
              <w:keepNext/>
              <w:keepLines/>
              <w:jc w:val="right"/>
              <w:rPr>
                <w:sz w:val="18"/>
                <w:szCs w:val="18"/>
                <w:lang w:val="en-GB"/>
              </w:rPr>
            </w:pPr>
            <w:r w:rsidRPr="00FA29FA">
              <w:rPr>
                <w:sz w:val="18"/>
                <w:szCs w:val="18"/>
                <w:lang w:val="en-GB"/>
              </w:rPr>
              <w:t>51,773</w:t>
            </w:r>
          </w:p>
        </w:tc>
        <w:tc>
          <w:tcPr>
            <w:tcW w:w="540" w:type="dxa"/>
            <w:tcBorders>
              <w:top w:val="single" w:sz="12" w:space="0" w:color="auto"/>
            </w:tcBorders>
            <w:shd w:val="clear" w:color="auto" w:fill="D9D9D9" w:themeFill="background1" w:themeFillShade="D9"/>
            <w:tcMar>
              <w:top w:w="15" w:type="dxa"/>
              <w:left w:w="15" w:type="dxa"/>
              <w:bottom w:w="0" w:type="dxa"/>
              <w:right w:w="15" w:type="dxa"/>
            </w:tcMar>
            <w:vAlign w:val="center"/>
            <w:hideMark/>
          </w:tcPr>
          <w:p w14:paraId="17D791F1"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3</w:t>
            </w:r>
          </w:p>
        </w:tc>
      </w:tr>
      <w:tr w:rsidR="00ED73C4" w:rsidRPr="00FA29FA" w14:paraId="0124D940" w14:textId="77777777" w:rsidTr="0091456A">
        <w:trPr>
          <w:trHeight w:val="288"/>
          <w:tblHeader/>
        </w:trPr>
        <w:tc>
          <w:tcPr>
            <w:tcW w:w="1350" w:type="dxa"/>
            <w:shd w:val="clear" w:color="auto" w:fill="F2F2F2" w:themeFill="background1" w:themeFillShade="F2"/>
            <w:tcMar>
              <w:top w:w="15" w:type="dxa"/>
              <w:left w:w="15" w:type="dxa"/>
              <w:bottom w:w="0" w:type="dxa"/>
              <w:right w:w="15" w:type="dxa"/>
            </w:tcMar>
            <w:vAlign w:val="center"/>
            <w:hideMark/>
          </w:tcPr>
          <w:p w14:paraId="4C311545" w14:textId="57B0E96F" w:rsidR="00714AF2" w:rsidRPr="00FA29FA" w:rsidRDefault="00B8694C" w:rsidP="00A35569">
            <w:pPr>
              <w:pStyle w:val="ExhibitText"/>
              <w:keepNext/>
              <w:keepLines/>
              <w:rPr>
                <w:sz w:val="18"/>
                <w:szCs w:val="18"/>
                <w:lang w:val="en-GB"/>
              </w:rPr>
            </w:pPr>
            <w:r>
              <w:rPr>
                <w:sz w:val="18"/>
                <w:szCs w:val="18"/>
                <w:lang w:val="en-GB"/>
              </w:rPr>
              <w:t>Ecobank</w:t>
            </w:r>
          </w:p>
        </w:tc>
        <w:tc>
          <w:tcPr>
            <w:tcW w:w="990" w:type="dxa"/>
            <w:shd w:val="clear" w:color="auto" w:fill="F2F2F2" w:themeFill="background1" w:themeFillShade="F2"/>
            <w:tcMar>
              <w:top w:w="15" w:type="dxa"/>
              <w:left w:w="15" w:type="dxa"/>
              <w:bottom w:w="0" w:type="dxa"/>
              <w:right w:w="15" w:type="dxa"/>
            </w:tcMar>
            <w:vAlign w:val="center"/>
            <w:hideMark/>
          </w:tcPr>
          <w:p w14:paraId="1209D1AF" w14:textId="77777777" w:rsidR="00714AF2" w:rsidRPr="00FA29FA" w:rsidRDefault="00714AF2" w:rsidP="00A35569">
            <w:pPr>
              <w:pStyle w:val="ExhibitText"/>
              <w:keepNext/>
              <w:keepLines/>
              <w:jc w:val="right"/>
              <w:rPr>
                <w:sz w:val="18"/>
                <w:szCs w:val="18"/>
                <w:lang w:val="en-GB"/>
              </w:rPr>
            </w:pPr>
            <w:r w:rsidRPr="00FA29FA">
              <w:rPr>
                <w:sz w:val="18"/>
                <w:szCs w:val="18"/>
                <w:lang w:val="en-GB"/>
              </w:rPr>
              <w:t>1,897,235</w:t>
            </w:r>
          </w:p>
        </w:tc>
        <w:tc>
          <w:tcPr>
            <w:tcW w:w="990" w:type="dxa"/>
            <w:shd w:val="clear" w:color="auto" w:fill="F2F2F2" w:themeFill="background1" w:themeFillShade="F2"/>
            <w:tcMar>
              <w:top w:w="15" w:type="dxa"/>
              <w:left w:w="15" w:type="dxa"/>
              <w:bottom w:w="0" w:type="dxa"/>
              <w:right w:w="15" w:type="dxa"/>
            </w:tcMar>
            <w:vAlign w:val="center"/>
            <w:hideMark/>
          </w:tcPr>
          <w:p w14:paraId="1DBDE358" w14:textId="77777777" w:rsidR="00714AF2" w:rsidRPr="00FA29FA" w:rsidRDefault="00714AF2" w:rsidP="00A35569">
            <w:pPr>
              <w:pStyle w:val="ExhibitText"/>
              <w:keepNext/>
              <w:keepLines/>
              <w:jc w:val="right"/>
              <w:rPr>
                <w:sz w:val="18"/>
                <w:szCs w:val="18"/>
                <w:lang w:val="en-GB"/>
              </w:rPr>
            </w:pPr>
            <w:r w:rsidRPr="00FA29FA">
              <w:rPr>
                <w:sz w:val="18"/>
                <w:szCs w:val="18"/>
                <w:lang w:val="en-GB"/>
              </w:rPr>
              <w:t>9.70%</w:t>
            </w:r>
          </w:p>
        </w:tc>
        <w:tc>
          <w:tcPr>
            <w:tcW w:w="540" w:type="dxa"/>
            <w:shd w:val="clear" w:color="auto" w:fill="D9D9D9" w:themeFill="background1" w:themeFillShade="D9"/>
            <w:tcMar>
              <w:top w:w="15" w:type="dxa"/>
              <w:left w:w="15" w:type="dxa"/>
              <w:bottom w:w="0" w:type="dxa"/>
              <w:right w:w="15" w:type="dxa"/>
            </w:tcMar>
            <w:vAlign w:val="center"/>
            <w:hideMark/>
          </w:tcPr>
          <w:p w14:paraId="18C7665C"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2</w:t>
            </w:r>
          </w:p>
        </w:tc>
        <w:tc>
          <w:tcPr>
            <w:tcW w:w="945" w:type="dxa"/>
            <w:shd w:val="clear" w:color="auto" w:fill="F2F2F2" w:themeFill="background1" w:themeFillShade="F2"/>
            <w:tcMar>
              <w:top w:w="15" w:type="dxa"/>
              <w:left w:w="15" w:type="dxa"/>
              <w:bottom w:w="0" w:type="dxa"/>
              <w:right w:w="15" w:type="dxa"/>
            </w:tcMar>
            <w:vAlign w:val="center"/>
            <w:hideMark/>
          </w:tcPr>
          <w:p w14:paraId="34AEA486" w14:textId="77777777" w:rsidR="00714AF2" w:rsidRPr="00FA29FA" w:rsidRDefault="00714AF2" w:rsidP="00A35569">
            <w:pPr>
              <w:pStyle w:val="ExhibitText"/>
              <w:keepNext/>
              <w:keepLines/>
              <w:jc w:val="right"/>
              <w:rPr>
                <w:sz w:val="18"/>
                <w:szCs w:val="18"/>
                <w:lang w:val="en-GB"/>
              </w:rPr>
            </w:pPr>
            <w:r w:rsidRPr="00FA29FA">
              <w:rPr>
                <w:sz w:val="18"/>
                <w:szCs w:val="18"/>
                <w:lang w:val="en-GB"/>
              </w:rPr>
              <w:t>1,445,422</w:t>
            </w:r>
          </w:p>
        </w:tc>
        <w:tc>
          <w:tcPr>
            <w:tcW w:w="1125" w:type="dxa"/>
            <w:shd w:val="clear" w:color="auto" w:fill="F2F2F2" w:themeFill="background1" w:themeFillShade="F2"/>
            <w:tcMar>
              <w:top w:w="15" w:type="dxa"/>
              <w:left w:w="15" w:type="dxa"/>
              <w:bottom w:w="0" w:type="dxa"/>
              <w:right w:w="15" w:type="dxa"/>
            </w:tcMar>
            <w:vAlign w:val="center"/>
            <w:hideMark/>
          </w:tcPr>
          <w:p w14:paraId="2AEA7F00" w14:textId="77777777" w:rsidR="00714AF2" w:rsidRPr="00FA29FA" w:rsidRDefault="00714AF2" w:rsidP="00A35569">
            <w:pPr>
              <w:pStyle w:val="ExhibitText"/>
              <w:keepNext/>
              <w:keepLines/>
              <w:jc w:val="right"/>
              <w:rPr>
                <w:sz w:val="18"/>
                <w:szCs w:val="18"/>
                <w:lang w:val="en-GB"/>
              </w:rPr>
            </w:pPr>
            <w:r w:rsidRPr="00FA29FA">
              <w:rPr>
                <w:sz w:val="18"/>
                <w:szCs w:val="18"/>
                <w:lang w:val="en-GB"/>
              </w:rPr>
              <w:t>10.10%</w:t>
            </w:r>
          </w:p>
        </w:tc>
        <w:tc>
          <w:tcPr>
            <w:tcW w:w="540" w:type="dxa"/>
            <w:shd w:val="clear" w:color="auto" w:fill="D9D9D9" w:themeFill="background1" w:themeFillShade="D9"/>
            <w:tcMar>
              <w:top w:w="15" w:type="dxa"/>
              <w:left w:w="15" w:type="dxa"/>
              <w:bottom w:w="0" w:type="dxa"/>
              <w:right w:w="15" w:type="dxa"/>
            </w:tcMar>
            <w:vAlign w:val="center"/>
            <w:hideMark/>
          </w:tcPr>
          <w:p w14:paraId="0116E012"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2</w:t>
            </w:r>
          </w:p>
        </w:tc>
        <w:tc>
          <w:tcPr>
            <w:tcW w:w="900" w:type="dxa"/>
            <w:shd w:val="clear" w:color="auto" w:fill="F2F2F2" w:themeFill="background1" w:themeFillShade="F2"/>
            <w:tcMar>
              <w:top w:w="15" w:type="dxa"/>
              <w:left w:w="15" w:type="dxa"/>
              <w:bottom w:w="0" w:type="dxa"/>
              <w:right w:w="15" w:type="dxa"/>
            </w:tcMar>
            <w:vAlign w:val="center"/>
            <w:hideMark/>
          </w:tcPr>
          <w:p w14:paraId="659EC770" w14:textId="77777777" w:rsidR="00714AF2" w:rsidRPr="00FA29FA" w:rsidRDefault="00714AF2" w:rsidP="00A35569">
            <w:pPr>
              <w:pStyle w:val="ExhibitText"/>
              <w:keepNext/>
              <w:keepLines/>
              <w:ind w:right="144"/>
              <w:jc w:val="right"/>
              <w:rPr>
                <w:sz w:val="18"/>
                <w:szCs w:val="18"/>
                <w:lang w:val="en-GB"/>
              </w:rPr>
            </w:pPr>
            <w:r w:rsidRPr="00FA29FA">
              <w:rPr>
                <w:sz w:val="18"/>
                <w:szCs w:val="18"/>
                <w:lang w:val="en-GB"/>
              </w:rPr>
              <w:t>53</w:t>
            </w:r>
          </w:p>
        </w:tc>
        <w:tc>
          <w:tcPr>
            <w:tcW w:w="540" w:type="dxa"/>
            <w:shd w:val="clear" w:color="auto" w:fill="D9D9D9" w:themeFill="background1" w:themeFillShade="D9"/>
            <w:tcMar>
              <w:top w:w="15" w:type="dxa"/>
              <w:left w:w="15" w:type="dxa"/>
              <w:bottom w:w="0" w:type="dxa"/>
              <w:right w:w="15" w:type="dxa"/>
            </w:tcMar>
            <w:vAlign w:val="center"/>
            <w:hideMark/>
          </w:tcPr>
          <w:p w14:paraId="1755F6AC"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4</w:t>
            </w:r>
          </w:p>
        </w:tc>
        <w:tc>
          <w:tcPr>
            <w:tcW w:w="900" w:type="dxa"/>
            <w:shd w:val="clear" w:color="auto" w:fill="F2F2F2" w:themeFill="background1" w:themeFillShade="F2"/>
            <w:tcMar>
              <w:top w:w="15" w:type="dxa"/>
              <w:left w:w="15" w:type="dxa"/>
              <w:bottom w:w="0" w:type="dxa"/>
              <w:right w:w="15" w:type="dxa"/>
            </w:tcMar>
            <w:vAlign w:val="center"/>
            <w:hideMark/>
          </w:tcPr>
          <w:p w14:paraId="57E4E166" w14:textId="77777777" w:rsidR="00714AF2" w:rsidRPr="00FA29FA" w:rsidRDefault="00714AF2" w:rsidP="00A35569">
            <w:pPr>
              <w:pStyle w:val="ExhibitText"/>
              <w:keepNext/>
              <w:keepLines/>
              <w:jc w:val="right"/>
              <w:rPr>
                <w:sz w:val="18"/>
                <w:szCs w:val="18"/>
                <w:lang w:val="en-GB"/>
              </w:rPr>
            </w:pPr>
            <w:r w:rsidRPr="00FA29FA">
              <w:rPr>
                <w:sz w:val="18"/>
                <w:szCs w:val="18"/>
                <w:lang w:val="en-GB"/>
              </w:rPr>
              <w:t>52,688</w:t>
            </w:r>
          </w:p>
        </w:tc>
        <w:tc>
          <w:tcPr>
            <w:tcW w:w="540" w:type="dxa"/>
            <w:shd w:val="clear" w:color="auto" w:fill="D9D9D9" w:themeFill="background1" w:themeFillShade="D9"/>
            <w:tcMar>
              <w:top w:w="15" w:type="dxa"/>
              <w:left w:w="15" w:type="dxa"/>
              <w:bottom w:w="0" w:type="dxa"/>
              <w:right w:w="15" w:type="dxa"/>
            </w:tcMar>
            <w:vAlign w:val="center"/>
            <w:hideMark/>
          </w:tcPr>
          <w:p w14:paraId="02A7F9BF"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2</w:t>
            </w:r>
          </w:p>
        </w:tc>
      </w:tr>
      <w:tr w:rsidR="00714AF2" w:rsidRPr="00FA29FA" w14:paraId="2C706EEC" w14:textId="77777777" w:rsidTr="0091456A">
        <w:trPr>
          <w:trHeight w:val="288"/>
          <w:tblHeader/>
        </w:trPr>
        <w:tc>
          <w:tcPr>
            <w:tcW w:w="1350" w:type="dxa"/>
            <w:shd w:val="clear" w:color="auto" w:fill="auto"/>
            <w:tcMar>
              <w:top w:w="15" w:type="dxa"/>
              <w:left w:w="15" w:type="dxa"/>
              <w:bottom w:w="0" w:type="dxa"/>
              <w:right w:w="15" w:type="dxa"/>
            </w:tcMar>
            <w:vAlign w:val="center"/>
            <w:hideMark/>
          </w:tcPr>
          <w:p w14:paraId="7DAF1CF4" w14:textId="77777777" w:rsidR="00714AF2" w:rsidRPr="00FA29FA" w:rsidRDefault="00714AF2" w:rsidP="00A35569">
            <w:pPr>
              <w:pStyle w:val="ExhibitText"/>
              <w:keepNext/>
              <w:keepLines/>
              <w:rPr>
                <w:sz w:val="18"/>
                <w:szCs w:val="18"/>
                <w:lang w:val="en-GB"/>
              </w:rPr>
            </w:pPr>
            <w:r w:rsidRPr="00FA29FA">
              <w:rPr>
                <w:sz w:val="18"/>
                <w:szCs w:val="18"/>
                <w:lang w:val="en-GB"/>
              </w:rPr>
              <w:t xml:space="preserve">SCB </w:t>
            </w:r>
          </w:p>
        </w:tc>
        <w:tc>
          <w:tcPr>
            <w:tcW w:w="990" w:type="dxa"/>
            <w:shd w:val="clear" w:color="auto" w:fill="auto"/>
            <w:tcMar>
              <w:top w:w="15" w:type="dxa"/>
              <w:left w:w="15" w:type="dxa"/>
              <w:bottom w:w="0" w:type="dxa"/>
              <w:right w:w="15" w:type="dxa"/>
            </w:tcMar>
            <w:vAlign w:val="center"/>
            <w:hideMark/>
          </w:tcPr>
          <w:p w14:paraId="41F6B006" w14:textId="77777777" w:rsidR="00714AF2" w:rsidRPr="00FA29FA" w:rsidRDefault="00714AF2" w:rsidP="00A35569">
            <w:pPr>
              <w:pStyle w:val="ExhibitText"/>
              <w:keepNext/>
              <w:keepLines/>
              <w:jc w:val="right"/>
              <w:rPr>
                <w:sz w:val="18"/>
                <w:szCs w:val="18"/>
                <w:lang w:val="en-GB"/>
              </w:rPr>
            </w:pPr>
            <w:r w:rsidRPr="00FA29FA">
              <w:rPr>
                <w:sz w:val="18"/>
                <w:szCs w:val="18"/>
                <w:lang w:val="en-GB"/>
              </w:rPr>
              <w:t>1,833,036</w:t>
            </w:r>
          </w:p>
        </w:tc>
        <w:tc>
          <w:tcPr>
            <w:tcW w:w="990" w:type="dxa"/>
            <w:shd w:val="clear" w:color="auto" w:fill="auto"/>
            <w:tcMar>
              <w:top w:w="15" w:type="dxa"/>
              <w:left w:w="15" w:type="dxa"/>
              <w:bottom w:w="0" w:type="dxa"/>
              <w:right w:w="15" w:type="dxa"/>
            </w:tcMar>
            <w:vAlign w:val="center"/>
            <w:hideMark/>
          </w:tcPr>
          <w:p w14:paraId="2FCBB8DD" w14:textId="77777777" w:rsidR="00714AF2" w:rsidRPr="00FA29FA" w:rsidRDefault="00714AF2" w:rsidP="00A35569">
            <w:pPr>
              <w:pStyle w:val="ExhibitText"/>
              <w:keepNext/>
              <w:keepLines/>
              <w:jc w:val="right"/>
              <w:rPr>
                <w:sz w:val="18"/>
                <w:szCs w:val="18"/>
                <w:lang w:val="en-GB"/>
              </w:rPr>
            </w:pPr>
            <w:r w:rsidRPr="00FA29FA">
              <w:rPr>
                <w:sz w:val="18"/>
                <w:szCs w:val="18"/>
                <w:lang w:val="en-GB"/>
              </w:rPr>
              <w:t>9.40%</w:t>
            </w:r>
          </w:p>
        </w:tc>
        <w:tc>
          <w:tcPr>
            <w:tcW w:w="540" w:type="dxa"/>
            <w:shd w:val="clear" w:color="auto" w:fill="D9D9D9" w:themeFill="background1" w:themeFillShade="D9"/>
            <w:tcMar>
              <w:top w:w="15" w:type="dxa"/>
              <w:left w:w="15" w:type="dxa"/>
              <w:bottom w:w="0" w:type="dxa"/>
              <w:right w:w="15" w:type="dxa"/>
            </w:tcMar>
            <w:vAlign w:val="center"/>
            <w:hideMark/>
          </w:tcPr>
          <w:p w14:paraId="357FB23B"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3</w:t>
            </w:r>
          </w:p>
        </w:tc>
        <w:tc>
          <w:tcPr>
            <w:tcW w:w="945" w:type="dxa"/>
            <w:shd w:val="clear" w:color="auto" w:fill="auto"/>
            <w:tcMar>
              <w:top w:w="15" w:type="dxa"/>
              <w:left w:w="15" w:type="dxa"/>
              <w:bottom w:w="0" w:type="dxa"/>
              <w:right w:w="15" w:type="dxa"/>
            </w:tcMar>
            <w:vAlign w:val="center"/>
            <w:hideMark/>
          </w:tcPr>
          <w:p w14:paraId="7EE540E5" w14:textId="77777777" w:rsidR="00714AF2" w:rsidRPr="00FA29FA" w:rsidRDefault="00714AF2" w:rsidP="00A35569">
            <w:pPr>
              <w:pStyle w:val="ExhibitText"/>
              <w:keepNext/>
              <w:keepLines/>
              <w:jc w:val="right"/>
              <w:rPr>
                <w:sz w:val="18"/>
                <w:szCs w:val="18"/>
                <w:lang w:val="en-GB"/>
              </w:rPr>
            </w:pPr>
            <w:r w:rsidRPr="00FA29FA">
              <w:rPr>
                <w:sz w:val="18"/>
                <w:szCs w:val="18"/>
                <w:lang w:val="en-GB"/>
              </w:rPr>
              <w:t>1,157,564</w:t>
            </w:r>
          </w:p>
        </w:tc>
        <w:tc>
          <w:tcPr>
            <w:tcW w:w="1125" w:type="dxa"/>
            <w:shd w:val="clear" w:color="auto" w:fill="auto"/>
            <w:tcMar>
              <w:top w:w="15" w:type="dxa"/>
              <w:left w:w="15" w:type="dxa"/>
              <w:bottom w:w="0" w:type="dxa"/>
              <w:right w:w="15" w:type="dxa"/>
            </w:tcMar>
            <w:vAlign w:val="center"/>
            <w:hideMark/>
          </w:tcPr>
          <w:p w14:paraId="3BF78BA0" w14:textId="77777777" w:rsidR="00714AF2" w:rsidRPr="00FA29FA" w:rsidRDefault="00714AF2" w:rsidP="00A35569">
            <w:pPr>
              <w:pStyle w:val="ExhibitText"/>
              <w:keepNext/>
              <w:keepLines/>
              <w:jc w:val="right"/>
              <w:rPr>
                <w:sz w:val="18"/>
                <w:szCs w:val="18"/>
                <w:lang w:val="en-GB"/>
              </w:rPr>
            </w:pPr>
            <w:r w:rsidRPr="00FA29FA">
              <w:rPr>
                <w:sz w:val="18"/>
                <w:szCs w:val="18"/>
                <w:lang w:val="en-GB"/>
              </w:rPr>
              <w:t>8.60%</w:t>
            </w:r>
          </w:p>
        </w:tc>
        <w:tc>
          <w:tcPr>
            <w:tcW w:w="540" w:type="dxa"/>
            <w:shd w:val="clear" w:color="auto" w:fill="D9D9D9" w:themeFill="background1" w:themeFillShade="D9"/>
            <w:tcMar>
              <w:top w:w="15" w:type="dxa"/>
              <w:left w:w="15" w:type="dxa"/>
              <w:bottom w:w="0" w:type="dxa"/>
              <w:right w:w="15" w:type="dxa"/>
            </w:tcMar>
            <w:vAlign w:val="center"/>
            <w:hideMark/>
          </w:tcPr>
          <w:p w14:paraId="22B44B79"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4</w:t>
            </w:r>
          </w:p>
        </w:tc>
        <w:tc>
          <w:tcPr>
            <w:tcW w:w="900" w:type="dxa"/>
            <w:shd w:val="clear" w:color="auto" w:fill="auto"/>
            <w:tcMar>
              <w:top w:w="15" w:type="dxa"/>
              <w:left w:w="15" w:type="dxa"/>
              <w:bottom w:w="0" w:type="dxa"/>
              <w:right w:w="15" w:type="dxa"/>
            </w:tcMar>
            <w:vAlign w:val="center"/>
            <w:hideMark/>
          </w:tcPr>
          <w:p w14:paraId="79C02C55" w14:textId="77777777" w:rsidR="00714AF2" w:rsidRPr="00FA29FA" w:rsidRDefault="00714AF2" w:rsidP="00A35569">
            <w:pPr>
              <w:pStyle w:val="ExhibitText"/>
              <w:keepNext/>
              <w:keepLines/>
              <w:ind w:right="144"/>
              <w:jc w:val="right"/>
              <w:rPr>
                <w:sz w:val="18"/>
                <w:szCs w:val="18"/>
                <w:lang w:val="en-GB"/>
              </w:rPr>
            </w:pPr>
            <w:r w:rsidRPr="00FA29FA">
              <w:rPr>
                <w:sz w:val="18"/>
                <w:szCs w:val="18"/>
                <w:lang w:val="en-GB"/>
              </w:rPr>
              <w:t>22</w:t>
            </w:r>
          </w:p>
        </w:tc>
        <w:tc>
          <w:tcPr>
            <w:tcW w:w="540" w:type="dxa"/>
            <w:shd w:val="clear" w:color="auto" w:fill="D9D9D9" w:themeFill="background1" w:themeFillShade="D9"/>
            <w:tcMar>
              <w:top w:w="15" w:type="dxa"/>
              <w:left w:w="15" w:type="dxa"/>
              <w:bottom w:w="0" w:type="dxa"/>
              <w:right w:w="15" w:type="dxa"/>
            </w:tcMar>
            <w:vAlign w:val="center"/>
            <w:hideMark/>
          </w:tcPr>
          <w:p w14:paraId="5C71AEBD"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10</w:t>
            </w:r>
          </w:p>
        </w:tc>
        <w:tc>
          <w:tcPr>
            <w:tcW w:w="900" w:type="dxa"/>
            <w:shd w:val="clear" w:color="auto" w:fill="auto"/>
            <w:tcMar>
              <w:top w:w="15" w:type="dxa"/>
              <w:left w:w="15" w:type="dxa"/>
              <w:bottom w:w="0" w:type="dxa"/>
              <w:right w:w="15" w:type="dxa"/>
            </w:tcMar>
            <w:vAlign w:val="center"/>
            <w:hideMark/>
          </w:tcPr>
          <w:p w14:paraId="10497E3A" w14:textId="77777777" w:rsidR="00714AF2" w:rsidRPr="00FA29FA" w:rsidRDefault="00714AF2" w:rsidP="00A35569">
            <w:pPr>
              <w:pStyle w:val="ExhibitText"/>
              <w:keepNext/>
              <w:keepLines/>
              <w:jc w:val="right"/>
              <w:rPr>
                <w:sz w:val="18"/>
                <w:szCs w:val="18"/>
                <w:lang w:val="en-GB"/>
              </w:rPr>
            </w:pPr>
            <w:r w:rsidRPr="00FA29FA">
              <w:rPr>
                <w:sz w:val="18"/>
                <w:szCs w:val="18"/>
                <w:lang w:val="en-GB"/>
              </w:rPr>
              <w:t>55,988</w:t>
            </w:r>
          </w:p>
        </w:tc>
        <w:tc>
          <w:tcPr>
            <w:tcW w:w="540" w:type="dxa"/>
            <w:shd w:val="clear" w:color="auto" w:fill="D9D9D9" w:themeFill="background1" w:themeFillShade="D9"/>
            <w:tcMar>
              <w:top w:w="15" w:type="dxa"/>
              <w:left w:w="15" w:type="dxa"/>
              <w:bottom w:w="0" w:type="dxa"/>
              <w:right w:w="15" w:type="dxa"/>
            </w:tcMar>
            <w:vAlign w:val="center"/>
            <w:hideMark/>
          </w:tcPr>
          <w:p w14:paraId="6E7C2A52"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1</w:t>
            </w:r>
          </w:p>
        </w:tc>
      </w:tr>
      <w:tr w:rsidR="00714AF2" w:rsidRPr="00FA29FA" w14:paraId="6E1CAEBE" w14:textId="77777777" w:rsidTr="0091456A">
        <w:trPr>
          <w:trHeight w:val="288"/>
          <w:tblHeader/>
        </w:trPr>
        <w:tc>
          <w:tcPr>
            <w:tcW w:w="1350" w:type="dxa"/>
            <w:shd w:val="clear" w:color="auto" w:fill="auto"/>
            <w:tcMar>
              <w:top w:w="15" w:type="dxa"/>
              <w:left w:w="15" w:type="dxa"/>
              <w:bottom w:w="0" w:type="dxa"/>
              <w:right w:w="15" w:type="dxa"/>
            </w:tcMar>
            <w:vAlign w:val="center"/>
            <w:hideMark/>
          </w:tcPr>
          <w:p w14:paraId="705C1332" w14:textId="77777777" w:rsidR="00714AF2" w:rsidRPr="00FA29FA" w:rsidRDefault="00714AF2" w:rsidP="00A35569">
            <w:pPr>
              <w:pStyle w:val="ExhibitText"/>
              <w:keepNext/>
              <w:keepLines/>
              <w:rPr>
                <w:sz w:val="18"/>
                <w:szCs w:val="18"/>
                <w:lang w:val="en-GB"/>
              </w:rPr>
            </w:pPr>
            <w:r w:rsidRPr="00FA29FA">
              <w:rPr>
                <w:sz w:val="18"/>
                <w:szCs w:val="18"/>
                <w:lang w:val="en-GB"/>
              </w:rPr>
              <w:t xml:space="preserve">BBG </w:t>
            </w:r>
          </w:p>
        </w:tc>
        <w:tc>
          <w:tcPr>
            <w:tcW w:w="990" w:type="dxa"/>
            <w:shd w:val="clear" w:color="auto" w:fill="auto"/>
            <w:tcMar>
              <w:top w:w="15" w:type="dxa"/>
              <w:left w:w="15" w:type="dxa"/>
              <w:bottom w:w="0" w:type="dxa"/>
              <w:right w:w="15" w:type="dxa"/>
            </w:tcMar>
            <w:vAlign w:val="center"/>
            <w:hideMark/>
          </w:tcPr>
          <w:p w14:paraId="17595F9A" w14:textId="77777777" w:rsidR="00714AF2" w:rsidRPr="00FA29FA" w:rsidRDefault="00714AF2" w:rsidP="00A35569">
            <w:pPr>
              <w:pStyle w:val="ExhibitText"/>
              <w:keepNext/>
              <w:keepLines/>
              <w:jc w:val="right"/>
              <w:rPr>
                <w:sz w:val="18"/>
                <w:szCs w:val="18"/>
                <w:lang w:val="en-GB"/>
              </w:rPr>
            </w:pPr>
            <w:r w:rsidRPr="00FA29FA">
              <w:rPr>
                <w:sz w:val="18"/>
                <w:szCs w:val="18"/>
                <w:lang w:val="en-GB"/>
              </w:rPr>
              <w:t>1,764,473</w:t>
            </w:r>
          </w:p>
        </w:tc>
        <w:tc>
          <w:tcPr>
            <w:tcW w:w="990" w:type="dxa"/>
            <w:shd w:val="clear" w:color="auto" w:fill="auto"/>
            <w:tcMar>
              <w:top w:w="15" w:type="dxa"/>
              <w:left w:w="15" w:type="dxa"/>
              <w:bottom w:w="0" w:type="dxa"/>
              <w:right w:w="15" w:type="dxa"/>
            </w:tcMar>
            <w:vAlign w:val="center"/>
            <w:hideMark/>
          </w:tcPr>
          <w:p w14:paraId="5AB542ED" w14:textId="77777777" w:rsidR="00714AF2" w:rsidRPr="00FA29FA" w:rsidRDefault="00714AF2" w:rsidP="00A35569">
            <w:pPr>
              <w:pStyle w:val="ExhibitText"/>
              <w:keepNext/>
              <w:keepLines/>
              <w:jc w:val="right"/>
              <w:rPr>
                <w:sz w:val="18"/>
                <w:szCs w:val="18"/>
                <w:lang w:val="en-GB"/>
              </w:rPr>
            </w:pPr>
            <w:r w:rsidRPr="00FA29FA">
              <w:rPr>
                <w:sz w:val="18"/>
                <w:szCs w:val="18"/>
                <w:lang w:val="en-GB"/>
              </w:rPr>
              <w:t>9.10%</w:t>
            </w:r>
          </w:p>
        </w:tc>
        <w:tc>
          <w:tcPr>
            <w:tcW w:w="540" w:type="dxa"/>
            <w:shd w:val="clear" w:color="auto" w:fill="D9D9D9" w:themeFill="background1" w:themeFillShade="D9"/>
            <w:tcMar>
              <w:top w:w="15" w:type="dxa"/>
              <w:left w:w="15" w:type="dxa"/>
              <w:bottom w:w="0" w:type="dxa"/>
              <w:right w:w="15" w:type="dxa"/>
            </w:tcMar>
            <w:vAlign w:val="center"/>
            <w:hideMark/>
          </w:tcPr>
          <w:p w14:paraId="76D56FD6"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4</w:t>
            </w:r>
          </w:p>
        </w:tc>
        <w:tc>
          <w:tcPr>
            <w:tcW w:w="945" w:type="dxa"/>
            <w:shd w:val="clear" w:color="auto" w:fill="auto"/>
            <w:tcMar>
              <w:top w:w="15" w:type="dxa"/>
              <w:left w:w="15" w:type="dxa"/>
              <w:bottom w:w="0" w:type="dxa"/>
              <w:right w:w="15" w:type="dxa"/>
            </w:tcMar>
            <w:vAlign w:val="center"/>
            <w:hideMark/>
          </w:tcPr>
          <w:p w14:paraId="75305A9A" w14:textId="77777777" w:rsidR="00714AF2" w:rsidRPr="00FA29FA" w:rsidRDefault="00714AF2" w:rsidP="00A35569">
            <w:pPr>
              <w:pStyle w:val="ExhibitText"/>
              <w:keepNext/>
              <w:keepLines/>
              <w:jc w:val="right"/>
              <w:rPr>
                <w:sz w:val="18"/>
                <w:szCs w:val="18"/>
                <w:lang w:val="en-GB"/>
              </w:rPr>
            </w:pPr>
            <w:r w:rsidRPr="00FA29FA">
              <w:rPr>
                <w:sz w:val="18"/>
                <w:szCs w:val="18"/>
                <w:lang w:val="en-GB"/>
              </w:rPr>
              <w:t>1,168,984</w:t>
            </w:r>
          </w:p>
        </w:tc>
        <w:tc>
          <w:tcPr>
            <w:tcW w:w="1125" w:type="dxa"/>
            <w:shd w:val="clear" w:color="auto" w:fill="auto"/>
            <w:tcMar>
              <w:top w:w="15" w:type="dxa"/>
              <w:left w:w="15" w:type="dxa"/>
              <w:bottom w:w="0" w:type="dxa"/>
              <w:right w:w="15" w:type="dxa"/>
            </w:tcMar>
            <w:vAlign w:val="center"/>
            <w:hideMark/>
          </w:tcPr>
          <w:p w14:paraId="5B10BB82" w14:textId="77777777" w:rsidR="00714AF2" w:rsidRPr="00FA29FA" w:rsidRDefault="00714AF2" w:rsidP="00A35569">
            <w:pPr>
              <w:pStyle w:val="ExhibitText"/>
              <w:keepNext/>
              <w:keepLines/>
              <w:jc w:val="right"/>
              <w:rPr>
                <w:sz w:val="18"/>
                <w:szCs w:val="18"/>
                <w:lang w:val="en-GB"/>
              </w:rPr>
            </w:pPr>
            <w:r w:rsidRPr="00FA29FA">
              <w:rPr>
                <w:sz w:val="18"/>
                <w:szCs w:val="18"/>
                <w:lang w:val="en-GB"/>
              </w:rPr>
              <w:t>8.40%</w:t>
            </w:r>
          </w:p>
        </w:tc>
        <w:tc>
          <w:tcPr>
            <w:tcW w:w="540" w:type="dxa"/>
            <w:shd w:val="clear" w:color="auto" w:fill="D9D9D9" w:themeFill="background1" w:themeFillShade="D9"/>
            <w:tcMar>
              <w:top w:w="15" w:type="dxa"/>
              <w:left w:w="15" w:type="dxa"/>
              <w:bottom w:w="0" w:type="dxa"/>
              <w:right w:w="15" w:type="dxa"/>
            </w:tcMar>
            <w:vAlign w:val="center"/>
            <w:hideMark/>
          </w:tcPr>
          <w:p w14:paraId="2BF643EB"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3</w:t>
            </w:r>
          </w:p>
        </w:tc>
        <w:tc>
          <w:tcPr>
            <w:tcW w:w="900" w:type="dxa"/>
            <w:shd w:val="clear" w:color="auto" w:fill="auto"/>
            <w:tcMar>
              <w:top w:w="15" w:type="dxa"/>
              <w:left w:w="15" w:type="dxa"/>
              <w:bottom w:w="0" w:type="dxa"/>
              <w:right w:w="15" w:type="dxa"/>
            </w:tcMar>
            <w:vAlign w:val="center"/>
            <w:hideMark/>
          </w:tcPr>
          <w:p w14:paraId="2198521C" w14:textId="77777777" w:rsidR="00714AF2" w:rsidRPr="00FA29FA" w:rsidRDefault="00714AF2" w:rsidP="00A35569">
            <w:pPr>
              <w:pStyle w:val="ExhibitText"/>
              <w:keepNext/>
              <w:keepLines/>
              <w:ind w:right="144"/>
              <w:jc w:val="right"/>
              <w:rPr>
                <w:sz w:val="18"/>
                <w:szCs w:val="18"/>
                <w:lang w:val="en-GB"/>
              </w:rPr>
            </w:pPr>
            <w:r w:rsidRPr="00FA29FA">
              <w:rPr>
                <w:sz w:val="18"/>
                <w:szCs w:val="18"/>
                <w:lang w:val="en-GB"/>
              </w:rPr>
              <w:t>72</w:t>
            </w:r>
          </w:p>
        </w:tc>
        <w:tc>
          <w:tcPr>
            <w:tcW w:w="540" w:type="dxa"/>
            <w:shd w:val="clear" w:color="auto" w:fill="D9D9D9" w:themeFill="background1" w:themeFillShade="D9"/>
            <w:tcMar>
              <w:top w:w="15" w:type="dxa"/>
              <w:left w:w="15" w:type="dxa"/>
              <w:bottom w:w="0" w:type="dxa"/>
              <w:right w:w="15" w:type="dxa"/>
            </w:tcMar>
            <w:vAlign w:val="center"/>
            <w:hideMark/>
          </w:tcPr>
          <w:p w14:paraId="6B92B770"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2</w:t>
            </w:r>
          </w:p>
        </w:tc>
        <w:tc>
          <w:tcPr>
            <w:tcW w:w="900" w:type="dxa"/>
            <w:shd w:val="clear" w:color="auto" w:fill="auto"/>
            <w:tcMar>
              <w:top w:w="15" w:type="dxa"/>
              <w:left w:w="15" w:type="dxa"/>
              <w:bottom w:w="0" w:type="dxa"/>
              <w:right w:w="15" w:type="dxa"/>
            </w:tcMar>
            <w:vAlign w:val="center"/>
            <w:hideMark/>
          </w:tcPr>
          <w:p w14:paraId="76943786" w14:textId="77777777" w:rsidR="00714AF2" w:rsidRPr="00FA29FA" w:rsidRDefault="00714AF2" w:rsidP="00A35569">
            <w:pPr>
              <w:pStyle w:val="ExhibitText"/>
              <w:keepNext/>
              <w:keepLines/>
              <w:jc w:val="right"/>
              <w:rPr>
                <w:sz w:val="18"/>
                <w:szCs w:val="18"/>
                <w:lang w:val="en-GB"/>
              </w:rPr>
            </w:pPr>
            <w:r w:rsidRPr="00FA29FA">
              <w:rPr>
                <w:sz w:val="18"/>
                <w:szCs w:val="18"/>
                <w:lang w:val="en-GB"/>
              </w:rPr>
              <w:t>44,223</w:t>
            </w:r>
          </w:p>
        </w:tc>
        <w:tc>
          <w:tcPr>
            <w:tcW w:w="540" w:type="dxa"/>
            <w:shd w:val="clear" w:color="auto" w:fill="D9D9D9" w:themeFill="background1" w:themeFillShade="D9"/>
            <w:tcMar>
              <w:top w:w="15" w:type="dxa"/>
              <w:left w:w="15" w:type="dxa"/>
              <w:bottom w:w="0" w:type="dxa"/>
              <w:right w:w="15" w:type="dxa"/>
            </w:tcMar>
            <w:vAlign w:val="center"/>
            <w:hideMark/>
          </w:tcPr>
          <w:p w14:paraId="2F2308FD"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4</w:t>
            </w:r>
          </w:p>
        </w:tc>
      </w:tr>
      <w:tr w:rsidR="00714AF2" w:rsidRPr="00FA29FA" w14:paraId="10D2873D" w14:textId="77777777" w:rsidTr="0091456A">
        <w:trPr>
          <w:trHeight w:val="288"/>
          <w:tblHeader/>
        </w:trPr>
        <w:tc>
          <w:tcPr>
            <w:tcW w:w="1350" w:type="dxa"/>
            <w:shd w:val="clear" w:color="auto" w:fill="auto"/>
            <w:tcMar>
              <w:top w:w="15" w:type="dxa"/>
              <w:left w:w="15" w:type="dxa"/>
              <w:bottom w:w="0" w:type="dxa"/>
              <w:right w:w="15" w:type="dxa"/>
            </w:tcMar>
            <w:vAlign w:val="center"/>
            <w:hideMark/>
          </w:tcPr>
          <w:p w14:paraId="5D68B13F" w14:textId="77777777" w:rsidR="00714AF2" w:rsidRPr="00FA29FA" w:rsidRDefault="00714AF2" w:rsidP="00A35569">
            <w:pPr>
              <w:pStyle w:val="ExhibitText"/>
              <w:keepNext/>
              <w:keepLines/>
              <w:rPr>
                <w:sz w:val="18"/>
                <w:szCs w:val="18"/>
                <w:lang w:val="en-GB"/>
              </w:rPr>
            </w:pPr>
            <w:r w:rsidRPr="00FA29FA">
              <w:rPr>
                <w:sz w:val="18"/>
                <w:szCs w:val="18"/>
                <w:lang w:val="en-GB"/>
              </w:rPr>
              <w:t xml:space="preserve">SBL </w:t>
            </w:r>
          </w:p>
        </w:tc>
        <w:tc>
          <w:tcPr>
            <w:tcW w:w="990" w:type="dxa"/>
            <w:shd w:val="clear" w:color="auto" w:fill="auto"/>
            <w:tcMar>
              <w:top w:w="15" w:type="dxa"/>
              <w:left w:w="15" w:type="dxa"/>
              <w:bottom w:w="0" w:type="dxa"/>
              <w:right w:w="15" w:type="dxa"/>
            </w:tcMar>
            <w:vAlign w:val="center"/>
            <w:hideMark/>
          </w:tcPr>
          <w:p w14:paraId="1464B267" w14:textId="77777777" w:rsidR="00714AF2" w:rsidRPr="00FA29FA" w:rsidRDefault="00714AF2" w:rsidP="00A35569">
            <w:pPr>
              <w:pStyle w:val="ExhibitText"/>
              <w:keepNext/>
              <w:keepLines/>
              <w:jc w:val="right"/>
              <w:rPr>
                <w:sz w:val="18"/>
                <w:szCs w:val="18"/>
                <w:lang w:val="en-GB"/>
              </w:rPr>
            </w:pPr>
            <w:r w:rsidRPr="00FA29FA">
              <w:rPr>
                <w:sz w:val="18"/>
                <w:szCs w:val="18"/>
                <w:lang w:val="en-GB"/>
              </w:rPr>
              <w:t>1,201,521</w:t>
            </w:r>
          </w:p>
        </w:tc>
        <w:tc>
          <w:tcPr>
            <w:tcW w:w="990" w:type="dxa"/>
            <w:shd w:val="clear" w:color="auto" w:fill="auto"/>
            <w:tcMar>
              <w:top w:w="15" w:type="dxa"/>
              <w:left w:w="15" w:type="dxa"/>
              <w:bottom w:w="0" w:type="dxa"/>
              <w:right w:w="15" w:type="dxa"/>
            </w:tcMar>
            <w:vAlign w:val="center"/>
            <w:hideMark/>
          </w:tcPr>
          <w:p w14:paraId="761CDE33" w14:textId="77777777" w:rsidR="00714AF2" w:rsidRPr="00FA29FA" w:rsidRDefault="00714AF2" w:rsidP="00A35569">
            <w:pPr>
              <w:pStyle w:val="ExhibitText"/>
              <w:keepNext/>
              <w:keepLines/>
              <w:jc w:val="right"/>
              <w:rPr>
                <w:sz w:val="18"/>
                <w:szCs w:val="18"/>
                <w:lang w:val="en-GB"/>
              </w:rPr>
            </w:pPr>
            <w:r w:rsidRPr="00FA29FA">
              <w:rPr>
                <w:sz w:val="18"/>
                <w:szCs w:val="18"/>
                <w:lang w:val="en-GB"/>
              </w:rPr>
              <w:t>6.20%</w:t>
            </w:r>
          </w:p>
        </w:tc>
        <w:tc>
          <w:tcPr>
            <w:tcW w:w="540" w:type="dxa"/>
            <w:shd w:val="clear" w:color="auto" w:fill="D9D9D9" w:themeFill="background1" w:themeFillShade="D9"/>
            <w:tcMar>
              <w:top w:w="15" w:type="dxa"/>
              <w:left w:w="15" w:type="dxa"/>
              <w:bottom w:w="0" w:type="dxa"/>
              <w:right w:w="15" w:type="dxa"/>
            </w:tcMar>
            <w:vAlign w:val="center"/>
            <w:hideMark/>
          </w:tcPr>
          <w:p w14:paraId="4C8540FD"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5</w:t>
            </w:r>
          </w:p>
        </w:tc>
        <w:tc>
          <w:tcPr>
            <w:tcW w:w="945" w:type="dxa"/>
            <w:shd w:val="clear" w:color="auto" w:fill="auto"/>
            <w:tcMar>
              <w:top w:w="15" w:type="dxa"/>
              <w:left w:w="15" w:type="dxa"/>
              <w:bottom w:w="0" w:type="dxa"/>
              <w:right w:w="15" w:type="dxa"/>
            </w:tcMar>
            <w:vAlign w:val="center"/>
            <w:hideMark/>
          </w:tcPr>
          <w:p w14:paraId="2F1B0A7E" w14:textId="77777777" w:rsidR="00714AF2" w:rsidRPr="00FA29FA" w:rsidRDefault="00714AF2" w:rsidP="00A35569">
            <w:pPr>
              <w:pStyle w:val="ExhibitText"/>
              <w:keepNext/>
              <w:keepLines/>
              <w:jc w:val="right"/>
              <w:rPr>
                <w:sz w:val="18"/>
                <w:szCs w:val="18"/>
                <w:lang w:val="en-GB"/>
              </w:rPr>
            </w:pPr>
            <w:r w:rsidRPr="00FA29FA">
              <w:rPr>
                <w:sz w:val="18"/>
                <w:szCs w:val="18"/>
                <w:lang w:val="en-GB"/>
              </w:rPr>
              <w:t>994,574</w:t>
            </w:r>
          </w:p>
        </w:tc>
        <w:tc>
          <w:tcPr>
            <w:tcW w:w="1125" w:type="dxa"/>
            <w:shd w:val="clear" w:color="auto" w:fill="auto"/>
            <w:tcMar>
              <w:top w:w="15" w:type="dxa"/>
              <w:left w:w="15" w:type="dxa"/>
              <w:bottom w:w="0" w:type="dxa"/>
              <w:right w:w="15" w:type="dxa"/>
            </w:tcMar>
            <w:vAlign w:val="center"/>
            <w:hideMark/>
          </w:tcPr>
          <w:p w14:paraId="3B6E62C8" w14:textId="77777777" w:rsidR="00714AF2" w:rsidRPr="00FA29FA" w:rsidRDefault="00714AF2" w:rsidP="00A35569">
            <w:pPr>
              <w:pStyle w:val="ExhibitText"/>
              <w:keepNext/>
              <w:keepLines/>
              <w:jc w:val="right"/>
              <w:rPr>
                <w:sz w:val="18"/>
                <w:szCs w:val="18"/>
                <w:lang w:val="en-GB"/>
              </w:rPr>
            </w:pPr>
            <w:r w:rsidRPr="00FA29FA">
              <w:rPr>
                <w:sz w:val="18"/>
                <w:szCs w:val="18"/>
                <w:lang w:val="en-GB"/>
              </w:rPr>
              <w:t>7.10%</w:t>
            </w:r>
          </w:p>
        </w:tc>
        <w:tc>
          <w:tcPr>
            <w:tcW w:w="540" w:type="dxa"/>
            <w:shd w:val="clear" w:color="auto" w:fill="D9D9D9" w:themeFill="background1" w:themeFillShade="D9"/>
            <w:tcMar>
              <w:top w:w="15" w:type="dxa"/>
              <w:left w:w="15" w:type="dxa"/>
              <w:bottom w:w="0" w:type="dxa"/>
              <w:right w:w="15" w:type="dxa"/>
            </w:tcMar>
            <w:vAlign w:val="center"/>
            <w:hideMark/>
          </w:tcPr>
          <w:p w14:paraId="14D078C9"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5</w:t>
            </w:r>
          </w:p>
        </w:tc>
        <w:tc>
          <w:tcPr>
            <w:tcW w:w="900" w:type="dxa"/>
            <w:shd w:val="clear" w:color="auto" w:fill="auto"/>
            <w:tcMar>
              <w:top w:w="15" w:type="dxa"/>
              <w:left w:w="15" w:type="dxa"/>
              <w:bottom w:w="0" w:type="dxa"/>
              <w:right w:w="15" w:type="dxa"/>
            </w:tcMar>
            <w:vAlign w:val="center"/>
            <w:hideMark/>
          </w:tcPr>
          <w:p w14:paraId="1CB6809A" w14:textId="77777777" w:rsidR="00714AF2" w:rsidRPr="00FA29FA" w:rsidRDefault="00714AF2" w:rsidP="00A35569">
            <w:pPr>
              <w:pStyle w:val="ExhibitText"/>
              <w:keepNext/>
              <w:keepLines/>
              <w:ind w:right="144"/>
              <w:jc w:val="right"/>
              <w:rPr>
                <w:sz w:val="18"/>
                <w:szCs w:val="18"/>
                <w:lang w:val="en-GB"/>
              </w:rPr>
            </w:pPr>
            <w:r w:rsidRPr="00FA29FA">
              <w:rPr>
                <w:sz w:val="18"/>
                <w:szCs w:val="18"/>
                <w:lang w:val="en-GB"/>
              </w:rPr>
              <w:t>21</w:t>
            </w:r>
          </w:p>
        </w:tc>
        <w:tc>
          <w:tcPr>
            <w:tcW w:w="540" w:type="dxa"/>
            <w:shd w:val="clear" w:color="auto" w:fill="D9D9D9" w:themeFill="background1" w:themeFillShade="D9"/>
            <w:tcMar>
              <w:top w:w="15" w:type="dxa"/>
              <w:left w:w="15" w:type="dxa"/>
              <w:bottom w:w="0" w:type="dxa"/>
              <w:right w:w="15" w:type="dxa"/>
            </w:tcMar>
            <w:vAlign w:val="center"/>
            <w:hideMark/>
          </w:tcPr>
          <w:p w14:paraId="207055A9"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12</w:t>
            </w:r>
          </w:p>
        </w:tc>
        <w:tc>
          <w:tcPr>
            <w:tcW w:w="900" w:type="dxa"/>
            <w:shd w:val="clear" w:color="auto" w:fill="auto"/>
            <w:tcMar>
              <w:top w:w="15" w:type="dxa"/>
              <w:left w:w="15" w:type="dxa"/>
              <w:bottom w:w="0" w:type="dxa"/>
              <w:right w:w="15" w:type="dxa"/>
            </w:tcMar>
            <w:vAlign w:val="center"/>
            <w:hideMark/>
          </w:tcPr>
          <w:p w14:paraId="1092F356" w14:textId="77777777" w:rsidR="00714AF2" w:rsidRPr="00FA29FA" w:rsidRDefault="00714AF2" w:rsidP="00A35569">
            <w:pPr>
              <w:pStyle w:val="ExhibitText"/>
              <w:keepNext/>
              <w:keepLines/>
              <w:jc w:val="right"/>
              <w:rPr>
                <w:sz w:val="18"/>
                <w:szCs w:val="18"/>
                <w:lang w:val="en-GB"/>
              </w:rPr>
            </w:pPr>
            <w:r w:rsidRPr="00FA29FA">
              <w:rPr>
                <w:sz w:val="18"/>
                <w:szCs w:val="18"/>
                <w:lang w:val="en-GB"/>
              </w:rPr>
              <w:t>18,899</w:t>
            </w:r>
          </w:p>
        </w:tc>
        <w:tc>
          <w:tcPr>
            <w:tcW w:w="540" w:type="dxa"/>
            <w:shd w:val="clear" w:color="auto" w:fill="D9D9D9" w:themeFill="background1" w:themeFillShade="D9"/>
            <w:tcMar>
              <w:top w:w="15" w:type="dxa"/>
              <w:left w:w="15" w:type="dxa"/>
              <w:bottom w:w="0" w:type="dxa"/>
              <w:right w:w="15" w:type="dxa"/>
            </w:tcMar>
            <w:vAlign w:val="center"/>
            <w:hideMark/>
          </w:tcPr>
          <w:p w14:paraId="708DF3E5"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6</w:t>
            </w:r>
          </w:p>
        </w:tc>
      </w:tr>
      <w:tr w:rsidR="00714AF2" w:rsidRPr="00FA29FA" w14:paraId="560BBA3F" w14:textId="77777777" w:rsidTr="0091456A">
        <w:trPr>
          <w:trHeight w:val="288"/>
          <w:tblHeader/>
        </w:trPr>
        <w:tc>
          <w:tcPr>
            <w:tcW w:w="1350" w:type="dxa"/>
            <w:shd w:val="clear" w:color="auto" w:fill="auto"/>
            <w:tcMar>
              <w:top w:w="15" w:type="dxa"/>
              <w:left w:w="15" w:type="dxa"/>
              <w:bottom w:w="0" w:type="dxa"/>
              <w:right w:w="15" w:type="dxa"/>
            </w:tcMar>
            <w:vAlign w:val="center"/>
            <w:hideMark/>
          </w:tcPr>
          <w:p w14:paraId="779AEA20" w14:textId="77777777" w:rsidR="00714AF2" w:rsidRPr="00FA29FA" w:rsidRDefault="00714AF2" w:rsidP="00A35569">
            <w:pPr>
              <w:pStyle w:val="ExhibitText"/>
              <w:keepNext/>
              <w:keepLines/>
              <w:rPr>
                <w:sz w:val="18"/>
                <w:szCs w:val="18"/>
                <w:lang w:val="en-GB"/>
              </w:rPr>
            </w:pPr>
            <w:r w:rsidRPr="00FA29FA">
              <w:rPr>
                <w:sz w:val="18"/>
                <w:szCs w:val="18"/>
                <w:lang w:val="en-GB"/>
              </w:rPr>
              <w:t xml:space="preserve">TOTAL </w:t>
            </w:r>
          </w:p>
        </w:tc>
        <w:tc>
          <w:tcPr>
            <w:tcW w:w="990" w:type="dxa"/>
            <w:shd w:val="clear" w:color="auto" w:fill="auto"/>
            <w:tcMar>
              <w:top w:w="15" w:type="dxa"/>
              <w:left w:w="15" w:type="dxa"/>
              <w:bottom w:w="0" w:type="dxa"/>
              <w:right w:w="15" w:type="dxa"/>
            </w:tcMar>
            <w:vAlign w:val="center"/>
            <w:hideMark/>
          </w:tcPr>
          <w:p w14:paraId="0D14CBF5" w14:textId="77777777" w:rsidR="00714AF2" w:rsidRPr="00FA29FA" w:rsidRDefault="00714AF2" w:rsidP="00A35569">
            <w:pPr>
              <w:pStyle w:val="ExhibitText"/>
              <w:keepNext/>
              <w:keepLines/>
              <w:jc w:val="right"/>
              <w:rPr>
                <w:sz w:val="18"/>
                <w:szCs w:val="18"/>
                <w:lang w:val="en-GB"/>
              </w:rPr>
            </w:pPr>
            <w:r w:rsidRPr="00FA29FA">
              <w:rPr>
                <w:sz w:val="18"/>
                <w:szCs w:val="18"/>
                <w:lang w:val="en-GB"/>
              </w:rPr>
              <w:t>8,936,743</w:t>
            </w:r>
          </w:p>
        </w:tc>
        <w:tc>
          <w:tcPr>
            <w:tcW w:w="990" w:type="dxa"/>
            <w:shd w:val="clear" w:color="auto" w:fill="auto"/>
            <w:tcMar>
              <w:top w:w="15" w:type="dxa"/>
              <w:left w:w="15" w:type="dxa"/>
              <w:bottom w:w="0" w:type="dxa"/>
              <w:right w:w="15" w:type="dxa"/>
            </w:tcMar>
            <w:vAlign w:val="center"/>
            <w:hideMark/>
          </w:tcPr>
          <w:p w14:paraId="71E13311" w14:textId="77777777" w:rsidR="00714AF2" w:rsidRPr="00FA29FA" w:rsidRDefault="00714AF2" w:rsidP="00A35569">
            <w:pPr>
              <w:pStyle w:val="ExhibitText"/>
              <w:keepNext/>
              <w:keepLines/>
              <w:jc w:val="right"/>
              <w:rPr>
                <w:sz w:val="18"/>
                <w:szCs w:val="18"/>
                <w:lang w:val="en-GB"/>
              </w:rPr>
            </w:pPr>
            <w:r w:rsidRPr="00FA29FA">
              <w:rPr>
                <w:sz w:val="18"/>
                <w:szCs w:val="18"/>
                <w:lang w:val="en-GB"/>
              </w:rPr>
              <w:t>45.80%</w:t>
            </w:r>
          </w:p>
        </w:tc>
        <w:tc>
          <w:tcPr>
            <w:tcW w:w="540" w:type="dxa"/>
            <w:shd w:val="clear" w:color="auto" w:fill="D9D9D9" w:themeFill="background1" w:themeFillShade="D9"/>
            <w:tcMar>
              <w:top w:w="15" w:type="dxa"/>
              <w:left w:w="15" w:type="dxa"/>
              <w:bottom w:w="0" w:type="dxa"/>
              <w:right w:w="15" w:type="dxa"/>
            </w:tcMar>
            <w:vAlign w:val="center"/>
            <w:hideMark/>
          </w:tcPr>
          <w:p w14:paraId="677114CD"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 </w:t>
            </w:r>
          </w:p>
        </w:tc>
        <w:tc>
          <w:tcPr>
            <w:tcW w:w="945" w:type="dxa"/>
            <w:shd w:val="clear" w:color="auto" w:fill="auto"/>
            <w:tcMar>
              <w:top w:w="15" w:type="dxa"/>
              <w:left w:w="15" w:type="dxa"/>
              <w:bottom w:w="0" w:type="dxa"/>
              <w:right w:w="15" w:type="dxa"/>
            </w:tcMar>
            <w:vAlign w:val="center"/>
            <w:hideMark/>
          </w:tcPr>
          <w:p w14:paraId="7837DF9A" w14:textId="77777777" w:rsidR="00714AF2" w:rsidRPr="00FA29FA" w:rsidRDefault="00714AF2" w:rsidP="00A35569">
            <w:pPr>
              <w:pStyle w:val="ExhibitText"/>
              <w:keepNext/>
              <w:keepLines/>
              <w:jc w:val="right"/>
              <w:rPr>
                <w:sz w:val="18"/>
                <w:szCs w:val="18"/>
                <w:lang w:val="en-GB"/>
              </w:rPr>
            </w:pPr>
            <w:r w:rsidRPr="00FA29FA">
              <w:rPr>
                <w:sz w:val="18"/>
                <w:szCs w:val="18"/>
                <w:lang w:val="en-GB"/>
              </w:rPr>
              <w:t>6,516,938</w:t>
            </w:r>
          </w:p>
        </w:tc>
        <w:tc>
          <w:tcPr>
            <w:tcW w:w="1125" w:type="dxa"/>
            <w:shd w:val="clear" w:color="auto" w:fill="auto"/>
            <w:tcMar>
              <w:top w:w="15" w:type="dxa"/>
              <w:left w:w="15" w:type="dxa"/>
              <w:bottom w:w="0" w:type="dxa"/>
              <w:right w:w="15" w:type="dxa"/>
            </w:tcMar>
            <w:vAlign w:val="center"/>
            <w:hideMark/>
          </w:tcPr>
          <w:p w14:paraId="1289FCB3" w14:textId="77777777" w:rsidR="00714AF2" w:rsidRPr="00FA29FA" w:rsidRDefault="00714AF2" w:rsidP="00A35569">
            <w:pPr>
              <w:pStyle w:val="ExhibitText"/>
              <w:keepNext/>
              <w:keepLines/>
              <w:jc w:val="right"/>
              <w:rPr>
                <w:sz w:val="18"/>
                <w:szCs w:val="18"/>
                <w:lang w:val="en-GB"/>
              </w:rPr>
            </w:pPr>
            <w:r w:rsidRPr="00FA29FA">
              <w:rPr>
                <w:sz w:val="18"/>
                <w:szCs w:val="18"/>
                <w:lang w:val="en-GB"/>
              </w:rPr>
              <w:t>46.75%</w:t>
            </w:r>
          </w:p>
        </w:tc>
        <w:tc>
          <w:tcPr>
            <w:tcW w:w="540" w:type="dxa"/>
            <w:shd w:val="clear" w:color="auto" w:fill="D9D9D9" w:themeFill="background1" w:themeFillShade="D9"/>
            <w:tcMar>
              <w:top w:w="15" w:type="dxa"/>
              <w:left w:w="15" w:type="dxa"/>
              <w:bottom w:w="0" w:type="dxa"/>
              <w:right w:w="15" w:type="dxa"/>
            </w:tcMar>
            <w:vAlign w:val="center"/>
            <w:hideMark/>
          </w:tcPr>
          <w:p w14:paraId="52B02C47"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 </w:t>
            </w:r>
          </w:p>
        </w:tc>
        <w:tc>
          <w:tcPr>
            <w:tcW w:w="900" w:type="dxa"/>
            <w:shd w:val="clear" w:color="auto" w:fill="auto"/>
            <w:tcMar>
              <w:top w:w="15" w:type="dxa"/>
              <w:left w:w="15" w:type="dxa"/>
              <w:bottom w:w="0" w:type="dxa"/>
              <w:right w:w="15" w:type="dxa"/>
            </w:tcMar>
            <w:vAlign w:val="center"/>
            <w:hideMark/>
          </w:tcPr>
          <w:p w14:paraId="4B9F840C" w14:textId="77777777" w:rsidR="00714AF2" w:rsidRPr="00FA29FA" w:rsidRDefault="00714AF2" w:rsidP="00A35569">
            <w:pPr>
              <w:pStyle w:val="ExhibitText"/>
              <w:keepNext/>
              <w:keepLines/>
              <w:ind w:right="144"/>
              <w:jc w:val="right"/>
              <w:rPr>
                <w:sz w:val="18"/>
                <w:szCs w:val="18"/>
                <w:lang w:val="en-GB"/>
              </w:rPr>
            </w:pPr>
            <w:r w:rsidRPr="00FA29FA">
              <w:rPr>
                <w:sz w:val="18"/>
                <w:szCs w:val="18"/>
                <w:lang w:val="en-GB"/>
              </w:rPr>
              <w:t>325</w:t>
            </w:r>
          </w:p>
        </w:tc>
        <w:tc>
          <w:tcPr>
            <w:tcW w:w="540" w:type="dxa"/>
            <w:shd w:val="clear" w:color="auto" w:fill="D9D9D9" w:themeFill="background1" w:themeFillShade="D9"/>
            <w:tcMar>
              <w:top w:w="15" w:type="dxa"/>
              <w:left w:w="15" w:type="dxa"/>
              <w:bottom w:w="0" w:type="dxa"/>
              <w:right w:w="15" w:type="dxa"/>
            </w:tcMar>
            <w:vAlign w:val="center"/>
            <w:hideMark/>
          </w:tcPr>
          <w:p w14:paraId="41999B8C"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 </w:t>
            </w:r>
          </w:p>
        </w:tc>
        <w:tc>
          <w:tcPr>
            <w:tcW w:w="900" w:type="dxa"/>
            <w:shd w:val="clear" w:color="auto" w:fill="auto"/>
            <w:tcMar>
              <w:top w:w="15" w:type="dxa"/>
              <w:left w:w="15" w:type="dxa"/>
              <w:bottom w:w="0" w:type="dxa"/>
              <w:right w:w="15" w:type="dxa"/>
            </w:tcMar>
            <w:vAlign w:val="center"/>
            <w:hideMark/>
          </w:tcPr>
          <w:p w14:paraId="3CF125DF" w14:textId="77777777" w:rsidR="00714AF2" w:rsidRPr="00FA29FA" w:rsidRDefault="00714AF2" w:rsidP="00A35569">
            <w:pPr>
              <w:pStyle w:val="ExhibitText"/>
              <w:keepNext/>
              <w:keepLines/>
              <w:jc w:val="right"/>
              <w:rPr>
                <w:sz w:val="18"/>
                <w:szCs w:val="18"/>
                <w:lang w:val="en-GB"/>
              </w:rPr>
            </w:pPr>
            <w:r w:rsidRPr="00FA29FA">
              <w:rPr>
                <w:sz w:val="18"/>
                <w:szCs w:val="18"/>
                <w:lang w:val="en-GB"/>
              </w:rPr>
              <w:t>223,581</w:t>
            </w:r>
          </w:p>
        </w:tc>
        <w:tc>
          <w:tcPr>
            <w:tcW w:w="540" w:type="dxa"/>
            <w:shd w:val="clear" w:color="auto" w:fill="D9D9D9" w:themeFill="background1" w:themeFillShade="D9"/>
            <w:tcMar>
              <w:top w:w="15" w:type="dxa"/>
              <w:left w:w="15" w:type="dxa"/>
              <w:bottom w:w="0" w:type="dxa"/>
              <w:right w:w="15" w:type="dxa"/>
            </w:tcMar>
            <w:vAlign w:val="center"/>
            <w:hideMark/>
          </w:tcPr>
          <w:p w14:paraId="0A46B7F4"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 </w:t>
            </w:r>
          </w:p>
        </w:tc>
      </w:tr>
      <w:tr w:rsidR="00ED73C4" w:rsidRPr="00FA29FA" w14:paraId="38213B10" w14:textId="77777777" w:rsidTr="0091456A">
        <w:trPr>
          <w:trHeight w:val="288"/>
          <w:tblHeader/>
        </w:trPr>
        <w:tc>
          <w:tcPr>
            <w:tcW w:w="1350" w:type="dxa"/>
            <w:shd w:val="clear" w:color="auto" w:fill="F2F2F2" w:themeFill="background1" w:themeFillShade="F2"/>
            <w:tcMar>
              <w:top w:w="15" w:type="dxa"/>
              <w:left w:w="15" w:type="dxa"/>
              <w:bottom w:w="0" w:type="dxa"/>
              <w:right w:w="15" w:type="dxa"/>
            </w:tcMar>
            <w:vAlign w:val="center"/>
            <w:hideMark/>
          </w:tcPr>
          <w:p w14:paraId="1AF4DBFB" w14:textId="77777777" w:rsidR="00714AF2" w:rsidRPr="00FA29FA" w:rsidRDefault="00714AF2" w:rsidP="00A35569">
            <w:pPr>
              <w:pStyle w:val="ExhibitText"/>
              <w:keepNext/>
              <w:keepLines/>
              <w:rPr>
                <w:sz w:val="18"/>
                <w:szCs w:val="18"/>
                <w:lang w:val="en-GB"/>
              </w:rPr>
            </w:pPr>
            <w:r w:rsidRPr="00FA29FA">
              <w:rPr>
                <w:sz w:val="18"/>
                <w:szCs w:val="18"/>
                <w:lang w:val="en-GB"/>
              </w:rPr>
              <w:t xml:space="preserve">TTB </w:t>
            </w:r>
          </w:p>
        </w:tc>
        <w:tc>
          <w:tcPr>
            <w:tcW w:w="990" w:type="dxa"/>
            <w:shd w:val="clear" w:color="auto" w:fill="F2F2F2" w:themeFill="background1" w:themeFillShade="F2"/>
            <w:tcMar>
              <w:top w:w="15" w:type="dxa"/>
              <w:left w:w="15" w:type="dxa"/>
              <w:bottom w:w="0" w:type="dxa"/>
              <w:right w:w="15" w:type="dxa"/>
            </w:tcMar>
            <w:vAlign w:val="center"/>
            <w:hideMark/>
          </w:tcPr>
          <w:p w14:paraId="3EA7DE89" w14:textId="77777777" w:rsidR="00714AF2" w:rsidRPr="00FA29FA" w:rsidRDefault="00714AF2" w:rsidP="00A35569">
            <w:pPr>
              <w:pStyle w:val="ExhibitText"/>
              <w:keepNext/>
              <w:keepLines/>
              <w:jc w:val="right"/>
              <w:rPr>
                <w:sz w:val="18"/>
                <w:szCs w:val="18"/>
                <w:lang w:val="en-GB"/>
              </w:rPr>
            </w:pPr>
            <w:r w:rsidRPr="00FA29FA">
              <w:rPr>
                <w:sz w:val="18"/>
                <w:szCs w:val="18"/>
                <w:lang w:val="en-GB"/>
              </w:rPr>
              <w:t>533,485</w:t>
            </w:r>
          </w:p>
        </w:tc>
        <w:tc>
          <w:tcPr>
            <w:tcW w:w="990" w:type="dxa"/>
            <w:shd w:val="clear" w:color="auto" w:fill="F2F2F2" w:themeFill="background1" w:themeFillShade="F2"/>
            <w:tcMar>
              <w:top w:w="15" w:type="dxa"/>
              <w:left w:w="15" w:type="dxa"/>
              <w:bottom w:w="0" w:type="dxa"/>
              <w:right w:w="15" w:type="dxa"/>
            </w:tcMar>
            <w:vAlign w:val="center"/>
            <w:hideMark/>
          </w:tcPr>
          <w:p w14:paraId="49110A02" w14:textId="77777777" w:rsidR="00714AF2" w:rsidRPr="00FA29FA" w:rsidRDefault="00714AF2" w:rsidP="00A35569">
            <w:pPr>
              <w:pStyle w:val="ExhibitText"/>
              <w:keepNext/>
              <w:keepLines/>
              <w:jc w:val="right"/>
              <w:rPr>
                <w:sz w:val="18"/>
                <w:szCs w:val="18"/>
                <w:lang w:val="en-GB"/>
              </w:rPr>
            </w:pPr>
            <w:r w:rsidRPr="00FA29FA">
              <w:rPr>
                <w:sz w:val="18"/>
                <w:szCs w:val="18"/>
                <w:lang w:val="en-GB"/>
              </w:rPr>
              <w:t>2.70%</w:t>
            </w:r>
          </w:p>
        </w:tc>
        <w:tc>
          <w:tcPr>
            <w:tcW w:w="540" w:type="dxa"/>
            <w:shd w:val="clear" w:color="auto" w:fill="D9D9D9" w:themeFill="background1" w:themeFillShade="D9"/>
            <w:tcMar>
              <w:top w:w="15" w:type="dxa"/>
              <w:left w:w="15" w:type="dxa"/>
              <w:bottom w:w="0" w:type="dxa"/>
              <w:right w:w="15" w:type="dxa"/>
            </w:tcMar>
            <w:vAlign w:val="center"/>
            <w:hideMark/>
          </w:tcPr>
          <w:p w14:paraId="2DB9B935"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15</w:t>
            </w:r>
          </w:p>
        </w:tc>
        <w:tc>
          <w:tcPr>
            <w:tcW w:w="945" w:type="dxa"/>
            <w:shd w:val="clear" w:color="auto" w:fill="F2F2F2" w:themeFill="background1" w:themeFillShade="F2"/>
            <w:tcMar>
              <w:top w:w="15" w:type="dxa"/>
              <w:left w:w="15" w:type="dxa"/>
              <w:bottom w:w="0" w:type="dxa"/>
              <w:right w:w="15" w:type="dxa"/>
            </w:tcMar>
            <w:vAlign w:val="center"/>
            <w:hideMark/>
          </w:tcPr>
          <w:p w14:paraId="4902EEDC" w14:textId="77777777" w:rsidR="00714AF2" w:rsidRPr="00FA29FA" w:rsidRDefault="00714AF2" w:rsidP="00A35569">
            <w:pPr>
              <w:pStyle w:val="ExhibitText"/>
              <w:keepNext/>
              <w:keepLines/>
              <w:jc w:val="right"/>
              <w:rPr>
                <w:sz w:val="18"/>
                <w:szCs w:val="18"/>
                <w:lang w:val="en-GB"/>
              </w:rPr>
            </w:pPr>
            <w:r w:rsidRPr="00FA29FA">
              <w:rPr>
                <w:sz w:val="18"/>
                <w:szCs w:val="18"/>
                <w:lang w:val="en-GB"/>
              </w:rPr>
              <w:t>285,052</w:t>
            </w:r>
          </w:p>
        </w:tc>
        <w:tc>
          <w:tcPr>
            <w:tcW w:w="1125" w:type="dxa"/>
            <w:shd w:val="clear" w:color="auto" w:fill="F2F2F2" w:themeFill="background1" w:themeFillShade="F2"/>
            <w:tcMar>
              <w:top w:w="15" w:type="dxa"/>
              <w:left w:w="15" w:type="dxa"/>
              <w:bottom w:w="0" w:type="dxa"/>
              <w:right w:w="15" w:type="dxa"/>
            </w:tcMar>
            <w:vAlign w:val="center"/>
            <w:hideMark/>
          </w:tcPr>
          <w:p w14:paraId="10924824" w14:textId="77777777" w:rsidR="00714AF2" w:rsidRPr="00FA29FA" w:rsidRDefault="00714AF2" w:rsidP="00A35569">
            <w:pPr>
              <w:pStyle w:val="ExhibitText"/>
              <w:keepNext/>
              <w:keepLines/>
              <w:jc w:val="right"/>
              <w:rPr>
                <w:sz w:val="18"/>
                <w:szCs w:val="18"/>
                <w:lang w:val="en-GB"/>
              </w:rPr>
            </w:pPr>
            <w:r w:rsidRPr="00FA29FA">
              <w:rPr>
                <w:sz w:val="18"/>
                <w:szCs w:val="18"/>
                <w:lang w:val="en-GB"/>
              </w:rPr>
              <w:t>2.10%</w:t>
            </w:r>
          </w:p>
        </w:tc>
        <w:tc>
          <w:tcPr>
            <w:tcW w:w="540" w:type="dxa"/>
            <w:shd w:val="clear" w:color="auto" w:fill="D9D9D9" w:themeFill="background1" w:themeFillShade="D9"/>
            <w:tcMar>
              <w:top w:w="15" w:type="dxa"/>
              <w:left w:w="15" w:type="dxa"/>
              <w:bottom w:w="0" w:type="dxa"/>
              <w:right w:w="15" w:type="dxa"/>
            </w:tcMar>
            <w:vAlign w:val="center"/>
            <w:hideMark/>
          </w:tcPr>
          <w:p w14:paraId="56E634DD"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19</w:t>
            </w:r>
          </w:p>
        </w:tc>
        <w:tc>
          <w:tcPr>
            <w:tcW w:w="900" w:type="dxa"/>
            <w:shd w:val="clear" w:color="auto" w:fill="F2F2F2" w:themeFill="background1" w:themeFillShade="F2"/>
            <w:tcMar>
              <w:top w:w="15" w:type="dxa"/>
              <w:left w:w="15" w:type="dxa"/>
              <w:bottom w:w="0" w:type="dxa"/>
              <w:right w:w="15" w:type="dxa"/>
            </w:tcMar>
            <w:vAlign w:val="center"/>
            <w:hideMark/>
          </w:tcPr>
          <w:p w14:paraId="5886ED6E" w14:textId="77777777" w:rsidR="00714AF2" w:rsidRPr="00FA29FA" w:rsidRDefault="00714AF2" w:rsidP="00A35569">
            <w:pPr>
              <w:pStyle w:val="ExhibitText"/>
              <w:keepNext/>
              <w:keepLines/>
              <w:ind w:right="144"/>
              <w:jc w:val="right"/>
              <w:rPr>
                <w:sz w:val="18"/>
                <w:szCs w:val="18"/>
                <w:lang w:val="en-GB"/>
              </w:rPr>
            </w:pPr>
            <w:r w:rsidRPr="00FA29FA">
              <w:rPr>
                <w:sz w:val="18"/>
                <w:szCs w:val="18"/>
                <w:lang w:val="en-GB"/>
              </w:rPr>
              <w:t>20</w:t>
            </w:r>
          </w:p>
        </w:tc>
        <w:tc>
          <w:tcPr>
            <w:tcW w:w="540" w:type="dxa"/>
            <w:shd w:val="clear" w:color="auto" w:fill="D9D9D9" w:themeFill="background1" w:themeFillShade="D9"/>
            <w:tcMar>
              <w:top w:w="15" w:type="dxa"/>
              <w:left w:w="15" w:type="dxa"/>
              <w:bottom w:w="0" w:type="dxa"/>
              <w:right w:w="15" w:type="dxa"/>
            </w:tcMar>
            <w:vAlign w:val="center"/>
            <w:hideMark/>
          </w:tcPr>
          <w:p w14:paraId="4B4F8B6C"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14</w:t>
            </w:r>
          </w:p>
        </w:tc>
        <w:tc>
          <w:tcPr>
            <w:tcW w:w="900" w:type="dxa"/>
            <w:shd w:val="clear" w:color="auto" w:fill="F2F2F2" w:themeFill="background1" w:themeFillShade="F2"/>
            <w:tcMar>
              <w:top w:w="15" w:type="dxa"/>
              <w:left w:w="15" w:type="dxa"/>
              <w:bottom w:w="0" w:type="dxa"/>
              <w:right w:w="15" w:type="dxa"/>
            </w:tcMar>
            <w:vAlign w:val="center"/>
            <w:hideMark/>
          </w:tcPr>
          <w:p w14:paraId="45A48EBE" w14:textId="77777777" w:rsidR="00714AF2" w:rsidRPr="00FA29FA" w:rsidRDefault="00714AF2" w:rsidP="00A35569">
            <w:pPr>
              <w:pStyle w:val="ExhibitText"/>
              <w:keepNext/>
              <w:keepLines/>
              <w:jc w:val="right"/>
              <w:rPr>
                <w:sz w:val="18"/>
                <w:szCs w:val="18"/>
                <w:lang w:val="en-GB"/>
              </w:rPr>
            </w:pPr>
            <w:r w:rsidRPr="00FA29FA">
              <w:rPr>
                <w:sz w:val="18"/>
                <w:szCs w:val="18"/>
                <w:lang w:val="en-GB"/>
              </w:rPr>
              <w:t>11,050</w:t>
            </w:r>
          </w:p>
        </w:tc>
        <w:tc>
          <w:tcPr>
            <w:tcW w:w="540" w:type="dxa"/>
            <w:shd w:val="clear" w:color="auto" w:fill="D9D9D9" w:themeFill="background1" w:themeFillShade="D9"/>
            <w:tcMar>
              <w:top w:w="15" w:type="dxa"/>
              <w:left w:w="15" w:type="dxa"/>
              <w:bottom w:w="0" w:type="dxa"/>
              <w:right w:w="15" w:type="dxa"/>
            </w:tcMar>
            <w:vAlign w:val="center"/>
            <w:hideMark/>
          </w:tcPr>
          <w:p w14:paraId="5504E710"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11</w:t>
            </w:r>
          </w:p>
        </w:tc>
      </w:tr>
      <w:tr w:rsidR="00ED73C4" w:rsidRPr="00FA29FA" w14:paraId="05076234" w14:textId="77777777" w:rsidTr="0091456A">
        <w:trPr>
          <w:trHeight w:val="288"/>
          <w:tblHeader/>
        </w:trPr>
        <w:tc>
          <w:tcPr>
            <w:tcW w:w="1350" w:type="dxa"/>
            <w:shd w:val="clear" w:color="auto" w:fill="D9D9D9" w:themeFill="background1" w:themeFillShade="D9"/>
            <w:tcMar>
              <w:top w:w="15" w:type="dxa"/>
              <w:left w:w="15" w:type="dxa"/>
              <w:bottom w:w="0" w:type="dxa"/>
              <w:right w:w="15" w:type="dxa"/>
            </w:tcMar>
            <w:vAlign w:val="center"/>
            <w:hideMark/>
          </w:tcPr>
          <w:p w14:paraId="6DE39E04" w14:textId="38F81C12" w:rsidR="00714AF2" w:rsidRPr="00FA29FA" w:rsidRDefault="00B8694C" w:rsidP="00A35569">
            <w:pPr>
              <w:pStyle w:val="ExhibitText"/>
              <w:keepNext/>
              <w:keepLines/>
              <w:rPr>
                <w:sz w:val="18"/>
                <w:szCs w:val="18"/>
                <w:lang w:val="en-GB"/>
              </w:rPr>
            </w:pPr>
            <w:r>
              <w:rPr>
                <w:sz w:val="18"/>
                <w:szCs w:val="18"/>
                <w:lang w:val="en-GB"/>
              </w:rPr>
              <w:t>Ecobank</w:t>
            </w:r>
            <w:r w:rsidRPr="00FA29FA">
              <w:rPr>
                <w:sz w:val="18"/>
                <w:szCs w:val="18"/>
                <w:lang w:val="en-GB"/>
              </w:rPr>
              <w:t xml:space="preserve"> </w:t>
            </w:r>
            <w:r w:rsidR="00714AF2" w:rsidRPr="00FA29FA">
              <w:rPr>
                <w:sz w:val="18"/>
                <w:szCs w:val="18"/>
                <w:lang w:val="en-GB"/>
              </w:rPr>
              <w:t>&amp; TTB</w:t>
            </w:r>
          </w:p>
        </w:tc>
        <w:tc>
          <w:tcPr>
            <w:tcW w:w="990" w:type="dxa"/>
            <w:shd w:val="clear" w:color="auto" w:fill="D9D9D9" w:themeFill="background1" w:themeFillShade="D9"/>
            <w:tcMar>
              <w:top w:w="15" w:type="dxa"/>
              <w:left w:w="15" w:type="dxa"/>
              <w:bottom w:w="0" w:type="dxa"/>
              <w:right w:w="15" w:type="dxa"/>
            </w:tcMar>
            <w:vAlign w:val="center"/>
            <w:hideMark/>
          </w:tcPr>
          <w:p w14:paraId="5031EB0D" w14:textId="77777777" w:rsidR="00714AF2" w:rsidRPr="00FA29FA" w:rsidRDefault="00714AF2" w:rsidP="00A35569">
            <w:pPr>
              <w:pStyle w:val="ExhibitText"/>
              <w:keepNext/>
              <w:keepLines/>
              <w:jc w:val="right"/>
              <w:rPr>
                <w:sz w:val="18"/>
                <w:szCs w:val="18"/>
                <w:lang w:val="en-GB"/>
              </w:rPr>
            </w:pPr>
            <w:r w:rsidRPr="00FA29FA">
              <w:rPr>
                <w:sz w:val="18"/>
                <w:szCs w:val="18"/>
                <w:lang w:val="en-GB"/>
              </w:rPr>
              <w:t>2,430,720</w:t>
            </w:r>
          </w:p>
        </w:tc>
        <w:tc>
          <w:tcPr>
            <w:tcW w:w="990" w:type="dxa"/>
            <w:shd w:val="clear" w:color="auto" w:fill="D9D9D9" w:themeFill="background1" w:themeFillShade="D9"/>
            <w:tcMar>
              <w:top w:w="15" w:type="dxa"/>
              <w:left w:w="15" w:type="dxa"/>
              <w:bottom w:w="0" w:type="dxa"/>
              <w:right w:w="15" w:type="dxa"/>
            </w:tcMar>
            <w:vAlign w:val="center"/>
            <w:hideMark/>
          </w:tcPr>
          <w:p w14:paraId="26132545" w14:textId="77777777" w:rsidR="00714AF2" w:rsidRPr="00FA29FA" w:rsidRDefault="00714AF2" w:rsidP="00A35569">
            <w:pPr>
              <w:pStyle w:val="ExhibitText"/>
              <w:keepNext/>
              <w:keepLines/>
              <w:jc w:val="right"/>
              <w:rPr>
                <w:sz w:val="18"/>
                <w:szCs w:val="18"/>
                <w:lang w:val="en-GB"/>
              </w:rPr>
            </w:pPr>
            <w:r w:rsidRPr="00FA29FA">
              <w:rPr>
                <w:sz w:val="18"/>
                <w:szCs w:val="18"/>
                <w:lang w:val="en-GB"/>
              </w:rPr>
              <w:t>12.50%</w:t>
            </w:r>
          </w:p>
        </w:tc>
        <w:tc>
          <w:tcPr>
            <w:tcW w:w="540" w:type="dxa"/>
            <w:shd w:val="clear" w:color="auto" w:fill="D9D9D9" w:themeFill="background1" w:themeFillShade="D9"/>
            <w:tcMar>
              <w:top w:w="15" w:type="dxa"/>
              <w:left w:w="15" w:type="dxa"/>
              <w:bottom w:w="0" w:type="dxa"/>
              <w:right w:w="15" w:type="dxa"/>
            </w:tcMar>
            <w:vAlign w:val="center"/>
            <w:hideMark/>
          </w:tcPr>
          <w:p w14:paraId="47898FD9"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1</w:t>
            </w:r>
          </w:p>
        </w:tc>
        <w:tc>
          <w:tcPr>
            <w:tcW w:w="945" w:type="dxa"/>
            <w:shd w:val="clear" w:color="auto" w:fill="D9D9D9" w:themeFill="background1" w:themeFillShade="D9"/>
            <w:tcMar>
              <w:top w:w="15" w:type="dxa"/>
              <w:left w:w="15" w:type="dxa"/>
              <w:bottom w:w="0" w:type="dxa"/>
              <w:right w:w="15" w:type="dxa"/>
            </w:tcMar>
            <w:vAlign w:val="center"/>
            <w:hideMark/>
          </w:tcPr>
          <w:p w14:paraId="03605220" w14:textId="77777777" w:rsidR="00714AF2" w:rsidRPr="00FA29FA" w:rsidRDefault="00714AF2" w:rsidP="00A35569">
            <w:pPr>
              <w:pStyle w:val="ExhibitText"/>
              <w:keepNext/>
              <w:keepLines/>
              <w:jc w:val="right"/>
              <w:rPr>
                <w:sz w:val="18"/>
                <w:szCs w:val="18"/>
                <w:lang w:val="en-GB"/>
              </w:rPr>
            </w:pPr>
            <w:r w:rsidRPr="00FA29FA">
              <w:rPr>
                <w:sz w:val="18"/>
                <w:szCs w:val="18"/>
                <w:lang w:val="en-GB"/>
              </w:rPr>
              <w:t>1,730,474</w:t>
            </w:r>
          </w:p>
        </w:tc>
        <w:tc>
          <w:tcPr>
            <w:tcW w:w="1125" w:type="dxa"/>
            <w:shd w:val="clear" w:color="auto" w:fill="D9D9D9" w:themeFill="background1" w:themeFillShade="D9"/>
            <w:tcMar>
              <w:top w:w="15" w:type="dxa"/>
              <w:left w:w="15" w:type="dxa"/>
              <w:bottom w:w="0" w:type="dxa"/>
              <w:right w:w="15" w:type="dxa"/>
            </w:tcMar>
            <w:vAlign w:val="center"/>
            <w:hideMark/>
          </w:tcPr>
          <w:p w14:paraId="213B4462" w14:textId="77777777" w:rsidR="00714AF2" w:rsidRPr="00FA29FA" w:rsidRDefault="00714AF2" w:rsidP="00A35569">
            <w:pPr>
              <w:pStyle w:val="ExhibitText"/>
              <w:keepNext/>
              <w:keepLines/>
              <w:jc w:val="right"/>
              <w:rPr>
                <w:sz w:val="18"/>
                <w:szCs w:val="18"/>
                <w:lang w:val="en-GB"/>
              </w:rPr>
            </w:pPr>
            <w:r w:rsidRPr="00FA29FA">
              <w:rPr>
                <w:sz w:val="18"/>
                <w:szCs w:val="18"/>
                <w:lang w:val="en-GB"/>
              </w:rPr>
              <w:t>12.10%</w:t>
            </w:r>
          </w:p>
        </w:tc>
        <w:tc>
          <w:tcPr>
            <w:tcW w:w="540" w:type="dxa"/>
            <w:shd w:val="clear" w:color="auto" w:fill="D9D9D9" w:themeFill="background1" w:themeFillShade="D9"/>
            <w:tcMar>
              <w:top w:w="15" w:type="dxa"/>
              <w:left w:w="15" w:type="dxa"/>
              <w:bottom w:w="0" w:type="dxa"/>
              <w:right w:w="15" w:type="dxa"/>
            </w:tcMar>
            <w:vAlign w:val="center"/>
            <w:hideMark/>
          </w:tcPr>
          <w:p w14:paraId="79BB2443"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2</w:t>
            </w:r>
          </w:p>
        </w:tc>
        <w:tc>
          <w:tcPr>
            <w:tcW w:w="900" w:type="dxa"/>
            <w:shd w:val="clear" w:color="auto" w:fill="D9D9D9" w:themeFill="background1" w:themeFillShade="D9"/>
            <w:tcMar>
              <w:top w:w="15" w:type="dxa"/>
              <w:left w:w="15" w:type="dxa"/>
              <w:bottom w:w="0" w:type="dxa"/>
              <w:right w:w="15" w:type="dxa"/>
            </w:tcMar>
            <w:vAlign w:val="center"/>
            <w:hideMark/>
          </w:tcPr>
          <w:p w14:paraId="1B6B152E" w14:textId="77777777" w:rsidR="00714AF2" w:rsidRPr="00FA29FA" w:rsidRDefault="00714AF2" w:rsidP="00A35569">
            <w:pPr>
              <w:pStyle w:val="ExhibitText"/>
              <w:keepNext/>
              <w:keepLines/>
              <w:ind w:right="144"/>
              <w:jc w:val="right"/>
              <w:rPr>
                <w:sz w:val="18"/>
                <w:szCs w:val="18"/>
                <w:lang w:val="en-GB"/>
              </w:rPr>
            </w:pPr>
            <w:r w:rsidRPr="00FA29FA">
              <w:rPr>
                <w:sz w:val="18"/>
                <w:szCs w:val="18"/>
                <w:lang w:val="en-GB"/>
              </w:rPr>
              <w:t>73</w:t>
            </w:r>
          </w:p>
        </w:tc>
        <w:tc>
          <w:tcPr>
            <w:tcW w:w="540" w:type="dxa"/>
            <w:shd w:val="clear" w:color="auto" w:fill="D9D9D9" w:themeFill="background1" w:themeFillShade="D9"/>
            <w:tcMar>
              <w:top w:w="15" w:type="dxa"/>
              <w:left w:w="15" w:type="dxa"/>
              <w:bottom w:w="0" w:type="dxa"/>
              <w:right w:w="15" w:type="dxa"/>
            </w:tcMar>
            <w:vAlign w:val="center"/>
            <w:hideMark/>
          </w:tcPr>
          <w:p w14:paraId="76183C7B"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2</w:t>
            </w:r>
          </w:p>
        </w:tc>
        <w:tc>
          <w:tcPr>
            <w:tcW w:w="900" w:type="dxa"/>
            <w:shd w:val="clear" w:color="auto" w:fill="D9D9D9" w:themeFill="background1" w:themeFillShade="D9"/>
            <w:tcMar>
              <w:top w:w="15" w:type="dxa"/>
              <w:left w:w="15" w:type="dxa"/>
              <w:bottom w:w="0" w:type="dxa"/>
              <w:right w:w="15" w:type="dxa"/>
            </w:tcMar>
            <w:vAlign w:val="center"/>
            <w:hideMark/>
          </w:tcPr>
          <w:p w14:paraId="1AD5326C" w14:textId="77777777" w:rsidR="00714AF2" w:rsidRPr="00FA29FA" w:rsidRDefault="00714AF2" w:rsidP="00A35569">
            <w:pPr>
              <w:pStyle w:val="ExhibitText"/>
              <w:keepNext/>
              <w:keepLines/>
              <w:jc w:val="right"/>
              <w:rPr>
                <w:sz w:val="18"/>
                <w:szCs w:val="18"/>
                <w:lang w:val="en-GB"/>
              </w:rPr>
            </w:pPr>
            <w:r w:rsidRPr="00FA29FA">
              <w:rPr>
                <w:sz w:val="18"/>
                <w:szCs w:val="18"/>
                <w:lang w:val="en-GB"/>
              </w:rPr>
              <w:t>63,738</w:t>
            </w:r>
          </w:p>
        </w:tc>
        <w:tc>
          <w:tcPr>
            <w:tcW w:w="540" w:type="dxa"/>
            <w:shd w:val="clear" w:color="auto" w:fill="D9D9D9" w:themeFill="background1" w:themeFillShade="D9"/>
            <w:tcMar>
              <w:top w:w="15" w:type="dxa"/>
              <w:left w:w="15" w:type="dxa"/>
              <w:bottom w:w="0" w:type="dxa"/>
              <w:right w:w="15" w:type="dxa"/>
            </w:tcMar>
            <w:vAlign w:val="center"/>
            <w:hideMark/>
          </w:tcPr>
          <w:p w14:paraId="7FFC16E6" w14:textId="77777777" w:rsidR="00714AF2" w:rsidRPr="00FA29FA" w:rsidRDefault="00714AF2" w:rsidP="00A35569">
            <w:pPr>
              <w:pStyle w:val="ExhibitText"/>
              <w:keepNext/>
              <w:keepLines/>
              <w:ind w:right="72"/>
              <w:jc w:val="right"/>
              <w:rPr>
                <w:sz w:val="18"/>
                <w:szCs w:val="18"/>
                <w:lang w:val="en-GB"/>
              </w:rPr>
            </w:pPr>
            <w:r w:rsidRPr="00FA29FA">
              <w:rPr>
                <w:sz w:val="18"/>
                <w:szCs w:val="18"/>
                <w:lang w:val="en-GB"/>
              </w:rPr>
              <w:t>1</w:t>
            </w:r>
          </w:p>
        </w:tc>
      </w:tr>
    </w:tbl>
    <w:p w14:paraId="3C84373A" w14:textId="77777777" w:rsidR="00783C05" w:rsidRPr="00FA29FA" w:rsidRDefault="00783C05" w:rsidP="00ED73C4">
      <w:pPr>
        <w:pStyle w:val="ExhibitText"/>
        <w:rPr>
          <w:lang w:val="en-GB"/>
        </w:rPr>
      </w:pPr>
    </w:p>
    <w:p w14:paraId="029A067A" w14:textId="77777777" w:rsidR="00714AF2" w:rsidRPr="00FA29FA" w:rsidRDefault="00714AF2" w:rsidP="00066A38">
      <w:pPr>
        <w:pStyle w:val="Casehead2"/>
        <w:keepNext w:val="0"/>
        <w:keepLines/>
        <w:rPr>
          <w:lang w:val="en-GB"/>
        </w:rPr>
      </w:pPr>
      <w:r w:rsidRPr="00FA29FA">
        <w:rPr>
          <w:lang w:val="en-GB"/>
        </w:rPr>
        <w:t>Key Takeaways</w:t>
      </w:r>
    </w:p>
    <w:p w14:paraId="69F7273F" w14:textId="77777777" w:rsidR="00714AF2" w:rsidRPr="00FA29FA" w:rsidRDefault="00714AF2" w:rsidP="00ED73C4">
      <w:pPr>
        <w:pStyle w:val="ExhibitText"/>
        <w:rPr>
          <w:lang w:val="en-GB"/>
        </w:rPr>
      </w:pPr>
    </w:p>
    <w:p w14:paraId="49A98D2E" w14:textId="1A607DD9" w:rsidR="00714AF2" w:rsidRDefault="00714AF2" w:rsidP="00ED73C4">
      <w:pPr>
        <w:pStyle w:val="ExhibitText"/>
        <w:rPr>
          <w:lang w:val="en-GB"/>
        </w:rPr>
      </w:pPr>
      <w:r w:rsidRPr="00FA29FA">
        <w:rPr>
          <w:lang w:val="en-GB"/>
        </w:rPr>
        <w:t xml:space="preserve">The merger of </w:t>
      </w:r>
      <w:r w:rsidR="00B8694C">
        <w:rPr>
          <w:lang w:val="en-GB"/>
        </w:rPr>
        <w:t>Ecobank</w:t>
      </w:r>
      <w:r w:rsidR="00B8694C" w:rsidRPr="00FA29FA">
        <w:rPr>
          <w:lang w:val="en-GB"/>
        </w:rPr>
        <w:t xml:space="preserve"> </w:t>
      </w:r>
      <w:r w:rsidRPr="00FA29FA">
        <w:rPr>
          <w:lang w:val="en-GB"/>
        </w:rPr>
        <w:t xml:space="preserve">and TTB </w:t>
      </w:r>
      <w:r w:rsidR="004E3666" w:rsidRPr="00FA29FA">
        <w:rPr>
          <w:lang w:val="en-GB"/>
        </w:rPr>
        <w:t xml:space="preserve">represented </w:t>
      </w:r>
      <w:r w:rsidRPr="00FA29FA">
        <w:rPr>
          <w:lang w:val="en-GB"/>
        </w:rPr>
        <w:t>a winning solution for all parties.</w:t>
      </w:r>
    </w:p>
    <w:p w14:paraId="02C89E64" w14:textId="499AF93D" w:rsidR="00EA0100" w:rsidRDefault="00EA0100" w:rsidP="00ED73C4">
      <w:pPr>
        <w:pStyle w:val="ExhibitText"/>
        <w:rPr>
          <w:lang w:val="en-GB"/>
        </w:rPr>
      </w:pPr>
    </w:p>
    <w:p w14:paraId="59587219" w14:textId="74F28153" w:rsidR="00EA0100" w:rsidRPr="00FA29FA" w:rsidRDefault="00EA0100" w:rsidP="00EA0100">
      <w:pPr>
        <w:pStyle w:val="ExhibitText"/>
        <w:jc w:val="center"/>
        <w:rPr>
          <w:lang w:val="en-GB"/>
        </w:rPr>
      </w:pPr>
      <w:r>
        <w:rPr>
          <w:noProof/>
        </w:rPr>
        <w:drawing>
          <wp:inline distT="0" distB="0" distL="0" distR="0" wp14:anchorId="165851DA" wp14:editId="4D6789C8">
            <wp:extent cx="4171950" cy="3602212"/>
            <wp:effectExtent l="0" t="0" r="0" b="0"/>
            <wp:docPr id="3" name="Picture 3" descr="Benefits to stake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60"/>
                    <a:stretch/>
                  </pic:blipFill>
                  <pic:spPr bwMode="auto">
                    <a:xfrm>
                      <a:off x="0" y="0"/>
                      <a:ext cx="4179573" cy="3608794"/>
                    </a:xfrm>
                    <a:prstGeom prst="rect">
                      <a:avLst/>
                    </a:prstGeom>
                    <a:ln>
                      <a:noFill/>
                    </a:ln>
                    <a:extLst>
                      <a:ext uri="{53640926-AAD7-44D8-BBD7-CCE9431645EC}">
                        <a14:shadowObscured xmlns:a14="http://schemas.microsoft.com/office/drawing/2010/main"/>
                      </a:ext>
                    </a:extLst>
                  </pic:spPr>
                </pic:pic>
              </a:graphicData>
            </a:graphic>
          </wp:inline>
        </w:drawing>
      </w:r>
    </w:p>
    <w:p w14:paraId="171C3DFE" w14:textId="0A43EE43" w:rsidR="00714AF2" w:rsidRPr="00FA29FA" w:rsidRDefault="00714AF2" w:rsidP="00ED73C4">
      <w:pPr>
        <w:pStyle w:val="ExhibitText"/>
        <w:jc w:val="center"/>
        <w:rPr>
          <w:lang w:val="en-GB"/>
        </w:rPr>
      </w:pPr>
    </w:p>
    <w:p w14:paraId="0576C24C" w14:textId="1F5954C7" w:rsidR="00714AF2" w:rsidRPr="00FA29FA" w:rsidRDefault="00714AF2" w:rsidP="00ED73C4">
      <w:pPr>
        <w:pStyle w:val="Footnote"/>
        <w:rPr>
          <w:lang w:val="en-GB"/>
        </w:rPr>
      </w:pPr>
      <w:r w:rsidRPr="00FA29FA">
        <w:rPr>
          <w:lang w:val="en-GB"/>
        </w:rPr>
        <w:t>Note</w:t>
      </w:r>
      <w:r w:rsidR="00426FFF" w:rsidRPr="00FA29FA">
        <w:rPr>
          <w:lang w:val="en-GB"/>
        </w:rPr>
        <w:t>s</w:t>
      </w:r>
      <w:r w:rsidRPr="00FA29FA">
        <w:rPr>
          <w:lang w:val="en-GB"/>
        </w:rPr>
        <w:t xml:space="preserve">: </w:t>
      </w:r>
      <w:r w:rsidR="00767017" w:rsidRPr="00FA29FA">
        <w:rPr>
          <w:lang w:val="en-GB"/>
        </w:rPr>
        <w:t xml:space="preserve">BBG = Barclays Bank of Ghana Ltd.; BoG = board of governors; COFIPA = COFIPA Investment Bank; </w:t>
      </w:r>
      <w:r w:rsidR="00DE43B8">
        <w:rPr>
          <w:lang w:val="en-GB"/>
        </w:rPr>
        <w:br/>
      </w:r>
      <w:r w:rsidR="00426FFF" w:rsidRPr="00FA29FA">
        <w:rPr>
          <w:lang w:val="en-GB"/>
        </w:rPr>
        <w:t xml:space="preserve">ETI = </w:t>
      </w:r>
      <w:r w:rsidR="00BA683B" w:rsidRPr="00FA29FA">
        <w:rPr>
          <w:lang w:val="en-GB"/>
        </w:rPr>
        <w:t>Ecobank Transnational Incorporated</w:t>
      </w:r>
      <w:r w:rsidR="00426FFF" w:rsidRPr="00FA29FA">
        <w:rPr>
          <w:lang w:val="en-GB"/>
        </w:rPr>
        <w:t xml:space="preserve">; </w:t>
      </w:r>
      <w:r w:rsidR="00767017" w:rsidRPr="00FA29FA">
        <w:rPr>
          <w:lang w:val="en-GB"/>
        </w:rPr>
        <w:t xml:space="preserve">FMO = FMO Entrepreneurial Development Bank; GCB = Ghana Central Bank; </w:t>
      </w:r>
      <w:r w:rsidR="00767017" w:rsidRPr="00ED73C4">
        <w:rPr>
          <w:lang w:val="en-GB"/>
        </w:rPr>
        <w:t xml:space="preserve">GSE = </w:t>
      </w:r>
      <w:r w:rsidR="00767017">
        <w:rPr>
          <w:lang w:val="en-GB"/>
        </w:rPr>
        <w:t>Ghana Stock Exchange;</w:t>
      </w:r>
      <w:r w:rsidR="00767017" w:rsidRPr="00767017">
        <w:rPr>
          <w:lang w:val="en-GB"/>
        </w:rPr>
        <w:t xml:space="preserve"> </w:t>
      </w:r>
      <w:r w:rsidR="00767017" w:rsidRPr="00FA29FA">
        <w:rPr>
          <w:lang w:val="en-GB"/>
        </w:rPr>
        <w:t xml:space="preserve">P/B = price to book; </w:t>
      </w:r>
      <w:r w:rsidR="00B8694C" w:rsidRPr="00ED73C4">
        <w:rPr>
          <w:lang w:val="en-GB"/>
        </w:rPr>
        <w:t>PBT =</w:t>
      </w:r>
      <w:r w:rsidR="00783C05" w:rsidRPr="00783C05">
        <w:rPr>
          <w:lang w:val="en-GB"/>
        </w:rPr>
        <w:t xml:space="preserve"> profit</w:t>
      </w:r>
      <w:r w:rsidR="00783C05">
        <w:rPr>
          <w:lang w:val="en-GB"/>
        </w:rPr>
        <w:t xml:space="preserve"> before tax</w:t>
      </w:r>
      <w:r w:rsidR="00B8694C">
        <w:rPr>
          <w:lang w:val="en-GB"/>
        </w:rPr>
        <w:t>;</w:t>
      </w:r>
      <w:r w:rsidR="00B8694C" w:rsidRPr="00FA29FA">
        <w:rPr>
          <w:lang w:val="en-GB"/>
        </w:rPr>
        <w:t xml:space="preserve"> </w:t>
      </w:r>
      <w:r w:rsidR="00202AE9" w:rsidRPr="00FA29FA">
        <w:rPr>
          <w:lang w:val="en-GB"/>
        </w:rPr>
        <w:t xml:space="preserve">SEC = US Securities and Exchange Commission; </w:t>
      </w:r>
      <w:r w:rsidR="00767017" w:rsidRPr="00FA29FA">
        <w:rPr>
          <w:lang w:val="en-GB"/>
        </w:rPr>
        <w:t xml:space="preserve">SBL = Sovereign Bank Ltd.; </w:t>
      </w:r>
      <w:r w:rsidRPr="00FA29FA">
        <w:rPr>
          <w:lang w:val="en-GB"/>
        </w:rPr>
        <w:t xml:space="preserve">SCB = Standard Chartered Ghana; </w:t>
      </w:r>
      <w:r w:rsidR="00B8694C" w:rsidRPr="00FA29FA">
        <w:rPr>
          <w:lang w:val="en-GB"/>
        </w:rPr>
        <w:t xml:space="preserve">SME = small and medium enterprise; </w:t>
      </w:r>
      <w:r w:rsidR="00DE43B8">
        <w:rPr>
          <w:lang w:val="en-GB"/>
        </w:rPr>
        <w:br/>
      </w:r>
      <w:r w:rsidRPr="00FA29FA">
        <w:rPr>
          <w:lang w:val="en-GB"/>
        </w:rPr>
        <w:t>SSNIT = Social Security and National Insurance Trust</w:t>
      </w:r>
      <w:r w:rsidR="00B8694C">
        <w:rPr>
          <w:lang w:val="en-GB"/>
        </w:rPr>
        <w:t xml:space="preserve">; </w:t>
      </w:r>
      <w:r w:rsidR="00767017" w:rsidRPr="00FA29FA">
        <w:rPr>
          <w:lang w:val="en-GB"/>
        </w:rPr>
        <w:t>TTB = The Trust Bank</w:t>
      </w:r>
    </w:p>
    <w:p w14:paraId="128447D7" w14:textId="09F10928" w:rsidR="00B8694C" w:rsidRDefault="00714AF2" w:rsidP="00ED73C4">
      <w:pPr>
        <w:pStyle w:val="Footnote"/>
      </w:pPr>
      <w:r w:rsidRPr="00FA29FA">
        <w:rPr>
          <w:lang w:val="en-GB"/>
        </w:rPr>
        <w:t xml:space="preserve">Source: Created by the case authors based on Ecobank Ghana Limited, </w:t>
      </w:r>
      <w:r w:rsidR="00202AE9" w:rsidRPr="0022025E">
        <w:rPr>
          <w:i/>
          <w:iCs/>
        </w:rPr>
        <w:t>Transaction Overview: Merger of Ecobank Ghana Limited and the Trust Bank Limited</w:t>
      </w:r>
      <w:r w:rsidR="00202AE9">
        <w:t xml:space="preserve">, presentation to shareholders, January 20, 2012, accessed January 29, 2021, </w:t>
      </w:r>
      <w:r w:rsidR="00202AE9" w:rsidRPr="001A080C">
        <w:t>https://www.yumpu.com/en/document/read/27790460/transaction-overview-ecobank</w:t>
      </w:r>
      <w:r w:rsidR="00202AE9">
        <w:t>.</w:t>
      </w:r>
      <w:r w:rsidR="00B8694C">
        <w:br w:type="page"/>
      </w:r>
    </w:p>
    <w:p w14:paraId="3DA9D408" w14:textId="181D9121" w:rsidR="00714AF2" w:rsidRDefault="00714AF2" w:rsidP="00714AF2">
      <w:pPr>
        <w:pStyle w:val="ExhibitHeading"/>
        <w:rPr>
          <w:lang w:val="en-GB"/>
        </w:rPr>
      </w:pPr>
      <w:r w:rsidRPr="00FA29FA">
        <w:rPr>
          <w:lang w:val="en-GB"/>
        </w:rPr>
        <w:lastRenderedPageBreak/>
        <w:t>Exhibit 3: Ecobank Proposed Integration Governance Structure</w:t>
      </w:r>
    </w:p>
    <w:p w14:paraId="41555FCD" w14:textId="097A9959" w:rsidR="00EA0100" w:rsidRPr="00FA29FA" w:rsidRDefault="00EA0100" w:rsidP="00714AF2">
      <w:pPr>
        <w:pStyle w:val="ExhibitHeading"/>
        <w:rPr>
          <w:lang w:val="en-GB"/>
        </w:rPr>
      </w:pPr>
    </w:p>
    <w:p w14:paraId="37381804" w14:textId="2A917839" w:rsidR="00714AF2" w:rsidRPr="00FA29FA" w:rsidRDefault="00EA0100" w:rsidP="00714AF2">
      <w:pPr>
        <w:pStyle w:val="ExhibitText"/>
        <w:rPr>
          <w:lang w:val="en-GB"/>
        </w:rPr>
      </w:pPr>
      <w:r w:rsidRPr="00EA0100">
        <w:drawing>
          <wp:inline distT="0" distB="0" distL="0" distR="0" wp14:anchorId="2311DB20" wp14:editId="404B762D">
            <wp:extent cx="5944599" cy="58901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5933" cy="5901391"/>
                    </a:xfrm>
                    <a:prstGeom prst="rect">
                      <a:avLst/>
                    </a:prstGeom>
                  </pic:spPr>
                </pic:pic>
              </a:graphicData>
            </a:graphic>
          </wp:inline>
        </w:drawing>
      </w:r>
    </w:p>
    <w:p w14:paraId="7DFE1483" w14:textId="77777777" w:rsidR="00714AF2" w:rsidRPr="00FA29FA" w:rsidRDefault="00714AF2" w:rsidP="00714AF2">
      <w:pPr>
        <w:pStyle w:val="ExhibitText"/>
        <w:rPr>
          <w:lang w:val="en-GB"/>
        </w:rPr>
      </w:pPr>
    </w:p>
    <w:p w14:paraId="1765D53C" w14:textId="558DF389" w:rsidR="00714AF2" w:rsidRPr="00FA29FA" w:rsidRDefault="00714AF2" w:rsidP="00714AF2">
      <w:pPr>
        <w:pStyle w:val="Footnote"/>
        <w:rPr>
          <w:lang w:val="en-GB"/>
        </w:rPr>
      </w:pPr>
      <w:r w:rsidRPr="00FA29FA">
        <w:rPr>
          <w:lang w:val="en-GB"/>
        </w:rPr>
        <w:t xml:space="preserve">Source: Created by the case authors based on Ecobank Ghana Limited, </w:t>
      </w:r>
      <w:r w:rsidRPr="0022025E">
        <w:rPr>
          <w:i/>
          <w:iCs/>
          <w:lang w:val="en-GB"/>
        </w:rPr>
        <w:t>Integration Update Report</w:t>
      </w:r>
      <w:r w:rsidR="00DE43B8">
        <w:rPr>
          <w:lang w:val="en-GB"/>
        </w:rPr>
        <w:t>,</w:t>
      </w:r>
      <w:r w:rsidRPr="00FA29FA">
        <w:rPr>
          <w:lang w:val="en-GB"/>
        </w:rPr>
        <w:t xml:space="preserve"> management report, </w:t>
      </w:r>
      <w:r w:rsidR="00DE43B8">
        <w:rPr>
          <w:lang w:val="en-GB"/>
        </w:rPr>
        <w:t xml:space="preserve">(Accra: </w:t>
      </w:r>
      <w:r w:rsidR="005151D6" w:rsidRPr="00FA29FA">
        <w:rPr>
          <w:lang w:val="en-GB"/>
        </w:rPr>
        <w:t>Ecobank Ghana Limited</w:t>
      </w:r>
      <w:r w:rsidRPr="00FA29FA">
        <w:rPr>
          <w:lang w:val="en-GB"/>
        </w:rPr>
        <w:t>, January 5, 2012).</w:t>
      </w:r>
    </w:p>
    <w:p w14:paraId="2DF8DC14" w14:textId="77777777" w:rsidR="00714AF2" w:rsidRPr="00FA29FA" w:rsidRDefault="00714AF2" w:rsidP="00714AF2">
      <w:pPr>
        <w:pStyle w:val="BodyTextMain"/>
        <w:rPr>
          <w:lang w:val="en-GB"/>
        </w:rPr>
      </w:pPr>
    </w:p>
    <w:p w14:paraId="3C0B25D5" w14:textId="77777777" w:rsidR="00714AF2" w:rsidRPr="00FA29FA" w:rsidRDefault="00714AF2" w:rsidP="00714AF2">
      <w:pPr>
        <w:pStyle w:val="BodyTextMain"/>
        <w:rPr>
          <w:lang w:val="en-GB"/>
        </w:rPr>
      </w:pPr>
    </w:p>
    <w:p w14:paraId="31452E0B" w14:textId="3BF25664" w:rsidR="00637477" w:rsidRPr="00FA29FA" w:rsidRDefault="00637477" w:rsidP="00DC63B0">
      <w:pPr>
        <w:pStyle w:val="Casehead1"/>
        <w:rPr>
          <w:lang w:val="en-GB"/>
        </w:rPr>
      </w:pPr>
    </w:p>
    <w:sectPr w:rsidR="00637477" w:rsidRPr="00FA29FA" w:rsidSect="00751E0B">
      <w:headerReference w:type="default" r:id="rId12"/>
      <w:endnotePr>
        <w:numFmt w:val="decimal"/>
      </w:endnotePr>
      <w:pgSz w:w="12240" w:h="15840" w:code="1"/>
      <w:pgMar w:top="1080" w:right="1440" w:bottom="1440" w:left="1440" w:header="108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B1DDF" w16cex:dateUtc="2021-04-10T01:3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B42E0B" w14:textId="77777777" w:rsidR="00A801E3" w:rsidRDefault="00A801E3" w:rsidP="00D75295">
      <w:r>
        <w:separator/>
      </w:r>
    </w:p>
  </w:endnote>
  <w:endnote w:type="continuationSeparator" w:id="0">
    <w:p w14:paraId="4B7C4499" w14:textId="77777777" w:rsidR="00A801E3" w:rsidRDefault="00A801E3"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1AF41B" w14:textId="77777777" w:rsidR="00A801E3" w:rsidRDefault="00A801E3" w:rsidP="00D75295">
      <w:r>
        <w:separator/>
      </w:r>
    </w:p>
  </w:footnote>
  <w:footnote w:type="continuationSeparator" w:id="0">
    <w:p w14:paraId="28956788" w14:textId="77777777" w:rsidR="00A801E3" w:rsidRDefault="00A801E3" w:rsidP="00D75295">
      <w:r>
        <w:continuationSeparator/>
      </w:r>
    </w:p>
  </w:footnote>
  <w:footnote w:id="1">
    <w:p w14:paraId="37868AEA" w14:textId="41C4A623" w:rsidR="001A080C" w:rsidRDefault="001A080C" w:rsidP="0022025E">
      <w:pPr>
        <w:pStyle w:val="Footnote"/>
        <w:jc w:val="both"/>
      </w:pPr>
      <w:r>
        <w:rPr>
          <w:rStyle w:val="FootnoteReference"/>
        </w:rPr>
        <w:footnoteRef/>
      </w:r>
      <w:r>
        <w:t xml:space="preserve"> “The Changing Face of Banking in Ghana and the Implications for Ghana’s Economy,” International Institute for the Advanced Study of Cultures, Institutions &amp; Economic Enterprises, 2015, accessed December 4, 2019, </w:t>
      </w:r>
      <w:r w:rsidRPr="00EA0993">
        <w:t>www.interias.org.gh/position-paper/changing-face-banking-ghana-and-implications-ghana’s-economy</w:t>
      </w:r>
      <w:r>
        <w:t>.</w:t>
      </w:r>
    </w:p>
  </w:footnote>
  <w:footnote w:id="2">
    <w:p w14:paraId="3F8C091A" w14:textId="187CF6E2" w:rsidR="001A080C" w:rsidRDefault="001A080C" w:rsidP="0022025E">
      <w:pPr>
        <w:pStyle w:val="Footnote"/>
        <w:jc w:val="both"/>
      </w:pPr>
      <w:r>
        <w:rPr>
          <w:rStyle w:val="FootnoteReference"/>
        </w:rPr>
        <w:footnoteRef/>
      </w:r>
      <w:r>
        <w:t xml:space="preserve"> Ibid.</w:t>
      </w:r>
    </w:p>
  </w:footnote>
  <w:footnote w:id="3">
    <w:p w14:paraId="7A45F8F8" w14:textId="7AE2DD48" w:rsidR="001A080C" w:rsidRDefault="001A080C" w:rsidP="0022025E">
      <w:pPr>
        <w:pStyle w:val="Footnote"/>
        <w:jc w:val="both"/>
      </w:pPr>
      <w:r>
        <w:rPr>
          <w:rStyle w:val="FootnoteReference"/>
        </w:rPr>
        <w:footnoteRef/>
      </w:r>
      <w:r>
        <w:t xml:space="preserve"> </w:t>
      </w:r>
      <w:r w:rsidRPr="00810B0B">
        <w:t>U</w:t>
      </w:r>
      <w:r w:rsidRPr="00CE2864">
        <w:t xml:space="preserve">S Department of Commerce, “Ghana—Banking Systems,” International Trade Administration, March 12, 2018, accessed </w:t>
      </w:r>
      <w:r>
        <w:t>January 29, 2021</w:t>
      </w:r>
      <w:r w:rsidRPr="00CE2864">
        <w:t xml:space="preserve">, </w:t>
      </w:r>
      <w:r w:rsidRPr="001358AB">
        <w:t>https://www.selectusa.gov/article?id=Ghana-Banking-Systems</w:t>
      </w:r>
      <w:r w:rsidRPr="00141550">
        <w:t>.</w:t>
      </w:r>
    </w:p>
  </w:footnote>
  <w:footnote w:id="4">
    <w:p w14:paraId="696D29B8" w14:textId="173ECF48" w:rsidR="001A080C" w:rsidRDefault="001A080C" w:rsidP="0022025E">
      <w:pPr>
        <w:pStyle w:val="Footnote"/>
        <w:jc w:val="both"/>
      </w:pPr>
      <w:r>
        <w:rPr>
          <w:rStyle w:val="FootnoteReference"/>
        </w:rPr>
        <w:footnoteRef/>
      </w:r>
      <w:r>
        <w:t xml:space="preserve"> “The Changing Face of Banking in Ghana,” op. cit.</w:t>
      </w:r>
    </w:p>
  </w:footnote>
  <w:footnote w:id="5">
    <w:p w14:paraId="1BE659C7" w14:textId="1056BCFD" w:rsidR="001A080C" w:rsidRDefault="001A080C" w:rsidP="0022025E">
      <w:pPr>
        <w:pStyle w:val="Footnote"/>
        <w:jc w:val="both"/>
      </w:pPr>
      <w:r>
        <w:rPr>
          <w:rStyle w:val="FootnoteReference"/>
        </w:rPr>
        <w:footnoteRef/>
      </w:r>
      <w:r>
        <w:t xml:space="preserve"> P</w:t>
      </w:r>
      <w:r w:rsidR="002E6601">
        <w:t>rice</w:t>
      </w:r>
      <w:r>
        <w:t>w</w:t>
      </w:r>
      <w:r w:rsidR="002E6601">
        <w:t>aterhouse</w:t>
      </w:r>
      <w:r>
        <w:t>C</w:t>
      </w:r>
      <w:r w:rsidR="002E6601">
        <w:t>oopers</w:t>
      </w:r>
      <w:r>
        <w:t xml:space="preserve">, </w:t>
      </w:r>
      <w:r w:rsidRPr="00C76AE9">
        <w:rPr>
          <w:i/>
          <w:iCs/>
        </w:rPr>
        <w:t>Ghana Banking Survey 2011</w:t>
      </w:r>
      <w:r>
        <w:t xml:space="preserve">, June 2011, 57, accessed December 4, 2019, </w:t>
      </w:r>
      <w:r w:rsidRPr="00A50E35">
        <w:t>www.pwc.com/gh/en/pdf/ghana-banking-survey-2011.pdf</w:t>
      </w:r>
      <w:r>
        <w:t>.</w:t>
      </w:r>
    </w:p>
  </w:footnote>
  <w:footnote w:id="6">
    <w:p w14:paraId="6F0EEA47" w14:textId="73284AAB" w:rsidR="001A080C" w:rsidRDefault="001A080C" w:rsidP="0022025E">
      <w:pPr>
        <w:pStyle w:val="Footnote"/>
        <w:jc w:val="both"/>
      </w:pPr>
      <w:r>
        <w:rPr>
          <w:rStyle w:val="FootnoteReference"/>
        </w:rPr>
        <w:footnoteRef/>
      </w:r>
      <w:r>
        <w:t xml:space="preserve"> “The State of the Ghanaian Economy Report, 2012,” Institute of Statistical, Social and Economic Research, University of Ghana, accessed December 4, 2019</w:t>
      </w:r>
      <w:r w:rsidRPr="001358AB">
        <w:t>.</w:t>
      </w:r>
    </w:p>
  </w:footnote>
  <w:footnote w:id="7">
    <w:p w14:paraId="2A3E8E78" w14:textId="40318086" w:rsidR="001A080C" w:rsidRDefault="001A080C" w:rsidP="0022025E">
      <w:pPr>
        <w:pStyle w:val="Footnote"/>
        <w:jc w:val="both"/>
      </w:pPr>
      <w:r>
        <w:rPr>
          <w:rStyle w:val="FootnoteReference"/>
        </w:rPr>
        <w:footnoteRef/>
      </w:r>
      <w:r>
        <w:t xml:space="preserve"> P</w:t>
      </w:r>
      <w:r w:rsidR="002E6601">
        <w:t>ricewaterhouseCoopers</w:t>
      </w:r>
      <w:r>
        <w:t>, op. cit., 13.</w:t>
      </w:r>
    </w:p>
  </w:footnote>
  <w:footnote w:id="8">
    <w:p w14:paraId="3CEC61FE" w14:textId="24D9F26F" w:rsidR="001A080C" w:rsidRPr="00840FDC" w:rsidRDefault="001A080C" w:rsidP="0022025E">
      <w:pPr>
        <w:pStyle w:val="Footnote"/>
        <w:jc w:val="both"/>
        <w:rPr>
          <w:spacing w:val="-4"/>
        </w:rPr>
      </w:pPr>
      <w:bookmarkStart w:id="1" w:name="_GoBack"/>
      <w:r w:rsidRPr="00840FDC">
        <w:rPr>
          <w:rStyle w:val="FootnoteReference"/>
          <w:spacing w:val="-4"/>
        </w:rPr>
        <w:footnoteRef/>
      </w:r>
      <w:r w:rsidRPr="00840FDC">
        <w:rPr>
          <w:spacing w:val="-4"/>
        </w:rPr>
        <w:t xml:space="preserve"> Ecobank Group, </w:t>
      </w:r>
      <w:r w:rsidRPr="00840FDC">
        <w:rPr>
          <w:i/>
          <w:iCs/>
          <w:spacing w:val="-4"/>
        </w:rPr>
        <w:t>Annual Report 2011</w:t>
      </w:r>
      <w:r w:rsidRPr="00840FDC">
        <w:rPr>
          <w:spacing w:val="-4"/>
        </w:rPr>
        <w:t>, 6, accessed January 29, 2021, https://africanfinancials.com/document/gh-ebg-2011-ar-00.</w:t>
      </w:r>
      <w:bookmarkEnd w:id="1"/>
    </w:p>
  </w:footnote>
  <w:footnote w:id="9">
    <w:p w14:paraId="5378234A" w14:textId="3C24D043" w:rsidR="001A080C" w:rsidRDefault="001A080C" w:rsidP="0022025E">
      <w:pPr>
        <w:pStyle w:val="Footnote"/>
        <w:jc w:val="both"/>
      </w:pPr>
      <w:r>
        <w:rPr>
          <w:rStyle w:val="FootnoteReference"/>
        </w:rPr>
        <w:footnoteRef/>
      </w:r>
      <w:r>
        <w:t xml:space="preserve"> Ecobank Group, “Banking for a New Africa,” </w:t>
      </w:r>
      <w:r>
        <w:rPr>
          <w:i/>
          <w:iCs/>
        </w:rPr>
        <w:t>Corporate Vision</w:t>
      </w:r>
      <w:r>
        <w:t xml:space="preserve">, June 9, 2017, accessed June 13, 2019, </w:t>
      </w:r>
      <w:r w:rsidRPr="00F65EF4">
        <w:t>www.cv-magazine.com/2017-banking-for-a-new-africa</w:t>
      </w:r>
      <w:r>
        <w:t>.</w:t>
      </w:r>
    </w:p>
  </w:footnote>
  <w:footnote w:id="10">
    <w:p w14:paraId="42EEBBCE" w14:textId="26441669" w:rsidR="001A080C" w:rsidRDefault="001A080C" w:rsidP="0022025E">
      <w:pPr>
        <w:pStyle w:val="Footnote"/>
        <w:jc w:val="both"/>
      </w:pPr>
      <w:r>
        <w:rPr>
          <w:rStyle w:val="FootnoteReference"/>
        </w:rPr>
        <w:footnoteRef/>
      </w:r>
      <w:r>
        <w:t xml:space="preserve"> Kimberly S. Johnson, “Ecobank Charts Pan-African Growth,” </w:t>
      </w:r>
      <w:r w:rsidRPr="009A245E">
        <w:rPr>
          <w:i/>
          <w:iCs/>
        </w:rPr>
        <w:t>Financial Times</w:t>
      </w:r>
      <w:r>
        <w:t xml:space="preserve">, July 4, 2012, accessed June 14, 2019, </w:t>
      </w:r>
      <w:r w:rsidRPr="00CA40B3">
        <w:t>www.ft.com/content/3bf56050-9573-3a32-99c8-e6748d8defb2</w:t>
      </w:r>
      <w:r>
        <w:t>.</w:t>
      </w:r>
    </w:p>
  </w:footnote>
  <w:footnote w:id="11">
    <w:p w14:paraId="1D8EF07C" w14:textId="77777777" w:rsidR="001A080C" w:rsidRDefault="001A080C" w:rsidP="0022025E">
      <w:pPr>
        <w:pStyle w:val="Footnote"/>
        <w:jc w:val="both"/>
      </w:pPr>
      <w:r>
        <w:rPr>
          <w:rStyle w:val="FootnoteReference"/>
        </w:rPr>
        <w:footnoteRef/>
      </w:r>
      <w:r>
        <w:t xml:space="preserve"> A parastatal </w:t>
      </w:r>
      <w:r w:rsidRPr="00E42819">
        <w:t>was</w:t>
      </w:r>
      <w:r>
        <w:t xml:space="preserve"> an organization or industry, especially in African countries, that had some political authority and served the state indirectly.</w:t>
      </w:r>
    </w:p>
  </w:footnote>
  <w:footnote w:id="12">
    <w:p w14:paraId="46C7ACD3" w14:textId="1A0CBD73" w:rsidR="001A080C" w:rsidRDefault="001A080C" w:rsidP="0022025E">
      <w:pPr>
        <w:pStyle w:val="Footnote"/>
        <w:jc w:val="both"/>
      </w:pPr>
      <w:r>
        <w:rPr>
          <w:rStyle w:val="FootnoteReference"/>
        </w:rPr>
        <w:footnoteRef/>
      </w:r>
      <w:r>
        <w:t xml:space="preserve"> Ecobank Group, “Ecobank Acquires 100% Stake in the Trust Bank,” press release, AllAfrica, January 19, 2012, accessed June 12, 2019, </w:t>
      </w:r>
      <w:r w:rsidRPr="00851F02">
        <w:t>https://allafrica.com/stories/201201191246.html</w:t>
      </w:r>
      <w:r>
        <w:t>.</w:t>
      </w:r>
    </w:p>
  </w:footnote>
  <w:footnote w:id="13">
    <w:p w14:paraId="753E008D" w14:textId="461C629B" w:rsidR="001A080C" w:rsidRPr="00DC358C" w:rsidRDefault="001A080C" w:rsidP="0022025E">
      <w:pPr>
        <w:pStyle w:val="Footnote"/>
        <w:jc w:val="both"/>
      </w:pPr>
      <w:r>
        <w:rPr>
          <w:rStyle w:val="FootnoteReference"/>
        </w:rPr>
        <w:footnoteRef/>
      </w:r>
      <w:r>
        <w:t xml:space="preserve"> GH¢ = GHS = Ghanaian cedi; US$1 = GH¢1.637</w:t>
      </w:r>
      <w:r w:rsidR="006345C5">
        <w:t xml:space="preserve"> on</w:t>
      </w:r>
      <w:r>
        <w:t xml:space="preserve"> December 31, 2011</w:t>
      </w:r>
      <w:r w:rsidR="006345C5">
        <w:t>; all currency amounts are in GH¢ unless otherwise specified</w:t>
      </w:r>
      <w:r>
        <w:t>.</w:t>
      </w:r>
    </w:p>
  </w:footnote>
  <w:footnote w:id="14">
    <w:p w14:paraId="66A8229F" w14:textId="77777777" w:rsidR="001A080C" w:rsidRPr="000823F3" w:rsidRDefault="001A080C" w:rsidP="0022025E">
      <w:pPr>
        <w:pStyle w:val="Footnote"/>
        <w:jc w:val="both"/>
      </w:pPr>
      <w:r>
        <w:rPr>
          <w:rStyle w:val="FootnoteReference"/>
        </w:rPr>
        <w:footnoteRef/>
      </w:r>
      <w:r>
        <w:t xml:space="preserve"> The Bank of Ghana raised the minimal capital requirement to </w:t>
      </w:r>
      <w:r w:rsidRPr="000823F3">
        <w:t>GH¢60 million in 2008</w:t>
      </w:r>
      <w:r>
        <w:t xml:space="preserve"> and </w:t>
      </w:r>
      <w:r w:rsidRPr="000823F3">
        <w:t>to GH¢120 million</w:t>
      </w:r>
      <w:r>
        <w:t xml:space="preserve"> in 2013. Charles Barnor and Deborah Adu-Twumwaah, “Bank Performance, Mergers and Acquisitions in Ghana: The Case of Ecobank Ghana–TTB Takeover and UT Financial Services–BPI Merger,” </w:t>
      </w:r>
      <w:r w:rsidRPr="000823F3">
        <w:rPr>
          <w:i/>
          <w:iCs/>
        </w:rPr>
        <w:t>International Journal of Sciences: Basic and Applied Research</w:t>
      </w:r>
      <w:r>
        <w:t xml:space="preserve"> 24, no. 6 (2015): 77–91.</w:t>
      </w:r>
    </w:p>
  </w:footnote>
  <w:footnote w:id="15">
    <w:p w14:paraId="5B452246" w14:textId="77777777" w:rsidR="001A080C" w:rsidRDefault="001A080C" w:rsidP="0022025E">
      <w:pPr>
        <w:pStyle w:val="Footnote"/>
        <w:jc w:val="both"/>
      </w:pPr>
      <w:r>
        <w:rPr>
          <w:rStyle w:val="FootnoteReference"/>
        </w:rPr>
        <w:footnoteRef/>
      </w:r>
      <w:r>
        <w:t xml:space="preserve"> Oxford Business Group, </w:t>
      </w:r>
      <w:r w:rsidRPr="0047470B">
        <w:rPr>
          <w:i/>
          <w:iCs/>
        </w:rPr>
        <w:t>The Report: Ghana 2012</w:t>
      </w:r>
      <w:r>
        <w:t xml:space="preserve">, 52, accessed February 13, 2020, </w:t>
      </w:r>
      <w:r w:rsidRPr="00824B24">
        <w:t>https://oxfordbusinessgroup.com/ghana-2012</w:t>
      </w:r>
      <w:r>
        <w:t>.</w:t>
      </w:r>
    </w:p>
  </w:footnote>
  <w:footnote w:id="16">
    <w:p w14:paraId="0640C295" w14:textId="616C5826" w:rsidR="001A080C" w:rsidRDefault="001A080C" w:rsidP="0022025E">
      <w:pPr>
        <w:pStyle w:val="Footnote"/>
        <w:jc w:val="both"/>
      </w:pPr>
      <w:r>
        <w:rPr>
          <w:rStyle w:val="FootnoteReference"/>
        </w:rPr>
        <w:footnoteRef/>
      </w:r>
      <w:r>
        <w:t xml:space="preserve"> “SSNIT Cashes in on Ecobank’s Acquisition of TTB,” Ghana Web, June 20, 2016, accessed December 4, 2019, </w:t>
      </w:r>
      <w:r w:rsidRPr="00A642E1">
        <w:t>www.ghanaweb.com/GhanaHomePage/business/SSNIT-cashes-in-on-Ecobank-s-acquisition-of-TTB-449071</w:t>
      </w:r>
      <w:r>
        <w:t>.</w:t>
      </w:r>
    </w:p>
  </w:footnote>
  <w:footnote w:id="17">
    <w:p w14:paraId="7D7577DC" w14:textId="5D49C4CB" w:rsidR="001A080C" w:rsidRDefault="001A080C" w:rsidP="0022025E">
      <w:pPr>
        <w:pStyle w:val="Footnote"/>
        <w:jc w:val="both"/>
      </w:pPr>
      <w:r>
        <w:rPr>
          <w:rStyle w:val="FootnoteReference"/>
        </w:rPr>
        <w:footnoteRef/>
      </w:r>
      <w:r>
        <w:t xml:space="preserve"> ETI’s holdings in Ecobank Ghana increased from 60.4 per cent in 2011 to 68.9% in 2012. Ecobank Ghana, </w:t>
      </w:r>
      <w:r w:rsidRPr="009A245E">
        <w:rPr>
          <w:i/>
          <w:iCs/>
        </w:rPr>
        <w:t>2011 Annual Report</w:t>
      </w:r>
      <w:r>
        <w:t xml:space="preserve">, 85, accessed June 12, 2019, </w:t>
      </w:r>
      <w:r w:rsidRPr="00EE24E0">
        <w:t>https://ecobank.com/upload/20130610055316553660dxBEvYg8Qu.pdf</w:t>
      </w:r>
      <w:r>
        <w:t xml:space="preserve">; and Ecobank Ghana, </w:t>
      </w:r>
      <w:r w:rsidRPr="00EC5B2D">
        <w:rPr>
          <w:i/>
        </w:rPr>
        <w:t xml:space="preserve">The Future </w:t>
      </w:r>
      <w:r>
        <w:rPr>
          <w:i/>
        </w:rPr>
        <w:t>I</w:t>
      </w:r>
      <w:r w:rsidRPr="00EC5B2D">
        <w:rPr>
          <w:i/>
        </w:rPr>
        <w:t xml:space="preserve">s Pan-African: Ecobank Ghana Ltd. </w:t>
      </w:r>
      <w:r w:rsidRPr="009A245E">
        <w:rPr>
          <w:i/>
          <w:iCs/>
        </w:rPr>
        <w:t>Annual Report</w:t>
      </w:r>
      <w:r>
        <w:rPr>
          <w:i/>
          <w:iCs/>
        </w:rPr>
        <w:t xml:space="preserve"> </w:t>
      </w:r>
      <w:r w:rsidRPr="009A3D29">
        <w:rPr>
          <w:i/>
          <w:iCs/>
        </w:rPr>
        <w:t>2012</w:t>
      </w:r>
      <w:r>
        <w:t xml:space="preserve">, 98, accessed June 12, 2019, </w:t>
      </w:r>
      <w:r w:rsidRPr="00787076">
        <w:t>https://ecobank.com/upload/20130328035808517617nB9w8AVaWT.pdf</w:t>
      </w:r>
      <w:r>
        <w:t>.</w:t>
      </w:r>
    </w:p>
  </w:footnote>
  <w:footnote w:id="18">
    <w:p w14:paraId="1E8439CC" w14:textId="77777777" w:rsidR="001A080C" w:rsidRDefault="001A080C" w:rsidP="0022025E">
      <w:pPr>
        <w:pStyle w:val="Footnote"/>
        <w:jc w:val="both"/>
      </w:pPr>
      <w:r>
        <w:rPr>
          <w:rStyle w:val="FootnoteReference"/>
        </w:rPr>
        <w:footnoteRef/>
      </w:r>
      <w:r>
        <w:t xml:space="preserve"> Afolabi Ogunde, “Ecobank Acquires the Trust Bank Ghana,” Business News, January 19, 2012, accessed June 12, 2019, </w:t>
      </w:r>
      <w:r w:rsidRPr="00345BD4">
        <w:t>http://businessnews.com.ng/2012/01/19/ecobank-acquires-the-trust-bank-ghana</w:t>
      </w:r>
      <w:r>
        <w:t>.</w:t>
      </w:r>
    </w:p>
  </w:footnote>
  <w:footnote w:id="19">
    <w:p w14:paraId="51A9F8C9" w14:textId="37DAE360" w:rsidR="001A080C" w:rsidRPr="00136C61" w:rsidRDefault="001A080C" w:rsidP="0022025E">
      <w:pPr>
        <w:pStyle w:val="Footnote"/>
        <w:jc w:val="both"/>
        <w:rPr>
          <w:spacing w:val="-6"/>
        </w:rPr>
      </w:pPr>
      <w:r>
        <w:rPr>
          <w:rStyle w:val="FootnoteReference"/>
        </w:rPr>
        <w:footnoteRef/>
      </w:r>
      <w:r>
        <w:t xml:space="preserve"> </w:t>
      </w:r>
      <w:r w:rsidRPr="00136C61">
        <w:rPr>
          <w:spacing w:val="-6"/>
        </w:rPr>
        <w:t>Ecobank, “Transaction Overview: Merger of Ecobank Ghana Limited and the Trust Bank Limited,” presentation to shareholders, January 20, 2012, accessed January 29, 2021, https://www.yumpu.com/en/document/read/27790460/transaction-overview-ecobank.</w:t>
      </w:r>
    </w:p>
  </w:footnote>
  <w:footnote w:id="20">
    <w:p w14:paraId="00BA2146" w14:textId="4025A31C" w:rsidR="001A080C" w:rsidRDefault="001A080C" w:rsidP="0022025E">
      <w:pPr>
        <w:pStyle w:val="Footnote"/>
        <w:jc w:val="both"/>
      </w:pPr>
      <w:r>
        <w:rPr>
          <w:rStyle w:val="FootnoteReference"/>
        </w:rPr>
        <w:footnoteRef/>
      </w:r>
      <w:r>
        <w:t xml:space="preserve"> “Update 1-</w:t>
      </w:r>
      <w:r w:rsidRPr="00485F31">
        <w:t>Ecobank</w:t>
      </w:r>
      <w:r>
        <w:t xml:space="preserve"> Acquires Ghana’s Trust Bank,” Reuters, December 15, 2011, accessed June 11, 2019, </w:t>
      </w:r>
      <w:r w:rsidRPr="00D60A63">
        <w:t>www.reuters.com/article/ghana-ecobank-trustbank-idAFL6E7NF46120111215</w:t>
      </w:r>
      <w:r>
        <w:t>.</w:t>
      </w:r>
    </w:p>
  </w:footnote>
  <w:footnote w:id="21">
    <w:p w14:paraId="7F9B1D45" w14:textId="4AA49B86" w:rsidR="001A080C" w:rsidRPr="000F24A0" w:rsidRDefault="001A080C" w:rsidP="0022025E">
      <w:pPr>
        <w:pStyle w:val="Footnote"/>
        <w:jc w:val="both"/>
      </w:pPr>
      <w:r>
        <w:rPr>
          <w:rStyle w:val="FootnoteReference"/>
        </w:rPr>
        <w:footnoteRef/>
      </w:r>
      <w:r>
        <w:t xml:space="preserve"> “The Power of eICBA Core Banking,” InfoPro, accessed May 10, 2020, </w:t>
      </w:r>
      <w:r w:rsidRPr="000F24A0">
        <w:t>www.infopro.com.my/core-banking</w:t>
      </w:r>
      <w:r>
        <w:t>.</w:t>
      </w:r>
    </w:p>
  </w:footnote>
  <w:footnote w:id="22">
    <w:p w14:paraId="7CBECBA9" w14:textId="77777777" w:rsidR="001A080C" w:rsidRDefault="001A080C" w:rsidP="0022025E">
      <w:pPr>
        <w:pStyle w:val="Footnote"/>
        <w:jc w:val="both"/>
      </w:pPr>
      <w:r>
        <w:rPr>
          <w:rStyle w:val="FootnoteReference"/>
        </w:rPr>
        <w:footnoteRef/>
      </w:r>
      <w:r>
        <w:t xml:space="preserve"> “Ecobank Acquires Oceanic Bank,” Africa Business Communities, October 26, 2011, accessed June 13, 2019, </w:t>
      </w:r>
      <w:r w:rsidRPr="00B6707F">
        <w:t>https://africabusinesscommunities.com/news/ecobank_acquires_oceanic_bank.html</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67142" w14:textId="453AF8E5" w:rsidR="001A080C" w:rsidRPr="00C92CC4" w:rsidRDefault="001A080C"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Pr>
        <w:rFonts w:ascii="Arial" w:hAnsi="Arial"/>
        <w:b/>
        <w:noProof/>
      </w:rPr>
      <w:t>2</w:t>
    </w:r>
    <w:r>
      <w:rPr>
        <w:rFonts w:ascii="Arial" w:hAnsi="Arial"/>
        <w:b/>
      </w:rPr>
      <w:fldChar w:fldCharType="end"/>
    </w:r>
    <w:r>
      <w:rPr>
        <w:rFonts w:ascii="Arial" w:hAnsi="Arial"/>
        <w:b/>
      </w:rPr>
      <w:tab/>
    </w:r>
    <w:r w:rsidR="00136C61">
      <w:rPr>
        <w:rFonts w:ascii="Arial" w:hAnsi="Arial"/>
        <w:b/>
      </w:rPr>
      <w:t>9B21M035</w:t>
    </w:r>
  </w:p>
  <w:p w14:paraId="2B53C0A0" w14:textId="77777777" w:rsidR="001A080C" w:rsidRDefault="001A080C" w:rsidP="00D13667">
    <w:pPr>
      <w:pStyle w:val="Header"/>
      <w:tabs>
        <w:tab w:val="clear" w:pos="4680"/>
      </w:tabs>
      <w:rPr>
        <w:sz w:val="18"/>
        <w:szCs w:val="18"/>
      </w:rPr>
    </w:pPr>
  </w:p>
  <w:p w14:paraId="47119730" w14:textId="77777777" w:rsidR="001A080C" w:rsidRPr="00C92CC4" w:rsidRDefault="001A080C"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109E8"/>
    <w:multiLevelType w:val="hybridMultilevel"/>
    <w:tmpl w:val="576E89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FC0509B"/>
    <w:multiLevelType w:val="hybridMultilevel"/>
    <w:tmpl w:val="3DAA07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1CE1785"/>
    <w:multiLevelType w:val="hybridMultilevel"/>
    <w:tmpl w:val="04628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8DC6CFB"/>
    <w:multiLevelType w:val="hybridMultilevel"/>
    <w:tmpl w:val="0F5EEB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5"/>
  </w:num>
  <w:num w:numId="4">
    <w:abstractNumId w:val="13"/>
  </w:num>
  <w:num w:numId="5">
    <w:abstractNumId w:val="6"/>
  </w:num>
  <w:num w:numId="6">
    <w:abstractNumId w:val="11"/>
  </w:num>
  <w:num w:numId="7">
    <w:abstractNumId w:val="1"/>
  </w:num>
  <w:num w:numId="8">
    <w:abstractNumId w:val="15"/>
  </w:num>
  <w:num w:numId="9">
    <w:abstractNumId w:val="12"/>
  </w:num>
  <w:num w:numId="10">
    <w:abstractNumId w:val="4"/>
  </w:num>
  <w:num w:numId="11">
    <w:abstractNumId w:val="9"/>
  </w:num>
  <w:num w:numId="12">
    <w:abstractNumId w:val="10"/>
  </w:num>
  <w:num w:numId="13">
    <w:abstractNumId w:val="7"/>
  </w:num>
  <w:num w:numId="14">
    <w:abstractNumId w:val="3"/>
  </w:num>
  <w:num w:numId="15">
    <w:abstractNumId w:val="2"/>
  </w:num>
  <w:num w:numId="1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4097"/>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DC4"/>
    <w:rsid w:val="0000085A"/>
    <w:rsid w:val="00013360"/>
    <w:rsid w:val="00016759"/>
    <w:rsid w:val="000216CE"/>
    <w:rsid w:val="00024ED4"/>
    <w:rsid w:val="00025DC7"/>
    <w:rsid w:val="00035F09"/>
    <w:rsid w:val="00044ECC"/>
    <w:rsid w:val="00045F47"/>
    <w:rsid w:val="000531D3"/>
    <w:rsid w:val="0005646B"/>
    <w:rsid w:val="000615D1"/>
    <w:rsid w:val="00066A38"/>
    <w:rsid w:val="0008102D"/>
    <w:rsid w:val="00085D91"/>
    <w:rsid w:val="00086B26"/>
    <w:rsid w:val="00094C0E"/>
    <w:rsid w:val="000A146D"/>
    <w:rsid w:val="000A16E8"/>
    <w:rsid w:val="000D2A2F"/>
    <w:rsid w:val="000D7091"/>
    <w:rsid w:val="000F0C22"/>
    <w:rsid w:val="000F6B09"/>
    <w:rsid w:val="000F6FDC"/>
    <w:rsid w:val="00104567"/>
    <w:rsid w:val="00104916"/>
    <w:rsid w:val="00104AA7"/>
    <w:rsid w:val="001174F3"/>
    <w:rsid w:val="00117DB5"/>
    <w:rsid w:val="0012732D"/>
    <w:rsid w:val="001358AB"/>
    <w:rsid w:val="00136C61"/>
    <w:rsid w:val="00141550"/>
    <w:rsid w:val="00143F25"/>
    <w:rsid w:val="00152682"/>
    <w:rsid w:val="00154FC9"/>
    <w:rsid w:val="0016007C"/>
    <w:rsid w:val="00160DE4"/>
    <w:rsid w:val="001653B5"/>
    <w:rsid w:val="00185123"/>
    <w:rsid w:val="001901C0"/>
    <w:rsid w:val="00191D93"/>
    <w:rsid w:val="0019241A"/>
    <w:rsid w:val="00192A18"/>
    <w:rsid w:val="001A080C"/>
    <w:rsid w:val="001A22D1"/>
    <w:rsid w:val="001A752D"/>
    <w:rsid w:val="001A757E"/>
    <w:rsid w:val="001B5032"/>
    <w:rsid w:val="001C6143"/>
    <w:rsid w:val="001C7777"/>
    <w:rsid w:val="001D344B"/>
    <w:rsid w:val="001E364F"/>
    <w:rsid w:val="001F4222"/>
    <w:rsid w:val="00202AE9"/>
    <w:rsid w:val="00203AA1"/>
    <w:rsid w:val="00213E98"/>
    <w:rsid w:val="0022025E"/>
    <w:rsid w:val="00230150"/>
    <w:rsid w:val="0023081A"/>
    <w:rsid w:val="00233111"/>
    <w:rsid w:val="002339C6"/>
    <w:rsid w:val="00235444"/>
    <w:rsid w:val="00260991"/>
    <w:rsid w:val="00265FA8"/>
    <w:rsid w:val="002A143A"/>
    <w:rsid w:val="002A1A53"/>
    <w:rsid w:val="002B40FF"/>
    <w:rsid w:val="002C2102"/>
    <w:rsid w:val="002C4E29"/>
    <w:rsid w:val="002E6601"/>
    <w:rsid w:val="002F460C"/>
    <w:rsid w:val="002F48D6"/>
    <w:rsid w:val="002F6B60"/>
    <w:rsid w:val="003061D8"/>
    <w:rsid w:val="00317391"/>
    <w:rsid w:val="0032382B"/>
    <w:rsid w:val="00326216"/>
    <w:rsid w:val="00336580"/>
    <w:rsid w:val="00354899"/>
    <w:rsid w:val="00355FD6"/>
    <w:rsid w:val="00364A5C"/>
    <w:rsid w:val="00373FB1"/>
    <w:rsid w:val="00384EA9"/>
    <w:rsid w:val="00396C76"/>
    <w:rsid w:val="003A44F7"/>
    <w:rsid w:val="003B30D8"/>
    <w:rsid w:val="003B71B1"/>
    <w:rsid w:val="003B7EF2"/>
    <w:rsid w:val="003C3FA4"/>
    <w:rsid w:val="003C416A"/>
    <w:rsid w:val="003D0BA1"/>
    <w:rsid w:val="003F2B0C"/>
    <w:rsid w:val="004105B2"/>
    <w:rsid w:val="0041145A"/>
    <w:rsid w:val="00412900"/>
    <w:rsid w:val="00415ABD"/>
    <w:rsid w:val="004221E4"/>
    <w:rsid w:val="00426FFF"/>
    <w:rsid w:val="004273F8"/>
    <w:rsid w:val="00432D0B"/>
    <w:rsid w:val="004355A3"/>
    <w:rsid w:val="00446546"/>
    <w:rsid w:val="00446D7E"/>
    <w:rsid w:val="00452769"/>
    <w:rsid w:val="00454FA7"/>
    <w:rsid w:val="00465348"/>
    <w:rsid w:val="00470464"/>
    <w:rsid w:val="00475D5A"/>
    <w:rsid w:val="004979A5"/>
    <w:rsid w:val="004A25E0"/>
    <w:rsid w:val="004B1CCB"/>
    <w:rsid w:val="004B632F"/>
    <w:rsid w:val="004D3FB1"/>
    <w:rsid w:val="004D660C"/>
    <w:rsid w:val="004D6F21"/>
    <w:rsid w:val="004D73A5"/>
    <w:rsid w:val="004E2A33"/>
    <w:rsid w:val="004E3666"/>
    <w:rsid w:val="00503107"/>
    <w:rsid w:val="005060DB"/>
    <w:rsid w:val="005151D6"/>
    <w:rsid w:val="005160F1"/>
    <w:rsid w:val="005173B9"/>
    <w:rsid w:val="00524F2F"/>
    <w:rsid w:val="00527E5C"/>
    <w:rsid w:val="00532CF5"/>
    <w:rsid w:val="005528CB"/>
    <w:rsid w:val="00566771"/>
    <w:rsid w:val="00581E2E"/>
    <w:rsid w:val="00584F15"/>
    <w:rsid w:val="005924E5"/>
    <w:rsid w:val="0059514B"/>
    <w:rsid w:val="005A1B0F"/>
    <w:rsid w:val="005B4CE6"/>
    <w:rsid w:val="005B5EFE"/>
    <w:rsid w:val="005E01C4"/>
    <w:rsid w:val="006163F7"/>
    <w:rsid w:val="0062669D"/>
    <w:rsid w:val="00627C63"/>
    <w:rsid w:val="0063350B"/>
    <w:rsid w:val="006345C5"/>
    <w:rsid w:val="00637477"/>
    <w:rsid w:val="006471FC"/>
    <w:rsid w:val="00652606"/>
    <w:rsid w:val="00656F3C"/>
    <w:rsid w:val="0067372A"/>
    <w:rsid w:val="006946EE"/>
    <w:rsid w:val="006A58A9"/>
    <w:rsid w:val="006A606D"/>
    <w:rsid w:val="006A7F4A"/>
    <w:rsid w:val="006B073B"/>
    <w:rsid w:val="006C0371"/>
    <w:rsid w:val="006C08B6"/>
    <w:rsid w:val="006C0B1A"/>
    <w:rsid w:val="006C32D8"/>
    <w:rsid w:val="006C6065"/>
    <w:rsid w:val="006C7F9F"/>
    <w:rsid w:val="006E2F6D"/>
    <w:rsid w:val="006E58F6"/>
    <w:rsid w:val="006E77E1"/>
    <w:rsid w:val="006F131D"/>
    <w:rsid w:val="00711642"/>
    <w:rsid w:val="00714AF2"/>
    <w:rsid w:val="007507C6"/>
    <w:rsid w:val="00751E0B"/>
    <w:rsid w:val="00752BCD"/>
    <w:rsid w:val="007634EF"/>
    <w:rsid w:val="00766DA1"/>
    <w:rsid w:val="00767017"/>
    <w:rsid w:val="00780D94"/>
    <w:rsid w:val="00783C05"/>
    <w:rsid w:val="007866A6"/>
    <w:rsid w:val="007A130D"/>
    <w:rsid w:val="007D1A2D"/>
    <w:rsid w:val="007D32E6"/>
    <w:rsid w:val="007D4102"/>
    <w:rsid w:val="007E54A7"/>
    <w:rsid w:val="007F43B7"/>
    <w:rsid w:val="00810B0B"/>
    <w:rsid w:val="00821FFC"/>
    <w:rsid w:val="008271CA"/>
    <w:rsid w:val="008337CB"/>
    <w:rsid w:val="00840FDC"/>
    <w:rsid w:val="008467D5"/>
    <w:rsid w:val="00877516"/>
    <w:rsid w:val="008A4DC4"/>
    <w:rsid w:val="008B438C"/>
    <w:rsid w:val="008D06CA"/>
    <w:rsid w:val="008D3A46"/>
    <w:rsid w:val="008D4632"/>
    <w:rsid w:val="008F002B"/>
    <w:rsid w:val="008F2385"/>
    <w:rsid w:val="00900EF2"/>
    <w:rsid w:val="009067A4"/>
    <w:rsid w:val="0091456A"/>
    <w:rsid w:val="00930885"/>
    <w:rsid w:val="00933D68"/>
    <w:rsid w:val="009340DB"/>
    <w:rsid w:val="0094618C"/>
    <w:rsid w:val="009462B8"/>
    <w:rsid w:val="0095684B"/>
    <w:rsid w:val="009606F8"/>
    <w:rsid w:val="00963728"/>
    <w:rsid w:val="00972498"/>
    <w:rsid w:val="0097481F"/>
    <w:rsid w:val="00974CC6"/>
    <w:rsid w:val="00976AD4"/>
    <w:rsid w:val="00991CA9"/>
    <w:rsid w:val="0099443D"/>
    <w:rsid w:val="00995547"/>
    <w:rsid w:val="009A312F"/>
    <w:rsid w:val="009A3D29"/>
    <w:rsid w:val="009A5348"/>
    <w:rsid w:val="009B0AB7"/>
    <w:rsid w:val="009C76D5"/>
    <w:rsid w:val="009F7AA4"/>
    <w:rsid w:val="00A102D0"/>
    <w:rsid w:val="00A10AD7"/>
    <w:rsid w:val="00A23F44"/>
    <w:rsid w:val="00A323B0"/>
    <w:rsid w:val="00A35569"/>
    <w:rsid w:val="00A559BB"/>
    <w:rsid w:val="00A559DB"/>
    <w:rsid w:val="00A569EA"/>
    <w:rsid w:val="00A66C1C"/>
    <w:rsid w:val="00A676A0"/>
    <w:rsid w:val="00A801E3"/>
    <w:rsid w:val="00AD78F3"/>
    <w:rsid w:val="00AF35FC"/>
    <w:rsid w:val="00AF5556"/>
    <w:rsid w:val="00B03639"/>
    <w:rsid w:val="00B0652A"/>
    <w:rsid w:val="00B40937"/>
    <w:rsid w:val="00B423EF"/>
    <w:rsid w:val="00B453DE"/>
    <w:rsid w:val="00B62497"/>
    <w:rsid w:val="00B658A2"/>
    <w:rsid w:val="00B66A89"/>
    <w:rsid w:val="00B72597"/>
    <w:rsid w:val="00B8280E"/>
    <w:rsid w:val="00B8694C"/>
    <w:rsid w:val="00B87DC0"/>
    <w:rsid w:val="00B901F9"/>
    <w:rsid w:val="00BA08A5"/>
    <w:rsid w:val="00BA683B"/>
    <w:rsid w:val="00BC2AA8"/>
    <w:rsid w:val="00BC4D98"/>
    <w:rsid w:val="00BD6EFB"/>
    <w:rsid w:val="00BE3DF5"/>
    <w:rsid w:val="00BF2007"/>
    <w:rsid w:val="00BF5EAB"/>
    <w:rsid w:val="00C02410"/>
    <w:rsid w:val="00C13382"/>
    <w:rsid w:val="00C1584D"/>
    <w:rsid w:val="00C15BE2"/>
    <w:rsid w:val="00C2414B"/>
    <w:rsid w:val="00C324CD"/>
    <w:rsid w:val="00C3447F"/>
    <w:rsid w:val="00C44714"/>
    <w:rsid w:val="00C66B7C"/>
    <w:rsid w:val="00C67102"/>
    <w:rsid w:val="00C81491"/>
    <w:rsid w:val="00C81676"/>
    <w:rsid w:val="00C8274A"/>
    <w:rsid w:val="00C85C5D"/>
    <w:rsid w:val="00C92CC4"/>
    <w:rsid w:val="00CA0AFB"/>
    <w:rsid w:val="00CA2CE1"/>
    <w:rsid w:val="00CA3976"/>
    <w:rsid w:val="00CA50E3"/>
    <w:rsid w:val="00CA757B"/>
    <w:rsid w:val="00CB27E1"/>
    <w:rsid w:val="00CC1787"/>
    <w:rsid w:val="00CC182C"/>
    <w:rsid w:val="00CC7A48"/>
    <w:rsid w:val="00CD0824"/>
    <w:rsid w:val="00CD2908"/>
    <w:rsid w:val="00CE2864"/>
    <w:rsid w:val="00CE6FED"/>
    <w:rsid w:val="00D03A82"/>
    <w:rsid w:val="00D13667"/>
    <w:rsid w:val="00D15344"/>
    <w:rsid w:val="00D23F57"/>
    <w:rsid w:val="00D31BEC"/>
    <w:rsid w:val="00D35DDE"/>
    <w:rsid w:val="00D448B1"/>
    <w:rsid w:val="00D4494F"/>
    <w:rsid w:val="00D63150"/>
    <w:rsid w:val="00D636BA"/>
    <w:rsid w:val="00D64A32"/>
    <w:rsid w:val="00D64EFC"/>
    <w:rsid w:val="00D717FA"/>
    <w:rsid w:val="00D75295"/>
    <w:rsid w:val="00D76CE9"/>
    <w:rsid w:val="00D84C15"/>
    <w:rsid w:val="00D97F12"/>
    <w:rsid w:val="00DA6095"/>
    <w:rsid w:val="00DB42E7"/>
    <w:rsid w:val="00DC09D8"/>
    <w:rsid w:val="00DC63B0"/>
    <w:rsid w:val="00DD37F3"/>
    <w:rsid w:val="00DE01A6"/>
    <w:rsid w:val="00DE43B8"/>
    <w:rsid w:val="00DE573F"/>
    <w:rsid w:val="00DE7A98"/>
    <w:rsid w:val="00DF32C2"/>
    <w:rsid w:val="00E3091D"/>
    <w:rsid w:val="00E471A7"/>
    <w:rsid w:val="00E635CF"/>
    <w:rsid w:val="00E919D6"/>
    <w:rsid w:val="00E937F6"/>
    <w:rsid w:val="00EA0100"/>
    <w:rsid w:val="00EA0993"/>
    <w:rsid w:val="00EA65FF"/>
    <w:rsid w:val="00EA715F"/>
    <w:rsid w:val="00EA7C0C"/>
    <w:rsid w:val="00EB1E3B"/>
    <w:rsid w:val="00EC5B2D"/>
    <w:rsid w:val="00EC6E0A"/>
    <w:rsid w:val="00ED4E18"/>
    <w:rsid w:val="00ED54F4"/>
    <w:rsid w:val="00ED73C4"/>
    <w:rsid w:val="00ED7922"/>
    <w:rsid w:val="00ED7A19"/>
    <w:rsid w:val="00EE02C4"/>
    <w:rsid w:val="00EE1F37"/>
    <w:rsid w:val="00F0159C"/>
    <w:rsid w:val="00F105B7"/>
    <w:rsid w:val="00F13220"/>
    <w:rsid w:val="00F17A21"/>
    <w:rsid w:val="00F264D2"/>
    <w:rsid w:val="00F36FC2"/>
    <w:rsid w:val="00F37B27"/>
    <w:rsid w:val="00F46556"/>
    <w:rsid w:val="00F50E91"/>
    <w:rsid w:val="00F54CB5"/>
    <w:rsid w:val="00F56799"/>
    <w:rsid w:val="00F57D29"/>
    <w:rsid w:val="00F60786"/>
    <w:rsid w:val="00F61595"/>
    <w:rsid w:val="00F91BC7"/>
    <w:rsid w:val="00F95F15"/>
    <w:rsid w:val="00F96201"/>
    <w:rsid w:val="00FA1BBC"/>
    <w:rsid w:val="00FA29FA"/>
    <w:rsid w:val="00FA7D57"/>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79AA937"/>
  <w15:docId w15:val="{1EE1BD04-684C-4A25-ABE8-DB2AFF17F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next w:val="BodyTextMain"/>
    <w:link w:val="Casehead2Char"/>
    <w:qFormat/>
    <w:rsid w:val="00F264D2"/>
    <w:pPr>
      <w:keepNext/>
    </w:pPr>
    <w:rPr>
      <w:caps w:val="0"/>
    </w:rPr>
  </w:style>
  <w:style w:type="character" w:customStyle="1" w:styleId="Casehead2Char">
    <w:name w:val="Casehead 2 Char"/>
    <w:basedOn w:val="Casehead1Char"/>
    <w:link w:val="Casehead2"/>
    <w:rsid w:val="00F264D2"/>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1358AB"/>
    <w:rPr>
      <w:rFonts w:ascii="Arial" w:hAnsi="Arial" w:cs="Arial"/>
      <w:sz w:val="17"/>
      <w:szCs w:val="17"/>
    </w:rPr>
  </w:style>
  <w:style w:type="character" w:customStyle="1" w:styleId="FootnoteChar">
    <w:name w:val="Footnote Char"/>
    <w:basedOn w:val="FootnoteTextChar"/>
    <w:link w:val="Footnote"/>
    <w:rsid w:val="001358AB"/>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B41FF18-3739-4503-93B5-BCF59DA706CC}">
  <we:reference id="wa104041485" version="1.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62DF04-8ED6-4162-90E2-B7B0DC9AF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12</Pages>
  <Words>4300</Words>
  <Characters>24513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cp:lastModifiedBy>McCutcheon, Amber</cp:lastModifiedBy>
  <cp:revision>5</cp:revision>
  <cp:lastPrinted>2021-04-19T19:09:00Z</cp:lastPrinted>
  <dcterms:created xsi:type="dcterms:W3CDTF">2021-04-19T19:03:00Z</dcterms:created>
  <dcterms:modified xsi:type="dcterms:W3CDTF">2021-04-19T19:27:00Z</dcterms:modified>
</cp:coreProperties>
</file>